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DDB269">
      <w:pPr>
        <w:snapToGrid w:val="0"/>
        <w:jc w:val="both"/>
        <w:rPr>
          <w:rFonts w:hint="eastAsia" w:ascii="宋体" w:hAnsi="宋体" w:cs="宋体"/>
          <w:b/>
          <w:bCs/>
          <w:sz w:val="24"/>
        </w:rPr>
      </w:pPr>
      <w:bookmarkStart w:id="0" w:name="_Toc15141"/>
      <w:bookmarkStart w:id="1" w:name="_Toc1120"/>
    </w:p>
    <w:p w14:paraId="2A1255F0">
      <w:pPr>
        <w:rPr>
          <w:rFonts w:hint="eastAsia" w:ascii="宋体" w:hAnsi="宋体" w:cs="宋体"/>
          <w:sz w:val="24"/>
        </w:rPr>
      </w:pPr>
    </w:p>
    <w:p w14:paraId="1C77B254">
      <w:pPr>
        <w:jc w:val="center"/>
        <w:rPr>
          <w:rFonts w:hint="eastAsia" w:ascii="宋体" w:hAnsi="宋体" w:cs="宋体"/>
          <w:sz w:val="24"/>
        </w:rPr>
      </w:pPr>
    </w:p>
    <w:p w14:paraId="370107B3">
      <w:pPr>
        <w:jc w:val="center"/>
        <w:rPr>
          <w:rFonts w:hint="eastAsia" w:ascii="宋体" w:hAnsi="宋体" w:cs="宋体"/>
          <w:sz w:val="24"/>
        </w:rPr>
      </w:pPr>
    </w:p>
    <w:p w14:paraId="3D9126EF">
      <w:pPr>
        <w:jc w:val="center"/>
        <w:rPr>
          <w:rFonts w:hint="eastAsia" w:ascii="宋体" w:hAnsi="宋体" w:eastAsia="宋体" w:cs="宋体"/>
          <w:b/>
          <w:bCs/>
          <w:sz w:val="48"/>
          <w:szCs w:val="48"/>
          <w:lang w:val="en-US" w:eastAsia="zh-CN"/>
        </w:rPr>
      </w:pPr>
      <w:r>
        <w:rPr>
          <w:rFonts w:hint="eastAsia" w:ascii="宋体" w:hAnsi="宋体" w:cs="宋体"/>
          <w:b/>
          <w:bCs/>
          <w:sz w:val="48"/>
          <w:szCs w:val="48"/>
        </w:rPr>
        <w:t>公开招标</w:t>
      </w:r>
    </w:p>
    <w:p w14:paraId="048F6E8D">
      <w:pPr>
        <w:jc w:val="center"/>
        <w:rPr>
          <w:rFonts w:hint="eastAsia" w:ascii="宋体" w:hAnsi="宋体" w:cs="宋体"/>
          <w:b/>
          <w:bCs/>
          <w:sz w:val="48"/>
          <w:szCs w:val="48"/>
        </w:rPr>
      </w:pPr>
      <w:r>
        <w:rPr>
          <w:rFonts w:hint="eastAsia" w:ascii="宋体" w:hAnsi="宋体" w:cs="宋体"/>
          <w:b/>
          <w:bCs/>
          <w:sz w:val="48"/>
          <w:szCs w:val="48"/>
        </w:rPr>
        <w:t>采购文件</w:t>
      </w:r>
    </w:p>
    <w:p w14:paraId="0D90D4E4">
      <w:pPr>
        <w:pStyle w:val="19"/>
        <w:snapToGrid w:val="0"/>
        <w:jc w:val="center"/>
        <w:rPr>
          <w:rFonts w:hint="eastAsia" w:hAnsi="宋体" w:cs="宋体"/>
          <w:b/>
          <w:sz w:val="48"/>
          <w:szCs w:val="48"/>
        </w:rPr>
      </w:pPr>
      <w:r>
        <w:rPr>
          <w:rFonts w:hint="eastAsia" w:hAnsi="宋体" w:cs="宋体"/>
          <w:b/>
          <w:bCs/>
          <w:sz w:val="48"/>
          <w:szCs w:val="48"/>
        </w:rPr>
        <w:t>项目编号：KY-CGFW2025018</w:t>
      </w:r>
    </w:p>
    <w:p w14:paraId="0843F51D">
      <w:pPr>
        <w:pStyle w:val="19"/>
        <w:snapToGrid w:val="0"/>
        <w:jc w:val="center"/>
        <w:rPr>
          <w:rFonts w:hint="eastAsia" w:hAnsi="宋体" w:cs="宋体"/>
          <w:b/>
          <w:bCs/>
          <w:sz w:val="24"/>
          <w:szCs w:val="24"/>
          <w:u w:val="single"/>
        </w:rPr>
      </w:pPr>
    </w:p>
    <w:p w14:paraId="321F1B8C">
      <w:pPr>
        <w:snapToGrid w:val="0"/>
        <w:jc w:val="center"/>
        <w:rPr>
          <w:rFonts w:hint="eastAsia" w:ascii="宋体" w:hAnsi="宋体" w:cs="宋体"/>
          <w:b/>
          <w:bCs/>
          <w:sz w:val="24"/>
        </w:rPr>
      </w:pPr>
    </w:p>
    <w:p w14:paraId="6E70A4AC">
      <w:pPr>
        <w:snapToGrid w:val="0"/>
        <w:jc w:val="center"/>
        <w:rPr>
          <w:rFonts w:hint="eastAsia" w:ascii="宋体" w:hAnsi="宋体" w:cs="宋体"/>
          <w:b/>
          <w:bCs/>
          <w:sz w:val="24"/>
        </w:rPr>
      </w:pPr>
    </w:p>
    <w:p w14:paraId="726A3A04">
      <w:pPr>
        <w:snapToGrid w:val="0"/>
        <w:rPr>
          <w:rFonts w:hint="eastAsia" w:ascii="宋体" w:hAnsi="宋体" w:cs="宋体"/>
          <w:b/>
          <w:bCs/>
          <w:sz w:val="24"/>
        </w:rPr>
      </w:pPr>
    </w:p>
    <w:p w14:paraId="70409C11">
      <w:pPr>
        <w:snapToGrid w:val="0"/>
        <w:jc w:val="both"/>
        <w:rPr>
          <w:rFonts w:hint="eastAsia" w:ascii="宋体" w:hAnsi="宋体" w:cs="宋体"/>
          <w:b/>
          <w:bCs/>
          <w:sz w:val="24"/>
        </w:rPr>
      </w:pPr>
    </w:p>
    <w:p w14:paraId="79B038AD">
      <w:pPr>
        <w:snapToGrid w:val="0"/>
        <w:jc w:val="center"/>
        <w:rPr>
          <w:rFonts w:hint="eastAsia" w:ascii="宋体" w:hAnsi="宋体" w:cs="宋体"/>
          <w:b/>
          <w:bCs/>
          <w:sz w:val="24"/>
        </w:rPr>
      </w:pPr>
    </w:p>
    <w:p w14:paraId="787B3277">
      <w:pPr>
        <w:snapToGrid w:val="0"/>
        <w:jc w:val="both"/>
        <w:rPr>
          <w:rFonts w:hint="eastAsia" w:ascii="宋体" w:hAnsi="宋体" w:cs="宋体"/>
          <w:b/>
          <w:bCs/>
          <w:sz w:val="24"/>
        </w:rPr>
      </w:pPr>
    </w:p>
    <w:p w14:paraId="294BF58B">
      <w:pPr>
        <w:snapToGrid w:val="0"/>
        <w:jc w:val="both"/>
        <w:rPr>
          <w:rFonts w:hint="eastAsia" w:ascii="宋体" w:hAnsi="宋体" w:cs="宋体"/>
          <w:b/>
          <w:bCs/>
          <w:sz w:val="24"/>
        </w:rPr>
      </w:pPr>
    </w:p>
    <w:p w14:paraId="6217A824">
      <w:pPr>
        <w:widowControl w:val="0"/>
        <w:adjustRightInd w:val="0"/>
        <w:snapToGrid w:val="0"/>
        <w:ind w:left="2092" w:leftChars="104" w:right="-361" w:rightChars="-172" w:hanging="1874" w:hangingChars="778"/>
        <w:rPr>
          <w:rFonts w:hint="eastAsia" w:ascii="宋体" w:hAnsi="宋体" w:cs="宋体"/>
          <w:b/>
          <w:bCs/>
          <w:sz w:val="24"/>
        </w:rPr>
      </w:pPr>
    </w:p>
    <w:p w14:paraId="409A5454">
      <w:pPr>
        <w:widowControl w:val="0"/>
        <w:tabs>
          <w:tab w:val="left" w:pos="1050"/>
        </w:tabs>
        <w:adjustRightInd w:val="0"/>
        <w:snapToGrid w:val="0"/>
        <w:ind w:left="1626" w:leftChars="103" w:right="-361" w:rightChars="-172" w:hanging="1410" w:hangingChars="439"/>
        <w:rPr>
          <w:rFonts w:hint="eastAsia" w:ascii="宋体" w:hAnsi="宋体" w:cs="宋体"/>
          <w:b/>
          <w:bCs/>
          <w:sz w:val="32"/>
          <w:szCs w:val="32"/>
        </w:rPr>
      </w:pPr>
      <w:r>
        <w:rPr>
          <w:rFonts w:hint="eastAsia" w:ascii="宋体" w:hAnsi="宋体" w:cs="宋体"/>
          <w:b/>
          <w:bCs/>
          <w:sz w:val="32"/>
          <w:szCs w:val="32"/>
        </w:rPr>
        <w:t>项目名称:新疆维吾尔自治区人工影响天气水资源保障工程监理服务</w:t>
      </w:r>
    </w:p>
    <w:p w14:paraId="7BA1FFE4">
      <w:pPr>
        <w:widowControl w:val="0"/>
        <w:adjustRightInd w:val="0"/>
        <w:snapToGrid w:val="0"/>
        <w:ind w:left="2717" w:leftChars="104" w:right="-361" w:rightChars="-172" w:hanging="2499" w:hangingChars="778"/>
        <w:rPr>
          <w:rFonts w:hint="eastAsia" w:ascii="宋体" w:hAnsi="宋体" w:cs="宋体"/>
          <w:b/>
          <w:bCs/>
          <w:sz w:val="32"/>
          <w:szCs w:val="32"/>
        </w:rPr>
      </w:pPr>
      <w:r>
        <w:rPr>
          <w:rFonts w:hint="eastAsia" w:ascii="宋体" w:hAnsi="宋体" w:cs="宋体"/>
          <w:b/>
          <w:bCs/>
          <w:sz w:val="32"/>
          <w:szCs w:val="32"/>
        </w:rPr>
        <w:t>采 购 人：新疆维吾尔自治区气象局</w:t>
      </w:r>
    </w:p>
    <w:p w14:paraId="10E2C4D1">
      <w:pPr>
        <w:widowControl w:val="0"/>
        <w:adjustRightInd w:val="0"/>
        <w:snapToGrid w:val="0"/>
        <w:ind w:left="2717" w:leftChars="104" w:right="-361" w:rightChars="-172" w:hanging="2499" w:hangingChars="778"/>
        <w:rPr>
          <w:rFonts w:hint="eastAsia" w:ascii="宋体" w:hAnsi="宋体" w:cs="宋体"/>
          <w:b/>
          <w:bCs/>
          <w:sz w:val="32"/>
          <w:szCs w:val="32"/>
        </w:rPr>
      </w:pPr>
      <w:r>
        <w:rPr>
          <w:rFonts w:hint="eastAsia" w:ascii="宋体" w:hAnsi="宋体" w:cs="宋体"/>
          <w:b/>
          <w:bCs/>
          <w:sz w:val="32"/>
          <w:szCs w:val="32"/>
        </w:rPr>
        <w:t xml:space="preserve">联系人：顾匆匆  </w:t>
      </w:r>
    </w:p>
    <w:p w14:paraId="66A54A7C">
      <w:pPr>
        <w:widowControl w:val="0"/>
        <w:adjustRightInd w:val="0"/>
        <w:snapToGrid w:val="0"/>
        <w:ind w:right="-361" w:rightChars="-172"/>
        <w:rPr>
          <w:rFonts w:hint="eastAsia" w:ascii="宋体" w:hAnsi="宋体" w:cs="宋体"/>
          <w:b/>
          <w:bCs/>
          <w:sz w:val="32"/>
          <w:szCs w:val="32"/>
        </w:rPr>
      </w:pPr>
      <w:r>
        <w:rPr>
          <w:rFonts w:hint="eastAsia" w:ascii="宋体" w:hAnsi="宋体" w:cs="宋体"/>
          <w:b/>
          <w:bCs/>
          <w:sz w:val="32"/>
          <w:szCs w:val="32"/>
        </w:rPr>
        <w:t xml:space="preserve">  联系电话：15276659080</w:t>
      </w:r>
    </w:p>
    <w:p w14:paraId="6E27589A">
      <w:pPr>
        <w:widowControl w:val="0"/>
        <w:adjustRightInd w:val="0"/>
        <w:snapToGrid w:val="0"/>
        <w:ind w:right="-361" w:rightChars="-172"/>
        <w:rPr>
          <w:rFonts w:hint="eastAsia" w:ascii="宋体" w:hAnsi="宋体" w:cs="宋体"/>
          <w:b/>
          <w:bCs/>
          <w:sz w:val="32"/>
          <w:szCs w:val="32"/>
        </w:rPr>
      </w:pPr>
      <w:r>
        <w:rPr>
          <w:rFonts w:hint="eastAsia" w:ascii="宋体" w:hAnsi="宋体" w:cs="宋体"/>
          <w:b/>
          <w:bCs/>
          <w:sz w:val="32"/>
          <w:szCs w:val="32"/>
        </w:rPr>
        <mc:AlternateContent>
          <mc:Choice Requires="wps">
            <w:drawing>
              <wp:anchor distT="0" distB="0" distL="114300" distR="114300" simplePos="0" relativeHeight="251663360" behindDoc="0" locked="0" layoutInCell="1" allowOverlap="1">
                <wp:simplePos x="0" y="0"/>
                <wp:positionH relativeFrom="column">
                  <wp:posOffset>94615</wp:posOffset>
                </wp:positionH>
                <wp:positionV relativeFrom="paragraph">
                  <wp:posOffset>93345</wp:posOffset>
                </wp:positionV>
                <wp:extent cx="5626735" cy="0"/>
                <wp:effectExtent l="0" t="6350" r="2540" b="7620"/>
                <wp:wrapNone/>
                <wp:docPr id="5" name="直线 5"/>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wps:wsp>
                  </a:graphicData>
                </a:graphic>
              </wp:anchor>
            </w:drawing>
          </mc:Choice>
          <mc:Fallback>
            <w:pict>
              <v:line id="直线 5" o:spid="_x0000_s1026" o:spt="20" style="position:absolute;left:0pt;margin-left:7.45pt;margin-top:7.35pt;height:0pt;width:443.05pt;z-index:251663360;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LA68DTAAAACAEAAA8A&#10;AAAAAAAAAQAgAAAAIgAAAGRycy9kb3ducmV2LnhtbFBLAQIUABQAAAAIAIdO4kAlkDID4wEAANED&#10;AAAOAAAAAAAAAAEAIAAAACIBAABkcnMvZTJvRG9jLnhtbFBLBQYAAAAABgAGAFkBAAB3BQAAAAA=&#10;">
                <v:fill on="f" focussize="0,0"/>
                <v:stroke weight="1pt" color="#000000" joinstyle="round" dashstyle="1 1"/>
                <v:imagedata o:title=""/>
                <o:lock v:ext="edit" aspectratio="f"/>
              </v:line>
            </w:pict>
          </mc:Fallback>
        </mc:AlternateContent>
      </w:r>
    </w:p>
    <w:p w14:paraId="767EF8D0">
      <w:pPr>
        <w:widowControl w:val="0"/>
        <w:tabs>
          <w:tab w:val="left" w:pos="1050"/>
        </w:tabs>
        <w:adjustRightInd w:val="0"/>
        <w:snapToGrid w:val="0"/>
        <w:ind w:left="1626" w:leftChars="103" w:right="-361" w:rightChars="-172" w:hanging="1410" w:hangingChars="439"/>
        <w:rPr>
          <w:rFonts w:hint="eastAsia" w:ascii="宋体" w:hAnsi="宋体" w:cs="宋体"/>
          <w:b/>
          <w:bCs/>
          <w:sz w:val="32"/>
          <w:szCs w:val="32"/>
        </w:rPr>
      </w:pPr>
      <w:r>
        <w:rPr>
          <w:rFonts w:hint="eastAsia" w:ascii="宋体" w:hAnsi="宋体" w:cs="宋体"/>
          <w:b/>
          <w:bCs/>
          <w:sz w:val="32"/>
          <w:szCs w:val="32"/>
        </w:rPr>
        <w:t>采购代理机构：新疆楷源工程项目管理有限责任公司</w:t>
      </w:r>
    </w:p>
    <w:p w14:paraId="001C40EC">
      <w:pPr>
        <w:widowControl w:val="0"/>
        <w:tabs>
          <w:tab w:val="left" w:pos="1050"/>
        </w:tabs>
        <w:adjustRightInd w:val="0"/>
        <w:snapToGrid w:val="0"/>
        <w:ind w:left="1626" w:leftChars="103" w:right="-361" w:rightChars="-172" w:hanging="1410" w:hangingChars="439"/>
        <w:rPr>
          <w:rFonts w:hint="eastAsia" w:ascii="宋体" w:hAnsi="宋体" w:cs="宋体"/>
          <w:b/>
          <w:bCs/>
          <w:sz w:val="32"/>
          <w:szCs w:val="32"/>
        </w:rPr>
      </w:pPr>
      <w:r>
        <w:rPr>
          <w:rFonts w:hint="eastAsia" w:ascii="宋体" w:hAnsi="宋体" w:cs="宋体"/>
          <w:b/>
          <w:bCs/>
          <w:sz w:val="32"/>
          <w:szCs w:val="32"/>
        </w:rPr>
        <w:t>联 系 人：袁莉</w:t>
      </w:r>
    </w:p>
    <w:p w14:paraId="56F34CDD">
      <w:pPr>
        <w:widowControl w:val="0"/>
        <w:tabs>
          <w:tab w:val="left" w:pos="1050"/>
        </w:tabs>
        <w:adjustRightInd w:val="0"/>
        <w:snapToGrid w:val="0"/>
        <w:ind w:left="1626" w:leftChars="103" w:right="-361" w:rightChars="-172" w:hanging="1410" w:hangingChars="439"/>
        <w:rPr>
          <w:rFonts w:hint="eastAsia" w:ascii="宋体" w:hAnsi="宋体" w:cs="宋体"/>
          <w:b/>
          <w:bCs/>
          <w:sz w:val="32"/>
          <w:szCs w:val="32"/>
        </w:rPr>
      </w:pPr>
      <w:r>
        <w:rPr>
          <w:rFonts w:hint="eastAsia" w:ascii="宋体" w:hAnsi="宋体" w:cs="宋体"/>
          <w:b/>
          <w:bCs/>
          <w:sz w:val="32"/>
          <w:szCs w:val="32"/>
        </w:rPr>
        <w:t>联系电话：15899102332</w:t>
      </w:r>
    </w:p>
    <w:p w14:paraId="4ED89DCA">
      <w:pPr>
        <w:widowControl w:val="0"/>
        <w:tabs>
          <w:tab w:val="left" w:pos="1050"/>
        </w:tabs>
        <w:adjustRightInd w:val="0"/>
        <w:snapToGrid w:val="0"/>
        <w:ind w:left="1822" w:leftChars="103" w:right="-361" w:rightChars="-172" w:hanging="1606" w:hangingChars="500"/>
        <w:rPr>
          <w:rFonts w:hint="eastAsia" w:ascii="宋体" w:hAnsi="宋体" w:cs="宋体"/>
          <w:b/>
          <w:bCs/>
          <w:sz w:val="32"/>
          <w:szCs w:val="32"/>
        </w:rPr>
      </w:pPr>
      <w:r>
        <w:rPr>
          <w:rFonts w:hint="eastAsia" w:ascii="宋体" w:hAnsi="宋体" w:cs="宋体"/>
          <w:b/>
          <w:bCs/>
          <w:sz w:val="32"/>
          <w:szCs w:val="32"/>
        </w:rPr>
        <w:t>联系地址：新疆乌鲁木齐高新技术产业开发区（新市区）长春南路528号天康大厦3楼</w:t>
      </w:r>
    </w:p>
    <w:p w14:paraId="672A3EFF">
      <w:pPr>
        <w:jc w:val="center"/>
        <w:rPr>
          <w:rFonts w:hint="eastAsia" w:ascii="宋体" w:hAnsi="宋体" w:cs="宋体"/>
          <w:b/>
          <w:sz w:val="24"/>
        </w:rPr>
        <w:sectPr>
          <w:footerReference r:id="rId3" w:type="default"/>
          <w:type w:val="nextColumn"/>
          <w:pgSz w:w="11850" w:h="16783"/>
          <w:pgMar w:top="1440" w:right="1080" w:bottom="1440" w:left="1080" w:header="720" w:footer="720" w:gutter="0"/>
          <w:cols w:space="720" w:num="1"/>
          <w:docGrid w:linePitch="323" w:charSpace="0"/>
        </w:sectPr>
      </w:pPr>
    </w:p>
    <w:p w14:paraId="5ABFBD10">
      <w:pPr>
        <w:jc w:val="center"/>
        <w:rPr>
          <w:rFonts w:hint="eastAsia" w:ascii="宋体" w:hAnsi="宋体" w:cs="宋体"/>
          <w:b/>
          <w:sz w:val="24"/>
        </w:rPr>
      </w:pPr>
      <w:r>
        <w:rPr>
          <w:rFonts w:hint="eastAsia" w:ascii="宋体" w:hAnsi="宋体" w:cs="宋体"/>
          <w:b/>
          <w:sz w:val="24"/>
        </w:rPr>
        <w:t>目   录</w:t>
      </w:r>
    </w:p>
    <w:p w14:paraId="08C4F565">
      <w:pPr>
        <w:jc w:val="center"/>
        <w:rPr>
          <w:rFonts w:hint="eastAsia" w:ascii="宋体" w:hAnsi="宋体" w:cs="宋体"/>
          <w:b/>
          <w:sz w:val="24"/>
        </w:rPr>
      </w:pPr>
    </w:p>
    <w:p w14:paraId="0706CA5C">
      <w:pPr>
        <w:jc w:val="center"/>
        <w:rPr>
          <w:rFonts w:hint="eastAsia" w:ascii="宋体" w:hAnsi="宋体" w:cs="宋体"/>
          <w:sz w:val="24"/>
        </w:rPr>
      </w:pPr>
    </w:p>
    <w:p w14:paraId="2A8DD469">
      <w:pPr>
        <w:tabs>
          <w:tab w:val="right" w:leader="middleDot" w:pos="9000"/>
        </w:tabs>
        <w:jc w:val="center"/>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fldChar w:fldCharType="begin"/>
      </w:r>
      <w:r>
        <w:instrText xml:space="preserve"> HYPERLINK \l "_Toc4908" </w:instrText>
      </w:r>
      <w:r>
        <w:fldChar w:fldCharType="separate"/>
      </w:r>
      <w:r>
        <w:rPr>
          <w:rFonts w:hint="eastAsia" w:ascii="宋体" w:hAnsi="宋体" w:cs="宋体"/>
          <w:b/>
          <w:sz w:val="24"/>
        </w:rPr>
        <w:t>第一章  招标公告</w:t>
      </w:r>
      <w:r>
        <w:rPr>
          <w:rFonts w:hint="eastAsia" w:ascii="宋体" w:hAnsi="宋体" w:cs="宋体"/>
          <w:b/>
          <w:sz w:val="24"/>
        </w:rPr>
        <w:tab/>
      </w:r>
      <w:r>
        <w:rPr>
          <w:rFonts w:hint="eastAsia" w:ascii="宋体" w:hAnsi="宋体" w:cs="宋体"/>
          <w:b/>
          <w:sz w:val="24"/>
        </w:rPr>
        <w:t>2</w:t>
      </w:r>
      <w:r>
        <w:rPr>
          <w:rFonts w:hint="eastAsia" w:ascii="宋体" w:hAnsi="宋体" w:cs="宋体"/>
          <w:b/>
          <w:sz w:val="24"/>
        </w:rPr>
        <w:fldChar w:fldCharType="end"/>
      </w:r>
    </w:p>
    <w:p w14:paraId="1E1A8156">
      <w:pPr>
        <w:tabs>
          <w:tab w:val="right" w:leader="middleDot" w:pos="9000"/>
        </w:tabs>
        <w:jc w:val="center"/>
        <w:rPr>
          <w:rFonts w:hint="eastAsia" w:ascii="宋体" w:hAnsi="宋体" w:cs="宋体"/>
          <w:b/>
          <w:sz w:val="24"/>
        </w:rPr>
      </w:pPr>
      <w:r>
        <w:fldChar w:fldCharType="begin"/>
      </w:r>
      <w:r>
        <w:instrText xml:space="preserve"> HYPERLINK \l "_Toc1120" </w:instrText>
      </w:r>
      <w:r>
        <w:fldChar w:fldCharType="separate"/>
      </w:r>
      <w:r>
        <w:rPr>
          <w:rFonts w:hint="eastAsia" w:ascii="宋体" w:hAnsi="宋体" w:cs="宋体"/>
          <w:b/>
          <w:sz w:val="24"/>
        </w:rPr>
        <w:t>第二章  供应商须知</w:t>
      </w:r>
      <w:r>
        <w:rPr>
          <w:rFonts w:hint="eastAsia" w:ascii="宋体" w:hAnsi="宋体" w:cs="宋体"/>
          <w:b/>
          <w:sz w:val="24"/>
        </w:rPr>
        <w:tab/>
      </w:r>
      <w:r>
        <w:rPr>
          <w:rFonts w:hint="eastAsia" w:ascii="宋体" w:hAnsi="宋体" w:cs="宋体"/>
          <w:b/>
          <w:sz w:val="24"/>
        </w:rPr>
        <w:t>5</w:t>
      </w:r>
      <w:r>
        <w:rPr>
          <w:rFonts w:hint="eastAsia" w:ascii="宋体" w:hAnsi="宋体" w:cs="宋体"/>
          <w:b/>
          <w:sz w:val="24"/>
        </w:rPr>
        <w:fldChar w:fldCharType="end"/>
      </w:r>
    </w:p>
    <w:p w14:paraId="79E074C4">
      <w:pPr>
        <w:tabs>
          <w:tab w:val="right" w:leader="middleDot" w:pos="9000"/>
        </w:tabs>
        <w:jc w:val="center"/>
        <w:rPr>
          <w:rFonts w:hint="eastAsia" w:ascii="宋体" w:hAnsi="宋体" w:cs="宋体"/>
          <w:b/>
          <w:sz w:val="24"/>
        </w:rPr>
      </w:pPr>
      <w:r>
        <w:fldChar w:fldCharType="begin"/>
      </w:r>
      <w:r>
        <w:instrText xml:space="preserve"> HYPERLINK \l "_Toc17885" </w:instrText>
      </w:r>
      <w:r>
        <w:fldChar w:fldCharType="separate"/>
      </w:r>
      <w:r>
        <w:rPr>
          <w:rFonts w:hint="eastAsia" w:ascii="宋体" w:hAnsi="宋体" w:cs="宋体"/>
          <w:b/>
          <w:sz w:val="24"/>
        </w:rPr>
        <w:t>第三章  评标办法</w:t>
      </w:r>
      <w:r>
        <w:rPr>
          <w:rFonts w:hint="eastAsia" w:ascii="宋体" w:hAnsi="宋体" w:cs="宋体"/>
          <w:b/>
          <w:sz w:val="24"/>
        </w:rPr>
        <w:tab/>
      </w:r>
      <w:r>
        <w:rPr>
          <w:rFonts w:hint="eastAsia" w:ascii="宋体" w:hAnsi="宋体" w:cs="宋体"/>
          <w:b/>
          <w:sz w:val="24"/>
        </w:rPr>
        <w:fldChar w:fldCharType="end"/>
      </w:r>
      <w:r>
        <w:rPr>
          <w:rFonts w:hint="eastAsia" w:ascii="宋体" w:hAnsi="宋体" w:cs="宋体"/>
          <w:b/>
          <w:sz w:val="24"/>
        </w:rPr>
        <w:t>19</w:t>
      </w:r>
    </w:p>
    <w:p w14:paraId="32EC69B5">
      <w:pPr>
        <w:tabs>
          <w:tab w:val="right" w:leader="middleDot" w:pos="9000"/>
        </w:tabs>
        <w:jc w:val="center"/>
        <w:rPr>
          <w:rFonts w:hint="eastAsia" w:ascii="宋体" w:hAnsi="宋体" w:cs="宋体"/>
          <w:b/>
          <w:sz w:val="24"/>
        </w:rPr>
      </w:pPr>
      <w:r>
        <w:fldChar w:fldCharType="begin"/>
      </w:r>
      <w:r>
        <w:instrText xml:space="preserve"> HYPERLINK \l "_Toc30156" </w:instrText>
      </w:r>
      <w:r>
        <w:fldChar w:fldCharType="separate"/>
      </w:r>
      <w:r>
        <w:rPr>
          <w:rFonts w:hint="eastAsia" w:ascii="宋体" w:hAnsi="宋体" w:cs="宋体"/>
          <w:b/>
          <w:sz w:val="24"/>
        </w:rPr>
        <w:t>第四章  合同附件格式及条款</w:t>
      </w:r>
      <w:r>
        <w:rPr>
          <w:rFonts w:hint="eastAsia" w:ascii="宋体" w:hAnsi="宋体" w:cs="宋体"/>
          <w:b/>
          <w:sz w:val="24"/>
        </w:rPr>
        <w:tab/>
      </w:r>
      <w:r>
        <w:rPr>
          <w:rFonts w:hint="eastAsia" w:ascii="宋体" w:hAnsi="宋体" w:cs="宋体"/>
          <w:b/>
          <w:sz w:val="24"/>
        </w:rPr>
        <w:t>2</w:t>
      </w:r>
      <w:r>
        <w:rPr>
          <w:rFonts w:hint="eastAsia" w:ascii="宋体" w:hAnsi="宋体" w:cs="宋体"/>
          <w:b/>
          <w:sz w:val="24"/>
        </w:rPr>
        <w:fldChar w:fldCharType="end"/>
      </w:r>
      <w:r>
        <w:rPr>
          <w:rFonts w:hint="eastAsia" w:ascii="宋体" w:hAnsi="宋体" w:cs="宋体"/>
          <w:b/>
          <w:sz w:val="24"/>
        </w:rPr>
        <w:t>8</w:t>
      </w:r>
    </w:p>
    <w:p w14:paraId="32A00AD0">
      <w:pPr>
        <w:tabs>
          <w:tab w:val="right" w:leader="middleDot" w:pos="9000"/>
        </w:tabs>
        <w:jc w:val="center"/>
        <w:rPr>
          <w:rFonts w:hint="eastAsia" w:ascii="宋体" w:hAnsi="宋体" w:cs="宋体"/>
          <w:b/>
          <w:sz w:val="24"/>
        </w:rPr>
      </w:pPr>
      <w:r>
        <w:fldChar w:fldCharType="begin"/>
      </w:r>
      <w:r>
        <w:instrText xml:space="preserve"> HYPERLINK \l "_Toc32713" </w:instrText>
      </w:r>
      <w:r>
        <w:fldChar w:fldCharType="separate"/>
      </w:r>
      <w:r>
        <w:rPr>
          <w:rFonts w:hint="eastAsia" w:ascii="宋体" w:hAnsi="宋体" w:cs="宋体"/>
          <w:b/>
          <w:sz w:val="24"/>
        </w:rPr>
        <w:t>第五章  技术（质量标准）要求及说明</w:t>
      </w:r>
      <w:r>
        <w:rPr>
          <w:rFonts w:hint="eastAsia" w:ascii="宋体" w:hAnsi="宋体" w:cs="宋体"/>
          <w:b/>
          <w:sz w:val="24"/>
        </w:rPr>
        <w:tab/>
      </w:r>
      <w:r>
        <w:rPr>
          <w:rFonts w:hint="eastAsia" w:ascii="宋体" w:hAnsi="宋体" w:cs="宋体"/>
          <w:b/>
          <w:sz w:val="24"/>
        </w:rPr>
        <w:t>3</w:t>
      </w:r>
      <w:r>
        <w:rPr>
          <w:rFonts w:hint="eastAsia" w:ascii="宋体" w:hAnsi="宋体" w:cs="宋体"/>
          <w:b/>
          <w:sz w:val="24"/>
        </w:rPr>
        <w:fldChar w:fldCharType="end"/>
      </w:r>
      <w:r>
        <w:rPr>
          <w:rFonts w:hint="eastAsia" w:ascii="宋体" w:hAnsi="宋体" w:cs="宋体"/>
          <w:b/>
          <w:sz w:val="24"/>
        </w:rPr>
        <w:t>4</w:t>
      </w:r>
    </w:p>
    <w:p w14:paraId="40CBA108">
      <w:pPr>
        <w:tabs>
          <w:tab w:val="right" w:leader="middleDot" w:pos="9000"/>
        </w:tabs>
        <w:jc w:val="center"/>
        <w:rPr>
          <w:rFonts w:hint="eastAsia" w:ascii="宋体" w:hAnsi="宋体" w:cs="宋体"/>
          <w:b/>
          <w:sz w:val="24"/>
        </w:rPr>
      </w:pPr>
      <w:r>
        <w:fldChar w:fldCharType="begin"/>
      </w:r>
      <w:r>
        <w:instrText xml:space="preserve"> HYPERLINK \l "_Toc26727" </w:instrText>
      </w:r>
      <w:r>
        <w:fldChar w:fldCharType="separate"/>
      </w:r>
      <w:r>
        <w:rPr>
          <w:rFonts w:hint="eastAsia" w:ascii="宋体" w:hAnsi="宋体" w:cs="宋体"/>
          <w:b/>
          <w:sz w:val="24"/>
        </w:rPr>
        <w:t>第六章  响应文件（格式）</w:t>
      </w:r>
      <w:r>
        <w:rPr>
          <w:rFonts w:hint="eastAsia" w:ascii="宋体" w:hAnsi="宋体" w:cs="宋体"/>
          <w:b/>
          <w:sz w:val="24"/>
        </w:rPr>
        <w:tab/>
      </w:r>
      <w:r>
        <w:rPr>
          <w:rFonts w:hint="eastAsia" w:ascii="宋体" w:hAnsi="宋体" w:cs="宋体"/>
          <w:b/>
          <w:sz w:val="24"/>
        </w:rPr>
        <w:fldChar w:fldCharType="end"/>
      </w:r>
      <w:r>
        <w:rPr>
          <w:rFonts w:hint="eastAsia" w:ascii="宋体" w:hAnsi="宋体" w:cs="宋体"/>
          <w:b/>
          <w:sz w:val="24"/>
        </w:rPr>
        <w:t>40</w:t>
      </w:r>
    </w:p>
    <w:p w14:paraId="5EED9715">
      <w:pPr>
        <w:jc w:val="center"/>
        <w:rPr>
          <w:rFonts w:hint="eastAsia" w:ascii="宋体" w:hAnsi="宋体" w:cs="宋体"/>
          <w:sz w:val="24"/>
        </w:rPr>
      </w:pPr>
      <w:r>
        <w:rPr>
          <w:rFonts w:hint="eastAsia" w:ascii="宋体" w:hAnsi="宋体" w:cs="宋体"/>
          <w:b/>
          <w:sz w:val="24"/>
        </w:rPr>
        <w:fldChar w:fldCharType="end"/>
      </w:r>
    </w:p>
    <w:p w14:paraId="5BC9DF0A">
      <w:pPr>
        <w:pStyle w:val="16"/>
        <w:spacing w:before="75" w:beforeAutospacing="0" w:after="75" w:afterAutospacing="0"/>
        <w:jc w:val="center"/>
        <w:outlineLvl w:val="0"/>
        <w:rPr>
          <w:rFonts w:hint="eastAsia"/>
          <w:b/>
          <w:bCs/>
        </w:rPr>
      </w:pPr>
      <w:r>
        <w:rPr>
          <w:rFonts w:hint="eastAsia"/>
          <w:b/>
        </w:rPr>
        <w:br w:type="page"/>
      </w:r>
      <w:r>
        <w:fldChar w:fldCharType="begin"/>
      </w:r>
      <w:r>
        <w:instrText xml:space="preserve"> HYPERLINK \l "_Toc4908" </w:instrText>
      </w:r>
      <w:r>
        <w:fldChar w:fldCharType="separate"/>
      </w:r>
      <w:r>
        <w:rPr>
          <w:rFonts w:hint="eastAsia"/>
          <w:b/>
        </w:rPr>
        <w:t>第一章  招标公告</w:t>
      </w:r>
      <w:r>
        <w:rPr>
          <w:rFonts w:hint="eastAsia"/>
          <w:b/>
        </w:rPr>
        <w:tab/>
      </w:r>
      <w:r>
        <w:rPr>
          <w:rFonts w:hint="eastAsia"/>
          <w:b/>
        </w:rPr>
        <w:fldChar w:fldCharType="end"/>
      </w:r>
    </w:p>
    <w:p w14:paraId="6A7E5760">
      <w:pPr>
        <w:pStyle w:val="16"/>
        <w:spacing w:before="75" w:beforeAutospacing="0" w:after="75" w:afterAutospacing="0"/>
        <w:jc w:val="center"/>
        <w:outlineLvl w:val="0"/>
        <w:rPr>
          <w:rFonts w:hint="eastAsia"/>
          <w:b/>
          <w:bCs/>
        </w:rPr>
      </w:pPr>
      <w:r>
        <w:rPr>
          <w:rFonts w:hint="eastAsia"/>
          <w:b/>
          <w:bCs/>
        </w:rPr>
        <w:t>新疆维吾尔自治区人工影响天气水资源保障工程监理服务公开</w:t>
      </w:r>
    </w:p>
    <w:p w14:paraId="0BEAE86D">
      <w:pPr>
        <w:pStyle w:val="16"/>
        <w:spacing w:before="75" w:beforeAutospacing="0" w:after="75" w:afterAutospacing="0"/>
        <w:jc w:val="center"/>
        <w:outlineLvl w:val="0"/>
        <w:rPr>
          <w:rStyle w:val="35"/>
          <w:rFonts w:hint="eastAsia"/>
        </w:rPr>
      </w:pPr>
      <w:r>
        <w:rPr>
          <w:rFonts w:hint="eastAsia"/>
          <w:b/>
          <w:bCs/>
        </w:rPr>
        <w:t>招标公告</w:t>
      </w:r>
    </w:p>
    <w:p w14:paraId="4DE35C50">
      <w:pPr>
        <w:pStyle w:val="16"/>
        <w:spacing w:before="255" w:beforeAutospacing="0" w:after="255" w:afterAutospacing="0"/>
        <w:jc w:val="both"/>
        <w:rPr>
          <w:rFonts w:hint="eastAsia"/>
        </w:rPr>
      </w:pPr>
      <w:r>
        <w:rPr>
          <w:rFonts w:hint="eastAsia"/>
          <w:b/>
          <w:bCs/>
        </w:rPr>
        <mc:AlternateContent>
          <mc:Choice Requires="wps">
            <w:drawing>
              <wp:anchor distT="0" distB="0" distL="114300" distR="114300" simplePos="0" relativeHeight="251664384" behindDoc="1" locked="0" layoutInCell="1" allowOverlap="1">
                <wp:simplePos x="0" y="0"/>
                <wp:positionH relativeFrom="column">
                  <wp:posOffset>-67310</wp:posOffset>
                </wp:positionH>
                <wp:positionV relativeFrom="paragraph">
                  <wp:posOffset>138430</wp:posOffset>
                </wp:positionV>
                <wp:extent cx="5984875" cy="1365250"/>
                <wp:effectExtent l="4445" t="4445" r="11430" b="11430"/>
                <wp:wrapTight wrapText="bothSides">
                  <wp:wrapPolygon>
                    <wp:start x="21592" y="-2"/>
                    <wp:lineTo x="0" y="0"/>
                    <wp:lineTo x="0" y="21600"/>
                    <wp:lineTo x="21592" y="21602"/>
                    <wp:lineTo x="8" y="21602"/>
                    <wp:lineTo x="21600" y="21600"/>
                    <wp:lineTo x="21600" y="0"/>
                    <wp:lineTo x="8" y="-2"/>
                    <wp:lineTo x="21592" y="-2"/>
                  </wp:wrapPolygon>
                </wp:wrapTight>
                <wp:docPr id="6" name="文本框 1"/>
                <wp:cNvGraphicFramePr/>
                <a:graphic xmlns:a="http://schemas.openxmlformats.org/drawingml/2006/main">
                  <a:graphicData uri="http://schemas.microsoft.com/office/word/2010/wordprocessingShape">
                    <wps:wsp>
                      <wps:cNvSpPr txBox="1"/>
                      <wps:spPr>
                        <a:xfrm>
                          <a:off x="929005" y="1760855"/>
                          <a:ext cx="5799455" cy="1488440"/>
                        </a:xfrm>
                        <a:prstGeom prst="rect">
                          <a:avLst/>
                        </a:prstGeom>
                        <a:solidFill>
                          <a:srgbClr val="FFFFFF"/>
                        </a:solidFill>
                        <a:ln w="6350">
                          <a:solidFill>
                            <a:prstClr val="black"/>
                          </a:solidFill>
                        </a:ln>
                        <a:effectLst/>
                      </wps:spPr>
                      <wps:txbx>
                        <w:txbxContent>
                          <w:p w14:paraId="5896C9F2">
                            <w:pPr>
                              <w:pStyle w:val="16"/>
                              <w:spacing w:before="75" w:beforeAutospacing="0" w:after="0" w:afterAutospacing="0" w:line="360" w:lineRule="auto"/>
                              <w:rPr>
                                <w:rFonts w:hint="eastAsia"/>
                              </w:rPr>
                            </w:pPr>
                            <w:r>
                              <w:rPr>
                                <w:rFonts w:hint="eastAsia"/>
                                <w:color w:val="000000"/>
                              </w:rPr>
                              <w:t>项目概况</w:t>
                            </w:r>
                          </w:p>
                          <w:p w14:paraId="2BCE1CFC">
                            <w:pPr>
                              <w:pStyle w:val="16"/>
                              <w:spacing w:before="0" w:beforeAutospacing="0" w:after="75" w:afterAutospacing="0" w:line="360" w:lineRule="auto"/>
                              <w:ind w:firstLine="480" w:firstLineChars="200"/>
                              <w:rPr>
                                <w:rFonts w:hint="eastAsia"/>
                              </w:rPr>
                            </w:pPr>
                            <w:r>
                              <w:rPr>
                                <w:rFonts w:hint="eastAsia"/>
                                <w:color w:val="000000"/>
                                <w:u w:val="single"/>
                              </w:rPr>
                              <w:t>新疆维吾尔自治区人工影响天气水资源保障工程监理服务</w:t>
                            </w:r>
                            <w:r>
                              <w:rPr>
                                <w:rFonts w:hint="eastAsia"/>
                                <w:color w:val="000000"/>
                              </w:rPr>
                              <w:t>招标项目的潜在供应商应在</w:t>
                            </w:r>
                            <w:r>
                              <w:rPr>
                                <w:rFonts w:hint="eastAsia"/>
                                <w:color w:val="000000"/>
                                <w:u w:val="single"/>
                              </w:rPr>
                              <w:t>新疆政府采购云平台https://www.zcygov.cn/</w:t>
                            </w:r>
                            <w:r>
                              <w:rPr>
                                <w:rFonts w:hint="eastAsia"/>
                                <w:color w:val="000000"/>
                              </w:rPr>
                              <w:t>获取采购文件，并于</w:t>
                            </w:r>
                            <w:r>
                              <w:rPr>
                                <w:rFonts w:hint="eastAsia"/>
                                <w:color w:val="4F81BD"/>
                                <w:u w:val="single"/>
                              </w:rPr>
                              <w:t>2025年07月31日11点00分</w:t>
                            </w:r>
                            <w:r>
                              <w:rPr>
                                <w:rFonts w:hint="eastAsia"/>
                                <w:color w:val="000000"/>
                              </w:rPr>
                              <w:t>（北京时间）前递交响应文件。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3pt;margin-top:10.9pt;height:107.5pt;width:471.25pt;mso-wrap-distance-left:9pt;mso-wrap-distance-right:9pt;z-index:-251652096;mso-width-relative:page;mso-height-relative:page;" fillcolor="#FFFFFF" filled="t" stroked="t" coordsize="21600,21600" wrapcoords="21592 -2 0 0 0 21600 21592 21602 8 21602 21600 21600 21600 0 8 -2 21592 -2" o:gfxdata="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LYrr1gAAAAoBAAAPAAAAAAAAAAEAIAAAACIAAABkcnMvZG93bnJldi54bWxQ&#10;SwECFAAUAAAACACHTuJAaMaPDWsCAADRBAAADgAAAAAAAAABACAAAAAlAQAAZHJzL2Uyb0RvYy54&#10;bWxQSwUGAAAAAAYABgBZAQAAAgYAAAAA&#10;">
                <v:fill on="t" focussize="0,0"/>
                <v:stroke weight="0.5pt" color="#000000" joinstyle="round"/>
                <v:imagedata o:title=""/>
                <o:lock v:ext="edit" aspectratio="f"/>
                <v:textbox>
                  <w:txbxContent>
                    <w:p w14:paraId="5896C9F2">
                      <w:pPr>
                        <w:pStyle w:val="16"/>
                        <w:spacing w:before="75" w:beforeAutospacing="0" w:after="0" w:afterAutospacing="0" w:line="360" w:lineRule="auto"/>
                        <w:rPr>
                          <w:rFonts w:hint="eastAsia"/>
                        </w:rPr>
                      </w:pPr>
                      <w:r>
                        <w:rPr>
                          <w:rFonts w:hint="eastAsia"/>
                          <w:color w:val="000000"/>
                        </w:rPr>
                        <w:t>项目概况</w:t>
                      </w:r>
                    </w:p>
                    <w:p w14:paraId="2BCE1CFC">
                      <w:pPr>
                        <w:pStyle w:val="16"/>
                        <w:spacing w:before="0" w:beforeAutospacing="0" w:after="75" w:afterAutospacing="0" w:line="360" w:lineRule="auto"/>
                        <w:ind w:firstLine="480" w:firstLineChars="200"/>
                        <w:rPr>
                          <w:rFonts w:hint="eastAsia"/>
                        </w:rPr>
                      </w:pPr>
                      <w:r>
                        <w:rPr>
                          <w:rFonts w:hint="eastAsia"/>
                          <w:color w:val="000000"/>
                          <w:u w:val="single"/>
                        </w:rPr>
                        <w:t>新疆维吾尔自治区人工影响天气水资源保障工程监理服务</w:t>
                      </w:r>
                      <w:r>
                        <w:rPr>
                          <w:rFonts w:hint="eastAsia"/>
                          <w:color w:val="000000"/>
                        </w:rPr>
                        <w:t>招标项目的潜在供应商应在</w:t>
                      </w:r>
                      <w:r>
                        <w:rPr>
                          <w:rFonts w:hint="eastAsia"/>
                          <w:color w:val="000000"/>
                          <w:u w:val="single"/>
                        </w:rPr>
                        <w:t>新疆政府采购云平台https://www.zcygov.cn/</w:t>
                      </w:r>
                      <w:r>
                        <w:rPr>
                          <w:rFonts w:hint="eastAsia"/>
                          <w:color w:val="000000"/>
                        </w:rPr>
                        <w:t>获取采购文件，并于</w:t>
                      </w:r>
                      <w:r>
                        <w:rPr>
                          <w:rFonts w:hint="eastAsia"/>
                          <w:color w:val="4F81BD"/>
                          <w:u w:val="single"/>
                        </w:rPr>
                        <w:t>2025年07月31日11点00分</w:t>
                      </w:r>
                      <w:r>
                        <w:rPr>
                          <w:rFonts w:hint="eastAsia"/>
                          <w:color w:val="000000"/>
                        </w:rPr>
                        <w:t>（北京时间）前递交响应文件。</w:t>
                      </w:r>
                    </w:p>
                  </w:txbxContent>
                </v:textbox>
                <w10:wrap type="tight"/>
              </v:shape>
            </w:pict>
          </mc:Fallback>
        </mc:AlternateContent>
      </w:r>
      <w:r>
        <w:rPr>
          <w:rStyle w:val="35"/>
          <w:rFonts w:hint="eastAsia"/>
        </w:rPr>
        <w:t>一、项目基本情况</w:t>
      </w:r>
    </w:p>
    <w:p w14:paraId="2659442D">
      <w:pPr>
        <w:pStyle w:val="16"/>
        <w:spacing w:before="75" w:beforeAutospacing="0" w:after="75" w:afterAutospacing="0"/>
        <w:ind w:left="1055" w:leftChars="228" w:hanging="576" w:hangingChars="240"/>
        <w:rPr>
          <w:rFonts w:hint="eastAsia"/>
        </w:rPr>
      </w:pPr>
      <w:r>
        <w:rPr>
          <w:rFonts w:hint="eastAsia"/>
        </w:rPr>
        <w:t>项目编号：KY-CGFW2025018</w:t>
      </w:r>
    </w:p>
    <w:p w14:paraId="49994764">
      <w:pPr>
        <w:pStyle w:val="16"/>
        <w:spacing w:before="75" w:beforeAutospacing="0" w:after="75" w:afterAutospacing="0"/>
        <w:ind w:firstLine="480" w:firstLineChars="200"/>
        <w:rPr>
          <w:rFonts w:hint="eastAsia"/>
        </w:rPr>
      </w:pPr>
      <w:r>
        <w:rPr>
          <w:rFonts w:hint="eastAsia"/>
        </w:rPr>
        <w:t>项目名称：新疆维吾尔自治区人工影响天气水资源保障工程监理服务</w:t>
      </w:r>
    </w:p>
    <w:p w14:paraId="1854A764">
      <w:pPr>
        <w:pStyle w:val="16"/>
        <w:spacing w:before="75" w:beforeAutospacing="0" w:after="75" w:afterAutospacing="0"/>
        <w:ind w:firstLine="480" w:firstLineChars="200"/>
        <w:rPr>
          <w:rFonts w:hint="eastAsia"/>
        </w:rPr>
      </w:pPr>
      <w:r>
        <w:rPr>
          <w:rFonts w:hint="eastAsia"/>
        </w:rPr>
        <w:t>预算金额（元）：1900000。</w:t>
      </w:r>
    </w:p>
    <w:p w14:paraId="02A65590">
      <w:pPr>
        <w:pStyle w:val="16"/>
        <w:spacing w:before="75" w:beforeAutospacing="0" w:after="75" w:afterAutospacing="0"/>
        <w:ind w:firstLine="480" w:firstLineChars="200"/>
        <w:rPr>
          <w:rFonts w:hint="eastAsia"/>
        </w:rPr>
      </w:pPr>
      <w:r>
        <w:rPr>
          <w:rFonts w:hint="eastAsia"/>
        </w:rPr>
        <w:t>最高限价（元）：1900000。</w:t>
      </w:r>
    </w:p>
    <w:p w14:paraId="422D2B90">
      <w:pPr>
        <w:pStyle w:val="16"/>
        <w:spacing w:before="75" w:beforeAutospacing="0" w:after="75" w:afterAutospacing="0"/>
        <w:ind w:left="479" w:leftChars="228"/>
        <w:rPr>
          <w:rFonts w:hint="eastAsia"/>
        </w:rPr>
      </w:pPr>
      <w:r>
        <w:rPr>
          <w:rFonts w:hint="eastAsia"/>
        </w:rPr>
        <w:t>采购需求：</w:t>
      </w:r>
    </w:p>
    <w:p w14:paraId="59ECFA45">
      <w:pPr>
        <w:pStyle w:val="16"/>
        <w:spacing w:before="75" w:beforeAutospacing="0" w:after="75" w:afterAutospacing="0"/>
        <w:ind w:left="479" w:leftChars="228"/>
        <w:rPr>
          <w:rFonts w:hint="eastAsia"/>
        </w:rPr>
      </w:pPr>
      <w:r>
        <w:rPr>
          <w:rFonts w:hint="eastAsia"/>
        </w:rPr>
        <w:t>标项名称:新疆维吾尔自治区人工影响天气水资源保障工程监理服务</w:t>
      </w:r>
      <w:r>
        <w:rPr>
          <w:rFonts w:hint="eastAsia"/>
        </w:rPr>
        <w:br w:type="textWrapping"/>
      </w:r>
      <w:r>
        <w:rPr>
          <w:rFonts w:hint="eastAsia"/>
        </w:rPr>
        <w:t>数量:不限</w:t>
      </w:r>
      <w:r>
        <w:rPr>
          <w:rFonts w:hint="eastAsia"/>
        </w:rPr>
        <w:br w:type="textWrapping"/>
      </w:r>
      <w:r>
        <w:rPr>
          <w:rFonts w:hint="eastAsia"/>
        </w:rPr>
        <w:t>预算金额（元）:1900000。</w:t>
      </w:r>
      <w:r>
        <w:rPr>
          <w:rFonts w:hint="eastAsia"/>
        </w:rPr>
        <w:br w:type="textWrapping"/>
      </w:r>
      <w:r>
        <w:rPr>
          <w:rFonts w:hint="eastAsia"/>
        </w:rPr>
        <w:t>简要规格描述或项目基本概况介绍、用途：根据项目合同约定和项目建设需求，对项目实施有重点的、全面的、精细化的监督管理。包含但不限于初步设计、招投标及合同签订，详细设计，实施开发、系统调试，试运行及验收和竣工移交等阶段，在监理过程中实行质量控制、进度控制、投资控制、变更控制、安全管理、合同管理、信息管理和组织协调等工作。详见采购文件。</w:t>
      </w:r>
      <w:r>
        <w:rPr>
          <w:rFonts w:hint="eastAsia"/>
        </w:rPr>
        <w:br w:type="textWrapping"/>
      </w:r>
      <w:r>
        <w:rPr>
          <w:rFonts w:hint="eastAsia"/>
        </w:rPr>
        <w:t>备注：</w:t>
      </w:r>
    </w:p>
    <w:p w14:paraId="734A1A6E">
      <w:pPr>
        <w:pStyle w:val="16"/>
        <w:spacing w:before="75" w:beforeAutospacing="0" w:after="75" w:afterAutospacing="0"/>
        <w:ind w:left="479" w:leftChars="228"/>
        <w:rPr>
          <w:rFonts w:hint="eastAsia"/>
        </w:rPr>
      </w:pPr>
      <w:r>
        <w:rPr>
          <w:rFonts w:hint="eastAsia"/>
        </w:rPr>
        <w:t>合同履行期限：自监理合同签订之日起至2026年12月31日，符合国家标准，且通过甲方验收达到合格。</w:t>
      </w:r>
    </w:p>
    <w:p w14:paraId="7CE4E757">
      <w:pPr>
        <w:pStyle w:val="16"/>
        <w:spacing w:before="75" w:beforeAutospacing="0" w:after="75" w:afterAutospacing="0"/>
        <w:ind w:firstLine="480" w:firstLineChars="200"/>
        <w:rPr>
          <w:rFonts w:hint="eastAsia"/>
        </w:rPr>
      </w:pPr>
      <w:r>
        <w:rPr>
          <w:rFonts w:hint="eastAsia"/>
        </w:rPr>
        <w:t>本项目（否）接受联合体投标。</w:t>
      </w:r>
    </w:p>
    <w:p w14:paraId="748BFEB2">
      <w:pPr>
        <w:pStyle w:val="16"/>
        <w:spacing w:before="255" w:beforeAutospacing="0" w:after="0" w:afterAutospacing="0"/>
        <w:jc w:val="both"/>
        <w:outlineLvl w:val="0"/>
        <w:rPr>
          <w:rFonts w:hint="eastAsia"/>
        </w:rPr>
      </w:pPr>
      <w:bookmarkStart w:id="2" w:name="_Toc15514"/>
      <w:bookmarkStart w:id="3" w:name="_Toc1603"/>
      <w:r>
        <w:rPr>
          <w:rStyle w:val="35"/>
          <w:rFonts w:hint="eastAsia"/>
        </w:rPr>
        <w:t>二、申请人的资格要求：</w:t>
      </w:r>
      <w:bookmarkEnd w:id="2"/>
      <w:bookmarkEnd w:id="3"/>
    </w:p>
    <w:p w14:paraId="39B6E9E0">
      <w:pPr>
        <w:pStyle w:val="16"/>
        <w:spacing w:before="0" w:beforeAutospacing="0" w:after="0" w:afterAutospacing="0"/>
        <w:ind w:firstLine="240" w:firstLineChars="100"/>
        <w:outlineLvl w:val="0"/>
        <w:rPr>
          <w:rFonts w:hint="eastAsia"/>
          <w:kern w:val="2"/>
        </w:rPr>
      </w:pPr>
      <w:bookmarkStart w:id="4" w:name="_Toc16470"/>
      <w:bookmarkStart w:id="5" w:name="_Toc11778"/>
      <w:r>
        <w:rPr>
          <w:rFonts w:hint="eastAsia"/>
          <w:kern w:val="2"/>
        </w:rPr>
        <w:t>1.满足《中华人民共和国政府采购法》第二十二条规定：</w:t>
      </w:r>
    </w:p>
    <w:p w14:paraId="39370FEA">
      <w:pPr>
        <w:numPr>
          <w:ilvl w:val="0"/>
          <w:numId w:val="5"/>
        </w:numPr>
        <w:spacing w:line="500" w:lineRule="atLeast"/>
        <w:rPr>
          <w:rFonts w:hint="eastAsia" w:ascii="宋体" w:hAnsi="宋体" w:cs="宋体"/>
          <w:sz w:val="24"/>
        </w:rPr>
      </w:pPr>
      <w:r>
        <w:rPr>
          <w:rFonts w:hint="eastAsia" w:ascii="宋体" w:hAnsi="宋体" w:cs="宋体"/>
          <w:sz w:val="24"/>
        </w:rPr>
        <w:t>具有独立承担民事责任的能力;</w:t>
      </w:r>
    </w:p>
    <w:p w14:paraId="106A602C">
      <w:pPr>
        <w:numPr>
          <w:ilvl w:val="0"/>
          <w:numId w:val="5"/>
        </w:numPr>
        <w:spacing w:line="500" w:lineRule="atLeast"/>
        <w:rPr>
          <w:rFonts w:hint="eastAsia" w:ascii="宋体" w:hAnsi="宋体" w:cs="宋体"/>
          <w:sz w:val="24"/>
        </w:rPr>
      </w:pPr>
      <w:r>
        <w:rPr>
          <w:rFonts w:hint="eastAsia" w:ascii="宋体" w:hAnsi="宋体" w:cs="宋体"/>
          <w:sz w:val="24"/>
        </w:rPr>
        <w:t>具有良好的商业信誉和健全的财务会计制度;</w:t>
      </w:r>
    </w:p>
    <w:p w14:paraId="5BF83B7E">
      <w:pPr>
        <w:numPr>
          <w:ilvl w:val="0"/>
          <w:numId w:val="5"/>
        </w:numPr>
        <w:spacing w:line="500" w:lineRule="atLeast"/>
        <w:rPr>
          <w:rFonts w:hint="eastAsia" w:ascii="宋体" w:hAnsi="宋体" w:cs="宋体"/>
          <w:sz w:val="24"/>
        </w:rPr>
      </w:pPr>
      <w:r>
        <w:rPr>
          <w:rFonts w:hint="eastAsia" w:ascii="宋体" w:hAnsi="宋体" w:cs="宋体"/>
          <w:sz w:val="24"/>
        </w:rPr>
        <w:t>具有履行合同所必需的设备和专业技术能力;</w:t>
      </w:r>
    </w:p>
    <w:p w14:paraId="5D0F43DD">
      <w:pPr>
        <w:numPr>
          <w:ilvl w:val="0"/>
          <w:numId w:val="5"/>
        </w:numPr>
        <w:spacing w:line="500" w:lineRule="atLeast"/>
        <w:rPr>
          <w:rFonts w:hint="eastAsia" w:ascii="宋体" w:hAnsi="宋体" w:cs="宋体"/>
          <w:sz w:val="24"/>
        </w:rPr>
      </w:pPr>
      <w:r>
        <w:rPr>
          <w:rFonts w:hint="eastAsia" w:ascii="宋体" w:hAnsi="宋体" w:cs="宋体"/>
          <w:sz w:val="24"/>
        </w:rPr>
        <w:t>有依法缴纳税收和社会保障资金的良好记录;</w:t>
      </w:r>
    </w:p>
    <w:p w14:paraId="2DAB4F20">
      <w:pPr>
        <w:numPr>
          <w:ilvl w:val="0"/>
          <w:numId w:val="5"/>
        </w:numPr>
        <w:spacing w:line="500" w:lineRule="atLeast"/>
        <w:rPr>
          <w:rFonts w:hint="eastAsia" w:ascii="宋体" w:hAnsi="宋体" w:cs="宋体"/>
          <w:sz w:val="24"/>
        </w:rPr>
      </w:pPr>
      <w:r>
        <w:rPr>
          <w:rFonts w:hint="eastAsia" w:ascii="宋体" w:hAnsi="宋体" w:cs="宋体"/>
          <w:sz w:val="24"/>
        </w:rPr>
        <w:t>参加政府采购活动前三年内，在经营活动中没有重大违法记录;</w:t>
      </w:r>
    </w:p>
    <w:p w14:paraId="2007504D">
      <w:pPr>
        <w:numPr>
          <w:ilvl w:val="0"/>
          <w:numId w:val="5"/>
        </w:numPr>
        <w:spacing w:line="500" w:lineRule="atLeast"/>
        <w:rPr>
          <w:rFonts w:hint="eastAsia" w:ascii="宋体" w:hAnsi="宋体" w:cs="宋体"/>
          <w:sz w:val="24"/>
        </w:rPr>
      </w:pPr>
      <w:r>
        <w:rPr>
          <w:rFonts w:hint="eastAsia" w:ascii="宋体" w:hAnsi="宋体" w:cs="宋体"/>
          <w:sz w:val="24"/>
        </w:rPr>
        <w:t>法律、行政法规规定的其他条件。</w:t>
      </w:r>
    </w:p>
    <w:p w14:paraId="53A04CFF">
      <w:pPr>
        <w:pStyle w:val="16"/>
        <w:spacing w:before="0" w:beforeAutospacing="0" w:after="0" w:afterAutospacing="0"/>
        <w:ind w:firstLine="240" w:firstLineChars="100"/>
        <w:jc w:val="both"/>
        <w:outlineLvl w:val="0"/>
        <w:rPr>
          <w:rFonts w:hint="eastAsia"/>
          <w:kern w:val="2"/>
          <w:highlight w:val="none"/>
        </w:rPr>
      </w:pPr>
      <w:r>
        <w:rPr>
          <w:rFonts w:hint="eastAsia"/>
          <w:kern w:val="2"/>
        </w:rPr>
        <w:t>2.落实政府采购政策需满足的资格要求：</w:t>
      </w:r>
      <w:r>
        <w:rPr>
          <w:rFonts w:hint="eastAsia"/>
          <w:kern w:val="2"/>
          <w:highlight w:val="none"/>
        </w:rPr>
        <w:t>本项目专门面向中小企业</w:t>
      </w:r>
    </w:p>
    <w:p w14:paraId="47B6C73A">
      <w:pPr>
        <w:pStyle w:val="16"/>
        <w:spacing w:before="0" w:beforeAutospacing="0" w:after="0" w:afterAutospacing="0"/>
        <w:ind w:firstLine="240" w:firstLineChars="100"/>
        <w:jc w:val="both"/>
        <w:outlineLvl w:val="0"/>
        <w:rPr>
          <w:rFonts w:hint="eastAsia"/>
          <w:kern w:val="2"/>
        </w:rPr>
      </w:pPr>
      <w:r>
        <w:rPr>
          <w:rFonts w:hint="eastAsia"/>
          <w:kern w:val="2"/>
        </w:rPr>
        <w:t>3.本项目的特定资格要求：</w:t>
      </w:r>
    </w:p>
    <w:p w14:paraId="4A05C7D3">
      <w:pPr>
        <w:rPr>
          <w:rFonts w:hint="eastAsia" w:ascii="宋体" w:hAnsi="宋体" w:cs="宋体"/>
          <w:sz w:val="24"/>
        </w:rPr>
      </w:pPr>
      <w:r>
        <w:rPr>
          <w:rFonts w:hint="eastAsia" w:ascii="宋体" w:hAnsi="宋体" w:cs="宋体"/>
          <w:sz w:val="24"/>
        </w:rPr>
        <w:t>（1）具备工程监理综合资质或房屋建筑工程乙级</w:t>
      </w:r>
      <w:r>
        <w:rPr>
          <w:rFonts w:hint="eastAsia" w:ascii="宋体" w:hAnsi="宋体"/>
          <w:sz w:val="24"/>
        </w:rPr>
        <w:t>及以上</w:t>
      </w:r>
      <w:r>
        <w:rPr>
          <w:rFonts w:hint="eastAsia" w:ascii="宋体" w:hAnsi="宋体" w:cs="宋体"/>
          <w:sz w:val="24"/>
        </w:rPr>
        <w:t>资质和</w:t>
      </w:r>
      <w:r>
        <w:rPr>
          <w:rFonts w:hint="eastAsia" w:ascii="宋体" w:hAnsi="宋体"/>
          <w:sz w:val="24"/>
        </w:rPr>
        <w:t>通信工程监理乙级及以上资质</w:t>
      </w:r>
      <w:r>
        <w:rPr>
          <w:rFonts w:hint="eastAsia" w:ascii="宋体" w:hAnsi="宋体" w:cs="宋体"/>
          <w:sz w:val="24"/>
        </w:rPr>
        <w:t>；</w:t>
      </w:r>
    </w:p>
    <w:p w14:paraId="5ACFB5A1">
      <w:pPr>
        <w:pStyle w:val="16"/>
        <w:spacing w:before="0" w:beforeAutospacing="0" w:after="0" w:afterAutospacing="0"/>
        <w:jc w:val="both"/>
        <w:outlineLvl w:val="0"/>
        <w:rPr>
          <w:rFonts w:hint="eastAsia"/>
        </w:rPr>
      </w:pPr>
      <w:r>
        <w:rPr>
          <w:rFonts w:hint="eastAsia"/>
        </w:rPr>
        <w:t>（2）总监理工程师具有房屋建筑工程注册监理师证书或信息系统监理师证书或通信工程注册监理工程师证书；</w:t>
      </w:r>
    </w:p>
    <w:p w14:paraId="6D77C25E">
      <w:pPr>
        <w:pStyle w:val="16"/>
        <w:spacing w:before="0" w:beforeAutospacing="0" w:after="0" w:afterAutospacing="0"/>
        <w:jc w:val="both"/>
        <w:outlineLvl w:val="0"/>
        <w:rPr>
          <w:rFonts w:hint="eastAsia"/>
        </w:rPr>
      </w:pPr>
      <w:r>
        <w:rPr>
          <w:rFonts w:hint="eastAsia"/>
          <w:kern w:val="2"/>
        </w:rPr>
        <w:t>（3）</w:t>
      </w:r>
      <w:r>
        <w:rPr>
          <w:rFonts w:hint="eastAsia"/>
        </w:rPr>
        <w:t>凡拟参加本次招标项目的供应商须具有良好的信誉，未被“信用中国”（www.creditchina.gov.cn）、中国政府采购网（www.ccgp.gov.cn）列入失信被执行人、重大税收违法失信主体名单、政府采购严重违法失信行为记录名单。</w:t>
      </w:r>
    </w:p>
    <w:p w14:paraId="26688B08">
      <w:pPr>
        <w:pStyle w:val="16"/>
        <w:spacing w:before="0" w:beforeAutospacing="0" w:after="0" w:afterAutospacing="0"/>
        <w:jc w:val="both"/>
        <w:outlineLvl w:val="0"/>
        <w:rPr>
          <w:rStyle w:val="35"/>
          <w:rFonts w:hint="eastAsia"/>
        </w:rPr>
      </w:pPr>
      <w:r>
        <w:rPr>
          <w:rFonts w:hint="eastAsia"/>
          <w:kern w:val="2"/>
        </w:rPr>
        <w:t>（4）其他说明：（A）与采购人存在利害关系可能影响采购公正性的法人、其他组织或者个人，不得参加本次采购活动。（B）单位负责人为同一人或者存在直接控股、管理关系的不同供应商，不得参加同一合同项下的政府采购活动。</w:t>
      </w:r>
    </w:p>
    <w:p w14:paraId="13AA878D">
      <w:pPr>
        <w:pStyle w:val="16"/>
        <w:spacing w:before="255" w:beforeAutospacing="0" w:after="255" w:afterAutospacing="0"/>
        <w:jc w:val="both"/>
        <w:outlineLvl w:val="0"/>
        <w:rPr>
          <w:rFonts w:hint="eastAsia"/>
        </w:rPr>
      </w:pPr>
      <w:r>
        <w:rPr>
          <w:rStyle w:val="35"/>
          <w:rFonts w:hint="eastAsia"/>
        </w:rPr>
        <w:t>三、获取</w:t>
      </w:r>
      <w:bookmarkEnd w:id="4"/>
      <w:bookmarkEnd w:id="5"/>
      <w:r>
        <w:rPr>
          <w:rStyle w:val="35"/>
          <w:rFonts w:hint="eastAsia"/>
        </w:rPr>
        <w:t>采购文件</w:t>
      </w:r>
    </w:p>
    <w:p w14:paraId="101EF74E">
      <w:pPr>
        <w:pStyle w:val="16"/>
        <w:spacing w:before="0" w:beforeAutospacing="0" w:after="0" w:afterAutospacing="0" w:line="360" w:lineRule="auto"/>
        <w:ind w:firstLine="480" w:firstLineChars="200"/>
        <w:rPr>
          <w:rFonts w:hint="eastAsia"/>
        </w:rPr>
      </w:pPr>
      <w:bookmarkStart w:id="6" w:name="_Toc14271"/>
      <w:bookmarkStart w:id="7" w:name="_Toc24127"/>
      <w:r>
        <w:rPr>
          <w:rFonts w:hint="eastAsia"/>
        </w:rPr>
        <w:t>时间：</w:t>
      </w:r>
      <w:r>
        <w:rPr>
          <w:rFonts w:hint="eastAsia"/>
          <w:u w:val="single"/>
        </w:rPr>
        <w:t>2025年07月10日</w:t>
      </w:r>
      <w:r>
        <w:rPr>
          <w:rFonts w:hint="eastAsia"/>
        </w:rPr>
        <w:t>至</w:t>
      </w:r>
      <w:r>
        <w:rPr>
          <w:rFonts w:hint="eastAsia"/>
          <w:u w:val="single"/>
        </w:rPr>
        <w:t>2025年07月17日</w:t>
      </w:r>
      <w:r>
        <w:rPr>
          <w:rFonts w:hint="eastAsia"/>
        </w:rPr>
        <w:t>，每天上午</w:t>
      </w:r>
      <w:r>
        <w:rPr>
          <w:rFonts w:hint="eastAsia"/>
          <w:u w:val="single"/>
        </w:rPr>
        <w:t>00:00</w:t>
      </w:r>
      <w:r>
        <w:rPr>
          <w:rFonts w:hint="eastAsia"/>
        </w:rPr>
        <w:t>至</w:t>
      </w:r>
      <w:r>
        <w:rPr>
          <w:rFonts w:hint="eastAsia"/>
          <w:u w:val="single"/>
        </w:rPr>
        <w:t>12:00</w:t>
      </w:r>
      <w:r>
        <w:rPr>
          <w:rFonts w:hint="eastAsia"/>
        </w:rPr>
        <w:t>，下午</w:t>
      </w:r>
      <w:r>
        <w:rPr>
          <w:rFonts w:hint="eastAsia"/>
          <w:u w:val="single"/>
        </w:rPr>
        <w:t>12:00</w:t>
      </w:r>
      <w:r>
        <w:rPr>
          <w:rFonts w:hint="eastAsia"/>
        </w:rPr>
        <w:t>至</w:t>
      </w:r>
      <w:r>
        <w:rPr>
          <w:rFonts w:hint="eastAsia"/>
          <w:u w:val="single"/>
        </w:rPr>
        <w:t>23:59</w:t>
      </w:r>
      <w:r>
        <w:rPr>
          <w:rFonts w:hint="eastAsia"/>
        </w:rPr>
        <w:t>（北京时间）</w:t>
      </w:r>
    </w:p>
    <w:p w14:paraId="0F021EF7">
      <w:pPr>
        <w:pStyle w:val="16"/>
        <w:spacing w:before="0" w:beforeAutospacing="0" w:after="0" w:afterAutospacing="0" w:line="360" w:lineRule="auto"/>
        <w:ind w:firstLine="480" w:firstLineChars="200"/>
        <w:rPr>
          <w:rFonts w:hint="eastAsia"/>
        </w:rPr>
      </w:pPr>
      <w:r>
        <w:rPr>
          <w:rFonts w:hint="eastAsia"/>
        </w:rPr>
        <w:t>地点：新疆政府采购云平台https://www.zcygov.cn/线上。</w:t>
      </w:r>
    </w:p>
    <w:p w14:paraId="5F6AA2F9">
      <w:pPr>
        <w:pStyle w:val="16"/>
        <w:spacing w:before="0" w:beforeAutospacing="0" w:after="0" w:afterAutospacing="0" w:line="360" w:lineRule="auto"/>
        <w:ind w:firstLine="480" w:firstLineChars="200"/>
        <w:rPr>
          <w:rFonts w:hint="eastAsia"/>
        </w:rPr>
      </w:pPr>
      <w:r>
        <w:rPr>
          <w:rFonts w:hint="eastAsia"/>
        </w:rPr>
        <w:t>方式：登录</w:t>
      </w:r>
      <w:r>
        <w:rPr>
          <w:rFonts w:hint="eastAsia"/>
          <w:color w:val="000000"/>
        </w:rPr>
        <w:t>新疆政府采购云平台</w:t>
      </w:r>
      <w:r>
        <w:rPr>
          <w:rFonts w:hint="eastAsia"/>
        </w:rPr>
        <w:t>（https://www.zcygov.cn/）后进入“项目采购”应用，在获取采购文件菜单中选择项目，申请获取采购文件</w:t>
      </w:r>
      <w:r>
        <w:rPr>
          <w:rFonts w:hint="eastAsia"/>
          <w:color w:val="000000"/>
        </w:rPr>
        <w:t>，过期不予受理</w:t>
      </w:r>
      <w:r>
        <w:rPr>
          <w:rFonts w:hint="eastAsia"/>
        </w:rPr>
        <w:t>。未按上述要求获取采购文件的，其响应文件不予接收。平台操作过程中如需帮助，可联系政采云平台客服热线400-881-7190获取技术支持。</w:t>
      </w:r>
    </w:p>
    <w:p w14:paraId="18FB21F8">
      <w:pPr>
        <w:pStyle w:val="16"/>
        <w:spacing w:before="75" w:after="75"/>
        <w:ind w:firstLine="480" w:firstLineChars="200"/>
        <w:rPr>
          <w:rFonts w:hint="eastAsia"/>
        </w:rPr>
      </w:pPr>
      <w:r>
        <w:rPr>
          <w:rFonts w:hint="eastAsia"/>
        </w:rPr>
        <w:t>售价（元）：0元</w:t>
      </w:r>
    </w:p>
    <w:p w14:paraId="7552F611">
      <w:pPr>
        <w:pStyle w:val="16"/>
        <w:spacing w:before="255" w:after="255"/>
        <w:jc w:val="both"/>
        <w:outlineLvl w:val="0"/>
        <w:rPr>
          <w:rFonts w:hint="eastAsia"/>
        </w:rPr>
      </w:pPr>
      <w:bookmarkStart w:id="8" w:name="_Toc21979"/>
      <w:bookmarkStart w:id="9" w:name="_Toc30982"/>
      <w:r>
        <w:rPr>
          <w:rStyle w:val="35"/>
          <w:rFonts w:hint="eastAsia"/>
        </w:rPr>
        <w:t>四、提交响应文件截止时间、开标时间和地点</w:t>
      </w:r>
      <w:bookmarkEnd w:id="8"/>
      <w:bookmarkEnd w:id="9"/>
    </w:p>
    <w:p w14:paraId="0AB6D540">
      <w:pPr>
        <w:pStyle w:val="16"/>
        <w:spacing w:before="255" w:after="255"/>
        <w:ind w:firstLine="480" w:firstLineChars="200"/>
        <w:jc w:val="both"/>
        <w:outlineLvl w:val="0"/>
        <w:rPr>
          <w:rStyle w:val="35"/>
          <w:rFonts w:hint="eastAsia"/>
          <w:b w:val="0"/>
        </w:rPr>
      </w:pPr>
      <w:r>
        <w:rPr>
          <w:rStyle w:val="35"/>
          <w:rFonts w:hint="eastAsia"/>
          <w:b w:val="0"/>
        </w:rPr>
        <w:t>提交投标文件截止时间：</w:t>
      </w:r>
      <w:r>
        <w:rPr>
          <w:rFonts w:hint="eastAsia"/>
          <w:color w:val="000000"/>
          <w:u w:val="single"/>
        </w:rPr>
        <w:t>2025年07月31日11:00</w:t>
      </w:r>
      <w:r>
        <w:rPr>
          <w:rStyle w:val="35"/>
          <w:rFonts w:hint="eastAsia"/>
          <w:b w:val="0"/>
        </w:rPr>
        <w:t>（北京时间）</w:t>
      </w:r>
    </w:p>
    <w:p w14:paraId="231FC175">
      <w:pPr>
        <w:pStyle w:val="16"/>
        <w:spacing w:before="255" w:after="255"/>
        <w:ind w:firstLine="480" w:firstLineChars="200"/>
        <w:jc w:val="both"/>
        <w:outlineLvl w:val="0"/>
        <w:rPr>
          <w:rStyle w:val="35"/>
          <w:rFonts w:hint="eastAsia"/>
          <w:b w:val="0"/>
        </w:rPr>
      </w:pPr>
      <w:r>
        <w:rPr>
          <w:rStyle w:val="35"/>
          <w:rFonts w:hint="eastAsia"/>
          <w:b w:val="0"/>
        </w:rPr>
        <w:t>投标地点：新疆政府采购云平台https://www.zcygov.cn/线上</w:t>
      </w:r>
    </w:p>
    <w:p w14:paraId="144D6ABE">
      <w:pPr>
        <w:pStyle w:val="16"/>
        <w:spacing w:before="255" w:after="255"/>
        <w:ind w:firstLine="480" w:firstLineChars="200"/>
        <w:jc w:val="both"/>
        <w:outlineLvl w:val="0"/>
        <w:rPr>
          <w:rStyle w:val="35"/>
          <w:rFonts w:hint="eastAsia"/>
          <w:b w:val="0"/>
        </w:rPr>
      </w:pPr>
      <w:r>
        <w:rPr>
          <w:rStyle w:val="35"/>
          <w:rFonts w:hint="eastAsia"/>
          <w:b w:val="0"/>
        </w:rPr>
        <w:t>开标时间：</w:t>
      </w:r>
      <w:r>
        <w:rPr>
          <w:rStyle w:val="35"/>
          <w:rFonts w:hint="eastAsia"/>
          <w:b w:val="0"/>
          <w:u w:val="single"/>
        </w:rPr>
        <w:t xml:space="preserve"> </w:t>
      </w:r>
      <w:r>
        <w:rPr>
          <w:rFonts w:hint="eastAsia"/>
          <w:color w:val="000000"/>
          <w:u w:val="single"/>
        </w:rPr>
        <w:t>2025年07月31日11:00</w:t>
      </w:r>
      <w:r>
        <w:rPr>
          <w:rStyle w:val="35"/>
          <w:rFonts w:hint="eastAsia"/>
          <w:b w:val="0"/>
        </w:rPr>
        <w:t>（北京时间）</w:t>
      </w:r>
    </w:p>
    <w:p w14:paraId="7904A834">
      <w:pPr>
        <w:pStyle w:val="16"/>
        <w:spacing w:before="255" w:after="255"/>
        <w:ind w:firstLine="480" w:firstLineChars="200"/>
        <w:jc w:val="both"/>
        <w:outlineLvl w:val="0"/>
        <w:rPr>
          <w:rStyle w:val="35"/>
          <w:rFonts w:hint="eastAsia"/>
          <w:b w:val="0"/>
        </w:rPr>
      </w:pPr>
      <w:r>
        <w:rPr>
          <w:rStyle w:val="35"/>
          <w:rFonts w:hint="eastAsia"/>
          <w:b w:val="0"/>
        </w:rPr>
        <w:t>开标地点：新疆政府采购云平台https://www.zcygov.cn/线上</w:t>
      </w:r>
    </w:p>
    <w:p w14:paraId="42B5C109">
      <w:pPr>
        <w:pStyle w:val="16"/>
        <w:spacing w:before="255" w:beforeAutospacing="0" w:after="255" w:afterAutospacing="0"/>
        <w:jc w:val="both"/>
        <w:outlineLvl w:val="0"/>
        <w:rPr>
          <w:rFonts w:hint="eastAsia"/>
        </w:rPr>
      </w:pPr>
      <w:r>
        <w:rPr>
          <w:rStyle w:val="35"/>
          <w:rFonts w:hint="eastAsia"/>
        </w:rPr>
        <w:t>五、公告期限</w:t>
      </w:r>
      <w:bookmarkEnd w:id="6"/>
      <w:bookmarkEnd w:id="7"/>
    </w:p>
    <w:p w14:paraId="51BB50B5">
      <w:pPr>
        <w:pStyle w:val="16"/>
        <w:spacing w:before="75" w:beforeAutospacing="0" w:after="75" w:afterAutospacing="0"/>
        <w:ind w:firstLine="480" w:firstLineChars="200"/>
        <w:rPr>
          <w:rFonts w:hint="eastAsia"/>
        </w:rPr>
      </w:pPr>
      <w:r>
        <w:rPr>
          <w:rFonts w:hint="eastAsia"/>
        </w:rPr>
        <w:t>自本公告发布之日起5个工作日。　　　　　　　</w:t>
      </w:r>
    </w:p>
    <w:p w14:paraId="1A1412D0">
      <w:pPr>
        <w:pStyle w:val="16"/>
        <w:spacing w:before="75" w:beforeAutospacing="0" w:after="75" w:afterAutospacing="0"/>
        <w:rPr>
          <w:rFonts w:hint="eastAsia"/>
          <w:b/>
          <w:bCs/>
        </w:rPr>
      </w:pPr>
      <w:r>
        <w:rPr>
          <w:rFonts w:hint="eastAsia"/>
          <w:b/>
          <w:bCs/>
        </w:rPr>
        <w:t>六、其它补充事宜</w:t>
      </w:r>
    </w:p>
    <w:p w14:paraId="0F226DFD">
      <w:pPr>
        <w:pStyle w:val="16"/>
        <w:spacing w:before="75" w:beforeAutospacing="0" w:after="75" w:afterAutospacing="0"/>
        <w:rPr>
          <w:rFonts w:hint="eastAsia"/>
        </w:rPr>
      </w:pPr>
      <w:r>
        <w:rPr>
          <w:rFonts w:hint="eastAsia"/>
        </w:rPr>
        <w:t>1、本公告在新疆政府采购网发布。</w:t>
      </w:r>
      <w:r>
        <w:rPr>
          <w:rFonts w:hint="eastAsia"/>
        </w:rPr>
        <w:br w:type="textWrapping"/>
      </w:r>
      <w:r>
        <w:rPr>
          <w:rFonts w:hint="eastAsia"/>
        </w:rPr>
        <w:t>2、请各供应商随时关注本项目的变更、答疑、澄清文件。</w:t>
      </w:r>
      <w:r>
        <w:rPr>
          <w:rFonts w:hint="eastAsia"/>
        </w:rPr>
        <w:br w:type="textWrapping"/>
      </w:r>
      <w:r>
        <w:rPr>
          <w:rFonts w:hint="eastAsia"/>
        </w:rPr>
        <w:t>3、本项目实行电子招投标，供应商须登录政采云平台申请获取采购文件，并通过政采云电子投标客户端制作响应文件，同时自行承担与投标有关的一切费用。　</w:t>
      </w:r>
      <w:r>
        <w:rPr>
          <w:rFonts w:hint="eastAsia"/>
        </w:rPr>
        <w:br w:type="textWrapping"/>
      </w:r>
      <w:r>
        <w:rPr>
          <w:rFonts w:hint="eastAsia"/>
        </w:rPr>
        <w:t>4、各供应商应在开标前确保成为新疆维吾尔自治区政府采购网正式注册入库供应商，并完成CA数字证书申领。因未注册入库、未办理CA数字证书等原因造成无法投标或投标失败等后果由供应商自行承担。　</w:t>
      </w:r>
      <w:r>
        <w:rPr>
          <w:rFonts w:hint="eastAsia"/>
        </w:rPr>
        <w:br w:type="textWrapping"/>
      </w:r>
      <w:r>
        <w:rPr>
          <w:rFonts w:hint="eastAsia"/>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r>
        <w:rPr>
          <w:rFonts w:hint="eastAsia"/>
        </w:rPr>
        <w:br w:type="textWrapping"/>
      </w:r>
      <w:r>
        <w:rPr>
          <w:rFonts w:hint="eastAsia"/>
        </w:rPr>
        <w:t>6、本项目采用不见面开标，供应商须在投标截止时间前通过CA在政采云平台上传加密的电子响应文件。</w:t>
      </w:r>
      <w:r>
        <w:rPr>
          <w:rFonts w:hint="eastAsia"/>
        </w:rPr>
        <w:br w:type="textWrapping"/>
      </w:r>
      <w:r>
        <w:rPr>
          <w:rFonts w:hint="eastAsia"/>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36E22DC5">
      <w:pPr>
        <w:pStyle w:val="16"/>
        <w:spacing w:before="75" w:beforeAutospacing="0" w:after="75" w:afterAutospacing="0"/>
        <w:rPr>
          <w:rFonts w:hint="eastAsia"/>
        </w:rPr>
      </w:pPr>
      <w:r>
        <w:rPr>
          <w:rFonts w:hint="eastAsia"/>
        </w:rPr>
        <w:t>8、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E02B483">
      <w:pPr>
        <w:pStyle w:val="16"/>
        <w:spacing w:before="255" w:beforeAutospacing="0" w:after="255" w:afterAutospacing="0"/>
        <w:jc w:val="both"/>
        <w:outlineLvl w:val="0"/>
        <w:rPr>
          <w:rFonts w:hint="eastAsia"/>
        </w:rPr>
      </w:pPr>
      <w:r>
        <w:rPr>
          <w:rStyle w:val="35"/>
          <w:rFonts w:hint="eastAsia"/>
        </w:rPr>
        <w:t>七、对本次招标提出询问，请按以下方式联系。</w:t>
      </w:r>
      <w:r>
        <w:rPr>
          <w:rFonts w:hint="eastAsia"/>
        </w:rPr>
        <w:t>　　　　　　　　　　　　</w:t>
      </w:r>
    </w:p>
    <w:p w14:paraId="68D3C62D">
      <w:pPr>
        <w:pStyle w:val="16"/>
        <w:spacing w:before="75" w:beforeAutospacing="0" w:after="75" w:afterAutospacing="0"/>
        <w:ind w:firstLine="480" w:firstLineChars="200"/>
        <w:rPr>
          <w:rFonts w:hint="eastAsia"/>
        </w:rPr>
      </w:pPr>
      <w:r>
        <w:rPr>
          <w:rFonts w:hint="eastAsia"/>
        </w:rPr>
        <w:t>1.采购人信息</w:t>
      </w:r>
    </w:p>
    <w:p w14:paraId="1F669C38">
      <w:pPr>
        <w:pStyle w:val="16"/>
        <w:spacing w:before="75" w:beforeAutospacing="0" w:after="75" w:afterAutospacing="0"/>
        <w:ind w:firstLine="480" w:firstLineChars="200"/>
        <w:rPr>
          <w:rFonts w:hint="eastAsia"/>
        </w:rPr>
      </w:pPr>
      <w:r>
        <w:rPr>
          <w:rFonts w:hint="eastAsia"/>
        </w:rPr>
        <w:t>名    称：新疆维吾尔自治区气象局 　　　　　　　　　　　</w:t>
      </w:r>
    </w:p>
    <w:p w14:paraId="3E83CB17">
      <w:pPr>
        <w:pStyle w:val="16"/>
        <w:spacing w:before="75" w:beforeAutospacing="0" w:after="75" w:afterAutospacing="0"/>
        <w:ind w:firstLine="480" w:firstLineChars="200"/>
        <w:rPr>
          <w:rFonts w:hint="eastAsia"/>
        </w:rPr>
      </w:pPr>
      <w:r>
        <w:rPr>
          <w:rFonts w:hint="eastAsia"/>
        </w:rPr>
        <w:t>联 系 人：顾匆匆</w:t>
      </w:r>
    </w:p>
    <w:p w14:paraId="6112F46A">
      <w:pPr>
        <w:pStyle w:val="16"/>
        <w:spacing w:before="75" w:beforeAutospacing="0" w:after="75" w:afterAutospacing="0"/>
        <w:ind w:firstLine="480" w:firstLineChars="200"/>
        <w:rPr>
          <w:rFonts w:hint="eastAsia"/>
        </w:rPr>
      </w:pPr>
      <w:r>
        <w:rPr>
          <w:rFonts w:hint="eastAsia"/>
        </w:rPr>
        <w:t>联系电话：15276659080</w:t>
      </w:r>
    </w:p>
    <w:p w14:paraId="2F377627">
      <w:pPr>
        <w:pStyle w:val="16"/>
        <w:spacing w:before="75" w:beforeAutospacing="0" w:after="75" w:afterAutospacing="0"/>
        <w:ind w:firstLine="480" w:firstLineChars="200"/>
        <w:rPr>
          <w:rFonts w:hint="eastAsia"/>
        </w:rPr>
      </w:pPr>
      <w:r>
        <w:rPr>
          <w:rFonts w:hint="eastAsia"/>
        </w:rPr>
        <w:t>联系地址：新疆乌鲁木齐市天山区建国路327号　　　　　　</w:t>
      </w:r>
    </w:p>
    <w:p w14:paraId="7DBC825E">
      <w:pPr>
        <w:pStyle w:val="16"/>
        <w:spacing w:before="75" w:beforeAutospacing="0" w:after="75" w:afterAutospacing="0"/>
        <w:ind w:firstLine="480" w:firstLineChars="200"/>
        <w:rPr>
          <w:rFonts w:hint="eastAsia"/>
        </w:rPr>
      </w:pPr>
      <w:r>
        <w:rPr>
          <w:rFonts w:hint="eastAsia"/>
        </w:rPr>
        <w:t>2.采购代理机构信息</w:t>
      </w:r>
    </w:p>
    <w:p w14:paraId="43E245F0">
      <w:pPr>
        <w:pStyle w:val="16"/>
        <w:spacing w:before="75" w:beforeAutospacing="0" w:after="75" w:afterAutospacing="0"/>
        <w:ind w:firstLine="480" w:firstLineChars="200"/>
        <w:rPr>
          <w:rFonts w:hint="eastAsia"/>
        </w:rPr>
      </w:pPr>
      <w:r>
        <w:rPr>
          <w:rFonts w:hint="eastAsia"/>
        </w:rPr>
        <w:t>名    称：新疆楷源工程项目管理有限责任公司　　　　　　　　　　　</w:t>
      </w:r>
    </w:p>
    <w:p w14:paraId="5AA1D058">
      <w:pPr>
        <w:pStyle w:val="16"/>
        <w:spacing w:before="75" w:beforeAutospacing="0" w:after="75" w:afterAutospacing="0"/>
        <w:ind w:firstLine="480" w:firstLineChars="200"/>
        <w:rPr>
          <w:rFonts w:hint="eastAsia"/>
        </w:rPr>
      </w:pPr>
      <w:r>
        <w:rPr>
          <w:rFonts w:hint="eastAsia"/>
        </w:rPr>
        <w:t>联 系 人：袁莉、焦伟丽、孔圆甜</w:t>
      </w:r>
    </w:p>
    <w:p w14:paraId="0CC296BD">
      <w:pPr>
        <w:pStyle w:val="16"/>
        <w:spacing w:before="75" w:beforeAutospacing="0" w:after="75" w:afterAutospacing="0"/>
        <w:ind w:firstLine="480" w:firstLineChars="200"/>
        <w:rPr>
          <w:rFonts w:hint="eastAsia"/>
        </w:rPr>
      </w:pPr>
      <w:r>
        <w:rPr>
          <w:rFonts w:hint="eastAsia"/>
        </w:rPr>
        <w:t>联系电话：15899102332</w:t>
      </w:r>
    </w:p>
    <w:p w14:paraId="201D912D">
      <w:pPr>
        <w:pStyle w:val="16"/>
        <w:spacing w:before="75" w:beforeAutospacing="0" w:after="75" w:afterAutospacing="0"/>
        <w:ind w:left="479" w:leftChars="228"/>
        <w:rPr>
          <w:rFonts w:hint="eastAsia"/>
        </w:rPr>
      </w:pPr>
      <w:r>
        <w:rPr>
          <w:rFonts w:hint="eastAsia"/>
        </w:rPr>
        <w:t>联系地址：新疆乌鲁木齐高新技术产业开发区（新市区）长春南路528号天康大厦3楼</w:t>
      </w:r>
    </w:p>
    <w:p w14:paraId="29572DE3">
      <w:pPr>
        <w:snapToGrid w:val="0"/>
        <w:jc w:val="center"/>
        <w:rPr>
          <w:rFonts w:hint="eastAsia" w:ascii="宋体" w:hAnsi="宋体" w:cs="宋体"/>
          <w:sz w:val="24"/>
        </w:rPr>
      </w:pPr>
      <w:r>
        <w:rPr>
          <w:rFonts w:hint="eastAsia" w:ascii="宋体" w:hAnsi="宋体" w:cs="宋体"/>
          <w:b/>
          <w:sz w:val="24"/>
        </w:rPr>
        <w:br w:type="page"/>
      </w:r>
      <w:bookmarkEnd w:id="0"/>
      <w:bookmarkEnd w:id="1"/>
      <w:r>
        <w:rPr>
          <w:rFonts w:hint="eastAsia" w:ascii="宋体" w:hAnsi="宋体" w:cs="宋体"/>
          <w:b/>
          <w:sz w:val="24"/>
        </w:rPr>
        <w:t>第二章 供应商须知</w:t>
      </w:r>
    </w:p>
    <w:p w14:paraId="10881C55">
      <w:pPr>
        <w:snapToGrid w:val="0"/>
        <w:jc w:val="center"/>
        <w:rPr>
          <w:rFonts w:hint="eastAsia" w:ascii="宋体" w:hAnsi="宋体" w:cs="宋体"/>
          <w:sz w:val="24"/>
        </w:rPr>
      </w:pPr>
      <w:r>
        <w:rPr>
          <w:rFonts w:hint="eastAsia" w:ascii="宋体" w:hAnsi="宋体" w:cs="宋体"/>
          <w:b/>
          <w:sz w:val="24"/>
        </w:rPr>
        <w:t>供应商须知前附表</w:t>
      </w:r>
    </w:p>
    <w:tbl>
      <w:tblPr>
        <w:tblStyle w:val="32"/>
        <w:tblpPr w:leftFromText="180" w:rightFromText="180" w:vertAnchor="text" w:horzAnchor="page" w:tblpX="1083" w:tblpY="358"/>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7903"/>
      </w:tblGrid>
      <w:tr w14:paraId="7C5A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52" w:type="dxa"/>
            <w:vAlign w:val="center"/>
          </w:tcPr>
          <w:p w14:paraId="50B3AB90">
            <w:pPr>
              <w:widowControl w:val="0"/>
              <w:adjustRightInd w:val="0"/>
              <w:jc w:val="center"/>
              <w:textAlignment w:val="baseline"/>
              <w:rPr>
                <w:rFonts w:hint="eastAsia" w:ascii="宋体" w:hAnsi="宋体" w:cs="宋体"/>
                <w:b/>
                <w:bCs/>
                <w:sz w:val="24"/>
              </w:rPr>
            </w:pPr>
            <w:r>
              <w:rPr>
                <w:rFonts w:hint="eastAsia" w:ascii="宋体" w:hAnsi="宋体" w:cs="宋体"/>
                <w:b/>
                <w:bCs/>
                <w:sz w:val="24"/>
              </w:rPr>
              <w:t>条款号</w:t>
            </w:r>
          </w:p>
        </w:tc>
        <w:tc>
          <w:tcPr>
            <w:tcW w:w="1701" w:type="dxa"/>
            <w:vAlign w:val="center"/>
          </w:tcPr>
          <w:p w14:paraId="17C9A67B">
            <w:pPr>
              <w:widowControl w:val="0"/>
              <w:adjustRightInd w:val="0"/>
              <w:jc w:val="center"/>
              <w:textAlignment w:val="baseline"/>
              <w:rPr>
                <w:rFonts w:hint="eastAsia" w:ascii="宋体" w:hAnsi="宋体" w:cs="宋体"/>
                <w:b/>
                <w:bCs/>
                <w:sz w:val="24"/>
              </w:rPr>
            </w:pPr>
            <w:r>
              <w:rPr>
                <w:rFonts w:hint="eastAsia" w:ascii="宋体" w:hAnsi="宋体" w:cs="宋体"/>
                <w:b/>
                <w:bCs/>
                <w:sz w:val="24"/>
              </w:rPr>
              <w:t>条款名称</w:t>
            </w:r>
          </w:p>
        </w:tc>
        <w:tc>
          <w:tcPr>
            <w:tcW w:w="7903" w:type="dxa"/>
            <w:vAlign w:val="center"/>
          </w:tcPr>
          <w:p w14:paraId="2E047721">
            <w:pPr>
              <w:widowControl w:val="0"/>
              <w:adjustRightInd w:val="0"/>
              <w:jc w:val="center"/>
              <w:textAlignment w:val="baseline"/>
              <w:rPr>
                <w:rFonts w:hint="eastAsia" w:ascii="宋体" w:hAnsi="宋体" w:cs="宋体"/>
                <w:b/>
                <w:bCs/>
                <w:sz w:val="24"/>
              </w:rPr>
            </w:pPr>
            <w:r>
              <w:rPr>
                <w:rFonts w:hint="eastAsia" w:ascii="宋体" w:hAnsi="宋体" w:cs="宋体"/>
                <w:b/>
                <w:bCs/>
                <w:sz w:val="24"/>
              </w:rPr>
              <w:t>编列内容</w:t>
            </w:r>
          </w:p>
        </w:tc>
      </w:tr>
      <w:tr w14:paraId="0867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2" w:type="dxa"/>
            <w:vMerge w:val="restart"/>
            <w:vAlign w:val="center"/>
          </w:tcPr>
          <w:p w14:paraId="494A59E6">
            <w:pPr>
              <w:widowControl w:val="0"/>
              <w:adjustRightInd w:val="0"/>
              <w:snapToGrid w:val="0"/>
              <w:jc w:val="center"/>
              <w:textAlignment w:val="baseline"/>
              <w:rPr>
                <w:rFonts w:hint="eastAsia" w:ascii="宋体" w:hAnsi="宋体" w:cs="宋体"/>
                <w:sz w:val="24"/>
              </w:rPr>
            </w:pPr>
            <w:r>
              <w:rPr>
                <w:rFonts w:hint="eastAsia" w:ascii="宋体" w:hAnsi="宋体" w:cs="宋体"/>
                <w:sz w:val="24"/>
              </w:rPr>
              <w:t>1</w:t>
            </w:r>
          </w:p>
        </w:tc>
        <w:tc>
          <w:tcPr>
            <w:tcW w:w="1701" w:type="dxa"/>
            <w:vAlign w:val="center"/>
          </w:tcPr>
          <w:p w14:paraId="44679768">
            <w:pPr>
              <w:widowControl w:val="0"/>
              <w:adjustRightInd w:val="0"/>
              <w:jc w:val="both"/>
              <w:textAlignment w:val="baseline"/>
              <w:rPr>
                <w:rFonts w:hint="eastAsia" w:ascii="宋体" w:hAnsi="宋体" w:cs="宋体"/>
                <w:sz w:val="24"/>
              </w:rPr>
            </w:pPr>
            <w:r>
              <w:rPr>
                <w:rFonts w:hint="eastAsia" w:ascii="宋体" w:hAnsi="宋体" w:cs="宋体"/>
                <w:sz w:val="24"/>
              </w:rPr>
              <w:t>项目名称</w:t>
            </w:r>
          </w:p>
        </w:tc>
        <w:tc>
          <w:tcPr>
            <w:tcW w:w="7903" w:type="dxa"/>
            <w:vAlign w:val="center"/>
          </w:tcPr>
          <w:p w14:paraId="55285C3A">
            <w:pPr>
              <w:widowControl w:val="0"/>
              <w:adjustRightInd w:val="0"/>
              <w:jc w:val="both"/>
              <w:textAlignment w:val="baseline"/>
              <w:rPr>
                <w:rFonts w:hint="eastAsia" w:ascii="宋体" w:hAnsi="宋体" w:cs="宋体"/>
                <w:sz w:val="24"/>
              </w:rPr>
            </w:pPr>
            <w:r>
              <w:rPr>
                <w:rFonts w:hint="eastAsia" w:ascii="宋体" w:hAnsi="宋体" w:cs="宋体"/>
                <w:sz w:val="24"/>
              </w:rPr>
              <w:t>新疆维吾尔自治区人工影响天气水资源保障工程监理服务</w:t>
            </w:r>
          </w:p>
        </w:tc>
      </w:tr>
      <w:tr w14:paraId="576A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2" w:type="dxa"/>
            <w:vMerge w:val="continue"/>
            <w:vAlign w:val="center"/>
          </w:tcPr>
          <w:p w14:paraId="73D2BB04">
            <w:pPr>
              <w:widowControl w:val="0"/>
              <w:adjustRightInd w:val="0"/>
              <w:jc w:val="center"/>
              <w:textAlignment w:val="baseline"/>
              <w:rPr>
                <w:rFonts w:hint="eastAsia" w:ascii="宋体" w:hAnsi="宋体" w:cs="宋体"/>
                <w:b/>
                <w:bCs/>
                <w:sz w:val="24"/>
              </w:rPr>
            </w:pPr>
          </w:p>
        </w:tc>
        <w:tc>
          <w:tcPr>
            <w:tcW w:w="1701" w:type="dxa"/>
            <w:vAlign w:val="center"/>
          </w:tcPr>
          <w:p w14:paraId="765D885A">
            <w:pPr>
              <w:widowControl w:val="0"/>
              <w:adjustRightInd w:val="0"/>
              <w:jc w:val="both"/>
              <w:textAlignment w:val="baseline"/>
              <w:rPr>
                <w:rFonts w:hint="eastAsia" w:ascii="宋体" w:hAnsi="宋体" w:cs="宋体"/>
                <w:sz w:val="24"/>
              </w:rPr>
            </w:pPr>
            <w:r>
              <w:rPr>
                <w:rFonts w:hint="eastAsia" w:ascii="宋体" w:hAnsi="宋体" w:cs="宋体"/>
                <w:sz w:val="24"/>
              </w:rPr>
              <w:t>采购人</w:t>
            </w:r>
          </w:p>
        </w:tc>
        <w:tc>
          <w:tcPr>
            <w:tcW w:w="7903" w:type="dxa"/>
            <w:vAlign w:val="center"/>
          </w:tcPr>
          <w:p w14:paraId="7D44E74B">
            <w:pPr>
              <w:widowControl w:val="0"/>
              <w:adjustRightInd w:val="0"/>
              <w:jc w:val="both"/>
              <w:textAlignment w:val="baseline"/>
              <w:rPr>
                <w:rFonts w:hint="eastAsia" w:ascii="宋体" w:hAnsi="宋体" w:cs="宋体"/>
                <w:sz w:val="24"/>
              </w:rPr>
            </w:pPr>
            <w:r>
              <w:rPr>
                <w:rFonts w:hint="eastAsia" w:ascii="宋体" w:hAnsi="宋体" w:cs="宋体"/>
                <w:sz w:val="24"/>
              </w:rPr>
              <w:t>新疆维吾尔自治区气象局</w:t>
            </w:r>
          </w:p>
        </w:tc>
      </w:tr>
      <w:tr w14:paraId="7F46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 w:type="dxa"/>
            <w:vMerge w:val="continue"/>
            <w:vAlign w:val="center"/>
          </w:tcPr>
          <w:p w14:paraId="1C542FE9">
            <w:pPr>
              <w:widowControl w:val="0"/>
              <w:adjustRightInd w:val="0"/>
              <w:snapToGrid w:val="0"/>
              <w:jc w:val="center"/>
              <w:textAlignment w:val="baseline"/>
              <w:rPr>
                <w:rFonts w:hint="eastAsia" w:ascii="宋体" w:hAnsi="宋体" w:cs="宋体"/>
                <w:sz w:val="24"/>
              </w:rPr>
            </w:pPr>
          </w:p>
        </w:tc>
        <w:tc>
          <w:tcPr>
            <w:tcW w:w="1701" w:type="dxa"/>
            <w:vAlign w:val="center"/>
          </w:tcPr>
          <w:p w14:paraId="64BEB457">
            <w:pPr>
              <w:widowControl w:val="0"/>
              <w:adjustRightInd w:val="0"/>
              <w:jc w:val="both"/>
              <w:textAlignment w:val="baseline"/>
              <w:rPr>
                <w:rFonts w:hint="eastAsia" w:ascii="宋体" w:hAnsi="宋体" w:cs="宋体"/>
                <w:sz w:val="24"/>
              </w:rPr>
            </w:pPr>
            <w:r>
              <w:rPr>
                <w:rFonts w:hint="eastAsia" w:ascii="宋体" w:hAnsi="宋体" w:cs="宋体"/>
                <w:sz w:val="24"/>
              </w:rPr>
              <w:t>采购代理人</w:t>
            </w:r>
          </w:p>
        </w:tc>
        <w:tc>
          <w:tcPr>
            <w:tcW w:w="7903" w:type="dxa"/>
            <w:vAlign w:val="center"/>
          </w:tcPr>
          <w:p w14:paraId="03195E60">
            <w:pPr>
              <w:widowControl w:val="0"/>
              <w:adjustRightInd w:val="0"/>
              <w:jc w:val="both"/>
              <w:textAlignment w:val="baseline"/>
              <w:rPr>
                <w:rFonts w:hint="eastAsia" w:ascii="宋体" w:hAnsi="宋体" w:cs="宋体"/>
                <w:sz w:val="24"/>
              </w:rPr>
            </w:pPr>
            <w:r>
              <w:rPr>
                <w:rFonts w:hint="eastAsia" w:ascii="宋体" w:hAnsi="宋体" w:cs="宋体"/>
                <w:sz w:val="24"/>
              </w:rPr>
              <w:t>新疆楷源工程项目管理有限责任公司</w:t>
            </w:r>
          </w:p>
        </w:tc>
      </w:tr>
      <w:tr w14:paraId="1663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852" w:type="dxa"/>
            <w:vMerge w:val="continue"/>
            <w:vAlign w:val="center"/>
          </w:tcPr>
          <w:p w14:paraId="46A561ED">
            <w:pPr>
              <w:widowControl w:val="0"/>
              <w:adjustRightInd w:val="0"/>
              <w:snapToGrid w:val="0"/>
              <w:jc w:val="center"/>
              <w:textAlignment w:val="baseline"/>
              <w:rPr>
                <w:rFonts w:hint="eastAsia" w:ascii="宋体" w:hAnsi="宋体" w:cs="宋体"/>
                <w:sz w:val="24"/>
              </w:rPr>
            </w:pPr>
          </w:p>
        </w:tc>
        <w:tc>
          <w:tcPr>
            <w:tcW w:w="1701" w:type="dxa"/>
            <w:vAlign w:val="center"/>
          </w:tcPr>
          <w:p w14:paraId="51AAA5E0">
            <w:pPr>
              <w:widowControl w:val="0"/>
              <w:adjustRightInd w:val="0"/>
              <w:jc w:val="both"/>
              <w:textAlignment w:val="baseline"/>
              <w:rPr>
                <w:rFonts w:hint="eastAsia" w:ascii="宋体" w:hAnsi="宋体" w:cs="宋体"/>
                <w:sz w:val="24"/>
              </w:rPr>
            </w:pPr>
            <w:r>
              <w:rPr>
                <w:rFonts w:hint="eastAsia" w:ascii="宋体" w:hAnsi="宋体" w:cs="宋体"/>
                <w:sz w:val="24"/>
              </w:rPr>
              <w:t>招标范围</w:t>
            </w:r>
          </w:p>
        </w:tc>
        <w:tc>
          <w:tcPr>
            <w:tcW w:w="7903" w:type="dxa"/>
            <w:vAlign w:val="center"/>
          </w:tcPr>
          <w:p w14:paraId="1AAA67FB">
            <w:pPr>
              <w:widowControl w:val="0"/>
              <w:adjustRightInd w:val="0"/>
              <w:jc w:val="both"/>
              <w:textAlignment w:val="baseline"/>
              <w:rPr>
                <w:rFonts w:hint="eastAsia" w:ascii="宋体" w:hAnsi="宋体" w:cs="宋体"/>
                <w:sz w:val="24"/>
              </w:rPr>
            </w:pPr>
            <w:r>
              <w:rPr>
                <w:rFonts w:hint="eastAsia" w:ascii="宋体" w:hAnsi="宋体" w:cs="宋体"/>
                <w:sz w:val="24"/>
              </w:rPr>
              <w:t>根据项目合同约定和项目建设需求，对项目实施有重点的、全面的、精细化的监督管理。包含但不限于初步设计、招投标及合同签订，详细设计，实施开发、系统调试，试运行及验收和竣工移交等阶段，在监理过程中实行质量控制、进度控制、投资控制、变更控制、安全管理、合同管理、信息管理和组织协调等工作，详见采购文件。</w:t>
            </w:r>
          </w:p>
        </w:tc>
      </w:tr>
      <w:tr w14:paraId="33E4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2" w:type="dxa"/>
            <w:vMerge w:val="continue"/>
            <w:vAlign w:val="center"/>
          </w:tcPr>
          <w:p w14:paraId="0CE37FE5">
            <w:pPr>
              <w:widowControl w:val="0"/>
              <w:adjustRightInd w:val="0"/>
              <w:snapToGrid w:val="0"/>
              <w:jc w:val="center"/>
              <w:textAlignment w:val="baseline"/>
              <w:rPr>
                <w:rFonts w:hint="eastAsia" w:ascii="宋体" w:hAnsi="宋体" w:cs="宋体"/>
                <w:sz w:val="24"/>
              </w:rPr>
            </w:pPr>
          </w:p>
        </w:tc>
        <w:tc>
          <w:tcPr>
            <w:tcW w:w="1701" w:type="dxa"/>
            <w:vAlign w:val="center"/>
          </w:tcPr>
          <w:p w14:paraId="0EAE3083">
            <w:pPr>
              <w:widowControl w:val="0"/>
              <w:adjustRightInd w:val="0"/>
              <w:jc w:val="both"/>
              <w:textAlignment w:val="baseline"/>
              <w:rPr>
                <w:rFonts w:hint="eastAsia" w:ascii="宋体" w:hAnsi="宋体" w:cs="宋体"/>
                <w:sz w:val="24"/>
              </w:rPr>
            </w:pPr>
            <w:r>
              <w:rPr>
                <w:rFonts w:hint="eastAsia" w:ascii="宋体" w:hAnsi="宋体" w:cs="宋体"/>
                <w:sz w:val="24"/>
              </w:rPr>
              <w:t>项目编号</w:t>
            </w:r>
          </w:p>
        </w:tc>
        <w:tc>
          <w:tcPr>
            <w:tcW w:w="7903" w:type="dxa"/>
            <w:vAlign w:val="center"/>
          </w:tcPr>
          <w:p w14:paraId="4B87CD88">
            <w:pPr>
              <w:widowControl w:val="0"/>
              <w:adjustRightInd w:val="0"/>
              <w:jc w:val="both"/>
              <w:textAlignment w:val="baseline"/>
              <w:rPr>
                <w:rFonts w:hint="eastAsia" w:ascii="宋体" w:hAnsi="宋体" w:cs="宋体"/>
                <w:sz w:val="24"/>
              </w:rPr>
            </w:pPr>
            <w:r>
              <w:rPr>
                <w:rFonts w:hint="eastAsia" w:ascii="宋体" w:hAnsi="宋体" w:cs="宋体"/>
                <w:sz w:val="24"/>
              </w:rPr>
              <w:t>KY-CGFW2025018</w:t>
            </w:r>
          </w:p>
        </w:tc>
      </w:tr>
      <w:tr w14:paraId="3677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 w:type="dxa"/>
            <w:vMerge w:val="continue"/>
            <w:vAlign w:val="center"/>
          </w:tcPr>
          <w:p w14:paraId="69AF91DD">
            <w:pPr>
              <w:widowControl w:val="0"/>
              <w:adjustRightInd w:val="0"/>
              <w:snapToGrid w:val="0"/>
              <w:jc w:val="center"/>
              <w:textAlignment w:val="baseline"/>
              <w:rPr>
                <w:rFonts w:hint="eastAsia" w:ascii="宋体" w:hAnsi="宋体" w:cs="宋体"/>
                <w:sz w:val="24"/>
              </w:rPr>
            </w:pPr>
          </w:p>
        </w:tc>
        <w:tc>
          <w:tcPr>
            <w:tcW w:w="1701" w:type="dxa"/>
            <w:vAlign w:val="center"/>
          </w:tcPr>
          <w:p w14:paraId="0F7BC3D9">
            <w:pPr>
              <w:widowControl w:val="0"/>
              <w:adjustRightInd w:val="0"/>
              <w:jc w:val="both"/>
              <w:textAlignment w:val="baseline"/>
              <w:rPr>
                <w:rFonts w:hint="eastAsia" w:ascii="宋体" w:hAnsi="宋体" w:cs="宋体"/>
                <w:sz w:val="24"/>
              </w:rPr>
            </w:pPr>
            <w:r>
              <w:rPr>
                <w:rFonts w:hint="eastAsia" w:ascii="宋体" w:hAnsi="宋体" w:cs="宋体"/>
                <w:sz w:val="24"/>
              </w:rPr>
              <w:t>服务期</w:t>
            </w:r>
          </w:p>
        </w:tc>
        <w:tc>
          <w:tcPr>
            <w:tcW w:w="7903" w:type="dxa"/>
            <w:vAlign w:val="center"/>
          </w:tcPr>
          <w:p w14:paraId="1A151947">
            <w:pPr>
              <w:widowControl w:val="0"/>
              <w:adjustRightInd w:val="0"/>
              <w:jc w:val="both"/>
              <w:textAlignment w:val="baseline"/>
              <w:rPr>
                <w:rFonts w:hint="eastAsia" w:ascii="宋体" w:hAnsi="宋体" w:cs="宋体"/>
                <w:sz w:val="24"/>
              </w:rPr>
            </w:pPr>
            <w:r>
              <w:rPr>
                <w:rFonts w:hint="eastAsia" w:ascii="宋体" w:hAnsi="宋体" w:cs="宋体"/>
                <w:sz w:val="24"/>
              </w:rPr>
              <w:t>自监理合同签订之日起至2026年12月31日，符合国家标准，且通过甲方验收达到合格。</w:t>
            </w:r>
          </w:p>
        </w:tc>
      </w:tr>
      <w:tr w14:paraId="0DEB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52" w:type="dxa"/>
            <w:vMerge w:val="continue"/>
            <w:vAlign w:val="center"/>
          </w:tcPr>
          <w:p w14:paraId="1E30E85D">
            <w:pPr>
              <w:widowControl w:val="0"/>
              <w:adjustRightInd w:val="0"/>
              <w:snapToGrid w:val="0"/>
              <w:jc w:val="center"/>
              <w:textAlignment w:val="baseline"/>
              <w:rPr>
                <w:rFonts w:hint="eastAsia" w:ascii="宋体" w:hAnsi="宋体" w:cs="宋体"/>
                <w:sz w:val="24"/>
              </w:rPr>
            </w:pPr>
          </w:p>
        </w:tc>
        <w:tc>
          <w:tcPr>
            <w:tcW w:w="1701" w:type="dxa"/>
            <w:vAlign w:val="center"/>
          </w:tcPr>
          <w:p w14:paraId="554EEB1C">
            <w:pPr>
              <w:widowControl w:val="0"/>
              <w:adjustRightInd w:val="0"/>
              <w:jc w:val="both"/>
              <w:textAlignment w:val="baseline"/>
              <w:rPr>
                <w:rFonts w:hint="eastAsia" w:ascii="宋体" w:hAnsi="宋体" w:cs="宋体"/>
                <w:sz w:val="24"/>
              </w:rPr>
            </w:pPr>
            <w:r>
              <w:rPr>
                <w:rFonts w:hint="eastAsia" w:ascii="宋体" w:hAnsi="宋体" w:cs="宋体"/>
                <w:sz w:val="24"/>
              </w:rPr>
              <w:t>质量标准</w:t>
            </w:r>
          </w:p>
        </w:tc>
        <w:tc>
          <w:tcPr>
            <w:tcW w:w="7903" w:type="dxa"/>
            <w:vAlign w:val="center"/>
          </w:tcPr>
          <w:p w14:paraId="4F9E7B45">
            <w:pPr>
              <w:widowControl w:val="0"/>
              <w:adjustRightInd w:val="0"/>
              <w:jc w:val="both"/>
              <w:textAlignment w:val="baseline"/>
              <w:rPr>
                <w:rFonts w:hint="eastAsia" w:ascii="宋体" w:hAnsi="宋体" w:cs="宋体"/>
                <w:sz w:val="24"/>
              </w:rPr>
            </w:pPr>
            <w:r>
              <w:rPr>
                <w:rFonts w:hint="eastAsia" w:ascii="宋体" w:hAnsi="宋体" w:cs="宋体"/>
                <w:sz w:val="24"/>
              </w:rPr>
              <w:t>符合国家相关部门有关监理的政策、法规等文件规范及招标文件、答疑附件的质量要求</w:t>
            </w:r>
          </w:p>
        </w:tc>
      </w:tr>
      <w:tr w14:paraId="7A63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52" w:type="dxa"/>
            <w:vMerge w:val="continue"/>
            <w:vAlign w:val="center"/>
          </w:tcPr>
          <w:p w14:paraId="2E248B81">
            <w:pPr>
              <w:widowControl w:val="0"/>
              <w:adjustRightInd w:val="0"/>
              <w:snapToGrid w:val="0"/>
              <w:jc w:val="center"/>
              <w:textAlignment w:val="baseline"/>
              <w:rPr>
                <w:rFonts w:hint="eastAsia" w:ascii="宋体" w:hAnsi="宋体" w:cs="宋体"/>
                <w:sz w:val="24"/>
              </w:rPr>
            </w:pPr>
          </w:p>
        </w:tc>
        <w:tc>
          <w:tcPr>
            <w:tcW w:w="1701" w:type="dxa"/>
            <w:vAlign w:val="center"/>
          </w:tcPr>
          <w:p w14:paraId="4B08A6A9">
            <w:pPr>
              <w:widowControl w:val="0"/>
              <w:adjustRightInd w:val="0"/>
              <w:jc w:val="both"/>
              <w:textAlignment w:val="baseline"/>
              <w:rPr>
                <w:rFonts w:hint="eastAsia" w:ascii="宋体" w:hAnsi="宋体" w:cs="宋体"/>
                <w:sz w:val="24"/>
              </w:rPr>
            </w:pPr>
            <w:r>
              <w:rPr>
                <w:rFonts w:hint="eastAsia" w:ascii="宋体" w:hAnsi="宋体" w:cs="宋体"/>
                <w:sz w:val="24"/>
              </w:rPr>
              <w:t>所属行业</w:t>
            </w:r>
          </w:p>
        </w:tc>
        <w:tc>
          <w:tcPr>
            <w:tcW w:w="7903" w:type="dxa"/>
            <w:vAlign w:val="center"/>
          </w:tcPr>
          <w:p w14:paraId="25EE7039">
            <w:pPr>
              <w:pStyle w:val="100"/>
              <w:widowControl w:val="0"/>
              <w:kinsoku w:val="0"/>
              <w:overflowPunct w:val="0"/>
              <w:autoSpaceDE w:val="0"/>
              <w:autoSpaceDN w:val="0"/>
              <w:adjustRightInd w:val="0"/>
              <w:snapToGrid w:val="0"/>
              <w:ind w:right="105" w:rightChars="5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依据工信部联企业〔2011〕300号，工业和信息化部、统计局、发展改革委、财政部关于印发中小企业划型标准规定的通知：本项目标的所属行业：“</w:t>
            </w:r>
            <w:r>
              <w:rPr>
                <w:rFonts w:hint="eastAsia" w:ascii="宋体" w:hAnsi="宋体" w:eastAsia="宋体" w:cs="宋体"/>
                <w:b/>
                <w:bCs/>
                <w:sz w:val="24"/>
                <w:szCs w:val="24"/>
                <w:lang w:eastAsia="zh-CN"/>
              </w:rPr>
              <w:t>其他未列明行业</w:t>
            </w:r>
            <w:r>
              <w:rPr>
                <w:rFonts w:hint="eastAsia" w:ascii="宋体" w:hAnsi="宋体" w:eastAsia="宋体" w:cs="宋体"/>
                <w:sz w:val="24"/>
                <w:szCs w:val="24"/>
                <w:lang w:eastAsia="zh-CN"/>
              </w:rPr>
              <w:t>”。</w:t>
            </w:r>
          </w:p>
          <w:p w14:paraId="4753F17B">
            <w:pPr>
              <w:pStyle w:val="100"/>
              <w:widowControl w:val="0"/>
              <w:kinsoku w:val="0"/>
              <w:overflowPunct w:val="0"/>
              <w:autoSpaceDE w:val="0"/>
              <w:autoSpaceDN w:val="0"/>
              <w:adjustRightInd w:val="0"/>
              <w:snapToGrid w:val="0"/>
              <w:ind w:right="105" w:rightChars="5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从业人员300人以下的为中小微型企业。其中，从业人员100人及以上的为中型企业；从业人员10人及以上的为小型企业；从业人员10人以下的为微型企业。</w:t>
            </w:r>
          </w:p>
        </w:tc>
      </w:tr>
      <w:tr w14:paraId="5569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Merge w:val="continue"/>
            <w:vAlign w:val="center"/>
          </w:tcPr>
          <w:p w14:paraId="61BE75F7">
            <w:pPr>
              <w:widowControl w:val="0"/>
              <w:adjustRightInd w:val="0"/>
              <w:snapToGrid w:val="0"/>
              <w:jc w:val="center"/>
              <w:textAlignment w:val="baseline"/>
              <w:rPr>
                <w:rFonts w:hint="eastAsia" w:ascii="宋体" w:hAnsi="宋体" w:cs="宋体"/>
                <w:sz w:val="24"/>
              </w:rPr>
            </w:pPr>
            <w:r>
              <w:rPr>
                <w:rFonts w:hint="eastAsia" w:ascii="宋体" w:hAnsi="宋体" w:cs="宋体"/>
                <w:sz w:val="24"/>
              </w:rPr>
              <w:t>1.3</w:t>
            </w:r>
          </w:p>
        </w:tc>
        <w:tc>
          <w:tcPr>
            <w:tcW w:w="1701" w:type="dxa"/>
            <w:vAlign w:val="center"/>
          </w:tcPr>
          <w:p w14:paraId="62C06383">
            <w:pPr>
              <w:widowControl w:val="0"/>
              <w:adjustRightInd w:val="0"/>
              <w:snapToGrid w:val="0"/>
              <w:jc w:val="both"/>
              <w:textAlignment w:val="baseline"/>
              <w:rPr>
                <w:rFonts w:hint="eastAsia" w:ascii="宋体" w:hAnsi="宋体" w:cs="宋体"/>
                <w:sz w:val="24"/>
                <w:highlight w:val="yellow"/>
              </w:rPr>
            </w:pPr>
            <w:r>
              <w:rPr>
                <w:rFonts w:hint="eastAsia" w:ascii="宋体" w:hAnsi="宋体" w:cs="宋体"/>
                <w:sz w:val="24"/>
              </w:rPr>
              <w:t>资格要求</w:t>
            </w:r>
          </w:p>
        </w:tc>
        <w:tc>
          <w:tcPr>
            <w:tcW w:w="7903" w:type="dxa"/>
            <w:vAlign w:val="center"/>
          </w:tcPr>
          <w:p w14:paraId="09B6902E">
            <w:pPr>
              <w:pStyle w:val="16"/>
              <w:adjustRightInd w:val="0"/>
              <w:spacing w:before="255" w:beforeAutospacing="0" w:after="0" w:afterAutospacing="0"/>
              <w:jc w:val="both"/>
              <w:textAlignment w:val="baseline"/>
              <w:outlineLvl w:val="0"/>
              <w:rPr>
                <w:rFonts w:hint="eastAsia"/>
              </w:rPr>
            </w:pPr>
            <w:r>
              <w:rPr>
                <w:rFonts w:hint="eastAsia"/>
              </w:rPr>
              <w:t>投标供应商资格要求：</w:t>
            </w:r>
          </w:p>
          <w:p w14:paraId="3BC5E44A">
            <w:pPr>
              <w:pStyle w:val="16"/>
              <w:numPr>
                <w:ilvl w:val="0"/>
                <w:numId w:val="6"/>
              </w:numPr>
              <w:adjustRightInd w:val="0"/>
              <w:spacing w:before="50" w:beforeLines="21" w:beforeAutospacing="0" w:after="0" w:afterAutospacing="0"/>
              <w:textAlignment w:val="baseline"/>
              <w:outlineLvl w:val="0"/>
              <w:rPr>
                <w:rFonts w:hint="eastAsia"/>
                <w:kern w:val="2"/>
              </w:rPr>
            </w:pPr>
            <w:r>
              <w:rPr>
                <w:rFonts w:hint="eastAsia"/>
                <w:kern w:val="2"/>
              </w:rPr>
              <w:t>满足《中华人民共和国政府采购法》第二十二条规定</w:t>
            </w:r>
          </w:p>
          <w:p w14:paraId="31D3D1D6">
            <w:pPr>
              <w:widowControl w:val="0"/>
              <w:adjustRightInd w:val="0"/>
              <w:jc w:val="both"/>
              <w:textAlignment w:val="baseline"/>
              <w:rPr>
                <w:rFonts w:hint="eastAsia" w:ascii="宋体" w:hAnsi="宋体" w:cs="宋体"/>
                <w:sz w:val="24"/>
              </w:rPr>
            </w:pPr>
            <w:r>
              <w:rPr>
                <w:rFonts w:hint="eastAsia" w:ascii="宋体" w:hAnsi="宋体" w:cs="宋体"/>
                <w:sz w:val="24"/>
              </w:rPr>
              <w:t>(1)具有独立承担民事责任的能力;</w:t>
            </w:r>
          </w:p>
          <w:p w14:paraId="2625C840">
            <w:pPr>
              <w:widowControl w:val="0"/>
              <w:adjustRightInd w:val="0"/>
              <w:jc w:val="both"/>
              <w:textAlignment w:val="baseline"/>
              <w:rPr>
                <w:rFonts w:hint="eastAsia" w:ascii="宋体" w:hAnsi="宋体" w:cs="宋体"/>
                <w:sz w:val="24"/>
              </w:rPr>
            </w:pPr>
            <w:r>
              <w:rPr>
                <w:rFonts w:hint="eastAsia" w:ascii="宋体" w:hAnsi="宋体" w:cs="宋体"/>
                <w:sz w:val="24"/>
              </w:rPr>
              <w:t>(2)具有良好的商业信誉和健全的财务会计制度;</w:t>
            </w:r>
          </w:p>
          <w:p w14:paraId="127FF9FF">
            <w:pPr>
              <w:widowControl w:val="0"/>
              <w:adjustRightInd w:val="0"/>
              <w:jc w:val="both"/>
              <w:textAlignment w:val="baseline"/>
              <w:rPr>
                <w:rFonts w:hint="eastAsia" w:ascii="宋体" w:hAnsi="宋体" w:cs="宋体"/>
                <w:sz w:val="24"/>
              </w:rPr>
            </w:pPr>
            <w:r>
              <w:rPr>
                <w:rFonts w:hint="eastAsia" w:ascii="宋体" w:hAnsi="宋体" w:cs="宋体"/>
                <w:sz w:val="24"/>
              </w:rPr>
              <w:t>(3)具有履行合同所必需的设备和专业技术能力;</w:t>
            </w:r>
          </w:p>
          <w:p w14:paraId="52A66EB2">
            <w:pPr>
              <w:widowControl w:val="0"/>
              <w:adjustRightInd w:val="0"/>
              <w:jc w:val="both"/>
              <w:textAlignment w:val="baseline"/>
              <w:rPr>
                <w:rFonts w:hint="eastAsia" w:ascii="宋体" w:hAnsi="宋体" w:cs="宋体"/>
                <w:sz w:val="24"/>
              </w:rPr>
            </w:pPr>
            <w:r>
              <w:rPr>
                <w:rFonts w:hint="eastAsia" w:ascii="宋体" w:hAnsi="宋体" w:cs="宋体"/>
                <w:sz w:val="24"/>
              </w:rPr>
              <w:t>(4)有依法缴纳税收和社会保障资金的良好记录;</w:t>
            </w:r>
          </w:p>
          <w:p w14:paraId="55F1924E">
            <w:pPr>
              <w:widowControl w:val="0"/>
              <w:adjustRightInd w:val="0"/>
              <w:jc w:val="both"/>
              <w:textAlignment w:val="baseline"/>
              <w:rPr>
                <w:rFonts w:hint="eastAsia" w:ascii="宋体" w:hAnsi="宋体" w:cs="宋体"/>
                <w:sz w:val="24"/>
              </w:rPr>
            </w:pPr>
            <w:r>
              <w:rPr>
                <w:rFonts w:hint="eastAsia" w:ascii="宋体" w:hAnsi="宋体" w:cs="宋体"/>
                <w:sz w:val="24"/>
              </w:rPr>
              <w:t>(5)参加政府采购活动前三年内，在经营活动中没有重大违法记录;</w:t>
            </w:r>
          </w:p>
          <w:p w14:paraId="2F86ACE7">
            <w:pPr>
              <w:widowControl w:val="0"/>
              <w:adjustRightInd w:val="0"/>
              <w:jc w:val="both"/>
              <w:textAlignment w:val="baseline"/>
              <w:rPr>
                <w:rFonts w:hint="eastAsia" w:ascii="宋体" w:hAnsi="宋体" w:cs="宋体"/>
                <w:sz w:val="24"/>
              </w:rPr>
            </w:pPr>
            <w:r>
              <w:rPr>
                <w:rFonts w:hint="eastAsia" w:ascii="宋体" w:hAnsi="宋体" w:cs="宋体"/>
                <w:sz w:val="24"/>
              </w:rPr>
              <w:t>(6)法律、行政法规规定的其他条件。</w:t>
            </w:r>
          </w:p>
          <w:p w14:paraId="5CA3E957">
            <w:pPr>
              <w:pStyle w:val="16"/>
              <w:adjustRightInd w:val="0"/>
              <w:spacing w:before="0" w:beforeAutospacing="0" w:after="0" w:afterAutospacing="0"/>
              <w:jc w:val="both"/>
              <w:textAlignment w:val="baseline"/>
              <w:outlineLvl w:val="0"/>
              <w:rPr>
                <w:rFonts w:hint="eastAsia"/>
                <w:kern w:val="2"/>
              </w:rPr>
            </w:pPr>
            <w:r>
              <w:rPr>
                <w:rFonts w:hint="eastAsia"/>
                <w:kern w:val="2"/>
              </w:rPr>
              <w:t>2.落实政府采购政策需满足的资格要求：本项目专门面向中小企业</w:t>
            </w:r>
          </w:p>
          <w:p w14:paraId="173B9D21">
            <w:pPr>
              <w:widowControl w:val="0"/>
              <w:adjustRightInd w:val="0"/>
              <w:jc w:val="both"/>
              <w:textAlignment w:val="baseline"/>
              <w:rPr>
                <w:rFonts w:hint="eastAsia" w:ascii="宋体" w:hAnsi="宋体" w:cs="宋体"/>
                <w:sz w:val="24"/>
              </w:rPr>
            </w:pPr>
            <w:r>
              <w:rPr>
                <w:rFonts w:hint="eastAsia" w:ascii="宋体" w:hAnsi="宋体" w:cs="宋体"/>
                <w:sz w:val="24"/>
              </w:rPr>
              <w:t>3.本项目的特定资格要求：</w:t>
            </w:r>
          </w:p>
          <w:p w14:paraId="6507AB64">
            <w:pPr>
              <w:widowControl w:val="0"/>
              <w:adjustRightInd w:val="0"/>
              <w:jc w:val="both"/>
              <w:textAlignment w:val="baseline"/>
              <w:rPr>
                <w:rFonts w:hint="eastAsia" w:ascii="宋体" w:hAnsi="宋体" w:cs="宋体"/>
                <w:sz w:val="24"/>
              </w:rPr>
            </w:pPr>
            <w:r>
              <w:rPr>
                <w:rFonts w:hint="eastAsia" w:ascii="宋体" w:hAnsi="宋体" w:cs="宋体"/>
                <w:sz w:val="24"/>
              </w:rPr>
              <w:t>（1）具备工程监理综合资质或房屋建筑工程乙级</w:t>
            </w:r>
            <w:r>
              <w:rPr>
                <w:rFonts w:hint="eastAsia" w:ascii="宋体" w:hAnsi="宋体"/>
                <w:sz w:val="24"/>
              </w:rPr>
              <w:t>及以上</w:t>
            </w:r>
            <w:r>
              <w:rPr>
                <w:rFonts w:hint="eastAsia" w:ascii="宋体" w:hAnsi="宋体" w:cs="宋体"/>
                <w:sz w:val="24"/>
              </w:rPr>
              <w:t>资质和</w:t>
            </w:r>
            <w:r>
              <w:rPr>
                <w:rFonts w:hint="eastAsia" w:ascii="宋体" w:hAnsi="宋体"/>
                <w:sz w:val="24"/>
              </w:rPr>
              <w:t>通信工程监理乙级及以上资质</w:t>
            </w:r>
            <w:r>
              <w:rPr>
                <w:rFonts w:hint="eastAsia" w:ascii="宋体" w:hAnsi="宋体" w:cs="宋体"/>
                <w:sz w:val="24"/>
              </w:rPr>
              <w:t>；</w:t>
            </w:r>
          </w:p>
          <w:p w14:paraId="72470234">
            <w:pPr>
              <w:pStyle w:val="16"/>
              <w:adjustRightInd w:val="0"/>
              <w:spacing w:before="0" w:beforeAutospacing="0" w:after="0" w:afterAutospacing="0"/>
              <w:jc w:val="both"/>
              <w:textAlignment w:val="baseline"/>
              <w:outlineLvl w:val="0"/>
              <w:rPr>
                <w:rFonts w:hint="eastAsia"/>
              </w:rPr>
            </w:pPr>
            <w:r>
              <w:rPr>
                <w:rFonts w:hint="eastAsia"/>
              </w:rPr>
              <w:t>（2）总监理工程师具有房屋建筑工程注册监理师证书或信息系统监理师证书或通信工程注册监理工程师证书；</w:t>
            </w:r>
          </w:p>
          <w:p w14:paraId="292C6DCB">
            <w:pPr>
              <w:pStyle w:val="16"/>
              <w:adjustRightInd w:val="0"/>
              <w:spacing w:before="0" w:beforeAutospacing="0" w:after="0" w:afterAutospacing="0"/>
              <w:jc w:val="both"/>
              <w:textAlignment w:val="baseline"/>
              <w:outlineLvl w:val="0"/>
              <w:rPr>
                <w:rFonts w:hint="eastAsia"/>
              </w:rPr>
            </w:pPr>
            <w:r>
              <w:rPr>
                <w:rFonts w:hint="eastAsia"/>
                <w:kern w:val="2"/>
              </w:rPr>
              <w:t>（3）</w:t>
            </w:r>
            <w:r>
              <w:rPr>
                <w:rFonts w:hint="eastAsia"/>
              </w:rPr>
              <w:t>凡拟参加本次招标项目的供应商须具有良好的信誉，未被“信用中国”（www.creditchina.gov.cn）、中国政府采购网（www.ccgp.gov.cn）列入失信被执行人、重大税收违法失信主体名单、政府采购严重违法失信行为记录名单。</w:t>
            </w:r>
          </w:p>
          <w:p w14:paraId="287CC39D">
            <w:pPr>
              <w:pStyle w:val="16"/>
              <w:adjustRightInd w:val="0"/>
              <w:spacing w:before="0" w:beforeAutospacing="0" w:after="255"/>
              <w:jc w:val="both"/>
              <w:textAlignment w:val="baseline"/>
              <w:outlineLvl w:val="0"/>
              <w:rPr>
                <w:rFonts w:hint="eastAsia"/>
                <w:highlight w:val="yellow"/>
              </w:rPr>
            </w:pPr>
            <w:r>
              <w:rPr>
                <w:rFonts w:hint="eastAsia"/>
                <w:kern w:val="2"/>
              </w:rPr>
              <w:t>（4）其他说明：（A）与采购人存在利害关系可能影响采购公正性的法人、其他组织或者个人，不得参加本次采购活动。（B）单位负责人为同一人或者存在直接控股、管理关系的不同供应商，不得参加同一合同项下的政府采购活动。</w:t>
            </w:r>
          </w:p>
        </w:tc>
      </w:tr>
      <w:tr w14:paraId="1C92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14:paraId="3D192602">
            <w:pPr>
              <w:widowControl w:val="0"/>
              <w:adjustRightInd w:val="0"/>
              <w:snapToGrid w:val="0"/>
              <w:jc w:val="center"/>
              <w:textAlignment w:val="baseline"/>
              <w:rPr>
                <w:rFonts w:hint="eastAsia" w:ascii="宋体" w:hAnsi="宋体" w:cs="宋体"/>
                <w:sz w:val="24"/>
              </w:rPr>
            </w:pPr>
            <w:r>
              <w:rPr>
                <w:rFonts w:hint="eastAsia" w:ascii="宋体" w:hAnsi="宋体" w:cs="宋体"/>
                <w:sz w:val="24"/>
              </w:rPr>
              <w:t>2</w:t>
            </w:r>
          </w:p>
        </w:tc>
        <w:tc>
          <w:tcPr>
            <w:tcW w:w="1701" w:type="dxa"/>
            <w:vAlign w:val="center"/>
          </w:tcPr>
          <w:p w14:paraId="08D3FB8A">
            <w:pPr>
              <w:widowControl w:val="0"/>
              <w:adjustRightInd w:val="0"/>
              <w:snapToGrid w:val="0"/>
              <w:jc w:val="both"/>
              <w:textAlignment w:val="baseline"/>
              <w:rPr>
                <w:rFonts w:hint="eastAsia" w:ascii="宋体" w:hAnsi="宋体" w:cs="宋体"/>
                <w:sz w:val="24"/>
              </w:rPr>
            </w:pPr>
            <w:r>
              <w:rPr>
                <w:rFonts w:hint="eastAsia" w:ascii="宋体" w:hAnsi="宋体" w:cs="宋体"/>
                <w:sz w:val="24"/>
              </w:rPr>
              <w:t>澄清或修改</w:t>
            </w:r>
          </w:p>
        </w:tc>
        <w:tc>
          <w:tcPr>
            <w:tcW w:w="7903" w:type="dxa"/>
            <w:vAlign w:val="center"/>
          </w:tcPr>
          <w:p w14:paraId="47658452">
            <w:pPr>
              <w:widowControl w:val="0"/>
              <w:adjustRightInd w:val="0"/>
              <w:jc w:val="both"/>
              <w:textAlignment w:val="baseline"/>
              <w:rPr>
                <w:rFonts w:hint="eastAsia" w:ascii="宋体" w:hAnsi="宋体" w:cs="宋体"/>
                <w:sz w:val="24"/>
              </w:rPr>
            </w:pPr>
            <w:r>
              <w:rPr>
                <w:rFonts w:hint="eastAsia" w:ascii="宋体" w:hAnsi="宋体" w:cs="宋体"/>
                <w:bCs/>
                <w:kern w:val="0"/>
                <w:sz w:val="24"/>
              </w:rPr>
              <w:t>获取采购文件的供应商如认为采购文件如有表述不清晰、缺页、漏页、损页或疑问等，应当在投标截止时间前的15日前，以书面形式要求采购人做出书面解释、澄清或补齐；采购人（采购代理机构）将在收到书面函的3个工作日内组织澄清或补齐；澄清或补齐内容是采购文件的组成部份，并将以采购文件的补充文件形式在规定的发布渠道（招标公告发布网站）书面发布通知所有已获取采购文件的供应商。供应商应自行留意采购人（采购代理机构）发出的对采购文件的澄清、修改或补充文件，并及时在发布的网站自行下载获取相应的文本文件获取即可，无须回签确认收到的函。供应商未按规定时间在发布渠道的网站下载的，视同已收到。因其他紧急情况影响本项目正常招标活动的，采购方将在规定的发布渠道书面通知所有已参加投标的供应商。</w:t>
            </w:r>
          </w:p>
        </w:tc>
      </w:tr>
      <w:tr w14:paraId="4200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52" w:type="dxa"/>
            <w:vAlign w:val="center"/>
          </w:tcPr>
          <w:p w14:paraId="2B9E6D4B">
            <w:pPr>
              <w:widowControl w:val="0"/>
              <w:adjustRightInd w:val="0"/>
              <w:snapToGrid w:val="0"/>
              <w:jc w:val="center"/>
              <w:textAlignment w:val="baseline"/>
              <w:rPr>
                <w:rFonts w:hint="eastAsia" w:ascii="宋体" w:hAnsi="宋体" w:cs="宋体"/>
                <w:sz w:val="24"/>
              </w:rPr>
            </w:pPr>
            <w:r>
              <w:rPr>
                <w:rFonts w:hint="eastAsia" w:ascii="宋体" w:hAnsi="宋体" w:cs="宋体"/>
                <w:sz w:val="24"/>
              </w:rPr>
              <w:t>3</w:t>
            </w:r>
          </w:p>
        </w:tc>
        <w:tc>
          <w:tcPr>
            <w:tcW w:w="1701" w:type="dxa"/>
            <w:vAlign w:val="center"/>
          </w:tcPr>
          <w:p w14:paraId="77D38D64">
            <w:pPr>
              <w:widowControl w:val="0"/>
              <w:adjustRightInd w:val="0"/>
              <w:snapToGrid w:val="0"/>
              <w:jc w:val="both"/>
              <w:textAlignment w:val="baseline"/>
              <w:rPr>
                <w:rFonts w:hint="eastAsia" w:ascii="宋体" w:hAnsi="宋体" w:cs="宋体"/>
                <w:sz w:val="24"/>
              </w:rPr>
            </w:pPr>
            <w:r>
              <w:rPr>
                <w:rFonts w:hint="eastAsia" w:ascii="宋体" w:hAnsi="宋体" w:cs="宋体"/>
                <w:sz w:val="24"/>
              </w:rPr>
              <w:t>价格结算标准</w:t>
            </w:r>
          </w:p>
        </w:tc>
        <w:tc>
          <w:tcPr>
            <w:tcW w:w="7903" w:type="dxa"/>
            <w:vAlign w:val="center"/>
          </w:tcPr>
          <w:p w14:paraId="09E4298C">
            <w:pPr>
              <w:widowControl w:val="0"/>
              <w:adjustRightInd w:val="0"/>
              <w:jc w:val="both"/>
              <w:textAlignment w:val="baseline"/>
              <w:rPr>
                <w:rFonts w:hint="eastAsia" w:ascii="宋体" w:hAnsi="宋体" w:cs="宋体"/>
                <w:sz w:val="24"/>
              </w:rPr>
            </w:pPr>
            <w:r>
              <w:rPr>
                <w:rFonts w:hint="eastAsia" w:ascii="宋体" w:hAnsi="宋体" w:cs="宋体"/>
                <w:sz w:val="24"/>
              </w:rPr>
              <w:t>（1）以上价格系指最终报价为完成本项目全部服务的人工费用及相关技术支持及培训在内的一切与服务有关的费用，供应商所报价格为服务期内任务完成的最终优惠价格。验收及相关费用由供应商负责。</w:t>
            </w:r>
          </w:p>
          <w:p w14:paraId="111A88D9">
            <w:pPr>
              <w:pStyle w:val="14"/>
              <w:widowControl w:val="0"/>
              <w:adjustRightInd w:val="0"/>
              <w:spacing w:line="240" w:lineRule="auto"/>
              <w:jc w:val="both"/>
              <w:textAlignment w:val="baseline"/>
              <w:rPr>
                <w:rFonts w:hint="eastAsia" w:ascii="宋体" w:hAnsi="宋体" w:cs="宋体"/>
              </w:rPr>
            </w:pPr>
            <w:r>
              <w:rPr>
                <w:rFonts w:hint="eastAsia" w:ascii="宋体" w:hAnsi="宋体" w:cs="宋体"/>
              </w:rPr>
              <w:t>（2）本标段最高限价：1900000</w:t>
            </w:r>
            <w:r>
              <w:rPr>
                <w:rFonts w:hint="eastAsia" w:ascii="宋体" w:hAnsi="宋体" w:cs="宋体"/>
                <w:b/>
                <w:bCs/>
              </w:rPr>
              <w:t>（壹佰玖拾万圆整）</w:t>
            </w:r>
            <w:r>
              <w:rPr>
                <w:rFonts w:hint="eastAsia" w:ascii="宋体" w:hAnsi="宋体" w:cs="宋体"/>
              </w:rPr>
              <w:t>，</w:t>
            </w:r>
            <w:r>
              <w:rPr>
                <w:rFonts w:hint="eastAsia" w:ascii="宋体" w:hAnsi="宋体" w:cs="宋体"/>
                <w:b/>
                <w:bCs/>
              </w:rPr>
              <w:t>高于最高限价作废标处理。</w:t>
            </w:r>
          </w:p>
        </w:tc>
      </w:tr>
      <w:tr w14:paraId="19B0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2" w:type="dxa"/>
            <w:vAlign w:val="center"/>
          </w:tcPr>
          <w:p w14:paraId="2F20D0B5">
            <w:pPr>
              <w:widowControl w:val="0"/>
              <w:adjustRightInd w:val="0"/>
              <w:snapToGrid w:val="0"/>
              <w:jc w:val="center"/>
              <w:textAlignment w:val="baseline"/>
              <w:rPr>
                <w:rFonts w:hint="eastAsia" w:ascii="宋体" w:hAnsi="宋体" w:cs="宋体"/>
                <w:sz w:val="24"/>
              </w:rPr>
            </w:pPr>
            <w:r>
              <w:rPr>
                <w:rFonts w:hint="eastAsia" w:ascii="宋体" w:hAnsi="宋体" w:cs="宋体"/>
                <w:sz w:val="24"/>
              </w:rPr>
              <w:t>4</w:t>
            </w:r>
          </w:p>
        </w:tc>
        <w:tc>
          <w:tcPr>
            <w:tcW w:w="1701" w:type="dxa"/>
            <w:vAlign w:val="center"/>
          </w:tcPr>
          <w:p w14:paraId="18F36FE5">
            <w:pPr>
              <w:widowControl w:val="0"/>
              <w:adjustRightInd w:val="0"/>
              <w:jc w:val="both"/>
              <w:textAlignment w:val="baseline"/>
              <w:rPr>
                <w:rFonts w:hint="eastAsia" w:ascii="宋体" w:hAnsi="宋体" w:cs="宋体"/>
                <w:sz w:val="24"/>
              </w:rPr>
            </w:pPr>
            <w:r>
              <w:rPr>
                <w:rFonts w:hint="eastAsia" w:ascii="宋体" w:hAnsi="宋体" w:cs="宋体"/>
                <w:sz w:val="24"/>
              </w:rPr>
              <w:t>投标有效期</w:t>
            </w:r>
          </w:p>
        </w:tc>
        <w:tc>
          <w:tcPr>
            <w:tcW w:w="7903" w:type="dxa"/>
            <w:vAlign w:val="center"/>
          </w:tcPr>
          <w:p w14:paraId="4E186A40">
            <w:pPr>
              <w:widowControl w:val="0"/>
              <w:adjustRightInd w:val="0"/>
              <w:snapToGrid w:val="0"/>
              <w:jc w:val="both"/>
              <w:textAlignment w:val="baseline"/>
              <w:rPr>
                <w:rFonts w:hint="eastAsia" w:ascii="宋体" w:hAnsi="宋体" w:cs="宋体"/>
                <w:b/>
                <w:bCs/>
                <w:sz w:val="24"/>
              </w:rPr>
            </w:pPr>
            <w:r>
              <w:rPr>
                <w:rFonts w:hint="eastAsia" w:ascii="宋体" w:hAnsi="宋体" w:cs="宋体"/>
                <w:sz w:val="24"/>
              </w:rPr>
              <w:t>投标有效期为：投标截止期结束后</w:t>
            </w:r>
            <w:r>
              <w:rPr>
                <w:rFonts w:hint="eastAsia" w:ascii="宋体" w:hAnsi="宋体" w:cs="宋体"/>
                <w:sz w:val="24"/>
                <w:u w:val="single"/>
              </w:rPr>
              <w:t>90</w:t>
            </w:r>
            <w:r>
              <w:rPr>
                <w:rFonts w:hint="eastAsia" w:ascii="宋体" w:hAnsi="宋体" w:cs="宋体"/>
                <w:sz w:val="24"/>
              </w:rPr>
              <w:t>日历日，有效期不足将导致其响应文件被拒绝。</w:t>
            </w:r>
          </w:p>
        </w:tc>
      </w:tr>
      <w:tr w14:paraId="3618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52" w:type="dxa"/>
            <w:vAlign w:val="center"/>
          </w:tcPr>
          <w:p w14:paraId="33763605">
            <w:pPr>
              <w:widowControl w:val="0"/>
              <w:adjustRightInd w:val="0"/>
              <w:snapToGrid w:val="0"/>
              <w:jc w:val="center"/>
              <w:textAlignment w:val="baseline"/>
              <w:rPr>
                <w:rFonts w:hint="eastAsia" w:ascii="宋体" w:hAnsi="宋体" w:cs="宋体"/>
                <w:sz w:val="24"/>
              </w:rPr>
            </w:pPr>
            <w:r>
              <w:rPr>
                <w:rFonts w:hint="eastAsia" w:ascii="宋体" w:hAnsi="宋体" w:cs="宋体"/>
                <w:sz w:val="24"/>
              </w:rPr>
              <w:t>5</w:t>
            </w:r>
          </w:p>
        </w:tc>
        <w:tc>
          <w:tcPr>
            <w:tcW w:w="1701" w:type="dxa"/>
            <w:vAlign w:val="center"/>
          </w:tcPr>
          <w:p w14:paraId="59033C3A">
            <w:pPr>
              <w:widowControl w:val="0"/>
              <w:adjustRightInd w:val="0"/>
              <w:snapToGrid w:val="0"/>
              <w:jc w:val="both"/>
              <w:textAlignment w:val="baseline"/>
              <w:rPr>
                <w:rFonts w:hint="eastAsia" w:ascii="宋体" w:hAnsi="宋体" w:cs="宋体"/>
                <w:sz w:val="24"/>
              </w:rPr>
            </w:pPr>
            <w:r>
              <w:rPr>
                <w:rFonts w:hint="eastAsia" w:ascii="宋体" w:hAnsi="宋体" w:cs="宋体"/>
                <w:sz w:val="24"/>
              </w:rPr>
              <w:t>投标保证金</w:t>
            </w:r>
          </w:p>
        </w:tc>
        <w:tc>
          <w:tcPr>
            <w:tcW w:w="7903" w:type="dxa"/>
            <w:vAlign w:val="center"/>
          </w:tcPr>
          <w:p w14:paraId="6C2A51D0">
            <w:pPr>
              <w:widowControl w:val="0"/>
              <w:adjustRightInd w:val="0"/>
              <w:jc w:val="both"/>
              <w:textAlignment w:val="baseline"/>
              <w:rPr>
                <w:rFonts w:hint="eastAsia" w:ascii="宋体" w:hAnsi="宋体" w:cs="宋体"/>
                <w:sz w:val="24"/>
              </w:rPr>
            </w:pPr>
            <w:r>
              <w:rPr>
                <w:rFonts w:hint="eastAsia" w:ascii="宋体" w:hAnsi="宋体" w:cs="宋体"/>
                <w:sz w:val="24"/>
              </w:rPr>
              <w:t>☑ 要求提供</w:t>
            </w:r>
          </w:p>
          <w:p w14:paraId="2E91831D">
            <w:pPr>
              <w:widowControl w:val="0"/>
              <w:adjustRightInd w:val="0"/>
              <w:jc w:val="both"/>
              <w:textAlignment w:val="baseline"/>
              <w:rPr>
                <w:rFonts w:hint="eastAsia" w:ascii="宋体" w:hAnsi="宋体" w:cs="宋体"/>
                <w:sz w:val="24"/>
              </w:rPr>
            </w:pPr>
            <w:r>
              <w:rPr>
                <w:rFonts w:hint="eastAsia" w:ascii="宋体" w:hAnsi="宋体" w:cs="宋体"/>
                <w:sz w:val="24"/>
              </w:rPr>
              <w:t>本项目的投标保证金为人民币：25000元</w:t>
            </w:r>
          </w:p>
          <w:p w14:paraId="1F5FAE67">
            <w:pPr>
              <w:widowControl w:val="0"/>
              <w:adjustRightInd w:val="0"/>
              <w:jc w:val="both"/>
              <w:textAlignment w:val="baseline"/>
              <w:rPr>
                <w:rFonts w:hint="eastAsia" w:ascii="宋体" w:hAnsi="宋体" w:cs="宋体"/>
                <w:sz w:val="24"/>
              </w:rPr>
            </w:pPr>
            <w:r>
              <w:rPr>
                <w:rFonts w:hint="eastAsia" w:ascii="宋体" w:hAnsi="宋体" w:cs="宋体"/>
                <w:sz w:val="24"/>
              </w:rPr>
              <w:t>投标保证金到账截止时间：同投标截止时间。</w:t>
            </w:r>
          </w:p>
          <w:p w14:paraId="34B2681B">
            <w:pPr>
              <w:widowControl w:val="0"/>
              <w:adjustRightInd w:val="0"/>
              <w:jc w:val="both"/>
              <w:textAlignment w:val="baseline"/>
              <w:rPr>
                <w:rFonts w:hint="eastAsia" w:ascii="宋体" w:hAnsi="宋体" w:cs="宋体"/>
                <w:sz w:val="24"/>
              </w:rPr>
            </w:pPr>
            <w:r>
              <w:rPr>
                <w:rFonts w:hint="eastAsia" w:ascii="宋体" w:hAnsi="宋体" w:cs="宋体"/>
                <w:sz w:val="24"/>
              </w:rPr>
              <w:t>①投标保证金汇至账户：</w:t>
            </w:r>
          </w:p>
          <w:p w14:paraId="3B50A09C">
            <w:pPr>
              <w:widowControl w:val="0"/>
              <w:adjustRightInd w:val="0"/>
              <w:jc w:val="both"/>
              <w:textAlignment w:val="baseline"/>
              <w:rPr>
                <w:rFonts w:hint="eastAsia" w:ascii="宋体" w:hAnsi="宋体" w:cs="宋体"/>
                <w:sz w:val="24"/>
              </w:rPr>
            </w:pPr>
            <w:r>
              <w:rPr>
                <w:rFonts w:hint="eastAsia" w:ascii="宋体" w:hAnsi="宋体" w:cs="宋体"/>
                <w:sz w:val="24"/>
              </w:rPr>
              <w:t>开户单位名称：新疆楷源工程项目管理有限责任公司</w:t>
            </w:r>
          </w:p>
          <w:p w14:paraId="1F2E617B">
            <w:pPr>
              <w:widowControl w:val="0"/>
              <w:adjustRightInd w:val="0"/>
              <w:jc w:val="both"/>
              <w:textAlignment w:val="baseline"/>
              <w:rPr>
                <w:rFonts w:hint="eastAsia" w:ascii="宋体" w:hAnsi="宋体" w:cs="宋体"/>
                <w:sz w:val="24"/>
              </w:rPr>
            </w:pPr>
            <w:r>
              <w:rPr>
                <w:rFonts w:hint="eastAsia" w:ascii="宋体" w:hAnsi="宋体" w:cs="宋体"/>
                <w:sz w:val="24"/>
              </w:rPr>
              <w:t>开户银行：中国农业银行塔城分行营业部</w:t>
            </w:r>
          </w:p>
          <w:p w14:paraId="515E793C">
            <w:pPr>
              <w:widowControl w:val="0"/>
              <w:adjustRightInd w:val="0"/>
              <w:jc w:val="both"/>
              <w:textAlignment w:val="baseline"/>
              <w:rPr>
                <w:rFonts w:hint="eastAsia" w:ascii="宋体" w:hAnsi="宋体" w:cs="宋体"/>
                <w:sz w:val="24"/>
              </w:rPr>
            </w:pPr>
            <w:r>
              <w:rPr>
                <w:rFonts w:hint="eastAsia" w:ascii="宋体" w:hAnsi="宋体" w:cs="宋体"/>
                <w:sz w:val="24"/>
              </w:rPr>
              <w:t>开户银行行号：103901019000</w:t>
            </w:r>
          </w:p>
          <w:p w14:paraId="305DCC90">
            <w:pPr>
              <w:widowControl w:val="0"/>
              <w:adjustRightInd w:val="0"/>
              <w:jc w:val="both"/>
              <w:textAlignment w:val="baseline"/>
              <w:rPr>
                <w:rFonts w:hint="eastAsia" w:ascii="宋体" w:hAnsi="宋体" w:cs="宋体"/>
                <w:sz w:val="24"/>
              </w:rPr>
            </w:pPr>
            <w:r>
              <w:rPr>
                <w:rFonts w:hint="eastAsia" w:ascii="宋体" w:hAnsi="宋体" w:cs="宋体"/>
                <w:sz w:val="24"/>
              </w:rPr>
              <w:t>开户行账号：30190001040008599</w:t>
            </w:r>
          </w:p>
          <w:p w14:paraId="197D7B05">
            <w:pPr>
              <w:widowControl w:val="0"/>
              <w:adjustRightInd w:val="0"/>
              <w:jc w:val="both"/>
              <w:textAlignment w:val="baseline"/>
              <w:rPr>
                <w:rFonts w:hint="eastAsia" w:ascii="宋体" w:hAnsi="宋体" w:cs="宋体"/>
                <w:sz w:val="24"/>
              </w:rPr>
            </w:pPr>
            <w:r>
              <w:rPr>
                <w:rFonts w:hint="eastAsia" w:ascii="宋体" w:hAnsi="宋体" w:cs="宋体"/>
                <w:sz w:val="24"/>
              </w:rPr>
              <w:t>联系人：袁莉   联系电话：15899102332</w:t>
            </w:r>
          </w:p>
          <w:p w14:paraId="7DE525F6">
            <w:pPr>
              <w:widowControl w:val="0"/>
              <w:adjustRightInd w:val="0"/>
              <w:jc w:val="both"/>
              <w:textAlignment w:val="baseline"/>
              <w:rPr>
                <w:rFonts w:hint="eastAsia" w:ascii="宋体" w:hAnsi="宋体" w:cs="宋体"/>
                <w:sz w:val="24"/>
              </w:rPr>
            </w:pPr>
            <w:r>
              <w:rPr>
                <w:rFonts w:hint="eastAsia" w:ascii="宋体" w:hAnsi="宋体" w:cs="宋体"/>
                <w:sz w:val="24"/>
              </w:rPr>
              <w:t>投标保证金递交须知：</w:t>
            </w:r>
          </w:p>
          <w:p w14:paraId="5AEE4294">
            <w:pPr>
              <w:widowControl w:val="0"/>
              <w:adjustRightInd w:val="0"/>
              <w:jc w:val="both"/>
              <w:textAlignment w:val="baseline"/>
              <w:rPr>
                <w:rFonts w:hint="eastAsia" w:ascii="宋体" w:hAnsi="宋体" w:cs="宋体"/>
                <w:sz w:val="24"/>
              </w:rPr>
            </w:pPr>
            <w:r>
              <w:rPr>
                <w:rFonts w:hint="eastAsia" w:ascii="宋体" w:hAnsi="宋体" w:cs="宋体"/>
                <w:sz w:val="24"/>
              </w:rPr>
              <w:t>（一）投标保证金提交方式为银行电汇、网银等方式的投标保证金。</w:t>
            </w:r>
          </w:p>
          <w:p w14:paraId="017D1D7B">
            <w:pPr>
              <w:widowControl w:val="0"/>
              <w:adjustRightInd w:val="0"/>
              <w:jc w:val="both"/>
              <w:textAlignment w:val="baseline"/>
              <w:rPr>
                <w:rFonts w:hint="eastAsia" w:ascii="宋体" w:hAnsi="宋体" w:cs="宋体"/>
                <w:sz w:val="24"/>
              </w:rPr>
            </w:pPr>
            <w:r>
              <w:rPr>
                <w:rFonts w:hint="eastAsia" w:ascii="宋体" w:hAnsi="宋体" w:cs="宋体"/>
                <w:sz w:val="24"/>
              </w:rPr>
              <w:t>（二）供应商必须从基本账户以电汇或网银方式提交保证金，且投标保证金单位名称必须与供应商登记的单位名称一致，不得以分公司、办事处或其他机构名义递交。</w:t>
            </w:r>
          </w:p>
          <w:p w14:paraId="37E0B8DF">
            <w:pPr>
              <w:widowControl w:val="0"/>
              <w:adjustRightInd w:val="0"/>
              <w:jc w:val="both"/>
              <w:textAlignment w:val="baseline"/>
              <w:rPr>
                <w:rFonts w:hint="eastAsia" w:ascii="宋体" w:hAnsi="宋体" w:cs="宋体"/>
                <w:sz w:val="24"/>
              </w:rPr>
            </w:pPr>
            <w:r>
              <w:rPr>
                <w:rFonts w:hint="eastAsia" w:ascii="宋体" w:hAnsi="宋体" w:cs="宋体"/>
                <w:sz w:val="24"/>
              </w:rPr>
              <w:t>（三）投标保证金以到账信息为准，供应商应充分考虑在途时间，供应商未按照招标文件要求提交投标保证金的，投标无效。</w:t>
            </w:r>
          </w:p>
          <w:p w14:paraId="43211DE7">
            <w:pPr>
              <w:widowControl w:val="0"/>
              <w:adjustRightInd w:val="0"/>
              <w:jc w:val="both"/>
              <w:textAlignment w:val="baseline"/>
              <w:rPr>
                <w:rFonts w:hint="eastAsia" w:ascii="宋体" w:hAnsi="宋体" w:cs="宋体"/>
                <w:sz w:val="24"/>
              </w:rPr>
            </w:pPr>
            <w:r>
              <w:rPr>
                <w:rFonts w:hint="eastAsia" w:ascii="宋体" w:hAnsi="宋体" w:cs="宋体"/>
                <w:sz w:val="24"/>
              </w:rPr>
              <w:t>注：汇款单上需注明项目名称、编号及标项号。</w:t>
            </w:r>
            <w:r>
              <w:rPr>
                <w:rFonts w:hint="eastAsia" w:ascii="宋体" w:hAnsi="宋体" w:cs="宋体"/>
                <w:sz w:val="24"/>
              </w:rPr>
              <w:tab/>
            </w:r>
          </w:p>
          <w:p w14:paraId="6884F285">
            <w:pPr>
              <w:widowControl w:val="0"/>
              <w:adjustRightInd w:val="0"/>
              <w:jc w:val="both"/>
              <w:textAlignment w:val="baseline"/>
              <w:rPr>
                <w:rFonts w:hint="eastAsia" w:ascii="宋体" w:hAnsi="宋体" w:cs="宋体"/>
                <w:sz w:val="24"/>
              </w:rPr>
            </w:pPr>
            <w:r>
              <w:rPr>
                <w:rFonts w:hint="eastAsia" w:ascii="宋体" w:hAnsi="宋体" w:cs="宋体"/>
                <w:sz w:val="24"/>
              </w:rPr>
              <w:t>②电子保函须知</w:t>
            </w:r>
          </w:p>
          <w:p w14:paraId="4F58BCB8">
            <w:pPr>
              <w:widowControl w:val="0"/>
              <w:adjustRightInd w:val="0"/>
              <w:jc w:val="both"/>
              <w:textAlignment w:val="baseline"/>
              <w:rPr>
                <w:rFonts w:hint="eastAsia" w:ascii="宋体" w:hAnsi="宋体" w:cs="宋体"/>
                <w:sz w:val="24"/>
              </w:rPr>
            </w:pPr>
            <w:r>
              <w:rPr>
                <w:rFonts w:hint="eastAsia" w:ascii="宋体" w:hAnsi="宋体" w:cs="宋体"/>
                <w:sz w:val="24"/>
              </w:rPr>
              <w:t>(1)本项目可使用政采云电子保函形式缴纳投标保证金，在线完成保函的申请、审核、开票、出函等环节；</w:t>
            </w:r>
          </w:p>
          <w:p w14:paraId="1A4CC7F9">
            <w:pPr>
              <w:widowControl w:val="0"/>
              <w:adjustRightInd w:val="0"/>
              <w:jc w:val="both"/>
              <w:textAlignment w:val="baseline"/>
              <w:rPr>
                <w:rFonts w:hint="eastAsia" w:ascii="宋体" w:hAnsi="宋体" w:cs="宋体"/>
                <w:sz w:val="24"/>
              </w:rPr>
            </w:pPr>
            <w:r>
              <w:rPr>
                <w:rFonts w:hint="eastAsia" w:ascii="宋体" w:hAnsi="宋体" w:cs="宋体"/>
                <w:sz w:val="24"/>
              </w:rPr>
              <w:t>(2)如采用政采云电子保函形式，可按照以下形式进行在线申请，电子保函申请链接（https://jinrong.zcygov.cn/finance/letter/product/detail?id=30&amp;source=41），如遇问题可拨打客服电话：4009039583；</w:t>
            </w:r>
          </w:p>
          <w:p w14:paraId="0EA048DE">
            <w:pPr>
              <w:widowControl w:val="0"/>
              <w:adjustRightInd w:val="0"/>
              <w:jc w:val="both"/>
              <w:textAlignment w:val="baseline"/>
              <w:rPr>
                <w:rFonts w:hint="eastAsia" w:ascii="宋体" w:hAnsi="宋体" w:cs="宋体"/>
                <w:sz w:val="24"/>
              </w:rPr>
            </w:pPr>
            <w:r>
              <w:rPr>
                <w:rFonts w:hint="eastAsia" w:ascii="宋体" w:hAnsi="宋体" w:cs="宋体"/>
                <w:sz w:val="24"/>
              </w:rPr>
              <w:t>(3)开标前将保函制作到电子响应文件即可。</w:t>
            </w:r>
          </w:p>
        </w:tc>
      </w:tr>
      <w:tr w14:paraId="03F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 w:type="dxa"/>
            <w:vAlign w:val="center"/>
          </w:tcPr>
          <w:p w14:paraId="57027862">
            <w:pPr>
              <w:widowControl w:val="0"/>
              <w:adjustRightInd w:val="0"/>
              <w:snapToGrid w:val="0"/>
              <w:jc w:val="center"/>
              <w:textAlignment w:val="baseline"/>
              <w:rPr>
                <w:rFonts w:hint="eastAsia" w:ascii="宋体" w:hAnsi="宋体" w:cs="宋体"/>
                <w:sz w:val="24"/>
              </w:rPr>
            </w:pPr>
            <w:r>
              <w:rPr>
                <w:rFonts w:hint="eastAsia" w:ascii="宋体" w:hAnsi="宋体" w:cs="宋体"/>
                <w:sz w:val="24"/>
              </w:rPr>
              <w:t>6</w:t>
            </w:r>
          </w:p>
        </w:tc>
        <w:tc>
          <w:tcPr>
            <w:tcW w:w="1701" w:type="dxa"/>
            <w:vAlign w:val="center"/>
          </w:tcPr>
          <w:p w14:paraId="14D11DD9">
            <w:pPr>
              <w:widowControl w:val="0"/>
              <w:adjustRightInd w:val="0"/>
              <w:snapToGrid w:val="0"/>
              <w:jc w:val="both"/>
              <w:textAlignment w:val="baseline"/>
              <w:rPr>
                <w:rFonts w:hint="eastAsia" w:ascii="宋体" w:hAnsi="宋体" w:cs="宋体"/>
                <w:color w:val="4F81BD"/>
                <w:sz w:val="24"/>
              </w:rPr>
            </w:pPr>
            <w:r>
              <w:rPr>
                <w:rFonts w:hint="eastAsia" w:ascii="宋体" w:hAnsi="宋体" w:cs="宋体"/>
                <w:sz w:val="24"/>
              </w:rPr>
              <w:t>支付方式</w:t>
            </w:r>
          </w:p>
        </w:tc>
        <w:tc>
          <w:tcPr>
            <w:tcW w:w="7903" w:type="dxa"/>
            <w:vAlign w:val="center"/>
          </w:tcPr>
          <w:p w14:paraId="3572C3EE">
            <w:pPr>
              <w:widowControl w:val="0"/>
              <w:adjustRightInd w:val="0"/>
              <w:jc w:val="both"/>
              <w:textAlignment w:val="baseline"/>
              <w:rPr>
                <w:rFonts w:hint="eastAsia" w:ascii="宋体" w:hAnsi="宋体" w:cs="宋体"/>
                <w:color w:val="auto"/>
                <w:sz w:val="24"/>
              </w:rPr>
            </w:pPr>
            <w:r>
              <w:rPr>
                <w:rFonts w:hint="eastAsia" w:ascii="宋体" w:hAnsi="宋体" w:cs="宋体"/>
                <w:color w:val="auto"/>
                <w:sz w:val="24"/>
              </w:rPr>
              <w:t>付款方式：</w:t>
            </w:r>
          </w:p>
          <w:p w14:paraId="0ED360D9">
            <w:pPr>
              <w:widowControl w:val="0"/>
              <w:adjustRightInd w:val="0"/>
              <w:jc w:val="both"/>
              <w:textAlignment w:val="baseline"/>
              <w:rPr>
                <w:rFonts w:hint="eastAsia" w:ascii="宋体" w:hAnsi="宋体" w:cs="宋体"/>
                <w:color w:val="auto"/>
                <w:sz w:val="24"/>
              </w:rPr>
            </w:pPr>
            <w:r>
              <w:rPr>
                <w:rFonts w:hint="eastAsia" w:ascii="宋体" w:hAnsi="宋体" w:cs="宋体"/>
                <w:color w:val="auto"/>
                <w:sz w:val="24"/>
              </w:rPr>
              <w:t>1.合同签订后监理人向委托人提交发票，委托人支付30%预付款；</w:t>
            </w:r>
          </w:p>
          <w:p w14:paraId="5E372113">
            <w:pPr>
              <w:widowControl w:val="0"/>
              <w:adjustRightInd w:val="0"/>
              <w:jc w:val="both"/>
              <w:textAlignment w:val="baseline"/>
              <w:rPr>
                <w:rFonts w:hint="eastAsia" w:ascii="宋体" w:hAnsi="宋体" w:cs="宋体"/>
                <w:color w:val="auto"/>
                <w:spacing w:val="-4"/>
                <w:sz w:val="24"/>
              </w:rPr>
            </w:pPr>
            <w:r>
              <w:rPr>
                <w:rFonts w:hint="eastAsia" w:ascii="宋体" w:hAnsi="宋体" w:cs="宋体"/>
                <w:color w:val="auto"/>
                <w:sz w:val="24"/>
              </w:rPr>
              <w:t>2.进度款：①工程开工后，工程产值达50%时，委托人付款至合同价的50%；②项目竣工验收、资料移交完成后，项目竣工验收合格后，委托人向监理人支付至合同总价的100%的监理费（累计提供至100％的监理服务费发票）。</w:t>
            </w:r>
          </w:p>
        </w:tc>
      </w:tr>
      <w:tr w14:paraId="319F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 w:type="dxa"/>
            <w:vAlign w:val="center"/>
          </w:tcPr>
          <w:p w14:paraId="10285B1D">
            <w:pPr>
              <w:widowControl w:val="0"/>
              <w:adjustRightInd w:val="0"/>
              <w:snapToGrid w:val="0"/>
              <w:jc w:val="center"/>
              <w:textAlignment w:val="baseline"/>
              <w:rPr>
                <w:rFonts w:hint="eastAsia" w:ascii="宋体" w:hAnsi="宋体" w:cs="宋体"/>
                <w:sz w:val="24"/>
              </w:rPr>
            </w:pPr>
            <w:r>
              <w:rPr>
                <w:rFonts w:hint="eastAsia" w:ascii="宋体" w:hAnsi="宋体" w:cs="宋体"/>
                <w:sz w:val="24"/>
              </w:rPr>
              <w:t>7</w:t>
            </w:r>
          </w:p>
        </w:tc>
        <w:tc>
          <w:tcPr>
            <w:tcW w:w="1701" w:type="dxa"/>
            <w:vAlign w:val="center"/>
          </w:tcPr>
          <w:p w14:paraId="773C14DD">
            <w:pPr>
              <w:widowControl w:val="0"/>
              <w:adjustRightInd w:val="0"/>
              <w:snapToGrid w:val="0"/>
              <w:jc w:val="both"/>
              <w:textAlignment w:val="baseline"/>
              <w:rPr>
                <w:rFonts w:hint="eastAsia" w:ascii="宋体" w:hAnsi="宋体" w:cs="宋体"/>
                <w:sz w:val="24"/>
              </w:rPr>
            </w:pPr>
            <w:r>
              <w:rPr>
                <w:rFonts w:hint="eastAsia" w:ascii="宋体" w:hAnsi="宋体" w:cs="宋体"/>
                <w:sz w:val="24"/>
              </w:rPr>
              <w:t>履约保证金</w:t>
            </w:r>
          </w:p>
        </w:tc>
        <w:tc>
          <w:tcPr>
            <w:tcW w:w="7903" w:type="dxa"/>
            <w:vAlign w:val="center"/>
          </w:tcPr>
          <w:p w14:paraId="56F95E5E">
            <w:pPr>
              <w:pStyle w:val="100"/>
              <w:widowControl w:val="0"/>
              <w:adjustRightInd w:val="0"/>
              <w:spacing w:before="165" w:line="223" w:lineRule="auto"/>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交纳时间：中标服务机构与采购人签订合同后15个工作日内。</w:t>
            </w:r>
          </w:p>
          <w:p w14:paraId="37A60E32">
            <w:pPr>
              <w:widowControl w:val="0"/>
              <w:adjustRightInd w:val="0"/>
              <w:jc w:val="both"/>
              <w:textAlignment w:val="baseline"/>
              <w:rPr>
                <w:rFonts w:hint="eastAsia" w:ascii="宋体" w:hAnsi="宋体" w:cs="宋体"/>
                <w:color w:val="auto"/>
                <w:sz w:val="24"/>
              </w:rPr>
            </w:pPr>
            <w:r>
              <w:rPr>
                <w:rFonts w:hint="eastAsia" w:ascii="宋体" w:hAnsi="宋体" w:cs="宋体"/>
                <w:color w:val="auto"/>
                <w:sz w:val="24"/>
              </w:rPr>
              <w:t>履约担保的形式：保函</w:t>
            </w:r>
          </w:p>
          <w:p w14:paraId="787B6A07">
            <w:pPr>
              <w:widowControl w:val="0"/>
              <w:adjustRightInd w:val="0"/>
              <w:jc w:val="both"/>
              <w:textAlignment w:val="baseline"/>
              <w:rPr>
                <w:rFonts w:hint="eastAsia" w:ascii="宋体" w:hAnsi="宋体" w:cs="宋体"/>
                <w:color w:val="auto"/>
                <w:sz w:val="24"/>
              </w:rPr>
            </w:pPr>
            <w:r>
              <w:rPr>
                <w:rFonts w:hint="eastAsia" w:ascii="宋体" w:hAnsi="宋体" w:cs="宋体"/>
                <w:color w:val="auto"/>
                <w:sz w:val="24"/>
              </w:rPr>
              <w:t>履约担保的金额：5％签约合同价。</w:t>
            </w:r>
          </w:p>
        </w:tc>
      </w:tr>
      <w:tr w14:paraId="371B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52" w:type="dxa"/>
            <w:vAlign w:val="center"/>
          </w:tcPr>
          <w:p w14:paraId="521FBC87">
            <w:pPr>
              <w:widowControl w:val="0"/>
              <w:adjustRightInd w:val="0"/>
              <w:jc w:val="center"/>
              <w:textAlignment w:val="baseline"/>
              <w:rPr>
                <w:rFonts w:hint="eastAsia" w:ascii="宋体" w:hAnsi="宋体" w:cs="宋体"/>
                <w:sz w:val="24"/>
              </w:rPr>
            </w:pPr>
            <w:r>
              <w:rPr>
                <w:rFonts w:hint="eastAsia" w:ascii="宋体" w:hAnsi="宋体" w:cs="宋体"/>
                <w:kern w:val="0"/>
                <w:sz w:val="24"/>
              </w:rPr>
              <w:t>8</w:t>
            </w:r>
          </w:p>
        </w:tc>
        <w:tc>
          <w:tcPr>
            <w:tcW w:w="1701" w:type="dxa"/>
            <w:vAlign w:val="center"/>
          </w:tcPr>
          <w:p w14:paraId="26906EBF">
            <w:pPr>
              <w:widowControl w:val="0"/>
              <w:adjustRightInd w:val="0"/>
              <w:jc w:val="both"/>
              <w:textAlignment w:val="baseline"/>
              <w:rPr>
                <w:rFonts w:hint="eastAsia" w:ascii="宋体" w:hAnsi="宋体" w:cs="宋体"/>
                <w:sz w:val="24"/>
              </w:rPr>
            </w:pPr>
            <w:r>
              <w:rPr>
                <w:rFonts w:hint="eastAsia" w:ascii="宋体" w:hAnsi="宋体" w:cs="宋体"/>
                <w:kern w:val="0"/>
                <w:sz w:val="24"/>
              </w:rPr>
              <w:t>响应文件递交</w:t>
            </w:r>
          </w:p>
        </w:tc>
        <w:tc>
          <w:tcPr>
            <w:tcW w:w="7903" w:type="dxa"/>
            <w:vAlign w:val="center"/>
          </w:tcPr>
          <w:p w14:paraId="0DF557DA">
            <w:pPr>
              <w:widowControl w:val="0"/>
              <w:adjustRightInd w:val="0"/>
              <w:snapToGrid w:val="0"/>
              <w:jc w:val="both"/>
              <w:textAlignment w:val="baseline"/>
              <w:rPr>
                <w:rFonts w:hint="eastAsia" w:ascii="宋体" w:hAnsi="宋体" w:cs="宋体"/>
                <w:sz w:val="24"/>
              </w:rPr>
            </w:pPr>
            <w:r>
              <w:rPr>
                <w:rFonts w:hint="eastAsia" w:ascii="宋体" w:hAnsi="宋体" w:cs="宋体"/>
                <w:sz w:val="24"/>
              </w:rPr>
              <w:t>投标截止时间（开标时间）：</w:t>
            </w:r>
            <w:r>
              <w:rPr>
                <w:rFonts w:hint="eastAsia" w:ascii="宋体" w:hAnsi="宋体" w:cs="宋体"/>
                <w:sz w:val="24"/>
                <w:u w:val="single"/>
              </w:rPr>
              <w:t>2025年07月31日11点00分</w:t>
            </w:r>
            <w:r>
              <w:rPr>
                <w:rFonts w:hint="eastAsia" w:ascii="宋体" w:hAnsi="宋体" w:cs="宋体"/>
                <w:sz w:val="24"/>
              </w:rPr>
              <w:t>。</w:t>
            </w:r>
          </w:p>
          <w:p w14:paraId="1837FE18">
            <w:pPr>
              <w:widowControl w:val="0"/>
              <w:adjustRightInd w:val="0"/>
              <w:snapToGrid w:val="0"/>
              <w:jc w:val="both"/>
              <w:textAlignment w:val="baseline"/>
              <w:rPr>
                <w:rFonts w:hint="eastAsia" w:ascii="宋体" w:hAnsi="宋体" w:cs="宋体"/>
                <w:sz w:val="24"/>
              </w:rPr>
            </w:pPr>
            <w:r>
              <w:rPr>
                <w:rFonts w:hint="eastAsia" w:ascii="宋体" w:hAnsi="宋体" w:cs="宋体"/>
                <w:sz w:val="24"/>
              </w:rPr>
              <w:t>响应文件递交地址：政采云平台http://www.zcygov.cn 政采云网上不见面开标系统</w:t>
            </w:r>
          </w:p>
        </w:tc>
      </w:tr>
      <w:tr w14:paraId="284A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52" w:type="dxa"/>
            <w:vAlign w:val="center"/>
          </w:tcPr>
          <w:p w14:paraId="3AA9F878">
            <w:pPr>
              <w:widowControl w:val="0"/>
              <w:adjustRightInd w:val="0"/>
              <w:jc w:val="center"/>
              <w:textAlignment w:val="baseline"/>
              <w:rPr>
                <w:rFonts w:hint="eastAsia" w:ascii="宋体" w:hAnsi="宋体" w:cs="宋体"/>
                <w:kern w:val="0"/>
                <w:sz w:val="24"/>
              </w:rPr>
            </w:pPr>
            <w:r>
              <w:rPr>
                <w:rFonts w:hint="eastAsia" w:ascii="宋体" w:hAnsi="宋体" w:cs="宋体"/>
                <w:kern w:val="0"/>
                <w:sz w:val="24"/>
              </w:rPr>
              <w:t>9</w:t>
            </w:r>
          </w:p>
        </w:tc>
        <w:tc>
          <w:tcPr>
            <w:tcW w:w="1701" w:type="dxa"/>
            <w:vAlign w:val="center"/>
          </w:tcPr>
          <w:p w14:paraId="25ADF7ED">
            <w:pPr>
              <w:widowControl w:val="0"/>
              <w:adjustRightInd w:val="0"/>
              <w:jc w:val="both"/>
              <w:textAlignment w:val="baseline"/>
              <w:rPr>
                <w:rFonts w:hint="eastAsia" w:ascii="宋体" w:hAnsi="宋体" w:cs="宋体"/>
                <w:b/>
                <w:bCs/>
                <w:sz w:val="24"/>
              </w:rPr>
            </w:pPr>
            <w:r>
              <w:rPr>
                <w:rFonts w:hint="eastAsia" w:ascii="宋体" w:hAnsi="宋体" w:cs="宋体"/>
                <w:kern w:val="0"/>
                <w:sz w:val="24"/>
              </w:rPr>
              <w:t>开标时间和地点</w:t>
            </w:r>
          </w:p>
        </w:tc>
        <w:tc>
          <w:tcPr>
            <w:tcW w:w="7903" w:type="dxa"/>
            <w:vAlign w:val="center"/>
          </w:tcPr>
          <w:p w14:paraId="1E0CFAE5">
            <w:pPr>
              <w:widowControl w:val="0"/>
              <w:adjustRightInd w:val="0"/>
              <w:snapToGrid w:val="0"/>
              <w:jc w:val="both"/>
              <w:textAlignment w:val="baseline"/>
              <w:rPr>
                <w:rFonts w:hint="eastAsia" w:ascii="宋体" w:hAnsi="宋体" w:cs="宋体"/>
                <w:sz w:val="24"/>
              </w:rPr>
            </w:pPr>
            <w:r>
              <w:rPr>
                <w:rFonts w:hint="eastAsia" w:ascii="宋体" w:hAnsi="宋体" w:cs="宋体"/>
                <w:sz w:val="24"/>
              </w:rPr>
              <w:t>开标时间：同投标截止时间；</w:t>
            </w:r>
          </w:p>
          <w:p w14:paraId="7301D4B7">
            <w:pPr>
              <w:widowControl w:val="0"/>
              <w:adjustRightInd w:val="0"/>
              <w:snapToGrid w:val="0"/>
              <w:jc w:val="both"/>
              <w:textAlignment w:val="baseline"/>
              <w:rPr>
                <w:rFonts w:hint="eastAsia" w:ascii="宋体" w:hAnsi="宋体" w:cs="宋体"/>
                <w:sz w:val="24"/>
              </w:rPr>
            </w:pPr>
            <w:r>
              <w:rPr>
                <w:rFonts w:hint="eastAsia" w:ascii="宋体" w:hAnsi="宋体" w:cs="宋体"/>
                <w:sz w:val="24"/>
              </w:rPr>
              <w:t>开标地点：同响应文件递交地点。</w:t>
            </w:r>
          </w:p>
        </w:tc>
      </w:tr>
      <w:tr w14:paraId="288C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52" w:type="dxa"/>
            <w:vAlign w:val="center"/>
          </w:tcPr>
          <w:p w14:paraId="4B3096FA">
            <w:pPr>
              <w:widowControl w:val="0"/>
              <w:adjustRightInd w:val="0"/>
              <w:jc w:val="center"/>
              <w:textAlignment w:val="baseline"/>
              <w:rPr>
                <w:rFonts w:hint="eastAsia" w:ascii="宋体" w:hAnsi="宋体" w:cs="宋体"/>
                <w:kern w:val="0"/>
                <w:sz w:val="24"/>
              </w:rPr>
            </w:pPr>
            <w:r>
              <w:rPr>
                <w:rFonts w:hint="eastAsia" w:ascii="宋体" w:hAnsi="宋体" w:cs="宋体"/>
                <w:kern w:val="0"/>
                <w:sz w:val="24"/>
              </w:rPr>
              <w:t>10</w:t>
            </w:r>
          </w:p>
        </w:tc>
        <w:tc>
          <w:tcPr>
            <w:tcW w:w="1701" w:type="dxa"/>
            <w:vAlign w:val="center"/>
          </w:tcPr>
          <w:p w14:paraId="221CDFAC">
            <w:pPr>
              <w:widowControl w:val="0"/>
              <w:adjustRightInd w:val="0"/>
              <w:snapToGrid w:val="0"/>
              <w:jc w:val="both"/>
              <w:textAlignment w:val="baseline"/>
              <w:rPr>
                <w:rFonts w:hint="eastAsia" w:ascii="宋体" w:hAnsi="宋体" w:cs="宋体"/>
                <w:kern w:val="0"/>
                <w:sz w:val="24"/>
              </w:rPr>
            </w:pPr>
            <w:r>
              <w:rPr>
                <w:rFonts w:hint="eastAsia" w:ascii="宋体" w:hAnsi="宋体" w:cs="宋体"/>
                <w:sz w:val="24"/>
              </w:rPr>
              <w:t>评标委员会</w:t>
            </w:r>
          </w:p>
        </w:tc>
        <w:tc>
          <w:tcPr>
            <w:tcW w:w="7903" w:type="dxa"/>
            <w:vAlign w:val="center"/>
          </w:tcPr>
          <w:p w14:paraId="48BD7DB6">
            <w:pPr>
              <w:widowControl w:val="0"/>
              <w:adjustRightInd w:val="0"/>
              <w:snapToGrid w:val="0"/>
              <w:jc w:val="both"/>
              <w:textAlignment w:val="baseline"/>
              <w:rPr>
                <w:rFonts w:hint="eastAsia" w:ascii="宋体" w:hAnsi="宋体" w:cs="宋体"/>
                <w:sz w:val="24"/>
              </w:rPr>
            </w:pPr>
            <w:r>
              <w:rPr>
                <w:rFonts w:hint="eastAsia" w:ascii="宋体" w:hAnsi="宋体" w:cs="宋体"/>
                <w:color w:val="000000"/>
                <w:sz w:val="24"/>
              </w:rPr>
              <w:t>依法按规组建5人或以上单数</w:t>
            </w:r>
            <w:r>
              <w:rPr>
                <w:rFonts w:hint="eastAsia" w:ascii="宋体" w:hAnsi="宋体" w:cs="宋体"/>
                <w:sz w:val="24"/>
              </w:rPr>
              <w:t>评标委员会</w:t>
            </w:r>
          </w:p>
        </w:tc>
      </w:tr>
      <w:tr w14:paraId="15BF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2" w:type="dxa"/>
            <w:vAlign w:val="center"/>
          </w:tcPr>
          <w:p w14:paraId="30276AEE">
            <w:pPr>
              <w:widowControl w:val="0"/>
              <w:adjustRightInd w:val="0"/>
              <w:jc w:val="center"/>
              <w:textAlignment w:val="baseline"/>
              <w:rPr>
                <w:rFonts w:hint="eastAsia" w:ascii="宋体" w:hAnsi="宋体" w:cs="宋体"/>
                <w:kern w:val="0"/>
                <w:sz w:val="24"/>
              </w:rPr>
            </w:pPr>
            <w:r>
              <w:rPr>
                <w:rFonts w:hint="eastAsia" w:ascii="宋体" w:hAnsi="宋体" w:cs="宋体"/>
                <w:kern w:val="0"/>
                <w:sz w:val="24"/>
              </w:rPr>
              <w:t>11</w:t>
            </w:r>
          </w:p>
        </w:tc>
        <w:tc>
          <w:tcPr>
            <w:tcW w:w="1701" w:type="dxa"/>
            <w:vAlign w:val="center"/>
          </w:tcPr>
          <w:p w14:paraId="733DFE6E">
            <w:pPr>
              <w:widowControl w:val="0"/>
              <w:adjustRightInd w:val="0"/>
              <w:snapToGrid w:val="0"/>
              <w:jc w:val="both"/>
              <w:textAlignment w:val="baseline"/>
              <w:rPr>
                <w:rFonts w:hint="eastAsia" w:ascii="宋体" w:hAnsi="宋体" w:cs="宋体"/>
                <w:sz w:val="24"/>
              </w:rPr>
            </w:pPr>
            <w:r>
              <w:rPr>
                <w:rFonts w:hint="eastAsia" w:ascii="宋体" w:hAnsi="宋体" w:cs="宋体"/>
                <w:sz w:val="24"/>
              </w:rPr>
              <w:t>评标办法</w:t>
            </w:r>
          </w:p>
        </w:tc>
        <w:tc>
          <w:tcPr>
            <w:tcW w:w="7903" w:type="dxa"/>
            <w:vAlign w:val="center"/>
          </w:tcPr>
          <w:p w14:paraId="2C56B73A">
            <w:pPr>
              <w:widowControl w:val="0"/>
              <w:adjustRightInd w:val="0"/>
              <w:snapToGrid w:val="0"/>
              <w:jc w:val="both"/>
              <w:textAlignment w:val="baseline"/>
              <w:rPr>
                <w:rFonts w:hint="eastAsia" w:ascii="宋体" w:hAnsi="宋体" w:cs="宋体"/>
                <w:sz w:val="24"/>
              </w:rPr>
            </w:pPr>
            <w:r>
              <w:rPr>
                <w:rFonts w:hint="eastAsia" w:ascii="宋体" w:hAnsi="宋体" w:cs="宋体"/>
                <w:sz w:val="24"/>
              </w:rPr>
              <w:t>根据</w:t>
            </w:r>
            <w:r>
              <w:rPr>
                <w:rFonts w:hint="eastAsia" w:ascii="宋体" w:hAnsi="宋体" w:cs="宋体"/>
                <w:kern w:val="0"/>
                <w:sz w:val="24"/>
              </w:rPr>
              <w:t>《政府采购货物和服务招标投标管理办法》（中华人民共和国财政部令第87号）</w:t>
            </w:r>
            <w:r>
              <w:rPr>
                <w:rFonts w:hint="eastAsia" w:ascii="宋体" w:hAnsi="宋体" w:cs="宋体"/>
                <w:sz w:val="24"/>
              </w:rPr>
              <w:t>规定的评审标准，</w:t>
            </w:r>
            <w:r>
              <w:rPr>
                <w:rFonts w:hint="eastAsia" w:ascii="宋体" w:hAnsi="宋体" w:cs="宋体"/>
                <w:b/>
                <w:sz w:val="24"/>
              </w:rPr>
              <w:t>采用</w:t>
            </w:r>
            <w:r>
              <w:rPr>
                <w:rFonts w:hint="eastAsia" w:ascii="宋体" w:hAnsi="宋体" w:cs="宋体"/>
                <w:b/>
                <w:kern w:val="0"/>
                <w:sz w:val="24"/>
              </w:rPr>
              <w:t>综合评分法</w:t>
            </w:r>
          </w:p>
        </w:tc>
      </w:tr>
      <w:tr w14:paraId="4169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852" w:type="dxa"/>
            <w:vAlign w:val="center"/>
          </w:tcPr>
          <w:p w14:paraId="7E7C7DAE">
            <w:pPr>
              <w:widowControl w:val="0"/>
              <w:adjustRightInd w:val="0"/>
              <w:jc w:val="center"/>
              <w:textAlignment w:val="baseline"/>
              <w:rPr>
                <w:rFonts w:hint="eastAsia" w:ascii="宋体" w:hAnsi="宋体" w:cs="宋体"/>
                <w:kern w:val="0"/>
                <w:sz w:val="24"/>
              </w:rPr>
            </w:pPr>
            <w:r>
              <w:rPr>
                <w:rFonts w:hint="eastAsia" w:ascii="宋体" w:hAnsi="宋体" w:cs="宋体"/>
                <w:kern w:val="0"/>
                <w:sz w:val="24"/>
              </w:rPr>
              <w:t>12</w:t>
            </w:r>
          </w:p>
        </w:tc>
        <w:tc>
          <w:tcPr>
            <w:tcW w:w="1701" w:type="dxa"/>
            <w:vAlign w:val="center"/>
          </w:tcPr>
          <w:p w14:paraId="08EE82B6">
            <w:pPr>
              <w:widowControl w:val="0"/>
              <w:adjustRightInd w:val="0"/>
              <w:snapToGrid w:val="0"/>
              <w:jc w:val="both"/>
              <w:textAlignment w:val="baseline"/>
              <w:rPr>
                <w:rFonts w:hint="eastAsia" w:ascii="宋体" w:hAnsi="宋体" w:cs="宋体"/>
                <w:sz w:val="24"/>
              </w:rPr>
            </w:pPr>
            <w:r>
              <w:rPr>
                <w:rFonts w:hint="eastAsia" w:ascii="宋体" w:hAnsi="宋体" w:cs="宋体"/>
                <w:sz w:val="24"/>
              </w:rPr>
              <w:t>评标</w:t>
            </w:r>
          </w:p>
        </w:tc>
        <w:tc>
          <w:tcPr>
            <w:tcW w:w="7903" w:type="dxa"/>
            <w:vAlign w:val="center"/>
          </w:tcPr>
          <w:p w14:paraId="41193564">
            <w:pPr>
              <w:widowControl w:val="0"/>
              <w:adjustRightInd w:val="0"/>
              <w:snapToGrid w:val="0"/>
              <w:jc w:val="both"/>
              <w:textAlignment w:val="baseline"/>
              <w:rPr>
                <w:rFonts w:hint="eastAsia" w:ascii="宋体" w:hAnsi="宋体" w:cs="宋体"/>
                <w:sz w:val="24"/>
              </w:rPr>
            </w:pPr>
            <w:r>
              <w:rPr>
                <w:rFonts w:hint="eastAsia" w:ascii="宋体" w:hAnsi="宋体" w:cs="宋体"/>
                <w:sz w:val="24"/>
              </w:rPr>
              <w:t>（1）由评标委员会依据有关法律、法规及采购文件的有关规定，对各供应商提供的响应文件初步评审和资格性、符合性审查进行审查，只有通过审查的供应商才能进入下一阶段的评审。</w:t>
            </w:r>
          </w:p>
          <w:p w14:paraId="7F221CC9">
            <w:pPr>
              <w:widowControl w:val="0"/>
              <w:adjustRightInd w:val="0"/>
              <w:jc w:val="both"/>
              <w:textAlignment w:val="baseline"/>
              <w:rPr>
                <w:rFonts w:hint="eastAsia" w:ascii="宋体" w:hAnsi="宋体" w:cs="宋体"/>
                <w:sz w:val="24"/>
              </w:rPr>
            </w:pPr>
            <w:r>
              <w:rPr>
                <w:rFonts w:hint="eastAsia" w:ascii="宋体" w:hAnsi="宋体" w:cs="宋体"/>
                <w:sz w:val="24"/>
              </w:rPr>
              <w:t>（2）通过初步评审和资格性、符合性审查（响应文件在商务、技术等满足采购文件全部实质性要求）的有效供应商，且综合得分最高的供应商为中标候选人；</w:t>
            </w:r>
          </w:p>
          <w:p w14:paraId="5AB73498">
            <w:pPr>
              <w:widowControl w:val="0"/>
              <w:adjustRightInd w:val="0"/>
              <w:snapToGrid w:val="0"/>
              <w:jc w:val="both"/>
              <w:textAlignment w:val="baseline"/>
              <w:rPr>
                <w:rFonts w:hint="eastAsia" w:ascii="宋体" w:hAnsi="宋体" w:cs="宋体"/>
                <w:sz w:val="24"/>
              </w:rPr>
            </w:pPr>
            <w:r>
              <w:rPr>
                <w:rFonts w:hint="eastAsia" w:ascii="宋体" w:hAnsi="宋体" w:cs="宋体"/>
                <w:sz w:val="24"/>
              </w:rPr>
              <w:t>（3）各供应商的响应文件将提交评标委员会审核。供应商应对其提交的响应文件中资料的真实性、合法性负责并承担相应的法律责任，即使供应商所提交的响应文件通过了审查，乃至已确定了成交供应商后，如发现供应商所提供的资格类文件不合法或不真实，或存在虚假资料的，仍可废除其成交资格并追究成交供应商的法律责任。</w:t>
            </w:r>
          </w:p>
        </w:tc>
      </w:tr>
      <w:tr w14:paraId="2C06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 w:type="dxa"/>
            <w:vAlign w:val="center"/>
          </w:tcPr>
          <w:p w14:paraId="07C0A686">
            <w:pPr>
              <w:widowControl w:val="0"/>
              <w:adjustRightInd w:val="0"/>
              <w:snapToGrid w:val="0"/>
              <w:jc w:val="center"/>
              <w:textAlignment w:val="baseline"/>
              <w:rPr>
                <w:rFonts w:hint="eastAsia" w:ascii="宋体" w:hAnsi="宋体" w:cs="宋体"/>
                <w:kern w:val="0"/>
                <w:sz w:val="24"/>
              </w:rPr>
            </w:pPr>
            <w:r>
              <w:rPr>
                <w:rFonts w:hint="eastAsia" w:ascii="宋体" w:hAnsi="宋体" w:cs="宋体"/>
                <w:sz w:val="24"/>
              </w:rPr>
              <w:t>13</w:t>
            </w:r>
          </w:p>
        </w:tc>
        <w:tc>
          <w:tcPr>
            <w:tcW w:w="1701" w:type="dxa"/>
            <w:vAlign w:val="center"/>
          </w:tcPr>
          <w:p w14:paraId="04C1085F">
            <w:pPr>
              <w:jc w:val="both"/>
              <w:rPr>
                <w:rFonts w:hint="eastAsia" w:ascii="宋体" w:hAnsi="宋体" w:cs="宋体"/>
                <w:sz w:val="24"/>
              </w:rPr>
            </w:pPr>
            <w:r>
              <w:rPr>
                <w:rFonts w:hint="eastAsia" w:ascii="宋体" w:hAnsi="宋体" w:cs="宋体"/>
                <w:sz w:val="24"/>
              </w:rPr>
              <w:t>中标公示</w:t>
            </w:r>
          </w:p>
        </w:tc>
        <w:tc>
          <w:tcPr>
            <w:tcW w:w="7903" w:type="dxa"/>
            <w:vAlign w:val="center"/>
          </w:tcPr>
          <w:p w14:paraId="7C6AE5FF">
            <w:pPr>
              <w:jc w:val="both"/>
              <w:rPr>
                <w:rFonts w:hint="eastAsia" w:ascii="宋体" w:hAnsi="宋体" w:cs="宋体"/>
                <w:sz w:val="24"/>
              </w:rPr>
            </w:pPr>
            <w:r>
              <w:rPr>
                <w:rFonts w:hint="eastAsia" w:ascii="宋体" w:hAnsi="宋体" w:cs="宋体"/>
                <w:sz w:val="24"/>
              </w:rPr>
              <w:t>对中标结果在规定的媒体上进行公示，</w:t>
            </w:r>
            <w:r>
              <w:rPr>
                <w:rFonts w:hint="eastAsia" w:ascii="宋体" w:hAnsi="宋体" w:cs="宋体"/>
                <w:bCs/>
                <w:sz w:val="24"/>
              </w:rPr>
              <w:t>中标公告期限为1个工作日</w:t>
            </w:r>
          </w:p>
        </w:tc>
      </w:tr>
      <w:tr w14:paraId="27B4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852" w:type="dxa"/>
            <w:vAlign w:val="center"/>
          </w:tcPr>
          <w:p w14:paraId="0B604527">
            <w:pPr>
              <w:widowControl w:val="0"/>
              <w:adjustRightInd w:val="0"/>
              <w:jc w:val="center"/>
              <w:textAlignment w:val="baseline"/>
              <w:rPr>
                <w:rFonts w:hint="eastAsia" w:ascii="宋体" w:hAnsi="宋体" w:cs="宋体"/>
                <w:kern w:val="0"/>
                <w:sz w:val="24"/>
              </w:rPr>
            </w:pPr>
            <w:r>
              <w:rPr>
                <w:rFonts w:hint="eastAsia" w:ascii="宋体" w:hAnsi="宋体" w:cs="宋体"/>
                <w:sz w:val="24"/>
              </w:rPr>
              <w:t>14</w:t>
            </w:r>
          </w:p>
        </w:tc>
        <w:tc>
          <w:tcPr>
            <w:tcW w:w="1701" w:type="dxa"/>
            <w:vAlign w:val="center"/>
          </w:tcPr>
          <w:p w14:paraId="07499155">
            <w:pPr>
              <w:widowControl w:val="0"/>
              <w:adjustRightInd w:val="0"/>
              <w:jc w:val="both"/>
              <w:textAlignment w:val="baseline"/>
              <w:rPr>
                <w:rFonts w:hint="eastAsia" w:ascii="宋体" w:hAnsi="宋体" w:cs="宋体"/>
                <w:sz w:val="24"/>
              </w:rPr>
            </w:pPr>
            <w:r>
              <w:rPr>
                <w:rFonts w:hint="eastAsia" w:ascii="宋体" w:hAnsi="宋体" w:cs="宋体"/>
                <w:sz w:val="24"/>
              </w:rPr>
              <w:t>重新招标或其他方式采购</w:t>
            </w:r>
          </w:p>
        </w:tc>
        <w:tc>
          <w:tcPr>
            <w:tcW w:w="7903" w:type="dxa"/>
            <w:vAlign w:val="center"/>
          </w:tcPr>
          <w:p w14:paraId="2C592B25">
            <w:pPr>
              <w:widowControl w:val="0"/>
              <w:adjustRightInd w:val="0"/>
              <w:jc w:val="both"/>
              <w:textAlignment w:val="baseline"/>
              <w:rPr>
                <w:rFonts w:hint="eastAsia" w:ascii="宋体" w:hAnsi="宋体" w:cs="宋体"/>
                <w:sz w:val="24"/>
              </w:rPr>
            </w:pPr>
            <w:r>
              <w:rPr>
                <w:rFonts w:hint="eastAsia" w:ascii="宋体" w:hAnsi="宋体" w:cs="宋体"/>
                <w:sz w:val="24"/>
              </w:rPr>
              <w:t>公开招标数额标准以上的采购项目，投标截止后供应商不足3家或者通过资格审查或符合性审查的供应商不足3家的，除采购任务取消情形外，根据</w:t>
            </w:r>
            <w:r>
              <w:rPr>
                <w:rFonts w:hint="eastAsia" w:ascii="宋体" w:hAnsi="宋体" w:cs="宋体"/>
                <w:kern w:val="0"/>
                <w:sz w:val="24"/>
              </w:rPr>
              <w:t>《政府采购货物和服务招标投标管理办法》（中华人民共和国财政部令第87号）</w:t>
            </w:r>
            <w:r>
              <w:rPr>
                <w:rFonts w:hint="eastAsia" w:ascii="宋体" w:hAnsi="宋体" w:cs="宋体"/>
                <w:sz w:val="24"/>
              </w:rPr>
              <w:t>第四十三条规定，按照以下方式处理：</w:t>
            </w:r>
          </w:p>
          <w:p w14:paraId="73D8E5EE">
            <w:pPr>
              <w:widowControl w:val="0"/>
              <w:adjustRightInd w:val="0"/>
              <w:jc w:val="both"/>
              <w:textAlignment w:val="baseline"/>
              <w:rPr>
                <w:rFonts w:hint="eastAsia" w:ascii="宋体" w:hAnsi="宋体" w:cs="宋体"/>
                <w:sz w:val="24"/>
              </w:rPr>
            </w:pPr>
            <w:r>
              <w:rPr>
                <w:rFonts w:hint="eastAsia" w:ascii="宋体" w:hAnsi="宋体" w:cs="宋体"/>
                <w:sz w:val="24"/>
              </w:rPr>
              <w:t>（1）采购文件存在不合理条款或者招标程序不符合规定的，采购人、采购代理机构改正后依法重新招标；</w:t>
            </w:r>
          </w:p>
          <w:p w14:paraId="62F9E434">
            <w:pPr>
              <w:widowControl w:val="0"/>
              <w:adjustRightInd w:val="0"/>
              <w:jc w:val="both"/>
              <w:textAlignment w:val="baseline"/>
              <w:rPr>
                <w:rFonts w:hint="eastAsia" w:ascii="宋体" w:hAnsi="宋体" w:cs="宋体"/>
                <w:sz w:val="24"/>
              </w:rPr>
            </w:pPr>
            <w:r>
              <w:rPr>
                <w:rFonts w:hint="eastAsia" w:ascii="宋体" w:hAnsi="宋体" w:cs="宋体"/>
                <w:sz w:val="24"/>
              </w:rPr>
              <w:t>（2）采购文件没有不合理条款、招标程序符合规定，需要采用其他采购方式采购的，采购人应当依法报财政部门批准。</w:t>
            </w:r>
          </w:p>
        </w:tc>
      </w:tr>
      <w:tr w14:paraId="07A9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14:paraId="54628EC1">
            <w:pPr>
              <w:widowControl w:val="0"/>
              <w:adjustRightInd w:val="0"/>
              <w:snapToGrid w:val="0"/>
              <w:jc w:val="center"/>
              <w:textAlignment w:val="baseline"/>
              <w:rPr>
                <w:rFonts w:hint="eastAsia" w:ascii="宋体" w:hAnsi="宋体" w:cs="宋体"/>
                <w:kern w:val="0"/>
                <w:sz w:val="24"/>
              </w:rPr>
            </w:pPr>
            <w:r>
              <w:rPr>
                <w:rFonts w:hint="eastAsia" w:ascii="宋体" w:hAnsi="宋体" w:cs="宋体"/>
                <w:b/>
                <w:sz w:val="24"/>
              </w:rPr>
              <w:t>15</w:t>
            </w:r>
          </w:p>
        </w:tc>
        <w:tc>
          <w:tcPr>
            <w:tcW w:w="1701" w:type="dxa"/>
            <w:vAlign w:val="center"/>
          </w:tcPr>
          <w:p w14:paraId="640B76ED">
            <w:pPr>
              <w:widowControl w:val="0"/>
              <w:adjustRightInd w:val="0"/>
              <w:snapToGrid w:val="0"/>
              <w:jc w:val="both"/>
              <w:textAlignment w:val="baseline"/>
              <w:rPr>
                <w:rFonts w:hint="eastAsia" w:ascii="宋体" w:hAnsi="宋体" w:cs="宋体"/>
                <w:sz w:val="24"/>
              </w:rPr>
            </w:pPr>
            <w:r>
              <w:rPr>
                <w:rFonts w:hint="eastAsia" w:ascii="宋体" w:hAnsi="宋体" w:cs="宋体"/>
                <w:sz w:val="24"/>
              </w:rPr>
              <w:t>质疑和投诉</w:t>
            </w:r>
          </w:p>
        </w:tc>
        <w:tc>
          <w:tcPr>
            <w:tcW w:w="7903" w:type="dxa"/>
            <w:vAlign w:val="center"/>
          </w:tcPr>
          <w:p w14:paraId="26DE42C2">
            <w:pPr>
              <w:widowControl w:val="0"/>
              <w:adjustRightInd w:val="0"/>
              <w:jc w:val="both"/>
              <w:textAlignment w:val="baseline"/>
              <w:rPr>
                <w:rFonts w:hint="eastAsia" w:ascii="宋体" w:hAnsi="宋体" w:cs="宋体"/>
                <w:sz w:val="24"/>
              </w:rPr>
            </w:pPr>
            <w:r>
              <w:rPr>
                <w:rFonts w:hint="eastAsia" w:ascii="宋体" w:hAnsi="宋体" w:cs="宋体"/>
                <w:sz w:val="24"/>
              </w:rPr>
              <w:t>（1）供应商认为采购文件、招标过程或中标结果使自己的合法权益受到损害的，应当在知道或者应知其权益受到损害之日起在规定的期限内，以书面形式向采购人或采购代理机构提出质疑。采购人或采购代理机构</w:t>
            </w:r>
            <w:r>
              <w:rPr>
                <w:rFonts w:hint="eastAsia" w:ascii="宋体" w:hAnsi="宋体" w:cs="宋体"/>
                <w:spacing w:val="8"/>
                <w:kern w:val="0"/>
                <w:sz w:val="24"/>
              </w:rPr>
              <w:t>收到供应商书面质疑后在规定的时间内，对质疑内容作出答复，</w:t>
            </w:r>
            <w:r>
              <w:rPr>
                <w:rFonts w:hint="eastAsia" w:ascii="宋体" w:hAnsi="宋体" w:cs="宋体"/>
                <w:sz w:val="24"/>
              </w:rPr>
              <w:t>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37B3CC17">
            <w:pPr>
              <w:widowControl w:val="0"/>
              <w:adjustRightInd w:val="0"/>
              <w:jc w:val="both"/>
              <w:textAlignment w:val="baseline"/>
              <w:rPr>
                <w:rFonts w:hint="eastAsia" w:ascii="宋体" w:hAnsi="宋体" w:cs="宋体"/>
                <w:sz w:val="24"/>
              </w:rPr>
            </w:pPr>
            <w:r>
              <w:rPr>
                <w:rFonts w:hint="eastAsia" w:ascii="宋体" w:hAnsi="宋体" w:cs="宋体"/>
                <w:sz w:val="24"/>
              </w:rPr>
              <w:t>（2）质疑、投诉应当采用书面形式，质疑、投诉均应明确阐述采购文件、招标过程或中标结果中使自己合法权益受到损害的实质性内容，提供相关事实、依据和证据及其来源或线索，便于有关单位调查、答复和处理。</w:t>
            </w:r>
          </w:p>
        </w:tc>
      </w:tr>
      <w:tr w14:paraId="2C4A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52" w:type="dxa"/>
            <w:vAlign w:val="center"/>
          </w:tcPr>
          <w:p w14:paraId="0A4869BE">
            <w:pPr>
              <w:widowControl w:val="0"/>
              <w:adjustRightInd w:val="0"/>
              <w:snapToGrid w:val="0"/>
              <w:jc w:val="center"/>
              <w:textAlignment w:val="baseline"/>
              <w:rPr>
                <w:rFonts w:hint="eastAsia" w:ascii="宋体" w:hAnsi="宋体" w:cs="宋体"/>
                <w:sz w:val="24"/>
              </w:rPr>
            </w:pPr>
            <w:r>
              <w:rPr>
                <w:rFonts w:hint="eastAsia" w:ascii="宋体" w:hAnsi="宋体" w:cs="宋体"/>
                <w:sz w:val="24"/>
              </w:rPr>
              <w:t>16</w:t>
            </w:r>
          </w:p>
        </w:tc>
        <w:tc>
          <w:tcPr>
            <w:tcW w:w="1701" w:type="dxa"/>
            <w:vAlign w:val="center"/>
          </w:tcPr>
          <w:p w14:paraId="170D5C37">
            <w:pPr>
              <w:widowControl w:val="0"/>
              <w:adjustRightInd w:val="0"/>
              <w:jc w:val="both"/>
              <w:textAlignment w:val="baseline"/>
              <w:rPr>
                <w:rFonts w:hint="eastAsia" w:ascii="宋体" w:hAnsi="宋体" w:cs="宋体"/>
                <w:sz w:val="24"/>
              </w:rPr>
            </w:pPr>
            <w:r>
              <w:rPr>
                <w:rFonts w:hint="eastAsia" w:ascii="宋体" w:hAnsi="宋体" w:cs="宋体"/>
                <w:sz w:val="24"/>
              </w:rPr>
              <w:t>中小微企业投标价格扣除</w:t>
            </w:r>
          </w:p>
        </w:tc>
        <w:tc>
          <w:tcPr>
            <w:tcW w:w="7903" w:type="dxa"/>
            <w:vAlign w:val="center"/>
          </w:tcPr>
          <w:p w14:paraId="76977AAD">
            <w:pPr>
              <w:widowControl w:val="0"/>
              <w:adjustRightInd w:val="0"/>
              <w:jc w:val="both"/>
              <w:textAlignment w:val="baseline"/>
              <w:rPr>
                <w:rFonts w:hint="eastAsia" w:ascii="宋体" w:hAnsi="宋体" w:cs="宋体"/>
                <w:sz w:val="24"/>
              </w:rPr>
            </w:pPr>
            <w:r>
              <w:rPr>
                <w:rFonts w:hint="eastAsia" w:ascii="宋体" w:hAnsi="宋体" w:cs="宋体"/>
                <w:sz w:val="24"/>
              </w:rPr>
              <w:t>本项目专门面向中小企业，评审时不给予价格扣除。</w:t>
            </w:r>
          </w:p>
        </w:tc>
      </w:tr>
      <w:tr w14:paraId="07F2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52" w:type="dxa"/>
            <w:vAlign w:val="center"/>
          </w:tcPr>
          <w:p w14:paraId="353CA019">
            <w:pPr>
              <w:widowControl w:val="0"/>
              <w:adjustRightInd w:val="0"/>
              <w:snapToGrid w:val="0"/>
              <w:jc w:val="center"/>
              <w:textAlignment w:val="baseline"/>
              <w:rPr>
                <w:rFonts w:hint="eastAsia" w:ascii="宋体" w:hAnsi="宋体" w:cs="宋体"/>
                <w:sz w:val="24"/>
              </w:rPr>
            </w:pPr>
            <w:r>
              <w:rPr>
                <w:rFonts w:hint="eastAsia" w:ascii="宋体" w:hAnsi="宋体" w:cs="宋体"/>
                <w:sz w:val="24"/>
              </w:rPr>
              <w:t>17</w:t>
            </w:r>
          </w:p>
        </w:tc>
        <w:tc>
          <w:tcPr>
            <w:tcW w:w="1701" w:type="dxa"/>
            <w:vAlign w:val="center"/>
          </w:tcPr>
          <w:p w14:paraId="71D6A5F6">
            <w:pPr>
              <w:widowControl w:val="0"/>
              <w:adjustRightInd w:val="0"/>
              <w:jc w:val="center"/>
              <w:textAlignment w:val="baseline"/>
              <w:rPr>
                <w:rFonts w:hint="eastAsia" w:ascii="宋体" w:hAnsi="宋体" w:cs="宋体"/>
                <w:sz w:val="24"/>
              </w:rPr>
            </w:pPr>
            <w:r>
              <w:rPr>
                <w:rFonts w:hint="eastAsia" w:ascii="宋体" w:hAnsi="宋体" w:cs="宋体"/>
                <w:sz w:val="24"/>
              </w:rPr>
              <w:t>特别提示</w:t>
            </w:r>
          </w:p>
        </w:tc>
        <w:tc>
          <w:tcPr>
            <w:tcW w:w="7903" w:type="dxa"/>
            <w:vAlign w:val="center"/>
          </w:tcPr>
          <w:p w14:paraId="52A9C820">
            <w:pPr>
              <w:widowControl w:val="0"/>
              <w:adjustRightInd w:val="0"/>
              <w:jc w:val="both"/>
              <w:textAlignment w:val="baseline"/>
              <w:rPr>
                <w:rFonts w:hint="eastAsia" w:ascii="宋体" w:hAnsi="宋体" w:cs="宋体"/>
                <w:sz w:val="24"/>
              </w:rPr>
            </w:pPr>
            <w:r>
              <w:rPr>
                <w:rFonts w:hint="eastAsia" w:ascii="宋体" w:hAnsi="宋体" w:cs="宋体"/>
                <w:bCs/>
                <w:sz w:val="24"/>
              </w:rPr>
              <w:t>采购代理服务费：</w:t>
            </w:r>
            <w:r>
              <w:rPr>
                <w:rFonts w:hint="eastAsia" w:ascii="宋体" w:hAnsi="宋体" w:cs="宋体"/>
                <w:sz w:val="24"/>
              </w:rPr>
              <w:t>本项目采购代理服务费参照原国家发展计划委员会文件（计价格[2002]1980号文）、（发改办价格[2003]857号文件）及财库[2018]2号文件所规定标准由成交供应商向采购代理机构支付。</w:t>
            </w:r>
          </w:p>
          <w:p w14:paraId="566F53E8">
            <w:pPr>
              <w:widowControl w:val="0"/>
              <w:adjustRightInd w:val="0"/>
              <w:jc w:val="both"/>
              <w:textAlignment w:val="baseline"/>
              <w:rPr>
                <w:rFonts w:hint="eastAsia" w:ascii="宋体" w:hAnsi="宋体" w:cs="宋体"/>
                <w:sz w:val="24"/>
              </w:rPr>
            </w:pPr>
            <w:r>
              <w:rPr>
                <w:rFonts w:hint="eastAsia" w:ascii="宋体" w:hAnsi="宋体" w:cs="宋体"/>
                <w:sz w:val="24"/>
              </w:rPr>
              <w:t>缴纳时间：成交通知书发出时</w:t>
            </w:r>
          </w:p>
        </w:tc>
      </w:tr>
      <w:tr w14:paraId="4F86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2" w:type="dxa"/>
            <w:vAlign w:val="center"/>
          </w:tcPr>
          <w:p w14:paraId="09D9CCE8">
            <w:pPr>
              <w:widowControl w:val="0"/>
              <w:adjustRightInd w:val="0"/>
              <w:snapToGrid w:val="0"/>
              <w:jc w:val="center"/>
              <w:textAlignment w:val="baseline"/>
              <w:rPr>
                <w:rFonts w:hint="eastAsia" w:ascii="宋体" w:hAnsi="宋体" w:cs="宋体"/>
                <w:sz w:val="24"/>
              </w:rPr>
            </w:pPr>
            <w:r>
              <w:rPr>
                <w:rFonts w:hint="eastAsia" w:ascii="宋体" w:hAnsi="宋体" w:cs="宋体"/>
                <w:sz w:val="24"/>
              </w:rPr>
              <w:t>18</w:t>
            </w:r>
          </w:p>
        </w:tc>
        <w:tc>
          <w:tcPr>
            <w:tcW w:w="1701" w:type="dxa"/>
            <w:vAlign w:val="center"/>
          </w:tcPr>
          <w:p w14:paraId="0396A85E">
            <w:pPr>
              <w:jc w:val="center"/>
              <w:rPr>
                <w:rFonts w:hint="eastAsia" w:ascii="宋体" w:hAnsi="宋体" w:cs="宋体"/>
                <w:sz w:val="24"/>
              </w:rPr>
            </w:pPr>
            <w:r>
              <w:rPr>
                <w:rFonts w:hint="eastAsia" w:ascii="宋体" w:hAnsi="宋体" w:cs="宋体"/>
                <w:sz w:val="24"/>
              </w:rPr>
              <w:t>通讯联系</w:t>
            </w:r>
          </w:p>
        </w:tc>
        <w:tc>
          <w:tcPr>
            <w:tcW w:w="7903" w:type="dxa"/>
            <w:vAlign w:val="center"/>
          </w:tcPr>
          <w:p w14:paraId="45C5C795">
            <w:pPr>
              <w:widowControl w:val="0"/>
              <w:adjustRightInd w:val="0"/>
              <w:jc w:val="both"/>
              <w:textAlignment w:val="baseline"/>
              <w:rPr>
                <w:rFonts w:hint="eastAsia" w:ascii="宋体" w:hAnsi="宋体" w:cs="宋体"/>
                <w:sz w:val="24"/>
              </w:rPr>
            </w:pPr>
            <w:r>
              <w:rPr>
                <w:rFonts w:hint="eastAsia" w:ascii="宋体" w:hAnsi="宋体" w:cs="宋体"/>
                <w:sz w:val="24"/>
              </w:rPr>
              <w:t>自获取（购买）采购文件之日起，供应商应确保其提供的联系方式（电话、传真、电子邮件等）一直保持有效和畅通，以保证往来函件（响应文件的澄清、修改等）能及时通知供应商，并能及时反馈信息，否则采购人（或采购代理机构）不承担由此（因供应商提供的联系方式无效或通讯不畅、无法联系等因素）引起的一切后果！</w:t>
            </w:r>
          </w:p>
        </w:tc>
      </w:tr>
      <w:tr w14:paraId="4596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3" w:hRule="atLeast"/>
        </w:trPr>
        <w:tc>
          <w:tcPr>
            <w:tcW w:w="852" w:type="dxa"/>
            <w:vAlign w:val="center"/>
          </w:tcPr>
          <w:p w14:paraId="776DD626">
            <w:pPr>
              <w:widowControl w:val="0"/>
              <w:adjustRightInd w:val="0"/>
              <w:snapToGrid w:val="0"/>
              <w:jc w:val="center"/>
              <w:textAlignment w:val="baseline"/>
              <w:rPr>
                <w:rFonts w:hint="eastAsia" w:ascii="宋体" w:hAnsi="宋体" w:cs="宋体"/>
                <w:sz w:val="24"/>
              </w:rPr>
            </w:pPr>
            <w:r>
              <w:rPr>
                <w:rFonts w:hint="eastAsia" w:ascii="宋体" w:hAnsi="宋体" w:cs="宋体"/>
                <w:sz w:val="24"/>
              </w:rPr>
              <w:t>19</w:t>
            </w:r>
          </w:p>
        </w:tc>
        <w:tc>
          <w:tcPr>
            <w:tcW w:w="1701" w:type="dxa"/>
            <w:vAlign w:val="center"/>
          </w:tcPr>
          <w:p w14:paraId="4BBD588E">
            <w:pPr>
              <w:widowControl w:val="0"/>
              <w:adjustRightInd w:val="0"/>
              <w:jc w:val="center"/>
              <w:textAlignment w:val="baseline"/>
              <w:rPr>
                <w:rFonts w:hint="eastAsia" w:ascii="宋体" w:hAnsi="宋体" w:cs="宋体"/>
                <w:sz w:val="24"/>
              </w:rPr>
            </w:pPr>
            <w:r>
              <w:rPr>
                <w:rFonts w:hint="eastAsia" w:ascii="宋体" w:hAnsi="宋体" w:cs="宋体"/>
                <w:kern w:val="0"/>
                <w:sz w:val="24"/>
              </w:rPr>
              <w:t>开标程序</w:t>
            </w:r>
          </w:p>
        </w:tc>
        <w:tc>
          <w:tcPr>
            <w:tcW w:w="7903" w:type="dxa"/>
            <w:vAlign w:val="center"/>
          </w:tcPr>
          <w:p w14:paraId="39FB1707">
            <w:pPr>
              <w:widowControl w:val="0"/>
              <w:adjustRightInd w:val="0"/>
              <w:jc w:val="both"/>
              <w:textAlignment w:val="baseline"/>
              <w:rPr>
                <w:rFonts w:hint="eastAsia" w:ascii="宋体" w:hAnsi="宋体" w:cs="宋体"/>
                <w:b/>
                <w:bCs/>
                <w:sz w:val="24"/>
              </w:rPr>
            </w:pPr>
            <w:r>
              <w:rPr>
                <w:rFonts w:hint="eastAsia" w:ascii="宋体" w:hAnsi="宋体" w:cs="宋体"/>
                <w:b/>
                <w:bCs/>
                <w:sz w:val="24"/>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70AF4068">
            <w:pPr>
              <w:widowControl w:val="0"/>
              <w:adjustRightInd w:val="0"/>
              <w:jc w:val="both"/>
              <w:textAlignment w:val="baseline"/>
              <w:rPr>
                <w:rFonts w:hint="eastAsia" w:ascii="宋体" w:hAnsi="宋体" w:cs="宋体"/>
                <w:b/>
                <w:bCs/>
                <w:sz w:val="24"/>
              </w:rPr>
            </w:pPr>
            <w:r>
              <w:rPr>
                <w:rFonts w:hint="eastAsia" w:ascii="宋体" w:hAnsi="宋体" w:cs="宋体"/>
                <w:b/>
                <w:bCs/>
                <w:sz w:val="24"/>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0E46BFF5">
            <w:pPr>
              <w:widowControl w:val="0"/>
              <w:adjustRightInd w:val="0"/>
              <w:jc w:val="both"/>
              <w:textAlignment w:val="baseline"/>
              <w:rPr>
                <w:rFonts w:hint="eastAsia" w:ascii="宋体" w:hAnsi="宋体" w:cs="宋体"/>
                <w:b/>
                <w:bCs/>
                <w:sz w:val="24"/>
              </w:rPr>
            </w:pPr>
            <w:r>
              <w:rPr>
                <w:rFonts w:hint="eastAsia" w:ascii="宋体" w:hAnsi="宋体" w:cs="宋体"/>
                <w:b/>
                <w:bCs/>
                <w:sz w:val="24"/>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4B3EDC51">
            <w:pPr>
              <w:pStyle w:val="48"/>
              <w:spacing w:before="60" w:line="240" w:lineRule="auto"/>
              <w:rPr>
                <w:rFonts w:hint="eastAsia" w:hAnsi="宋体" w:cs="宋体"/>
              </w:rPr>
            </w:pPr>
            <w:r>
              <w:rPr>
                <w:rFonts w:hint="eastAsia" w:hAnsi="宋体" w:cs="宋体"/>
              </w:rPr>
              <w:t>4、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14:paraId="481297CD">
      <w:pPr>
        <w:snapToGrid w:val="0"/>
        <w:rPr>
          <w:rFonts w:hint="eastAsia" w:ascii="宋体" w:hAnsi="宋体" w:cs="宋体"/>
          <w:b/>
          <w:bCs/>
          <w:sz w:val="24"/>
        </w:rPr>
      </w:pPr>
      <w:r>
        <w:rPr>
          <w:rFonts w:hint="eastAsia" w:ascii="宋体" w:hAnsi="宋体" w:cs="宋体"/>
          <w:b/>
          <w:bCs/>
          <w:sz w:val="24"/>
        </w:rPr>
        <w:t>注：</w:t>
      </w:r>
      <w:r>
        <w:rPr>
          <w:rFonts w:hint="eastAsia" w:ascii="宋体" w:hAnsi="宋体" w:cs="宋体"/>
          <w:sz w:val="24"/>
        </w:rPr>
        <w:t>本须知前附表的条款号是与《供应商须知》正文中条款的项号相对应的。“供应商须知前附表”用于进一步明确“供应商须知”正文中的未尽事宜，但须知前附表中的内容与“供应商须知”正文内容相抵触的，以“供应商须知前附表”为准。</w:t>
      </w:r>
    </w:p>
    <w:p w14:paraId="0C565F27">
      <w:pPr>
        <w:jc w:val="center"/>
        <w:rPr>
          <w:rFonts w:hint="eastAsia" w:ascii="宋体" w:hAnsi="宋体" w:cs="宋体"/>
          <w:b/>
          <w:bCs/>
          <w:sz w:val="24"/>
        </w:rPr>
      </w:pPr>
      <w:r>
        <w:rPr>
          <w:rFonts w:hint="eastAsia" w:ascii="宋体" w:hAnsi="宋体" w:cs="宋体"/>
          <w:b/>
          <w:bCs/>
          <w:sz w:val="24"/>
        </w:rPr>
        <w:br w:type="page"/>
      </w:r>
      <w:bookmarkStart w:id="10" w:name="_Toc20058"/>
      <w:bookmarkStart w:id="11" w:name="_Toc17885"/>
      <w:r>
        <w:rPr>
          <w:rFonts w:hint="eastAsia" w:ascii="宋体" w:hAnsi="宋体" w:cs="宋体"/>
          <w:b/>
          <w:bCs/>
          <w:sz w:val="24"/>
        </w:rPr>
        <w:t>供应商须知（正文）</w:t>
      </w:r>
    </w:p>
    <w:p w14:paraId="688D202D">
      <w:pPr>
        <w:jc w:val="center"/>
        <w:rPr>
          <w:rFonts w:hint="eastAsia" w:ascii="宋体" w:hAnsi="宋体" w:cs="宋体"/>
          <w:sz w:val="24"/>
        </w:rPr>
      </w:pPr>
      <w:r>
        <w:rPr>
          <w:rFonts w:hint="eastAsia" w:ascii="宋体" w:hAnsi="宋体" w:cs="宋体"/>
          <w:b/>
          <w:bCs/>
          <w:sz w:val="24"/>
        </w:rPr>
        <w:t>1、总则</w:t>
      </w:r>
    </w:p>
    <w:p w14:paraId="0918435B">
      <w:pPr>
        <w:rPr>
          <w:rFonts w:hint="eastAsia" w:ascii="宋体" w:hAnsi="宋体" w:cs="宋体"/>
          <w:b/>
          <w:bCs/>
          <w:sz w:val="24"/>
        </w:rPr>
      </w:pPr>
      <w:r>
        <w:rPr>
          <w:rFonts w:hint="eastAsia" w:ascii="宋体" w:hAnsi="宋体" w:cs="宋体"/>
          <w:b/>
          <w:bCs/>
          <w:sz w:val="24"/>
        </w:rPr>
        <w:t>1.1 项目概况</w:t>
      </w:r>
    </w:p>
    <w:p w14:paraId="02DCA7D8">
      <w:pPr>
        <w:rPr>
          <w:rFonts w:hint="eastAsia" w:ascii="宋体" w:hAnsi="宋体" w:cs="宋体"/>
          <w:sz w:val="24"/>
        </w:rPr>
      </w:pPr>
      <w:r>
        <w:rPr>
          <w:rFonts w:hint="eastAsia" w:ascii="宋体" w:hAnsi="宋体" w:cs="宋体"/>
          <w:sz w:val="24"/>
        </w:rPr>
        <w:t>1.1.1 根据《中华人民共和国政府采购法》、《中华人民共和国政府采购法实施条例》等有关法律、法规和规章的规定，本招标项目已具备招标条件，现对本项目进行招标。</w:t>
      </w:r>
    </w:p>
    <w:p w14:paraId="661FBC45">
      <w:pPr>
        <w:rPr>
          <w:rFonts w:hint="eastAsia" w:ascii="宋体" w:hAnsi="宋体" w:cs="宋体"/>
          <w:sz w:val="24"/>
        </w:rPr>
      </w:pPr>
      <w:r>
        <w:rPr>
          <w:rFonts w:hint="eastAsia" w:ascii="宋体" w:hAnsi="宋体" w:cs="宋体"/>
          <w:sz w:val="24"/>
        </w:rPr>
        <w:t>1.1.2 本项目采购人：见供应商须知前附表。</w:t>
      </w:r>
    </w:p>
    <w:p w14:paraId="6A8682C0">
      <w:pPr>
        <w:rPr>
          <w:rFonts w:hint="eastAsia" w:ascii="宋体" w:hAnsi="宋体" w:cs="宋体"/>
          <w:sz w:val="24"/>
        </w:rPr>
      </w:pPr>
      <w:r>
        <w:rPr>
          <w:rFonts w:hint="eastAsia" w:ascii="宋体" w:hAnsi="宋体" w:cs="宋体"/>
          <w:sz w:val="24"/>
        </w:rPr>
        <w:t>1.1.3 本标段采购代理机构：见供应商须知前附表。</w:t>
      </w:r>
    </w:p>
    <w:p w14:paraId="4552EEDE">
      <w:pPr>
        <w:rPr>
          <w:rFonts w:hint="eastAsia" w:ascii="宋体" w:hAnsi="宋体" w:cs="宋体"/>
          <w:sz w:val="24"/>
        </w:rPr>
      </w:pPr>
      <w:r>
        <w:rPr>
          <w:rFonts w:hint="eastAsia" w:ascii="宋体" w:hAnsi="宋体" w:cs="宋体"/>
          <w:sz w:val="24"/>
        </w:rPr>
        <w:t>1.1.4 本招标项目名称：见供应商须知前附表。</w:t>
      </w:r>
    </w:p>
    <w:p w14:paraId="19A2A2CD">
      <w:pPr>
        <w:rPr>
          <w:rFonts w:hint="eastAsia" w:ascii="宋体" w:hAnsi="宋体" w:cs="宋体"/>
          <w:sz w:val="24"/>
        </w:rPr>
      </w:pPr>
      <w:r>
        <w:rPr>
          <w:rFonts w:hint="eastAsia" w:ascii="宋体" w:hAnsi="宋体" w:cs="宋体"/>
          <w:sz w:val="24"/>
        </w:rPr>
        <w:t>1.1.5 适用范围：本采购文件仅适用于采购文件中所叙述项目的招标。</w:t>
      </w:r>
    </w:p>
    <w:p w14:paraId="0F4C5862">
      <w:pPr>
        <w:rPr>
          <w:rFonts w:hint="eastAsia" w:ascii="宋体" w:hAnsi="宋体" w:cs="宋体"/>
          <w:sz w:val="24"/>
        </w:rPr>
      </w:pPr>
      <w:r>
        <w:rPr>
          <w:rFonts w:hint="eastAsia" w:ascii="宋体" w:hAnsi="宋体" w:cs="宋体"/>
          <w:sz w:val="24"/>
        </w:rPr>
        <w:t>1.1.6 本招标项目的资金来源：中央和自治区本级资金。</w:t>
      </w:r>
    </w:p>
    <w:p w14:paraId="7EE76D22">
      <w:pPr>
        <w:rPr>
          <w:rFonts w:hint="eastAsia" w:ascii="宋体" w:hAnsi="宋体" w:cs="宋体"/>
          <w:sz w:val="24"/>
        </w:rPr>
      </w:pPr>
      <w:r>
        <w:rPr>
          <w:rFonts w:hint="eastAsia" w:ascii="宋体" w:hAnsi="宋体" w:cs="宋体"/>
          <w:b/>
          <w:bCs/>
          <w:sz w:val="24"/>
        </w:rPr>
        <w:t>1.2. 定义</w:t>
      </w:r>
    </w:p>
    <w:p w14:paraId="0F52A0C6">
      <w:pPr>
        <w:rPr>
          <w:rFonts w:hint="eastAsia" w:ascii="宋体" w:hAnsi="宋体" w:cs="宋体"/>
          <w:sz w:val="24"/>
        </w:rPr>
      </w:pPr>
      <w:r>
        <w:rPr>
          <w:rFonts w:hint="eastAsia" w:ascii="宋体" w:hAnsi="宋体" w:cs="宋体"/>
          <w:sz w:val="24"/>
        </w:rPr>
        <w:t>1.2.1 “采购代理人”系指组织本次招标活动的采购代理机构。</w:t>
      </w:r>
    </w:p>
    <w:p w14:paraId="6FEE834D">
      <w:pPr>
        <w:rPr>
          <w:rFonts w:hint="eastAsia" w:ascii="宋体" w:hAnsi="宋体" w:cs="宋体"/>
          <w:sz w:val="24"/>
        </w:rPr>
      </w:pPr>
      <w:r>
        <w:rPr>
          <w:rFonts w:hint="eastAsia" w:ascii="宋体" w:hAnsi="宋体" w:cs="宋体"/>
          <w:sz w:val="24"/>
        </w:rPr>
        <w:t>1.2.2 “采购人”系指新疆维吾尔自治区气象局。</w:t>
      </w:r>
    </w:p>
    <w:p w14:paraId="2C3003BB">
      <w:pPr>
        <w:rPr>
          <w:rFonts w:hint="eastAsia" w:ascii="宋体" w:hAnsi="宋体" w:cs="宋体"/>
          <w:sz w:val="24"/>
        </w:rPr>
      </w:pPr>
      <w:r>
        <w:rPr>
          <w:rFonts w:hint="eastAsia" w:ascii="宋体" w:hAnsi="宋体" w:cs="宋体"/>
          <w:sz w:val="24"/>
        </w:rPr>
        <w:t>1.2.3 “潜在供应商”系指获取了本采购文件的供应商。</w:t>
      </w:r>
    </w:p>
    <w:p w14:paraId="490BDFFF">
      <w:pPr>
        <w:rPr>
          <w:rFonts w:hint="eastAsia" w:ascii="宋体" w:hAnsi="宋体" w:cs="宋体"/>
          <w:sz w:val="24"/>
        </w:rPr>
      </w:pPr>
      <w:r>
        <w:rPr>
          <w:rFonts w:hint="eastAsia" w:ascii="宋体" w:hAnsi="宋体" w:cs="宋体"/>
          <w:sz w:val="24"/>
        </w:rPr>
        <w:t>1.2.4 “供应商”系指获取了本采购文件，且已经提交本次响应文件的供应商。</w:t>
      </w:r>
    </w:p>
    <w:p w14:paraId="679D02EA">
      <w:pPr>
        <w:rPr>
          <w:rFonts w:hint="eastAsia" w:ascii="宋体" w:hAnsi="宋体" w:cs="宋体"/>
          <w:sz w:val="24"/>
        </w:rPr>
      </w:pPr>
      <w:r>
        <w:rPr>
          <w:rFonts w:hint="eastAsia" w:ascii="宋体" w:hAnsi="宋体" w:cs="宋体"/>
          <w:sz w:val="24"/>
        </w:rPr>
        <w:t>1.2.5 “产品”系指供方按采购文件规定，须向采购人提供的一切货物、保险、税金、备品备件、工具、手册及其它有关技术资料和材料。</w:t>
      </w:r>
    </w:p>
    <w:p w14:paraId="0D85BD94">
      <w:pPr>
        <w:rPr>
          <w:rFonts w:hint="eastAsia" w:ascii="宋体" w:hAnsi="宋体" w:cs="宋体"/>
          <w:sz w:val="24"/>
        </w:rPr>
      </w:pPr>
      <w:r>
        <w:rPr>
          <w:rFonts w:hint="eastAsia" w:ascii="宋体" w:hAnsi="宋体" w:cs="宋体"/>
          <w:sz w:val="24"/>
        </w:rPr>
        <w:t>1.2.6 “服务”系指采购文件规定供应商须承担的安装、调试、技术协助、校准、培训、保修、保养、提供售后服务以及其他类似的义务。</w:t>
      </w:r>
    </w:p>
    <w:p w14:paraId="5EC67FD3">
      <w:pPr>
        <w:rPr>
          <w:rFonts w:hint="eastAsia" w:ascii="宋体" w:hAnsi="宋体" w:cs="宋体"/>
          <w:sz w:val="24"/>
        </w:rPr>
      </w:pPr>
      <w:r>
        <w:rPr>
          <w:rFonts w:hint="eastAsia" w:ascii="宋体" w:hAnsi="宋体" w:cs="宋体"/>
          <w:b/>
          <w:bCs/>
          <w:sz w:val="24"/>
        </w:rPr>
        <w:t>1.3. 合格的供应商</w:t>
      </w:r>
    </w:p>
    <w:p w14:paraId="0022B02D">
      <w:pPr>
        <w:rPr>
          <w:rFonts w:hint="eastAsia" w:ascii="宋体" w:hAnsi="宋体" w:cs="宋体"/>
          <w:sz w:val="24"/>
        </w:rPr>
      </w:pPr>
      <w:r>
        <w:rPr>
          <w:rFonts w:hint="eastAsia" w:ascii="宋体" w:hAnsi="宋体" w:cs="宋体"/>
          <w:sz w:val="24"/>
        </w:rPr>
        <w:t>1.3.1符合第二章供应商须知前附表中资格要求中的各条要求。</w:t>
      </w:r>
    </w:p>
    <w:p w14:paraId="4DCD5EC0">
      <w:pPr>
        <w:rPr>
          <w:rFonts w:hint="eastAsia" w:ascii="宋体" w:hAnsi="宋体" w:cs="宋体"/>
          <w:sz w:val="24"/>
        </w:rPr>
      </w:pPr>
      <w:r>
        <w:rPr>
          <w:rFonts w:hint="eastAsia" w:ascii="宋体" w:hAnsi="宋体" w:cs="宋体"/>
          <w:sz w:val="24"/>
        </w:rPr>
        <w:t>1.3.2 供应商应依法纳税及缴纳社会保障金。</w:t>
      </w:r>
    </w:p>
    <w:p w14:paraId="5AB8D2A0">
      <w:pPr>
        <w:rPr>
          <w:rFonts w:hint="eastAsia" w:ascii="宋体" w:hAnsi="宋体" w:cs="宋体"/>
          <w:sz w:val="24"/>
        </w:rPr>
      </w:pPr>
      <w:r>
        <w:rPr>
          <w:rFonts w:hint="eastAsia" w:ascii="宋体" w:hAnsi="宋体" w:cs="宋体"/>
          <w:sz w:val="24"/>
        </w:rPr>
        <w:t>1.3.3供应商应遵守中国的有关法律、法规和规章的规定。</w:t>
      </w:r>
    </w:p>
    <w:p w14:paraId="7F753B68">
      <w:pPr>
        <w:rPr>
          <w:rFonts w:hint="eastAsia" w:ascii="宋体" w:hAnsi="宋体" w:cs="宋体"/>
          <w:sz w:val="24"/>
        </w:rPr>
      </w:pPr>
      <w:r>
        <w:rPr>
          <w:rFonts w:hint="eastAsia" w:ascii="宋体" w:hAnsi="宋体" w:cs="宋体"/>
          <w:sz w:val="24"/>
        </w:rPr>
        <w:t>1.3.4一个供应商只能提交一个响应文件。但如果供应商之间存在下列互为关联关系的情形之一的，不得同时参加本项目投标：</w:t>
      </w:r>
    </w:p>
    <w:p w14:paraId="4F750B94">
      <w:pPr>
        <w:rPr>
          <w:rFonts w:hint="eastAsia" w:ascii="宋体" w:hAnsi="宋体" w:cs="宋体"/>
          <w:sz w:val="24"/>
        </w:rPr>
      </w:pPr>
      <w:r>
        <w:rPr>
          <w:rFonts w:hint="eastAsia" w:ascii="宋体" w:hAnsi="宋体" w:cs="宋体"/>
          <w:sz w:val="24"/>
        </w:rPr>
        <w:t>（1） 法定代表人为同一人的两个及两个以上法人；</w:t>
      </w:r>
    </w:p>
    <w:p w14:paraId="5849FDE9">
      <w:pPr>
        <w:rPr>
          <w:rFonts w:hint="eastAsia" w:ascii="宋体" w:hAnsi="宋体" w:cs="宋体"/>
          <w:sz w:val="24"/>
        </w:rPr>
      </w:pPr>
      <w:r>
        <w:rPr>
          <w:rFonts w:hint="eastAsia" w:ascii="宋体" w:hAnsi="宋体" w:cs="宋体"/>
          <w:sz w:val="24"/>
        </w:rPr>
        <w:t>（2） 母公司、直接或间接持股50％及以上的被投资公司;</w:t>
      </w:r>
    </w:p>
    <w:p w14:paraId="299EC8FC">
      <w:pPr>
        <w:rPr>
          <w:rFonts w:hint="eastAsia" w:ascii="宋体" w:hAnsi="宋体" w:cs="宋体"/>
          <w:sz w:val="24"/>
        </w:rPr>
      </w:pPr>
      <w:r>
        <w:rPr>
          <w:rFonts w:hint="eastAsia" w:ascii="宋体" w:hAnsi="宋体" w:cs="宋体"/>
          <w:sz w:val="24"/>
        </w:rPr>
        <w:t>（3） 均为同一家母公司直接或间接持股50％及以上的被投资公司。</w:t>
      </w:r>
    </w:p>
    <w:p w14:paraId="4B913041">
      <w:pPr>
        <w:rPr>
          <w:rFonts w:hint="eastAsia" w:ascii="宋体" w:hAnsi="宋体" w:cs="宋体"/>
          <w:sz w:val="24"/>
        </w:rPr>
      </w:pPr>
      <w:r>
        <w:rPr>
          <w:rFonts w:hint="eastAsia" w:ascii="宋体" w:hAnsi="宋体" w:cs="宋体"/>
          <w:sz w:val="24"/>
        </w:rPr>
        <w:t xml:space="preserve">1.3.5 供应商不得与本次招标项下设计、编制技术规格和其它文件的公司或提供咨询服务的公司包括其附属机构有任何关联。 </w:t>
      </w:r>
    </w:p>
    <w:p w14:paraId="1BF51D1C">
      <w:pPr>
        <w:rPr>
          <w:rFonts w:hint="eastAsia" w:ascii="宋体" w:hAnsi="宋体" w:cs="宋体"/>
          <w:sz w:val="24"/>
        </w:rPr>
      </w:pPr>
      <w:r>
        <w:rPr>
          <w:rFonts w:hint="eastAsia" w:ascii="宋体" w:hAnsi="宋体" w:cs="宋体"/>
          <w:sz w:val="24"/>
        </w:rPr>
        <w:t>1.3.6一个供应商代表在同一个项目中只能接受一个供应商的委托参加投标。</w:t>
      </w:r>
    </w:p>
    <w:p w14:paraId="256A7970">
      <w:pPr>
        <w:rPr>
          <w:rFonts w:hint="eastAsia" w:ascii="宋体" w:hAnsi="宋体" w:cs="宋体"/>
          <w:b/>
          <w:bCs/>
          <w:sz w:val="24"/>
        </w:rPr>
      </w:pPr>
      <w:r>
        <w:rPr>
          <w:rFonts w:hint="eastAsia" w:ascii="宋体" w:hAnsi="宋体" w:cs="宋体"/>
          <w:b/>
          <w:bCs/>
          <w:sz w:val="24"/>
        </w:rPr>
        <w:t>1.4联合体</w:t>
      </w:r>
    </w:p>
    <w:p w14:paraId="00C1955C">
      <w:pPr>
        <w:rPr>
          <w:rFonts w:hint="eastAsia" w:ascii="宋体" w:hAnsi="宋体" w:cs="宋体"/>
          <w:bCs/>
          <w:sz w:val="24"/>
        </w:rPr>
      </w:pPr>
      <w:r>
        <w:rPr>
          <w:rFonts w:hint="eastAsia" w:ascii="宋体" w:hAnsi="宋体" w:cs="宋体"/>
          <w:bCs/>
          <w:sz w:val="24"/>
        </w:rPr>
        <w:t xml:space="preserve">1.4.1本项目不接受联合体投标；若供应商须知前附表规定接受联合体的，除应符合本章第1.4.1项和供应商须知前附表的要求外，还应遵守以下规定： </w:t>
      </w:r>
    </w:p>
    <w:p w14:paraId="1D8B8B78">
      <w:pPr>
        <w:ind w:firstLine="120" w:firstLineChars="50"/>
        <w:rPr>
          <w:rFonts w:hint="eastAsia" w:ascii="宋体" w:hAnsi="宋体" w:cs="宋体"/>
          <w:bCs/>
          <w:sz w:val="24"/>
        </w:rPr>
      </w:pPr>
      <w:r>
        <w:rPr>
          <w:rFonts w:hint="eastAsia" w:ascii="宋体" w:hAnsi="宋体" w:cs="宋体"/>
          <w:bCs/>
          <w:sz w:val="24"/>
        </w:rPr>
        <w:t>（1）两个以上的自然人、法人或者其他组织可以组成一个联合体，以一个供应商的身份共同参加政府采购。</w:t>
      </w:r>
    </w:p>
    <w:p w14:paraId="0D72320C">
      <w:pPr>
        <w:ind w:firstLine="120" w:firstLineChars="50"/>
        <w:rPr>
          <w:rFonts w:hint="eastAsia" w:ascii="宋体" w:hAnsi="宋体" w:cs="宋体"/>
          <w:bCs/>
          <w:sz w:val="24"/>
        </w:rPr>
      </w:pPr>
      <w:r>
        <w:rPr>
          <w:rFonts w:hint="eastAsia" w:ascii="宋体" w:hAnsi="宋体" w:cs="宋体"/>
          <w:bCs/>
          <w:sz w:val="24"/>
        </w:rPr>
        <w:t>（2）以联合体形式参加政府采购的，参加联合体的供应商均应当具备《政府采购法》第二十二条规定的条件，并应当向采购人提交联合协议，载明联合体各方承担的工作和义务。联合体各方应当共同与采购人签订采购合同，就采购合同约定的事项对采购人承担连带责任。</w:t>
      </w:r>
    </w:p>
    <w:p w14:paraId="70F69EDB">
      <w:pPr>
        <w:rPr>
          <w:rFonts w:hint="eastAsia" w:ascii="宋体" w:hAnsi="宋体" w:cs="宋体"/>
          <w:bCs/>
          <w:sz w:val="24"/>
        </w:rPr>
      </w:pPr>
      <w:r>
        <w:rPr>
          <w:rFonts w:hint="eastAsia" w:ascii="宋体" w:hAnsi="宋体" w:cs="宋体"/>
          <w:bCs/>
          <w:sz w:val="24"/>
        </w:rPr>
        <w:t>1.4.2联合体中有同类资质的供应商按照联合体分工承担相同工作的，应当按照资质等级较低的供应商确定资质等级。</w:t>
      </w:r>
    </w:p>
    <w:p w14:paraId="40392B5C">
      <w:pPr>
        <w:rPr>
          <w:rFonts w:hint="eastAsia" w:ascii="宋体" w:hAnsi="宋体" w:cs="宋体"/>
          <w:bCs/>
          <w:sz w:val="24"/>
        </w:rPr>
      </w:pPr>
      <w:r>
        <w:rPr>
          <w:rFonts w:hint="eastAsia" w:ascii="宋体" w:hAnsi="宋体" w:cs="宋体"/>
          <w:bCs/>
          <w:sz w:val="24"/>
        </w:rPr>
        <w:t>1.4.3以联合体形式参加政府采购活动的，联合体各方不得再单独参加或者与其他供应商另外组成联合体参加同一合同项下的政府采购活动。</w:t>
      </w:r>
    </w:p>
    <w:p w14:paraId="6C414AF3">
      <w:pPr>
        <w:rPr>
          <w:rFonts w:hint="eastAsia" w:ascii="宋体" w:hAnsi="宋体" w:cs="宋体"/>
          <w:b/>
          <w:bCs/>
          <w:sz w:val="24"/>
        </w:rPr>
      </w:pPr>
      <w:r>
        <w:rPr>
          <w:rFonts w:hint="eastAsia" w:ascii="宋体" w:hAnsi="宋体" w:cs="宋体"/>
          <w:b/>
          <w:bCs/>
          <w:sz w:val="24"/>
        </w:rPr>
        <w:t>1.5. 投标费用</w:t>
      </w:r>
    </w:p>
    <w:p w14:paraId="1FE54703">
      <w:pPr>
        <w:rPr>
          <w:rFonts w:hint="eastAsia" w:ascii="宋体" w:hAnsi="宋体" w:cs="宋体"/>
          <w:kern w:val="0"/>
          <w:sz w:val="24"/>
        </w:rPr>
      </w:pPr>
      <w:r>
        <w:rPr>
          <w:rFonts w:hint="eastAsia" w:ascii="宋体" w:hAnsi="宋体" w:cs="宋体"/>
          <w:sz w:val="24"/>
        </w:rPr>
        <w:t>1.5.1</w:t>
      </w:r>
      <w:r>
        <w:rPr>
          <w:rFonts w:hint="eastAsia" w:ascii="宋体" w:hAnsi="宋体" w:cs="宋体"/>
          <w:kern w:val="0"/>
          <w:sz w:val="24"/>
        </w:rPr>
        <w:t>供应商准备和参加投标活动所发生的一切费用（包括报名资料、采购文件、投标、中标服务费等）均由供应商自理。</w:t>
      </w:r>
    </w:p>
    <w:p w14:paraId="39E205F2">
      <w:pPr>
        <w:rPr>
          <w:rFonts w:hint="eastAsia" w:ascii="宋体" w:hAnsi="宋体" w:cs="宋体"/>
          <w:kern w:val="0"/>
          <w:sz w:val="24"/>
        </w:rPr>
      </w:pPr>
      <w:r>
        <w:rPr>
          <w:rFonts w:hint="eastAsia" w:ascii="宋体" w:hAnsi="宋体" w:cs="宋体"/>
          <w:kern w:val="0"/>
          <w:sz w:val="24"/>
        </w:rPr>
        <w:t>1.5.2 采购代理服务费：本项目采购代理服务费参照原国家发展计划委员会文件（计价格[2002]1980号文）、（发改办价格[2003]857号文件）及财库[2018]2号文件所规定标准由成交供应商向采购代理机构支付。</w:t>
      </w:r>
    </w:p>
    <w:p w14:paraId="2F0AF62C">
      <w:pPr>
        <w:rPr>
          <w:rFonts w:hint="eastAsia" w:ascii="宋体" w:hAnsi="宋体" w:cs="宋体"/>
          <w:b/>
          <w:bCs/>
          <w:sz w:val="24"/>
        </w:rPr>
      </w:pPr>
      <w:bookmarkStart w:id="12" w:name="_Toc152045539"/>
      <w:bookmarkStart w:id="13" w:name="_Toc144974507"/>
      <w:bookmarkStart w:id="14" w:name="_Toc179632556"/>
      <w:bookmarkStart w:id="15" w:name="_Toc152042315"/>
      <w:r>
        <w:rPr>
          <w:rFonts w:hint="eastAsia" w:ascii="宋体" w:hAnsi="宋体" w:cs="宋体"/>
          <w:b/>
          <w:bCs/>
          <w:sz w:val="24"/>
        </w:rPr>
        <w:t>1.6 踏勘现场</w:t>
      </w:r>
      <w:bookmarkEnd w:id="12"/>
      <w:bookmarkEnd w:id="13"/>
      <w:bookmarkEnd w:id="14"/>
      <w:bookmarkEnd w:id="15"/>
      <w:r>
        <w:rPr>
          <w:rFonts w:hint="eastAsia" w:ascii="宋体" w:hAnsi="宋体" w:cs="宋体"/>
          <w:b/>
          <w:bCs/>
          <w:sz w:val="24"/>
        </w:rPr>
        <w:t>投标前答疑会</w:t>
      </w:r>
    </w:p>
    <w:p w14:paraId="5292C6FB">
      <w:pPr>
        <w:rPr>
          <w:rFonts w:hint="eastAsia" w:ascii="宋体" w:hAnsi="宋体" w:cs="宋体"/>
          <w:bCs/>
          <w:sz w:val="24"/>
        </w:rPr>
      </w:pPr>
      <w:r>
        <w:rPr>
          <w:rFonts w:hint="eastAsia" w:ascii="宋体" w:hAnsi="宋体" w:cs="宋体"/>
          <w:bCs/>
          <w:sz w:val="24"/>
        </w:rPr>
        <w:t>1.6.1采购人、采购代理机构可以视采购项目的具体情况，组织供应商进行现场考察或召开投标前答疑会，但不得单独或分别组织只有一个供应商参加的现场考察和答疑会。</w:t>
      </w:r>
    </w:p>
    <w:p w14:paraId="63E87295">
      <w:pPr>
        <w:rPr>
          <w:rFonts w:hint="eastAsia" w:ascii="宋体" w:hAnsi="宋体" w:cs="宋体"/>
          <w:bCs/>
          <w:sz w:val="24"/>
        </w:rPr>
      </w:pPr>
      <w:r>
        <w:rPr>
          <w:rFonts w:hint="eastAsia" w:ascii="宋体" w:hAnsi="宋体" w:cs="宋体"/>
          <w:bCs/>
          <w:sz w:val="24"/>
        </w:rPr>
        <w:t>1.6.2供应商须知前附表规定组织踏勘现场的，采购人应按供应商须知前附表规定的时间、地点组织供应商踏勘项目现场。</w:t>
      </w:r>
    </w:p>
    <w:p w14:paraId="6780B171">
      <w:pPr>
        <w:rPr>
          <w:rFonts w:hint="eastAsia" w:ascii="宋体" w:hAnsi="宋体" w:cs="宋体"/>
          <w:bCs/>
          <w:sz w:val="24"/>
        </w:rPr>
      </w:pPr>
      <w:r>
        <w:rPr>
          <w:rFonts w:hint="eastAsia" w:ascii="宋体" w:hAnsi="宋体" w:cs="宋体"/>
          <w:bCs/>
          <w:sz w:val="24"/>
        </w:rPr>
        <w:t>1.6.3 供应商踏勘现场所发生的一切费用自理。</w:t>
      </w:r>
    </w:p>
    <w:p w14:paraId="4F242ACB">
      <w:pPr>
        <w:rPr>
          <w:rFonts w:hint="eastAsia" w:ascii="宋体" w:hAnsi="宋体" w:cs="宋体"/>
          <w:bCs/>
          <w:sz w:val="24"/>
        </w:rPr>
      </w:pPr>
      <w:r>
        <w:rPr>
          <w:rFonts w:hint="eastAsia" w:ascii="宋体" w:hAnsi="宋体" w:cs="宋体"/>
          <w:bCs/>
          <w:sz w:val="24"/>
        </w:rPr>
        <w:t>1.6.4 除采购人的原因外，供应商自行负责在踏勘现场中所发生的人员伤亡和财产损失。</w:t>
      </w:r>
    </w:p>
    <w:p w14:paraId="398A996B">
      <w:pPr>
        <w:rPr>
          <w:rFonts w:hint="eastAsia" w:ascii="宋体" w:hAnsi="宋体" w:cs="宋体"/>
          <w:bCs/>
          <w:sz w:val="24"/>
        </w:rPr>
      </w:pPr>
      <w:r>
        <w:rPr>
          <w:rFonts w:hint="eastAsia" w:ascii="宋体" w:hAnsi="宋体" w:cs="宋体"/>
          <w:bCs/>
          <w:sz w:val="24"/>
        </w:rPr>
        <w:t>1.6.5采购人在踏勘现场中介绍的项目情况，仅供供应商在编制响应文件时参考，采购人不对供应商据此作出的判断和决策负责。</w:t>
      </w:r>
    </w:p>
    <w:p w14:paraId="152C7863">
      <w:pPr>
        <w:rPr>
          <w:rFonts w:hint="eastAsia" w:ascii="宋体" w:hAnsi="宋体" w:cs="宋体"/>
          <w:bCs/>
          <w:sz w:val="24"/>
        </w:rPr>
      </w:pPr>
      <w:r>
        <w:rPr>
          <w:rFonts w:hint="eastAsia" w:ascii="宋体" w:hAnsi="宋体" w:cs="宋体"/>
          <w:bCs/>
          <w:sz w:val="24"/>
        </w:rPr>
        <w:t>1.6.6 供应商须知前附表规定召开投标前答疑会的，采购人按供应商须知前附表规定的时间和地点召开投标前答疑会，澄清供应商提出的问题。</w:t>
      </w:r>
    </w:p>
    <w:p w14:paraId="661331A0">
      <w:pPr>
        <w:rPr>
          <w:rFonts w:hint="eastAsia" w:ascii="宋体" w:hAnsi="宋体" w:cs="宋体"/>
          <w:bCs/>
          <w:sz w:val="24"/>
        </w:rPr>
      </w:pPr>
      <w:r>
        <w:rPr>
          <w:rFonts w:hint="eastAsia" w:ascii="宋体" w:hAnsi="宋体" w:cs="宋体"/>
          <w:bCs/>
          <w:sz w:val="24"/>
        </w:rPr>
        <w:t>1.6.7本采购项目采购人（采购代理机构）不组织供应商进行现场考察或召开投标前答疑会。供应商应在投标须知前附表规定的时间前，以书面形式将提出的问题送达采购人，采购人或采购代理机构在供应商须知前附表规定的时间内，将对供应商所提问题的进行澄清，以书面方式在规定的发布渠道通知所有获取响应文件的供应商。该澄清内容为采购文件的组成部分。</w:t>
      </w:r>
    </w:p>
    <w:p w14:paraId="0963A1CB">
      <w:pPr>
        <w:jc w:val="center"/>
        <w:rPr>
          <w:rFonts w:hint="eastAsia" w:ascii="宋体" w:hAnsi="宋体" w:cs="宋体"/>
          <w:b/>
          <w:bCs/>
          <w:sz w:val="24"/>
        </w:rPr>
      </w:pPr>
      <w:r>
        <w:rPr>
          <w:rFonts w:hint="eastAsia" w:ascii="宋体" w:hAnsi="宋体" w:cs="宋体"/>
          <w:b/>
          <w:bCs/>
          <w:sz w:val="24"/>
        </w:rPr>
        <w:t>2、采购文件</w:t>
      </w:r>
    </w:p>
    <w:p w14:paraId="4E4293FB">
      <w:pPr>
        <w:rPr>
          <w:rFonts w:hint="eastAsia" w:ascii="宋体" w:hAnsi="宋体" w:cs="宋体"/>
          <w:sz w:val="24"/>
        </w:rPr>
      </w:pPr>
      <w:r>
        <w:rPr>
          <w:rFonts w:hint="eastAsia" w:ascii="宋体" w:hAnsi="宋体" w:cs="宋体"/>
          <w:b/>
          <w:bCs/>
          <w:sz w:val="24"/>
        </w:rPr>
        <w:t>2.1. 采购文件的组成</w:t>
      </w:r>
    </w:p>
    <w:p w14:paraId="6B33D69A">
      <w:pPr>
        <w:rPr>
          <w:rFonts w:hint="eastAsia" w:ascii="宋体" w:hAnsi="宋体" w:cs="宋体"/>
          <w:sz w:val="24"/>
        </w:rPr>
      </w:pPr>
      <w:r>
        <w:rPr>
          <w:rFonts w:hint="eastAsia" w:ascii="宋体" w:hAnsi="宋体" w:cs="宋体"/>
          <w:sz w:val="24"/>
        </w:rPr>
        <w:t>2.1.1采购文件用以阐明所需货物及服务招标程序和合同主要条款。采购文件由下述部分组成：</w:t>
      </w:r>
    </w:p>
    <w:p w14:paraId="3EBCCAA8">
      <w:pPr>
        <w:ind w:left="160" w:leftChars="76" w:firstLine="240" w:firstLineChars="100"/>
        <w:rPr>
          <w:rFonts w:hint="eastAsia" w:ascii="宋体" w:hAnsi="宋体" w:cs="宋体"/>
          <w:sz w:val="24"/>
        </w:rPr>
      </w:pPr>
      <w:r>
        <w:rPr>
          <w:rFonts w:hint="eastAsia" w:ascii="宋体" w:hAnsi="宋体" w:cs="宋体"/>
          <w:sz w:val="24"/>
        </w:rPr>
        <w:t>（一）招标公告；</w:t>
      </w:r>
    </w:p>
    <w:p w14:paraId="6BB75A7B">
      <w:pPr>
        <w:ind w:left="160"/>
        <w:rPr>
          <w:rFonts w:hint="eastAsia" w:ascii="宋体" w:hAnsi="宋体" w:cs="宋体"/>
          <w:sz w:val="24"/>
        </w:rPr>
      </w:pPr>
      <w:r>
        <w:rPr>
          <w:rFonts w:hint="eastAsia" w:ascii="宋体" w:hAnsi="宋体" w:cs="宋体"/>
          <w:sz w:val="24"/>
        </w:rPr>
        <w:t>　（二）供应商须知（包括响应文件的签署、盖章要求等）；</w:t>
      </w:r>
    </w:p>
    <w:p w14:paraId="74171D83">
      <w:pPr>
        <w:ind w:left="160"/>
        <w:rPr>
          <w:rFonts w:hint="eastAsia" w:ascii="宋体" w:hAnsi="宋体" w:cs="宋体"/>
          <w:sz w:val="24"/>
        </w:rPr>
      </w:pPr>
      <w:r>
        <w:rPr>
          <w:rFonts w:hint="eastAsia" w:ascii="宋体" w:hAnsi="宋体" w:cs="宋体"/>
          <w:sz w:val="24"/>
        </w:rPr>
        <w:t>　（三）供应商应当提交的资格、资信证明文件；</w:t>
      </w:r>
    </w:p>
    <w:p w14:paraId="35D41C1B">
      <w:pPr>
        <w:ind w:left="160"/>
        <w:rPr>
          <w:rFonts w:hint="eastAsia" w:ascii="宋体" w:hAnsi="宋体" w:cs="宋体"/>
          <w:sz w:val="24"/>
        </w:rPr>
      </w:pPr>
      <w:r>
        <w:rPr>
          <w:rFonts w:hint="eastAsia" w:ascii="宋体" w:hAnsi="宋体" w:cs="宋体"/>
          <w:sz w:val="24"/>
        </w:rPr>
        <w:t>　（四）为落实政府采购政策，采购标的需满足的要求，以及供应商须提供的证明材料；</w:t>
      </w:r>
    </w:p>
    <w:p w14:paraId="254718D8">
      <w:pPr>
        <w:ind w:left="160"/>
        <w:rPr>
          <w:rFonts w:hint="eastAsia" w:ascii="宋体" w:hAnsi="宋体" w:cs="宋体"/>
          <w:sz w:val="24"/>
        </w:rPr>
      </w:pPr>
      <w:r>
        <w:rPr>
          <w:rFonts w:hint="eastAsia" w:ascii="宋体" w:hAnsi="宋体" w:cs="宋体"/>
          <w:sz w:val="24"/>
        </w:rPr>
        <w:t>　（五）响应文件编制要求、投标报价要求和投标保证金交纳、退还方式以及不予退还投标保证金的情形；</w:t>
      </w:r>
    </w:p>
    <w:p w14:paraId="3390D290">
      <w:pPr>
        <w:ind w:left="160"/>
        <w:rPr>
          <w:rFonts w:hint="eastAsia" w:ascii="宋体" w:hAnsi="宋体" w:cs="宋体"/>
          <w:sz w:val="24"/>
        </w:rPr>
      </w:pPr>
      <w:r>
        <w:rPr>
          <w:rFonts w:hint="eastAsia" w:ascii="宋体" w:hAnsi="宋体" w:cs="宋体"/>
          <w:sz w:val="24"/>
        </w:rPr>
        <w:t>　（六）采购项目预算金额，价格结算标准；</w:t>
      </w:r>
    </w:p>
    <w:p w14:paraId="55EAABB6">
      <w:pPr>
        <w:ind w:left="160"/>
        <w:rPr>
          <w:rFonts w:hint="eastAsia" w:ascii="宋体" w:hAnsi="宋体" w:cs="宋体"/>
          <w:sz w:val="24"/>
        </w:rPr>
      </w:pPr>
      <w:r>
        <w:rPr>
          <w:rFonts w:hint="eastAsia" w:ascii="宋体" w:hAnsi="宋体" w:cs="宋体"/>
          <w:sz w:val="24"/>
        </w:rPr>
        <w:t>　（七）采购项目的技术规格、数量、服务标准、验收等要求，包括附件、图纸等；</w:t>
      </w:r>
    </w:p>
    <w:p w14:paraId="26CA574F">
      <w:pPr>
        <w:ind w:left="160"/>
        <w:rPr>
          <w:rFonts w:hint="eastAsia" w:ascii="宋体" w:hAnsi="宋体" w:cs="宋体"/>
          <w:sz w:val="24"/>
        </w:rPr>
      </w:pPr>
      <w:r>
        <w:rPr>
          <w:rFonts w:hint="eastAsia" w:ascii="宋体" w:hAnsi="宋体" w:cs="宋体"/>
          <w:sz w:val="24"/>
        </w:rPr>
        <w:t>　（八）拟签订的合同文本；</w:t>
      </w:r>
    </w:p>
    <w:p w14:paraId="3B8444A5">
      <w:pPr>
        <w:ind w:left="160"/>
        <w:rPr>
          <w:rFonts w:hint="eastAsia" w:ascii="宋体" w:hAnsi="宋体" w:cs="宋体"/>
          <w:sz w:val="24"/>
        </w:rPr>
      </w:pPr>
      <w:r>
        <w:rPr>
          <w:rFonts w:hint="eastAsia" w:ascii="宋体" w:hAnsi="宋体" w:cs="宋体"/>
          <w:sz w:val="24"/>
        </w:rPr>
        <w:t>　（九）货物、服务提供的时间、地点、方式；</w:t>
      </w:r>
    </w:p>
    <w:p w14:paraId="5C4A4AB4">
      <w:pPr>
        <w:ind w:left="160"/>
        <w:rPr>
          <w:rFonts w:hint="eastAsia" w:ascii="宋体" w:hAnsi="宋体" w:cs="宋体"/>
          <w:sz w:val="24"/>
        </w:rPr>
      </w:pPr>
      <w:r>
        <w:rPr>
          <w:rFonts w:hint="eastAsia" w:ascii="宋体" w:hAnsi="宋体" w:cs="宋体"/>
          <w:sz w:val="24"/>
        </w:rPr>
        <w:t>　（十）采购资金的支付方式、时间、条件；</w:t>
      </w:r>
    </w:p>
    <w:p w14:paraId="2920B049">
      <w:pPr>
        <w:ind w:left="160"/>
        <w:rPr>
          <w:rFonts w:hint="eastAsia" w:ascii="宋体" w:hAnsi="宋体" w:cs="宋体"/>
          <w:sz w:val="24"/>
        </w:rPr>
      </w:pPr>
      <w:r>
        <w:rPr>
          <w:rFonts w:hint="eastAsia" w:ascii="宋体" w:hAnsi="宋体" w:cs="宋体"/>
          <w:sz w:val="24"/>
        </w:rPr>
        <w:t>　（十一）评标方法、评标标准和投标无效情形；</w:t>
      </w:r>
    </w:p>
    <w:p w14:paraId="6617B2A4">
      <w:pPr>
        <w:ind w:left="160"/>
        <w:rPr>
          <w:rFonts w:hint="eastAsia" w:ascii="宋体" w:hAnsi="宋体" w:cs="宋体"/>
          <w:sz w:val="24"/>
        </w:rPr>
      </w:pPr>
      <w:r>
        <w:rPr>
          <w:rFonts w:hint="eastAsia" w:ascii="宋体" w:hAnsi="宋体" w:cs="宋体"/>
          <w:sz w:val="24"/>
        </w:rPr>
        <w:t>　（十二）投标有效期；</w:t>
      </w:r>
    </w:p>
    <w:p w14:paraId="362D1A6A">
      <w:pPr>
        <w:ind w:left="160"/>
        <w:rPr>
          <w:rFonts w:hint="eastAsia" w:ascii="宋体" w:hAnsi="宋体" w:cs="宋体"/>
          <w:sz w:val="24"/>
        </w:rPr>
      </w:pPr>
      <w:r>
        <w:rPr>
          <w:rFonts w:hint="eastAsia" w:ascii="宋体" w:hAnsi="宋体" w:cs="宋体"/>
          <w:sz w:val="24"/>
        </w:rPr>
        <w:t>　（十三）投标截止时间、开标时间及地点；</w:t>
      </w:r>
    </w:p>
    <w:p w14:paraId="7B5B305E">
      <w:pPr>
        <w:ind w:left="160"/>
        <w:rPr>
          <w:rFonts w:hint="eastAsia" w:ascii="宋体" w:hAnsi="宋体" w:cs="宋体"/>
          <w:sz w:val="24"/>
        </w:rPr>
      </w:pPr>
      <w:r>
        <w:rPr>
          <w:rFonts w:hint="eastAsia" w:ascii="宋体" w:hAnsi="宋体" w:cs="宋体"/>
          <w:sz w:val="24"/>
        </w:rPr>
        <w:t>　（十四）采购代理机构代理费用的收取标准和方式；</w:t>
      </w:r>
    </w:p>
    <w:p w14:paraId="745B7A82">
      <w:pPr>
        <w:ind w:left="160"/>
        <w:rPr>
          <w:rFonts w:hint="eastAsia" w:ascii="宋体" w:hAnsi="宋体" w:cs="宋体"/>
          <w:sz w:val="24"/>
        </w:rPr>
      </w:pPr>
      <w:r>
        <w:rPr>
          <w:rFonts w:hint="eastAsia" w:ascii="宋体" w:hAnsi="宋体" w:cs="宋体"/>
          <w:sz w:val="24"/>
        </w:rPr>
        <w:t>　（十五）供应商信用信息查询渠道及截止时间、信用信息查询记录和证据留存的具体方式、信用信息的使用规则等；</w:t>
      </w:r>
    </w:p>
    <w:p w14:paraId="7477D0DF">
      <w:pPr>
        <w:ind w:left="160"/>
        <w:rPr>
          <w:rFonts w:hint="eastAsia" w:ascii="宋体" w:hAnsi="宋体" w:cs="宋体"/>
          <w:sz w:val="24"/>
        </w:rPr>
      </w:pPr>
      <w:r>
        <w:rPr>
          <w:rFonts w:hint="eastAsia" w:ascii="宋体" w:hAnsi="宋体" w:cs="宋体"/>
          <w:sz w:val="24"/>
        </w:rPr>
        <w:t>　（十六）省级以上财政部门规定的其他事项；</w:t>
      </w:r>
    </w:p>
    <w:p w14:paraId="339500C3">
      <w:pPr>
        <w:rPr>
          <w:rFonts w:hint="eastAsia" w:ascii="宋体" w:hAnsi="宋体" w:cs="宋体"/>
          <w:sz w:val="24"/>
        </w:rPr>
      </w:pPr>
      <w:r>
        <w:rPr>
          <w:rFonts w:hint="eastAsia" w:ascii="宋体" w:hAnsi="宋体" w:cs="宋体"/>
          <w:sz w:val="24"/>
        </w:rPr>
        <w:t>2.1.2除非有特殊要求，采购文件不单独提供招标货物（服务）使用地的自然环境、气候条件、公用设施等情况，供应商被视为熟悉上述与履行合同有关的一切情况。</w:t>
      </w:r>
    </w:p>
    <w:p w14:paraId="764AF527">
      <w:pPr>
        <w:rPr>
          <w:rFonts w:hint="eastAsia" w:ascii="宋体" w:hAnsi="宋体" w:cs="宋体"/>
          <w:b/>
          <w:sz w:val="24"/>
        </w:rPr>
      </w:pPr>
      <w:bookmarkStart w:id="16" w:name="_Toc152042320"/>
      <w:bookmarkStart w:id="17" w:name="_Toc144974512"/>
      <w:bookmarkStart w:id="18" w:name="_Toc179632562"/>
      <w:bookmarkStart w:id="19" w:name="_Toc152045544"/>
      <w:bookmarkStart w:id="20" w:name="_Toc430488644"/>
      <w:bookmarkStart w:id="21" w:name="_Toc430490612"/>
      <w:bookmarkStart w:id="22" w:name="_Toc430489119"/>
      <w:bookmarkStart w:id="23" w:name="_Toc430492126"/>
      <w:bookmarkStart w:id="24" w:name="_Toc430488851"/>
      <w:bookmarkStart w:id="25" w:name="_Toc430422413"/>
      <w:bookmarkStart w:id="26" w:name="_Toc415567497"/>
      <w:r>
        <w:rPr>
          <w:rFonts w:hint="eastAsia" w:ascii="宋体" w:hAnsi="宋体" w:cs="宋体"/>
          <w:b/>
          <w:sz w:val="24"/>
        </w:rPr>
        <w:t>2.2 采购文件的澄清</w:t>
      </w:r>
      <w:bookmarkEnd w:id="16"/>
      <w:bookmarkEnd w:id="17"/>
      <w:bookmarkEnd w:id="18"/>
      <w:bookmarkEnd w:id="19"/>
    </w:p>
    <w:p w14:paraId="34ABE1D7">
      <w:pPr>
        <w:rPr>
          <w:rFonts w:hint="eastAsia" w:ascii="宋体" w:hAnsi="宋体" w:cs="宋体"/>
          <w:sz w:val="24"/>
        </w:rPr>
      </w:pPr>
      <w:r>
        <w:rPr>
          <w:rFonts w:hint="eastAsia" w:ascii="宋体" w:hAnsi="宋体" w:cs="宋体"/>
          <w:sz w:val="24"/>
        </w:rPr>
        <w:t>2.2.1采购人或者采购代理机构可以对已发出的采购文件、投标邀请书进行必要的澄清或者修改，但不得改变采购标的和资格条件。澄清或者修改应当在原公告发布媒体上发布澄清公告。</w:t>
      </w:r>
    </w:p>
    <w:p w14:paraId="4103B492">
      <w:pPr>
        <w:rPr>
          <w:rFonts w:hint="eastAsia" w:ascii="宋体" w:hAnsi="宋体" w:cs="宋体"/>
          <w:sz w:val="24"/>
        </w:rPr>
      </w:pPr>
      <w:r>
        <w:rPr>
          <w:rFonts w:hint="eastAsia" w:ascii="宋体" w:hAnsi="宋体" w:cs="宋体"/>
          <w:sz w:val="24"/>
        </w:rPr>
        <w:t>2.2.2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采购人将视情况将不标明澄清问题查询来源的书面答复发给所有供应商，该澄清内容为采购文件的组成部分。</w:t>
      </w:r>
    </w:p>
    <w:p w14:paraId="4633191C">
      <w:pPr>
        <w:rPr>
          <w:rFonts w:hint="eastAsia" w:ascii="宋体" w:hAnsi="宋体" w:cs="宋体"/>
          <w:sz w:val="24"/>
        </w:rPr>
      </w:pPr>
      <w:r>
        <w:rPr>
          <w:rFonts w:hint="eastAsia" w:ascii="宋体" w:hAnsi="宋体" w:cs="宋体"/>
          <w:sz w:val="24"/>
        </w:rPr>
        <w:t>2.2.3采购文件的澄清将在供应商须知前附表规定的投标截止时间15天前以书面形式发给所有购买采购文件的供应商，采购人只对投标须知前附表中规定的截止时间以前收到的要求澄清的问题予以答复。如果澄清发出的时间因距投标截止时间不足15天，供应商认为该澄清影响到对响应文件的修编，造成在原投标截止时间前修编响应文件的时间不足，供应商应以书面形式通知采购人要求酌情延长投标截止时间，以保证供应商有合理的时间修编响应文件，采购人应按规定酌情延长投标截止时间。否则，采购人仍将按原投标截止时间执行。</w:t>
      </w:r>
    </w:p>
    <w:p w14:paraId="3157195F">
      <w:pPr>
        <w:rPr>
          <w:rFonts w:hint="eastAsia" w:ascii="宋体" w:hAnsi="宋体" w:cs="宋体"/>
          <w:sz w:val="24"/>
        </w:rPr>
      </w:pPr>
      <w:r>
        <w:rPr>
          <w:rFonts w:hint="eastAsia" w:ascii="宋体" w:hAnsi="宋体" w:cs="宋体"/>
          <w:sz w:val="24"/>
        </w:rPr>
        <w:t>2.2.4 供应商在收到澄清后，应在供应商须知前附表规定的时间内以书面形式通知采购人，确认已收到该澄清。</w:t>
      </w:r>
    </w:p>
    <w:p w14:paraId="75750EF3">
      <w:pPr>
        <w:rPr>
          <w:rFonts w:hint="eastAsia" w:ascii="宋体" w:hAnsi="宋体" w:cs="宋体"/>
          <w:sz w:val="24"/>
        </w:rPr>
      </w:pPr>
      <w:r>
        <w:rPr>
          <w:rFonts w:hint="eastAsia" w:ascii="宋体" w:hAnsi="宋体" w:cs="宋体"/>
          <w:sz w:val="24"/>
        </w:rPr>
        <w:t>2.2.5 在投标截止时间15天前，采购人可以书面形式修改采购文件，并通知所有已购买采购文件的供应商，该修改内容为采购文件的组成部分。如果修改采购文件的时间距投标截止时间不足15天，供应商认为因采购文件的修改影响到对响应文件的修编，造成在原投标截止时间前修编响应文件的时间不足，供应商应以书面形式通知采购人要求酌情延长投标截止时间和开标时间（但应当至少在投标截止时间三个日历日前将变更时间以书面形式通知所有供应商），以保证供应商有合理的时间修编响应文件，采购人应按规定酌情延长投标截止时间。否则，采购人仍将按原投标截止时间执行。在此情况下，采购人和供应商受投标截止期制约的所有权利和义务均应延长至新的截止日期。</w:t>
      </w:r>
    </w:p>
    <w:p w14:paraId="26CB7E62">
      <w:pPr>
        <w:rPr>
          <w:rFonts w:hint="eastAsia" w:ascii="宋体" w:hAnsi="宋体" w:cs="宋体"/>
          <w:sz w:val="24"/>
        </w:rPr>
      </w:pPr>
      <w:r>
        <w:rPr>
          <w:rFonts w:hint="eastAsia" w:ascii="宋体" w:hAnsi="宋体" w:cs="宋体"/>
          <w:sz w:val="24"/>
        </w:rPr>
        <w:t>2.2.6 供应商收到修改内容后，应在供应商须知前附表规定的时间内以书面形式通知采购人，确认已收到该修改。该修改内容为采购文件的组成部分。</w:t>
      </w:r>
    </w:p>
    <w:p w14:paraId="67BC440D">
      <w:pPr>
        <w:rPr>
          <w:rFonts w:hint="eastAsia" w:ascii="宋体" w:hAnsi="宋体" w:cs="宋体"/>
          <w:sz w:val="24"/>
        </w:rPr>
      </w:pPr>
      <w:r>
        <w:rPr>
          <w:rFonts w:hint="eastAsia" w:ascii="宋体" w:hAnsi="宋体" w:cs="宋体"/>
          <w:sz w:val="24"/>
        </w:rPr>
        <w:t>2.2.7采购人在投标须知前附表中标明了澄清、补充或修改采购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采购文件（包括开标时间、地点的变更等）通知的，视同已收到。</w:t>
      </w:r>
    </w:p>
    <w:bookmarkEnd w:id="20"/>
    <w:bookmarkEnd w:id="21"/>
    <w:bookmarkEnd w:id="22"/>
    <w:bookmarkEnd w:id="23"/>
    <w:bookmarkEnd w:id="24"/>
    <w:bookmarkEnd w:id="25"/>
    <w:bookmarkEnd w:id="26"/>
    <w:p w14:paraId="3C8B8761">
      <w:pPr>
        <w:jc w:val="center"/>
        <w:rPr>
          <w:rFonts w:hint="eastAsia" w:ascii="宋体" w:hAnsi="宋体" w:cs="宋体"/>
          <w:sz w:val="24"/>
        </w:rPr>
      </w:pPr>
      <w:r>
        <w:rPr>
          <w:rFonts w:hint="eastAsia" w:ascii="宋体" w:hAnsi="宋体" w:cs="宋体"/>
          <w:b/>
          <w:bCs/>
          <w:sz w:val="24"/>
        </w:rPr>
        <w:t>3、响应文件</w:t>
      </w:r>
    </w:p>
    <w:p w14:paraId="4FD57A37">
      <w:pPr>
        <w:rPr>
          <w:rFonts w:hint="eastAsia" w:ascii="宋体" w:hAnsi="宋体" w:cs="宋体"/>
          <w:sz w:val="24"/>
        </w:rPr>
      </w:pPr>
      <w:r>
        <w:rPr>
          <w:rFonts w:hint="eastAsia" w:ascii="宋体" w:hAnsi="宋体" w:cs="宋体"/>
          <w:b/>
          <w:bCs/>
          <w:sz w:val="24"/>
        </w:rPr>
        <w:t xml:space="preserve">3.1. </w:t>
      </w:r>
      <w:r>
        <w:rPr>
          <w:rFonts w:hint="eastAsia" w:ascii="宋体" w:hAnsi="宋体" w:cs="宋体"/>
          <w:b/>
          <w:bCs/>
          <w:kern w:val="0"/>
          <w:sz w:val="24"/>
        </w:rPr>
        <w:t>响应文件的组成</w:t>
      </w:r>
    </w:p>
    <w:p w14:paraId="4BBE71FC">
      <w:pPr>
        <w:snapToGrid w:val="0"/>
        <w:rPr>
          <w:rFonts w:hint="eastAsia" w:ascii="宋体" w:hAnsi="宋体" w:cs="宋体"/>
          <w:kern w:val="0"/>
          <w:sz w:val="24"/>
        </w:rPr>
      </w:pPr>
      <w:r>
        <w:rPr>
          <w:rFonts w:hint="eastAsia" w:ascii="宋体" w:hAnsi="宋体" w:cs="宋体"/>
          <w:kern w:val="0"/>
          <w:sz w:val="24"/>
        </w:rPr>
        <w:t>3.1.1供应商应当按照采购文件的要求编制响应文件。响应文件应当对采购文件提出的要求和条件作出明确响应。</w:t>
      </w:r>
      <w:r>
        <w:rPr>
          <w:rFonts w:hint="eastAsia" w:ascii="宋体" w:hAnsi="宋体" w:cs="宋体"/>
          <w:b/>
          <w:sz w:val="24"/>
        </w:rPr>
        <w:t>并保证所提供的全部资料的真实性，否则其投标将按无效投标处理。</w:t>
      </w:r>
    </w:p>
    <w:p w14:paraId="6427C0DD">
      <w:pPr>
        <w:snapToGrid w:val="0"/>
        <w:rPr>
          <w:rFonts w:hint="eastAsia" w:ascii="宋体" w:hAnsi="宋体" w:cs="宋体"/>
          <w:kern w:val="0"/>
          <w:sz w:val="24"/>
        </w:rPr>
      </w:pPr>
      <w:r>
        <w:rPr>
          <w:rFonts w:hint="eastAsia" w:ascii="宋体" w:hAnsi="宋体" w:cs="宋体"/>
          <w:kern w:val="0"/>
          <w:sz w:val="24"/>
        </w:rPr>
        <w:t>3.1.2供应商须知前附表规定接受联合体投标的，或接受供应商组成联合体的，响应文件应包括联合体协议书。</w:t>
      </w:r>
    </w:p>
    <w:p w14:paraId="641EC2D6">
      <w:pPr>
        <w:rPr>
          <w:rFonts w:hint="eastAsia" w:ascii="宋体" w:hAnsi="宋体" w:cs="宋体"/>
          <w:b/>
          <w:bCs/>
          <w:sz w:val="24"/>
        </w:rPr>
      </w:pPr>
      <w:r>
        <w:rPr>
          <w:rFonts w:hint="eastAsia" w:ascii="宋体" w:hAnsi="宋体" w:cs="宋体"/>
          <w:b/>
          <w:bCs/>
          <w:sz w:val="24"/>
        </w:rPr>
        <w:t>3.1.3响应文件（份数：详见投标须知附表）。</w:t>
      </w:r>
    </w:p>
    <w:p w14:paraId="0B2582CF">
      <w:pPr>
        <w:pStyle w:val="14"/>
        <w:spacing w:line="240" w:lineRule="auto"/>
        <w:rPr>
          <w:rFonts w:hint="eastAsia" w:ascii="宋体" w:hAnsi="宋体" w:cs="宋体"/>
        </w:rPr>
      </w:pPr>
      <w:r>
        <w:rPr>
          <w:rFonts w:hint="eastAsia" w:ascii="宋体" w:hAnsi="宋体" w:cs="宋体"/>
        </w:rPr>
        <w:t>具体格式详见第六章  投标文件格式</w:t>
      </w:r>
    </w:p>
    <w:p w14:paraId="3917E45D">
      <w:pPr>
        <w:rPr>
          <w:rFonts w:hint="eastAsia" w:ascii="宋体" w:hAnsi="宋体" w:cs="宋体"/>
          <w:kern w:val="0"/>
          <w:sz w:val="24"/>
        </w:rPr>
      </w:pPr>
      <w:r>
        <w:rPr>
          <w:rFonts w:hint="eastAsia" w:ascii="宋体" w:hAnsi="宋体" w:cs="宋体"/>
          <w:b/>
          <w:bCs/>
          <w:sz w:val="24"/>
        </w:rPr>
        <w:t>3.2. 投标报价</w:t>
      </w:r>
      <w:r>
        <w:rPr>
          <w:rFonts w:hint="eastAsia" w:ascii="宋体" w:hAnsi="宋体" w:cs="宋体"/>
          <w:kern w:val="0"/>
          <w:sz w:val="24"/>
        </w:rPr>
        <w:t xml:space="preserve"> </w:t>
      </w:r>
    </w:p>
    <w:p w14:paraId="64A0A138">
      <w:pPr>
        <w:snapToGrid w:val="0"/>
        <w:rPr>
          <w:rFonts w:hint="eastAsia" w:ascii="宋体" w:hAnsi="宋体" w:cs="宋体"/>
          <w:kern w:val="0"/>
          <w:sz w:val="24"/>
        </w:rPr>
      </w:pPr>
      <w:r>
        <w:rPr>
          <w:rFonts w:hint="eastAsia" w:ascii="宋体" w:hAnsi="宋体" w:cs="宋体"/>
          <w:kern w:val="0"/>
          <w:sz w:val="24"/>
        </w:rPr>
        <w:t>3.2.1 供应商应按采购文件的要求填写相应投标报价表格。</w:t>
      </w:r>
    </w:p>
    <w:p w14:paraId="0155CE98">
      <w:pPr>
        <w:rPr>
          <w:rFonts w:hint="eastAsia" w:ascii="宋体" w:hAnsi="宋体" w:cs="宋体"/>
          <w:sz w:val="24"/>
        </w:rPr>
      </w:pPr>
      <w:r>
        <w:rPr>
          <w:rFonts w:hint="eastAsia" w:ascii="宋体" w:hAnsi="宋体" w:cs="宋体"/>
          <w:sz w:val="24"/>
        </w:rPr>
        <w:t>3.2.2 除非有另外的规定，供应商可对招标项目一览表所列的全部合同包或部分合同包进行投标。采购代理机构不接受有任何可选择性的报价，每一种货物（服务）只能有一个报价。且每一合同包的投标总（单）报价</w:t>
      </w:r>
      <w:r>
        <w:rPr>
          <w:rFonts w:hint="eastAsia" w:ascii="宋体" w:hAnsi="宋体" w:cs="宋体"/>
          <w:kern w:val="0"/>
          <w:sz w:val="24"/>
        </w:rPr>
        <w:t>不得超过规定的最高投标限价，</w:t>
      </w:r>
      <w:r>
        <w:rPr>
          <w:rFonts w:hint="eastAsia" w:ascii="宋体" w:hAnsi="宋体" w:cs="宋体"/>
          <w:b/>
          <w:kern w:val="0"/>
          <w:sz w:val="24"/>
        </w:rPr>
        <w:t>否则其投标将被拒绝！</w:t>
      </w:r>
    </w:p>
    <w:p w14:paraId="53E34A40">
      <w:pPr>
        <w:rPr>
          <w:rFonts w:hint="eastAsia" w:ascii="宋体" w:hAnsi="宋体" w:cs="宋体"/>
          <w:sz w:val="24"/>
        </w:rPr>
      </w:pPr>
      <w:r>
        <w:rPr>
          <w:rFonts w:hint="eastAsia" w:ascii="宋体" w:hAnsi="宋体" w:cs="宋体"/>
          <w:b/>
          <w:bCs/>
          <w:sz w:val="24"/>
        </w:rPr>
        <w:t>3.3. 响应文件语言</w:t>
      </w:r>
    </w:p>
    <w:p w14:paraId="51A45975">
      <w:pPr>
        <w:rPr>
          <w:rFonts w:hint="eastAsia" w:ascii="宋体" w:hAnsi="宋体" w:cs="宋体"/>
          <w:sz w:val="24"/>
        </w:rPr>
      </w:pPr>
      <w:r>
        <w:rPr>
          <w:rFonts w:hint="eastAsia" w:ascii="宋体" w:hAnsi="宋体" w:cs="宋体"/>
          <w:sz w:val="24"/>
        </w:rPr>
        <w:t>3.2.1响应文件应用中文书写。响应文件中所附或所引用的原件不是中文时，应附中文译本。各种计量单位及符号应采用国际上统一使用的公制计量单位和符号。</w:t>
      </w:r>
    </w:p>
    <w:p w14:paraId="2908CB80">
      <w:pPr>
        <w:rPr>
          <w:rFonts w:hint="eastAsia" w:ascii="宋体" w:hAnsi="宋体" w:cs="宋体"/>
          <w:b/>
          <w:sz w:val="24"/>
        </w:rPr>
      </w:pPr>
      <w:r>
        <w:rPr>
          <w:rFonts w:hint="eastAsia" w:ascii="宋体" w:hAnsi="宋体" w:cs="宋体"/>
          <w:b/>
          <w:sz w:val="24"/>
        </w:rPr>
        <w:t>3.4. 响应文件的编制</w:t>
      </w:r>
    </w:p>
    <w:p w14:paraId="5173B9DA">
      <w:pPr>
        <w:rPr>
          <w:rFonts w:hint="eastAsia" w:ascii="宋体" w:hAnsi="宋体" w:cs="宋体"/>
          <w:sz w:val="24"/>
        </w:rPr>
      </w:pPr>
      <w:r>
        <w:rPr>
          <w:rFonts w:hint="eastAsia" w:ascii="宋体" w:hAnsi="宋体" w:cs="宋体"/>
          <w:sz w:val="24"/>
        </w:rPr>
        <w:t>3.4.1响应文件应按采购文件“响应文件格式”进行编写，如有必要，可以增加附页，作为响应文件的组成部分。其中，投标函附录在满足采购文件实质性要求的基础上，可以提出比采购文件要求更有利于采购人的承诺。</w:t>
      </w:r>
    </w:p>
    <w:p w14:paraId="5FADBD8E">
      <w:pPr>
        <w:rPr>
          <w:rFonts w:hint="eastAsia" w:ascii="宋体" w:hAnsi="宋体" w:cs="宋体"/>
          <w:kern w:val="0"/>
          <w:sz w:val="24"/>
        </w:rPr>
      </w:pPr>
      <w:r>
        <w:rPr>
          <w:rFonts w:hint="eastAsia" w:ascii="宋体" w:hAnsi="宋体" w:cs="宋体"/>
          <w:kern w:val="0"/>
          <w:sz w:val="24"/>
        </w:rPr>
        <w:t>3.4.2 响应文件应当对采购文件有关供货（服务）计划、投标有效期、质量要求、技术标准和其他要求、招标范围等实质性内容做出响应。</w:t>
      </w:r>
    </w:p>
    <w:p w14:paraId="274DD6DD">
      <w:pPr>
        <w:rPr>
          <w:rFonts w:hint="eastAsia" w:ascii="宋体" w:hAnsi="宋体" w:cs="宋体"/>
          <w:sz w:val="24"/>
        </w:rPr>
      </w:pPr>
      <w:r>
        <w:rPr>
          <w:rFonts w:hint="eastAsia" w:ascii="宋体" w:hAnsi="宋体" w:cs="宋体"/>
          <w:sz w:val="24"/>
        </w:rPr>
        <w:t>3.4.7除非有另外的规定或许可，投标使用货币为：人民币。</w:t>
      </w:r>
    </w:p>
    <w:p w14:paraId="7038B3CC">
      <w:pPr>
        <w:rPr>
          <w:rFonts w:hint="eastAsia" w:ascii="宋体" w:hAnsi="宋体" w:cs="宋体"/>
          <w:sz w:val="24"/>
        </w:rPr>
      </w:pPr>
      <w:r>
        <w:rPr>
          <w:rFonts w:hint="eastAsia" w:ascii="宋体" w:hAnsi="宋体" w:cs="宋体"/>
          <w:sz w:val="24"/>
        </w:rPr>
        <w:t xml:space="preserve">3.4.8供应商应提交证明其拟供货物（服务）符合采购文件要求的技术文件，该文件可以是包括文字资料、图纸和数据等组成，并须提供货物（服务）主要技术性能的详细描述。 </w:t>
      </w:r>
    </w:p>
    <w:p w14:paraId="4A569F4E">
      <w:pPr>
        <w:rPr>
          <w:rFonts w:hint="eastAsia" w:ascii="宋体" w:hAnsi="宋体" w:cs="宋体"/>
          <w:sz w:val="24"/>
        </w:rPr>
      </w:pPr>
      <w:r>
        <w:rPr>
          <w:rFonts w:hint="eastAsia" w:ascii="宋体" w:hAnsi="宋体" w:cs="宋体"/>
          <w:sz w:val="24"/>
        </w:rPr>
        <w:t>3.4.9</w:t>
      </w:r>
      <w:r>
        <w:rPr>
          <w:rFonts w:hint="eastAsia" w:ascii="宋体" w:hAnsi="宋体" w:cs="宋体"/>
          <w:b/>
          <w:sz w:val="24"/>
        </w:rPr>
        <w:t>未按采购文件规定的内容编写的响应文件，无法辨认其价格、关键参数或指标等的，其投标无效。</w:t>
      </w:r>
    </w:p>
    <w:p w14:paraId="782A5976">
      <w:pPr>
        <w:rPr>
          <w:rFonts w:hint="eastAsia" w:ascii="宋体" w:hAnsi="宋体" w:cs="宋体"/>
          <w:sz w:val="24"/>
        </w:rPr>
      </w:pPr>
      <w:r>
        <w:rPr>
          <w:rFonts w:hint="eastAsia" w:ascii="宋体" w:hAnsi="宋体" w:cs="宋体"/>
          <w:sz w:val="24"/>
        </w:rPr>
        <w:t>3.4.10所有资格证明文件复印件须加盖供应商公章。</w:t>
      </w:r>
    </w:p>
    <w:p w14:paraId="0BB6F3D0">
      <w:pPr>
        <w:rPr>
          <w:rFonts w:hint="eastAsia" w:ascii="宋体" w:hAnsi="宋体" w:cs="宋体"/>
          <w:sz w:val="24"/>
        </w:rPr>
      </w:pPr>
      <w:r>
        <w:rPr>
          <w:rFonts w:hint="eastAsia" w:ascii="宋体" w:hAnsi="宋体" w:cs="宋体"/>
          <w:sz w:val="24"/>
        </w:rPr>
        <w:t>3.4.11供应商可对本次招标的所有货物（服务）进行投标，也可只对其中一个包（或标段）或几个包（或标段）的货物进（服务）行投标；除非采购文件另有规定，否则不得将一个包（或标段）中的货物</w:t>
      </w:r>
      <w:r>
        <w:rPr>
          <w:rFonts w:hint="eastAsia" w:ascii="宋体" w:hAnsi="宋体" w:cs="宋体"/>
          <w:kern w:val="0"/>
          <w:sz w:val="24"/>
        </w:rPr>
        <w:t>（服务）</w:t>
      </w:r>
      <w:r>
        <w:rPr>
          <w:rFonts w:hint="eastAsia" w:ascii="宋体" w:hAnsi="宋体" w:cs="宋体"/>
          <w:sz w:val="24"/>
        </w:rPr>
        <w:t>拆开投标。</w:t>
      </w:r>
    </w:p>
    <w:p w14:paraId="04B4346E">
      <w:pPr>
        <w:rPr>
          <w:rFonts w:hint="eastAsia" w:ascii="宋体" w:hAnsi="宋体" w:cs="宋体"/>
          <w:b/>
          <w:bCs/>
          <w:sz w:val="24"/>
        </w:rPr>
      </w:pPr>
      <w:r>
        <w:rPr>
          <w:rFonts w:hint="eastAsia" w:ascii="宋体" w:hAnsi="宋体" w:cs="宋体"/>
          <w:b/>
          <w:bCs/>
          <w:sz w:val="24"/>
        </w:rPr>
        <w:t>3.5. 投标有效期</w:t>
      </w:r>
    </w:p>
    <w:p w14:paraId="104C067A">
      <w:pPr>
        <w:rPr>
          <w:rFonts w:hint="eastAsia" w:ascii="宋体" w:hAnsi="宋体" w:cs="宋体"/>
          <w:sz w:val="24"/>
        </w:rPr>
      </w:pPr>
      <w:r>
        <w:rPr>
          <w:rFonts w:hint="eastAsia" w:ascii="宋体" w:hAnsi="宋体" w:cs="宋体"/>
          <w:sz w:val="24"/>
        </w:rPr>
        <w:t>3.5.1响应文件从供应商须知前附表所规定的投标截止期之后开始生效，在供应商须知前附表所规定的期限内保持有效。有效期不足将导致其响应文件被拒绝。</w:t>
      </w:r>
    </w:p>
    <w:p w14:paraId="4FA137BB">
      <w:pPr>
        <w:rPr>
          <w:rFonts w:hint="eastAsia" w:ascii="宋体" w:hAnsi="宋体" w:cs="宋体"/>
          <w:sz w:val="24"/>
        </w:rPr>
      </w:pPr>
      <w:r>
        <w:rPr>
          <w:rFonts w:hint="eastAsia" w:ascii="宋体" w:hAnsi="宋体" w:cs="宋体"/>
          <w:sz w:val="24"/>
        </w:rPr>
        <w:t>3.5.2特殊情况下采购代理人可于投标有效期满之前书面要求供应商同意延长有效期，供应商应在采购代理机构规定的期限内以书面形式予以答复。供应商可以拒绝上述要求而其投标保证金可按规定予以退还。供应商答复不明确或者逾期未答复的，均视为拒绝上述要求。对于接受该要求的供应商，既不要求也不允许其修改响应文件，但将要求其相应延长投标保证金有效期，有关退还和不予退还投标保证金的规定在投标有效期延长期内继续有效。</w:t>
      </w:r>
    </w:p>
    <w:p w14:paraId="76E3F0B9">
      <w:pPr>
        <w:rPr>
          <w:rFonts w:hint="eastAsia" w:ascii="宋体" w:hAnsi="宋体" w:cs="宋体"/>
          <w:b/>
          <w:bCs/>
          <w:sz w:val="24"/>
        </w:rPr>
      </w:pPr>
      <w:r>
        <w:rPr>
          <w:rFonts w:hint="eastAsia" w:ascii="宋体" w:hAnsi="宋体" w:cs="宋体"/>
          <w:b/>
          <w:bCs/>
          <w:sz w:val="24"/>
        </w:rPr>
        <w:t>3.6. 投标保证金</w:t>
      </w:r>
    </w:p>
    <w:p w14:paraId="2196E9B6">
      <w:pPr>
        <w:rPr>
          <w:rFonts w:hint="eastAsia" w:ascii="宋体" w:hAnsi="宋体" w:cs="宋体"/>
          <w:sz w:val="24"/>
        </w:rPr>
      </w:pPr>
      <w:r>
        <w:rPr>
          <w:rFonts w:hint="eastAsia" w:ascii="宋体" w:hAnsi="宋体" w:cs="宋体"/>
          <w:sz w:val="24"/>
        </w:rPr>
        <w:t>3.6.1 投标保证金为响应文件的组成部分之一。</w:t>
      </w:r>
    </w:p>
    <w:p w14:paraId="3590B260">
      <w:pPr>
        <w:rPr>
          <w:rFonts w:hint="eastAsia" w:ascii="宋体" w:hAnsi="宋体" w:cs="宋体"/>
          <w:sz w:val="24"/>
        </w:rPr>
      </w:pPr>
      <w:r>
        <w:rPr>
          <w:rFonts w:hint="eastAsia" w:ascii="宋体" w:hAnsi="宋体" w:cs="宋体"/>
          <w:sz w:val="24"/>
        </w:rPr>
        <w:t>3.6.2 供应商应在提交响应文件之前向采购代理机构缴交供应商须知前附表要求的投标保证金。联合体投标的，可以由联合体中的一方或者共同提交投标保证金，以一方名义提交投标保证金的，对联合体各方均具有约束力。</w:t>
      </w:r>
    </w:p>
    <w:p w14:paraId="0B17DCC1">
      <w:pPr>
        <w:rPr>
          <w:rFonts w:hint="eastAsia" w:ascii="宋体" w:hAnsi="宋体" w:cs="宋体"/>
          <w:sz w:val="24"/>
        </w:rPr>
      </w:pPr>
      <w:r>
        <w:rPr>
          <w:rFonts w:hint="eastAsia" w:ascii="宋体" w:hAnsi="宋体" w:cs="宋体"/>
          <w:sz w:val="24"/>
        </w:rPr>
        <w:t>3.6.3 投标保证金用于保护本次招标活动免受供应商的行为而引起的风险。</w:t>
      </w:r>
    </w:p>
    <w:p w14:paraId="2D7C7D5B">
      <w:pPr>
        <w:rPr>
          <w:rFonts w:hint="eastAsia" w:ascii="宋体" w:hAnsi="宋体" w:cs="宋体"/>
          <w:sz w:val="24"/>
        </w:rPr>
      </w:pPr>
      <w:r>
        <w:rPr>
          <w:rFonts w:hint="eastAsia" w:ascii="宋体" w:hAnsi="宋体" w:cs="宋体"/>
          <w:sz w:val="24"/>
        </w:rPr>
        <w:t>3.6.4 投标保证金以</w:t>
      </w:r>
      <w:r>
        <w:rPr>
          <w:rFonts w:hint="eastAsia" w:ascii="宋体" w:hAnsi="宋体" w:cs="宋体"/>
          <w:bCs/>
          <w:spacing w:val="8"/>
          <w:kern w:val="0"/>
          <w:sz w:val="24"/>
        </w:rPr>
        <w:t>投标保证金以非现金形式由供应商基本账户转出形式交纳</w:t>
      </w:r>
      <w:r>
        <w:rPr>
          <w:rFonts w:hint="eastAsia" w:ascii="宋体" w:hAnsi="宋体" w:cs="宋体"/>
          <w:sz w:val="24"/>
        </w:rPr>
        <w:t>。供应商须知前附表另有规定的，则从其约定。</w:t>
      </w:r>
    </w:p>
    <w:p w14:paraId="1BE1CA1A">
      <w:pPr>
        <w:rPr>
          <w:rFonts w:hint="eastAsia" w:ascii="宋体" w:hAnsi="宋体" w:cs="宋体"/>
          <w:sz w:val="24"/>
        </w:rPr>
      </w:pPr>
      <w:r>
        <w:rPr>
          <w:rFonts w:hint="eastAsia" w:ascii="宋体" w:hAnsi="宋体" w:cs="宋体"/>
          <w:sz w:val="24"/>
        </w:rPr>
        <w:t xml:space="preserve">3.6.5 </w:t>
      </w:r>
      <w:r>
        <w:rPr>
          <w:rFonts w:hint="eastAsia" w:ascii="宋体" w:hAnsi="宋体" w:cs="宋体"/>
          <w:b/>
          <w:bCs/>
          <w:sz w:val="24"/>
        </w:rPr>
        <w:t>未按规定缴交投标保证金的投标，将被视为其投标无效。</w:t>
      </w:r>
    </w:p>
    <w:p w14:paraId="40130A35">
      <w:pPr>
        <w:rPr>
          <w:rFonts w:hint="eastAsia" w:ascii="宋体" w:hAnsi="宋体" w:cs="宋体"/>
          <w:sz w:val="24"/>
        </w:rPr>
      </w:pPr>
      <w:r>
        <w:rPr>
          <w:rFonts w:hint="eastAsia" w:ascii="宋体" w:hAnsi="宋体" w:cs="宋体"/>
          <w:sz w:val="24"/>
        </w:rPr>
        <w:t>3.6.6投标保证金退还手续说明</w:t>
      </w:r>
    </w:p>
    <w:p w14:paraId="357B6706">
      <w:pPr>
        <w:ind w:firstLine="120" w:firstLineChars="50"/>
        <w:rPr>
          <w:rFonts w:hint="eastAsia" w:ascii="宋体" w:hAnsi="宋体" w:cs="宋体"/>
          <w:sz w:val="24"/>
        </w:rPr>
      </w:pPr>
      <w:r>
        <w:rPr>
          <w:rFonts w:hint="eastAsia" w:ascii="宋体" w:hAnsi="宋体" w:cs="宋体"/>
          <w:sz w:val="24"/>
        </w:rPr>
        <w:t>（1）供应商在提供投标保证金汇款凭证后，投标保证金将在中标通知书发出之日起五个工作日内，按照供应商所提供的开户行、开户名称、帐号、开户行行号等信息退还，予以原额退还中标人以外的供应商的投标保证金。</w:t>
      </w:r>
    </w:p>
    <w:p w14:paraId="5A2C2DDD">
      <w:pPr>
        <w:ind w:firstLine="120" w:firstLineChars="50"/>
        <w:rPr>
          <w:rFonts w:hint="eastAsia" w:ascii="宋体" w:hAnsi="宋体" w:cs="宋体"/>
          <w:sz w:val="24"/>
        </w:rPr>
      </w:pPr>
      <w:r>
        <w:rPr>
          <w:rFonts w:hint="eastAsia" w:ascii="宋体" w:hAnsi="宋体" w:cs="宋体"/>
          <w:sz w:val="24"/>
        </w:rPr>
        <w:t>（2）请相关供应商按上述说明办理保证金退还手续，未按要求办理的自行承担责任。</w:t>
      </w:r>
    </w:p>
    <w:p w14:paraId="6BE86B92">
      <w:pPr>
        <w:rPr>
          <w:rFonts w:hint="eastAsia" w:ascii="宋体" w:hAnsi="宋体" w:cs="宋体"/>
          <w:sz w:val="24"/>
        </w:rPr>
      </w:pPr>
      <w:r>
        <w:rPr>
          <w:rFonts w:hint="eastAsia" w:ascii="宋体" w:hAnsi="宋体" w:cs="宋体"/>
          <w:sz w:val="24"/>
        </w:rPr>
        <w:t>3.6.7在中标人签订合同并且以缴纳中标服务费（采购人如有要求中标人支付履约保证金的，则增加：支付履约保证金）后5个工作日内，中标人的投标保证金予以原额退还。注：退还时须提供提供的开户行、开户名称、帐号、开户行行号等信息电子版。</w:t>
      </w:r>
    </w:p>
    <w:p w14:paraId="4E73BCA5">
      <w:pPr>
        <w:rPr>
          <w:rFonts w:hint="eastAsia" w:ascii="宋体" w:hAnsi="宋体" w:cs="宋体"/>
          <w:sz w:val="24"/>
        </w:rPr>
      </w:pPr>
      <w:r>
        <w:rPr>
          <w:rFonts w:hint="eastAsia" w:ascii="宋体" w:hAnsi="宋体" w:cs="宋体"/>
          <w:sz w:val="24"/>
        </w:rPr>
        <w:t>3.6.8 投标保证金的有效期同投标有效期。</w:t>
      </w:r>
    </w:p>
    <w:p w14:paraId="4918E27A">
      <w:pPr>
        <w:rPr>
          <w:rFonts w:hint="eastAsia" w:ascii="宋体" w:hAnsi="宋体" w:cs="宋体"/>
          <w:sz w:val="24"/>
        </w:rPr>
      </w:pPr>
      <w:r>
        <w:rPr>
          <w:rFonts w:hint="eastAsia" w:ascii="宋体" w:hAnsi="宋体" w:cs="宋体"/>
          <w:sz w:val="24"/>
        </w:rPr>
        <w:t>3.6.9 发生以下情况之一的，投标保证金将不予退还：</w:t>
      </w:r>
    </w:p>
    <w:p w14:paraId="5AB548AC">
      <w:pPr>
        <w:ind w:firstLine="240" w:firstLineChars="100"/>
        <w:rPr>
          <w:rFonts w:hint="eastAsia" w:ascii="宋体" w:hAnsi="宋体" w:cs="宋体"/>
          <w:sz w:val="24"/>
        </w:rPr>
      </w:pPr>
      <w:r>
        <w:rPr>
          <w:rFonts w:hint="eastAsia" w:ascii="宋体" w:hAnsi="宋体" w:cs="宋体"/>
          <w:sz w:val="24"/>
        </w:rPr>
        <w:t>（1）供应商在投标有效期内撤销响应文件的；</w:t>
      </w:r>
    </w:p>
    <w:p w14:paraId="77B1CCF7">
      <w:pPr>
        <w:ind w:firstLine="240" w:firstLineChars="100"/>
        <w:rPr>
          <w:rFonts w:hint="eastAsia" w:ascii="宋体" w:hAnsi="宋体" w:cs="宋体"/>
          <w:sz w:val="24"/>
        </w:rPr>
      </w:pPr>
      <w:r>
        <w:rPr>
          <w:rFonts w:hint="eastAsia" w:ascii="宋体" w:hAnsi="宋体" w:cs="宋体"/>
          <w:sz w:val="24"/>
        </w:rPr>
        <w:t>（2）供应商提供虚假投标证明材料；</w:t>
      </w:r>
    </w:p>
    <w:p w14:paraId="7B1121CD">
      <w:pPr>
        <w:ind w:firstLine="240" w:firstLineChars="100"/>
        <w:rPr>
          <w:rFonts w:hint="eastAsia" w:ascii="宋体" w:hAnsi="宋体" w:cs="宋体"/>
          <w:sz w:val="24"/>
        </w:rPr>
      </w:pPr>
      <w:r>
        <w:rPr>
          <w:rFonts w:hint="eastAsia" w:ascii="宋体" w:hAnsi="宋体" w:cs="宋体"/>
          <w:sz w:val="24"/>
        </w:rPr>
        <w:t>（3）以他人名义投标或者以其他方式弄虚作假，骗取中标；</w:t>
      </w:r>
    </w:p>
    <w:p w14:paraId="5B4AC243">
      <w:pPr>
        <w:snapToGrid w:val="0"/>
        <w:ind w:firstLine="240" w:firstLineChars="100"/>
        <w:rPr>
          <w:rFonts w:hint="eastAsia" w:ascii="宋体" w:hAnsi="宋体" w:cs="宋体"/>
          <w:kern w:val="0"/>
          <w:sz w:val="24"/>
        </w:rPr>
      </w:pPr>
      <w:r>
        <w:rPr>
          <w:rFonts w:hint="eastAsia" w:ascii="宋体" w:hAnsi="宋体" w:cs="宋体"/>
          <w:sz w:val="24"/>
        </w:rPr>
        <w:t>（4）</w:t>
      </w:r>
      <w:r>
        <w:rPr>
          <w:rFonts w:hint="eastAsia" w:ascii="宋体" w:hAnsi="宋体" w:cs="宋体"/>
          <w:kern w:val="0"/>
          <w:sz w:val="24"/>
        </w:rPr>
        <w:t>供应商在规定的投标有效期内修改其响应文件；</w:t>
      </w:r>
    </w:p>
    <w:p w14:paraId="5E0B69DE">
      <w:pPr>
        <w:snapToGrid w:val="0"/>
        <w:ind w:firstLine="240" w:firstLineChars="100"/>
        <w:rPr>
          <w:rFonts w:hint="eastAsia" w:ascii="宋体" w:hAnsi="宋体" w:cs="宋体"/>
          <w:kern w:val="0"/>
          <w:sz w:val="24"/>
        </w:rPr>
      </w:pPr>
      <w:r>
        <w:rPr>
          <w:rFonts w:hint="eastAsia" w:ascii="宋体" w:hAnsi="宋体" w:cs="宋体"/>
          <w:kern w:val="0"/>
          <w:sz w:val="24"/>
        </w:rPr>
        <w:t>（5）中标人在收到中标通知书后，无正当理由拒签合同协议书或未按采购文件规定提交履约担保。</w:t>
      </w:r>
    </w:p>
    <w:p w14:paraId="76E94834">
      <w:pPr>
        <w:ind w:firstLine="249" w:firstLineChars="104"/>
        <w:jc w:val="both"/>
        <w:rPr>
          <w:rFonts w:hint="eastAsia" w:ascii="宋体" w:hAnsi="宋体" w:cs="宋体"/>
          <w:sz w:val="24"/>
        </w:rPr>
      </w:pPr>
      <w:r>
        <w:rPr>
          <w:rFonts w:hint="eastAsia" w:ascii="宋体" w:hAnsi="宋体" w:cs="宋体"/>
          <w:sz w:val="24"/>
        </w:rPr>
        <w:t>（6）上述不予退还投标保证金的情况给采购单位造成损失的，还要承担赔偿责任。</w:t>
      </w:r>
    </w:p>
    <w:p w14:paraId="6E83FBEF">
      <w:pPr>
        <w:jc w:val="center"/>
        <w:rPr>
          <w:rFonts w:hint="eastAsia" w:ascii="宋体" w:hAnsi="宋体" w:cs="宋体"/>
          <w:b/>
          <w:bCs/>
          <w:sz w:val="24"/>
        </w:rPr>
      </w:pPr>
      <w:r>
        <w:rPr>
          <w:rFonts w:hint="eastAsia" w:ascii="宋体" w:hAnsi="宋体" w:cs="宋体"/>
          <w:b/>
          <w:bCs/>
          <w:sz w:val="24"/>
        </w:rPr>
        <w:t>4、投标</w:t>
      </w:r>
    </w:p>
    <w:p w14:paraId="5864E234">
      <w:pPr>
        <w:jc w:val="both"/>
        <w:rPr>
          <w:rFonts w:hint="eastAsia" w:ascii="宋体" w:hAnsi="宋体" w:cs="宋体"/>
          <w:b/>
          <w:bCs/>
          <w:sz w:val="24"/>
        </w:rPr>
      </w:pPr>
      <w:r>
        <w:rPr>
          <w:rFonts w:hint="eastAsia" w:ascii="宋体" w:hAnsi="宋体" w:cs="宋体"/>
          <w:b/>
          <w:bCs/>
          <w:sz w:val="24"/>
        </w:rPr>
        <w:t>4.1.</w:t>
      </w:r>
      <w:r>
        <w:rPr>
          <w:rFonts w:hint="eastAsia" w:ascii="宋体" w:hAnsi="宋体" w:cs="宋体"/>
          <w:sz w:val="24"/>
        </w:rPr>
        <w:t xml:space="preserve"> </w:t>
      </w:r>
      <w:r>
        <w:rPr>
          <w:rFonts w:hint="eastAsia" w:ascii="宋体" w:hAnsi="宋体" w:cs="宋体"/>
          <w:b/>
          <w:bCs/>
          <w:sz w:val="24"/>
        </w:rPr>
        <w:t>加密的电子响应文件应在响应文件递交截止时间前通过政采云平台上传完成。</w:t>
      </w:r>
    </w:p>
    <w:p w14:paraId="3146D1C3">
      <w:pPr>
        <w:jc w:val="both"/>
        <w:rPr>
          <w:rFonts w:hint="eastAsia" w:ascii="宋体" w:hAnsi="宋体" w:cs="宋体"/>
          <w:b/>
          <w:bCs/>
          <w:sz w:val="24"/>
        </w:rPr>
      </w:pPr>
      <w:r>
        <w:rPr>
          <w:rFonts w:hint="eastAsia" w:ascii="宋体" w:hAnsi="宋体" w:cs="宋体"/>
          <w:b/>
          <w:bCs/>
          <w:sz w:val="24"/>
        </w:rPr>
        <w:t>4.2. 逾期上传或者未上传指定地点的响应文件，采购人不予受理。</w:t>
      </w:r>
    </w:p>
    <w:p w14:paraId="04E9FCC3">
      <w:pPr>
        <w:snapToGrid w:val="0"/>
        <w:rPr>
          <w:rFonts w:hint="eastAsia" w:ascii="宋体" w:hAnsi="宋体" w:cs="宋体"/>
          <w:b/>
          <w:kern w:val="0"/>
          <w:sz w:val="24"/>
        </w:rPr>
      </w:pPr>
      <w:r>
        <w:rPr>
          <w:rFonts w:hint="eastAsia" w:ascii="宋体" w:hAnsi="宋体" w:cs="宋体"/>
          <w:b/>
          <w:kern w:val="0"/>
          <w:sz w:val="24"/>
        </w:rPr>
        <w:t>4.3</w:t>
      </w:r>
      <w:r>
        <w:rPr>
          <w:rFonts w:hint="eastAsia" w:ascii="宋体" w:hAnsi="宋体" w:cs="宋体"/>
          <w:b/>
          <w:bCs/>
          <w:sz w:val="24"/>
        </w:rPr>
        <w:t xml:space="preserve">. </w:t>
      </w:r>
      <w:r>
        <w:rPr>
          <w:rFonts w:hint="eastAsia" w:ascii="宋体" w:hAnsi="宋体" w:cs="宋体"/>
          <w:b/>
          <w:kern w:val="0"/>
          <w:sz w:val="24"/>
        </w:rPr>
        <w:t>响应文件的修改与撤回</w:t>
      </w:r>
    </w:p>
    <w:p w14:paraId="1F926CEE">
      <w:pPr>
        <w:rPr>
          <w:rFonts w:hint="eastAsia" w:ascii="宋体" w:hAnsi="宋体" w:cs="宋体"/>
          <w:sz w:val="24"/>
        </w:rPr>
      </w:pPr>
      <w:r>
        <w:rPr>
          <w:rFonts w:hint="eastAsia" w:ascii="宋体" w:hAnsi="宋体" w:cs="宋体"/>
          <w:sz w:val="24"/>
        </w:rPr>
        <w:t>4.3.1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4F69A0C1">
      <w:pPr>
        <w:rPr>
          <w:rFonts w:hint="eastAsia" w:ascii="宋体" w:hAnsi="宋体" w:cs="宋体"/>
          <w:sz w:val="24"/>
        </w:rPr>
      </w:pPr>
      <w:r>
        <w:rPr>
          <w:rFonts w:hint="eastAsia" w:ascii="宋体" w:hAnsi="宋体" w:cs="宋体"/>
          <w:sz w:val="24"/>
        </w:rPr>
        <w:t>4.3.2供应商不得在开标时间起至投标有效期期满前撤回响应文件。</w:t>
      </w:r>
    </w:p>
    <w:p w14:paraId="2248F218">
      <w:pPr>
        <w:jc w:val="center"/>
        <w:rPr>
          <w:rFonts w:hint="eastAsia" w:ascii="宋体" w:hAnsi="宋体" w:cs="宋体"/>
          <w:b/>
          <w:bCs/>
          <w:sz w:val="24"/>
        </w:rPr>
      </w:pPr>
      <w:r>
        <w:rPr>
          <w:rFonts w:hint="eastAsia" w:ascii="宋体" w:hAnsi="宋体" w:cs="宋体"/>
          <w:b/>
          <w:bCs/>
          <w:sz w:val="24"/>
        </w:rPr>
        <w:t>5、</w:t>
      </w:r>
      <w:r>
        <w:rPr>
          <w:rFonts w:hint="eastAsia" w:ascii="宋体" w:hAnsi="宋体" w:cs="宋体"/>
          <w:b/>
          <w:bCs/>
          <w:spacing w:val="8"/>
          <w:kern w:val="0"/>
          <w:sz w:val="24"/>
        </w:rPr>
        <w:t>开标</w:t>
      </w:r>
    </w:p>
    <w:p w14:paraId="637C3E5C">
      <w:pPr>
        <w:rPr>
          <w:rFonts w:hint="eastAsia" w:ascii="宋体" w:hAnsi="宋体" w:cs="宋体"/>
          <w:sz w:val="24"/>
        </w:rPr>
      </w:pPr>
      <w:r>
        <w:rPr>
          <w:rFonts w:hint="eastAsia" w:ascii="宋体" w:hAnsi="宋体" w:cs="宋体"/>
          <w:b/>
          <w:bCs/>
          <w:sz w:val="24"/>
        </w:rPr>
        <w:t>5.1. 开标</w:t>
      </w:r>
    </w:p>
    <w:p w14:paraId="30713FBE">
      <w:pPr>
        <w:rPr>
          <w:rFonts w:hint="eastAsia" w:ascii="宋体" w:hAnsi="宋体" w:cs="宋体"/>
          <w:sz w:val="24"/>
        </w:rPr>
      </w:pPr>
      <w:r>
        <w:rPr>
          <w:rFonts w:hint="eastAsia" w:ascii="宋体" w:hAnsi="宋体" w:cs="宋体"/>
          <w:sz w:val="24"/>
        </w:rPr>
        <w:t>1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03A71A38">
      <w:pPr>
        <w:rPr>
          <w:rFonts w:hint="eastAsia" w:ascii="宋体" w:hAnsi="宋体" w:cs="宋体"/>
          <w:sz w:val="24"/>
        </w:rPr>
      </w:pPr>
      <w:r>
        <w:rPr>
          <w:rFonts w:hint="eastAsia" w:ascii="宋体" w:hAnsi="宋体" w:cs="宋体"/>
          <w:sz w:val="24"/>
        </w:rPr>
        <w:t>2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3CA580AE">
      <w:pPr>
        <w:jc w:val="center"/>
        <w:rPr>
          <w:rFonts w:hint="eastAsia" w:ascii="宋体" w:hAnsi="宋体" w:cs="宋体"/>
          <w:sz w:val="24"/>
        </w:rPr>
      </w:pPr>
      <w:r>
        <w:rPr>
          <w:rFonts w:hint="eastAsia" w:ascii="宋体" w:hAnsi="宋体" w:cs="宋体"/>
          <w:b/>
          <w:bCs/>
          <w:sz w:val="24"/>
        </w:rPr>
        <w:t>6、评标</w:t>
      </w:r>
    </w:p>
    <w:p w14:paraId="34465EBD">
      <w:pPr>
        <w:rPr>
          <w:rFonts w:hint="eastAsia" w:ascii="宋体" w:hAnsi="宋体" w:cs="宋体"/>
          <w:b/>
          <w:bCs/>
          <w:sz w:val="24"/>
        </w:rPr>
      </w:pPr>
    </w:p>
    <w:p w14:paraId="0AAD5619">
      <w:pPr>
        <w:rPr>
          <w:rFonts w:hint="eastAsia" w:ascii="宋体" w:hAnsi="宋体" w:cs="宋体"/>
          <w:b/>
          <w:bCs/>
          <w:sz w:val="24"/>
        </w:rPr>
      </w:pPr>
      <w:r>
        <w:rPr>
          <w:rFonts w:hint="eastAsia" w:ascii="宋体" w:hAnsi="宋体" w:cs="宋体"/>
          <w:b/>
          <w:bCs/>
          <w:sz w:val="24"/>
        </w:rPr>
        <w:t>6.1．评标委员会</w:t>
      </w:r>
    </w:p>
    <w:p w14:paraId="36CCC3F7">
      <w:pPr>
        <w:rPr>
          <w:rFonts w:hint="eastAsia" w:ascii="宋体" w:hAnsi="宋体" w:cs="宋体"/>
          <w:color w:val="C00000"/>
          <w:sz w:val="24"/>
        </w:rPr>
      </w:pPr>
      <w:r>
        <w:rPr>
          <w:rFonts w:hint="eastAsia" w:ascii="宋体" w:hAnsi="宋体" w:cs="宋体"/>
          <w:sz w:val="24"/>
        </w:rPr>
        <w:t>6.1.1采购人根据招标货物和服务的特点依法组建评标委员会。</w:t>
      </w:r>
      <w:r>
        <w:rPr>
          <w:rFonts w:hint="eastAsia" w:ascii="宋体" w:hAnsi="宋体" w:cs="宋体"/>
          <w:bCs/>
          <w:kern w:val="0"/>
          <w:sz w:val="24"/>
        </w:rPr>
        <w:t>评标委员会由采购人代表和相关方面的专家组成，成员人数应当为</w:t>
      </w:r>
      <w:r>
        <w:rPr>
          <w:rFonts w:hint="eastAsia" w:ascii="宋体" w:hAnsi="宋体" w:cs="宋体"/>
          <w:bCs/>
          <w:kern w:val="0"/>
          <w:sz w:val="24"/>
          <w:u w:val="single"/>
        </w:rPr>
        <w:t>5</w:t>
      </w:r>
      <w:r>
        <w:rPr>
          <w:rFonts w:hint="eastAsia" w:ascii="宋体" w:hAnsi="宋体" w:cs="宋体"/>
          <w:bCs/>
          <w:kern w:val="0"/>
          <w:sz w:val="24"/>
        </w:rPr>
        <w:t>人或以上单数，</w:t>
      </w:r>
      <w:r>
        <w:rPr>
          <w:rFonts w:hint="eastAsia" w:ascii="宋体" w:hAnsi="宋体" w:cs="宋体"/>
          <w:sz w:val="24"/>
        </w:rPr>
        <w:t>并对响应文件进行审查、评估和比较，并做出授予合同的建议。</w:t>
      </w:r>
    </w:p>
    <w:p w14:paraId="6886AE20">
      <w:pPr>
        <w:rPr>
          <w:rFonts w:hint="eastAsia" w:ascii="宋体" w:hAnsi="宋体" w:cs="宋体"/>
          <w:kern w:val="0"/>
          <w:sz w:val="24"/>
        </w:rPr>
      </w:pPr>
      <w:r>
        <w:rPr>
          <w:rFonts w:hint="eastAsia" w:ascii="宋体" w:hAnsi="宋体" w:cs="宋体"/>
          <w:sz w:val="24"/>
        </w:rPr>
        <w:t>6.1.2</w:t>
      </w:r>
      <w:r>
        <w:rPr>
          <w:rFonts w:hint="eastAsia" w:ascii="宋体" w:hAnsi="宋体" w:cs="宋体"/>
          <w:kern w:val="0"/>
          <w:sz w:val="24"/>
        </w:rPr>
        <w:t>招标单位就采购文件征询过意见的专家，不得再作为评标专家参加评标。采购代理机构工作人员不得参加本机构代理的的招标项目的评标。</w:t>
      </w:r>
    </w:p>
    <w:p w14:paraId="11D2E1D6">
      <w:pPr>
        <w:rPr>
          <w:rFonts w:hint="eastAsia" w:ascii="宋体" w:hAnsi="宋体" w:cs="宋体"/>
          <w:kern w:val="0"/>
          <w:sz w:val="24"/>
        </w:rPr>
      </w:pPr>
      <w:r>
        <w:rPr>
          <w:rFonts w:hint="eastAsia" w:ascii="宋体" w:hAnsi="宋体" w:cs="宋体"/>
          <w:kern w:val="0"/>
          <w:sz w:val="24"/>
        </w:rPr>
        <w:t>6.1.3评标委员会成员应当履行下列义务：</w:t>
      </w:r>
    </w:p>
    <w:p w14:paraId="622E8AE8">
      <w:pPr>
        <w:ind w:firstLine="120" w:firstLineChars="50"/>
        <w:rPr>
          <w:rFonts w:hint="eastAsia" w:ascii="宋体" w:hAnsi="宋体" w:cs="宋体"/>
          <w:kern w:val="0"/>
          <w:sz w:val="24"/>
        </w:rPr>
      </w:pPr>
      <w:r>
        <w:rPr>
          <w:rFonts w:hint="eastAsia" w:ascii="宋体" w:hAnsi="宋体" w:cs="宋体"/>
          <w:kern w:val="0"/>
          <w:sz w:val="24"/>
        </w:rPr>
        <w:t>（一）遵纪守法，客观、公正、廉洁地履行职责；</w:t>
      </w:r>
    </w:p>
    <w:p w14:paraId="2E93E104">
      <w:pPr>
        <w:ind w:firstLine="120" w:firstLineChars="50"/>
        <w:rPr>
          <w:rFonts w:hint="eastAsia" w:ascii="宋体" w:hAnsi="宋体" w:cs="宋体"/>
          <w:kern w:val="0"/>
          <w:sz w:val="24"/>
        </w:rPr>
      </w:pPr>
      <w:r>
        <w:rPr>
          <w:rFonts w:hint="eastAsia" w:ascii="宋体" w:hAnsi="宋体" w:cs="宋体"/>
          <w:kern w:val="0"/>
          <w:sz w:val="24"/>
        </w:rPr>
        <w:t xml:space="preserve">（二）按照采购文件规定的评标方法和评标标准进行评标，对评审意见承担个人责任； </w:t>
      </w:r>
    </w:p>
    <w:p w14:paraId="7A2C1E28">
      <w:pPr>
        <w:ind w:firstLine="120" w:firstLineChars="50"/>
        <w:rPr>
          <w:rFonts w:hint="eastAsia" w:ascii="宋体" w:hAnsi="宋体" w:cs="宋体"/>
          <w:kern w:val="0"/>
          <w:sz w:val="24"/>
        </w:rPr>
      </w:pPr>
      <w:r>
        <w:rPr>
          <w:rFonts w:hint="eastAsia" w:ascii="宋体" w:hAnsi="宋体" w:cs="宋体"/>
          <w:kern w:val="0"/>
          <w:sz w:val="24"/>
        </w:rPr>
        <w:t>（三）对评标过程和结果，以及供应商的商业秘密保密；</w:t>
      </w:r>
    </w:p>
    <w:p w14:paraId="098DDE38">
      <w:pPr>
        <w:ind w:firstLine="120" w:firstLineChars="50"/>
        <w:rPr>
          <w:rFonts w:hint="eastAsia" w:ascii="宋体" w:hAnsi="宋体" w:cs="宋体"/>
          <w:kern w:val="0"/>
          <w:sz w:val="24"/>
        </w:rPr>
      </w:pPr>
      <w:r>
        <w:rPr>
          <w:rFonts w:hint="eastAsia" w:ascii="宋体" w:hAnsi="宋体" w:cs="宋体"/>
          <w:kern w:val="0"/>
          <w:sz w:val="24"/>
        </w:rPr>
        <w:t>（四）参与评标报告的起草；</w:t>
      </w:r>
    </w:p>
    <w:p w14:paraId="2292BD39">
      <w:pPr>
        <w:ind w:firstLine="120" w:firstLineChars="50"/>
        <w:rPr>
          <w:rFonts w:hint="eastAsia" w:ascii="宋体" w:hAnsi="宋体" w:cs="宋体"/>
          <w:kern w:val="0"/>
          <w:sz w:val="24"/>
        </w:rPr>
      </w:pPr>
      <w:r>
        <w:rPr>
          <w:rFonts w:hint="eastAsia" w:ascii="宋体" w:hAnsi="宋体" w:cs="宋体"/>
          <w:kern w:val="0"/>
          <w:sz w:val="24"/>
        </w:rPr>
        <w:t>（五）配合有关部门的投诉处理工作；</w:t>
      </w:r>
    </w:p>
    <w:p w14:paraId="7271F3FE">
      <w:pPr>
        <w:ind w:firstLine="120" w:firstLineChars="50"/>
        <w:rPr>
          <w:rFonts w:hint="eastAsia" w:ascii="宋体" w:hAnsi="宋体" w:cs="宋体"/>
          <w:kern w:val="0"/>
          <w:sz w:val="24"/>
        </w:rPr>
      </w:pPr>
      <w:r>
        <w:rPr>
          <w:rFonts w:hint="eastAsia" w:ascii="宋体" w:hAnsi="宋体" w:cs="宋体"/>
          <w:kern w:val="0"/>
          <w:sz w:val="24"/>
        </w:rPr>
        <w:t>（六）配合招标单位答复供应商提出的质疑。</w:t>
      </w:r>
    </w:p>
    <w:p w14:paraId="18AA51A2">
      <w:pPr>
        <w:rPr>
          <w:rFonts w:hint="eastAsia" w:ascii="宋体" w:hAnsi="宋体" w:cs="宋体"/>
          <w:sz w:val="24"/>
        </w:rPr>
      </w:pPr>
      <w:r>
        <w:rPr>
          <w:rFonts w:hint="eastAsia" w:ascii="宋体" w:hAnsi="宋体" w:cs="宋体"/>
          <w:b/>
          <w:bCs/>
          <w:sz w:val="24"/>
        </w:rPr>
        <w:t>6.2．评标</w:t>
      </w:r>
    </w:p>
    <w:p w14:paraId="590A7F27">
      <w:pPr>
        <w:rPr>
          <w:rFonts w:hint="eastAsia" w:ascii="宋体" w:hAnsi="宋体" w:cs="宋体"/>
          <w:sz w:val="24"/>
        </w:rPr>
      </w:pPr>
      <w:r>
        <w:rPr>
          <w:rFonts w:hint="eastAsia" w:ascii="宋体" w:hAnsi="宋体" w:cs="宋体"/>
          <w:sz w:val="24"/>
        </w:rPr>
        <w:t>6.2.1本项目评标办法根据</w:t>
      </w:r>
      <w:r>
        <w:rPr>
          <w:rFonts w:hint="eastAsia" w:ascii="宋体" w:hAnsi="宋体" w:cs="宋体"/>
          <w:kern w:val="0"/>
          <w:sz w:val="24"/>
        </w:rPr>
        <w:t>《政府采购货物和服务招标投标管理办法》（中华人民共和国财政部令第87号）</w:t>
      </w:r>
      <w:r>
        <w:rPr>
          <w:rFonts w:hint="eastAsia" w:ascii="宋体" w:hAnsi="宋体" w:cs="宋体"/>
          <w:sz w:val="24"/>
        </w:rPr>
        <w:t>规定的评审标准，评标办法（详见第三章）。</w:t>
      </w:r>
    </w:p>
    <w:p w14:paraId="02BCEA11">
      <w:pPr>
        <w:rPr>
          <w:rFonts w:hint="eastAsia" w:ascii="宋体" w:hAnsi="宋体" w:cs="宋体"/>
          <w:sz w:val="24"/>
        </w:rPr>
      </w:pPr>
      <w:r>
        <w:rPr>
          <w:rFonts w:hint="eastAsia" w:ascii="宋体" w:hAnsi="宋体" w:cs="宋体"/>
          <w:sz w:val="24"/>
        </w:rPr>
        <w:t>6.2.2对所有供应商的评估，都采用相同的程序和采购文件规定的评审标准。评议过程将严格按照采购文件规定的评标办法和标准进行。</w:t>
      </w:r>
    </w:p>
    <w:p w14:paraId="246C3B0F">
      <w:pPr>
        <w:rPr>
          <w:rFonts w:hint="eastAsia" w:ascii="宋体" w:hAnsi="宋体" w:cs="宋体"/>
          <w:sz w:val="24"/>
        </w:rPr>
      </w:pPr>
      <w:r>
        <w:rPr>
          <w:rFonts w:hint="eastAsia" w:ascii="宋体" w:hAnsi="宋体" w:cs="宋体"/>
          <w:sz w:val="24"/>
        </w:rPr>
        <w:t>6.2.3有关响应文件的审查、澄清、评估和比较以及推荐中标候选人的一切情况都不得透露给任一供应商或与上述评标工作无关的人员。</w:t>
      </w:r>
    </w:p>
    <w:p w14:paraId="672280B9">
      <w:pPr>
        <w:rPr>
          <w:rFonts w:hint="eastAsia" w:ascii="宋体" w:hAnsi="宋体" w:cs="宋体"/>
          <w:sz w:val="24"/>
        </w:rPr>
      </w:pPr>
      <w:r>
        <w:rPr>
          <w:rFonts w:hint="eastAsia" w:ascii="宋体" w:hAnsi="宋体" w:cs="宋体"/>
          <w:sz w:val="24"/>
        </w:rPr>
        <w:t>6.2.4供应商任何试图影响评委会对响应文件的评估、比较或者推荐候选人的行为，都将导致其投标被拒绝，并被没收投标保证金。</w:t>
      </w:r>
    </w:p>
    <w:p w14:paraId="31B1149F">
      <w:pPr>
        <w:rPr>
          <w:rFonts w:hint="eastAsia" w:ascii="宋体" w:hAnsi="宋体" w:cs="宋体"/>
          <w:sz w:val="24"/>
        </w:rPr>
      </w:pPr>
      <w:r>
        <w:rPr>
          <w:rFonts w:hint="eastAsia" w:ascii="宋体" w:hAnsi="宋体" w:cs="宋体"/>
          <w:b/>
          <w:bCs/>
          <w:sz w:val="24"/>
        </w:rPr>
        <w:t>6.3. 响应文件的初审</w:t>
      </w:r>
    </w:p>
    <w:p w14:paraId="7170E250">
      <w:pPr>
        <w:rPr>
          <w:rFonts w:hint="eastAsia" w:ascii="宋体" w:hAnsi="宋体" w:cs="宋体"/>
          <w:sz w:val="24"/>
        </w:rPr>
      </w:pPr>
      <w:r>
        <w:rPr>
          <w:rFonts w:hint="eastAsia" w:ascii="宋体" w:hAnsi="宋体" w:cs="宋体"/>
          <w:sz w:val="24"/>
        </w:rPr>
        <w:t>6.3.1评委会将对响应文件进行检查，以确定响应文件是否完整、有无计算上的错误、是否提交了投标保证金、文件是否已正确签署。</w:t>
      </w:r>
    </w:p>
    <w:p w14:paraId="12A70D01">
      <w:pPr>
        <w:rPr>
          <w:rFonts w:hint="eastAsia" w:ascii="宋体" w:hAnsi="宋体" w:cs="宋体"/>
          <w:b/>
          <w:bCs/>
          <w:sz w:val="24"/>
        </w:rPr>
      </w:pPr>
      <w:r>
        <w:rPr>
          <w:rFonts w:hint="eastAsia" w:ascii="宋体" w:hAnsi="宋体" w:cs="宋体"/>
          <w:b/>
          <w:bCs/>
          <w:sz w:val="24"/>
        </w:rPr>
        <w:t xml:space="preserve">6.4.资格性检查和符合性检查 </w:t>
      </w:r>
    </w:p>
    <w:p w14:paraId="2DAA8F3E">
      <w:pPr>
        <w:rPr>
          <w:rFonts w:hint="eastAsia" w:ascii="宋体" w:hAnsi="宋体" w:cs="宋体"/>
          <w:sz w:val="24"/>
        </w:rPr>
      </w:pPr>
      <w:r>
        <w:rPr>
          <w:rFonts w:hint="eastAsia" w:ascii="宋体" w:hAnsi="宋体" w:cs="宋体"/>
          <w:sz w:val="24"/>
        </w:rPr>
        <w:t>6.4.4评标委员会判断响应文件的响应性仅基于响应文件本身而不靠外部证据。</w:t>
      </w:r>
    </w:p>
    <w:p w14:paraId="034619FD">
      <w:pPr>
        <w:rPr>
          <w:rFonts w:hint="eastAsia" w:ascii="宋体" w:hAnsi="宋体" w:cs="宋体"/>
          <w:sz w:val="24"/>
        </w:rPr>
      </w:pPr>
      <w:r>
        <w:rPr>
          <w:rFonts w:hint="eastAsia" w:ascii="宋体" w:hAnsi="宋体" w:cs="宋体"/>
          <w:sz w:val="24"/>
        </w:rPr>
        <w:t>6.4.5评标委员会将拒绝被确定为非实质性响应的投标，供应商不能通过修正或撤销不符之处而使其投标成为实质性响应的投标。</w:t>
      </w:r>
    </w:p>
    <w:p w14:paraId="335FB7EF">
      <w:pPr>
        <w:rPr>
          <w:rFonts w:hint="eastAsia" w:ascii="宋体" w:hAnsi="宋体" w:cs="宋体"/>
          <w:sz w:val="24"/>
        </w:rPr>
      </w:pPr>
      <w:r>
        <w:rPr>
          <w:rFonts w:hint="eastAsia" w:ascii="宋体" w:hAnsi="宋体" w:cs="宋体"/>
          <w:b/>
          <w:bCs/>
          <w:sz w:val="24"/>
        </w:rPr>
        <w:t>6.5.响应文件的澄清</w:t>
      </w:r>
      <w:r>
        <w:rPr>
          <w:rFonts w:hint="eastAsia" w:ascii="宋体" w:hAnsi="宋体" w:cs="宋体"/>
          <w:sz w:val="24"/>
        </w:rPr>
        <w:t xml:space="preserve"> </w:t>
      </w:r>
    </w:p>
    <w:p w14:paraId="7A200811">
      <w:pPr>
        <w:rPr>
          <w:rFonts w:hint="eastAsia" w:ascii="宋体" w:hAnsi="宋体" w:cs="宋体"/>
          <w:sz w:val="24"/>
        </w:rPr>
      </w:pPr>
      <w:r>
        <w:rPr>
          <w:rFonts w:hint="eastAsia" w:ascii="宋体" w:hAnsi="宋体" w:cs="宋体"/>
          <w:sz w:val="24"/>
        </w:rPr>
        <w:t>6.5.1评标委员会将允许供应商修改响应文件中不构成重大偏离的微小的、非正规、不一致或不规则地方，但这种允许不能损害或影响任何供应商的相对排序。</w:t>
      </w:r>
    </w:p>
    <w:p w14:paraId="39E26684">
      <w:pPr>
        <w:rPr>
          <w:rFonts w:hint="eastAsia" w:ascii="宋体" w:hAnsi="宋体" w:cs="宋体"/>
          <w:sz w:val="24"/>
        </w:rPr>
      </w:pPr>
      <w:r>
        <w:rPr>
          <w:rFonts w:hint="eastAsia" w:ascii="宋体" w:hAnsi="宋体" w:cs="宋体"/>
          <w:sz w:val="24"/>
        </w:rPr>
        <w:t>6.5.2对于响应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3D83B6FC">
      <w:pPr>
        <w:rPr>
          <w:rFonts w:hint="eastAsia" w:ascii="宋体" w:hAnsi="宋体" w:cs="宋体"/>
          <w:sz w:val="24"/>
        </w:rPr>
      </w:pPr>
      <w:r>
        <w:rPr>
          <w:rFonts w:hint="eastAsia" w:ascii="宋体" w:hAnsi="宋体" w:cs="宋体"/>
          <w:sz w:val="24"/>
        </w:rPr>
        <w:t>6.5.3响应文件报价出现前后不一致的，除采购文件另有规定外，按照下列规定修正：</w:t>
      </w:r>
    </w:p>
    <w:p w14:paraId="010FC402">
      <w:pPr>
        <w:ind w:left="160"/>
        <w:rPr>
          <w:rFonts w:hint="eastAsia" w:ascii="宋体" w:hAnsi="宋体" w:cs="宋体"/>
          <w:sz w:val="24"/>
        </w:rPr>
      </w:pPr>
      <w:r>
        <w:rPr>
          <w:rFonts w:hint="eastAsia" w:ascii="宋体" w:hAnsi="宋体" w:cs="宋体"/>
          <w:sz w:val="24"/>
        </w:rPr>
        <w:t>（一）响应文件中开标一览表（报价表）内容与响应文件中相应内容不一致的，以开标一览表（报价表）为准；</w:t>
      </w:r>
    </w:p>
    <w:p w14:paraId="54DF27C3">
      <w:pPr>
        <w:ind w:left="160"/>
        <w:rPr>
          <w:rFonts w:hint="eastAsia" w:ascii="宋体" w:hAnsi="宋体" w:cs="宋体"/>
          <w:sz w:val="24"/>
        </w:rPr>
      </w:pPr>
      <w:r>
        <w:rPr>
          <w:rFonts w:hint="eastAsia" w:ascii="宋体" w:hAnsi="宋体" w:cs="宋体"/>
          <w:sz w:val="24"/>
        </w:rPr>
        <w:t>（二）大写金额和小写金额不一致的，以大写金额为准；</w:t>
      </w:r>
    </w:p>
    <w:p w14:paraId="10055609">
      <w:pPr>
        <w:ind w:left="160"/>
        <w:rPr>
          <w:rFonts w:hint="eastAsia" w:ascii="宋体" w:hAnsi="宋体" w:cs="宋体"/>
          <w:sz w:val="24"/>
        </w:rPr>
      </w:pPr>
      <w:r>
        <w:rPr>
          <w:rFonts w:hint="eastAsia" w:ascii="宋体" w:hAnsi="宋体" w:cs="宋体"/>
          <w:sz w:val="24"/>
        </w:rPr>
        <w:t>（三）单价金额小数点或者百分比有明显错位的，以开标一览表的总价为准，并修改单价；</w:t>
      </w:r>
    </w:p>
    <w:p w14:paraId="37C24F51">
      <w:pPr>
        <w:ind w:left="160"/>
        <w:rPr>
          <w:rFonts w:hint="eastAsia" w:ascii="宋体" w:hAnsi="宋体" w:cs="宋体"/>
          <w:sz w:val="24"/>
        </w:rPr>
      </w:pPr>
      <w:r>
        <w:rPr>
          <w:rFonts w:hint="eastAsia" w:ascii="宋体" w:hAnsi="宋体" w:cs="宋体"/>
          <w:sz w:val="24"/>
        </w:rPr>
        <w:t>（四）总价金额与按单价汇总金额不一致的，以单价金额计算结果为准。</w:t>
      </w:r>
    </w:p>
    <w:p w14:paraId="3469AB2C">
      <w:pPr>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同时出现两种以上不一致的，按照前款规定的顺序修正。修正后的报价按照本章第6.5.2条第二款的规定经供应商确认后产生约束力，</w:t>
      </w:r>
      <w:r>
        <w:rPr>
          <w:rFonts w:hint="eastAsia" w:ascii="宋体" w:hAnsi="宋体" w:cs="宋体"/>
          <w:b/>
          <w:sz w:val="24"/>
        </w:rPr>
        <w:t>供应商不确认的，其投标无效。</w:t>
      </w:r>
    </w:p>
    <w:p w14:paraId="54D87B2B">
      <w:pPr>
        <w:rPr>
          <w:rFonts w:hint="eastAsia" w:ascii="宋体" w:hAnsi="宋体" w:cs="宋体"/>
          <w:sz w:val="24"/>
        </w:rPr>
      </w:pPr>
      <w:r>
        <w:rPr>
          <w:rFonts w:hint="eastAsia" w:ascii="宋体" w:hAnsi="宋体" w:cs="宋体"/>
          <w:b/>
          <w:bCs/>
          <w:sz w:val="24"/>
        </w:rPr>
        <w:t>6.6. 比较与评价</w:t>
      </w:r>
    </w:p>
    <w:p w14:paraId="0FFA05B4">
      <w:pPr>
        <w:rPr>
          <w:rFonts w:hint="eastAsia" w:ascii="宋体" w:hAnsi="宋体" w:cs="宋体"/>
          <w:sz w:val="24"/>
        </w:rPr>
      </w:pPr>
      <w:r>
        <w:rPr>
          <w:rFonts w:hint="eastAsia" w:ascii="宋体" w:hAnsi="宋体" w:cs="宋体"/>
          <w:sz w:val="24"/>
        </w:rPr>
        <w:t>6.6.1评标委员会</w:t>
      </w:r>
      <w:r>
        <w:rPr>
          <w:rFonts w:hint="eastAsia" w:ascii="宋体" w:hAnsi="宋体" w:cs="宋体"/>
          <w:kern w:val="0"/>
          <w:sz w:val="24"/>
        </w:rPr>
        <w:t>按采购文件中规定的评标方法和标准，对资格性检查和符合性检查合格的响应文件进行商务和技术评估，综合比较与评价</w:t>
      </w:r>
      <w:r>
        <w:rPr>
          <w:rFonts w:hint="eastAsia" w:ascii="宋体" w:hAnsi="宋体" w:cs="宋体"/>
          <w:b/>
          <w:sz w:val="24"/>
        </w:rPr>
        <w:t>。</w:t>
      </w:r>
    </w:p>
    <w:p w14:paraId="05B97F25">
      <w:pPr>
        <w:rPr>
          <w:rFonts w:hint="eastAsia" w:ascii="宋体" w:hAnsi="宋体" w:cs="宋体"/>
          <w:sz w:val="24"/>
        </w:rPr>
      </w:pPr>
      <w:r>
        <w:rPr>
          <w:rFonts w:hint="eastAsia" w:ascii="宋体" w:hAnsi="宋体" w:cs="宋体"/>
          <w:sz w:val="24"/>
        </w:rPr>
        <w:t>6.6.2</w:t>
      </w:r>
      <w:r>
        <w:rPr>
          <w:rFonts w:hint="eastAsia" w:ascii="宋体" w:hAnsi="宋体" w:cs="宋体"/>
          <w:b/>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cs="宋体"/>
          <w:sz w:val="24"/>
        </w:rPr>
        <w:t>。</w:t>
      </w:r>
    </w:p>
    <w:p w14:paraId="384F5D1F">
      <w:pPr>
        <w:rPr>
          <w:rFonts w:hint="eastAsia" w:ascii="宋体" w:hAnsi="宋体" w:cs="宋体"/>
          <w:sz w:val="24"/>
        </w:rPr>
      </w:pPr>
      <w:r>
        <w:rPr>
          <w:rFonts w:hint="eastAsia" w:ascii="宋体" w:hAnsi="宋体" w:cs="宋体"/>
          <w:sz w:val="24"/>
        </w:rPr>
        <w:t>6.6.3 经评审后，若出现符合本须知规定的所有投标条件的供应商不足三家情形的，本次招标终止，除采购任务取消情形外，招标单位将依法重新组织招标或者采取其他方式采购。</w:t>
      </w:r>
    </w:p>
    <w:p w14:paraId="57B44E52">
      <w:pPr>
        <w:jc w:val="center"/>
        <w:rPr>
          <w:rFonts w:hint="eastAsia" w:ascii="宋体" w:hAnsi="宋体" w:cs="宋体"/>
          <w:b/>
          <w:bCs/>
          <w:sz w:val="24"/>
        </w:rPr>
      </w:pPr>
      <w:r>
        <w:rPr>
          <w:rFonts w:hint="eastAsia" w:ascii="宋体" w:hAnsi="宋体" w:cs="宋体"/>
          <w:b/>
          <w:bCs/>
          <w:sz w:val="24"/>
        </w:rPr>
        <w:t>7、定标与授予合同</w:t>
      </w:r>
    </w:p>
    <w:p w14:paraId="3B2D7462">
      <w:pPr>
        <w:rPr>
          <w:rFonts w:hint="eastAsia" w:ascii="宋体" w:hAnsi="宋体" w:cs="宋体"/>
          <w:b/>
          <w:bCs/>
          <w:sz w:val="24"/>
        </w:rPr>
      </w:pPr>
      <w:r>
        <w:rPr>
          <w:rFonts w:hint="eastAsia" w:ascii="宋体" w:hAnsi="宋体" w:cs="宋体"/>
          <w:b/>
          <w:bCs/>
          <w:sz w:val="24"/>
        </w:rPr>
        <w:t>7.1. 定标准则</w:t>
      </w:r>
    </w:p>
    <w:p w14:paraId="59D6B036">
      <w:pPr>
        <w:rPr>
          <w:rFonts w:hint="eastAsia" w:ascii="宋体" w:hAnsi="宋体" w:cs="宋体"/>
          <w:sz w:val="24"/>
        </w:rPr>
      </w:pPr>
      <w:r>
        <w:rPr>
          <w:rFonts w:hint="eastAsia" w:ascii="宋体" w:hAnsi="宋体" w:cs="宋体"/>
          <w:sz w:val="24"/>
        </w:rPr>
        <w:t>7.1.1最低投标价不作为中标的保证。</w:t>
      </w:r>
    </w:p>
    <w:p w14:paraId="1C32F4F1">
      <w:pPr>
        <w:rPr>
          <w:rFonts w:hint="eastAsia" w:ascii="宋体" w:hAnsi="宋体" w:cs="宋体"/>
          <w:sz w:val="24"/>
        </w:rPr>
      </w:pPr>
      <w:r>
        <w:rPr>
          <w:rFonts w:hint="eastAsia" w:ascii="宋体" w:hAnsi="宋体" w:cs="宋体"/>
          <w:sz w:val="24"/>
        </w:rPr>
        <w:t>7.1.2响应文件满足采购文件全部实质性要求，且投标综合评分最高者为中标候选人。</w:t>
      </w:r>
    </w:p>
    <w:p w14:paraId="69EB758C">
      <w:pPr>
        <w:rPr>
          <w:rFonts w:hint="eastAsia" w:ascii="宋体" w:hAnsi="宋体" w:cs="宋体"/>
          <w:b/>
          <w:bCs/>
          <w:sz w:val="24"/>
        </w:rPr>
      </w:pPr>
      <w:r>
        <w:rPr>
          <w:rFonts w:hint="eastAsia" w:ascii="宋体" w:hAnsi="宋体" w:cs="宋体"/>
          <w:b/>
          <w:bCs/>
          <w:sz w:val="24"/>
        </w:rPr>
        <w:t>7.2. 中标通知</w:t>
      </w:r>
    </w:p>
    <w:p w14:paraId="09097E50">
      <w:pPr>
        <w:rPr>
          <w:rFonts w:hint="eastAsia" w:ascii="宋体" w:hAnsi="宋体" w:cs="宋体"/>
          <w:sz w:val="24"/>
        </w:rPr>
      </w:pPr>
      <w:r>
        <w:rPr>
          <w:rFonts w:hint="eastAsia" w:ascii="宋体" w:hAnsi="宋体" w:cs="宋体"/>
          <w:sz w:val="24"/>
        </w:rPr>
        <w:t>7.2.1 评标结束后，评标结果经采购人确认后，在刊登本采购项目招标公告的媒介上对中标结果进行公示，公示期为1天；公示结束后采购代理机构向中标人发出中标通知书。中标通知书对采购人和中标人具有同等法律效力。中标通知书发出后，采购人改变中标结果，或者中标人放弃中标，应按相关法律、规章、规范性文件的要求承担相应的法律责任。供应商对中标公告有异议的，应当在知道或应当知道其权益受到损害之日起7个工作日内，以书面形式向采购人或采购代理机构提出质疑。</w:t>
      </w:r>
    </w:p>
    <w:p w14:paraId="4C3F7F9B">
      <w:pPr>
        <w:rPr>
          <w:rFonts w:hint="eastAsia" w:ascii="宋体" w:hAnsi="宋体" w:cs="宋体"/>
          <w:sz w:val="24"/>
        </w:rPr>
      </w:pPr>
      <w:r>
        <w:rPr>
          <w:rFonts w:hint="eastAsia" w:ascii="宋体" w:hAnsi="宋体" w:cs="宋体"/>
          <w:sz w:val="24"/>
        </w:rPr>
        <w:t>7.2.3 《中标通知书》将作为签订合同的依据。《合同》签订后，《中标通知书》成为《合同》的一部分。</w:t>
      </w:r>
    </w:p>
    <w:p w14:paraId="3B0F2E28">
      <w:pPr>
        <w:rPr>
          <w:rFonts w:hint="eastAsia" w:ascii="宋体" w:hAnsi="宋体" w:cs="宋体"/>
          <w:sz w:val="24"/>
        </w:rPr>
      </w:pPr>
      <w:r>
        <w:rPr>
          <w:rFonts w:hint="eastAsia" w:ascii="宋体" w:hAnsi="宋体" w:cs="宋体"/>
          <w:sz w:val="24"/>
        </w:rPr>
        <w:t>7.2.4《中标通知书》发出后5个工作日内，采购代理机构将向未中标的供应商退还其投标保证金，具体退款手续详见本须知第3.6.6条。</w:t>
      </w:r>
    </w:p>
    <w:p w14:paraId="506A8DFF">
      <w:pPr>
        <w:rPr>
          <w:rFonts w:hint="eastAsia" w:ascii="宋体" w:hAnsi="宋体" w:cs="宋体"/>
          <w:sz w:val="24"/>
        </w:rPr>
      </w:pPr>
      <w:r>
        <w:rPr>
          <w:rFonts w:hint="eastAsia" w:ascii="宋体" w:hAnsi="宋体" w:cs="宋体"/>
          <w:sz w:val="24"/>
        </w:rPr>
        <w:t>7.2.5在合同签订后5个工作日内，采购代理机构将向已中标的供应商退还其投标保证金，条件是已交纳招标代理中标服务费，具体退款手续详见本须知第3.6.7条。</w:t>
      </w:r>
    </w:p>
    <w:p w14:paraId="22D644D5">
      <w:pPr>
        <w:rPr>
          <w:rFonts w:hint="eastAsia" w:ascii="宋体" w:hAnsi="宋体" w:cs="宋体"/>
          <w:sz w:val="24"/>
        </w:rPr>
      </w:pPr>
      <w:r>
        <w:rPr>
          <w:rFonts w:hint="eastAsia" w:ascii="宋体" w:hAnsi="宋体" w:cs="宋体"/>
          <w:b/>
          <w:bCs/>
          <w:sz w:val="24"/>
        </w:rPr>
        <w:t>7.3. 签订合同</w:t>
      </w:r>
    </w:p>
    <w:p w14:paraId="111B6703">
      <w:pPr>
        <w:rPr>
          <w:rFonts w:hint="eastAsia" w:ascii="宋体" w:hAnsi="宋体" w:cs="宋体"/>
          <w:sz w:val="24"/>
        </w:rPr>
      </w:pPr>
      <w:r>
        <w:rPr>
          <w:rFonts w:hint="eastAsia" w:ascii="宋体" w:hAnsi="宋体" w:cs="宋体"/>
          <w:sz w:val="24"/>
        </w:rPr>
        <w:t>7.3.1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供应商逾期未与采购人签订合同，将按照有关法律规定承担相应的法律责任，并没收投标保证金，以抵偿对采购人造成的损失。采购方逾期不与成交供应商签订合同的，按有关规定处理，并承担相应的法律责任。</w:t>
      </w:r>
    </w:p>
    <w:p w14:paraId="634BAA71">
      <w:pPr>
        <w:rPr>
          <w:rFonts w:hint="eastAsia" w:ascii="宋体" w:hAnsi="宋体" w:cs="宋体"/>
          <w:sz w:val="24"/>
        </w:rPr>
      </w:pPr>
      <w:r>
        <w:rPr>
          <w:rFonts w:hint="eastAsia" w:ascii="宋体" w:hAnsi="宋体" w:cs="宋体"/>
          <w:sz w:val="24"/>
        </w:rPr>
        <w:t>7.3.2采购文件、采购文件的修改文件、成交供应商的响应文件、补充或修改的文件及澄清或承诺文件等，均为双方签订《合同》的组成部分，并与《合同》一并作为本采购文件所列采购项目的互补性法律文件，与《合同》具有同等法律效力。</w:t>
      </w:r>
    </w:p>
    <w:p w14:paraId="68D68E69">
      <w:pPr>
        <w:rPr>
          <w:rFonts w:hint="eastAsia" w:ascii="宋体" w:hAnsi="宋体" w:cs="宋体"/>
          <w:sz w:val="24"/>
        </w:rPr>
      </w:pPr>
      <w:r>
        <w:rPr>
          <w:rFonts w:hint="eastAsia" w:ascii="宋体" w:hAnsi="宋体" w:cs="宋体"/>
          <w:sz w:val="24"/>
        </w:rPr>
        <w:t>7.3.3政府采购合同履行中，采购人需追加与合同标的相同的货物、工程或者服务的，在不改变合同其他条款的前提下，可与供应商协商签订补充合同，但所有补充合同的采购金额不得超过原合同采购金额的百分之十。</w:t>
      </w:r>
    </w:p>
    <w:p w14:paraId="0A22386D">
      <w:pPr>
        <w:jc w:val="center"/>
        <w:rPr>
          <w:rFonts w:hint="eastAsia" w:ascii="宋体" w:hAnsi="宋体" w:cs="宋体"/>
          <w:b/>
          <w:sz w:val="24"/>
        </w:rPr>
      </w:pPr>
      <w:r>
        <w:rPr>
          <w:rFonts w:hint="eastAsia" w:ascii="宋体" w:hAnsi="宋体" w:cs="宋体"/>
          <w:b/>
          <w:sz w:val="24"/>
        </w:rPr>
        <w:t>8、重新招标和其他方式采购</w:t>
      </w:r>
    </w:p>
    <w:p w14:paraId="5DDB5EC0">
      <w:pPr>
        <w:rPr>
          <w:rFonts w:hint="eastAsia" w:ascii="宋体" w:hAnsi="宋体" w:cs="宋体"/>
          <w:b/>
          <w:sz w:val="24"/>
        </w:rPr>
      </w:pPr>
      <w:r>
        <w:rPr>
          <w:rFonts w:hint="eastAsia" w:ascii="宋体" w:hAnsi="宋体" w:cs="宋体"/>
          <w:b/>
          <w:sz w:val="24"/>
        </w:rPr>
        <w:t>8.1重新招标</w:t>
      </w:r>
    </w:p>
    <w:p w14:paraId="43CECB95">
      <w:pPr>
        <w:rPr>
          <w:rFonts w:hint="eastAsia" w:ascii="宋体" w:hAnsi="宋体" w:cs="宋体"/>
          <w:sz w:val="24"/>
        </w:rPr>
      </w:pPr>
      <w:r>
        <w:rPr>
          <w:rFonts w:hint="eastAsia" w:ascii="宋体" w:hAnsi="宋体" w:cs="宋体"/>
          <w:sz w:val="24"/>
        </w:rPr>
        <w:t>8.1.1在招标采购中，出现下列情形之一的，应当在废标后重新招标：</w:t>
      </w:r>
    </w:p>
    <w:p w14:paraId="6F64F92E">
      <w:pPr>
        <w:rPr>
          <w:rFonts w:hint="eastAsia" w:ascii="宋体" w:hAnsi="宋体" w:cs="宋体"/>
          <w:sz w:val="24"/>
        </w:rPr>
      </w:pPr>
      <w:r>
        <w:rPr>
          <w:rFonts w:hint="eastAsia" w:ascii="宋体" w:hAnsi="宋体" w:cs="宋体"/>
          <w:sz w:val="24"/>
        </w:rPr>
        <w:t>　（1）符合专业条件的供应商或者对采购文件作实质响应的供应商不足三家的；</w:t>
      </w:r>
    </w:p>
    <w:p w14:paraId="0FB842B0">
      <w:pPr>
        <w:rPr>
          <w:rFonts w:hint="eastAsia" w:ascii="宋体" w:hAnsi="宋体" w:cs="宋体"/>
          <w:sz w:val="24"/>
        </w:rPr>
      </w:pPr>
      <w:r>
        <w:rPr>
          <w:rFonts w:hint="eastAsia" w:ascii="宋体" w:hAnsi="宋体" w:cs="宋体"/>
          <w:sz w:val="24"/>
        </w:rPr>
        <w:t>　（2）出现影响采购公正的违法、违规行为的；</w:t>
      </w:r>
    </w:p>
    <w:p w14:paraId="2AE31FD9">
      <w:pPr>
        <w:rPr>
          <w:rFonts w:hint="eastAsia" w:ascii="宋体" w:hAnsi="宋体" w:cs="宋体"/>
          <w:sz w:val="24"/>
        </w:rPr>
      </w:pPr>
      <w:r>
        <w:rPr>
          <w:rFonts w:hint="eastAsia" w:ascii="宋体" w:hAnsi="宋体" w:cs="宋体"/>
          <w:sz w:val="24"/>
        </w:rPr>
        <w:t>　（3）供应商的报价均超过了采购预算或价格结算标准的，采购人不能支付的；</w:t>
      </w:r>
    </w:p>
    <w:p w14:paraId="66498D5D">
      <w:pPr>
        <w:rPr>
          <w:rFonts w:hint="eastAsia" w:ascii="宋体" w:hAnsi="宋体" w:cs="宋体"/>
          <w:sz w:val="24"/>
        </w:rPr>
      </w:pPr>
      <w:r>
        <w:rPr>
          <w:rFonts w:hint="eastAsia" w:ascii="宋体" w:hAnsi="宋体" w:cs="宋体"/>
          <w:sz w:val="24"/>
        </w:rPr>
        <w:t>　（4）因重大变故，采购任务取消的。</w:t>
      </w:r>
    </w:p>
    <w:p w14:paraId="2EC11834">
      <w:pPr>
        <w:rPr>
          <w:rFonts w:hint="eastAsia" w:ascii="宋体" w:hAnsi="宋体" w:cs="宋体"/>
          <w:sz w:val="24"/>
        </w:rPr>
      </w:pPr>
      <w:r>
        <w:rPr>
          <w:rFonts w:hint="eastAsia" w:ascii="宋体" w:hAnsi="宋体" w:cs="宋体"/>
          <w:sz w:val="24"/>
        </w:rPr>
        <w:t>8.1.2如果排名第一、二的中标候选人，直至排名第三的中标候选人因不可抗力或自身原因放弃中标结果，本次招标宣布失败。采购人应重新组织招标。</w:t>
      </w:r>
    </w:p>
    <w:p w14:paraId="40CA608D">
      <w:pPr>
        <w:rPr>
          <w:rFonts w:hint="eastAsia" w:ascii="宋体" w:hAnsi="宋体" w:cs="宋体"/>
          <w:b/>
          <w:sz w:val="24"/>
        </w:rPr>
      </w:pPr>
      <w:r>
        <w:rPr>
          <w:rFonts w:hint="eastAsia" w:ascii="宋体" w:hAnsi="宋体" w:cs="宋体"/>
          <w:b/>
          <w:sz w:val="24"/>
        </w:rPr>
        <w:t>8.2其他方式采购</w:t>
      </w:r>
    </w:p>
    <w:p w14:paraId="2EE6DD03">
      <w:pPr>
        <w:rPr>
          <w:rFonts w:hint="eastAsia" w:ascii="宋体" w:hAnsi="宋体" w:cs="宋体"/>
          <w:sz w:val="24"/>
        </w:rPr>
      </w:pPr>
      <w:r>
        <w:rPr>
          <w:rFonts w:hint="eastAsia" w:ascii="宋体" w:hAnsi="宋体" w:cs="宋体"/>
          <w:sz w:val="24"/>
        </w:rPr>
        <w:t>8.2.1需要采取其他方式采购的，应当在采购活动开始前获得设区的市、自治州以上人民政府采购监督管理部门或者政府有关部门批准。</w:t>
      </w:r>
    </w:p>
    <w:p w14:paraId="69B9831F">
      <w:pPr>
        <w:jc w:val="center"/>
        <w:rPr>
          <w:rFonts w:hint="eastAsia" w:ascii="宋体" w:hAnsi="宋体" w:cs="宋体"/>
          <w:b/>
          <w:sz w:val="24"/>
        </w:rPr>
      </w:pPr>
      <w:r>
        <w:rPr>
          <w:rFonts w:hint="eastAsia" w:ascii="宋体" w:hAnsi="宋体" w:cs="宋体"/>
          <w:b/>
          <w:sz w:val="24"/>
        </w:rPr>
        <w:t>9、纪律和监督</w:t>
      </w:r>
    </w:p>
    <w:p w14:paraId="0CE81D99">
      <w:pPr>
        <w:rPr>
          <w:rFonts w:hint="eastAsia" w:ascii="宋体" w:hAnsi="宋体" w:cs="宋体"/>
          <w:b/>
          <w:sz w:val="24"/>
        </w:rPr>
      </w:pPr>
      <w:r>
        <w:rPr>
          <w:rFonts w:hint="eastAsia" w:ascii="宋体" w:hAnsi="宋体" w:cs="宋体"/>
          <w:b/>
          <w:sz w:val="24"/>
        </w:rPr>
        <w:t>9.1 对采购人的纪律要求</w:t>
      </w:r>
    </w:p>
    <w:p w14:paraId="3FC4282F">
      <w:pPr>
        <w:rPr>
          <w:rFonts w:hint="eastAsia" w:ascii="宋体" w:hAnsi="宋体" w:cs="宋体"/>
          <w:b/>
          <w:sz w:val="24"/>
        </w:rPr>
      </w:pPr>
      <w:r>
        <w:rPr>
          <w:rFonts w:hint="eastAsia" w:ascii="宋体" w:hAnsi="宋体" w:cs="宋体"/>
          <w:sz w:val="24"/>
        </w:rPr>
        <w:t xml:space="preserve">    采购人不得泄露招标投标活动中应当保密的情况和资料，不得与供应商串通损害国家利益、社会公共利益或者他人合法利益。采购人不得有下列行为之一：</w:t>
      </w:r>
    </w:p>
    <w:p w14:paraId="6346765A">
      <w:pPr>
        <w:ind w:firstLine="240" w:firstLineChars="100"/>
        <w:rPr>
          <w:rFonts w:hint="eastAsia" w:ascii="宋体" w:hAnsi="宋体" w:cs="宋体"/>
          <w:kern w:val="0"/>
          <w:sz w:val="24"/>
        </w:rPr>
      </w:pPr>
      <w:r>
        <w:rPr>
          <w:rFonts w:hint="eastAsia" w:ascii="宋体" w:hAnsi="宋体" w:cs="宋体"/>
          <w:kern w:val="0"/>
          <w:sz w:val="24"/>
        </w:rPr>
        <w:t xml:space="preserve">（1）与供应商恶意串通的； </w:t>
      </w:r>
    </w:p>
    <w:p w14:paraId="21374E63">
      <w:pPr>
        <w:rPr>
          <w:rFonts w:hint="eastAsia" w:ascii="宋体" w:hAnsi="宋体" w:cs="宋体"/>
          <w:kern w:val="0"/>
          <w:sz w:val="24"/>
        </w:rPr>
      </w:pPr>
      <w:r>
        <w:rPr>
          <w:rFonts w:hint="eastAsia" w:ascii="宋体" w:hAnsi="宋体" w:cs="宋体"/>
          <w:kern w:val="0"/>
          <w:sz w:val="24"/>
        </w:rPr>
        <w:t xml:space="preserve">　（2）在采购过程中接受贿赂或者获取其他不正当利益的； </w:t>
      </w:r>
    </w:p>
    <w:p w14:paraId="61C6F0D2">
      <w:pPr>
        <w:rPr>
          <w:rFonts w:hint="eastAsia" w:ascii="宋体" w:hAnsi="宋体" w:cs="宋体"/>
          <w:kern w:val="0"/>
          <w:sz w:val="24"/>
        </w:rPr>
      </w:pPr>
      <w:r>
        <w:rPr>
          <w:rFonts w:hint="eastAsia" w:ascii="宋体" w:hAnsi="宋体" w:cs="宋体"/>
          <w:kern w:val="0"/>
          <w:sz w:val="24"/>
        </w:rPr>
        <w:t xml:space="preserve">　（3）在有关部门依法实施的监督检查中提供虚假情况的； </w:t>
      </w:r>
    </w:p>
    <w:p w14:paraId="2811A5B9">
      <w:pPr>
        <w:rPr>
          <w:rFonts w:hint="eastAsia" w:ascii="宋体" w:hAnsi="宋体" w:cs="宋体"/>
          <w:kern w:val="0"/>
          <w:sz w:val="24"/>
        </w:rPr>
      </w:pPr>
      <w:r>
        <w:rPr>
          <w:rFonts w:hint="eastAsia" w:ascii="宋体" w:hAnsi="宋体" w:cs="宋体"/>
          <w:kern w:val="0"/>
          <w:sz w:val="24"/>
        </w:rPr>
        <w:t xml:space="preserve">　（4）开标前泄露已获取采购文件的潜在供应商的名称、数量、标底或者其他可能影响公平竞争的有关招标投标情况的。 </w:t>
      </w:r>
    </w:p>
    <w:p w14:paraId="480F603B">
      <w:pPr>
        <w:ind w:firstLine="240" w:firstLineChars="100"/>
        <w:rPr>
          <w:rFonts w:hint="eastAsia" w:ascii="宋体" w:hAnsi="宋体" w:cs="宋体"/>
          <w:sz w:val="24"/>
        </w:rPr>
      </w:pPr>
      <w:r>
        <w:rPr>
          <w:rFonts w:hint="eastAsia" w:ascii="宋体" w:hAnsi="宋体" w:cs="宋体"/>
          <w:sz w:val="24"/>
        </w:rPr>
        <w:t>（5）法律、法规规定的其他违法、违规情形。</w:t>
      </w:r>
    </w:p>
    <w:p w14:paraId="10EB8FDA">
      <w:pPr>
        <w:rPr>
          <w:rFonts w:hint="eastAsia" w:ascii="宋体" w:hAnsi="宋体" w:cs="宋体"/>
          <w:b/>
          <w:sz w:val="24"/>
        </w:rPr>
      </w:pPr>
      <w:r>
        <w:rPr>
          <w:rFonts w:hint="eastAsia" w:ascii="宋体" w:hAnsi="宋体" w:cs="宋体"/>
          <w:b/>
          <w:sz w:val="24"/>
        </w:rPr>
        <w:t>9.2 对供应商的纪律要求</w:t>
      </w:r>
    </w:p>
    <w:p w14:paraId="37FA5E8F">
      <w:pPr>
        <w:ind w:right="248"/>
        <w:rPr>
          <w:rFonts w:hint="eastAsia" w:ascii="宋体" w:hAnsi="宋体" w:cs="宋体"/>
          <w:sz w:val="24"/>
        </w:rPr>
      </w:pPr>
      <w:r>
        <w:rPr>
          <w:rFonts w:hint="eastAsia" w:ascii="宋体" w:hAnsi="宋体" w:cs="宋体"/>
          <w:sz w:val="24"/>
        </w:rPr>
        <w:t>9.2.1供应商不得相互串通投标或者与采购人串通投标，不得向采购人或者评标委员会成员行贿谋取中标，不得以其它方式弄虚作假骗取中标；供应商不得以任何方式干扰、影响评标工作。</w:t>
      </w:r>
      <w:bookmarkStart w:id="27" w:name="_Toc221950237"/>
      <w:r>
        <w:rPr>
          <w:rFonts w:hint="eastAsia" w:ascii="宋体" w:hAnsi="宋体" w:cs="宋体"/>
          <w:sz w:val="24"/>
        </w:rPr>
        <w:t>供应商不得有下列行为之一：</w:t>
      </w:r>
    </w:p>
    <w:bookmarkEnd w:id="27"/>
    <w:p w14:paraId="1B0A6EEA">
      <w:pPr>
        <w:ind w:firstLine="240" w:firstLineChars="100"/>
        <w:rPr>
          <w:rFonts w:hint="eastAsia" w:ascii="宋体" w:hAnsi="宋体" w:cs="宋体"/>
          <w:kern w:val="0"/>
          <w:sz w:val="24"/>
        </w:rPr>
      </w:pPr>
      <w:bookmarkStart w:id="28" w:name="_Toc221950238"/>
      <w:r>
        <w:rPr>
          <w:rFonts w:hint="eastAsia" w:ascii="宋体" w:hAnsi="宋体" w:cs="宋体"/>
          <w:kern w:val="0"/>
          <w:sz w:val="24"/>
        </w:rPr>
        <w:t xml:space="preserve">（1）提供虚假材料谋取中标的； </w:t>
      </w:r>
    </w:p>
    <w:p w14:paraId="7A4DCE1D">
      <w:pPr>
        <w:rPr>
          <w:rFonts w:hint="eastAsia" w:ascii="宋体" w:hAnsi="宋体" w:cs="宋体"/>
          <w:kern w:val="0"/>
          <w:sz w:val="24"/>
        </w:rPr>
      </w:pPr>
      <w:r>
        <w:rPr>
          <w:rFonts w:hint="eastAsia" w:ascii="宋体" w:hAnsi="宋体" w:cs="宋体"/>
          <w:kern w:val="0"/>
          <w:sz w:val="24"/>
        </w:rPr>
        <w:t xml:space="preserve">　（2）采取不正当手段诋毁、排挤其他供应商的； </w:t>
      </w:r>
    </w:p>
    <w:p w14:paraId="15E916D7">
      <w:pPr>
        <w:rPr>
          <w:rFonts w:hint="eastAsia" w:ascii="宋体" w:hAnsi="宋体" w:cs="宋体"/>
          <w:kern w:val="0"/>
          <w:sz w:val="24"/>
        </w:rPr>
      </w:pPr>
      <w:r>
        <w:rPr>
          <w:rFonts w:hint="eastAsia" w:ascii="宋体" w:hAnsi="宋体" w:cs="宋体"/>
          <w:kern w:val="0"/>
          <w:sz w:val="24"/>
        </w:rPr>
        <w:t xml:space="preserve">　（3）与采购单位、其他供应商恶意串通的； </w:t>
      </w:r>
    </w:p>
    <w:p w14:paraId="2A1DE397">
      <w:pPr>
        <w:rPr>
          <w:rFonts w:hint="eastAsia" w:ascii="宋体" w:hAnsi="宋体" w:cs="宋体"/>
          <w:kern w:val="0"/>
          <w:sz w:val="24"/>
        </w:rPr>
      </w:pPr>
      <w:r>
        <w:rPr>
          <w:rFonts w:hint="eastAsia" w:ascii="宋体" w:hAnsi="宋体" w:cs="宋体"/>
          <w:kern w:val="0"/>
          <w:sz w:val="24"/>
        </w:rPr>
        <w:t xml:space="preserve">　（4）向采购单位行贿或者提供其他不正当利益的； </w:t>
      </w:r>
    </w:p>
    <w:p w14:paraId="57B0D525">
      <w:pPr>
        <w:rPr>
          <w:rFonts w:hint="eastAsia" w:ascii="宋体" w:hAnsi="宋体" w:cs="宋体"/>
          <w:kern w:val="0"/>
          <w:sz w:val="24"/>
        </w:rPr>
      </w:pPr>
      <w:r>
        <w:rPr>
          <w:rFonts w:hint="eastAsia" w:ascii="宋体" w:hAnsi="宋体" w:cs="宋体"/>
          <w:kern w:val="0"/>
          <w:sz w:val="24"/>
        </w:rPr>
        <w:t xml:space="preserve">　（5）在招标过程中与采购单位进行协商谈判、不按照采购文件和中标供应商的响应文件订立合同，或者与采购人另行订立背离合同实质性内容的协议的； </w:t>
      </w:r>
    </w:p>
    <w:p w14:paraId="35EDDC9C">
      <w:pPr>
        <w:rPr>
          <w:rFonts w:hint="eastAsia" w:ascii="宋体" w:hAnsi="宋体" w:cs="宋体"/>
          <w:kern w:val="0"/>
          <w:sz w:val="24"/>
        </w:rPr>
      </w:pPr>
      <w:r>
        <w:rPr>
          <w:rFonts w:hint="eastAsia" w:ascii="宋体" w:hAnsi="宋体" w:cs="宋体"/>
          <w:kern w:val="0"/>
          <w:sz w:val="24"/>
        </w:rPr>
        <w:t xml:space="preserve">　（6）拒绝有关部门监督检查或者提供虚假情况的； </w:t>
      </w:r>
    </w:p>
    <w:p w14:paraId="0135234B">
      <w:pPr>
        <w:ind w:firstLine="240" w:firstLineChars="100"/>
        <w:rPr>
          <w:rFonts w:hint="eastAsia" w:ascii="宋体" w:hAnsi="宋体" w:cs="宋体"/>
          <w:sz w:val="24"/>
        </w:rPr>
      </w:pPr>
      <w:r>
        <w:rPr>
          <w:rFonts w:hint="eastAsia" w:ascii="宋体" w:hAnsi="宋体" w:cs="宋体"/>
          <w:sz w:val="24"/>
        </w:rPr>
        <w:t>（7）法律、法规规定的其他违法、违规情形。</w:t>
      </w:r>
    </w:p>
    <w:bookmarkEnd w:id="28"/>
    <w:p w14:paraId="6E97A6D2">
      <w:pPr>
        <w:rPr>
          <w:rFonts w:hint="eastAsia" w:ascii="宋体" w:hAnsi="宋体" w:cs="宋体"/>
          <w:b/>
          <w:sz w:val="24"/>
        </w:rPr>
      </w:pPr>
      <w:r>
        <w:rPr>
          <w:rFonts w:hint="eastAsia" w:ascii="宋体" w:hAnsi="宋体" w:cs="宋体"/>
          <w:b/>
          <w:sz w:val="24"/>
        </w:rPr>
        <w:t>9.3 对评标委员会成员的纪律要求</w:t>
      </w:r>
    </w:p>
    <w:p w14:paraId="4AE7B76E">
      <w:pPr>
        <w:ind w:firstLine="480" w:firstLineChars="200"/>
        <w:rPr>
          <w:rFonts w:hint="eastAsia" w:ascii="宋体" w:hAnsi="宋体" w:cs="宋体"/>
          <w:sz w:val="24"/>
        </w:rPr>
      </w:pPr>
      <w:r>
        <w:rPr>
          <w:rFonts w:hint="eastAsia" w:ascii="宋体" w:hAnsi="宋体" w:cs="宋体"/>
          <w:sz w:val="24"/>
        </w:rPr>
        <w:t xml:space="preserve">评标委员会成员不得收受他人的财物或者其他好处，不得向他人透漏对响应文件的评审和比较、中标候选人的推荐情况以及评标有关的其他情况。在评标活动中，评标委员会成员不得擅离职守，影响评标程序正常进行。评标委员不得有下列行为之一： </w:t>
      </w:r>
    </w:p>
    <w:p w14:paraId="3674E6FB">
      <w:pPr>
        <w:ind w:firstLine="240" w:firstLineChars="100"/>
        <w:rPr>
          <w:rFonts w:hint="eastAsia" w:ascii="宋体" w:hAnsi="宋体" w:cs="宋体"/>
          <w:kern w:val="0"/>
          <w:sz w:val="24"/>
        </w:rPr>
      </w:pPr>
      <w:r>
        <w:rPr>
          <w:rFonts w:hint="eastAsia" w:ascii="宋体" w:hAnsi="宋体" w:cs="宋体"/>
          <w:kern w:val="0"/>
          <w:sz w:val="24"/>
        </w:rPr>
        <w:t xml:space="preserve">（1）明知应当回避而未主动回避的； </w:t>
      </w:r>
    </w:p>
    <w:p w14:paraId="3DCDF3DD">
      <w:pPr>
        <w:ind w:firstLine="240" w:firstLineChars="100"/>
        <w:rPr>
          <w:rFonts w:hint="eastAsia" w:ascii="宋体" w:hAnsi="宋体" w:cs="宋体"/>
          <w:kern w:val="0"/>
          <w:sz w:val="24"/>
        </w:rPr>
      </w:pPr>
      <w:r>
        <w:rPr>
          <w:rFonts w:hint="eastAsia" w:ascii="宋体" w:hAnsi="宋体" w:cs="宋体"/>
          <w:kern w:val="0"/>
          <w:sz w:val="24"/>
        </w:rPr>
        <w:t>（2）在知道自己为评委会成员身份后至评标结束前的时段内私下接触供应商的；</w:t>
      </w:r>
    </w:p>
    <w:p w14:paraId="21114678">
      <w:pPr>
        <w:ind w:firstLine="240" w:firstLineChars="100"/>
        <w:rPr>
          <w:rFonts w:hint="eastAsia" w:ascii="宋体" w:hAnsi="宋体" w:cs="宋体"/>
          <w:kern w:val="0"/>
          <w:sz w:val="24"/>
        </w:rPr>
      </w:pPr>
      <w:r>
        <w:rPr>
          <w:rFonts w:hint="eastAsia" w:ascii="宋体" w:hAnsi="宋体" w:cs="宋体"/>
          <w:kern w:val="0"/>
          <w:sz w:val="24"/>
        </w:rPr>
        <w:t xml:space="preserve">（3）在评标过程中擅离职守，影响评标程序正常进行的； </w:t>
      </w:r>
    </w:p>
    <w:p w14:paraId="2EC933A0">
      <w:pPr>
        <w:ind w:firstLine="240" w:firstLineChars="100"/>
        <w:rPr>
          <w:rFonts w:hint="eastAsia" w:ascii="宋体" w:hAnsi="宋体" w:cs="宋体"/>
          <w:kern w:val="0"/>
          <w:sz w:val="24"/>
        </w:rPr>
      </w:pPr>
      <w:r>
        <w:rPr>
          <w:rFonts w:hint="eastAsia" w:ascii="宋体" w:hAnsi="宋体" w:cs="宋体"/>
          <w:kern w:val="0"/>
          <w:sz w:val="24"/>
        </w:rPr>
        <w:t xml:space="preserve">（4）在评标过程中有明显不合理或者不正当倾向性的； </w:t>
      </w:r>
    </w:p>
    <w:p w14:paraId="77CE4648">
      <w:pPr>
        <w:rPr>
          <w:rFonts w:hint="eastAsia" w:ascii="宋体" w:hAnsi="宋体" w:cs="宋体"/>
          <w:kern w:val="0"/>
          <w:sz w:val="24"/>
        </w:rPr>
      </w:pPr>
      <w:r>
        <w:rPr>
          <w:rFonts w:hint="eastAsia" w:ascii="宋体" w:hAnsi="宋体" w:cs="宋体"/>
          <w:kern w:val="0"/>
          <w:sz w:val="24"/>
        </w:rPr>
        <w:t>　（5）未按采购文件规定的评标方法和标准进行评标的。</w:t>
      </w:r>
    </w:p>
    <w:p w14:paraId="3F6B2B19">
      <w:pPr>
        <w:ind w:firstLine="240" w:firstLineChars="100"/>
        <w:rPr>
          <w:rFonts w:hint="eastAsia" w:ascii="宋体" w:hAnsi="宋体" w:cs="宋体"/>
          <w:kern w:val="0"/>
          <w:sz w:val="24"/>
        </w:rPr>
      </w:pPr>
      <w:r>
        <w:rPr>
          <w:rFonts w:hint="eastAsia" w:ascii="宋体" w:hAnsi="宋体" w:cs="宋体"/>
          <w:kern w:val="0"/>
          <w:sz w:val="24"/>
        </w:rPr>
        <w:t>（6）</w:t>
      </w:r>
      <w:r>
        <w:rPr>
          <w:rFonts w:hint="eastAsia" w:ascii="宋体" w:hAnsi="宋体" w:cs="宋体"/>
          <w:sz w:val="24"/>
        </w:rPr>
        <w:t>法律、法规规定的其他违法、违规情形。</w:t>
      </w:r>
      <w:r>
        <w:rPr>
          <w:rFonts w:hint="eastAsia" w:ascii="宋体" w:hAnsi="宋体" w:cs="宋体"/>
          <w:kern w:val="0"/>
          <w:sz w:val="24"/>
        </w:rPr>
        <w:t xml:space="preserve"> </w:t>
      </w:r>
    </w:p>
    <w:p w14:paraId="0D612A23">
      <w:pPr>
        <w:rPr>
          <w:rFonts w:hint="eastAsia" w:ascii="宋体" w:hAnsi="宋体" w:cs="宋体"/>
          <w:b/>
          <w:sz w:val="24"/>
        </w:rPr>
      </w:pPr>
      <w:r>
        <w:rPr>
          <w:rFonts w:hint="eastAsia" w:ascii="宋体" w:hAnsi="宋体" w:cs="宋体"/>
          <w:b/>
          <w:sz w:val="24"/>
        </w:rPr>
        <w:t>9.4 对与评标活动有关的工作人员的纪律要求</w:t>
      </w:r>
    </w:p>
    <w:p w14:paraId="639A4233">
      <w:pPr>
        <w:rPr>
          <w:rFonts w:hint="eastAsia" w:ascii="宋体" w:hAnsi="宋体" w:cs="宋体"/>
          <w:sz w:val="24"/>
        </w:rPr>
      </w:pPr>
      <w:r>
        <w:rPr>
          <w:rFonts w:hint="eastAsia" w:ascii="宋体" w:hAnsi="宋体" w:cs="宋体"/>
          <w:sz w:val="24"/>
        </w:rPr>
        <w:t xml:space="preserve">   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2FEA954A">
      <w:pPr>
        <w:rPr>
          <w:rFonts w:hint="eastAsia" w:ascii="宋体" w:hAnsi="宋体" w:cs="宋体"/>
          <w:b/>
          <w:sz w:val="24"/>
        </w:rPr>
      </w:pPr>
      <w:r>
        <w:rPr>
          <w:rFonts w:hint="eastAsia" w:ascii="宋体" w:hAnsi="宋体" w:cs="宋体"/>
          <w:b/>
          <w:sz w:val="24"/>
        </w:rPr>
        <w:t>9.5 监督检查</w:t>
      </w:r>
    </w:p>
    <w:p w14:paraId="556E0DE6">
      <w:pPr>
        <w:rPr>
          <w:rFonts w:hint="eastAsia" w:ascii="宋体" w:hAnsi="宋体" w:cs="宋体"/>
          <w:sz w:val="24"/>
        </w:rPr>
      </w:pPr>
      <w:r>
        <w:rPr>
          <w:rFonts w:hint="eastAsia" w:ascii="宋体" w:hAnsi="宋体" w:cs="宋体"/>
          <w:sz w:val="24"/>
        </w:rPr>
        <w:t>9.5.1政府采购监督管理部门应对在政府采购活动中的当事人有关政府采购的法律、行政法规和规章的执行情况和采购范围、采购方式和采购程序的执行等情况进行监督检查。</w:t>
      </w:r>
    </w:p>
    <w:p w14:paraId="7A181E79">
      <w:pPr>
        <w:rPr>
          <w:rFonts w:hint="eastAsia" w:ascii="宋体" w:hAnsi="宋体" w:cs="宋体"/>
          <w:sz w:val="24"/>
        </w:rPr>
      </w:pPr>
      <w:r>
        <w:rPr>
          <w:rFonts w:hint="eastAsia" w:ascii="宋体" w:hAnsi="宋体" w:cs="宋体"/>
          <w:sz w:val="24"/>
        </w:rPr>
        <w:t>9.5.2招标项目行政监督部门可视情依法派员对招标活动的全程进行监督。</w:t>
      </w:r>
    </w:p>
    <w:p w14:paraId="0A55F3B5">
      <w:pPr>
        <w:jc w:val="center"/>
        <w:rPr>
          <w:rFonts w:hint="eastAsia" w:ascii="宋体" w:hAnsi="宋体" w:cs="宋体"/>
          <w:b/>
          <w:sz w:val="24"/>
        </w:rPr>
      </w:pPr>
      <w:r>
        <w:rPr>
          <w:rFonts w:hint="eastAsia" w:ascii="宋体" w:hAnsi="宋体" w:cs="宋体"/>
          <w:b/>
          <w:sz w:val="24"/>
        </w:rPr>
        <w:t>10、需要补充的其他内容</w:t>
      </w:r>
    </w:p>
    <w:p w14:paraId="1E732206">
      <w:pPr>
        <w:rPr>
          <w:rFonts w:hint="eastAsia" w:ascii="宋体" w:hAnsi="宋体" w:cs="宋体"/>
          <w:b/>
          <w:sz w:val="24"/>
        </w:rPr>
      </w:pPr>
      <w:r>
        <w:rPr>
          <w:rFonts w:hint="eastAsia" w:ascii="宋体" w:hAnsi="宋体" w:cs="宋体"/>
          <w:b/>
          <w:sz w:val="24"/>
        </w:rPr>
        <w:t>10.1质疑</w:t>
      </w:r>
    </w:p>
    <w:p w14:paraId="41ED0DA8">
      <w:pPr>
        <w:rPr>
          <w:rFonts w:hint="eastAsia" w:ascii="宋体" w:hAnsi="宋体" w:cs="宋体"/>
          <w:sz w:val="24"/>
        </w:rPr>
      </w:pPr>
      <w:r>
        <w:rPr>
          <w:rFonts w:hint="eastAsia" w:ascii="宋体" w:hAnsi="宋体" w:cs="宋体"/>
          <w:sz w:val="24"/>
        </w:rPr>
        <w:t>10.1.1供应商对政府采购活动事项有疑问的，可以向采购人提出询问，采购人应当及时作出答复，但答复的内容不得涉及商业秘密。</w:t>
      </w:r>
    </w:p>
    <w:p w14:paraId="3E31B8D4">
      <w:pPr>
        <w:rPr>
          <w:rFonts w:hint="eastAsia" w:ascii="宋体" w:hAnsi="宋体" w:cs="宋体"/>
          <w:sz w:val="24"/>
        </w:rPr>
      </w:pPr>
      <w:r>
        <w:rPr>
          <w:rFonts w:hint="eastAsia" w:ascii="宋体" w:hAnsi="宋体" w:cs="宋体"/>
          <w:sz w:val="24"/>
        </w:rPr>
        <w:t>10.1.2供应商认为采购文件、采购过程和成交结果使自己的权益受到损害的，可以在知道或者应知其权益受到损害之日起七个工作日内，以书面形式向采购人提出质疑。</w:t>
      </w:r>
    </w:p>
    <w:p w14:paraId="148C6BD8">
      <w:pPr>
        <w:rPr>
          <w:rFonts w:hint="eastAsia" w:ascii="宋体" w:hAnsi="宋体" w:cs="宋体"/>
          <w:sz w:val="24"/>
        </w:rPr>
      </w:pPr>
      <w:r>
        <w:rPr>
          <w:rFonts w:hint="eastAsia" w:ascii="宋体" w:hAnsi="宋体" w:cs="宋体"/>
          <w:sz w:val="24"/>
        </w:rPr>
        <w:t>10.1.3采购人应当在收到供应商的书面质疑后七个工作日内作出答复，并以书面形式通知质疑供应商和其他有关供应商，但答复的内容不得涉及商业秘密。</w:t>
      </w:r>
    </w:p>
    <w:p w14:paraId="6A11F43D">
      <w:pPr>
        <w:rPr>
          <w:rFonts w:hint="eastAsia" w:ascii="宋体" w:hAnsi="宋体" w:cs="宋体"/>
          <w:sz w:val="24"/>
        </w:rPr>
      </w:pPr>
      <w:r>
        <w:rPr>
          <w:rFonts w:hint="eastAsia" w:ascii="宋体" w:hAnsi="宋体" w:cs="宋体"/>
          <w:sz w:val="24"/>
        </w:rPr>
        <w:t>10.1.4采购人委托采购代理机构采购的，供应商可以向采购代理机构提出询问或者质疑，采购代理机构应当依照本条款第10.1.1条、第10.1.3条的规定就采购人委托授权范围内的事项作出答复。</w:t>
      </w:r>
    </w:p>
    <w:p w14:paraId="4DD3BFE5">
      <w:pPr>
        <w:rPr>
          <w:rFonts w:hint="eastAsia" w:ascii="宋体" w:hAnsi="宋体" w:cs="宋体"/>
          <w:b/>
          <w:sz w:val="24"/>
        </w:rPr>
      </w:pPr>
      <w:r>
        <w:rPr>
          <w:rFonts w:hint="eastAsia" w:ascii="宋体" w:hAnsi="宋体" w:cs="宋体"/>
          <w:b/>
          <w:sz w:val="24"/>
        </w:rPr>
        <w:t>10.2投诉</w:t>
      </w:r>
    </w:p>
    <w:p w14:paraId="4F759812">
      <w:pPr>
        <w:rPr>
          <w:rFonts w:hint="eastAsia" w:ascii="宋体" w:hAnsi="宋体" w:cs="宋体"/>
          <w:sz w:val="24"/>
        </w:rPr>
      </w:pPr>
      <w:r>
        <w:rPr>
          <w:rFonts w:hint="eastAsia" w:ascii="宋体" w:hAnsi="宋体" w:cs="宋体"/>
          <w:sz w:val="24"/>
        </w:rPr>
        <w:t>10.2.1质疑供应商对采购人、采购代理机构的答复不满意或者采购人、采购代理机构未在规定的时间内作出答复的，可以在答复期满后十五个工作日内向同级政府采购监督管理部门投诉。</w:t>
      </w:r>
    </w:p>
    <w:p w14:paraId="6D57C93F">
      <w:pPr>
        <w:rPr>
          <w:rFonts w:hint="eastAsia" w:ascii="宋体" w:hAnsi="宋体" w:cs="宋体"/>
          <w:sz w:val="24"/>
        </w:rPr>
      </w:pPr>
      <w:r>
        <w:rPr>
          <w:rFonts w:hint="eastAsia" w:ascii="宋体" w:hAnsi="宋体" w:cs="宋体"/>
          <w:sz w:val="24"/>
        </w:rPr>
        <w:t>10.2.2政府采购监督管理部门应当在收到投诉后三十个工作日内，对投诉事项作出处理决定，并以书面形式通知投诉人和与投诉事项有关的当事人。</w:t>
      </w:r>
    </w:p>
    <w:p w14:paraId="5BD06681">
      <w:pPr>
        <w:rPr>
          <w:rFonts w:hint="eastAsia" w:ascii="宋体" w:hAnsi="宋体" w:cs="宋体"/>
          <w:sz w:val="24"/>
        </w:rPr>
      </w:pPr>
      <w:r>
        <w:rPr>
          <w:rFonts w:hint="eastAsia" w:ascii="宋体" w:hAnsi="宋体" w:cs="宋体"/>
          <w:sz w:val="24"/>
        </w:rPr>
        <w:t>10.2.3政府采购监督管理部门在处理投诉事项期间，可以视具体情况书面通知采购人暂停采购活动，但暂停时间最长不得超过三十日。</w:t>
      </w:r>
    </w:p>
    <w:p w14:paraId="64F93D00">
      <w:pPr>
        <w:rPr>
          <w:rFonts w:hint="eastAsia" w:ascii="宋体" w:hAnsi="宋体" w:cs="宋体"/>
          <w:sz w:val="24"/>
        </w:rPr>
      </w:pPr>
      <w:r>
        <w:rPr>
          <w:rFonts w:hint="eastAsia" w:ascii="宋体" w:hAnsi="宋体" w:cs="宋体"/>
          <w:sz w:val="24"/>
        </w:rPr>
        <w:t>10.2.4投诉人对政府采购监督管理部门的投诉处理决定不服或者政府采购监督管理部门逾期未作处理的，可以依法申请行政复议或者向人民法院提起行政诉讼。</w:t>
      </w:r>
    </w:p>
    <w:p w14:paraId="48A6168C">
      <w:pPr>
        <w:rPr>
          <w:rFonts w:hint="eastAsia" w:ascii="宋体" w:hAnsi="宋体" w:cs="宋体"/>
          <w:b/>
          <w:sz w:val="24"/>
        </w:rPr>
      </w:pPr>
      <w:r>
        <w:rPr>
          <w:rFonts w:hint="eastAsia" w:ascii="宋体" w:hAnsi="宋体" w:cs="宋体"/>
          <w:b/>
          <w:sz w:val="24"/>
        </w:rPr>
        <w:t>10.3其他</w:t>
      </w:r>
    </w:p>
    <w:p w14:paraId="26BBC1C4">
      <w:pPr>
        <w:rPr>
          <w:rFonts w:hint="eastAsia" w:ascii="宋体" w:hAnsi="宋体" w:cs="宋体"/>
          <w:b/>
          <w:sz w:val="24"/>
        </w:rPr>
      </w:pPr>
      <w:r>
        <w:rPr>
          <w:rFonts w:hint="eastAsia" w:ascii="宋体" w:hAnsi="宋体" w:cs="宋体"/>
          <w:sz w:val="24"/>
        </w:rPr>
        <w:t>10.3.1供应商出席开标会，详见供应商须知前附表。</w:t>
      </w:r>
    </w:p>
    <w:p w14:paraId="0C054BEE">
      <w:pPr>
        <w:widowControl w:val="0"/>
        <w:rPr>
          <w:rFonts w:hint="eastAsia" w:ascii="宋体" w:hAnsi="宋体" w:cs="宋体"/>
          <w:sz w:val="24"/>
        </w:rPr>
      </w:pPr>
      <w:r>
        <w:rPr>
          <w:rFonts w:hint="eastAsia" w:ascii="宋体" w:hAnsi="宋体" w:cs="宋体"/>
          <w:sz w:val="24"/>
        </w:rPr>
        <w:t>10.3.2通讯联系，详见供应商须知前附表。</w:t>
      </w:r>
    </w:p>
    <w:p w14:paraId="423EA721">
      <w:pPr>
        <w:jc w:val="center"/>
        <w:outlineLvl w:val="0"/>
        <w:rPr>
          <w:rFonts w:hint="eastAsia" w:ascii="宋体" w:hAnsi="宋体" w:cs="宋体"/>
          <w:b/>
          <w:sz w:val="24"/>
        </w:rPr>
      </w:pPr>
      <w:r>
        <w:rPr>
          <w:rFonts w:hint="eastAsia" w:ascii="宋体" w:hAnsi="宋体" w:cs="宋体"/>
          <w:b/>
          <w:sz w:val="24"/>
        </w:rPr>
        <w:br w:type="page"/>
      </w:r>
      <w:r>
        <w:rPr>
          <w:rFonts w:hint="eastAsia" w:ascii="宋体" w:hAnsi="宋体" w:cs="宋体"/>
          <w:b/>
          <w:sz w:val="24"/>
        </w:rPr>
        <w:t xml:space="preserve">第三章  </w:t>
      </w:r>
      <w:bookmarkEnd w:id="10"/>
      <w:bookmarkEnd w:id="11"/>
      <w:r>
        <w:rPr>
          <w:rFonts w:hint="eastAsia" w:ascii="宋体" w:hAnsi="宋体" w:cs="宋体"/>
          <w:b/>
          <w:sz w:val="24"/>
        </w:rPr>
        <w:t>评标办法</w:t>
      </w:r>
    </w:p>
    <w:p w14:paraId="789E6345">
      <w:pPr>
        <w:snapToGrid w:val="0"/>
        <w:ind w:left="58" w:leftChars="-1" w:hanging="60" w:hangingChars="25"/>
        <w:jc w:val="center"/>
        <w:rPr>
          <w:rFonts w:hint="eastAsia" w:ascii="宋体" w:hAnsi="宋体" w:cs="宋体"/>
          <w:b/>
          <w:bCs/>
          <w:sz w:val="24"/>
        </w:rPr>
      </w:pPr>
    </w:p>
    <w:p w14:paraId="6F533670">
      <w:pPr>
        <w:shd w:val="clear" w:color="auto" w:fill="FFFFFF"/>
        <w:snapToGrid w:val="0"/>
        <w:jc w:val="center"/>
        <w:outlineLvl w:val="3"/>
        <w:rPr>
          <w:rFonts w:hint="eastAsia" w:ascii="宋体" w:hAnsi="宋体" w:cs="宋体"/>
          <w:b/>
          <w:bCs/>
          <w:kern w:val="0"/>
          <w:sz w:val="24"/>
        </w:rPr>
      </w:pPr>
      <w:r>
        <w:rPr>
          <w:rFonts w:hint="eastAsia" w:ascii="宋体" w:hAnsi="宋体" w:cs="宋体"/>
          <w:b/>
          <w:bCs/>
          <w:kern w:val="0"/>
          <w:sz w:val="24"/>
        </w:rPr>
        <w:t>1、评标办法</w:t>
      </w:r>
    </w:p>
    <w:p w14:paraId="665C67F0">
      <w:pPr>
        <w:ind w:firstLine="480"/>
        <w:rPr>
          <w:rFonts w:hint="eastAsia" w:ascii="宋体" w:hAnsi="宋体" w:cs="宋体"/>
          <w:kern w:val="0"/>
          <w:sz w:val="24"/>
        </w:rPr>
      </w:pPr>
      <w:r>
        <w:rPr>
          <w:rFonts w:hint="eastAsia" w:ascii="宋体" w:hAnsi="宋体" w:cs="宋体"/>
          <w:kern w:val="0"/>
          <w:sz w:val="24"/>
        </w:rPr>
        <w:t>本次评标</w:t>
      </w:r>
      <w:r>
        <w:rPr>
          <w:rFonts w:hint="eastAsia" w:ascii="宋体" w:hAnsi="宋体" w:cs="宋体"/>
          <w:b/>
          <w:kern w:val="0"/>
          <w:sz w:val="24"/>
        </w:rPr>
        <w:t>按照《政府采购货物和服务招标投标管理办法》（中华人民共和国财政部令第87号）</w:t>
      </w:r>
      <w:r>
        <w:rPr>
          <w:rFonts w:hint="eastAsia" w:ascii="宋体" w:hAnsi="宋体" w:cs="宋体"/>
          <w:b/>
          <w:sz w:val="24"/>
        </w:rPr>
        <w:t>规定的评审标准，采用综合评分法</w:t>
      </w:r>
      <w:r>
        <w:rPr>
          <w:rFonts w:hint="eastAsia" w:ascii="宋体" w:hAnsi="宋体" w:cs="宋体"/>
          <w:kern w:val="0"/>
          <w:sz w:val="24"/>
        </w:rPr>
        <w:t xml:space="preserve">。评标委员会对全部满足采购文件实质性要求前提下，按照采购文件中规定的各项因素进行综合评审后，按评审后的综合得分由高到低顺序排列，以评标总得分最高的供应商作为中标候选人。得分相同的，按投标报价由低到高顺序排列。得分且投标报价相同的，按技术指标优劣顺序排列。 </w:t>
      </w:r>
    </w:p>
    <w:p w14:paraId="020C48C5">
      <w:pPr>
        <w:jc w:val="center"/>
        <w:rPr>
          <w:rFonts w:hint="eastAsia" w:ascii="宋体" w:hAnsi="宋体" w:cs="宋体"/>
          <w:b/>
          <w:bCs/>
          <w:kern w:val="0"/>
          <w:sz w:val="24"/>
        </w:rPr>
      </w:pPr>
      <w:r>
        <w:rPr>
          <w:rFonts w:hint="eastAsia" w:ascii="宋体" w:hAnsi="宋体" w:cs="宋体"/>
          <w:b/>
          <w:bCs/>
          <w:kern w:val="0"/>
          <w:sz w:val="24"/>
        </w:rPr>
        <w:t>2、评审标准</w:t>
      </w:r>
    </w:p>
    <w:p w14:paraId="2C50543B">
      <w:pPr>
        <w:rPr>
          <w:rFonts w:hint="eastAsia" w:ascii="宋体" w:hAnsi="宋体" w:cs="宋体"/>
          <w:b/>
          <w:bCs/>
          <w:kern w:val="0"/>
          <w:sz w:val="24"/>
        </w:rPr>
      </w:pPr>
      <w:r>
        <w:rPr>
          <w:rFonts w:hint="eastAsia" w:ascii="宋体" w:hAnsi="宋体" w:cs="宋体"/>
          <w:b/>
          <w:bCs/>
          <w:kern w:val="0"/>
          <w:sz w:val="24"/>
        </w:rPr>
        <w:t>2.1 初步评审标准</w:t>
      </w:r>
    </w:p>
    <w:p w14:paraId="20BC2ACA">
      <w:pPr>
        <w:rPr>
          <w:rFonts w:hint="eastAsia" w:ascii="宋体" w:hAnsi="宋体" w:cs="宋体"/>
          <w:kern w:val="0"/>
          <w:sz w:val="24"/>
        </w:rPr>
      </w:pPr>
      <w:r>
        <w:rPr>
          <w:rFonts w:hint="eastAsia" w:ascii="宋体" w:hAnsi="宋体" w:cs="宋体"/>
          <w:kern w:val="0"/>
          <w:sz w:val="24"/>
        </w:rPr>
        <w:t>2.1.1响应文件的初审分为资格审查及初步评审（符合性检查）</w:t>
      </w:r>
    </w:p>
    <w:p w14:paraId="6DC23935">
      <w:pPr>
        <w:rPr>
          <w:rFonts w:hint="eastAsia" w:ascii="宋体" w:hAnsi="宋体" w:cs="宋体"/>
          <w:b/>
          <w:bCs/>
          <w:kern w:val="0"/>
          <w:sz w:val="24"/>
        </w:rPr>
      </w:pPr>
      <w:r>
        <w:rPr>
          <w:rFonts w:hint="eastAsia" w:ascii="宋体" w:hAnsi="宋体" w:cs="宋体"/>
          <w:b/>
          <w:bCs/>
          <w:kern w:val="0"/>
          <w:sz w:val="24"/>
        </w:rPr>
        <w:t>3、评标程序</w:t>
      </w:r>
    </w:p>
    <w:p w14:paraId="4F199E70">
      <w:pPr>
        <w:ind w:firstLine="480" w:firstLineChars="200"/>
        <w:rPr>
          <w:rFonts w:hint="eastAsia" w:ascii="宋体" w:hAnsi="宋体" w:cs="宋体"/>
          <w:kern w:val="0"/>
          <w:sz w:val="24"/>
        </w:rPr>
      </w:pPr>
      <w:r>
        <w:rPr>
          <w:rFonts w:hint="eastAsia" w:ascii="宋体" w:hAnsi="宋体" w:cs="宋体"/>
          <w:kern w:val="0"/>
          <w:sz w:val="24"/>
        </w:rPr>
        <w:t>资格审查：依据法律法规和采购文件的规定，在对响应文件详细评估之前，采购人或采购代理机构将依据供应商提交的响应文件按供应商须知前附表所述的资格标准对供应商进行资格审查，以确定其是否具备投标资格。</w:t>
      </w:r>
      <w:r>
        <w:rPr>
          <w:rFonts w:hint="eastAsia" w:ascii="宋体" w:hAnsi="宋体" w:cs="宋体"/>
          <w:b/>
          <w:kern w:val="0"/>
          <w:sz w:val="24"/>
        </w:rPr>
        <w:t>如果供应商不具备投标资格，不满足采购文件所规定的资格标准或提供资格证明文件不全的，其投标无效。</w:t>
      </w:r>
    </w:p>
    <w:p w14:paraId="24E01604">
      <w:pPr>
        <w:ind w:firstLine="480" w:firstLineChars="200"/>
        <w:rPr>
          <w:rFonts w:hint="eastAsia" w:ascii="宋体" w:hAnsi="宋体" w:cs="宋体"/>
          <w:kern w:val="0"/>
          <w:sz w:val="24"/>
        </w:rPr>
      </w:pPr>
      <w:r>
        <w:rPr>
          <w:rFonts w:hint="eastAsia" w:ascii="宋体" w:hAnsi="宋体" w:cs="宋体"/>
          <w:kern w:val="0"/>
          <w:sz w:val="24"/>
        </w:rPr>
        <w:t>符合性检查：由评标委员会依据有关法律、法规及采购文件的要求，对符合资格的供应商的响应文件进行符合性审查，以确定是否对采购文件的实质性要求做出响应。只有通过符合性审查的供应商的响应文件才能进入下一阶段的评审。</w:t>
      </w:r>
    </w:p>
    <w:p w14:paraId="43B95D70">
      <w:pPr>
        <w:rPr>
          <w:rFonts w:hint="eastAsia" w:ascii="宋体" w:hAnsi="宋体" w:cs="宋体"/>
          <w:b/>
          <w:bCs/>
          <w:kern w:val="0"/>
          <w:sz w:val="24"/>
        </w:rPr>
      </w:pPr>
      <w:r>
        <w:rPr>
          <w:rFonts w:hint="eastAsia" w:ascii="宋体" w:hAnsi="宋体" w:cs="宋体"/>
          <w:b/>
          <w:bCs/>
          <w:kern w:val="0"/>
          <w:sz w:val="24"/>
        </w:rPr>
        <w:t>2.2 比较与评价</w:t>
      </w:r>
    </w:p>
    <w:p w14:paraId="39425E31">
      <w:pPr>
        <w:ind w:firstLine="480" w:firstLineChars="200"/>
        <w:rPr>
          <w:rFonts w:hint="eastAsia" w:ascii="宋体" w:hAnsi="宋体" w:cs="宋体"/>
          <w:kern w:val="0"/>
          <w:sz w:val="24"/>
        </w:rPr>
      </w:pPr>
      <w:r>
        <w:rPr>
          <w:rFonts w:hint="eastAsia" w:ascii="宋体" w:hAnsi="宋体" w:cs="宋体"/>
          <w:kern w:val="0"/>
          <w:sz w:val="24"/>
        </w:rPr>
        <w:t>评标委员会对通过资格性检查和符合性审查的每个供应商的响应文件，按照采购文件中规定的评审标准</w:t>
      </w:r>
      <w:r>
        <w:rPr>
          <w:rFonts w:hint="eastAsia" w:ascii="宋体" w:hAnsi="宋体" w:cs="宋体"/>
          <w:sz w:val="24"/>
        </w:rPr>
        <w:t>审查、评价响应文件是否符合采购文件的商务、技术等实质性要求，并</w:t>
      </w:r>
      <w:r>
        <w:rPr>
          <w:rFonts w:hint="eastAsia" w:ascii="宋体" w:hAnsi="宋体" w:cs="宋体"/>
          <w:kern w:val="0"/>
          <w:sz w:val="24"/>
        </w:rPr>
        <w:t>对响应文件的投标价格作进一步综合比较与评价。</w:t>
      </w:r>
    </w:p>
    <w:p w14:paraId="422442BC">
      <w:pPr>
        <w:rPr>
          <w:rFonts w:hint="eastAsia" w:ascii="宋体" w:hAnsi="宋体" w:cs="宋体"/>
          <w:kern w:val="0"/>
          <w:sz w:val="24"/>
        </w:rPr>
      </w:pPr>
      <w:r>
        <w:rPr>
          <w:rFonts w:hint="eastAsia" w:ascii="宋体" w:hAnsi="宋体" w:cs="宋体"/>
          <w:b/>
          <w:bCs/>
          <w:kern w:val="0"/>
          <w:sz w:val="24"/>
        </w:rPr>
        <w:t>2.3评审因素</w:t>
      </w:r>
    </w:p>
    <w:p w14:paraId="04210456">
      <w:pPr>
        <w:rPr>
          <w:rFonts w:hint="eastAsia" w:ascii="宋体" w:hAnsi="宋体" w:cs="宋体"/>
          <w:kern w:val="0"/>
          <w:sz w:val="24"/>
        </w:rPr>
      </w:pPr>
      <w:r>
        <w:rPr>
          <w:rFonts w:hint="eastAsia" w:ascii="宋体" w:hAnsi="宋体" w:cs="宋体"/>
          <w:kern w:val="0"/>
          <w:sz w:val="24"/>
        </w:rPr>
        <w:t>2.3.1评标委员会对全部满足采购文件实质性要求前提下，按照采购文件中规定的各项因素进行综合评审后，并以记名方式进行评分。在评标中，不得改变采购文件中规定的评标标准、方法和中标条件。</w:t>
      </w:r>
    </w:p>
    <w:p w14:paraId="01B00926">
      <w:pPr>
        <w:rPr>
          <w:rFonts w:hint="eastAsia" w:ascii="宋体" w:hAnsi="宋体" w:cs="宋体"/>
          <w:kern w:val="0"/>
          <w:sz w:val="24"/>
        </w:rPr>
      </w:pPr>
      <w:r>
        <w:rPr>
          <w:rFonts w:hint="eastAsia" w:ascii="宋体" w:hAnsi="宋体" w:cs="宋体"/>
          <w:kern w:val="0"/>
          <w:sz w:val="24"/>
        </w:rPr>
        <w:t>2.3.2在评标中，不得改变采购文件中规定的评标标准、方法和中标条件。不得将供应商的注册资本、资产总额、营业收入、从业人员、利润、纳税额等规模条件作为资格要求或者评审因素，也不得通过将除进口货物以外的生产厂家授权、承诺、证明、背书等作为资格要求，对供应商实行差别待遇或者歧视待遇。</w:t>
      </w:r>
    </w:p>
    <w:p w14:paraId="595BA93B">
      <w:pPr>
        <w:shd w:val="clear" w:color="auto" w:fill="FFFFFF"/>
        <w:snapToGrid w:val="0"/>
        <w:jc w:val="center"/>
        <w:outlineLvl w:val="3"/>
        <w:rPr>
          <w:rFonts w:hint="eastAsia" w:ascii="宋体" w:hAnsi="宋体" w:cs="宋体"/>
          <w:b/>
          <w:bCs/>
          <w:kern w:val="0"/>
          <w:sz w:val="24"/>
        </w:rPr>
      </w:pPr>
      <w:r>
        <w:rPr>
          <w:rFonts w:hint="eastAsia" w:ascii="宋体" w:hAnsi="宋体" w:cs="宋体"/>
          <w:b/>
          <w:bCs/>
          <w:kern w:val="0"/>
          <w:sz w:val="24"/>
        </w:rPr>
        <w:t>3、评标程序</w:t>
      </w:r>
    </w:p>
    <w:p w14:paraId="2C781FA4">
      <w:pPr>
        <w:ind w:firstLine="482" w:firstLineChars="200"/>
        <w:rPr>
          <w:rFonts w:hint="eastAsia" w:ascii="宋体" w:hAnsi="宋体" w:cs="宋体"/>
          <w:sz w:val="24"/>
        </w:rPr>
      </w:pPr>
      <w:r>
        <w:rPr>
          <w:rFonts w:hint="eastAsia" w:ascii="宋体" w:hAnsi="宋体" w:cs="宋体"/>
          <w:b/>
          <w:bCs/>
          <w:sz w:val="24"/>
        </w:rPr>
        <w:t>2.1资格性审查</w:t>
      </w:r>
      <w:r>
        <w:rPr>
          <w:rFonts w:hint="eastAsia" w:ascii="宋体" w:hAnsi="宋体" w:cs="宋体"/>
          <w:sz w:val="24"/>
        </w:rPr>
        <w:t>　</w:t>
      </w:r>
    </w:p>
    <w:p w14:paraId="1762B3F1">
      <w:pPr>
        <w:ind w:firstLine="482" w:firstLineChars="200"/>
        <w:rPr>
          <w:rFonts w:hint="eastAsia" w:ascii="宋体" w:hAnsi="宋体" w:cs="宋体"/>
          <w:b/>
          <w:bCs/>
          <w:sz w:val="24"/>
        </w:rPr>
      </w:pPr>
      <w:r>
        <w:rPr>
          <w:rFonts w:hint="eastAsia" w:ascii="宋体" w:hAnsi="宋体" w:cs="宋体"/>
          <w:b/>
          <w:bCs/>
          <w:sz w:val="24"/>
        </w:rPr>
        <w:t>资格审查(由采购人或采购代理机构进行资格审查，若供应商资格审查未通过，将认定整个响应文件不响应招标文件而予以投标无效）</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968"/>
        <w:gridCol w:w="4614"/>
      </w:tblGrid>
      <w:tr w14:paraId="6F48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49" w:type="pct"/>
            <w:vAlign w:val="center"/>
          </w:tcPr>
          <w:p w14:paraId="409DE477">
            <w:pPr>
              <w:pStyle w:val="87"/>
              <w:widowControl w:val="0"/>
              <w:adjustRightInd w:val="0"/>
              <w:jc w:val="center"/>
              <w:textAlignment w:val="baseline"/>
              <w:rPr>
                <w:rFonts w:hint="eastAsia" w:ascii="宋体" w:hAnsi="宋体" w:cs="宋体"/>
                <w:b/>
                <w:color w:val="000000"/>
                <w:spacing w:val="0"/>
                <w:kern w:val="2"/>
                <w:sz w:val="24"/>
                <w:szCs w:val="24"/>
              </w:rPr>
            </w:pPr>
            <w:r>
              <w:rPr>
                <w:rFonts w:hint="eastAsia" w:ascii="宋体" w:hAnsi="宋体" w:cs="宋体"/>
                <w:b/>
                <w:color w:val="000000"/>
                <w:spacing w:val="0"/>
                <w:kern w:val="2"/>
                <w:sz w:val="24"/>
                <w:szCs w:val="24"/>
              </w:rPr>
              <w:t>序号</w:t>
            </w:r>
          </w:p>
        </w:tc>
        <w:tc>
          <w:tcPr>
            <w:tcW w:w="2197" w:type="pct"/>
            <w:vAlign w:val="center"/>
          </w:tcPr>
          <w:p w14:paraId="045280C0">
            <w:pPr>
              <w:pStyle w:val="87"/>
              <w:widowControl w:val="0"/>
              <w:adjustRightInd w:val="0"/>
              <w:jc w:val="center"/>
              <w:textAlignment w:val="baseline"/>
              <w:rPr>
                <w:rFonts w:hint="eastAsia" w:ascii="宋体" w:hAnsi="宋体" w:cs="宋体"/>
                <w:b/>
                <w:color w:val="000000"/>
                <w:spacing w:val="0"/>
                <w:kern w:val="2"/>
                <w:sz w:val="24"/>
                <w:szCs w:val="24"/>
              </w:rPr>
            </w:pPr>
            <w:r>
              <w:rPr>
                <w:rFonts w:hint="eastAsia" w:ascii="宋体" w:hAnsi="宋体" w:cs="宋体"/>
                <w:b/>
                <w:color w:val="000000"/>
                <w:sz w:val="24"/>
                <w:szCs w:val="24"/>
              </w:rPr>
              <w:t>资格条件</w:t>
            </w:r>
          </w:p>
        </w:tc>
        <w:tc>
          <w:tcPr>
            <w:tcW w:w="2553" w:type="pct"/>
            <w:vAlign w:val="center"/>
          </w:tcPr>
          <w:p w14:paraId="6C21FF38">
            <w:pPr>
              <w:pStyle w:val="87"/>
              <w:widowControl w:val="0"/>
              <w:adjustRightInd w:val="0"/>
              <w:jc w:val="center"/>
              <w:textAlignment w:val="baseline"/>
              <w:rPr>
                <w:rFonts w:hint="eastAsia" w:ascii="宋体" w:hAnsi="宋体" w:cs="宋体"/>
                <w:b/>
                <w:color w:val="000000"/>
                <w:spacing w:val="0"/>
                <w:kern w:val="2"/>
                <w:sz w:val="24"/>
                <w:szCs w:val="24"/>
              </w:rPr>
            </w:pPr>
            <w:r>
              <w:rPr>
                <w:rFonts w:hint="eastAsia" w:ascii="宋体" w:hAnsi="宋体" w:cs="宋体"/>
                <w:b/>
                <w:color w:val="000000"/>
                <w:sz w:val="24"/>
                <w:szCs w:val="24"/>
              </w:rPr>
              <w:t>审查内容和审查标准</w:t>
            </w:r>
          </w:p>
        </w:tc>
      </w:tr>
      <w:tr w14:paraId="2016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9" w:type="pct"/>
            <w:vAlign w:val="center"/>
          </w:tcPr>
          <w:p w14:paraId="5BC824D0">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1</w:t>
            </w:r>
          </w:p>
        </w:tc>
        <w:tc>
          <w:tcPr>
            <w:tcW w:w="2197" w:type="pct"/>
            <w:vAlign w:val="center"/>
          </w:tcPr>
          <w:p w14:paraId="283939C6">
            <w:pPr>
              <w:pStyle w:val="87"/>
              <w:widowControl w:val="0"/>
              <w:adjustRightInd w:val="0"/>
              <w:jc w:val="both"/>
              <w:textAlignment w:val="baseline"/>
              <w:rPr>
                <w:rFonts w:hint="eastAsia" w:ascii="宋体" w:hAnsi="宋体" w:cs="宋体"/>
                <w:spacing w:val="0"/>
                <w:kern w:val="2"/>
                <w:sz w:val="24"/>
                <w:szCs w:val="24"/>
              </w:rPr>
            </w:pPr>
            <w:r>
              <w:rPr>
                <w:rFonts w:hint="eastAsia" w:ascii="宋体" w:hAnsi="宋体" w:cs="宋体"/>
                <w:kern w:val="2"/>
                <w:sz w:val="24"/>
                <w:szCs w:val="24"/>
              </w:rPr>
              <w:t>落实政府采购政策需满足的资格要求：本项目专门面向中小企业</w:t>
            </w:r>
          </w:p>
        </w:tc>
        <w:tc>
          <w:tcPr>
            <w:tcW w:w="2553" w:type="pct"/>
            <w:vAlign w:val="center"/>
          </w:tcPr>
          <w:p w14:paraId="366A1E39">
            <w:pPr>
              <w:widowControl w:val="0"/>
              <w:adjustRightInd w:val="0"/>
              <w:spacing w:line="360" w:lineRule="atLeast"/>
              <w:jc w:val="both"/>
              <w:textAlignment w:val="baseline"/>
              <w:rPr>
                <w:rFonts w:hint="eastAsia" w:ascii="宋体" w:hAnsi="宋体" w:cs="宋体"/>
                <w:bCs/>
                <w:sz w:val="24"/>
              </w:rPr>
            </w:pPr>
            <w:r>
              <w:rPr>
                <w:rFonts w:hint="eastAsia" w:ascii="宋体" w:hAnsi="宋体" w:cs="宋体"/>
                <w:sz w:val="24"/>
              </w:rPr>
              <w:t>须提供中小企业声明函，格式以采购文件要求为准。</w:t>
            </w:r>
          </w:p>
        </w:tc>
      </w:tr>
      <w:tr w14:paraId="7791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49" w:type="pct"/>
            <w:vAlign w:val="center"/>
          </w:tcPr>
          <w:p w14:paraId="0FCF8A36">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2</w:t>
            </w:r>
          </w:p>
        </w:tc>
        <w:tc>
          <w:tcPr>
            <w:tcW w:w="2197" w:type="pct"/>
            <w:vAlign w:val="center"/>
          </w:tcPr>
          <w:p w14:paraId="27F5EC32">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color w:val="000000"/>
                <w:spacing w:val="0"/>
                <w:kern w:val="2"/>
                <w:sz w:val="24"/>
                <w:szCs w:val="24"/>
              </w:rPr>
              <w:t>具有独立承担民事责任的能力</w:t>
            </w:r>
          </w:p>
        </w:tc>
        <w:tc>
          <w:tcPr>
            <w:tcW w:w="2553" w:type="pct"/>
            <w:vAlign w:val="center"/>
          </w:tcPr>
          <w:p w14:paraId="207304F2">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color w:val="000000"/>
                <w:spacing w:val="0"/>
                <w:kern w:val="2"/>
                <w:sz w:val="24"/>
                <w:szCs w:val="24"/>
              </w:rPr>
              <w:t>法定代表人或者其他组织的营业执照等证明文件，自然人的身份证明；（复印件加盖公章）</w:t>
            </w:r>
          </w:p>
        </w:tc>
      </w:tr>
      <w:tr w14:paraId="6BF9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49" w:type="pct"/>
            <w:vAlign w:val="center"/>
          </w:tcPr>
          <w:p w14:paraId="2269DAA3">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3</w:t>
            </w:r>
          </w:p>
        </w:tc>
        <w:tc>
          <w:tcPr>
            <w:tcW w:w="2197" w:type="pct"/>
            <w:vAlign w:val="center"/>
          </w:tcPr>
          <w:p w14:paraId="51F56EDD">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具有良好的商业信誉和健全的财务会计制度</w:t>
            </w:r>
          </w:p>
        </w:tc>
        <w:tc>
          <w:tcPr>
            <w:tcW w:w="2553" w:type="pct"/>
            <w:vAlign w:val="center"/>
          </w:tcPr>
          <w:p w14:paraId="4FAAF158">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须提供本单位上一年度由会计师事务所出具的财务审计报告，审计报告须包括资产负债表、利润表、现金流量表、所有者权益变动（如有）及其附注（扫描件并加盖本单位电子公章）。如供应商无法提供上年度审计报告，则需提供开标日前三个月内银行出具的资信证明。银行资信证明可提供原件扫描件加盖电子公章。</w:t>
            </w:r>
          </w:p>
        </w:tc>
      </w:tr>
      <w:tr w14:paraId="4867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9" w:type="pct"/>
            <w:vAlign w:val="center"/>
          </w:tcPr>
          <w:p w14:paraId="648AED4C">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4</w:t>
            </w:r>
          </w:p>
        </w:tc>
        <w:tc>
          <w:tcPr>
            <w:tcW w:w="3969" w:type="dxa"/>
            <w:vAlign w:val="center"/>
          </w:tcPr>
          <w:p w14:paraId="40BE5AF2">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具有履行合同所必需的设备和专业技术能力</w:t>
            </w:r>
          </w:p>
        </w:tc>
        <w:tc>
          <w:tcPr>
            <w:tcW w:w="4612" w:type="dxa"/>
            <w:vAlign w:val="center"/>
          </w:tcPr>
          <w:p w14:paraId="61B3C3B0">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须提供具备履行合同所必需的设备和专业技术能力的证明材料或书面声明扫描件。</w:t>
            </w:r>
          </w:p>
        </w:tc>
      </w:tr>
      <w:tr w14:paraId="226D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249" w:type="pct"/>
            <w:vAlign w:val="center"/>
          </w:tcPr>
          <w:p w14:paraId="381A9003">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5</w:t>
            </w:r>
          </w:p>
        </w:tc>
        <w:tc>
          <w:tcPr>
            <w:tcW w:w="2197" w:type="pct"/>
            <w:vAlign w:val="center"/>
          </w:tcPr>
          <w:p w14:paraId="6E13A1B9">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sz w:val="24"/>
              </w:rPr>
              <w:t>有依法缴纳税收和社会保障资金的良好记录</w:t>
            </w:r>
          </w:p>
        </w:tc>
        <w:tc>
          <w:tcPr>
            <w:tcW w:w="2553" w:type="pct"/>
            <w:vAlign w:val="center"/>
          </w:tcPr>
          <w:p w14:paraId="02301FDC">
            <w:pPr>
              <w:pStyle w:val="87"/>
              <w:widowControl w:val="0"/>
              <w:adjustRightInd w:val="0"/>
              <w:jc w:val="both"/>
              <w:textAlignment w:val="baseline"/>
              <w:rPr>
                <w:rFonts w:hint="eastAsia" w:ascii="宋体" w:hAnsi="宋体" w:cs="宋体"/>
                <w:color w:val="000000"/>
                <w:sz w:val="24"/>
                <w:szCs w:val="24"/>
              </w:rPr>
            </w:pPr>
            <w:r>
              <w:rPr>
                <w:rFonts w:hint="eastAsia" w:ascii="宋体" w:hAnsi="宋体" w:cs="宋体"/>
                <w:color w:val="000000"/>
                <w:sz w:val="24"/>
                <w:szCs w:val="24"/>
              </w:rPr>
              <w:t>须提供响应文件递交截止日期之前六个月内任何一期的纳税记录或证明文件扫描件加盖电子公章（依法免税的应提供相应文件说明）</w:t>
            </w:r>
          </w:p>
          <w:p w14:paraId="0B42F2E6">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color w:val="000000"/>
                <w:sz w:val="24"/>
                <w:szCs w:val="24"/>
              </w:rPr>
              <w:t>须提供响应文件递交截止日期之前六个月内为员工缴纳社会保障资金的证明材料扫描件加盖电子公章（任意一个月即可），证明材料是缴纳社会保险的凭据（专用收据或社会保险缴纳清单）（依法不需要缴纳社会保障资金的应提供相应文件说明）</w:t>
            </w:r>
          </w:p>
        </w:tc>
      </w:tr>
      <w:tr w14:paraId="0A93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9" w:type="pct"/>
            <w:vAlign w:val="center"/>
          </w:tcPr>
          <w:p w14:paraId="4BFDF165">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6</w:t>
            </w:r>
          </w:p>
        </w:tc>
        <w:tc>
          <w:tcPr>
            <w:tcW w:w="2197" w:type="pct"/>
            <w:vAlign w:val="center"/>
          </w:tcPr>
          <w:p w14:paraId="68227C14">
            <w:pPr>
              <w:pStyle w:val="87"/>
              <w:widowControl w:val="0"/>
              <w:adjustRightInd w:val="0"/>
              <w:jc w:val="both"/>
              <w:textAlignment w:val="baseline"/>
              <w:rPr>
                <w:rFonts w:hint="eastAsia" w:ascii="宋体" w:hAnsi="宋体" w:cs="宋体"/>
                <w:kern w:val="2"/>
                <w:sz w:val="24"/>
                <w:szCs w:val="24"/>
              </w:rPr>
            </w:pPr>
            <w:r>
              <w:rPr>
                <w:rFonts w:hint="eastAsia" w:ascii="宋体" w:hAnsi="宋体" w:cs="宋体"/>
                <w:bCs w:val="0"/>
                <w:color w:val="000000"/>
                <w:spacing w:val="0"/>
                <w:kern w:val="2"/>
                <w:sz w:val="24"/>
                <w:szCs w:val="24"/>
              </w:rPr>
              <w:t>参加政府采购活动前三年内，在经营活动中没有重大违法记录</w:t>
            </w:r>
          </w:p>
        </w:tc>
        <w:tc>
          <w:tcPr>
            <w:tcW w:w="2553" w:type="pct"/>
            <w:vAlign w:val="center"/>
          </w:tcPr>
          <w:p w14:paraId="0DFEFF42">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须提供声明函扫描件</w:t>
            </w:r>
          </w:p>
        </w:tc>
      </w:tr>
      <w:tr w14:paraId="7A2E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9" w:type="pct"/>
            <w:vAlign w:val="center"/>
          </w:tcPr>
          <w:p w14:paraId="4E3EB9EA">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7</w:t>
            </w:r>
          </w:p>
        </w:tc>
        <w:tc>
          <w:tcPr>
            <w:tcW w:w="2197" w:type="pct"/>
            <w:vAlign w:val="center"/>
          </w:tcPr>
          <w:p w14:paraId="576F23E4">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特定资格要求</w:t>
            </w:r>
          </w:p>
        </w:tc>
        <w:tc>
          <w:tcPr>
            <w:tcW w:w="2553" w:type="pct"/>
            <w:vAlign w:val="center"/>
          </w:tcPr>
          <w:p w14:paraId="5DC0D285">
            <w:pPr>
              <w:widowControl w:val="0"/>
              <w:adjustRightInd w:val="0"/>
              <w:jc w:val="both"/>
              <w:textAlignment w:val="baseline"/>
              <w:rPr>
                <w:rFonts w:hint="eastAsia" w:ascii="宋体" w:hAnsi="宋体" w:cs="宋体"/>
                <w:sz w:val="24"/>
              </w:rPr>
            </w:pPr>
            <w:r>
              <w:rPr>
                <w:rFonts w:hint="eastAsia" w:ascii="宋体" w:hAnsi="宋体" w:cs="宋体"/>
                <w:sz w:val="24"/>
              </w:rPr>
              <w:t>具备工程监理综合资质或房屋建筑工程乙级</w:t>
            </w:r>
            <w:r>
              <w:rPr>
                <w:rFonts w:hint="eastAsia" w:ascii="宋体" w:hAnsi="宋体"/>
                <w:sz w:val="24"/>
              </w:rPr>
              <w:t>及以上</w:t>
            </w:r>
            <w:r>
              <w:rPr>
                <w:rFonts w:hint="eastAsia" w:ascii="宋体" w:hAnsi="宋体" w:cs="宋体"/>
                <w:sz w:val="24"/>
              </w:rPr>
              <w:t>资质和</w:t>
            </w:r>
            <w:r>
              <w:rPr>
                <w:rFonts w:hint="eastAsia" w:ascii="宋体" w:hAnsi="宋体"/>
                <w:sz w:val="24"/>
              </w:rPr>
              <w:t>通信工程监理乙级及以上资质</w:t>
            </w:r>
            <w:r>
              <w:rPr>
                <w:rFonts w:hint="eastAsia" w:ascii="宋体" w:hAnsi="宋体" w:cs="宋体"/>
                <w:sz w:val="24"/>
              </w:rPr>
              <w:t>；</w:t>
            </w:r>
          </w:p>
          <w:p w14:paraId="49591959">
            <w:pPr>
              <w:pStyle w:val="14"/>
              <w:widowControl w:val="0"/>
              <w:adjustRightInd w:val="0"/>
              <w:jc w:val="both"/>
              <w:textAlignment w:val="baseline"/>
              <w:rPr>
                <w:rFonts w:hint="eastAsia" w:ascii="宋体" w:hAnsi="宋体" w:cs="宋体"/>
                <w:color w:val="000000"/>
              </w:rPr>
            </w:pPr>
            <w:r>
              <w:rPr>
                <w:rFonts w:hint="eastAsia" w:ascii="宋体" w:hAnsi="宋体"/>
              </w:rPr>
              <w:t>总监理工程师具有房屋建筑工程注册监理师证书或信息系统监理师证书或通信工程注册监理工程师证书；</w:t>
            </w:r>
          </w:p>
        </w:tc>
      </w:tr>
      <w:tr w14:paraId="37CB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9" w:type="pct"/>
            <w:vAlign w:val="center"/>
          </w:tcPr>
          <w:p w14:paraId="5D6B0BC8">
            <w:pPr>
              <w:pStyle w:val="87"/>
              <w:widowControl w:val="0"/>
              <w:adjustRightInd w:val="0"/>
              <w:jc w:val="center"/>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8</w:t>
            </w:r>
          </w:p>
        </w:tc>
        <w:tc>
          <w:tcPr>
            <w:tcW w:w="2197" w:type="pct"/>
            <w:vAlign w:val="center"/>
          </w:tcPr>
          <w:p w14:paraId="6EAFE9EB">
            <w:pPr>
              <w:pStyle w:val="87"/>
              <w:widowControl w:val="0"/>
              <w:adjustRightInd w:val="0"/>
              <w:jc w:val="both"/>
              <w:textAlignment w:val="baseline"/>
              <w:rPr>
                <w:rFonts w:hint="eastAsia" w:ascii="宋体" w:hAnsi="宋体" w:cs="宋体"/>
                <w:sz w:val="24"/>
                <w:szCs w:val="24"/>
              </w:rPr>
            </w:pPr>
            <w:r>
              <w:rPr>
                <w:rFonts w:hint="eastAsia" w:ascii="宋体" w:hAnsi="宋体" w:cs="宋体"/>
                <w:sz w:val="24"/>
                <w:szCs w:val="24"/>
              </w:rPr>
              <w:t>凡拟参加本次招标项目的供应商须具有良好的信誉，未被“信用中国”（www.creditchina.gov.cn）、中国政府采购网（www.ccgp.gov.cn）列入失信被执行人、重大税收违法失信主体名单、政府采购严重违法失信行为记录名单。</w:t>
            </w:r>
          </w:p>
          <w:p w14:paraId="6DADDCA5">
            <w:pPr>
              <w:pStyle w:val="87"/>
              <w:widowControl w:val="0"/>
              <w:adjustRightInd w:val="0"/>
              <w:jc w:val="both"/>
              <w:textAlignment w:val="baseline"/>
              <w:rPr>
                <w:rFonts w:hint="eastAsia" w:ascii="宋体" w:hAnsi="宋体" w:cs="宋体"/>
                <w:kern w:val="2"/>
                <w:sz w:val="24"/>
                <w:szCs w:val="24"/>
              </w:rPr>
            </w:pPr>
            <w:r>
              <w:rPr>
                <w:rFonts w:hint="eastAsia" w:ascii="宋体" w:hAnsi="宋体" w:cs="宋体"/>
                <w:sz w:val="24"/>
                <w:szCs w:val="24"/>
              </w:rPr>
              <w:t>其他说明：</w:t>
            </w:r>
            <w:r>
              <w:rPr>
                <w:rFonts w:hint="eastAsia" w:ascii="宋体" w:hAnsi="宋体" w:cs="宋体"/>
                <w:kern w:val="2"/>
                <w:sz w:val="24"/>
                <w:szCs w:val="24"/>
              </w:rPr>
              <w:t>（A）与采购人存在利害关系可能影响采购公正性的法人、其他组织或者个人，不得参加本次采购活动。（B）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2553" w:type="pct"/>
            <w:vAlign w:val="center"/>
          </w:tcPr>
          <w:p w14:paraId="41F6A4F2">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sz w:val="24"/>
                <w:szCs w:val="24"/>
              </w:rPr>
              <w:t>凡拟参加本次招标项目的供应商须具有良好的信誉，未被“信用中国”（www.creditchina.gov.cn）、中国政府采购网（www.ccgp.gov.cn）列入失信被执行人、重大税收违法失信主体名单、政府采购严重违法失信行为记录名单。</w:t>
            </w:r>
            <w:r>
              <w:rPr>
                <w:rFonts w:hint="eastAsia" w:ascii="宋体" w:hAnsi="宋体" w:cs="宋体"/>
                <w:kern w:val="2"/>
                <w:sz w:val="24"/>
                <w:szCs w:val="24"/>
              </w:rPr>
              <w:t>；</w:t>
            </w:r>
            <w:r>
              <w:rPr>
                <w:rFonts w:hint="eastAsia" w:ascii="宋体" w:hAnsi="宋体" w:cs="宋体"/>
                <w:bCs w:val="0"/>
                <w:color w:val="000000"/>
                <w:spacing w:val="0"/>
                <w:kern w:val="2"/>
                <w:sz w:val="24"/>
                <w:szCs w:val="24"/>
              </w:rPr>
              <w:t>以采购代理机构在“信用中国”网站及“中国政府采购网”等网站查询结果为准。</w:t>
            </w:r>
          </w:p>
          <w:p w14:paraId="2E22AD42">
            <w:pPr>
              <w:pStyle w:val="87"/>
              <w:widowControl w:val="0"/>
              <w:adjustRightInd w:val="0"/>
              <w:jc w:val="both"/>
              <w:textAlignment w:val="baseline"/>
              <w:rPr>
                <w:rFonts w:hint="eastAsia" w:ascii="宋体" w:hAnsi="宋体" w:cs="宋体"/>
                <w:bCs w:val="0"/>
                <w:color w:val="000000"/>
                <w:spacing w:val="0"/>
                <w:kern w:val="2"/>
                <w:sz w:val="24"/>
                <w:szCs w:val="24"/>
              </w:rPr>
            </w:pPr>
            <w:r>
              <w:rPr>
                <w:rFonts w:hint="eastAsia" w:ascii="宋体" w:hAnsi="宋体" w:cs="宋体"/>
                <w:bCs w:val="0"/>
                <w:color w:val="000000"/>
                <w:spacing w:val="0"/>
                <w:kern w:val="2"/>
                <w:sz w:val="24"/>
                <w:szCs w:val="24"/>
              </w:rPr>
              <w:t>其他说明需附承诺书。</w:t>
            </w:r>
          </w:p>
          <w:p w14:paraId="035D928C">
            <w:pPr>
              <w:pStyle w:val="87"/>
              <w:widowControl w:val="0"/>
              <w:adjustRightInd w:val="0"/>
              <w:jc w:val="both"/>
              <w:textAlignment w:val="baseline"/>
              <w:rPr>
                <w:rFonts w:hint="eastAsia" w:ascii="宋体" w:hAnsi="宋体" w:cs="宋体"/>
                <w:bCs w:val="0"/>
                <w:color w:val="000000"/>
                <w:spacing w:val="0"/>
                <w:kern w:val="2"/>
                <w:sz w:val="24"/>
                <w:szCs w:val="24"/>
              </w:rPr>
            </w:pPr>
          </w:p>
        </w:tc>
      </w:tr>
    </w:tbl>
    <w:p w14:paraId="1FE9B035">
      <w:pPr>
        <w:ind w:firstLine="482" w:firstLineChars="200"/>
        <w:rPr>
          <w:rFonts w:hint="eastAsia" w:ascii="宋体" w:hAnsi="宋体" w:cs="宋体"/>
          <w:b/>
          <w:color w:val="000000"/>
          <w:sz w:val="24"/>
        </w:rPr>
      </w:pPr>
    </w:p>
    <w:p w14:paraId="63199A1F">
      <w:pPr>
        <w:ind w:firstLine="482" w:firstLineChars="200"/>
        <w:rPr>
          <w:rFonts w:hint="eastAsia" w:ascii="宋体" w:hAnsi="宋体" w:cs="宋体"/>
          <w:b/>
          <w:color w:val="000000"/>
          <w:sz w:val="24"/>
        </w:rPr>
      </w:pPr>
      <w:r>
        <w:rPr>
          <w:rFonts w:hint="eastAsia" w:ascii="宋体" w:hAnsi="宋体" w:cs="宋体"/>
          <w:b/>
          <w:color w:val="000000"/>
          <w:sz w:val="24"/>
        </w:rPr>
        <w:t>2.2符合性审查</w:t>
      </w:r>
    </w:p>
    <w:p w14:paraId="683A924B">
      <w:pPr>
        <w:pStyle w:val="50"/>
        <w:rPr>
          <w:rFonts w:hint="eastAsia" w:ascii="宋体" w:hAnsi="宋体" w:cs="宋体"/>
          <w:sz w:val="24"/>
          <w:szCs w:val="24"/>
        </w:rPr>
      </w:pPr>
      <w:r>
        <w:rPr>
          <w:rFonts w:hint="eastAsia" w:ascii="宋体" w:hAnsi="宋体" w:cs="宋体"/>
          <w:b/>
          <w:bCs/>
          <w:sz w:val="24"/>
          <w:szCs w:val="24"/>
        </w:rPr>
        <w:t>评标委员会对以下规定标准进行符合性审查，未通过初符合性审查的响应文件，其响应文件作为无效响应文件，不进入下一步评审</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66"/>
        <w:gridCol w:w="3680"/>
        <w:gridCol w:w="3130"/>
      </w:tblGrid>
      <w:tr w14:paraId="0927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8" w:type="pct"/>
            <w:vAlign w:val="center"/>
          </w:tcPr>
          <w:p w14:paraId="2A0B2AD4">
            <w:pPr>
              <w:pStyle w:val="22"/>
              <w:widowControl w:val="0"/>
              <w:adjustRightInd w:val="0"/>
              <w:ind w:right="-1"/>
              <w:jc w:val="center"/>
              <w:textAlignment w:val="baseline"/>
              <w:rPr>
                <w:rFonts w:hint="eastAsia" w:ascii="宋体" w:hAnsi="宋体" w:cs="宋体"/>
                <w:b/>
                <w:bCs/>
                <w:color w:val="000000"/>
                <w:sz w:val="24"/>
                <w:szCs w:val="24"/>
              </w:rPr>
            </w:pPr>
            <w:r>
              <w:rPr>
                <w:rFonts w:hint="eastAsia" w:ascii="宋体" w:hAnsi="宋体" w:cs="宋体"/>
                <w:b/>
                <w:bCs/>
                <w:color w:val="000000"/>
                <w:sz w:val="24"/>
                <w:szCs w:val="24"/>
              </w:rPr>
              <w:t>序号</w:t>
            </w:r>
          </w:p>
        </w:tc>
        <w:tc>
          <w:tcPr>
            <w:tcW w:w="979" w:type="pct"/>
            <w:vAlign w:val="center"/>
          </w:tcPr>
          <w:p w14:paraId="0976C9DB">
            <w:pPr>
              <w:pStyle w:val="22"/>
              <w:widowControl w:val="0"/>
              <w:adjustRightInd w:val="0"/>
              <w:ind w:right="65" w:rightChars="31"/>
              <w:jc w:val="center"/>
              <w:textAlignment w:val="baseline"/>
              <w:rPr>
                <w:rFonts w:hint="eastAsia" w:ascii="宋体" w:hAnsi="宋体" w:cs="宋体"/>
                <w:b/>
                <w:bCs/>
                <w:color w:val="000000"/>
                <w:sz w:val="24"/>
                <w:szCs w:val="24"/>
              </w:rPr>
            </w:pPr>
            <w:r>
              <w:rPr>
                <w:rFonts w:hint="eastAsia" w:ascii="宋体" w:hAnsi="宋体" w:cs="宋体"/>
                <w:b/>
                <w:bCs/>
                <w:color w:val="000000"/>
                <w:sz w:val="24"/>
                <w:szCs w:val="24"/>
              </w:rPr>
              <w:t>评审因素</w:t>
            </w:r>
          </w:p>
        </w:tc>
        <w:tc>
          <w:tcPr>
            <w:tcW w:w="2038" w:type="pct"/>
            <w:vAlign w:val="center"/>
          </w:tcPr>
          <w:p w14:paraId="2D2A8AEF">
            <w:pPr>
              <w:pStyle w:val="22"/>
              <w:widowControl w:val="0"/>
              <w:adjustRightInd w:val="0"/>
              <w:ind w:right="-73" w:rightChars="-35"/>
              <w:jc w:val="center"/>
              <w:textAlignment w:val="baseline"/>
              <w:rPr>
                <w:rFonts w:hint="eastAsia" w:ascii="宋体" w:hAnsi="宋体" w:cs="宋体"/>
                <w:b/>
                <w:bCs/>
                <w:color w:val="000000"/>
                <w:sz w:val="24"/>
                <w:szCs w:val="24"/>
              </w:rPr>
            </w:pPr>
            <w:r>
              <w:rPr>
                <w:rFonts w:hint="eastAsia" w:ascii="宋体" w:hAnsi="宋体" w:cs="宋体"/>
                <w:b/>
                <w:bCs/>
                <w:color w:val="000000"/>
                <w:sz w:val="24"/>
                <w:szCs w:val="24"/>
              </w:rPr>
              <w:t>审查内容和审查标准</w:t>
            </w:r>
          </w:p>
        </w:tc>
        <w:tc>
          <w:tcPr>
            <w:tcW w:w="1733" w:type="pct"/>
            <w:vAlign w:val="center"/>
          </w:tcPr>
          <w:p w14:paraId="5420CB63">
            <w:pPr>
              <w:pStyle w:val="22"/>
              <w:widowControl w:val="0"/>
              <w:adjustRightInd w:val="0"/>
              <w:ind w:right="-73" w:rightChars="-35"/>
              <w:jc w:val="center"/>
              <w:textAlignment w:val="baseline"/>
              <w:rPr>
                <w:rFonts w:hint="eastAsia" w:ascii="宋体" w:hAnsi="宋体" w:cs="宋体"/>
                <w:b/>
                <w:bCs/>
                <w:color w:val="000000"/>
                <w:sz w:val="24"/>
                <w:szCs w:val="24"/>
              </w:rPr>
            </w:pPr>
            <w:r>
              <w:rPr>
                <w:rFonts w:hint="eastAsia" w:ascii="宋体" w:hAnsi="宋体" w:cs="宋体"/>
                <w:b/>
                <w:bCs/>
                <w:color w:val="000000"/>
                <w:sz w:val="24"/>
                <w:szCs w:val="24"/>
              </w:rPr>
              <w:t>合格标准</w:t>
            </w:r>
          </w:p>
        </w:tc>
      </w:tr>
      <w:tr w14:paraId="2942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48" w:type="pct"/>
            <w:vAlign w:val="center"/>
          </w:tcPr>
          <w:p w14:paraId="4CD7B835">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1</w:t>
            </w:r>
          </w:p>
        </w:tc>
        <w:tc>
          <w:tcPr>
            <w:tcW w:w="979" w:type="pct"/>
            <w:vAlign w:val="center"/>
          </w:tcPr>
          <w:p w14:paraId="0AC2B77A">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投标文件签章</w:t>
            </w:r>
          </w:p>
        </w:tc>
        <w:tc>
          <w:tcPr>
            <w:tcW w:w="2038" w:type="pct"/>
            <w:vAlign w:val="center"/>
          </w:tcPr>
          <w:p w14:paraId="6B057E36">
            <w:pPr>
              <w:pStyle w:val="22"/>
              <w:widowControl w:val="0"/>
              <w:adjustRightInd w:val="0"/>
              <w:ind w:right="-73" w:rightChars="-35"/>
              <w:textAlignment w:val="baseline"/>
              <w:rPr>
                <w:rFonts w:hint="eastAsia" w:ascii="宋体" w:hAnsi="宋体" w:cs="宋体"/>
                <w:color w:val="000000"/>
                <w:sz w:val="24"/>
                <w:szCs w:val="24"/>
              </w:rPr>
            </w:pPr>
            <w:r>
              <w:rPr>
                <w:rFonts w:hint="eastAsia" w:ascii="宋体" w:hAnsi="宋体" w:cs="宋体"/>
                <w:color w:val="000000"/>
                <w:sz w:val="24"/>
                <w:szCs w:val="24"/>
              </w:rPr>
              <w:t>是否按照规定在应由企业法人或法人授权代表在所有规定签字处逐一盖电子章或签字及加盖单位电子公章</w:t>
            </w:r>
          </w:p>
        </w:tc>
        <w:tc>
          <w:tcPr>
            <w:tcW w:w="1733" w:type="pct"/>
            <w:vAlign w:val="center"/>
          </w:tcPr>
          <w:p w14:paraId="4CC7D4FA">
            <w:pPr>
              <w:pStyle w:val="22"/>
              <w:widowControl w:val="0"/>
              <w:adjustRightInd w:val="0"/>
              <w:ind w:right="-73" w:rightChars="-35"/>
              <w:textAlignment w:val="baseline"/>
              <w:rPr>
                <w:rFonts w:hint="eastAsia" w:ascii="宋体" w:hAnsi="宋体" w:cs="宋体"/>
                <w:color w:val="000000"/>
                <w:sz w:val="24"/>
                <w:szCs w:val="24"/>
              </w:rPr>
            </w:pPr>
            <w:r>
              <w:rPr>
                <w:rFonts w:hint="eastAsia" w:ascii="宋体" w:hAnsi="宋体" w:cs="宋体"/>
                <w:color w:val="000000"/>
                <w:sz w:val="24"/>
                <w:szCs w:val="24"/>
              </w:rPr>
              <w:t>按照规定在应由企业法人或法人授权代表在所有规定签字处逐一盖电子章或签字及加盖单位电子公章</w:t>
            </w:r>
          </w:p>
        </w:tc>
      </w:tr>
      <w:tr w14:paraId="20C8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48" w:type="pct"/>
            <w:vAlign w:val="center"/>
          </w:tcPr>
          <w:p w14:paraId="72C1D187">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2</w:t>
            </w:r>
          </w:p>
        </w:tc>
        <w:tc>
          <w:tcPr>
            <w:tcW w:w="979" w:type="pct"/>
            <w:vAlign w:val="center"/>
          </w:tcPr>
          <w:p w14:paraId="109012AB">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报价</w:t>
            </w:r>
          </w:p>
        </w:tc>
        <w:tc>
          <w:tcPr>
            <w:tcW w:w="2038" w:type="pct"/>
            <w:vAlign w:val="center"/>
          </w:tcPr>
          <w:p w14:paraId="0228EFE2">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投标文件是否针对同一项目出现了两个或两个以上的报价；报价是否超过项目预算或最高限价或经评标委员会认定低于成本的</w:t>
            </w:r>
          </w:p>
        </w:tc>
        <w:tc>
          <w:tcPr>
            <w:tcW w:w="1733" w:type="pct"/>
            <w:vAlign w:val="center"/>
          </w:tcPr>
          <w:p w14:paraId="778768B2">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针对同一项目未出现了两个或两个以上的报价；报价未超过项目预算或最高限价，经评标委员会认定报价未低于成本的</w:t>
            </w:r>
          </w:p>
        </w:tc>
      </w:tr>
      <w:tr w14:paraId="6EFF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8" w:type="pct"/>
            <w:vAlign w:val="center"/>
          </w:tcPr>
          <w:p w14:paraId="43F0A011">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3</w:t>
            </w:r>
          </w:p>
        </w:tc>
        <w:tc>
          <w:tcPr>
            <w:tcW w:w="979" w:type="pct"/>
            <w:vAlign w:val="center"/>
          </w:tcPr>
          <w:p w14:paraId="013985F2">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投标文件内容</w:t>
            </w:r>
          </w:p>
        </w:tc>
        <w:tc>
          <w:tcPr>
            <w:tcW w:w="2038" w:type="pct"/>
            <w:vAlign w:val="center"/>
          </w:tcPr>
          <w:p w14:paraId="16D43942">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是否按照招标文件规定的内容填写</w:t>
            </w:r>
          </w:p>
        </w:tc>
        <w:tc>
          <w:tcPr>
            <w:tcW w:w="1733" w:type="pct"/>
            <w:vAlign w:val="center"/>
          </w:tcPr>
          <w:p w14:paraId="66A5501F">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按照招标文件规定的内容填写</w:t>
            </w:r>
          </w:p>
        </w:tc>
      </w:tr>
      <w:tr w14:paraId="2A8C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8" w:type="pct"/>
            <w:vAlign w:val="center"/>
          </w:tcPr>
          <w:p w14:paraId="62CEB8C7">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4</w:t>
            </w:r>
          </w:p>
        </w:tc>
        <w:tc>
          <w:tcPr>
            <w:tcW w:w="979" w:type="pct"/>
            <w:vAlign w:val="center"/>
          </w:tcPr>
          <w:p w14:paraId="2F93A21B">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服务期</w:t>
            </w:r>
          </w:p>
        </w:tc>
        <w:tc>
          <w:tcPr>
            <w:tcW w:w="2038" w:type="pct"/>
            <w:vAlign w:val="center"/>
          </w:tcPr>
          <w:p w14:paraId="4DBEAA4B">
            <w:pPr>
              <w:pStyle w:val="22"/>
              <w:widowControl w:val="0"/>
              <w:adjustRightInd w:val="0"/>
              <w:ind w:right="65" w:rightChars="31"/>
              <w:jc w:val="both"/>
              <w:textAlignment w:val="baseline"/>
              <w:rPr>
                <w:rFonts w:hint="eastAsia" w:ascii="宋体" w:hAnsi="宋体" w:cs="宋体"/>
                <w:color w:val="000000"/>
                <w:sz w:val="24"/>
                <w:szCs w:val="24"/>
              </w:rPr>
            </w:pPr>
            <w:r>
              <w:rPr>
                <w:rFonts w:hint="eastAsia" w:ascii="宋体" w:hAnsi="宋体" w:cs="宋体"/>
                <w:color w:val="000000"/>
                <w:sz w:val="24"/>
                <w:szCs w:val="24"/>
              </w:rPr>
              <w:t>服务期限是否满足招标文件要求</w:t>
            </w:r>
          </w:p>
        </w:tc>
        <w:tc>
          <w:tcPr>
            <w:tcW w:w="1733" w:type="pct"/>
            <w:vAlign w:val="center"/>
          </w:tcPr>
          <w:p w14:paraId="2697D9D6">
            <w:pPr>
              <w:pStyle w:val="22"/>
              <w:widowControl w:val="0"/>
              <w:adjustRightInd w:val="0"/>
              <w:ind w:right="65" w:rightChars="31"/>
              <w:jc w:val="both"/>
              <w:textAlignment w:val="baseline"/>
              <w:rPr>
                <w:rFonts w:hint="eastAsia" w:ascii="宋体" w:hAnsi="宋体" w:cs="宋体"/>
                <w:color w:val="000000"/>
                <w:sz w:val="24"/>
                <w:szCs w:val="24"/>
              </w:rPr>
            </w:pPr>
            <w:r>
              <w:rPr>
                <w:rFonts w:hint="eastAsia" w:ascii="宋体" w:hAnsi="宋体" w:cs="宋体"/>
                <w:color w:val="000000"/>
                <w:sz w:val="24"/>
                <w:szCs w:val="24"/>
              </w:rPr>
              <w:t>服务期限满足招标文件要求</w:t>
            </w:r>
          </w:p>
        </w:tc>
      </w:tr>
      <w:tr w14:paraId="4CD3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8" w:type="pct"/>
            <w:vAlign w:val="center"/>
          </w:tcPr>
          <w:p w14:paraId="727D600D">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5</w:t>
            </w:r>
          </w:p>
        </w:tc>
        <w:tc>
          <w:tcPr>
            <w:tcW w:w="979" w:type="pct"/>
            <w:vAlign w:val="center"/>
          </w:tcPr>
          <w:p w14:paraId="4EDACB0F">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实质性响应</w:t>
            </w:r>
          </w:p>
        </w:tc>
        <w:tc>
          <w:tcPr>
            <w:tcW w:w="2038" w:type="pct"/>
            <w:vAlign w:val="center"/>
          </w:tcPr>
          <w:p w14:paraId="3AACCD80">
            <w:pPr>
              <w:pStyle w:val="22"/>
              <w:widowControl w:val="0"/>
              <w:adjustRightInd w:val="0"/>
              <w:ind w:right="65" w:rightChars="31"/>
              <w:jc w:val="both"/>
              <w:textAlignment w:val="baseline"/>
              <w:rPr>
                <w:rFonts w:hint="eastAsia" w:ascii="宋体" w:hAnsi="宋体" w:cs="宋体"/>
                <w:color w:val="000000"/>
                <w:sz w:val="24"/>
                <w:szCs w:val="24"/>
              </w:rPr>
            </w:pPr>
            <w:r>
              <w:rPr>
                <w:rFonts w:hint="eastAsia" w:ascii="宋体" w:hAnsi="宋体" w:cs="宋体"/>
                <w:color w:val="000000"/>
                <w:sz w:val="24"/>
                <w:szCs w:val="24"/>
              </w:rPr>
              <w:t>投标文件是否有影响服务质量的负偏离</w:t>
            </w:r>
          </w:p>
        </w:tc>
        <w:tc>
          <w:tcPr>
            <w:tcW w:w="1733" w:type="pct"/>
            <w:vAlign w:val="center"/>
          </w:tcPr>
          <w:p w14:paraId="1254732E">
            <w:pPr>
              <w:pStyle w:val="22"/>
              <w:widowControl w:val="0"/>
              <w:adjustRightInd w:val="0"/>
              <w:ind w:right="65" w:rightChars="31"/>
              <w:jc w:val="both"/>
              <w:textAlignment w:val="baseline"/>
              <w:rPr>
                <w:rFonts w:hint="eastAsia" w:ascii="宋体" w:hAnsi="宋体" w:cs="宋体"/>
                <w:color w:val="000000"/>
                <w:sz w:val="24"/>
                <w:szCs w:val="24"/>
              </w:rPr>
            </w:pPr>
            <w:r>
              <w:rPr>
                <w:rFonts w:hint="eastAsia" w:ascii="宋体" w:hAnsi="宋体" w:cs="宋体"/>
                <w:color w:val="000000"/>
                <w:sz w:val="24"/>
                <w:szCs w:val="24"/>
              </w:rPr>
              <w:t>投标文件没有影响服务质量的负偏离</w:t>
            </w:r>
          </w:p>
        </w:tc>
      </w:tr>
      <w:tr w14:paraId="4711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48" w:type="pct"/>
            <w:vAlign w:val="center"/>
          </w:tcPr>
          <w:p w14:paraId="669827D8">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6</w:t>
            </w:r>
          </w:p>
        </w:tc>
        <w:tc>
          <w:tcPr>
            <w:tcW w:w="979" w:type="pct"/>
            <w:vAlign w:val="center"/>
          </w:tcPr>
          <w:p w14:paraId="763D83F9">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投标保证金</w:t>
            </w:r>
          </w:p>
        </w:tc>
        <w:tc>
          <w:tcPr>
            <w:tcW w:w="2038" w:type="pct"/>
            <w:vAlign w:val="center"/>
          </w:tcPr>
          <w:p w14:paraId="30FCE6FC">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是否按招标文件规定递交保证金或保函、保证金金额、保证金形式是否符合招标文件规定的</w:t>
            </w:r>
          </w:p>
        </w:tc>
        <w:tc>
          <w:tcPr>
            <w:tcW w:w="1733" w:type="pct"/>
            <w:vAlign w:val="center"/>
          </w:tcPr>
          <w:p w14:paraId="71363161">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按招标文件规定递交保证金或保函、保证金金额、保证金形式符合招标文件规定的</w:t>
            </w:r>
          </w:p>
        </w:tc>
      </w:tr>
      <w:tr w14:paraId="0C17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8" w:type="pct"/>
            <w:vAlign w:val="center"/>
          </w:tcPr>
          <w:p w14:paraId="7B42CC01">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7</w:t>
            </w:r>
          </w:p>
        </w:tc>
        <w:tc>
          <w:tcPr>
            <w:tcW w:w="979" w:type="pct"/>
            <w:vAlign w:val="center"/>
          </w:tcPr>
          <w:p w14:paraId="4C993C7F">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投标有效期</w:t>
            </w:r>
          </w:p>
        </w:tc>
        <w:tc>
          <w:tcPr>
            <w:tcW w:w="2038" w:type="pct"/>
            <w:vAlign w:val="center"/>
          </w:tcPr>
          <w:p w14:paraId="2DB2B0F9">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投标有效期是否满足招标文件要求</w:t>
            </w:r>
          </w:p>
        </w:tc>
        <w:tc>
          <w:tcPr>
            <w:tcW w:w="1733" w:type="pct"/>
            <w:vAlign w:val="center"/>
          </w:tcPr>
          <w:p w14:paraId="3B3C1C52">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投标有效期满足招标文件要求</w:t>
            </w:r>
          </w:p>
        </w:tc>
      </w:tr>
      <w:tr w14:paraId="6D02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8" w:type="pct"/>
            <w:vAlign w:val="center"/>
          </w:tcPr>
          <w:p w14:paraId="73907997">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8</w:t>
            </w:r>
          </w:p>
        </w:tc>
        <w:tc>
          <w:tcPr>
            <w:tcW w:w="979" w:type="pct"/>
            <w:vAlign w:val="center"/>
          </w:tcPr>
          <w:p w14:paraId="08959490">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附加条件</w:t>
            </w:r>
          </w:p>
        </w:tc>
        <w:tc>
          <w:tcPr>
            <w:tcW w:w="2038" w:type="pct"/>
            <w:vAlign w:val="center"/>
          </w:tcPr>
          <w:p w14:paraId="6D7111C8">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响应文件是否含有采购人不能接受的附加条件的</w:t>
            </w:r>
          </w:p>
        </w:tc>
        <w:tc>
          <w:tcPr>
            <w:tcW w:w="1733" w:type="pct"/>
            <w:vAlign w:val="center"/>
          </w:tcPr>
          <w:p w14:paraId="25C40BB6">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投标文件未含有采购人不能接受的附加条件的</w:t>
            </w:r>
          </w:p>
        </w:tc>
      </w:tr>
      <w:tr w14:paraId="0597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8" w:type="pct"/>
            <w:vAlign w:val="center"/>
          </w:tcPr>
          <w:p w14:paraId="01F51683">
            <w:pPr>
              <w:pStyle w:val="22"/>
              <w:widowControl w:val="0"/>
              <w:adjustRightInd w:val="0"/>
              <w:ind w:right="-71" w:rightChars="-34"/>
              <w:jc w:val="center"/>
              <w:textAlignment w:val="baseline"/>
              <w:rPr>
                <w:rFonts w:hint="eastAsia" w:ascii="宋体" w:hAnsi="宋体" w:cs="宋体"/>
                <w:color w:val="000000"/>
                <w:sz w:val="24"/>
                <w:szCs w:val="24"/>
              </w:rPr>
            </w:pPr>
            <w:r>
              <w:rPr>
                <w:rFonts w:hint="eastAsia" w:ascii="宋体" w:hAnsi="宋体" w:cs="宋体"/>
                <w:color w:val="000000"/>
                <w:sz w:val="24"/>
                <w:szCs w:val="24"/>
              </w:rPr>
              <w:t>9</w:t>
            </w:r>
          </w:p>
        </w:tc>
        <w:tc>
          <w:tcPr>
            <w:tcW w:w="979" w:type="pct"/>
            <w:vAlign w:val="center"/>
          </w:tcPr>
          <w:p w14:paraId="326D5610">
            <w:pPr>
              <w:pStyle w:val="22"/>
              <w:widowControl w:val="0"/>
              <w:adjustRightInd w:val="0"/>
              <w:ind w:right="65" w:rightChars="31"/>
              <w:jc w:val="center"/>
              <w:textAlignment w:val="baseline"/>
              <w:rPr>
                <w:rFonts w:hint="eastAsia" w:ascii="宋体" w:hAnsi="宋体" w:cs="宋体"/>
                <w:color w:val="000000"/>
                <w:sz w:val="24"/>
                <w:szCs w:val="24"/>
              </w:rPr>
            </w:pPr>
            <w:r>
              <w:rPr>
                <w:rFonts w:hint="eastAsia" w:ascii="宋体" w:hAnsi="宋体" w:cs="宋体"/>
                <w:color w:val="000000"/>
                <w:sz w:val="24"/>
                <w:szCs w:val="24"/>
              </w:rPr>
              <w:t>其他</w:t>
            </w:r>
          </w:p>
        </w:tc>
        <w:tc>
          <w:tcPr>
            <w:tcW w:w="2038" w:type="pct"/>
            <w:vAlign w:val="center"/>
          </w:tcPr>
          <w:p w14:paraId="278B7FAE">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投标文件中是否存在违反国家法律、法规和招标文件规定的其他无效情形</w:t>
            </w:r>
          </w:p>
        </w:tc>
        <w:tc>
          <w:tcPr>
            <w:tcW w:w="1733" w:type="pct"/>
            <w:vAlign w:val="center"/>
          </w:tcPr>
          <w:p w14:paraId="2DADF4DA">
            <w:pPr>
              <w:pStyle w:val="22"/>
              <w:widowControl w:val="0"/>
              <w:adjustRightInd w:val="0"/>
              <w:ind w:right="-73" w:rightChars="-35"/>
              <w:jc w:val="both"/>
              <w:textAlignment w:val="baseline"/>
              <w:rPr>
                <w:rFonts w:hint="eastAsia" w:ascii="宋体" w:hAnsi="宋体" w:cs="宋体"/>
                <w:color w:val="000000"/>
                <w:sz w:val="24"/>
                <w:szCs w:val="24"/>
              </w:rPr>
            </w:pPr>
            <w:r>
              <w:rPr>
                <w:rFonts w:hint="eastAsia" w:ascii="宋体" w:hAnsi="宋体" w:cs="宋体"/>
                <w:color w:val="000000"/>
                <w:sz w:val="24"/>
                <w:szCs w:val="24"/>
              </w:rPr>
              <w:t>投标文件中不存在违反国家法律、法规和招标文件规定的其他无效情形</w:t>
            </w:r>
          </w:p>
        </w:tc>
      </w:tr>
    </w:tbl>
    <w:p w14:paraId="123399C6">
      <w:pPr>
        <w:rPr>
          <w:rFonts w:hint="eastAsia" w:ascii="宋体" w:hAnsi="宋体" w:cs="宋体"/>
          <w:sz w:val="24"/>
        </w:rPr>
      </w:pPr>
      <w:r>
        <w:rPr>
          <w:rFonts w:hint="eastAsia" w:ascii="宋体" w:hAnsi="宋体" w:cs="宋体"/>
          <w:sz w:val="24"/>
        </w:rPr>
        <w:t>3.1.4评标委员会判断响应文件的响应性仅基于响应文件本身而不靠外部证据。</w:t>
      </w:r>
    </w:p>
    <w:p w14:paraId="609EFA40">
      <w:pPr>
        <w:rPr>
          <w:rFonts w:hint="eastAsia" w:ascii="宋体" w:hAnsi="宋体" w:cs="宋体"/>
          <w:sz w:val="24"/>
        </w:rPr>
      </w:pPr>
      <w:r>
        <w:rPr>
          <w:rFonts w:hint="eastAsia" w:ascii="宋体" w:hAnsi="宋体" w:cs="宋体"/>
          <w:sz w:val="24"/>
        </w:rPr>
        <w:t>3.1.5评标委员会将拒绝被确定为非实质性响应的投标，供应商不能通过修正或撤销不符之处而使其投标成为实质性响应的投标。</w:t>
      </w:r>
    </w:p>
    <w:p w14:paraId="4DF3415D">
      <w:pPr>
        <w:rPr>
          <w:rFonts w:hint="eastAsia" w:ascii="宋体" w:hAnsi="宋体" w:cs="宋体"/>
          <w:kern w:val="0"/>
          <w:sz w:val="24"/>
        </w:rPr>
      </w:pPr>
      <w:r>
        <w:rPr>
          <w:rFonts w:hint="eastAsia" w:ascii="宋体" w:hAnsi="宋体" w:cs="宋体"/>
          <w:b/>
          <w:bCs/>
          <w:sz w:val="24"/>
        </w:rPr>
        <w:t xml:space="preserve">3.2 </w:t>
      </w:r>
      <w:r>
        <w:rPr>
          <w:rFonts w:hint="eastAsia" w:ascii="宋体" w:hAnsi="宋体" w:cs="宋体"/>
          <w:b/>
          <w:bCs/>
          <w:kern w:val="0"/>
          <w:sz w:val="24"/>
        </w:rPr>
        <w:t>响应文件澄清</w:t>
      </w:r>
    </w:p>
    <w:p w14:paraId="081F7E01">
      <w:pPr>
        <w:rPr>
          <w:rFonts w:hint="eastAsia" w:ascii="宋体" w:hAnsi="宋体" w:cs="宋体"/>
          <w:kern w:val="0"/>
          <w:sz w:val="24"/>
        </w:rPr>
      </w:pPr>
      <w:r>
        <w:rPr>
          <w:rFonts w:hint="eastAsia" w:ascii="宋体" w:hAnsi="宋体" w:cs="宋体"/>
          <w:kern w:val="0"/>
          <w:sz w:val="24"/>
        </w:rPr>
        <w:t>3.2.1评标委员会将允许供应商修改响应文件中不构成重大偏离的微小的、非正规、不一致或不规则地方，但这种允许不能损害或影响任何供应商的相对排序。</w:t>
      </w:r>
    </w:p>
    <w:p w14:paraId="3B31B173">
      <w:pPr>
        <w:rPr>
          <w:rFonts w:hint="eastAsia" w:ascii="宋体" w:hAnsi="宋体" w:cs="宋体"/>
          <w:kern w:val="0"/>
          <w:sz w:val="24"/>
        </w:rPr>
      </w:pPr>
      <w:r>
        <w:rPr>
          <w:rFonts w:hint="eastAsia" w:ascii="宋体" w:hAnsi="宋体" w:cs="宋体"/>
          <w:kern w:val="0"/>
          <w:sz w:val="24"/>
        </w:rPr>
        <w:t>3.2.2对于响应文件中含义不明确、同类问题表述不一致或者有明显文字和计算错误的内容，评标委员会应当以书面形式要求供应商作出必要的澄清、说明或者补正。</w:t>
      </w:r>
    </w:p>
    <w:p w14:paraId="7C714E62">
      <w:pPr>
        <w:rPr>
          <w:rFonts w:hint="eastAsia" w:ascii="宋体" w:hAnsi="宋体" w:cs="宋体"/>
          <w:kern w:val="0"/>
          <w:sz w:val="24"/>
        </w:rPr>
      </w:pPr>
      <w:r>
        <w:rPr>
          <w:rFonts w:hint="eastAsia" w:ascii="宋体" w:hAnsi="宋体" w:cs="宋体"/>
          <w:kern w:val="0"/>
          <w:sz w:val="24"/>
        </w:rPr>
        <w:t>　 供应商的澄清、说明或者补正应当采用书面形式，并加盖公章，或者由法定代表人或其授权的代表签字。供应商的澄清、说明或者补正不得超出响应文件的范围或者改变响应文件的实质性内容。</w:t>
      </w:r>
    </w:p>
    <w:p w14:paraId="21D8FBFE">
      <w:pPr>
        <w:rPr>
          <w:rFonts w:hint="eastAsia" w:ascii="宋体" w:hAnsi="宋体" w:cs="宋体"/>
          <w:kern w:val="0"/>
          <w:sz w:val="24"/>
        </w:rPr>
      </w:pPr>
      <w:r>
        <w:rPr>
          <w:rFonts w:hint="eastAsia" w:ascii="宋体" w:hAnsi="宋体" w:cs="宋体"/>
          <w:kern w:val="0"/>
          <w:sz w:val="24"/>
        </w:rPr>
        <w:t>3.2.3响应文件报价出现前后不一致的，除采购文件另有规定外，按照下列规定修正：</w:t>
      </w:r>
    </w:p>
    <w:p w14:paraId="1C47F274">
      <w:pPr>
        <w:ind w:firstLine="240" w:firstLineChars="100"/>
        <w:rPr>
          <w:rFonts w:hint="eastAsia" w:ascii="宋体" w:hAnsi="宋体" w:cs="宋体"/>
          <w:kern w:val="0"/>
          <w:sz w:val="24"/>
        </w:rPr>
      </w:pPr>
      <w:r>
        <w:rPr>
          <w:rFonts w:hint="eastAsia" w:ascii="宋体" w:hAnsi="宋体" w:cs="宋体"/>
          <w:kern w:val="0"/>
          <w:sz w:val="24"/>
        </w:rPr>
        <w:t>（一）响应文件中开标一览表（报价表）内容与响应文件中相应内容不一致的，以开标一览表（报价表）为准；</w:t>
      </w:r>
    </w:p>
    <w:p w14:paraId="0F2D01F1">
      <w:pPr>
        <w:ind w:firstLine="240" w:firstLineChars="100"/>
        <w:rPr>
          <w:rFonts w:hint="eastAsia" w:ascii="宋体" w:hAnsi="宋体" w:cs="宋体"/>
          <w:kern w:val="0"/>
          <w:sz w:val="24"/>
        </w:rPr>
      </w:pPr>
      <w:r>
        <w:rPr>
          <w:rFonts w:hint="eastAsia" w:ascii="宋体" w:hAnsi="宋体" w:cs="宋体"/>
          <w:kern w:val="0"/>
          <w:sz w:val="24"/>
        </w:rPr>
        <w:t>（二）大写金额和小写金额不一致的，以大写金额为准；</w:t>
      </w:r>
    </w:p>
    <w:p w14:paraId="4CB03E10">
      <w:pPr>
        <w:ind w:firstLine="240" w:firstLineChars="100"/>
        <w:rPr>
          <w:rFonts w:hint="eastAsia" w:ascii="宋体" w:hAnsi="宋体" w:cs="宋体"/>
          <w:kern w:val="0"/>
          <w:sz w:val="24"/>
        </w:rPr>
      </w:pPr>
      <w:r>
        <w:rPr>
          <w:rFonts w:hint="eastAsia" w:ascii="宋体" w:hAnsi="宋体" w:cs="宋体"/>
          <w:kern w:val="0"/>
          <w:sz w:val="24"/>
        </w:rPr>
        <w:t>（三）单价金额小数点或者百分比有明显错位的，以开标一览表的总价为准，并修改单价；</w:t>
      </w:r>
    </w:p>
    <w:p w14:paraId="2049B88B">
      <w:pPr>
        <w:ind w:firstLine="240" w:firstLineChars="100"/>
        <w:rPr>
          <w:rFonts w:hint="eastAsia" w:ascii="宋体" w:hAnsi="宋体" w:cs="宋体"/>
          <w:kern w:val="0"/>
          <w:sz w:val="24"/>
        </w:rPr>
      </w:pPr>
      <w:r>
        <w:rPr>
          <w:rFonts w:hint="eastAsia" w:ascii="宋体" w:hAnsi="宋体" w:cs="宋体"/>
          <w:kern w:val="0"/>
          <w:sz w:val="24"/>
        </w:rPr>
        <w:t>（四）总价金额与按单价汇总金额不一致的，以单价金额计算结果为准。</w:t>
      </w:r>
    </w:p>
    <w:p w14:paraId="47395FF9">
      <w:pPr>
        <w:ind w:firstLine="420"/>
        <w:rPr>
          <w:rFonts w:hint="eastAsia" w:ascii="宋体" w:hAnsi="宋体" w:cs="宋体"/>
          <w:kern w:val="0"/>
          <w:sz w:val="24"/>
        </w:rPr>
      </w:pPr>
      <w:r>
        <w:rPr>
          <w:rFonts w:hint="eastAsia" w:ascii="宋体" w:hAnsi="宋体" w:cs="宋体"/>
          <w:kern w:val="0"/>
          <w:sz w:val="24"/>
        </w:rPr>
        <w:t>同时出现两种以上不一致的，按照前款规定的顺序修正。修正后的报价按照供应商须知第6.5.2条第二款的规定经供应商确认后产生约束力，</w:t>
      </w:r>
      <w:r>
        <w:rPr>
          <w:rFonts w:hint="eastAsia" w:ascii="宋体" w:hAnsi="宋体" w:cs="宋体"/>
          <w:b/>
          <w:kern w:val="0"/>
          <w:sz w:val="24"/>
        </w:rPr>
        <w:t>供应商不确认的，其投标无效。</w:t>
      </w:r>
    </w:p>
    <w:p w14:paraId="7F23A520">
      <w:pPr>
        <w:rPr>
          <w:rFonts w:hint="eastAsia" w:ascii="宋体" w:hAnsi="宋体" w:cs="宋体"/>
          <w:b/>
          <w:sz w:val="24"/>
        </w:rPr>
      </w:pPr>
      <w:r>
        <w:rPr>
          <w:rFonts w:hint="eastAsia" w:ascii="宋体" w:hAnsi="宋体" w:cs="宋体"/>
          <w:kern w:val="0"/>
          <w:sz w:val="24"/>
        </w:rPr>
        <w:t>3.3</w:t>
      </w:r>
      <w:r>
        <w:rPr>
          <w:rFonts w:hint="eastAsia" w:ascii="宋体" w:hAnsi="宋体" w:cs="宋体"/>
          <w:b/>
          <w:sz w:val="24"/>
        </w:rPr>
        <w:t xml:space="preserve"> 比较与评价</w:t>
      </w:r>
    </w:p>
    <w:p w14:paraId="1582BC61">
      <w:pPr>
        <w:rPr>
          <w:rFonts w:hint="eastAsia" w:ascii="宋体" w:hAnsi="宋体" w:cs="宋体"/>
          <w:kern w:val="0"/>
          <w:sz w:val="24"/>
        </w:rPr>
      </w:pPr>
      <w:r>
        <w:rPr>
          <w:rFonts w:hint="eastAsia" w:ascii="宋体" w:hAnsi="宋体" w:cs="宋体"/>
          <w:kern w:val="0"/>
          <w:sz w:val="24"/>
        </w:rPr>
        <w:t>3.3.1</w:t>
      </w:r>
      <w:r>
        <w:rPr>
          <w:rFonts w:hint="eastAsia" w:ascii="宋体" w:hAnsi="宋体" w:cs="宋体"/>
          <w:sz w:val="24"/>
        </w:rPr>
        <w:t>评标委员会</w:t>
      </w:r>
      <w:r>
        <w:rPr>
          <w:rFonts w:hint="eastAsia" w:ascii="宋体" w:hAnsi="宋体" w:cs="宋体"/>
          <w:kern w:val="0"/>
          <w:sz w:val="24"/>
        </w:rPr>
        <w:t>按采购文件中规定的评标方法和标准，对资格性检查和符合性检查合格的响应文件进行商务和技术评估，综合比较与评价。</w:t>
      </w:r>
    </w:p>
    <w:p w14:paraId="5381A38A">
      <w:pPr>
        <w:rPr>
          <w:rFonts w:hint="eastAsia" w:ascii="宋体" w:hAnsi="宋体" w:cs="宋体"/>
          <w:sz w:val="24"/>
        </w:rPr>
      </w:pPr>
      <w:r>
        <w:rPr>
          <w:rFonts w:hint="eastAsia" w:ascii="宋体" w:hAnsi="宋体" w:cs="宋体"/>
          <w:sz w:val="24"/>
        </w:rPr>
        <w:t>3.3.2 评标委员会按本章第2.3款规定的量化因素进行评审。</w:t>
      </w:r>
    </w:p>
    <w:p w14:paraId="2F6BB7DB">
      <w:pPr>
        <w:rPr>
          <w:rFonts w:hint="eastAsia" w:ascii="宋体" w:hAnsi="宋体" w:cs="宋体"/>
          <w:sz w:val="24"/>
        </w:rPr>
      </w:pPr>
      <w:r>
        <w:rPr>
          <w:rFonts w:hint="eastAsia" w:ascii="宋体" w:hAnsi="宋体" w:cs="宋体"/>
          <w:sz w:val="24"/>
        </w:rPr>
        <w:t>（1）按本章评标办法规定的评审因素对商务、技术和投标价格进行评审；</w:t>
      </w:r>
    </w:p>
    <w:p w14:paraId="5279146A">
      <w:pPr>
        <w:rPr>
          <w:rFonts w:hint="eastAsia" w:ascii="宋体" w:hAnsi="宋体" w:cs="宋体"/>
          <w:sz w:val="24"/>
        </w:rPr>
      </w:pPr>
      <w:r>
        <w:rPr>
          <w:rFonts w:hint="eastAsia" w:ascii="宋体" w:hAnsi="宋体" w:cs="宋体"/>
          <w:sz w:val="24"/>
        </w:rPr>
        <w:t>（2）按本章评标办法规定，评标委员会对全部满足采购文件实质性要求前提下，</w:t>
      </w:r>
      <w:r>
        <w:rPr>
          <w:rFonts w:hint="eastAsia" w:ascii="宋体" w:hAnsi="宋体" w:cs="宋体"/>
          <w:kern w:val="0"/>
          <w:sz w:val="24"/>
        </w:rPr>
        <w:t>按照采购文件中规定的各项因素进行综合评审后，按评审后的综合得分由高到低顺序排列，以评标总得分最高的供应商作为中标候选人。得分相同的，按投标报价由低到高顺序排列。得分且投标报价相同的，按技术指标优劣顺序排列</w:t>
      </w:r>
      <w:r>
        <w:rPr>
          <w:rFonts w:hint="eastAsia" w:ascii="宋体" w:hAnsi="宋体" w:cs="宋体"/>
          <w:sz w:val="24"/>
        </w:rPr>
        <w:t>。</w:t>
      </w:r>
    </w:p>
    <w:p w14:paraId="0A1107C5">
      <w:pPr>
        <w:rPr>
          <w:rFonts w:hint="eastAsia" w:ascii="宋体" w:hAnsi="宋体" w:cs="宋体"/>
          <w:sz w:val="24"/>
        </w:rPr>
      </w:pPr>
      <w:r>
        <w:rPr>
          <w:rFonts w:hint="eastAsia" w:ascii="宋体" w:hAnsi="宋体" w:cs="宋体"/>
          <w:sz w:val="24"/>
        </w:rPr>
        <w:t>3.3.3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w:t>
      </w:r>
      <w:r>
        <w:rPr>
          <w:rFonts w:hint="eastAsia" w:ascii="宋体" w:hAnsi="宋体" w:cs="宋体"/>
          <w:b/>
          <w:sz w:val="24"/>
        </w:rPr>
        <w:t>无效投标处理</w:t>
      </w:r>
      <w:r>
        <w:rPr>
          <w:rFonts w:hint="eastAsia" w:ascii="宋体" w:hAnsi="宋体" w:cs="宋体"/>
          <w:sz w:val="24"/>
        </w:rPr>
        <w:t>。</w:t>
      </w:r>
    </w:p>
    <w:p w14:paraId="4A63BB33">
      <w:pPr>
        <w:rPr>
          <w:rFonts w:hint="eastAsia" w:ascii="宋体" w:hAnsi="宋体" w:cs="宋体"/>
          <w:sz w:val="24"/>
        </w:rPr>
      </w:pPr>
      <w:r>
        <w:rPr>
          <w:rFonts w:hint="eastAsia" w:ascii="宋体" w:hAnsi="宋体" w:cs="宋体"/>
          <w:sz w:val="24"/>
        </w:rPr>
        <w:t>3.3.4经评审后，若出现符合本须知规定的所有投标条件的供应商不足三家情形的，本次招标终止，除采购任务取消情形外，招标单位将依法重新组织招标或者采取其他方式采购。</w:t>
      </w:r>
    </w:p>
    <w:p w14:paraId="6F117AED">
      <w:pPr>
        <w:rPr>
          <w:rFonts w:hint="eastAsia" w:ascii="宋体" w:hAnsi="宋体" w:cs="宋体"/>
          <w:b/>
          <w:sz w:val="24"/>
        </w:rPr>
      </w:pPr>
      <w:r>
        <w:rPr>
          <w:rFonts w:hint="eastAsia" w:ascii="宋体" w:hAnsi="宋体" w:cs="宋体"/>
          <w:b/>
          <w:sz w:val="24"/>
        </w:rPr>
        <w:t>3.4评分标准与分值构成</w:t>
      </w:r>
    </w:p>
    <w:p w14:paraId="0CA5C96A">
      <w:pPr>
        <w:adjustRightInd w:val="0"/>
        <w:snapToGrid w:val="0"/>
        <w:ind w:firstLine="480" w:firstLineChars="200"/>
        <w:rPr>
          <w:rFonts w:hint="eastAsia" w:ascii="宋体" w:hAnsi="宋体" w:cs="宋体"/>
          <w:b/>
          <w:bCs/>
          <w:sz w:val="24"/>
        </w:rPr>
      </w:pPr>
      <w:r>
        <w:rPr>
          <w:rFonts w:hint="eastAsia" w:ascii="宋体" w:hAnsi="宋体" w:cs="宋体"/>
          <w:sz w:val="24"/>
        </w:rPr>
        <w:t>综合评分法将按商务技术和投标价格两个部分分别进行评分，商务技术部分满分为90分，价格部分满分为10分，合计总分100分。</w:t>
      </w:r>
    </w:p>
    <w:p w14:paraId="4F2CAFF6">
      <w:pPr>
        <w:adjustRightInd w:val="0"/>
        <w:snapToGrid w:val="0"/>
        <w:ind w:right="313"/>
        <w:rPr>
          <w:rFonts w:hint="eastAsia" w:ascii="宋体" w:hAnsi="宋体" w:cs="宋体"/>
          <w:b/>
          <w:bCs/>
          <w:sz w:val="24"/>
        </w:rPr>
      </w:pPr>
      <w:r>
        <w:rPr>
          <w:rFonts w:hint="eastAsia" w:ascii="宋体" w:hAnsi="宋体" w:cs="宋体"/>
          <w:b/>
          <w:bCs/>
          <w:sz w:val="24"/>
        </w:rPr>
        <w:t>3.4.1商务技术部分</w:t>
      </w:r>
    </w:p>
    <w:p w14:paraId="00676303">
      <w:pPr>
        <w:adjustRightInd w:val="0"/>
        <w:snapToGrid w:val="0"/>
        <w:ind w:right="313"/>
        <w:rPr>
          <w:rFonts w:hint="eastAsia" w:ascii="宋体" w:hAnsi="宋体" w:cs="宋体"/>
          <w:sz w:val="24"/>
        </w:rPr>
      </w:pPr>
      <w:r>
        <w:rPr>
          <w:rFonts w:hint="eastAsia" w:ascii="宋体" w:hAnsi="宋体" w:cs="宋体"/>
          <w:b/>
          <w:bCs/>
          <w:sz w:val="24"/>
        </w:rPr>
        <w:t>商务技术部分评分标准（90分）</w:t>
      </w:r>
    </w:p>
    <w:tbl>
      <w:tblPr>
        <w:tblStyle w:val="32"/>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55"/>
        <w:gridCol w:w="7750"/>
      </w:tblGrid>
      <w:tr w14:paraId="70C0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97" w:type="dxa"/>
            <w:tcBorders>
              <w:bottom w:val="single" w:color="auto" w:sz="4" w:space="0"/>
            </w:tcBorders>
            <w:vAlign w:val="center"/>
          </w:tcPr>
          <w:p w14:paraId="194E1A1F">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评审项目</w:t>
            </w:r>
          </w:p>
        </w:tc>
        <w:tc>
          <w:tcPr>
            <w:tcW w:w="555" w:type="dxa"/>
            <w:tcBorders>
              <w:bottom w:val="single" w:color="auto" w:sz="4" w:space="0"/>
            </w:tcBorders>
            <w:vAlign w:val="center"/>
          </w:tcPr>
          <w:p w14:paraId="644CDB4C">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标准分</w:t>
            </w:r>
          </w:p>
        </w:tc>
        <w:tc>
          <w:tcPr>
            <w:tcW w:w="7750" w:type="dxa"/>
            <w:tcBorders>
              <w:bottom w:val="single" w:color="auto" w:sz="4" w:space="0"/>
            </w:tcBorders>
            <w:vAlign w:val="center"/>
          </w:tcPr>
          <w:p w14:paraId="7385D81E">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评审内容</w:t>
            </w:r>
          </w:p>
        </w:tc>
      </w:tr>
      <w:tr w14:paraId="43A7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1097" w:type="dxa"/>
            <w:vAlign w:val="center"/>
          </w:tcPr>
          <w:p w14:paraId="31F79EAE">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投标供应商类似业绩</w:t>
            </w:r>
          </w:p>
        </w:tc>
        <w:tc>
          <w:tcPr>
            <w:tcW w:w="555" w:type="dxa"/>
            <w:vAlign w:val="center"/>
          </w:tcPr>
          <w:p w14:paraId="038F57D9">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8</w:t>
            </w:r>
          </w:p>
        </w:tc>
        <w:tc>
          <w:tcPr>
            <w:tcW w:w="7750" w:type="dxa"/>
            <w:vAlign w:val="center"/>
          </w:tcPr>
          <w:p w14:paraId="2D29E31E">
            <w:pPr>
              <w:pStyle w:val="22"/>
              <w:widowControl w:val="0"/>
              <w:adjustRightInd w:val="0"/>
              <w:ind w:right="-31" w:rightChars="-15"/>
              <w:textAlignment w:val="baseline"/>
              <w:rPr>
                <w:rFonts w:hint="eastAsia" w:ascii="宋体" w:hAnsi="宋体" w:cs="宋体"/>
                <w:sz w:val="24"/>
                <w:szCs w:val="24"/>
              </w:rPr>
            </w:pPr>
            <w:r>
              <w:rPr>
                <w:rFonts w:hint="eastAsia" w:ascii="宋体" w:hAnsi="宋体" w:cs="宋体"/>
                <w:sz w:val="24"/>
                <w:szCs w:val="24"/>
              </w:rPr>
              <w:t>投标供应商（2022年1月1日-至今）独立承担的类似房屋建筑或信息化项目业绩，每提供一项得1分，该项满分4分。</w:t>
            </w:r>
          </w:p>
          <w:p w14:paraId="3AFAD415">
            <w:pPr>
              <w:pStyle w:val="22"/>
              <w:widowControl w:val="0"/>
              <w:adjustRightInd w:val="0"/>
              <w:ind w:right="-31" w:rightChars="-15"/>
              <w:textAlignment w:val="baseline"/>
              <w:rPr>
                <w:rFonts w:hint="eastAsia" w:ascii="宋体" w:hAnsi="宋体" w:cs="宋体"/>
                <w:color w:val="000000"/>
                <w:sz w:val="24"/>
                <w:szCs w:val="24"/>
              </w:rPr>
            </w:pPr>
            <w:r>
              <w:rPr>
                <w:rFonts w:hint="eastAsia" w:ascii="宋体" w:hAnsi="宋体" w:cs="宋体"/>
                <w:sz w:val="24"/>
                <w:szCs w:val="24"/>
              </w:rPr>
              <w:t>项目负责人经验，提供近三年(2022年1月1日至今)类</w:t>
            </w:r>
            <w:r>
              <w:rPr>
                <w:rFonts w:hint="eastAsia" w:ascii="宋体" w:hAnsi="宋体" w:cs="宋体"/>
                <w:spacing w:val="3"/>
                <w:sz w:val="24"/>
                <w:szCs w:val="24"/>
              </w:rPr>
              <w:t>似房屋建筑或</w:t>
            </w:r>
            <w:r>
              <w:rPr>
                <w:rFonts w:hint="eastAsia" w:ascii="宋体" w:hAnsi="宋体" w:cs="宋体"/>
                <w:sz w:val="24"/>
                <w:szCs w:val="24"/>
              </w:rPr>
              <w:t>信息化</w:t>
            </w:r>
            <w:r>
              <w:rPr>
                <w:rFonts w:hint="eastAsia" w:ascii="宋体" w:hAnsi="宋体" w:cs="宋体"/>
                <w:spacing w:val="3"/>
                <w:sz w:val="24"/>
                <w:szCs w:val="24"/>
              </w:rPr>
              <w:t>项目业绩得2分，最多4分。注：①业绩证明</w:t>
            </w:r>
            <w:r>
              <w:rPr>
                <w:rFonts w:hint="eastAsia" w:ascii="宋体" w:hAnsi="宋体" w:cs="宋体"/>
                <w:spacing w:val="2"/>
                <w:sz w:val="24"/>
                <w:szCs w:val="24"/>
              </w:rPr>
              <w:t>材料须提</w:t>
            </w:r>
            <w:r>
              <w:rPr>
                <w:rFonts w:hint="eastAsia" w:ascii="宋体" w:hAnsi="宋体" w:cs="宋体"/>
                <w:spacing w:val="5"/>
                <w:sz w:val="24"/>
                <w:szCs w:val="24"/>
              </w:rPr>
              <w:t>供合同，合同需体现项目名称、服务内容、金额页、双方</w:t>
            </w:r>
            <w:r>
              <w:rPr>
                <w:rFonts w:hint="eastAsia" w:ascii="宋体" w:hAnsi="宋体" w:cs="宋体"/>
                <w:spacing w:val="6"/>
                <w:sz w:val="24"/>
                <w:szCs w:val="24"/>
              </w:rPr>
              <w:t>盖章页、签订时间及项目负责人姓名，</w:t>
            </w:r>
            <w:r>
              <w:rPr>
                <w:rFonts w:hint="eastAsia" w:ascii="宋体" w:hAnsi="宋体" w:cs="宋体"/>
                <w:sz w:val="24"/>
                <w:szCs w:val="24"/>
              </w:rPr>
              <w:t>未提供相关证明材料或提供证明材料不全者不得分。</w:t>
            </w:r>
          </w:p>
        </w:tc>
      </w:tr>
      <w:tr w14:paraId="7F8C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1097" w:type="dxa"/>
            <w:vAlign w:val="center"/>
          </w:tcPr>
          <w:p w14:paraId="7B172EEC">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企业实力</w:t>
            </w:r>
          </w:p>
        </w:tc>
        <w:tc>
          <w:tcPr>
            <w:tcW w:w="555" w:type="dxa"/>
            <w:vAlign w:val="center"/>
          </w:tcPr>
          <w:p w14:paraId="43701E0D">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6</w:t>
            </w:r>
          </w:p>
        </w:tc>
        <w:tc>
          <w:tcPr>
            <w:tcW w:w="7750" w:type="dxa"/>
            <w:vAlign w:val="center"/>
          </w:tcPr>
          <w:p w14:paraId="3F3DBE8D">
            <w:pPr>
              <w:pStyle w:val="22"/>
              <w:widowControl w:val="0"/>
              <w:adjustRightInd w:val="0"/>
              <w:ind w:right="-31" w:rightChars="-15"/>
              <w:textAlignment w:val="baseline"/>
              <w:rPr>
                <w:rFonts w:hint="eastAsia" w:ascii="宋体" w:hAnsi="宋体" w:cs="宋体"/>
                <w:color w:val="000000"/>
                <w:sz w:val="24"/>
                <w:szCs w:val="24"/>
              </w:rPr>
            </w:pPr>
            <w:r>
              <w:rPr>
                <w:rFonts w:hint="eastAsia" w:ascii="宋体" w:hAnsi="宋体" w:cs="宋体"/>
                <w:color w:val="000000"/>
                <w:sz w:val="24"/>
                <w:szCs w:val="24"/>
              </w:rPr>
              <w:t>投标人具有质量管理体系认证(ISO900</w:t>
            </w:r>
            <w:r>
              <w:rPr>
                <w:rFonts w:hint="eastAsia" w:ascii="宋体" w:hAnsi="宋体" w:cs="宋体"/>
                <w:color w:val="000000"/>
                <w:sz w:val="24"/>
                <w:szCs w:val="24"/>
                <w:highlight w:val="none"/>
              </w:rPr>
              <w:t>1)、信息安全管理体系认证(ISO27001)、信息技术服务管理体系认证(ISO20000),</w:t>
            </w:r>
            <w:r>
              <w:rPr>
                <w:rFonts w:hint="eastAsia" w:ascii="宋体" w:hAnsi="宋体" w:cs="宋体"/>
                <w:color w:val="000000"/>
                <w:sz w:val="24"/>
                <w:szCs w:val="24"/>
              </w:rPr>
              <w:t>每提供一个得2分，本项最多得6分。</w:t>
            </w:r>
          </w:p>
          <w:p w14:paraId="3EC3FB4B">
            <w:pPr>
              <w:pStyle w:val="22"/>
              <w:widowControl w:val="0"/>
              <w:adjustRightInd w:val="0"/>
              <w:ind w:right="-31" w:rightChars="-15"/>
              <w:textAlignment w:val="baseline"/>
              <w:rPr>
                <w:rFonts w:hint="eastAsia" w:ascii="宋体" w:hAnsi="宋体" w:cs="宋体"/>
                <w:color w:val="000000"/>
                <w:sz w:val="24"/>
                <w:szCs w:val="24"/>
              </w:rPr>
            </w:pPr>
            <w:r>
              <w:rPr>
                <w:rFonts w:hint="eastAsia" w:ascii="宋体" w:hAnsi="宋体" w:cs="宋体"/>
                <w:color w:val="000000"/>
                <w:sz w:val="24"/>
                <w:szCs w:val="24"/>
              </w:rPr>
              <w:t>注：以上均需提供相关认证证书复印件并加盖投标人公章，未提供或不符合要求不得分。</w:t>
            </w:r>
          </w:p>
        </w:tc>
      </w:tr>
      <w:tr w14:paraId="55E6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097" w:type="dxa"/>
            <w:vAlign w:val="center"/>
          </w:tcPr>
          <w:p w14:paraId="424458DB">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项目平台管理</w:t>
            </w:r>
          </w:p>
        </w:tc>
        <w:tc>
          <w:tcPr>
            <w:tcW w:w="555" w:type="dxa"/>
            <w:vAlign w:val="center"/>
          </w:tcPr>
          <w:p w14:paraId="5311A14C">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4</w:t>
            </w:r>
          </w:p>
        </w:tc>
        <w:tc>
          <w:tcPr>
            <w:tcW w:w="7750" w:type="dxa"/>
            <w:vAlign w:val="center"/>
          </w:tcPr>
          <w:p w14:paraId="6665D558">
            <w:pPr>
              <w:pStyle w:val="22"/>
              <w:widowControl w:val="0"/>
              <w:adjustRightInd w:val="0"/>
              <w:ind w:right="-31" w:rightChars="-15"/>
              <w:textAlignment w:val="baseline"/>
              <w:rPr>
                <w:rFonts w:hint="eastAsia" w:ascii="宋体" w:hAnsi="宋体" w:cs="宋体"/>
                <w:sz w:val="24"/>
                <w:szCs w:val="24"/>
              </w:rPr>
            </w:pPr>
            <w:r>
              <w:rPr>
                <w:rFonts w:hint="eastAsia" w:ascii="宋体" w:hAnsi="宋体" w:cs="宋体"/>
                <w:sz w:val="24"/>
                <w:szCs w:val="24"/>
              </w:rPr>
              <w:t>能够提供供应商自有信息化的项目管理平台，在业主方安装，对项目的进度、问题、风险和文档进行动态管理。</w:t>
            </w:r>
          </w:p>
          <w:p w14:paraId="6BB69105">
            <w:pPr>
              <w:pStyle w:val="22"/>
              <w:widowControl w:val="0"/>
              <w:adjustRightInd w:val="0"/>
              <w:ind w:right="-31" w:rightChars="-15"/>
              <w:textAlignment w:val="baseline"/>
              <w:rPr>
                <w:rFonts w:hint="eastAsia" w:ascii="宋体" w:hAnsi="宋体" w:cs="宋体"/>
                <w:color w:val="000000"/>
                <w:sz w:val="24"/>
                <w:szCs w:val="24"/>
              </w:rPr>
            </w:pPr>
            <w:r>
              <w:rPr>
                <w:rFonts w:hint="eastAsia" w:ascii="宋体" w:hAnsi="宋体" w:cs="宋体"/>
                <w:sz w:val="24"/>
                <w:szCs w:val="24"/>
              </w:rPr>
              <w:t>提供平台截图和说明内容有：1.项目基本信息（项目名称、合同额、项目负责人）2.项目实施计划（监理流程）3.图文资料（监理文档、图片资料）4.问题风险管理（监理过程中总结的相关问题）得4分</w:t>
            </w:r>
          </w:p>
        </w:tc>
      </w:tr>
      <w:tr w14:paraId="5F61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jc w:val="center"/>
        </w:trPr>
        <w:tc>
          <w:tcPr>
            <w:tcW w:w="1097" w:type="dxa"/>
            <w:vAlign w:val="center"/>
          </w:tcPr>
          <w:p w14:paraId="00A130A5">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拟派项目总监理工程师</w:t>
            </w:r>
          </w:p>
        </w:tc>
        <w:tc>
          <w:tcPr>
            <w:tcW w:w="555" w:type="dxa"/>
            <w:vAlign w:val="center"/>
          </w:tcPr>
          <w:p w14:paraId="42D3D10E">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10</w:t>
            </w:r>
          </w:p>
        </w:tc>
        <w:tc>
          <w:tcPr>
            <w:tcW w:w="7750" w:type="dxa"/>
            <w:vAlign w:val="center"/>
          </w:tcPr>
          <w:p w14:paraId="5307D8E2">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拟派项目总监理工程师具有：</w:t>
            </w:r>
          </w:p>
          <w:p w14:paraId="6F183063">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具有高级专业技术资格评审委员会颁发的高级职称证书，得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02E36E81">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具有信息系统项目管理师证书，得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0E054173">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具有信息系统监理师资格证书，得2分。</w:t>
            </w:r>
          </w:p>
          <w:p w14:paraId="4A875486">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具有咨询工程师（投资）登记证书，得2分。</w:t>
            </w:r>
          </w:p>
          <w:p w14:paraId="732EA44C">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注：以上证书需提供复印件，并提供开标之日前6个月内任意1个月该人员在投标单位的社保缴费证明复印件。未提供或提供不全不得分。</w:t>
            </w:r>
          </w:p>
        </w:tc>
      </w:tr>
      <w:tr w14:paraId="63D8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97" w:type="dxa"/>
            <w:vAlign w:val="center"/>
          </w:tcPr>
          <w:p w14:paraId="482E2932">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拟派项目总监理工程师代表</w:t>
            </w:r>
          </w:p>
        </w:tc>
        <w:tc>
          <w:tcPr>
            <w:tcW w:w="555" w:type="dxa"/>
            <w:vAlign w:val="center"/>
          </w:tcPr>
          <w:p w14:paraId="2DEF3463">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4</w:t>
            </w:r>
          </w:p>
        </w:tc>
        <w:tc>
          <w:tcPr>
            <w:tcW w:w="7750" w:type="dxa"/>
            <w:vAlign w:val="center"/>
          </w:tcPr>
          <w:p w14:paraId="4CB98FE8">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拟派项目总监理工程师代表具有：</w:t>
            </w:r>
          </w:p>
          <w:p w14:paraId="4B6602D2">
            <w:pPr>
              <w:pStyle w:val="22"/>
              <w:widowControl w:val="0"/>
              <w:adjustRightInd w:val="0"/>
              <w:ind w:right="-31" w:rightChars="-15"/>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具有</w:t>
            </w:r>
            <w:r>
              <w:rPr>
                <w:rFonts w:hint="eastAsia" w:ascii="宋体" w:hAnsi="宋体" w:cs="宋体"/>
                <w:color w:val="auto"/>
                <w:sz w:val="24"/>
                <w:szCs w:val="24"/>
                <w:highlight w:val="none"/>
                <w:lang w:val="en-US" w:eastAsia="zh-CN"/>
              </w:rPr>
              <w:t>中级及以上职称</w:t>
            </w:r>
            <w:r>
              <w:rPr>
                <w:rFonts w:hint="eastAsia" w:ascii="宋体" w:hAnsi="宋体" w:cs="宋体"/>
                <w:color w:val="auto"/>
                <w:sz w:val="24"/>
                <w:szCs w:val="24"/>
                <w:highlight w:val="none"/>
              </w:rPr>
              <w:t>证书，得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05D29E3D">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具有信息系统监理师资格证书，得1分。</w:t>
            </w:r>
          </w:p>
          <w:p w14:paraId="7C0D2D4C">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具有</w:t>
            </w:r>
            <w:r>
              <w:rPr>
                <w:rFonts w:hint="eastAsia" w:ascii="宋体" w:hAnsi="宋体" w:cs="宋体"/>
                <w:color w:val="auto"/>
                <w:sz w:val="24"/>
                <w:szCs w:val="24"/>
                <w:lang w:val="en-US" w:eastAsia="zh-CN"/>
              </w:rPr>
              <w:t>注册监理工程师证书（</w:t>
            </w:r>
            <w:r>
              <w:rPr>
                <w:rFonts w:hint="eastAsia" w:ascii="宋体" w:hAnsi="宋体" w:cs="宋体"/>
                <w:color w:val="auto"/>
                <w:sz w:val="24"/>
                <w:szCs w:val="24"/>
              </w:rPr>
              <w:t>机电安装</w:t>
            </w:r>
            <w:r>
              <w:rPr>
                <w:rFonts w:hint="eastAsia" w:ascii="宋体" w:hAnsi="宋体" w:cs="宋体"/>
                <w:color w:val="auto"/>
                <w:sz w:val="24"/>
                <w:szCs w:val="24"/>
                <w:lang w:val="en-US" w:eastAsia="zh-CN"/>
              </w:rPr>
              <w:t>专业）</w:t>
            </w:r>
            <w:r>
              <w:rPr>
                <w:rFonts w:hint="eastAsia" w:ascii="宋体" w:hAnsi="宋体" w:cs="宋体"/>
                <w:color w:val="auto"/>
                <w:sz w:val="24"/>
                <w:szCs w:val="24"/>
              </w:rPr>
              <w:t>，得1分。</w:t>
            </w:r>
          </w:p>
          <w:p w14:paraId="3CF37B95">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注：以上证书需提供复印件，并提供开标之日前6个月内任意1个月该人员在投标单位的社保缴费证明复印件。未提供或提供不全不得分。</w:t>
            </w:r>
          </w:p>
        </w:tc>
      </w:tr>
      <w:tr w14:paraId="0BA1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2" w:hRule="atLeast"/>
          <w:jc w:val="center"/>
        </w:trPr>
        <w:tc>
          <w:tcPr>
            <w:tcW w:w="1097" w:type="dxa"/>
            <w:vAlign w:val="center"/>
          </w:tcPr>
          <w:p w14:paraId="0F96BF4E">
            <w:pPr>
              <w:widowControl w:val="0"/>
              <w:adjustRightInd w:val="0"/>
              <w:snapToGrid w:val="0"/>
              <w:jc w:val="both"/>
              <w:textAlignment w:val="baseline"/>
              <w:rPr>
                <w:rFonts w:hint="eastAsia" w:ascii="宋体" w:hAnsi="宋体" w:cs="宋体"/>
                <w:b/>
                <w:kern w:val="0"/>
                <w:sz w:val="24"/>
              </w:rPr>
            </w:pPr>
            <w:r>
              <w:rPr>
                <w:rFonts w:hint="eastAsia" w:ascii="宋体" w:hAnsi="宋体" w:cs="宋体"/>
                <w:b/>
                <w:kern w:val="0"/>
                <w:sz w:val="24"/>
              </w:rPr>
              <w:t>拟派项目团队其他人员能力</w:t>
            </w:r>
          </w:p>
        </w:tc>
        <w:tc>
          <w:tcPr>
            <w:tcW w:w="555" w:type="dxa"/>
            <w:vAlign w:val="center"/>
          </w:tcPr>
          <w:p w14:paraId="2535DB7E">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8</w:t>
            </w:r>
          </w:p>
        </w:tc>
        <w:tc>
          <w:tcPr>
            <w:tcW w:w="7750" w:type="dxa"/>
          </w:tcPr>
          <w:p w14:paraId="56654F3B">
            <w:pPr>
              <w:pStyle w:val="22"/>
              <w:widowControl w:val="0"/>
              <w:numPr>
                <w:ilvl w:val="0"/>
                <w:numId w:val="7"/>
              </w:numPr>
              <w:adjustRightInd w:val="0"/>
              <w:ind w:right="-31" w:rightChars="-15"/>
              <w:textAlignment w:val="baseline"/>
              <w:rPr>
                <w:rFonts w:hint="eastAsia" w:ascii="宋体" w:hAnsi="宋体" w:cs="宋体"/>
                <w:color w:val="auto"/>
                <w:sz w:val="24"/>
                <w:szCs w:val="24"/>
                <w:lang w:val="en-US" w:eastAsia="zh-CN"/>
              </w:rPr>
            </w:pPr>
            <w:r>
              <w:rPr>
                <w:rFonts w:hint="eastAsia" w:ascii="宋体" w:hAnsi="宋体" w:cs="宋体"/>
                <w:color w:val="auto"/>
                <w:sz w:val="24"/>
                <w:szCs w:val="24"/>
              </w:rPr>
              <w:t>拟派项目团队其他人员具有信息系统监理工程师证书</w:t>
            </w:r>
            <w:r>
              <w:rPr>
                <w:rFonts w:hint="eastAsia" w:ascii="宋体" w:hAnsi="宋体" w:cs="宋体"/>
                <w:color w:val="auto"/>
                <w:sz w:val="24"/>
                <w:szCs w:val="24"/>
                <w:lang w:val="en-US" w:eastAsia="zh-CN"/>
              </w:rPr>
              <w:t>和注册通信工程监理师证书得2分；</w:t>
            </w:r>
          </w:p>
          <w:p w14:paraId="713586CA">
            <w:pPr>
              <w:pStyle w:val="22"/>
              <w:widowControl w:val="0"/>
              <w:numPr>
                <w:ilvl w:val="0"/>
                <w:numId w:val="7"/>
              </w:numPr>
              <w:adjustRightInd w:val="0"/>
              <w:ind w:right="-31" w:rightChars="-15"/>
              <w:textAlignment w:val="baseline"/>
              <w:rPr>
                <w:rFonts w:hint="eastAsia" w:ascii="宋体" w:hAnsi="宋体" w:cs="宋体"/>
                <w:color w:val="auto"/>
                <w:sz w:val="24"/>
                <w:szCs w:val="24"/>
                <w:lang w:val="en-US" w:eastAsia="zh-CN"/>
              </w:rPr>
            </w:pPr>
            <w:r>
              <w:rPr>
                <w:rFonts w:hint="eastAsia" w:ascii="宋体" w:hAnsi="宋体" w:cs="宋体"/>
                <w:color w:val="auto"/>
                <w:sz w:val="24"/>
                <w:szCs w:val="24"/>
              </w:rPr>
              <w:t>拟派项目团队其他人员具有信息系统监理工程师证书</w:t>
            </w:r>
            <w:r>
              <w:rPr>
                <w:rFonts w:hint="eastAsia" w:ascii="宋体" w:hAnsi="宋体" w:cs="宋体"/>
                <w:color w:val="auto"/>
                <w:sz w:val="24"/>
                <w:szCs w:val="24"/>
                <w:lang w:val="en-US" w:eastAsia="zh-CN"/>
              </w:rPr>
              <w:t>和</w:t>
            </w:r>
            <w:r>
              <w:rPr>
                <w:rFonts w:hint="eastAsia" w:ascii="宋体" w:hAnsi="宋体" w:cs="宋体"/>
                <w:color w:val="auto"/>
                <w:sz w:val="24"/>
                <w:szCs w:val="24"/>
              </w:rPr>
              <w:t>信息系统项目管理师证书</w:t>
            </w:r>
            <w:r>
              <w:rPr>
                <w:rFonts w:hint="eastAsia" w:ascii="宋体" w:hAnsi="宋体" w:cs="宋体"/>
                <w:color w:val="auto"/>
                <w:sz w:val="24"/>
                <w:szCs w:val="24"/>
                <w:lang w:val="en-US" w:eastAsia="zh-CN"/>
              </w:rPr>
              <w:t>得2分；</w:t>
            </w:r>
          </w:p>
          <w:p w14:paraId="641573B6">
            <w:pPr>
              <w:pStyle w:val="22"/>
              <w:widowControl w:val="0"/>
              <w:numPr>
                <w:ilvl w:val="0"/>
                <w:numId w:val="7"/>
              </w:numPr>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拟派项目团队其他人员具有信息系统监理工程师证书</w:t>
            </w:r>
            <w:r>
              <w:rPr>
                <w:rFonts w:hint="eastAsia" w:ascii="宋体" w:hAnsi="宋体" w:cs="宋体"/>
                <w:color w:val="auto"/>
                <w:sz w:val="24"/>
                <w:szCs w:val="24"/>
                <w:lang w:val="en-US" w:eastAsia="zh-CN"/>
              </w:rPr>
              <w:t>和软件造价工程师</w:t>
            </w:r>
            <w:r>
              <w:rPr>
                <w:rFonts w:hint="eastAsia" w:ascii="宋体" w:hAnsi="宋体" w:cs="宋体"/>
                <w:color w:val="auto"/>
                <w:sz w:val="24"/>
                <w:szCs w:val="24"/>
              </w:rPr>
              <w:t>证书</w:t>
            </w:r>
            <w:r>
              <w:rPr>
                <w:rFonts w:hint="eastAsia" w:ascii="宋体" w:hAnsi="宋体" w:cs="宋体"/>
                <w:color w:val="auto"/>
                <w:sz w:val="24"/>
                <w:szCs w:val="24"/>
                <w:lang w:val="en-US" w:eastAsia="zh-CN"/>
              </w:rPr>
              <w:t>得2分；</w:t>
            </w:r>
          </w:p>
          <w:p w14:paraId="09EF6003">
            <w:pPr>
              <w:pStyle w:val="22"/>
              <w:widowControl w:val="0"/>
              <w:adjustRightInd w:val="0"/>
              <w:ind w:right="-31" w:rightChars="-15"/>
              <w:textAlignment w:val="baseline"/>
              <w:rPr>
                <w:rFonts w:hint="eastAsia" w:ascii="宋体" w:hAnsi="宋体" w:cs="宋体"/>
                <w:color w:val="auto"/>
                <w:sz w:val="24"/>
                <w:szCs w:val="24"/>
              </w:rPr>
            </w:pPr>
            <w:r>
              <w:rPr>
                <w:rFonts w:hint="eastAsia" w:ascii="宋体" w:hAnsi="宋体" w:cs="宋体"/>
                <w:color w:val="auto"/>
                <w:sz w:val="24"/>
                <w:szCs w:val="24"/>
              </w:rPr>
              <w:t>注：以上证书持有人员不能重复，如有重复，按一个证书计算，同一证书也不重复记分，需提供证书复印件，并提供开标之日前6个月内任意1个月在投标单位的社保缴费证明复印件。未提供或提供不全不得分。</w:t>
            </w:r>
          </w:p>
          <w:p w14:paraId="3F4315A0">
            <w:pPr>
              <w:pStyle w:val="100"/>
              <w:widowControl w:val="0"/>
              <w:numPr>
                <w:ilvl w:val="0"/>
                <w:numId w:val="8"/>
              </w:numPr>
              <w:adjustRightInd w:val="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项目组每多拟派一名房屋建筑工程注册监理师或信息系统监理师或通信工程注册监理工程师加0.5分；满分2分。</w:t>
            </w:r>
          </w:p>
        </w:tc>
      </w:tr>
      <w:tr w14:paraId="2E07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1097" w:type="dxa"/>
            <w:tcBorders>
              <w:bottom w:val="single" w:color="auto" w:sz="4" w:space="0"/>
            </w:tcBorders>
            <w:vAlign w:val="center"/>
          </w:tcPr>
          <w:p w14:paraId="4DC5E5BF">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项目整体理解和把握</w:t>
            </w:r>
          </w:p>
        </w:tc>
        <w:tc>
          <w:tcPr>
            <w:tcW w:w="555" w:type="dxa"/>
            <w:tcBorders>
              <w:bottom w:val="single" w:color="auto" w:sz="4" w:space="0"/>
            </w:tcBorders>
            <w:vAlign w:val="center"/>
          </w:tcPr>
          <w:p w14:paraId="3C0B9D30">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6</w:t>
            </w:r>
          </w:p>
        </w:tc>
        <w:tc>
          <w:tcPr>
            <w:tcW w:w="7750" w:type="dxa"/>
            <w:tcBorders>
              <w:bottom w:val="single" w:color="auto" w:sz="4" w:space="0"/>
            </w:tcBorders>
          </w:tcPr>
          <w:p w14:paraId="249A1B3F">
            <w:pPr>
              <w:adjustRightInd w:val="0"/>
              <w:textAlignment w:val="baseline"/>
              <w:rPr>
                <w:rFonts w:hint="eastAsia" w:ascii="宋体" w:hAnsi="宋体" w:cs="宋体"/>
                <w:color w:val="000000"/>
                <w:sz w:val="24"/>
              </w:rPr>
            </w:pPr>
            <w:r>
              <w:rPr>
                <w:rFonts w:hint="eastAsia" w:ascii="宋体" w:hAnsi="宋体" w:cs="宋体"/>
                <w:color w:val="000000"/>
                <w:sz w:val="24"/>
              </w:rPr>
              <w:t>根据各投标人监理大纲中对项目整体的理解和把握进行比较：</w:t>
            </w:r>
          </w:p>
          <w:p w14:paraId="47140D70">
            <w:pPr>
              <w:numPr>
                <w:ilvl w:val="0"/>
                <w:numId w:val="9"/>
              </w:numPr>
              <w:adjustRightInd w:val="0"/>
              <w:textAlignment w:val="baseline"/>
              <w:rPr>
                <w:rFonts w:hint="eastAsia" w:ascii="宋体" w:hAnsi="宋体" w:cs="宋体"/>
                <w:color w:val="000000"/>
                <w:sz w:val="24"/>
              </w:rPr>
            </w:pPr>
            <w:r>
              <w:rPr>
                <w:rFonts w:hint="eastAsia" w:ascii="宋体" w:hAnsi="宋体" w:cs="宋体"/>
                <w:color w:val="000000"/>
                <w:sz w:val="24"/>
              </w:rPr>
              <w:t>对项目整体的理解和特点分析全面、深入，优于招标文件要求的得3分；</w:t>
            </w:r>
          </w:p>
          <w:p w14:paraId="67545B73">
            <w:pPr>
              <w:adjustRightInd w:val="0"/>
              <w:textAlignment w:val="baseline"/>
              <w:rPr>
                <w:rFonts w:hint="eastAsia" w:ascii="宋体" w:hAnsi="宋体" w:cs="宋体"/>
                <w:color w:val="000000"/>
                <w:sz w:val="24"/>
              </w:rPr>
            </w:pPr>
            <w:r>
              <w:rPr>
                <w:rFonts w:hint="eastAsia" w:ascii="宋体" w:hAnsi="宋体" w:cs="宋体"/>
                <w:color w:val="000000"/>
                <w:sz w:val="24"/>
              </w:rPr>
              <w:t>对项目整体的理解和特点分析较为全面、深入，满足招标文件要求的得2分；</w:t>
            </w:r>
          </w:p>
          <w:p w14:paraId="2A453BD9">
            <w:pPr>
              <w:adjustRightInd w:val="0"/>
              <w:textAlignment w:val="baseline"/>
              <w:rPr>
                <w:rFonts w:hint="eastAsia" w:ascii="宋体" w:hAnsi="宋体" w:cs="宋体"/>
                <w:color w:val="000000"/>
                <w:sz w:val="24"/>
              </w:rPr>
            </w:pPr>
            <w:r>
              <w:rPr>
                <w:rFonts w:hint="eastAsia" w:ascii="宋体" w:hAnsi="宋体" w:cs="宋体"/>
                <w:color w:val="000000"/>
                <w:sz w:val="24"/>
              </w:rPr>
              <w:t>未提供或不满足不得分；</w:t>
            </w:r>
          </w:p>
          <w:p w14:paraId="3D15AAFB">
            <w:pPr>
              <w:numPr>
                <w:ilvl w:val="0"/>
                <w:numId w:val="9"/>
              </w:numPr>
              <w:textAlignment w:val="baseline"/>
              <w:rPr>
                <w:rFonts w:hint="eastAsia" w:ascii="宋体" w:hAnsi="宋体" w:cs="宋体"/>
                <w:color w:val="000000"/>
                <w:sz w:val="24"/>
              </w:rPr>
            </w:pPr>
            <w:r>
              <w:rPr>
                <w:rFonts w:hint="eastAsia" w:ascii="宋体" w:hAnsi="宋体" w:cs="宋体"/>
                <w:color w:val="000000"/>
                <w:sz w:val="24"/>
              </w:rPr>
              <w:t>对项目整体监理工作的理解和分析到位、合理，优于招标文件要求的得3分；</w:t>
            </w:r>
          </w:p>
          <w:p w14:paraId="034D2D0A">
            <w:pPr>
              <w:textAlignment w:val="baseline"/>
              <w:rPr>
                <w:rFonts w:hint="eastAsia" w:ascii="宋体" w:hAnsi="宋体" w:cs="宋体"/>
                <w:color w:val="000000"/>
                <w:sz w:val="24"/>
              </w:rPr>
            </w:pPr>
            <w:r>
              <w:rPr>
                <w:rFonts w:hint="eastAsia" w:ascii="宋体" w:hAnsi="宋体" w:cs="宋体"/>
                <w:color w:val="000000"/>
                <w:sz w:val="24"/>
              </w:rPr>
              <w:t>对项目整体监理工作的理解和分析较为到位、合理，基本满足招标文件要求的得2分；</w:t>
            </w:r>
          </w:p>
          <w:p w14:paraId="42C5818B">
            <w:pPr>
              <w:textAlignment w:val="baseline"/>
              <w:rPr>
                <w:rFonts w:hint="eastAsia" w:ascii="宋体" w:hAnsi="宋体" w:cs="宋体"/>
                <w:sz w:val="24"/>
              </w:rPr>
            </w:pPr>
            <w:r>
              <w:rPr>
                <w:rFonts w:hint="eastAsia" w:ascii="宋体" w:hAnsi="宋体" w:cs="宋体"/>
                <w:color w:val="000000"/>
                <w:sz w:val="24"/>
              </w:rPr>
              <w:t>未提供或不满足不得分。</w:t>
            </w:r>
          </w:p>
        </w:tc>
      </w:tr>
      <w:tr w14:paraId="75E8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1097" w:type="dxa"/>
            <w:tcBorders>
              <w:bottom w:val="single" w:color="auto" w:sz="4" w:space="0"/>
            </w:tcBorders>
            <w:vAlign w:val="center"/>
          </w:tcPr>
          <w:p w14:paraId="737BFF46">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项目重难点分析及合理化建议</w:t>
            </w:r>
          </w:p>
        </w:tc>
        <w:tc>
          <w:tcPr>
            <w:tcW w:w="555" w:type="dxa"/>
            <w:tcBorders>
              <w:bottom w:val="single" w:color="auto" w:sz="4" w:space="0"/>
            </w:tcBorders>
            <w:vAlign w:val="center"/>
          </w:tcPr>
          <w:p w14:paraId="76FD23DA">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6</w:t>
            </w:r>
          </w:p>
        </w:tc>
        <w:tc>
          <w:tcPr>
            <w:tcW w:w="7750" w:type="dxa"/>
            <w:tcBorders>
              <w:bottom w:val="single" w:color="auto" w:sz="4" w:space="0"/>
            </w:tcBorders>
          </w:tcPr>
          <w:p w14:paraId="6855531C">
            <w:pPr>
              <w:textAlignment w:val="baseline"/>
              <w:rPr>
                <w:rFonts w:hint="eastAsia" w:ascii="宋体" w:hAnsi="宋体" w:cs="宋体"/>
                <w:color w:val="000000"/>
                <w:sz w:val="24"/>
              </w:rPr>
            </w:pPr>
            <w:r>
              <w:rPr>
                <w:rFonts w:hint="eastAsia" w:ascii="宋体" w:hAnsi="宋体" w:cs="宋体"/>
                <w:color w:val="000000"/>
                <w:sz w:val="24"/>
              </w:rPr>
              <w:t>根据各投标人监理大纲中对项目重难点分析及合理化建议进行比较：</w:t>
            </w:r>
          </w:p>
          <w:p w14:paraId="2C624F2F">
            <w:pPr>
              <w:numPr>
                <w:ilvl w:val="0"/>
                <w:numId w:val="10"/>
              </w:numPr>
              <w:textAlignment w:val="baseline"/>
              <w:rPr>
                <w:rFonts w:hint="eastAsia" w:ascii="宋体" w:hAnsi="宋体" w:cs="宋体"/>
                <w:color w:val="000000"/>
                <w:sz w:val="24"/>
              </w:rPr>
            </w:pPr>
            <w:r>
              <w:rPr>
                <w:rFonts w:hint="eastAsia" w:ascii="宋体" w:hAnsi="宋体" w:cs="宋体"/>
                <w:color w:val="000000"/>
                <w:sz w:val="24"/>
              </w:rPr>
              <w:t>对项目建设重难点进行分析优于招标文件要求的得3分；</w:t>
            </w:r>
          </w:p>
          <w:p w14:paraId="52849B22">
            <w:pPr>
              <w:textAlignment w:val="baseline"/>
              <w:rPr>
                <w:rFonts w:hint="eastAsia" w:ascii="宋体" w:hAnsi="宋体" w:cs="宋体"/>
                <w:color w:val="000000"/>
                <w:sz w:val="24"/>
              </w:rPr>
            </w:pPr>
            <w:r>
              <w:rPr>
                <w:rFonts w:hint="eastAsia" w:ascii="宋体" w:hAnsi="宋体" w:cs="宋体"/>
                <w:color w:val="000000"/>
                <w:sz w:val="24"/>
              </w:rPr>
              <w:t>对项目建设重难点进行分析基本满足招标文件要求的得2分；</w:t>
            </w:r>
          </w:p>
          <w:p w14:paraId="4440581E">
            <w:pPr>
              <w:textAlignment w:val="baseline"/>
              <w:rPr>
                <w:rFonts w:hint="eastAsia" w:ascii="宋体" w:hAnsi="宋体" w:cs="宋体"/>
                <w:color w:val="000000"/>
                <w:sz w:val="24"/>
              </w:rPr>
            </w:pPr>
            <w:r>
              <w:rPr>
                <w:rFonts w:hint="eastAsia" w:ascii="宋体" w:hAnsi="宋体" w:cs="宋体"/>
                <w:color w:val="000000"/>
                <w:sz w:val="24"/>
              </w:rPr>
              <w:t>未提供或不满足不得分；</w:t>
            </w:r>
          </w:p>
          <w:p w14:paraId="73815EE5">
            <w:pPr>
              <w:numPr>
                <w:ilvl w:val="0"/>
                <w:numId w:val="10"/>
              </w:numPr>
              <w:textAlignment w:val="baseline"/>
              <w:rPr>
                <w:rFonts w:hint="eastAsia" w:ascii="宋体" w:hAnsi="宋体" w:cs="宋体"/>
                <w:color w:val="000000"/>
                <w:sz w:val="24"/>
              </w:rPr>
            </w:pPr>
            <w:r>
              <w:rPr>
                <w:rFonts w:hint="eastAsia" w:ascii="宋体" w:hAnsi="宋体" w:cs="宋体"/>
                <w:color w:val="000000"/>
                <w:sz w:val="24"/>
              </w:rPr>
              <w:t>对项目建设提出合理化建议优于招标文件要求的得3分；</w:t>
            </w:r>
          </w:p>
          <w:p w14:paraId="45227BE4">
            <w:pPr>
              <w:textAlignment w:val="baseline"/>
              <w:rPr>
                <w:rFonts w:hint="eastAsia" w:ascii="宋体" w:hAnsi="宋体" w:cs="宋体"/>
                <w:color w:val="000000"/>
                <w:sz w:val="24"/>
              </w:rPr>
            </w:pPr>
            <w:r>
              <w:rPr>
                <w:rFonts w:hint="eastAsia" w:ascii="宋体" w:hAnsi="宋体" w:cs="宋体"/>
                <w:color w:val="000000"/>
                <w:sz w:val="24"/>
              </w:rPr>
              <w:t>对项目建设提出合理化建议基本满足招标文件要求的得2分；</w:t>
            </w:r>
          </w:p>
          <w:p w14:paraId="56F7A7AD">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5FD5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97" w:type="dxa"/>
            <w:vMerge w:val="restart"/>
            <w:vAlign w:val="center"/>
          </w:tcPr>
          <w:p w14:paraId="7588AEA0">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监理“四控三管一协调”</w:t>
            </w:r>
          </w:p>
        </w:tc>
        <w:tc>
          <w:tcPr>
            <w:tcW w:w="555" w:type="dxa"/>
            <w:tcBorders>
              <w:bottom w:val="single" w:color="auto" w:sz="4" w:space="0"/>
            </w:tcBorders>
            <w:vAlign w:val="center"/>
          </w:tcPr>
          <w:p w14:paraId="17A03593">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78340F35">
            <w:pPr>
              <w:textAlignment w:val="baseline"/>
              <w:rPr>
                <w:rFonts w:hint="eastAsia" w:ascii="宋体" w:hAnsi="宋体" w:cs="宋体"/>
                <w:color w:val="000000"/>
                <w:sz w:val="24"/>
              </w:rPr>
            </w:pPr>
            <w:r>
              <w:rPr>
                <w:rFonts w:hint="eastAsia" w:ascii="宋体" w:hAnsi="宋体" w:cs="宋体"/>
                <w:b/>
                <w:bCs/>
                <w:color w:val="000000"/>
                <w:sz w:val="24"/>
              </w:rPr>
              <w:t>质量控制</w:t>
            </w:r>
            <w:r>
              <w:rPr>
                <w:rFonts w:hint="eastAsia" w:ascii="宋体" w:hAnsi="宋体" w:cs="宋体"/>
                <w:color w:val="000000"/>
                <w:sz w:val="24"/>
              </w:rPr>
              <w:t>：方案应遵循对项目质量目标理解深刻，质量控制点掌握准确，质量控制流程清晰、措施得当，质量检测方法科学的原则。</w:t>
            </w:r>
          </w:p>
          <w:p w14:paraId="0038570C">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0C702554">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p>
          <w:p w14:paraId="4554C34F">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4580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97" w:type="dxa"/>
            <w:vMerge w:val="continue"/>
            <w:vAlign w:val="center"/>
          </w:tcPr>
          <w:p w14:paraId="1F9A5954">
            <w:pPr>
              <w:widowControl w:val="0"/>
              <w:adjustRightInd w:val="0"/>
              <w:snapToGrid w:val="0"/>
              <w:jc w:val="center"/>
              <w:textAlignment w:val="baseline"/>
              <w:rPr>
                <w:rFonts w:hint="eastAsia" w:ascii="宋体" w:hAnsi="宋体" w:cs="宋体"/>
                <w:b/>
                <w:kern w:val="0"/>
                <w:sz w:val="24"/>
              </w:rPr>
            </w:pPr>
          </w:p>
        </w:tc>
        <w:tc>
          <w:tcPr>
            <w:tcW w:w="555" w:type="dxa"/>
            <w:tcBorders>
              <w:bottom w:val="single" w:color="auto" w:sz="4" w:space="0"/>
            </w:tcBorders>
            <w:vAlign w:val="center"/>
          </w:tcPr>
          <w:p w14:paraId="7F61A2E2">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5FB2C138">
            <w:pPr>
              <w:textAlignment w:val="baseline"/>
              <w:rPr>
                <w:rFonts w:hint="eastAsia" w:ascii="宋体" w:hAnsi="宋体" w:cs="宋体"/>
                <w:color w:val="000000"/>
                <w:sz w:val="24"/>
              </w:rPr>
            </w:pPr>
            <w:r>
              <w:rPr>
                <w:rFonts w:hint="eastAsia" w:ascii="宋体" w:hAnsi="宋体" w:cs="宋体"/>
                <w:b/>
                <w:bCs/>
                <w:color w:val="000000"/>
                <w:sz w:val="24"/>
              </w:rPr>
              <w:t>进度控制</w:t>
            </w:r>
            <w:r>
              <w:rPr>
                <w:rFonts w:hint="eastAsia" w:ascii="宋体" w:hAnsi="宋体" w:cs="宋体"/>
                <w:color w:val="000000"/>
                <w:sz w:val="24"/>
              </w:rPr>
              <w:t>：方案应遵循对进度的跟踪及时到位，能够提供准确的进度分析报告和进度控制建议的原则。</w:t>
            </w:r>
          </w:p>
          <w:p w14:paraId="67AB6AC4">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362BD0D9">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p>
          <w:p w14:paraId="49F7E109">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2D5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97" w:type="dxa"/>
            <w:vMerge w:val="continue"/>
            <w:vAlign w:val="center"/>
          </w:tcPr>
          <w:p w14:paraId="7CF8A5D1">
            <w:pPr>
              <w:widowControl w:val="0"/>
              <w:adjustRightInd w:val="0"/>
              <w:snapToGrid w:val="0"/>
              <w:jc w:val="center"/>
              <w:textAlignment w:val="baseline"/>
              <w:rPr>
                <w:rFonts w:hint="eastAsia" w:ascii="宋体" w:hAnsi="宋体" w:cs="宋体"/>
                <w:b/>
                <w:kern w:val="0"/>
                <w:sz w:val="24"/>
              </w:rPr>
            </w:pPr>
          </w:p>
        </w:tc>
        <w:tc>
          <w:tcPr>
            <w:tcW w:w="555" w:type="dxa"/>
            <w:tcBorders>
              <w:bottom w:val="single" w:color="auto" w:sz="4" w:space="0"/>
            </w:tcBorders>
            <w:vAlign w:val="center"/>
          </w:tcPr>
          <w:p w14:paraId="69FE400E">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59EC401C">
            <w:pPr>
              <w:textAlignment w:val="baseline"/>
              <w:rPr>
                <w:rFonts w:hint="eastAsia" w:ascii="宋体" w:hAnsi="宋体" w:cs="宋体"/>
                <w:color w:val="000000"/>
                <w:sz w:val="24"/>
              </w:rPr>
            </w:pPr>
            <w:r>
              <w:rPr>
                <w:rFonts w:hint="eastAsia" w:ascii="宋体" w:hAnsi="宋体" w:cs="宋体"/>
                <w:b/>
                <w:bCs/>
                <w:color w:val="000000"/>
                <w:sz w:val="24"/>
              </w:rPr>
              <w:t>投资控制</w:t>
            </w:r>
            <w:r>
              <w:rPr>
                <w:rFonts w:hint="eastAsia" w:ascii="宋体" w:hAnsi="宋体" w:cs="宋体"/>
                <w:color w:val="000000"/>
                <w:sz w:val="24"/>
              </w:rPr>
              <w:t>：方案应遵循对费用支出及实际完成工作量进行及时跟踪，能够准确提供投资控制报告和建议的原则。</w:t>
            </w:r>
          </w:p>
          <w:p w14:paraId="57646902">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421D4EB6">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p>
          <w:p w14:paraId="796185EA">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6D6C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097" w:type="dxa"/>
            <w:vMerge w:val="continue"/>
            <w:vAlign w:val="center"/>
          </w:tcPr>
          <w:p w14:paraId="22D12607">
            <w:pPr>
              <w:widowControl w:val="0"/>
              <w:adjustRightInd w:val="0"/>
              <w:snapToGrid w:val="0"/>
              <w:jc w:val="center"/>
              <w:textAlignment w:val="baseline"/>
              <w:rPr>
                <w:rFonts w:hint="eastAsia" w:ascii="宋体" w:hAnsi="宋体" w:cs="宋体"/>
                <w:b/>
                <w:kern w:val="0"/>
                <w:sz w:val="24"/>
              </w:rPr>
            </w:pPr>
          </w:p>
        </w:tc>
        <w:tc>
          <w:tcPr>
            <w:tcW w:w="555" w:type="dxa"/>
            <w:tcBorders>
              <w:bottom w:val="single" w:color="auto" w:sz="4" w:space="0"/>
            </w:tcBorders>
            <w:vAlign w:val="center"/>
          </w:tcPr>
          <w:p w14:paraId="4CAC8C72">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1294CA35">
            <w:pPr>
              <w:textAlignment w:val="baseline"/>
              <w:rPr>
                <w:rFonts w:hint="eastAsia" w:ascii="宋体" w:hAnsi="宋体" w:cs="宋体"/>
                <w:color w:val="000000"/>
                <w:sz w:val="24"/>
              </w:rPr>
            </w:pPr>
            <w:r>
              <w:rPr>
                <w:rFonts w:hint="eastAsia" w:ascii="宋体" w:hAnsi="宋体" w:cs="宋体"/>
                <w:b/>
                <w:bCs/>
                <w:color w:val="000000"/>
                <w:sz w:val="24"/>
              </w:rPr>
              <w:t>变更控制</w:t>
            </w:r>
            <w:r>
              <w:rPr>
                <w:rFonts w:hint="eastAsia" w:ascii="宋体" w:hAnsi="宋体" w:cs="宋体"/>
                <w:color w:val="000000"/>
                <w:sz w:val="24"/>
              </w:rPr>
              <w:t>：方案应遵循对建立变更控制系统，对项目中出现的需求、进度、成本、合同变更等进行合理控制的原则。</w:t>
            </w:r>
          </w:p>
          <w:p w14:paraId="711E1018">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295C5571">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p>
          <w:p w14:paraId="5646991B">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79D6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97" w:type="dxa"/>
            <w:vMerge w:val="continue"/>
            <w:vAlign w:val="center"/>
          </w:tcPr>
          <w:p w14:paraId="763C9D61">
            <w:pPr>
              <w:widowControl w:val="0"/>
              <w:adjustRightInd w:val="0"/>
              <w:snapToGrid w:val="0"/>
              <w:jc w:val="center"/>
              <w:textAlignment w:val="baseline"/>
              <w:rPr>
                <w:rFonts w:hint="eastAsia" w:ascii="宋体" w:hAnsi="宋体" w:cs="宋体"/>
                <w:b/>
                <w:kern w:val="0"/>
                <w:sz w:val="24"/>
              </w:rPr>
            </w:pPr>
          </w:p>
        </w:tc>
        <w:tc>
          <w:tcPr>
            <w:tcW w:w="555" w:type="dxa"/>
            <w:tcBorders>
              <w:bottom w:val="single" w:color="auto" w:sz="4" w:space="0"/>
            </w:tcBorders>
            <w:vAlign w:val="center"/>
          </w:tcPr>
          <w:p w14:paraId="0E6E7FB6">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40262B21">
            <w:pPr>
              <w:textAlignment w:val="baseline"/>
              <w:rPr>
                <w:rFonts w:hint="eastAsia" w:ascii="宋体" w:hAnsi="宋体" w:cs="宋体"/>
                <w:color w:val="000000"/>
                <w:sz w:val="24"/>
              </w:rPr>
            </w:pPr>
            <w:r>
              <w:rPr>
                <w:rFonts w:hint="eastAsia" w:ascii="宋体" w:hAnsi="宋体" w:cs="宋体"/>
                <w:b/>
                <w:bCs/>
                <w:color w:val="000000"/>
                <w:sz w:val="24"/>
              </w:rPr>
              <w:t>文档管理</w:t>
            </w:r>
            <w:r>
              <w:rPr>
                <w:rFonts w:hint="eastAsia" w:ascii="宋体" w:hAnsi="宋体" w:cs="宋体"/>
                <w:color w:val="000000"/>
                <w:sz w:val="24"/>
              </w:rPr>
              <w:t>：方案应提出文档管理制度及流程、建立的信息管理数据库完善。</w:t>
            </w:r>
          </w:p>
          <w:p w14:paraId="13516BCE">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35A17702">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p>
          <w:p w14:paraId="0E5F51E9">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08E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97" w:type="dxa"/>
            <w:vMerge w:val="continue"/>
            <w:vAlign w:val="center"/>
          </w:tcPr>
          <w:p w14:paraId="2272C193">
            <w:pPr>
              <w:widowControl w:val="0"/>
              <w:adjustRightInd w:val="0"/>
              <w:snapToGrid w:val="0"/>
              <w:jc w:val="center"/>
              <w:textAlignment w:val="baseline"/>
              <w:rPr>
                <w:rFonts w:hint="eastAsia" w:ascii="宋体" w:hAnsi="宋体" w:cs="宋体"/>
                <w:b/>
                <w:kern w:val="0"/>
                <w:sz w:val="24"/>
              </w:rPr>
            </w:pPr>
          </w:p>
        </w:tc>
        <w:tc>
          <w:tcPr>
            <w:tcW w:w="555" w:type="dxa"/>
            <w:tcBorders>
              <w:bottom w:val="single" w:color="auto" w:sz="4" w:space="0"/>
            </w:tcBorders>
            <w:vAlign w:val="center"/>
          </w:tcPr>
          <w:p w14:paraId="2778F10E">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65C478F4">
            <w:pPr>
              <w:textAlignment w:val="baseline"/>
              <w:rPr>
                <w:rFonts w:hint="eastAsia" w:ascii="宋体" w:hAnsi="宋体" w:cs="宋体"/>
                <w:color w:val="000000"/>
                <w:sz w:val="24"/>
              </w:rPr>
            </w:pPr>
            <w:r>
              <w:rPr>
                <w:rFonts w:hint="eastAsia" w:ascii="宋体" w:hAnsi="宋体" w:cs="宋体"/>
                <w:b/>
                <w:bCs/>
                <w:color w:val="000000"/>
                <w:sz w:val="24"/>
              </w:rPr>
              <w:t>合同管理</w:t>
            </w:r>
            <w:r>
              <w:rPr>
                <w:rFonts w:hint="eastAsia" w:ascii="宋体" w:hAnsi="宋体" w:cs="宋体"/>
                <w:color w:val="000000"/>
                <w:sz w:val="24"/>
              </w:rPr>
              <w:t>：方案应提出合同的管理制度及流程完善，合同执行跟踪计划完整，建立的合同管理措施。</w:t>
            </w:r>
          </w:p>
          <w:p w14:paraId="3D6124CC">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52CD7F20">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bookmarkStart w:id="110" w:name="_GoBack"/>
            <w:bookmarkEnd w:id="110"/>
          </w:p>
          <w:p w14:paraId="3092C05F">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033A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097" w:type="dxa"/>
            <w:vMerge w:val="continue"/>
            <w:vAlign w:val="center"/>
          </w:tcPr>
          <w:p w14:paraId="3528211E">
            <w:pPr>
              <w:widowControl w:val="0"/>
              <w:adjustRightInd w:val="0"/>
              <w:snapToGrid w:val="0"/>
              <w:jc w:val="center"/>
              <w:textAlignment w:val="baseline"/>
              <w:rPr>
                <w:rFonts w:hint="eastAsia" w:ascii="宋体" w:hAnsi="宋体" w:cs="宋体"/>
                <w:b/>
                <w:kern w:val="0"/>
                <w:sz w:val="24"/>
              </w:rPr>
            </w:pPr>
          </w:p>
        </w:tc>
        <w:tc>
          <w:tcPr>
            <w:tcW w:w="555" w:type="dxa"/>
            <w:tcBorders>
              <w:bottom w:val="single" w:color="auto" w:sz="4" w:space="0"/>
            </w:tcBorders>
            <w:vAlign w:val="center"/>
          </w:tcPr>
          <w:p w14:paraId="5F8B4806">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7D56FCFF">
            <w:pPr>
              <w:textAlignment w:val="baseline"/>
              <w:rPr>
                <w:rFonts w:hint="eastAsia" w:ascii="宋体" w:hAnsi="宋体" w:cs="宋体"/>
                <w:color w:val="000000"/>
                <w:sz w:val="24"/>
              </w:rPr>
            </w:pPr>
            <w:r>
              <w:rPr>
                <w:rFonts w:hint="eastAsia" w:ascii="宋体" w:hAnsi="宋体" w:cs="宋体"/>
                <w:b/>
                <w:bCs/>
                <w:color w:val="000000"/>
                <w:sz w:val="24"/>
              </w:rPr>
              <w:t>安全管理</w:t>
            </w:r>
            <w:r>
              <w:rPr>
                <w:rFonts w:hint="eastAsia" w:ascii="宋体" w:hAnsi="宋体" w:cs="宋体"/>
                <w:color w:val="000000"/>
                <w:sz w:val="24"/>
              </w:rPr>
              <w:t>：方案应针对项目网络和信息安全目标理解准确，信息安全的审核、控制措施得当。</w:t>
            </w:r>
          </w:p>
          <w:p w14:paraId="0D34B548">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3A1B3B56">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p>
          <w:p w14:paraId="41C02437">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4030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097" w:type="dxa"/>
            <w:vMerge w:val="continue"/>
            <w:vAlign w:val="center"/>
          </w:tcPr>
          <w:p w14:paraId="680C3BD7">
            <w:pPr>
              <w:widowControl w:val="0"/>
              <w:adjustRightInd w:val="0"/>
              <w:snapToGrid w:val="0"/>
              <w:jc w:val="center"/>
              <w:textAlignment w:val="baseline"/>
              <w:rPr>
                <w:rFonts w:hint="eastAsia" w:ascii="宋体" w:hAnsi="宋体" w:cs="宋体"/>
                <w:b/>
                <w:kern w:val="0"/>
                <w:sz w:val="24"/>
              </w:rPr>
            </w:pPr>
          </w:p>
        </w:tc>
        <w:tc>
          <w:tcPr>
            <w:tcW w:w="555" w:type="dxa"/>
            <w:vAlign w:val="center"/>
          </w:tcPr>
          <w:p w14:paraId="38609AB9">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6D1C8019">
            <w:pPr>
              <w:textAlignment w:val="baseline"/>
              <w:rPr>
                <w:rFonts w:hint="eastAsia" w:ascii="宋体" w:hAnsi="宋体" w:cs="宋体"/>
                <w:color w:val="000000"/>
                <w:sz w:val="24"/>
              </w:rPr>
            </w:pPr>
            <w:r>
              <w:rPr>
                <w:rFonts w:hint="eastAsia" w:ascii="宋体" w:hAnsi="宋体" w:cs="宋体"/>
                <w:b/>
                <w:bCs/>
                <w:color w:val="000000"/>
                <w:sz w:val="24"/>
              </w:rPr>
              <w:t>组织协调</w:t>
            </w:r>
            <w:r>
              <w:rPr>
                <w:rFonts w:hint="eastAsia" w:ascii="宋体" w:hAnsi="宋体" w:cs="宋体"/>
                <w:color w:val="000000"/>
                <w:sz w:val="24"/>
              </w:rPr>
              <w:t>：方案应对项目建设相关单位之间的协调难点分析准确，有明确的协调工作程序和会议制度方案。</w:t>
            </w:r>
          </w:p>
          <w:p w14:paraId="796B3790">
            <w:pPr>
              <w:textAlignment w:val="baseline"/>
              <w:rPr>
                <w:rFonts w:hint="eastAsia" w:ascii="宋体" w:hAnsi="宋体" w:cs="宋体"/>
                <w:color w:val="000000"/>
                <w:sz w:val="24"/>
              </w:rPr>
            </w:pPr>
            <w:r>
              <w:rPr>
                <w:rFonts w:hint="eastAsia" w:ascii="宋体" w:hAnsi="宋体" w:cs="宋体"/>
                <w:color w:val="000000"/>
                <w:sz w:val="24"/>
              </w:rPr>
              <w:t>方案思路清晰、措施全面、合理性强、可执行性强，优于招标文件要求的得3分；</w:t>
            </w:r>
          </w:p>
          <w:p w14:paraId="213F9284">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方案思路较为清晰、措施较为全面、合理性较强、可执行性较强，满足招标文件要求的得2分；</w:t>
            </w:r>
          </w:p>
          <w:p w14:paraId="1EE48787">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44C0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097" w:type="dxa"/>
            <w:vAlign w:val="center"/>
          </w:tcPr>
          <w:p w14:paraId="10891B2F">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项目验收方案</w:t>
            </w:r>
          </w:p>
        </w:tc>
        <w:tc>
          <w:tcPr>
            <w:tcW w:w="555" w:type="dxa"/>
            <w:vAlign w:val="center"/>
          </w:tcPr>
          <w:p w14:paraId="76E48C6C">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4</w:t>
            </w:r>
          </w:p>
        </w:tc>
        <w:tc>
          <w:tcPr>
            <w:tcW w:w="7750" w:type="dxa"/>
            <w:vAlign w:val="center"/>
          </w:tcPr>
          <w:p w14:paraId="38EC0DD6">
            <w:pPr>
              <w:textAlignment w:val="baseline"/>
              <w:rPr>
                <w:rFonts w:hint="eastAsia" w:ascii="宋体" w:hAnsi="宋体" w:cs="宋体"/>
                <w:color w:val="000000"/>
                <w:sz w:val="24"/>
              </w:rPr>
            </w:pPr>
            <w:r>
              <w:rPr>
                <w:rFonts w:hint="eastAsia" w:ascii="宋体" w:hAnsi="宋体" w:cs="宋体"/>
                <w:color w:val="000000"/>
                <w:sz w:val="24"/>
              </w:rPr>
              <w:t>根据各投标人监理大纲中的验收方案进行综合比较：</w:t>
            </w:r>
          </w:p>
          <w:p w14:paraId="52DB954C">
            <w:pPr>
              <w:numPr>
                <w:ilvl w:val="0"/>
                <w:numId w:val="11"/>
              </w:numPr>
              <w:textAlignment w:val="baseline"/>
              <w:rPr>
                <w:rFonts w:hint="eastAsia" w:ascii="宋体" w:hAnsi="宋体" w:cs="宋体"/>
                <w:color w:val="000000"/>
                <w:sz w:val="24"/>
              </w:rPr>
            </w:pPr>
            <w:r>
              <w:rPr>
                <w:rFonts w:hint="eastAsia" w:ascii="宋体" w:hAnsi="宋体" w:cs="宋体"/>
                <w:color w:val="000000"/>
                <w:sz w:val="24"/>
              </w:rPr>
              <w:t>有完整验收方案，验收标准清晰、实施方法科学合理，方案优于招标文件要求的得2分；</w:t>
            </w:r>
          </w:p>
          <w:p w14:paraId="4CFB542F">
            <w:pPr>
              <w:textAlignment w:val="baseline"/>
              <w:rPr>
                <w:rFonts w:hint="eastAsia" w:ascii="宋体" w:hAnsi="宋体" w:cs="宋体"/>
                <w:color w:val="000000"/>
                <w:sz w:val="24"/>
              </w:rPr>
            </w:pPr>
            <w:r>
              <w:rPr>
                <w:rFonts w:hint="eastAsia" w:ascii="宋体" w:hAnsi="宋体" w:cs="宋体"/>
                <w:color w:val="000000"/>
                <w:sz w:val="24"/>
              </w:rPr>
              <w:t>验收方案较为完整，标准较为清晰、方法较为合理，满足招标文件要求的得1分；</w:t>
            </w:r>
          </w:p>
          <w:p w14:paraId="60D9652A">
            <w:pPr>
              <w:textAlignment w:val="baseline"/>
              <w:rPr>
                <w:rFonts w:hint="eastAsia" w:ascii="宋体" w:hAnsi="宋体" w:cs="宋体"/>
                <w:color w:val="000000"/>
                <w:sz w:val="24"/>
              </w:rPr>
            </w:pPr>
            <w:r>
              <w:rPr>
                <w:rFonts w:hint="eastAsia" w:ascii="宋体" w:hAnsi="宋体" w:cs="宋体"/>
                <w:color w:val="000000"/>
                <w:sz w:val="24"/>
              </w:rPr>
              <w:t>未提供或不满足不得分；</w:t>
            </w:r>
          </w:p>
          <w:p w14:paraId="0F0AF126">
            <w:pPr>
              <w:numPr>
                <w:ilvl w:val="0"/>
                <w:numId w:val="11"/>
              </w:numPr>
              <w:textAlignment w:val="baseline"/>
              <w:rPr>
                <w:rFonts w:hint="eastAsia" w:ascii="宋体" w:hAnsi="宋体" w:cs="宋体"/>
                <w:color w:val="000000"/>
                <w:sz w:val="24"/>
              </w:rPr>
            </w:pPr>
            <w:r>
              <w:rPr>
                <w:rFonts w:hint="eastAsia" w:ascii="宋体" w:hAnsi="宋体" w:cs="宋体"/>
                <w:color w:val="000000"/>
                <w:sz w:val="24"/>
              </w:rPr>
              <w:t>有对系统建设各阶段的验收和总体验收的进行详细说明，</w:t>
            </w:r>
          </w:p>
          <w:p w14:paraId="31D20012">
            <w:pPr>
              <w:textAlignment w:val="baseline"/>
              <w:rPr>
                <w:rFonts w:hint="eastAsia" w:ascii="宋体" w:hAnsi="宋体" w:cs="宋体"/>
                <w:color w:val="000000"/>
                <w:sz w:val="24"/>
              </w:rPr>
            </w:pPr>
            <w:r>
              <w:rPr>
                <w:rFonts w:hint="eastAsia" w:ascii="宋体" w:hAnsi="宋体" w:cs="宋体"/>
                <w:color w:val="000000"/>
                <w:sz w:val="24"/>
              </w:rPr>
              <w:t>验收思路清晰、措施全面、合理性强，方案优于招标文件要求的得2分；</w:t>
            </w:r>
          </w:p>
          <w:p w14:paraId="60596E08">
            <w:pPr>
              <w:textAlignment w:val="baseline"/>
              <w:rPr>
                <w:rFonts w:hint="eastAsia" w:ascii="宋体" w:hAnsi="宋体" w:cs="宋体"/>
                <w:color w:val="000000"/>
                <w:sz w:val="24"/>
              </w:rPr>
            </w:pPr>
            <w:r>
              <w:rPr>
                <w:rFonts w:hint="eastAsia" w:ascii="宋体" w:hAnsi="宋体" w:cs="宋体"/>
                <w:color w:val="000000"/>
                <w:sz w:val="24"/>
              </w:rPr>
              <w:t>方案思路较为清晰、措施较为全面、合理性较强，满足招标文件要求的得1分；</w:t>
            </w:r>
          </w:p>
          <w:p w14:paraId="61DF0B49">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168F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1097" w:type="dxa"/>
            <w:vAlign w:val="center"/>
          </w:tcPr>
          <w:p w14:paraId="35D0DF60">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监理工作制度、提交的工作成果</w:t>
            </w:r>
          </w:p>
        </w:tc>
        <w:tc>
          <w:tcPr>
            <w:tcW w:w="555" w:type="dxa"/>
            <w:vAlign w:val="center"/>
          </w:tcPr>
          <w:p w14:paraId="29163873">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4</w:t>
            </w:r>
          </w:p>
        </w:tc>
        <w:tc>
          <w:tcPr>
            <w:tcW w:w="7750" w:type="dxa"/>
            <w:vAlign w:val="center"/>
          </w:tcPr>
          <w:p w14:paraId="54804DB2">
            <w:pPr>
              <w:textAlignment w:val="baseline"/>
              <w:rPr>
                <w:rFonts w:hint="eastAsia" w:ascii="宋体" w:hAnsi="宋体" w:cs="宋体"/>
                <w:color w:val="000000"/>
                <w:sz w:val="24"/>
              </w:rPr>
            </w:pPr>
            <w:r>
              <w:rPr>
                <w:rFonts w:hint="eastAsia" w:ascii="宋体" w:hAnsi="宋体" w:cs="宋体"/>
                <w:color w:val="000000"/>
                <w:sz w:val="24"/>
              </w:rPr>
              <w:t>根据各投标人监理大纲中监理工作制度、工作成果进行比较：</w:t>
            </w:r>
          </w:p>
          <w:p w14:paraId="59318F29">
            <w:pPr>
              <w:textAlignment w:val="baseline"/>
              <w:rPr>
                <w:rFonts w:hint="eastAsia" w:ascii="宋体" w:hAnsi="宋体" w:cs="宋体"/>
                <w:color w:val="000000"/>
                <w:sz w:val="24"/>
              </w:rPr>
            </w:pPr>
            <w:r>
              <w:rPr>
                <w:rFonts w:hint="eastAsia" w:ascii="宋体" w:hAnsi="宋体" w:cs="宋体"/>
                <w:color w:val="000000"/>
                <w:sz w:val="24"/>
              </w:rPr>
              <w:t>1.有完整的项目监理工作制度的得2分，没有不得分；</w:t>
            </w:r>
          </w:p>
          <w:p w14:paraId="5D4E0E81">
            <w:pPr>
              <w:textAlignment w:val="baseline"/>
              <w:rPr>
                <w:rFonts w:hint="eastAsia" w:ascii="宋体" w:hAnsi="宋体" w:cs="宋体"/>
                <w:color w:val="000000"/>
                <w:sz w:val="24"/>
              </w:rPr>
            </w:pPr>
            <w:r>
              <w:rPr>
                <w:rFonts w:hint="eastAsia" w:ascii="宋体" w:hAnsi="宋体" w:cs="宋体"/>
                <w:color w:val="000000"/>
                <w:sz w:val="24"/>
              </w:rPr>
              <w:t>2.有完整的项目监理工作成果的得2分，没有不得分。</w:t>
            </w:r>
          </w:p>
        </w:tc>
      </w:tr>
      <w:tr w14:paraId="39BB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097" w:type="dxa"/>
            <w:vAlign w:val="center"/>
          </w:tcPr>
          <w:p w14:paraId="1461FB80">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监理工作实施计划</w:t>
            </w:r>
          </w:p>
        </w:tc>
        <w:tc>
          <w:tcPr>
            <w:tcW w:w="555" w:type="dxa"/>
            <w:vAlign w:val="center"/>
          </w:tcPr>
          <w:p w14:paraId="0DFA2223">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vAlign w:val="center"/>
          </w:tcPr>
          <w:p w14:paraId="4FFC5AE0">
            <w:pPr>
              <w:textAlignment w:val="baseline"/>
              <w:rPr>
                <w:rFonts w:hint="eastAsia" w:ascii="宋体" w:hAnsi="宋体" w:cs="宋体"/>
                <w:color w:val="000000"/>
                <w:sz w:val="24"/>
              </w:rPr>
            </w:pPr>
            <w:r>
              <w:rPr>
                <w:rFonts w:hint="eastAsia" w:ascii="宋体" w:hAnsi="宋体" w:cs="宋体"/>
                <w:color w:val="000000"/>
                <w:sz w:val="24"/>
              </w:rPr>
              <w:t>根据各投标人监理大纲中的监理实施计划进行比较：</w:t>
            </w:r>
          </w:p>
          <w:p w14:paraId="1F372C21">
            <w:pPr>
              <w:textAlignment w:val="baseline"/>
              <w:rPr>
                <w:rFonts w:hint="eastAsia" w:ascii="宋体" w:hAnsi="宋体" w:cs="宋体"/>
                <w:color w:val="000000"/>
                <w:sz w:val="24"/>
              </w:rPr>
            </w:pPr>
            <w:r>
              <w:rPr>
                <w:rFonts w:hint="eastAsia" w:ascii="宋体" w:hAnsi="宋体" w:cs="宋体"/>
                <w:color w:val="000000"/>
                <w:sz w:val="24"/>
              </w:rPr>
              <w:t>监理工作计划科学合理，可行性强，方案优于招标文件要求的得3分，</w:t>
            </w:r>
          </w:p>
          <w:p w14:paraId="22A49EEB">
            <w:pPr>
              <w:textAlignment w:val="baseline"/>
              <w:rPr>
                <w:rFonts w:hint="eastAsia" w:ascii="宋体" w:hAnsi="宋体" w:cs="宋体"/>
                <w:color w:val="000000"/>
                <w:sz w:val="24"/>
              </w:rPr>
            </w:pPr>
            <w:r>
              <w:rPr>
                <w:rFonts w:hint="eastAsia" w:ascii="宋体" w:hAnsi="宋体" w:cs="宋体"/>
                <w:color w:val="000000"/>
                <w:sz w:val="24"/>
              </w:rPr>
              <w:t>监理工作计划较为科学合理，可行性较强，满足招标文件要求的得2分，</w:t>
            </w:r>
          </w:p>
          <w:p w14:paraId="2071684D">
            <w:pPr>
              <w:textAlignment w:val="baseline"/>
              <w:rPr>
                <w:rFonts w:hint="eastAsia" w:ascii="宋体" w:hAnsi="宋体" w:cs="宋体"/>
                <w:color w:val="000000"/>
                <w:sz w:val="24"/>
              </w:rPr>
            </w:pPr>
            <w:r>
              <w:rPr>
                <w:rFonts w:hint="eastAsia" w:ascii="宋体" w:hAnsi="宋体" w:cs="宋体"/>
                <w:color w:val="000000"/>
                <w:sz w:val="24"/>
              </w:rPr>
              <w:t>未提供或不满足不得分。</w:t>
            </w:r>
          </w:p>
        </w:tc>
      </w:tr>
      <w:tr w14:paraId="2F28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097" w:type="dxa"/>
            <w:tcBorders>
              <w:bottom w:val="single" w:color="auto" w:sz="4" w:space="0"/>
            </w:tcBorders>
            <w:vAlign w:val="center"/>
          </w:tcPr>
          <w:p w14:paraId="5A7BB407">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服务承诺</w:t>
            </w:r>
          </w:p>
        </w:tc>
        <w:tc>
          <w:tcPr>
            <w:tcW w:w="555" w:type="dxa"/>
            <w:tcBorders>
              <w:bottom w:val="single" w:color="auto" w:sz="4" w:space="0"/>
            </w:tcBorders>
            <w:vAlign w:val="center"/>
          </w:tcPr>
          <w:p w14:paraId="56B6674E">
            <w:pPr>
              <w:widowControl w:val="0"/>
              <w:adjustRightInd w:val="0"/>
              <w:snapToGrid w:val="0"/>
              <w:jc w:val="center"/>
              <w:textAlignment w:val="baseline"/>
              <w:rPr>
                <w:rFonts w:hint="eastAsia" w:ascii="宋体" w:hAnsi="宋体" w:cs="宋体"/>
                <w:b/>
                <w:kern w:val="0"/>
                <w:sz w:val="24"/>
              </w:rPr>
            </w:pPr>
            <w:r>
              <w:rPr>
                <w:rFonts w:hint="eastAsia" w:ascii="宋体" w:hAnsi="宋体" w:cs="宋体"/>
                <w:b/>
                <w:kern w:val="0"/>
                <w:sz w:val="24"/>
              </w:rPr>
              <w:t>3</w:t>
            </w:r>
          </w:p>
        </w:tc>
        <w:tc>
          <w:tcPr>
            <w:tcW w:w="7750" w:type="dxa"/>
            <w:tcBorders>
              <w:bottom w:val="single" w:color="auto" w:sz="4" w:space="0"/>
            </w:tcBorders>
            <w:vAlign w:val="center"/>
          </w:tcPr>
          <w:p w14:paraId="2EA5F15B">
            <w:pPr>
              <w:textAlignment w:val="baseline"/>
              <w:rPr>
                <w:rFonts w:hint="eastAsia" w:ascii="宋体" w:hAnsi="宋体" w:cs="宋体"/>
                <w:color w:val="000000"/>
                <w:sz w:val="24"/>
              </w:rPr>
            </w:pPr>
            <w:r>
              <w:rPr>
                <w:rFonts w:hint="eastAsia" w:ascii="宋体" w:hAnsi="宋体" w:cs="宋体"/>
                <w:color w:val="000000"/>
                <w:sz w:val="24"/>
              </w:rPr>
              <w:t>提供人员驻场监理服务承诺，承诺内容包括：项目总监及其他主要人员能够根据项目进度及招标人（委托人）要求随时提供驻场服务，监理服务7×24 服务响应（含电话支持），未经甲方同意不得中途随意更换项目监理人员，符合得3分。（须提供承诺函并加盖公章）</w:t>
            </w:r>
          </w:p>
        </w:tc>
      </w:tr>
    </w:tbl>
    <w:p w14:paraId="51B02DC8">
      <w:pPr>
        <w:adjustRightInd w:val="0"/>
        <w:snapToGrid w:val="0"/>
        <w:ind w:right="313"/>
        <w:rPr>
          <w:rFonts w:hint="eastAsia" w:ascii="宋体" w:hAnsi="宋体" w:cs="宋体"/>
          <w:sz w:val="24"/>
        </w:rPr>
      </w:pPr>
    </w:p>
    <w:p w14:paraId="6ED93323">
      <w:pPr>
        <w:pStyle w:val="14"/>
        <w:spacing w:line="240" w:lineRule="auto"/>
        <w:rPr>
          <w:rFonts w:hint="eastAsia" w:ascii="宋体" w:hAnsi="宋体" w:cs="宋体"/>
          <w:b/>
          <w:bCs/>
        </w:rPr>
      </w:pPr>
      <w:r>
        <w:rPr>
          <w:rFonts w:hint="eastAsia" w:ascii="宋体" w:hAnsi="宋体" w:cs="宋体"/>
          <w:b/>
          <w:bCs/>
        </w:rPr>
        <w:t>注：1.供应商须按所有打分项具体要求提供证明材料</w:t>
      </w:r>
      <w:r>
        <w:rPr>
          <w:rFonts w:hint="eastAsia" w:ascii="宋体" w:hAnsi="宋体" w:cs="宋体"/>
          <w:b/>
          <w:bCs/>
          <w:color w:val="000000"/>
          <w:kern w:val="0"/>
        </w:rPr>
        <w:t>彩色扫描件</w:t>
      </w:r>
      <w:r>
        <w:rPr>
          <w:rFonts w:hint="eastAsia" w:ascii="宋体" w:hAnsi="宋体" w:cs="宋体"/>
          <w:b/>
          <w:bCs/>
        </w:rPr>
        <w:t>加盖公章，未提供证明材料或所提供的证明材料</w:t>
      </w:r>
      <w:r>
        <w:rPr>
          <w:rFonts w:hint="eastAsia" w:ascii="宋体" w:hAnsi="宋体" w:cs="宋体"/>
          <w:b/>
          <w:bCs/>
          <w:color w:val="000000"/>
          <w:kern w:val="0"/>
        </w:rPr>
        <w:t>彩色扫描件</w:t>
      </w:r>
      <w:r>
        <w:rPr>
          <w:rFonts w:hint="eastAsia" w:ascii="宋体" w:hAnsi="宋体" w:cs="宋体"/>
          <w:b/>
          <w:bCs/>
        </w:rPr>
        <w:t>加盖公章，不能清晰辨别的，视为无效证明文件，均不得分；</w:t>
      </w:r>
    </w:p>
    <w:p w14:paraId="1D8BAB9F">
      <w:pPr>
        <w:pStyle w:val="14"/>
        <w:spacing w:line="240" w:lineRule="auto"/>
        <w:rPr>
          <w:rFonts w:hint="eastAsia" w:ascii="宋体" w:hAnsi="宋体" w:cs="宋体"/>
        </w:rPr>
      </w:pPr>
      <w:r>
        <w:rPr>
          <w:rFonts w:hint="eastAsia" w:ascii="宋体" w:hAnsi="宋体" w:cs="宋体"/>
        </w:rPr>
        <w:t>2.按评审后得分由高到低顺序排列。得分相同的，按最终报价由低到高顺序排列。得分且最终报价相同的，按技术指标优劣顺序排列。</w:t>
      </w:r>
    </w:p>
    <w:p w14:paraId="1243A770">
      <w:pPr>
        <w:adjustRightInd w:val="0"/>
        <w:snapToGrid w:val="0"/>
        <w:ind w:left="-2" w:leftChars="-1" w:right="313"/>
        <w:rPr>
          <w:rFonts w:hint="eastAsia" w:ascii="宋体" w:hAnsi="宋体" w:cs="宋体"/>
          <w:b/>
          <w:sz w:val="24"/>
        </w:rPr>
      </w:pPr>
      <w:r>
        <w:rPr>
          <w:rFonts w:hint="eastAsia" w:ascii="宋体" w:hAnsi="宋体" w:cs="宋体"/>
          <w:b/>
          <w:bCs/>
          <w:sz w:val="24"/>
        </w:rPr>
        <w:t>3.4.3商务技术部分得分计算方法</w:t>
      </w:r>
      <w:r>
        <w:rPr>
          <w:rFonts w:hint="eastAsia" w:ascii="宋体" w:hAnsi="宋体" w:cs="宋体"/>
          <w:b/>
          <w:sz w:val="24"/>
        </w:rPr>
        <w:t>：</w:t>
      </w:r>
    </w:p>
    <w:p w14:paraId="487B41C3">
      <w:pPr>
        <w:adjustRightInd w:val="0"/>
        <w:snapToGrid w:val="0"/>
        <w:ind w:left="-2" w:leftChars="-1" w:right="313" w:firstLine="420"/>
        <w:rPr>
          <w:rFonts w:hint="eastAsia" w:ascii="宋体" w:hAnsi="宋体" w:cs="宋体"/>
          <w:sz w:val="24"/>
        </w:rPr>
      </w:pPr>
      <w:r>
        <w:rPr>
          <w:rFonts w:hint="eastAsia" w:ascii="宋体" w:hAnsi="宋体" w:cs="宋体"/>
          <w:sz w:val="24"/>
        </w:rPr>
        <w:t>将评标委员会对商务技术部分每个项目的评分，采用算术平均方法分别计算有效供应商在商务技术部分的最终得分。</w:t>
      </w:r>
    </w:p>
    <w:p w14:paraId="3B96BA05">
      <w:pPr>
        <w:adjustRightInd w:val="0"/>
        <w:snapToGrid w:val="0"/>
        <w:ind w:right="71" w:rightChars="34"/>
        <w:rPr>
          <w:rFonts w:hint="eastAsia" w:ascii="宋体" w:hAnsi="宋体" w:cs="宋体"/>
          <w:b/>
          <w:bCs/>
          <w:sz w:val="24"/>
        </w:rPr>
      </w:pPr>
      <w:r>
        <w:rPr>
          <w:rFonts w:hint="eastAsia" w:ascii="宋体" w:hAnsi="宋体" w:cs="宋体"/>
          <w:b/>
          <w:bCs/>
          <w:sz w:val="24"/>
        </w:rPr>
        <w:t>3.4.4投标价格部分</w:t>
      </w:r>
    </w:p>
    <w:p w14:paraId="206B260A">
      <w:pPr>
        <w:adjustRightInd w:val="0"/>
        <w:snapToGrid w:val="0"/>
        <w:ind w:left="-2" w:leftChars="-1" w:right="342" w:rightChars="163" w:firstLine="111" w:firstLineChars="46"/>
        <w:rPr>
          <w:rFonts w:hint="eastAsia" w:ascii="宋体" w:hAnsi="宋体" w:cs="宋体"/>
          <w:b/>
          <w:bCs/>
          <w:sz w:val="24"/>
        </w:rPr>
      </w:pPr>
      <w:r>
        <w:rPr>
          <w:rFonts w:hint="eastAsia" w:ascii="宋体" w:hAnsi="宋体" w:cs="宋体"/>
          <w:b/>
          <w:bCs/>
          <w:sz w:val="24"/>
        </w:rPr>
        <w:t>投标价格部分评分标准（满分10分）</w:t>
      </w:r>
    </w:p>
    <w:p w14:paraId="499F0767">
      <w:pPr>
        <w:adjustRightInd w:val="0"/>
        <w:snapToGrid w:val="0"/>
        <w:ind w:left="-2" w:leftChars="-1" w:right="342" w:rightChars="163" w:firstLine="111" w:firstLineChars="46"/>
        <w:rPr>
          <w:rFonts w:hint="eastAsia" w:ascii="宋体" w:hAnsi="宋体" w:cs="宋体"/>
          <w:b/>
          <w:bCs/>
          <w:sz w:val="24"/>
        </w:rPr>
      </w:pPr>
      <w:r>
        <w:rPr>
          <w:rFonts w:hint="eastAsia" w:ascii="宋体" w:hAnsi="宋体" w:cs="宋体"/>
          <w:b/>
          <w:bCs/>
          <w:sz w:val="24"/>
        </w:rPr>
        <w:br w:type="page"/>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5817"/>
        <w:gridCol w:w="1025"/>
      </w:tblGrid>
      <w:tr w14:paraId="573C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68" w:type="pct"/>
            <w:vAlign w:val="center"/>
          </w:tcPr>
          <w:p w14:paraId="74EBD5FA">
            <w:pPr>
              <w:widowControl w:val="0"/>
              <w:adjustRightInd w:val="0"/>
              <w:snapToGrid w:val="0"/>
              <w:ind w:left="-2" w:leftChars="-1" w:right="342" w:rightChars="163" w:firstLine="111" w:firstLineChars="46"/>
              <w:jc w:val="both"/>
              <w:textAlignment w:val="baseline"/>
              <w:rPr>
                <w:rFonts w:hint="eastAsia" w:ascii="宋体" w:hAnsi="宋体" w:cs="宋体"/>
                <w:sz w:val="24"/>
              </w:rPr>
            </w:pPr>
            <w:r>
              <w:rPr>
                <w:rFonts w:hint="eastAsia" w:ascii="宋体" w:hAnsi="宋体" w:cs="宋体"/>
                <w:b/>
                <w:bCs/>
                <w:sz w:val="24"/>
              </w:rPr>
              <w:br w:type="page"/>
            </w:r>
            <w:r>
              <w:rPr>
                <w:rFonts w:hint="eastAsia" w:ascii="宋体" w:hAnsi="宋体" w:cs="宋体"/>
                <w:sz w:val="24"/>
              </w:rPr>
              <w:t>序号</w:t>
            </w:r>
          </w:p>
        </w:tc>
        <w:tc>
          <w:tcPr>
            <w:tcW w:w="745" w:type="pct"/>
            <w:vAlign w:val="center"/>
          </w:tcPr>
          <w:p w14:paraId="167CD6AD">
            <w:pPr>
              <w:pStyle w:val="70"/>
              <w:spacing w:before="0" w:after="0" w:line="240" w:lineRule="auto"/>
              <w:ind w:firstLine="0"/>
              <w:jc w:val="center"/>
              <w:rPr>
                <w:rFonts w:hint="eastAsia" w:ascii="宋体" w:hAnsi="宋体" w:cs="宋体"/>
                <w:szCs w:val="24"/>
              </w:rPr>
            </w:pPr>
            <w:r>
              <w:rPr>
                <w:rFonts w:hint="eastAsia" w:ascii="宋体" w:hAnsi="宋体" w:cs="宋体"/>
                <w:szCs w:val="24"/>
              </w:rPr>
              <w:t>评审项目</w:t>
            </w:r>
          </w:p>
        </w:tc>
        <w:tc>
          <w:tcPr>
            <w:tcW w:w="3218" w:type="pct"/>
            <w:vAlign w:val="center"/>
          </w:tcPr>
          <w:p w14:paraId="4E447241">
            <w:pPr>
              <w:pStyle w:val="70"/>
              <w:spacing w:before="0" w:after="0" w:line="240" w:lineRule="auto"/>
              <w:ind w:firstLine="0"/>
              <w:jc w:val="center"/>
              <w:rPr>
                <w:rFonts w:hint="eastAsia" w:ascii="宋体" w:hAnsi="宋体" w:cs="宋体"/>
                <w:szCs w:val="24"/>
              </w:rPr>
            </w:pPr>
            <w:r>
              <w:rPr>
                <w:rFonts w:hint="eastAsia" w:ascii="宋体" w:hAnsi="宋体" w:cs="宋体"/>
                <w:szCs w:val="24"/>
              </w:rPr>
              <w:t>评分标准</w:t>
            </w:r>
          </w:p>
        </w:tc>
        <w:tc>
          <w:tcPr>
            <w:tcW w:w="567" w:type="pct"/>
            <w:vAlign w:val="center"/>
          </w:tcPr>
          <w:p w14:paraId="32E0056D">
            <w:pPr>
              <w:pStyle w:val="70"/>
              <w:spacing w:before="0" w:after="0" w:line="240" w:lineRule="auto"/>
              <w:ind w:firstLine="0"/>
              <w:jc w:val="center"/>
              <w:rPr>
                <w:rFonts w:hint="eastAsia" w:ascii="宋体" w:hAnsi="宋体" w:cs="宋体"/>
                <w:szCs w:val="24"/>
              </w:rPr>
            </w:pPr>
            <w:r>
              <w:rPr>
                <w:rFonts w:hint="eastAsia" w:ascii="宋体" w:hAnsi="宋体" w:cs="宋体"/>
                <w:szCs w:val="24"/>
              </w:rPr>
              <w:t>分值</w:t>
            </w:r>
          </w:p>
        </w:tc>
      </w:tr>
      <w:tr w14:paraId="7125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468" w:type="pct"/>
            <w:vAlign w:val="center"/>
          </w:tcPr>
          <w:p w14:paraId="56E84128">
            <w:pPr>
              <w:widowControl w:val="0"/>
              <w:adjustRightInd w:val="0"/>
              <w:snapToGrid w:val="0"/>
              <w:jc w:val="center"/>
              <w:textAlignment w:val="baseline"/>
              <w:rPr>
                <w:rFonts w:hint="eastAsia" w:ascii="宋体" w:hAnsi="宋体" w:cs="宋体"/>
                <w:sz w:val="24"/>
              </w:rPr>
            </w:pPr>
            <w:r>
              <w:rPr>
                <w:rFonts w:hint="eastAsia" w:ascii="宋体" w:hAnsi="宋体" w:cs="宋体"/>
                <w:sz w:val="24"/>
              </w:rPr>
              <w:t>1</w:t>
            </w:r>
          </w:p>
        </w:tc>
        <w:tc>
          <w:tcPr>
            <w:tcW w:w="745" w:type="pct"/>
            <w:vAlign w:val="center"/>
          </w:tcPr>
          <w:p w14:paraId="27187D9D">
            <w:pPr>
              <w:widowControl w:val="0"/>
              <w:adjustRightInd w:val="0"/>
              <w:snapToGrid w:val="0"/>
              <w:jc w:val="center"/>
              <w:textAlignment w:val="baseline"/>
              <w:rPr>
                <w:rFonts w:hint="eastAsia" w:ascii="宋体" w:hAnsi="宋体" w:cs="宋体"/>
                <w:sz w:val="24"/>
              </w:rPr>
            </w:pPr>
            <w:r>
              <w:rPr>
                <w:rFonts w:hint="eastAsia" w:ascii="宋体" w:hAnsi="宋体" w:cs="宋体"/>
                <w:sz w:val="24"/>
              </w:rPr>
              <w:t>价格部分</w:t>
            </w:r>
          </w:p>
          <w:p w14:paraId="7197C0F4">
            <w:pPr>
              <w:widowControl w:val="0"/>
              <w:adjustRightInd w:val="0"/>
              <w:snapToGrid w:val="0"/>
              <w:jc w:val="center"/>
              <w:textAlignment w:val="baseline"/>
              <w:rPr>
                <w:rFonts w:hint="eastAsia" w:ascii="宋体" w:hAnsi="宋体" w:cs="宋体"/>
                <w:sz w:val="24"/>
              </w:rPr>
            </w:pPr>
          </w:p>
        </w:tc>
        <w:tc>
          <w:tcPr>
            <w:tcW w:w="3218" w:type="pct"/>
            <w:vAlign w:val="center"/>
          </w:tcPr>
          <w:p w14:paraId="65D2576F">
            <w:pPr>
              <w:widowControl w:val="0"/>
              <w:adjustRightInd w:val="0"/>
              <w:snapToGrid w:val="0"/>
              <w:jc w:val="both"/>
              <w:textAlignment w:val="baseline"/>
              <w:rPr>
                <w:rFonts w:hint="eastAsia" w:ascii="宋体" w:hAnsi="宋体" w:cs="宋体"/>
                <w:b/>
                <w:bCs/>
                <w:sz w:val="24"/>
              </w:rPr>
            </w:pPr>
            <w:r>
              <w:rPr>
                <w:rFonts w:hint="eastAsia" w:ascii="宋体" w:hAnsi="宋体" w:cs="宋体"/>
                <w:b/>
                <w:bCs/>
                <w:sz w:val="24"/>
              </w:rPr>
              <w:t>价格分采用低价优先法计算，即满足采购文件要求且投标价格最低的投标报价为评标基准价，其价格分为满分。其他供应商的价格分统一按照下列公式计算：</w:t>
            </w:r>
          </w:p>
          <w:p w14:paraId="517134D6">
            <w:pPr>
              <w:widowControl w:val="0"/>
              <w:adjustRightInd w:val="0"/>
              <w:snapToGrid w:val="0"/>
              <w:jc w:val="both"/>
              <w:textAlignment w:val="baseline"/>
              <w:rPr>
                <w:rFonts w:hint="eastAsia" w:ascii="宋体" w:hAnsi="宋体" w:cs="宋体"/>
                <w:sz w:val="24"/>
              </w:rPr>
            </w:pPr>
            <w:r>
              <w:rPr>
                <w:rFonts w:hint="eastAsia" w:ascii="宋体" w:hAnsi="宋体" w:cs="宋体"/>
                <w:b/>
                <w:bCs/>
                <w:sz w:val="24"/>
              </w:rPr>
              <w:t xml:space="preserve">投标报价得分=(评标基准价／投标报价)×价格分值×100% </w:t>
            </w:r>
          </w:p>
          <w:p w14:paraId="7F04C4B7">
            <w:pPr>
              <w:pStyle w:val="30"/>
              <w:widowControl w:val="0"/>
              <w:adjustRightInd w:val="0"/>
              <w:ind w:firstLine="0" w:firstLineChars="0"/>
              <w:jc w:val="both"/>
              <w:textAlignment w:val="baseline"/>
              <w:rPr>
                <w:rFonts w:hint="eastAsia" w:ascii="宋体" w:hAnsi="宋体" w:cs="宋体"/>
                <w:sz w:val="24"/>
                <w:szCs w:val="24"/>
              </w:rPr>
            </w:pPr>
            <w:r>
              <w:rPr>
                <w:rFonts w:hint="eastAsia" w:ascii="宋体" w:hAnsi="宋体" w:cs="宋体"/>
                <w:sz w:val="24"/>
                <w:szCs w:val="24"/>
              </w:rPr>
              <w:t>评标委员会认为投标人的报价明显低于其他通过符合性审查投标人的报价，有可能不能诚信履约的，评标委员会有权要求其在评标现场合理的时间内提供书面说明，必要时提交相关证明材料；投标人如不能证明其报价合理性的，评标委员会应当将其作为无效投标处理。</w:t>
            </w:r>
          </w:p>
        </w:tc>
        <w:tc>
          <w:tcPr>
            <w:tcW w:w="567" w:type="pct"/>
            <w:vAlign w:val="center"/>
          </w:tcPr>
          <w:p w14:paraId="74FB8B8D">
            <w:pPr>
              <w:widowControl w:val="0"/>
              <w:adjustRightInd w:val="0"/>
              <w:snapToGrid w:val="0"/>
              <w:jc w:val="both"/>
              <w:textAlignment w:val="baseline"/>
              <w:rPr>
                <w:rFonts w:hint="eastAsia" w:ascii="宋体" w:hAnsi="宋体" w:cs="宋体"/>
                <w:sz w:val="24"/>
              </w:rPr>
            </w:pPr>
            <w:r>
              <w:rPr>
                <w:rFonts w:hint="eastAsia" w:ascii="宋体" w:hAnsi="宋体" w:cs="宋体"/>
                <w:sz w:val="24"/>
              </w:rPr>
              <w:t>0-10分</w:t>
            </w:r>
          </w:p>
        </w:tc>
      </w:tr>
    </w:tbl>
    <w:p w14:paraId="490A240E">
      <w:pPr>
        <w:rPr>
          <w:rFonts w:hint="eastAsia" w:ascii="宋体" w:hAnsi="宋体" w:cs="宋体"/>
          <w:b/>
          <w:sz w:val="24"/>
        </w:rPr>
      </w:pPr>
    </w:p>
    <w:p w14:paraId="251607AD">
      <w:pPr>
        <w:rPr>
          <w:rFonts w:hint="eastAsia" w:ascii="宋体" w:hAnsi="宋体" w:cs="宋体"/>
          <w:b/>
          <w:sz w:val="24"/>
        </w:rPr>
      </w:pPr>
      <w:r>
        <w:rPr>
          <w:rFonts w:hint="eastAsia" w:ascii="宋体" w:hAnsi="宋体" w:cs="宋体"/>
          <w:b/>
          <w:sz w:val="24"/>
        </w:rPr>
        <w:t>3.4.5供应商得分</w:t>
      </w:r>
    </w:p>
    <w:p w14:paraId="5931427A">
      <w:pPr>
        <w:rPr>
          <w:rFonts w:hint="eastAsia" w:ascii="宋体" w:hAnsi="宋体" w:cs="宋体"/>
          <w:b/>
          <w:sz w:val="24"/>
        </w:rPr>
      </w:pPr>
      <w:r>
        <w:rPr>
          <w:rFonts w:hint="eastAsia" w:ascii="宋体" w:hAnsi="宋体" w:cs="宋体"/>
          <w:b/>
          <w:sz w:val="24"/>
        </w:rPr>
        <w:t xml:space="preserve">   供应商总分＝商务技术部分+价格部分注：以上计算分数时四舍五入取小数点后两位。</w:t>
      </w:r>
    </w:p>
    <w:p w14:paraId="51D018DD">
      <w:pPr>
        <w:rPr>
          <w:rFonts w:hint="eastAsia" w:ascii="宋体" w:hAnsi="宋体" w:cs="宋体"/>
          <w:b/>
          <w:sz w:val="24"/>
        </w:rPr>
      </w:pPr>
      <w:r>
        <w:rPr>
          <w:rFonts w:hint="eastAsia" w:ascii="宋体" w:hAnsi="宋体" w:cs="宋体"/>
          <w:b/>
          <w:sz w:val="24"/>
        </w:rPr>
        <w:t>3.5</w:t>
      </w:r>
      <w:r>
        <w:rPr>
          <w:rFonts w:hint="eastAsia" w:ascii="宋体" w:hAnsi="宋体" w:cs="宋体"/>
          <w:b/>
          <w:kern w:val="0"/>
          <w:sz w:val="24"/>
        </w:rPr>
        <w:t>推荐中标候选供应商名单</w:t>
      </w:r>
    </w:p>
    <w:p w14:paraId="3756A842">
      <w:pPr>
        <w:rPr>
          <w:rFonts w:hint="eastAsia" w:ascii="宋体" w:hAnsi="宋体" w:cs="宋体"/>
          <w:sz w:val="24"/>
        </w:rPr>
      </w:pPr>
      <w:r>
        <w:rPr>
          <w:rFonts w:hint="eastAsia" w:ascii="宋体" w:hAnsi="宋体" w:cs="宋体"/>
          <w:sz w:val="24"/>
        </w:rPr>
        <w:t xml:space="preserve">3.5.1中标候选供应商数量为3人，但必须按顺序排列中标候选供应商。 </w:t>
      </w:r>
    </w:p>
    <w:p w14:paraId="1281BAE1">
      <w:pPr>
        <w:rPr>
          <w:rFonts w:hint="eastAsia" w:ascii="宋体" w:hAnsi="宋体" w:cs="宋体"/>
          <w:kern w:val="0"/>
          <w:sz w:val="24"/>
        </w:rPr>
      </w:pPr>
      <w:r>
        <w:rPr>
          <w:rFonts w:hint="eastAsia" w:ascii="宋体" w:hAnsi="宋体" w:cs="宋体"/>
          <w:sz w:val="24"/>
        </w:rPr>
        <w:t>3.5.2评标委员会对全部满足采购文件实质性要求前提下，</w:t>
      </w:r>
      <w:r>
        <w:rPr>
          <w:rFonts w:hint="eastAsia" w:ascii="宋体" w:hAnsi="宋体" w:cs="宋体"/>
          <w:kern w:val="0"/>
          <w:sz w:val="24"/>
        </w:rPr>
        <w:t>按照采购文件中规定的各项因素进行综合评审后，按评审后的综合得分由高到低顺序排列，以评标总得分最高的供应商作为中标候选人。得分相同的，按投标报价由低到高顺序排列。得分且投标报价相同的，按技术方案优劣顺序排列。</w:t>
      </w:r>
    </w:p>
    <w:p w14:paraId="15EB077B">
      <w:pPr>
        <w:rPr>
          <w:rFonts w:hint="eastAsia" w:ascii="宋体" w:hAnsi="宋体" w:cs="宋体"/>
          <w:b/>
          <w:bCs/>
          <w:kern w:val="0"/>
          <w:sz w:val="24"/>
        </w:rPr>
      </w:pPr>
      <w:r>
        <w:rPr>
          <w:rFonts w:hint="eastAsia" w:ascii="宋体" w:hAnsi="宋体" w:cs="宋体"/>
          <w:b/>
          <w:bCs/>
          <w:kern w:val="0"/>
          <w:sz w:val="24"/>
        </w:rPr>
        <w:t>3.6编写评标报告</w:t>
      </w:r>
    </w:p>
    <w:p w14:paraId="748AC6EF">
      <w:pPr>
        <w:rPr>
          <w:rFonts w:hint="eastAsia" w:ascii="宋体" w:hAnsi="宋体" w:cs="宋体"/>
          <w:kern w:val="0"/>
          <w:sz w:val="24"/>
        </w:rPr>
      </w:pPr>
      <w:r>
        <w:rPr>
          <w:rFonts w:hint="eastAsia" w:ascii="宋体" w:hAnsi="宋体" w:cs="宋体"/>
          <w:kern w:val="0"/>
          <w:sz w:val="24"/>
        </w:rPr>
        <w:t>3.6.1</w:t>
      </w:r>
      <w:r>
        <w:rPr>
          <w:rFonts w:hint="eastAsia" w:ascii="宋体" w:hAnsi="宋体" w:cs="宋体"/>
          <w:sz w:val="24"/>
        </w:rPr>
        <w:t>评标委员会完成评标后</w:t>
      </w:r>
      <w:r>
        <w:rPr>
          <w:rFonts w:hint="eastAsia" w:ascii="宋体" w:hAnsi="宋体" w:cs="宋体"/>
          <w:kern w:val="0"/>
          <w:sz w:val="24"/>
        </w:rPr>
        <w:t xml:space="preserve">，根据全体评标成员签字的原始评标记录和评标结果编写的报告，其主要内容包括： </w:t>
      </w:r>
    </w:p>
    <w:p w14:paraId="0AFEA315">
      <w:pPr>
        <w:ind w:firstLine="240" w:firstLineChars="100"/>
        <w:rPr>
          <w:rFonts w:hint="eastAsia" w:ascii="宋体" w:hAnsi="宋体" w:cs="宋体"/>
          <w:kern w:val="0"/>
          <w:sz w:val="24"/>
        </w:rPr>
      </w:pPr>
      <w:r>
        <w:rPr>
          <w:rFonts w:hint="eastAsia" w:ascii="宋体" w:hAnsi="宋体" w:cs="宋体"/>
          <w:kern w:val="0"/>
          <w:sz w:val="24"/>
        </w:rPr>
        <w:t xml:space="preserve">（1）招标公告刊登的媒体名称、开标日期和地点； </w:t>
      </w:r>
    </w:p>
    <w:p w14:paraId="65C3119A">
      <w:pPr>
        <w:ind w:firstLine="240" w:firstLineChars="100"/>
        <w:rPr>
          <w:rFonts w:hint="eastAsia" w:ascii="宋体" w:hAnsi="宋体" w:cs="宋体"/>
          <w:kern w:val="0"/>
          <w:sz w:val="24"/>
        </w:rPr>
      </w:pPr>
      <w:r>
        <w:rPr>
          <w:rFonts w:hint="eastAsia" w:ascii="宋体" w:hAnsi="宋体" w:cs="宋体"/>
          <w:kern w:val="0"/>
          <w:sz w:val="24"/>
        </w:rPr>
        <w:t xml:space="preserve">（2）购买采购文件的供应商名单和评标委员会成员名单； </w:t>
      </w:r>
    </w:p>
    <w:p w14:paraId="07872AE6">
      <w:pPr>
        <w:ind w:firstLine="240" w:firstLineChars="100"/>
        <w:rPr>
          <w:rFonts w:hint="eastAsia" w:ascii="宋体" w:hAnsi="宋体" w:cs="宋体"/>
          <w:kern w:val="0"/>
          <w:sz w:val="24"/>
        </w:rPr>
      </w:pPr>
      <w:r>
        <w:rPr>
          <w:rFonts w:hint="eastAsia" w:ascii="宋体" w:hAnsi="宋体" w:cs="宋体"/>
          <w:kern w:val="0"/>
          <w:sz w:val="24"/>
        </w:rPr>
        <w:t xml:space="preserve">（3）评标方法和标准； </w:t>
      </w:r>
    </w:p>
    <w:p w14:paraId="678566E2">
      <w:pPr>
        <w:ind w:firstLine="240" w:firstLineChars="100"/>
        <w:rPr>
          <w:rFonts w:hint="eastAsia" w:ascii="宋体" w:hAnsi="宋体" w:cs="宋体"/>
          <w:kern w:val="0"/>
          <w:sz w:val="24"/>
        </w:rPr>
      </w:pPr>
      <w:r>
        <w:rPr>
          <w:rFonts w:hint="eastAsia" w:ascii="宋体" w:hAnsi="宋体" w:cs="宋体"/>
          <w:kern w:val="0"/>
          <w:sz w:val="24"/>
        </w:rPr>
        <w:t xml:space="preserve">（4）开标记录和评标情况及说明，包括投标无效供应商名单及原因； </w:t>
      </w:r>
    </w:p>
    <w:p w14:paraId="03C8E830">
      <w:pPr>
        <w:ind w:firstLine="240" w:firstLineChars="100"/>
        <w:rPr>
          <w:rFonts w:hint="eastAsia" w:ascii="宋体" w:hAnsi="宋体" w:cs="宋体"/>
          <w:kern w:val="0"/>
          <w:sz w:val="24"/>
        </w:rPr>
      </w:pPr>
      <w:r>
        <w:rPr>
          <w:rFonts w:hint="eastAsia" w:ascii="宋体" w:hAnsi="宋体" w:cs="宋体"/>
          <w:kern w:val="0"/>
          <w:sz w:val="24"/>
        </w:rPr>
        <w:t xml:space="preserve">（5）评标结果和中标候人排序表； </w:t>
      </w:r>
    </w:p>
    <w:p w14:paraId="4D80251F">
      <w:pPr>
        <w:ind w:firstLine="240" w:firstLineChars="100"/>
        <w:rPr>
          <w:rFonts w:hint="eastAsia" w:ascii="宋体" w:hAnsi="宋体" w:cs="宋体"/>
          <w:kern w:val="0"/>
          <w:sz w:val="24"/>
        </w:rPr>
      </w:pPr>
      <w:r>
        <w:rPr>
          <w:rFonts w:hint="eastAsia" w:ascii="宋体" w:hAnsi="宋体" w:cs="宋体"/>
          <w:kern w:val="0"/>
          <w:sz w:val="24"/>
        </w:rPr>
        <w:t xml:space="preserve">（6）评标委员会的授标建议。 </w:t>
      </w:r>
    </w:p>
    <w:p w14:paraId="481CEC21">
      <w:pPr>
        <w:rPr>
          <w:rFonts w:hint="eastAsia" w:ascii="宋体" w:hAnsi="宋体" w:cs="宋体"/>
          <w:kern w:val="0"/>
          <w:sz w:val="24"/>
        </w:rPr>
      </w:pPr>
      <w:r>
        <w:rPr>
          <w:rFonts w:hint="eastAsia" w:ascii="宋体" w:hAnsi="宋体" w:cs="宋体"/>
          <w:kern w:val="0"/>
          <w:sz w:val="24"/>
        </w:rPr>
        <w:t>3.6.2采购代理机构在评标结束后2个工作日内将评标报告送采购人。</w:t>
      </w:r>
    </w:p>
    <w:p w14:paraId="189B8DF9">
      <w:pPr>
        <w:rPr>
          <w:rFonts w:hint="eastAsia" w:ascii="宋体" w:hAnsi="宋体" w:cs="宋体"/>
          <w:b/>
          <w:sz w:val="24"/>
        </w:rPr>
      </w:pPr>
      <w:r>
        <w:rPr>
          <w:rFonts w:hint="eastAsia" w:ascii="宋体" w:hAnsi="宋体" w:cs="宋体"/>
          <w:b/>
          <w:sz w:val="24"/>
        </w:rPr>
        <w:t>3.6确定中标人</w:t>
      </w:r>
    </w:p>
    <w:p w14:paraId="22A25716">
      <w:pPr>
        <w:rPr>
          <w:rFonts w:hint="eastAsia" w:ascii="宋体" w:hAnsi="宋体" w:cs="宋体"/>
          <w:sz w:val="24"/>
        </w:rPr>
      </w:pPr>
      <w:r>
        <w:rPr>
          <w:rFonts w:hint="eastAsia" w:ascii="宋体" w:hAnsi="宋体" w:cs="宋体"/>
          <w:sz w:val="24"/>
        </w:rPr>
        <w:t>3.6.1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8F3A15C">
      <w:pPr>
        <w:rPr>
          <w:rFonts w:hint="eastAsia" w:ascii="宋体" w:hAnsi="宋体" w:cs="宋体"/>
          <w:sz w:val="24"/>
        </w:rPr>
      </w:pPr>
      <w:r>
        <w:rPr>
          <w:rFonts w:hint="eastAsia" w:ascii="宋体" w:hAnsi="宋体" w:cs="宋体"/>
          <w:sz w:val="24"/>
        </w:rPr>
        <w:t>3.6.2采购人在收到评标报告5个工作日内未按评标报告推荐的中标候选人顺序确定中标人，又不能说明合法理由的，视同按评标报告推荐的顺序确定排名第一的中标候选人为中标人。</w:t>
      </w:r>
    </w:p>
    <w:p w14:paraId="4582335E">
      <w:pPr>
        <w:jc w:val="center"/>
        <w:outlineLvl w:val="0"/>
        <w:rPr>
          <w:rFonts w:hint="eastAsia" w:ascii="宋体" w:hAnsi="宋体" w:cs="宋体"/>
          <w:b/>
          <w:bCs/>
          <w:kern w:val="36"/>
          <w:sz w:val="24"/>
        </w:rPr>
      </w:pPr>
      <w:bookmarkStart w:id="29" w:name="_Toc30156"/>
      <w:bookmarkStart w:id="30" w:name="_Toc2889"/>
      <w:r>
        <w:rPr>
          <w:rFonts w:hint="eastAsia" w:ascii="宋体" w:hAnsi="宋体" w:cs="宋体"/>
          <w:b/>
          <w:sz w:val="24"/>
        </w:rPr>
        <w:br w:type="page"/>
      </w:r>
      <w:r>
        <w:rPr>
          <w:rFonts w:hint="eastAsia" w:ascii="宋体" w:hAnsi="宋体" w:cs="宋体"/>
          <w:b/>
          <w:sz w:val="24"/>
        </w:rPr>
        <w:t xml:space="preserve">第四章 </w:t>
      </w:r>
      <w:r>
        <w:rPr>
          <w:rFonts w:hint="eastAsia" w:ascii="宋体" w:hAnsi="宋体" w:cs="宋体"/>
          <w:b/>
          <w:bCs/>
          <w:kern w:val="36"/>
          <w:sz w:val="24"/>
        </w:rPr>
        <w:t>合同附件格式及条款</w:t>
      </w:r>
      <w:bookmarkEnd w:id="29"/>
      <w:bookmarkEnd w:id="30"/>
    </w:p>
    <w:p w14:paraId="2EF97B09">
      <w:pPr>
        <w:ind w:left="-284"/>
        <w:rPr>
          <w:rFonts w:hint="eastAsia" w:ascii="宋体" w:hAnsi="宋体" w:cs="宋体"/>
          <w:sz w:val="24"/>
        </w:rPr>
      </w:pPr>
      <w:r>
        <w:rPr>
          <w:rFonts w:hint="eastAsia" w:ascii="宋体" w:hAnsi="宋体" w:cs="宋体"/>
          <w:b/>
          <w:sz w:val="24"/>
        </w:rPr>
        <w:t xml:space="preserve">                  </w:t>
      </w:r>
      <w:r>
        <w:rPr>
          <w:rFonts w:hint="eastAsia" w:ascii="宋体" w:hAnsi="宋体" w:cs="宋体"/>
          <w:b/>
          <w:bCs/>
          <w:sz w:val="24"/>
        </w:rPr>
        <w:t xml:space="preserve">              </w:t>
      </w:r>
      <w:r>
        <w:rPr>
          <w:rFonts w:hint="eastAsia" w:ascii="宋体" w:hAnsi="宋体" w:cs="宋体"/>
          <w:sz w:val="24"/>
        </w:rPr>
        <w:t xml:space="preserve">                                            </w:t>
      </w:r>
    </w:p>
    <w:p w14:paraId="33F1D299">
      <w:pPr>
        <w:pStyle w:val="9"/>
        <w:spacing w:line="240" w:lineRule="auto"/>
        <w:jc w:val="center"/>
        <w:rPr>
          <w:rFonts w:hint="eastAsia" w:ascii="宋体" w:hAnsi="宋体" w:cs="宋体"/>
          <w:b w:val="0"/>
          <w:szCs w:val="24"/>
        </w:rPr>
      </w:pPr>
      <w:bookmarkStart w:id="31" w:name="_Toc32713"/>
      <w:bookmarkStart w:id="32" w:name="_Toc12201"/>
      <w:r>
        <w:rPr>
          <w:rFonts w:hint="eastAsia" w:ascii="宋体" w:hAnsi="宋体" w:cs="宋体"/>
          <w:b w:val="0"/>
          <w:szCs w:val="24"/>
        </w:rPr>
        <w:t>合同范本</w:t>
      </w:r>
    </w:p>
    <w:p w14:paraId="5F29189D">
      <w:pPr>
        <w:pStyle w:val="9"/>
        <w:spacing w:line="240" w:lineRule="auto"/>
        <w:jc w:val="center"/>
        <w:rPr>
          <w:rFonts w:hint="eastAsia" w:ascii="宋体" w:hAnsi="宋体" w:cs="宋体"/>
          <w:szCs w:val="24"/>
        </w:rPr>
      </w:pPr>
      <w:bookmarkStart w:id="33" w:name="_Toc296891056"/>
      <w:bookmarkEnd w:id="33"/>
      <w:bookmarkStart w:id="34" w:name="_Toc296347227"/>
      <w:bookmarkEnd w:id="34"/>
      <w:bookmarkStart w:id="35" w:name="_Toc267261699"/>
      <w:bookmarkEnd w:id="35"/>
      <w:bookmarkStart w:id="36" w:name="_Toc296944567"/>
      <w:bookmarkEnd w:id="36"/>
      <w:bookmarkStart w:id="37" w:name="_Toc296891268"/>
      <w:bookmarkEnd w:id="37"/>
      <w:bookmarkStart w:id="38" w:name="_Toc296503228"/>
      <w:bookmarkEnd w:id="38"/>
      <w:bookmarkStart w:id="39" w:name="_Toc296346729"/>
      <w:bookmarkEnd w:id="39"/>
      <w:r>
        <w:rPr>
          <w:rFonts w:hint="eastAsia" w:ascii="宋体" w:hAnsi="宋体" w:cs="宋体"/>
          <w:b w:val="0"/>
          <w:szCs w:val="24"/>
        </w:rPr>
        <w:t>(</w:t>
      </w:r>
      <w:r>
        <w:rPr>
          <w:rFonts w:hint="eastAsia" w:ascii="宋体" w:hAnsi="宋体" w:cs="宋体"/>
          <w:szCs w:val="24"/>
        </w:rPr>
        <w:t>最终的合同以甲乙双方实际签订的合同为准</w:t>
      </w:r>
      <w:r>
        <w:rPr>
          <w:rFonts w:hint="eastAsia" w:ascii="宋体" w:hAnsi="宋体" w:cs="宋体"/>
          <w:b w:val="0"/>
          <w:szCs w:val="24"/>
        </w:rPr>
        <w:t>）</w:t>
      </w:r>
    </w:p>
    <w:p w14:paraId="46A2217E">
      <w:pPr>
        <w:jc w:val="center"/>
        <w:rPr>
          <w:rFonts w:hint="eastAsia" w:ascii="宋体" w:hAnsi="宋体" w:cs="宋体"/>
          <w:sz w:val="24"/>
        </w:rPr>
      </w:pPr>
      <w:r>
        <w:rPr>
          <w:rFonts w:hint="eastAsia" w:ascii="宋体" w:hAnsi="宋体" w:cs="宋体"/>
          <w:sz w:val="24"/>
        </w:rPr>
        <w:t>采购合同 (服务类)</w:t>
      </w:r>
    </w:p>
    <w:p w14:paraId="54EBAC2C">
      <w:pPr>
        <w:rPr>
          <w:rFonts w:hint="eastAsia" w:ascii="宋体" w:hAnsi="宋体" w:cs="宋体"/>
          <w:sz w:val="24"/>
        </w:rPr>
      </w:pPr>
    </w:p>
    <w:p w14:paraId="7039062C">
      <w:pPr>
        <w:rPr>
          <w:rFonts w:hint="eastAsia" w:ascii="宋体" w:hAnsi="宋体" w:cs="宋体"/>
          <w:sz w:val="24"/>
        </w:rPr>
      </w:pPr>
    </w:p>
    <w:p w14:paraId="56AEBF4B">
      <w:pPr>
        <w:rPr>
          <w:rFonts w:hint="eastAsia" w:ascii="宋体" w:hAnsi="宋体" w:cs="宋体"/>
          <w:sz w:val="24"/>
        </w:rPr>
      </w:pPr>
    </w:p>
    <w:p w14:paraId="08ED7D16">
      <w:pPr>
        <w:rPr>
          <w:rFonts w:hint="eastAsia" w:ascii="宋体" w:hAnsi="宋体" w:cs="宋体"/>
          <w:sz w:val="24"/>
        </w:rPr>
      </w:pPr>
      <w:r>
        <w:rPr>
          <w:rFonts w:hint="eastAsia" w:ascii="宋体" w:hAnsi="宋体" w:cs="宋体"/>
          <w:sz w:val="24"/>
        </w:rPr>
        <w:t>项目名称:</w:t>
      </w:r>
    </w:p>
    <w:p w14:paraId="19E46A7E">
      <w:pPr>
        <w:rPr>
          <w:rFonts w:hint="eastAsia" w:ascii="宋体" w:hAnsi="宋体" w:cs="宋体"/>
          <w:sz w:val="24"/>
        </w:rPr>
      </w:pPr>
      <w:r>
        <w:rPr>
          <w:rFonts w:hint="eastAsia" w:ascii="宋体" w:hAnsi="宋体" w:cs="宋体"/>
          <w:sz w:val="24"/>
        </w:rPr>
        <w:t xml:space="preserve">服务名称: </w:t>
      </w:r>
    </w:p>
    <w:p w14:paraId="6AD631C6">
      <w:pPr>
        <w:rPr>
          <w:rFonts w:hint="eastAsia" w:ascii="宋体" w:hAnsi="宋体" w:cs="宋体"/>
          <w:sz w:val="24"/>
        </w:rPr>
      </w:pPr>
    </w:p>
    <w:p w14:paraId="36405624">
      <w:pPr>
        <w:rPr>
          <w:rFonts w:hint="eastAsia" w:ascii="宋体" w:hAnsi="宋体" w:cs="宋体"/>
          <w:sz w:val="24"/>
        </w:rPr>
      </w:pPr>
    </w:p>
    <w:p w14:paraId="5D357B6B">
      <w:pPr>
        <w:rPr>
          <w:rFonts w:hint="eastAsia" w:ascii="宋体" w:hAnsi="宋体" w:cs="宋体"/>
          <w:sz w:val="24"/>
        </w:rPr>
      </w:pPr>
      <w:r>
        <w:rPr>
          <w:rFonts w:hint="eastAsia" w:ascii="宋体" w:hAnsi="宋体" w:cs="宋体"/>
          <w:sz w:val="24"/>
        </w:rPr>
        <w:t xml:space="preserve">买方: </w:t>
      </w:r>
    </w:p>
    <w:p w14:paraId="67CC97A1">
      <w:pPr>
        <w:rPr>
          <w:rFonts w:hint="eastAsia" w:ascii="宋体" w:hAnsi="宋体" w:cs="宋体"/>
          <w:sz w:val="24"/>
        </w:rPr>
      </w:pPr>
      <w:r>
        <w:rPr>
          <w:rFonts w:hint="eastAsia" w:ascii="宋体" w:hAnsi="宋体" w:cs="宋体"/>
          <w:sz w:val="24"/>
        </w:rPr>
        <w:t>卖方：</w:t>
      </w:r>
    </w:p>
    <w:p w14:paraId="2EE1DA93">
      <w:pPr>
        <w:rPr>
          <w:rFonts w:hint="eastAsia" w:ascii="宋体" w:hAnsi="宋体" w:cs="宋体"/>
          <w:sz w:val="24"/>
        </w:rPr>
      </w:pPr>
    </w:p>
    <w:p w14:paraId="298B0023">
      <w:pPr>
        <w:rPr>
          <w:rFonts w:hint="eastAsia" w:ascii="宋体" w:hAnsi="宋体" w:cs="宋体"/>
          <w:sz w:val="24"/>
        </w:rPr>
      </w:pPr>
    </w:p>
    <w:p w14:paraId="5491042C">
      <w:pPr>
        <w:ind w:firstLine="1320" w:firstLineChars="550"/>
        <w:rPr>
          <w:rFonts w:hint="eastAsia" w:ascii="宋体" w:hAnsi="宋体" w:cs="宋体"/>
          <w:sz w:val="24"/>
        </w:rPr>
      </w:pPr>
      <w:r>
        <w:rPr>
          <w:rFonts w:hint="eastAsia" w:ascii="宋体" w:hAnsi="宋体" w:cs="宋体"/>
          <w:sz w:val="24"/>
        </w:rPr>
        <w:t xml:space="preserve">签署日期:  </w:t>
      </w:r>
    </w:p>
    <w:p w14:paraId="5A59F46F">
      <w:pPr>
        <w:rPr>
          <w:rFonts w:hint="eastAsia" w:ascii="宋体" w:hAnsi="宋体" w:cs="宋体"/>
          <w:sz w:val="24"/>
        </w:rPr>
      </w:pPr>
    </w:p>
    <w:p w14:paraId="4803281B">
      <w:pPr>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合   同   书</w:t>
      </w:r>
    </w:p>
    <w:p w14:paraId="3C266F39">
      <w:pP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（买方)</w:t>
      </w:r>
      <w:r>
        <w:rPr>
          <w:rFonts w:hint="eastAsia" w:ascii="宋体" w:hAnsi="宋体" w:cs="宋体"/>
          <w:sz w:val="24"/>
          <w:u w:val="single"/>
        </w:rPr>
        <w:t xml:space="preserve">                   </w:t>
      </w:r>
    </w:p>
    <w:p w14:paraId="2985A843">
      <w:pP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(项目名称)中所需</w:t>
      </w:r>
      <w:r>
        <w:rPr>
          <w:rFonts w:hint="eastAsia" w:ascii="宋体" w:hAnsi="宋体" w:cs="宋体"/>
          <w:sz w:val="24"/>
          <w:u w:val="single"/>
        </w:rPr>
        <w:t xml:space="preserve">             </w:t>
      </w:r>
    </w:p>
    <w:p w14:paraId="0794E1EB">
      <w:pP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的项目采购(服务名称) 经</w:t>
      </w:r>
      <w:r>
        <w:rPr>
          <w:rFonts w:hint="eastAsia" w:ascii="宋体" w:hAnsi="宋体" w:cs="宋体"/>
          <w:sz w:val="24"/>
          <w:u w:val="single"/>
        </w:rPr>
        <w:t xml:space="preserve">              </w:t>
      </w:r>
    </w:p>
    <w:p w14:paraId="75ABA419">
      <w:pPr>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rPr>
        <w:t xml:space="preserve"> (采购单位)以</w:t>
      </w:r>
      <w:r>
        <w:rPr>
          <w:rFonts w:hint="eastAsia" w:ascii="宋体" w:hAnsi="宋体" w:cs="宋体"/>
          <w:sz w:val="24"/>
          <w:u w:val="single"/>
        </w:rPr>
        <w:t xml:space="preserve">                 </w:t>
      </w:r>
      <w:r>
        <w:rPr>
          <w:rFonts w:hint="eastAsia" w:ascii="宋体" w:hAnsi="宋体" w:cs="宋体"/>
          <w:sz w:val="24"/>
        </w:rPr>
        <w:t>号投标文件在国内投标采购。经投标小组评定(卖方)为供应单位。买、卖双方同意按照下面的条款和条件，签署本合同。</w:t>
      </w:r>
    </w:p>
    <w:p w14:paraId="54C347F8">
      <w:pPr>
        <w:ind w:firstLine="480" w:firstLineChars="200"/>
        <w:rPr>
          <w:rFonts w:hint="eastAsia" w:ascii="宋体" w:hAnsi="宋体" w:cs="宋体"/>
          <w:sz w:val="24"/>
        </w:rPr>
      </w:pPr>
      <w:r>
        <w:rPr>
          <w:rFonts w:hint="eastAsia" w:ascii="宋体" w:hAnsi="宋体" w:cs="宋体"/>
          <w:sz w:val="24"/>
        </w:rPr>
        <w:t>1、合同文件</w:t>
      </w:r>
    </w:p>
    <w:p w14:paraId="62ACDCB8">
      <w:pPr>
        <w:ind w:firstLine="480" w:firstLineChars="200"/>
        <w:rPr>
          <w:rFonts w:hint="eastAsia" w:ascii="宋体" w:hAnsi="宋体" w:cs="宋体"/>
          <w:sz w:val="24"/>
        </w:rPr>
      </w:pPr>
      <w:r>
        <w:rPr>
          <w:rFonts w:hint="eastAsia" w:ascii="宋体" w:hAnsi="宋体" w:cs="宋体"/>
          <w:sz w:val="24"/>
        </w:rPr>
        <w:t>根据《中华人民共和国民法典》及其他法律法规的规定， 双方本着自愿、平等、公平及诚实信用的原则，经双方友好协商，买、卖双方同意按照下面的条款和条件，签署本合同。</w:t>
      </w:r>
    </w:p>
    <w:p w14:paraId="1C9C60B4">
      <w:pPr>
        <w:ind w:firstLine="480" w:firstLineChars="200"/>
        <w:rPr>
          <w:rFonts w:hint="eastAsia" w:ascii="宋体" w:hAnsi="宋体" w:cs="宋体"/>
          <w:sz w:val="24"/>
        </w:rPr>
      </w:pPr>
      <w:r>
        <w:rPr>
          <w:rFonts w:hint="eastAsia" w:ascii="宋体" w:hAnsi="宋体" w:cs="宋体"/>
          <w:sz w:val="24"/>
        </w:rPr>
        <w:t xml:space="preserve">2 、服务内容 </w:t>
      </w:r>
    </w:p>
    <w:p w14:paraId="36369569">
      <w:pPr>
        <w:ind w:firstLine="480" w:firstLineChars="200"/>
        <w:rPr>
          <w:rFonts w:hint="eastAsia" w:ascii="宋体" w:hAnsi="宋体" w:cs="宋体"/>
          <w:sz w:val="24"/>
          <w:u w:val="single"/>
        </w:rPr>
      </w:pPr>
      <w:r>
        <w:rPr>
          <w:rFonts w:hint="eastAsia" w:ascii="宋体" w:hAnsi="宋体" w:cs="宋体"/>
          <w:sz w:val="24"/>
        </w:rPr>
        <w:t>服务内容:</w:t>
      </w:r>
      <w:r>
        <w:rPr>
          <w:rFonts w:hint="eastAsia" w:ascii="宋体" w:hAnsi="宋体" w:cs="宋体"/>
          <w:sz w:val="24"/>
          <w:u w:val="single"/>
        </w:rPr>
        <w:t xml:space="preserve">                                     </w:t>
      </w:r>
    </w:p>
    <w:p w14:paraId="670EA393">
      <w:pPr>
        <w:ind w:firstLine="480" w:firstLineChars="200"/>
        <w:rPr>
          <w:rFonts w:hint="eastAsia" w:ascii="宋体" w:hAnsi="宋体" w:cs="宋体"/>
          <w:sz w:val="24"/>
        </w:rPr>
      </w:pPr>
      <w:r>
        <w:rPr>
          <w:rFonts w:hint="eastAsia" w:ascii="宋体" w:hAnsi="宋体" w:cs="宋体"/>
          <w:sz w:val="24"/>
        </w:rPr>
        <w:t>3、合同总价</w:t>
      </w:r>
    </w:p>
    <w:p w14:paraId="37A634B7">
      <w:pPr>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元人民币， 人民币大写金额为</w:t>
      </w:r>
      <w:r>
        <w:rPr>
          <w:rFonts w:hint="eastAsia" w:ascii="宋体" w:hAnsi="宋体" w:cs="宋体"/>
          <w:sz w:val="24"/>
          <w:u w:val="single"/>
        </w:rPr>
        <w:t xml:space="preserve">         </w:t>
      </w:r>
      <w:r>
        <w:rPr>
          <w:rFonts w:hint="eastAsia" w:ascii="宋体" w:hAnsi="宋体" w:cs="宋体"/>
          <w:sz w:val="24"/>
        </w:rPr>
        <w:t>元整。</w:t>
      </w:r>
    </w:p>
    <w:p w14:paraId="7E41230C">
      <w:pPr>
        <w:ind w:firstLine="480" w:firstLineChars="200"/>
        <w:rPr>
          <w:rFonts w:hint="eastAsia" w:ascii="宋体" w:hAnsi="宋体" w:cs="宋体"/>
          <w:sz w:val="24"/>
        </w:rPr>
      </w:pPr>
      <w:r>
        <w:rPr>
          <w:rFonts w:hint="eastAsia" w:ascii="宋体" w:hAnsi="宋体" w:cs="宋体"/>
          <w:sz w:val="24"/>
        </w:rPr>
        <w:t>4、付款方式:签订合同后</w:t>
      </w:r>
      <w:r>
        <w:rPr>
          <w:rFonts w:hint="eastAsia" w:ascii="宋体" w:hAnsi="宋体" w:cs="宋体"/>
          <w:sz w:val="24"/>
          <w:u w:val="single"/>
        </w:rPr>
        <w:t xml:space="preserve">    </w:t>
      </w:r>
      <w:r>
        <w:rPr>
          <w:rFonts w:hint="eastAsia" w:ascii="宋体" w:hAnsi="宋体" w:cs="宋体"/>
          <w:sz w:val="24"/>
        </w:rPr>
        <w:t>个工作日内支付合同总额的</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元)作为首付款。在完成甲方</w:t>
      </w:r>
      <w:r>
        <w:rPr>
          <w:rFonts w:hint="eastAsia" w:ascii="宋体" w:hAnsi="宋体" w:cs="宋体"/>
          <w:sz w:val="24"/>
          <w:u w:val="single"/>
        </w:rPr>
        <w:t xml:space="preserve">   </w:t>
      </w:r>
      <w:r>
        <w:rPr>
          <w:rFonts w:hint="eastAsia" w:ascii="宋体" w:hAnsi="宋体" w:cs="宋体"/>
          <w:sz w:val="24"/>
        </w:rPr>
        <w:t>%服务任务，并达到甲方实际需求后，支付合同总额的</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 xml:space="preserve"> 元)作为过程款。在完成甲方全部服务任务，并达到甲方实际需求后，支付剩余合同金额的</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万元)。乙方需按照付款金额在每次付款前开具相应金额的正规增值税发票。</w:t>
      </w:r>
    </w:p>
    <w:p w14:paraId="23EA8A02">
      <w:pPr>
        <w:ind w:firstLine="480" w:firstLineChars="200"/>
        <w:rPr>
          <w:rFonts w:hint="eastAsia" w:ascii="宋体" w:hAnsi="宋体" w:cs="宋体"/>
          <w:sz w:val="24"/>
        </w:rPr>
      </w:pPr>
      <w:r>
        <w:rPr>
          <w:rFonts w:hint="eastAsia" w:ascii="宋体" w:hAnsi="宋体" w:cs="宋体"/>
          <w:sz w:val="24"/>
        </w:rPr>
        <w:t>5、本合同服务期限和服务地点</w:t>
      </w:r>
    </w:p>
    <w:p w14:paraId="77BD31EF">
      <w:pPr>
        <w:ind w:firstLine="480" w:firstLineChars="200"/>
        <w:rPr>
          <w:rFonts w:hint="eastAsia" w:ascii="宋体" w:hAnsi="宋体" w:cs="宋体"/>
          <w:sz w:val="24"/>
        </w:rPr>
      </w:pPr>
      <w:r>
        <w:rPr>
          <w:rFonts w:hint="eastAsia" w:ascii="宋体" w:hAnsi="宋体" w:cs="宋体"/>
          <w:sz w:val="24"/>
        </w:rPr>
        <w:t>服务时间: 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30319B68">
      <w:pPr>
        <w:ind w:firstLine="480" w:firstLineChars="200"/>
        <w:rPr>
          <w:rFonts w:hint="eastAsia" w:ascii="宋体" w:hAnsi="宋体" w:cs="宋体"/>
          <w:sz w:val="24"/>
        </w:rPr>
      </w:pPr>
      <w:r>
        <w:rPr>
          <w:rFonts w:hint="eastAsia" w:ascii="宋体" w:hAnsi="宋体" w:cs="宋体"/>
          <w:sz w:val="24"/>
        </w:rPr>
        <w:t xml:space="preserve">服务地点: </w:t>
      </w:r>
      <w:r>
        <w:rPr>
          <w:rFonts w:hint="eastAsia" w:ascii="宋体" w:hAnsi="宋体" w:cs="宋体"/>
          <w:sz w:val="24"/>
          <w:u w:val="single"/>
        </w:rPr>
        <w:t xml:space="preserve">               </w:t>
      </w:r>
      <w:r>
        <w:rPr>
          <w:rFonts w:hint="eastAsia" w:ascii="宋体" w:hAnsi="宋体" w:cs="宋体"/>
          <w:sz w:val="24"/>
        </w:rPr>
        <w:t xml:space="preserve"> </w:t>
      </w:r>
    </w:p>
    <w:p w14:paraId="7A23A8BD">
      <w:pPr>
        <w:ind w:firstLine="480" w:firstLineChars="200"/>
        <w:rPr>
          <w:rFonts w:hint="eastAsia" w:ascii="宋体" w:hAnsi="宋体" w:cs="宋体"/>
          <w:sz w:val="24"/>
        </w:rPr>
      </w:pPr>
      <w:r>
        <w:rPr>
          <w:rFonts w:hint="eastAsia" w:ascii="宋体" w:hAnsi="宋体" w:cs="宋体"/>
          <w:sz w:val="24"/>
        </w:rPr>
        <w:t>6、合同的生效。本合同经双方全权代表签署、加盖单位印章后生效。</w:t>
      </w:r>
    </w:p>
    <w:p w14:paraId="450D5132">
      <w:pPr>
        <w:rPr>
          <w:rFonts w:hint="eastAsia" w:ascii="宋体" w:hAnsi="宋体" w:cs="宋体"/>
          <w:sz w:val="24"/>
        </w:rPr>
      </w:pPr>
    </w:p>
    <w:p w14:paraId="2AF0D2CB">
      <w:pPr>
        <w:rPr>
          <w:rFonts w:hint="eastAsia" w:ascii="宋体" w:hAnsi="宋体" w:cs="宋体"/>
          <w:sz w:val="24"/>
        </w:rPr>
      </w:pPr>
      <w:r>
        <w:rPr>
          <w:rFonts w:hint="eastAsia" w:ascii="宋体" w:hAnsi="宋体" w:cs="宋体"/>
          <w:sz w:val="24"/>
        </w:rPr>
        <w:t>甲方名称:                                   (盖 章 )</w:t>
      </w:r>
    </w:p>
    <w:p w14:paraId="73D3713C">
      <w:pPr>
        <w:rPr>
          <w:rFonts w:hint="eastAsia" w:ascii="宋体" w:hAnsi="宋体" w:cs="宋体"/>
          <w:sz w:val="24"/>
        </w:rPr>
      </w:pPr>
      <w:r>
        <w:rPr>
          <w:rFonts w:hint="eastAsia" w:ascii="宋体" w:hAnsi="宋体" w:cs="宋体"/>
          <w:sz w:val="24"/>
        </w:rPr>
        <w:t>法定代表人或委托代理人:</w:t>
      </w:r>
    </w:p>
    <w:p w14:paraId="11AC138B">
      <w:pPr>
        <w:rPr>
          <w:rFonts w:hint="eastAsia" w:ascii="宋体" w:hAnsi="宋体" w:cs="宋体"/>
          <w:sz w:val="24"/>
        </w:rPr>
      </w:pPr>
      <w:r>
        <w:rPr>
          <w:rFonts w:hint="eastAsia" w:ascii="宋体" w:hAnsi="宋体" w:cs="宋体"/>
          <w:sz w:val="24"/>
        </w:rPr>
        <w:t>签订日期：</w:t>
      </w:r>
    </w:p>
    <w:p w14:paraId="11768202">
      <w:pPr>
        <w:rPr>
          <w:rFonts w:hint="eastAsia" w:ascii="宋体" w:hAnsi="宋体" w:cs="宋体"/>
          <w:sz w:val="24"/>
        </w:rPr>
      </w:pPr>
      <w:r>
        <w:rPr>
          <w:rFonts w:hint="eastAsia" w:ascii="宋体" w:hAnsi="宋体" w:cs="宋体"/>
          <w:sz w:val="24"/>
        </w:rPr>
        <w:t>地址：</w:t>
      </w:r>
    </w:p>
    <w:p w14:paraId="0A663749">
      <w:pPr>
        <w:rPr>
          <w:rFonts w:hint="eastAsia" w:ascii="宋体" w:hAnsi="宋体" w:cs="宋体"/>
          <w:sz w:val="24"/>
        </w:rPr>
      </w:pPr>
      <w:r>
        <w:rPr>
          <w:rFonts w:hint="eastAsia" w:ascii="宋体" w:hAnsi="宋体" w:cs="宋体"/>
          <w:sz w:val="24"/>
        </w:rPr>
        <w:t xml:space="preserve">电话: </w:t>
      </w:r>
    </w:p>
    <w:p w14:paraId="0E63939C">
      <w:pPr>
        <w:rPr>
          <w:rFonts w:hint="eastAsia" w:ascii="宋体" w:hAnsi="宋体" w:cs="宋体"/>
          <w:sz w:val="24"/>
        </w:rPr>
      </w:pPr>
    </w:p>
    <w:p w14:paraId="1D2281F8">
      <w:pPr>
        <w:rPr>
          <w:rFonts w:hint="eastAsia" w:ascii="宋体" w:hAnsi="宋体" w:cs="宋体"/>
          <w:sz w:val="24"/>
        </w:rPr>
      </w:pPr>
      <w:r>
        <w:rPr>
          <w:rFonts w:hint="eastAsia" w:ascii="宋体" w:hAnsi="宋体" w:cs="宋体"/>
          <w:sz w:val="24"/>
        </w:rPr>
        <w:t>乙方名称:                                  (盖 章 )</w:t>
      </w:r>
    </w:p>
    <w:p w14:paraId="4FE0C6B5">
      <w:pPr>
        <w:rPr>
          <w:rFonts w:hint="eastAsia" w:ascii="宋体" w:hAnsi="宋体" w:cs="宋体"/>
          <w:sz w:val="24"/>
        </w:rPr>
      </w:pPr>
      <w:r>
        <w:rPr>
          <w:rFonts w:hint="eastAsia" w:ascii="宋体" w:hAnsi="宋体" w:cs="宋体"/>
          <w:sz w:val="24"/>
        </w:rPr>
        <w:t>法定代表人或委托代理人：</w:t>
      </w:r>
    </w:p>
    <w:p w14:paraId="7D33EFC2">
      <w:pPr>
        <w:rPr>
          <w:rFonts w:hint="eastAsia" w:ascii="宋体" w:hAnsi="宋体" w:cs="宋体"/>
          <w:sz w:val="24"/>
        </w:rPr>
      </w:pPr>
      <w:r>
        <w:rPr>
          <w:rFonts w:hint="eastAsia" w:ascii="宋体" w:hAnsi="宋体" w:cs="宋体"/>
          <w:sz w:val="24"/>
        </w:rPr>
        <w:t>签订日期:</w:t>
      </w:r>
    </w:p>
    <w:p w14:paraId="4C81D5CB">
      <w:pPr>
        <w:rPr>
          <w:rFonts w:hint="eastAsia" w:ascii="宋体" w:hAnsi="宋体" w:cs="宋体"/>
          <w:sz w:val="24"/>
        </w:rPr>
      </w:pPr>
      <w:r>
        <w:rPr>
          <w:rFonts w:hint="eastAsia" w:ascii="宋体" w:hAnsi="宋体" w:cs="宋体"/>
          <w:sz w:val="24"/>
        </w:rPr>
        <w:t xml:space="preserve">地址: </w:t>
      </w:r>
    </w:p>
    <w:p w14:paraId="2BF3B160">
      <w:pPr>
        <w:rPr>
          <w:rFonts w:hint="eastAsia" w:ascii="宋体" w:hAnsi="宋体" w:cs="宋体"/>
          <w:sz w:val="24"/>
        </w:rPr>
      </w:pPr>
      <w:r>
        <w:rPr>
          <w:rFonts w:hint="eastAsia" w:ascii="宋体" w:hAnsi="宋体" w:cs="宋体"/>
          <w:sz w:val="24"/>
        </w:rPr>
        <w:t>电话:</w:t>
      </w:r>
    </w:p>
    <w:p w14:paraId="3EE8878B">
      <w:pPr>
        <w:rPr>
          <w:rFonts w:hint="eastAsia" w:ascii="宋体" w:hAnsi="宋体" w:cs="宋体"/>
          <w:sz w:val="24"/>
        </w:rPr>
      </w:pPr>
    </w:p>
    <w:p w14:paraId="79A4A6E6">
      <w:pPr>
        <w:rPr>
          <w:rFonts w:hint="eastAsia" w:ascii="宋体" w:hAnsi="宋体" w:cs="宋体"/>
          <w:sz w:val="24"/>
        </w:rPr>
      </w:pPr>
    </w:p>
    <w:p w14:paraId="3CA3C9BB">
      <w:pPr>
        <w:jc w:val="both"/>
        <w:rPr>
          <w:rFonts w:hint="eastAsia" w:ascii="宋体" w:hAnsi="宋体" w:cs="宋体"/>
          <w:sz w:val="24"/>
        </w:rPr>
      </w:pPr>
    </w:p>
    <w:p w14:paraId="727ECE4B">
      <w:pPr>
        <w:rPr>
          <w:rFonts w:hint="eastAsia" w:ascii="宋体" w:hAnsi="宋体" w:cs="宋体"/>
          <w:sz w:val="24"/>
        </w:rPr>
      </w:pPr>
      <w:r>
        <w:rPr>
          <w:rFonts w:hint="eastAsia" w:ascii="宋体" w:hAnsi="宋体" w:cs="宋体"/>
          <w:sz w:val="24"/>
        </w:rPr>
        <w:br w:type="page"/>
      </w:r>
    </w:p>
    <w:p w14:paraId="05BCF867">
      <w:pPr>
        <w:jc w:val="center"/>
        <w:rPr>
          <w:rFonts w:hint="eastAsia" w:ascii="宋体" w:hAnsi="宋体" w:cs="宋体"/>
          <w:sz w:val="24"/>
        </w:rPr>
      </w:pPr>
      <w:r>
        <w:rPr>
          <w:rFonts w:hint="eastAsia" w:ascii="宋体" w:hAnsi="宋体" w:cs="宋体"/>
          <w:sz w:val="24"/>
        </w:rPr>
        <w:t>合  同  特  殊  条  款</w:t>
      </w:r>
    </w:p>
    <w:p w14:paraId="3D924349">
      <w:pPr>
        <w:ind w:firstLine="480" w:firstLineChars="200"/>
        <w:rPr>
          <w:rFonts w:hint="eastAsia" w:ascii="宋体" w:hAnsi="宋体" w:cs="宋体"/>
          <w:sz w:val="24"/>
        </w:rPr>
      </w:pPr>
      <w:r>
        <w:rPr>
          <w:rFonts w:hint="eastAsia" w:ascii="宋体" w:hAnsi="宋体" w:cs="宋体"/>
          <w:sz w:val="24"/>
        </w:rPr>
        <w:t>合同特殊条款是合同一般条款的补充和修改。如果两者之间有抵触，应以特殊条款为准。</w:t>
      </w:r>
    </w:p>
    <w:p w14:paraId="2F2C2661">
      <w:pPr>
        <w:ind w:firstLine="480" w:firstLineChars="200"/>
        <w:rPr>
          <w:rFonts w:hint="eastAsia" w:ascii="宋体" w:hAnsi="宋体" w:cs="宋体"/>
          <w:sz w:val="24"/>
        </w:rPr>
      </w:pPr>
      <w:r>
        <w:rPr>
          <w:rFonts w:hint="eastAsia" w:ascii="宋体" w:hAnsi="宋体" w:cs="宋体"/>
          <w:sz w:val="24"/>
        </w:rPr>
        <w:t>1、定义</w:t>
      </w:r>
    </w:p>
    <w:p w14:paraId="4BC92F6E">
      <w:pPr>
        <w:ind w:firstLine="480" w:firstLineChars="200"/>
        <w:rPr>
          <w:rFonts w:hint="eastAsia" w:ascii="宋体" w:hAnsi="宋体" w:cs="宋体"/>
          <w:sz w:val="24"/>
        </w:rPr>
      </w:pPr>
      <w:r>
        <w:rPr>
          <w:rFonts w:hint="eastAsia" w:ascii="宋体" w:hAnsi="宋体" w:cs="宋体"/>
          <w:sz w:val="24"/>
        </w:rPr>
        <w:t xml:space="preserve">1.1甲方:本合同甲方系指: </w:t>
      </w:r>
      <w:r>
        <w:rPr>
          <w:rFonts w:hint="eastAsia" w:ascii="宋体" w:hAnsi="宋体" w:cs="宋体"/>
          <w:sz w:val="24"/>
          <w:u w:val="single"/>
        </w:rPr>
        <w:t xml:space="preserve">                       </w:t>
      </w:r>
      <w:r>
        <w:rPr>
          <w:rFonts w:hint="eastAsia" w:ascii="宋体" w:hAnsi="宋体" w:cs="宋体"/>
          <w:sz w:val="24"/>
        </w:rPr>
        <w:t>。</w:t>
      </w:r>
    </w:p>
    <w:p w14:paraId="002D60C9">
      <w:pPr>
        <w:ind w:firstLine="480" w:firstLineChars="200"/>
        <w:rPr>
          <w:rFonts w:hint="eastAsia" w:ascii="宋体" w:hAnsi="宋体" w:cs="宋体"/>
          <w:sz w:val="24"/>
        </w:rPr>
      </w:pPr>
      <w:r>
        <w:rPr>
          <w:rFonts w:hint="eastAsia" w:ascii="宋体" w:hAnsi="宋体" w:cs="宋体"/>
          <w:sz w:val="24"/>
        </w:rPr>
        <w:t xml:space="preserve">1.2乙方:本合同乙方系指: </w:t>
      </w:r>
      <w:r>
        <w:rPr>
          <w:rFonts w:hint="eastAsia" w:ascii="宋体" w:hAnsi="宋体" w:cs="宋体"/>
          <w:sz w:val="24"/>
          <w:u w:val="single"/>
        </w:rPr>
        <w:t xml:space="preserve">                       </w:t>
      </w:r>
      <w:r>
        <w:rPr>
          <w:rFonts w:hint="eastAsia" w:ascii="宋体" w:hAnsi="宋体" w:cs="宋体"/>
          <w:sz w:val="24"/>
        </w:rPr>
        <w:t>。</w:t>
      </w:r>
    </w:p>
    <w:p w14:paraId="67E6BFFB">
      <w:pPr>
        <w:ind w:firstLine="480" w:firstLineChars="200"/>
        <w:rPr>
          <w:rFonts w:hint="eastAsia" w:ascii="宋体" w:hAnsi="宋体" w:cs="宋体"/>
          <w:sz w:val="24"/>
        </w:rPr>
      </w:pPr>
      <w:r>
        <w:rPr>
          <w:rFonts w:hint="eastAsia" w:ascii="宋体" w:hAnsi="宋体" w:cs="宋体"/>
          <w:sz w:val="24"/>
        </w:rPr>
        <w:t>1.3现场:本合同项下的服务地点位于:</w:t>
      </w:r>
    </w:p>
    <w:p w14:paraId="1A5FEC89">
      <w:pPr>
        <w:ind w:firstLine="480" w:firstLineChars="200"/>
        <w:rPr>
          <w:rFonts w:hint="eastAsia" w:ascii="宋体" w:hAnsi="宋体" w:cs="宋体"/>
          <w:sz w:val="24"/>
        </w:rPr>
      </w:pPr>
      <w:r>
        <w:rPr>
          <w:rFonts w:hint="eastAsia" w:ascii="宋体" w:hAnsi="宋体" w:cs="宋体"/>
          <w:sz w:val="24"/>
        </w:rPr>
        <w:t>用户指定地点_</w:t>
      </w:r>
      <w:r>
        <w:rPr>
          <w:rFonts w:hint="eastAsia" w:ascii="宋体" w:hAnsi="宋体" w:cs="宋体"/>
          <w:sz w:val="24"/>
          <w:u w:val="single"/>
        </w:rPr>
        <w:t xml:space="preserve">                      </w:t>
      </w:r>
      <w:r>
        <w:rPr>
          <w:rFonts w:hint="eastAsia" w:ascii="宋体" w:hAnsi="宋体" w:cs="宋体"/>
          <w:sz w:val="24"/>
        </w:rPr>
        <w:t xml:space="preserve">。 </w:t>
      </w:r>
    </w:p>
    <w:p w14:paraId="6D01F84B">
      <w:pPr>
        <w:ind w:firstLine="480" w:firstLineChars="200"/>
        <w:rPr>
          <w:rFonts w:hint="eastAsia" w:ascii="宋体" w:hAnsi="宋体" w:cs="宋体"/>
          <w:sz w:val="24"/>
        </w:rPr>
      </w:pPr>
      <w:r>
        <w:rPr>
          <w:rFonts w:hint="eastAsia" w:ascii="宋体" w:hAnsi="宋体" w:cs="宋体"/>
          <w:sz w:val="24"/>
        </w:rPr>
        <w:t>2 、委托事项完成期限: 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7F9F3BBF">
      <w:pPr>
        <w:ind w:firstLine="480" w:firstLineChars="200"/>
        <w:rPr>
          <w:rFonts w:hint="eastAsia" w:ascii="宋体" w:hAnsi="宋体" w:cs="宋体"/>
          <w:sz w:val="24"/>
        </w:rPr>
      </w:pPr>
      <w:r>
        <w:rPr>
          <w:rFonts w:hint="eastAsia" w:ascii="宋体" w:hAnsi="宋体" w:cs="宋体"/>
          <w:sz w:val="24"/>
        </w:rPr>
        <w:t>3.付款条件:签订合同后</w:t>
      </w:r>
      <w:r>
        <w:rPr>
          <w:rFonts w:hint="eastAsia" w:ascii="宋体" w:hAnsi="宋体" w:cs="宋体"/>
          <w:sz w:val="24"/>
          <w:u w:val="single"/>
        </w:rPr>
        <w:t xml:space="preserve">    </w:t>
      </w:r>
      <w:r>
        <w:rPr>
          <w:rFonts w:hint="eastAsia" w:ascii="宋体" w:hAnsi="宋体" w:cs="宋体"/>
          <w:sz w:val="24"/>
        </w:rPr>
        <w:t>个工作日内支付合同总额的</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元)作为首付款。在完成甲方</w:t>
      </w:r>
      <w:r>
        <w:rPr>
          <w:rFonts w:hint="eastAsia" w:ascii="宋体" w:hAnsi="宋体" w:cs="宋体"/>
          <w:sz w:val="24"/>
          <w:u w:val="single"/>
        </w:rPr>
        <w:t xml:space="preserve">   </w:t>
      </w:r>
      <w:r>
        <w:rPr>
          <w:rFonts w:hint="eastAsia" w:ascii="宋体" w:hAnsi="宋体" w:cs="宋体"/>
          <w:sz w:val="24"/>
        </w:rPr>
        <w:t>%服务任务，并达到甲方实际需求后，支付合同总额的</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 xml:space="preserve"> 元)作为过程款。在完成甲方全部服务任务，并达到甲方实际需求后，支付剩余合同金额的</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万元)。乙方需按照付款金额在每次付款前开具相应金额的正规增值税发票。</w:t>
      </w:r>
    </w:p>
    <w:p w14:paraId="1AC3FAD0">
      <w:pPr>
        <w:ind w:firstLine="480" w:firstLineChars="200"/>
        <w:rPr>
          <w:rFonts w:hint="eastAsia" w:ascii="宋体" w:hAnsi="宋体" w:cs="宋体"/>
          <w:sz w:val="24"/>
        </w:rPr>
      </w:pPr>
      <w:r>
        <w:rPr>
          <w:rFonts w:hint="eastAsia" w:ascii="宋体" w:hAnsi="宋体" w:cs="宋体"/>
          <w:sz w:val="24"/>
        </w:rPr>
        <w:t>4、技术资料:按合同约定。</w:t>
      </w:r>
    </w:p>
    <w:p w14:paraId="6B79AABE">
      <w:pPr>
        <w:ind w:firstLine="480" w:firstLineChars="200"/>
        <w:rPr>
          <w:rFonts w:hint="eastAsia" w:ascii="宋体" w:hAnsi="宋体" w:cs="宋体"/>
          <w:sz w:val="24"/>
        </w:rPr>
      </w:pPr>
      <w:r>
        <w:rPr>
          <w:rFonts w:hint="eastAsia" w:ascii="宋体" w:hAnsi="宋体" w:cs="宋体"/>
          <w:sz w:val="24"/>
        </w:rPr>
        <w:t>其他专用条款还包括本招标文件中的项目服务要求及在合同谈判时具体协商的有关内容。</w:t>
      </w:r>
    </w:p>
    <w:p w14:paraId="3598292B">
      <w:pPr>
        <w:rPr>
          <w:rFonts w:hint="eastAsia" w:ascii="宋体" w:hAnsi="宋体" w:cs="宋体"/>
          <w:sz w:val="24"/>
        </w:rPr>
      </w:pPr>
    </w:p>
    <w:p w14:paraId="29703110">
      <w:pPr>
        <w:rPr>
          <w:rFonts w:hint="eastAsia" w:ascii="宋体" w:hAnsi="宋体" w:cs="宋体"/>
          <w:sz w:val="24"/>
        </w:rPr>
      </w:pPr>
    </w:p>
    <w:p w14:paraId="5016EF81">
      <w:pPr>
        <w:rPr>
          <w:rFonts w:hint="eastAsia" w:ascii="宋体" w:hAnsi="宋体" w:cs="宋体"/>
          <w:sz w:val="24"/>
        </w:rPr>
      </w:pPr>
    </w:p>
    <w:p w14:paraId="1AEF06A6">
      <w:pPr>
        <w:jc w:val="center"/>
        <w:rPr>
          <w:rFonts w:hint="eastAsia" w:ascii="宋体" w:hAnsi="宋体" w:cs="宋体"/>
          <w:sz w:val="24"/>
        </w:rPr>
      </w:pPr>
      <w:r>
        <w:rPr>
          <w:rFonts w:hint="eastAsia" w:ascii="宋体" w:hAnsi="宋体" w:cs="宋体"/>
          <w:sz w:val="24"/>
        </w:rPr>
        <w:t>合同一般条款</w:t>
      </w:r>
    </w:p>
    <w:p w14:paraId="5EDEDF87">
      <w:pPr>
        <w:ind w:firstLine="480" w:firstLineChars="200"/>
        <w:rPr>
          <w:rFonts w:hint="eastAsia" w:ascii="宋体" w:hAnsi="宋体" w:cs="宋体"/>
          <w:sz w:val="24"/>
        </w:rPr>
      </w:pPr>
      <w:r>
        <w:rPr>
          <w:rFonts w:hint="eastAsia" w:ascii="宋体" w:hAnsi="宋体" w:cs="宋体"/>
          <w:sz w:val="24"/>
        </w:rPr>
        <w:t>1、定义：本合同中的下列术语应解释为</w:t>
      </w:r>
    </w:p>
    <w:p w14:paraId="273213FD">
      <w:pPr>
        <w:ind w:firstLine="480" w:firstLineChars="200"/>
        <w:rPr>
          <w:rFonts w:hint="eastAsia" w:ascii="宋体" w:hAnsi="宋体" w:cs="宋体"/>
          <w:sz w:val="24"/>
        </w:rPr>
      </w:pPr>
      <w:r>
        <w:rPr>
          <w:rFonts w:hint="eastAsia" w:ascii="宋体" w:hAnsi="宋体" w:cs="宋体"/>
          <w:sz w:val="24"/>
        </w:rPr>
        <w:t>1.1“合同”系指买卖双方签署的、合同格式中载明的买卖双方所达成的协议，包括所有的附件、附录和构成合同的其它文件。</w:t>
      </w:r>
    </w:p>
    <w:p w14:paraId="47359180">
      <w:pPr>
        <w:ind w:firstLine="480" w:firstLineChars="200"/>
        <w:rPr>
          <w:rFonts w:hint="eastAsia" w:ascii="宋体" w:hAnsi="宋体" w:cs="宋体"/>
          <w:sz w:val="24"/>
        </w:rPr>
      </w:pPr>
      <w:r>
        <w:rPr>
          <w:rFonts w:hint="eastAsia" w:ascii="宋体" w:hAnsi="宋体" w:cs="宋体"/>
          <w:sz w:val="24"/>
        </w:rPr>
        <w:t>1.2“合同价”系指根据合同约定，卖方在完全履行合同义务后，买方应付给卖方的价格。</w:t>
      </w:r>
    </w:p>
    <w:p w14:paraId="6D1BA501">
      <w:pPr>
        <w:ind w:firstLine="480" w:firstLineChars="200"/>
        <w:rPr>
          <w:rFonts w:hint="eastAsia" w:ascii="宋体" w:hAnsi="宋体" w:cs="宋体"/>
          <w:sz w:val="24"/>
        </w:rPr>
      </w:pPr>
      <w:r>
        <w:rPr>
          <w:rFonts w:hint="eastAsia" w:ascii="宋体" w:hAnsi="宋体" w:cs="宋体"/>
          <w:sz w:val="24"/>
        </w:rPr>
        <w:t>1.3“服务”系指根据合同约定卖方承担的服务。</w:t>
      </w:r>
    </w:p>
    <w:p w14:paraId="5895F878">
      <w:pPr>
        <w:ind w:firstLine="480" w:firstLineChars="200"/>
        <w:rPr>
          <w:rFonts w:hint="eastAsia" w:ascii="宋体" w:hAnsi="宋体" w:cs="宋体"/>
          <w:sz w:val="24"/>
        </w:rPr>
      </w:pPr>
      <w:r>
        <w:rPr>
          <w:rFonts w:hint="eastAsia" w:ascii="宋体" w:hAnsi="宋体" w:cs="宋体"/>
          <w:sz w:val="24"/>
        </w:rPr>
        <w:t xml:space="preserve">1.4“买方”系指与中标人签署服务合同的单位(含最终用户)。 </w:t>
      </w:r>
    </w:p>
    <w:p w14:paraId="0C69FD05">
      <w:pPr>
        <w:ind w:firstLine="480" w:firstLineChars="200"/>
        <w:rPr>
          <w:rFonts w:hint="eastAsia" w:ascii="宋体" w:hAnsi="宋体" w:cs="宋体"/>
          <w:sz w:val="24"/>
        </w:rPr>
      </w:pPr>
      <w:r>
        <w:rPr>
          <w:rFonts w:hint="eastAsia" w:ascii="宋体" w:hAnsi="宋体" w:cs="宋体"/>
          <w:sz w:val="24"/>
        </w:rPr>
        <w:t>1.5“卖方”系指根据合同约定提供服务的中标人。</w:t>
      </w:r>
    </w:p>
    <w:p w14:paraId="591C7218">
      <w:pPr>
        <w:ind w:firstLine="480" w:firstLineChars="200"/>
        <w:rPr>
          <w:rFonts w:hint="eastAsia" w:ascii="宋体" w:hAnsi="宋体" w:cs="宋体"/>
          <w:sz w:val="24"/>
        </w:rPr>
      </w:pPr>
      <w:r>
        <w:rPr>
          <w:rFonts w:hint="eastAsia" w:ascii="宋体" w:hAnsi="宋体" w:cs="宋体"/>
          <w:sz w:val="24"/>
        </w:rPr>
        <w:t>1.6“现场”系指合同约定服务地点。</w:t>
      </w:r>
    </w:p>
    <w:p w14:paraId="3351F549">
      <w:pPr>
        <w:ind w:firstLine="480" w:firstLineChars="200"/>
        <w:rPr>
          <w:rFonts w:hint="eastAsia" w:ascii="宋体" w:hAnsi="宋体" w:cs="宋体"/>
          <w:sz w:val="24"/>
        </w:rPr>
      </w:pPr>
      <w:r>
        <w:rPr>
          <w:rFonts w:hint="eastAsia" w:ascii="宋体" w:hAnsi="宋体" w:cs="宋体"/>
          <w:sz w:val="24"/>
        </w:rPr>
        <w:t>1.7“验收”系指合同双方依据强制性的国家技术质量规范和合同约定，确认合同项下的产品符合合同规定的活 动。</w:t>
      </w:r>
    </w:p>
    <w:p w14:paraId="6A3BC0F1">
      <w:pPr>
        <w:ind w:firstLine="480" w:firstLineChars="200"/>
        <w:rPr>
          <w:rFonts w:hint="eastAsia" w:ascii="宋体" w:hAnsi="宋体" w:cs="宋体"/>
          <w:sz w:val="24"/>
        </w:rPr>
      </w:pPr>
      <w:r>
        <w:rPr>
          <w:rFonts w:hint="eastAsia" w:ascii="宋体" w:hAnsi="宋体" w:cs="宋体"/>
          <w:sz w:val="24"/>
        </w:rPr>
        <w:t>2、技术规范</w:t>
      </w:r>
    </w:p>
    <w:p w14:paraId="1165CC13">
      <w:pPr>
        <w:ind w:firstLine="480" w:firstLineChars="200"/>
        <w:rPr>
          <w:rFonts w:hint="eastAsia" w:ascii="宋体" w:hAnsi="宋体" w:cs="宋体"/>
          <w:sz w:val="24"/>
        </w:rPr>
      </w:pPr>
      <w:r>
        <w:rPr>
          <w:rFonts w:hint="eastAsia" w:ascii="宋体" w:hAnsi="宋体" w:cs="宋体"/>
          <w:sz w:val="24"/>
        </w:rPr>
        <w:t>2.1提交服务的技术规范应与招标文件规定的技术规 范和技术规范附件(如果有的话)及其投标文件的技术规范偏差表相一致。若技术规范中无相应说明，则以国家有关部门最新颁布的相应标准及规范为准。</w:t>
      </w:r>
    </w:p>
    <w:p w14:paraId="0952A54F">
      <w:pPr>
        <w:ind w:firstLine="480" w:firstLineChars="200"/>
        <w:rPr>
          <w:rFonts w:hint="eastAsia" w:ascii="宋体" w:hAnsi="宋体" w:cs="宋体"/>
          <w:sz w:val="24"/>
        </w:rPr>
      </w:pPr>
      <w:r>
        <w:rPr>
          <w:rFonts w:hint="eastAsia" w:ascii="宋体" w:hAnsi="宋体" w:cs="宋体"/>
          <w:sz w:val="24"/>
        </w:rPr>
        <w:t>3、知识产权</w:t>
      </w:r>
    </w:p>
    <w:p w14:paraId="429C8836">
      <w:pPr>
        <w:ind w:firstLine="480" w:firstLineChars="200"/>
        <w:rPr>
          <w:rFonts w:hint="eastAsia" w:ascii="宋体" w:hAnsi="宋体" w:cs="宋体"/>
          <w:sz w:val="24"/>
        </w:rPr>
      </w:pPr>
      <w:r>
        <w:rPr>
          <w:rFonts w:hint="eastAsia" w:ascii="宋体" w:hAnsi="宋体" w:cs="宋体"/>
          <w:sz w:val="24"/>
        </w:rPr>
        <w:t>3.1卖方应保证买方在使用该服务或其任何一部分时 不受第三方提出的侵权起诉。如果任何第三方提出侵权指控，卖方须与第三方交涉并承担由此发生的一切责任、费用以及经济赔偿。</w:t>
      </w:r>
    </w:p>
    <w:p w14:paraId="0A226885">
      <w:pPr>
        <w:ind w:firstLine="480" w:firstLineChars="200"/>
        <w:rPr>
          <w:rFonts w:hint="eastAsia" w:ascii="宋体" w:hAnsi="宋体" w:cs="宋体"/>
          <w:sz w:val="24"/>
        </w:rPr>
      </w:pPr>
      <w:r>
        <w:rPr>
          <w:rFonts w:hint="eastAsia" w:ascii="宋体" w:hAnsi="宋体" w:cs="宋体"/>
          <w:sz w:val="24"/>
        </w:rPr>
        <w:t xml:space="preserve">4、付款条件 </w:t>
      </w:r>
    </w:p>
    <w:p w14:paraId="6510752E">
      <w:pPr>
        <w:ind w:firstLine="480" w:firstLineChars="200"/>
        <w:rPr>
          <w:rFonts w:hint="eastAsia" w:ascii="宋体" w:hAnsi="宋体" w:cs="宋体"/>
          <w:sz w:val="24"/>
        </w:rPr>
      </w:pPr>
      <w:r>
        <w:rPr>
          <w:rFonts w:hint="eastAsia" w:ascii="宋体" w:hAnsi="宋体" w:cs="宋体"/>
          <w:sz w:val="24"/>
        </w:rPr>
        <w:t>付款条件见“合同特殊条款”。</w:t>
      </w:r>
    </w:p>
    <w:p w14:paraId="436C4EC3">
      <w:pPr>
        <w:ind w:firstLine="480" w:firstLineChars="200"/>
        <w:rPr>
          <w:rFonts w:hint="eastAsia" w:ascii="宋体" w:hAnsi="宋体" w:cs="宋体"/>
          <w:sz w:val="24"/>
        </w:rPr>
      </w:pPr>
      <w:r>
        <w:rPr>
          <w:rFonts w:hint="eastAsia" w:ascii="宋体" w:hAnsi="宋体" w:cs="宋体"/>
          <w:sz w:val="24"/>
        </w:rPr>
        <w:t>5、技术资料</w:t>
      </w:r>
    </w:p>
    <w:p w14:paraId="2D165BA5">
      <w:pPr>
        <w:ind w:firstLine="480" w:firstLineChars="200"/>
        <w:rPr>
          <w:rFonts w:hint="eastAsia" w:ascii="宋体" w:hAnsi="宋体" w:cs="宋体"/>
          <w:sz w:val="24"/>
        </w:rPr>
      </w:pPr>
      <w:r>
        <w:rPr>
          <w:rFonts w:hint="eastAsia" w:ascii="宋体" w:hAnsi="宋体" w:cs="宋体"/>
          <w:sz w:val="24"/>
        </w:rPr>
        <w:t>5.1合同项下技术资(除合同特殊条款规定外将以下列方式交付:合同生效后</w:t>
      </w:r>
      <w:r>
        <w:rPr>
          <w:rFonts w:hint="eastAsia" w:ascii="宋体" w:hAnsi="宋体" w:cs="宋体"/>
          <w:sz w:val="24"/>
          <w:u w:val="single"/>
        </w:rPr>
        <w:t xml:space="preserve"> </w:t>
      </w:r>
      <w:r>
        <w:rPr>
          <w:rFonts w:hint="eastAsia" w:ascii="宋体" w:hAnsi="宋体" w:cs="宋体"/>
          <w:sz w:val="24"/>
        </w:rPr>
        <w:t>天之内，卖方应将服务手册交付给买方。</w:t>
      </w:r>
    </w:p>
    <w:p w14:paraId="4DC68363">
      <w:pPr>
        <w:ind w:firstLine="480" w:firstLineChars="200"/>
        <w:rPr>
          <w:rFonts w:hint="eastAsia" w:ascii="宋体" w:hAnsi="宋体" w:cs="宋体"/>
          <w:sz w:val="24"/>
        </w:rPr>
      </w:pPr>
      <w:r>
        <w:rPr>
          <w:rFonts w:hint="eastAsia" w:ascii="宋体" w:hAnsi="宋体" w:cs="宋体"/>
          <w:sz w:val="24"/>
        </w:rPr>
        <w:t>5.2如果买方确认卖方提供的技术资料不完整或在运输过程中丢失，卖方将在收到买方通知后</w:t>
      </w:r>
      <w:r>
        <w:rPr>
          <w:rFonts w:hint="eastAsia" w:ascii="宋体" w:hAnsi="宋体" w:cs="宋体"/>
          <w:sz w:val="24"/>
          <w:u w:val="single"/>
        </w:rPr>
        <w:t xml:space="preserve">    </w:t>
      </w:r>
      <w:r>
        <w:rPr>
          <w:rFonts w:hint="eastAsia" w:ascii="宋体" w:hAnsi="宋体" w:cs="宋体"/>
          <w:sz w:val="24"/>
        </w:rPr>
        <w:t>天内将上述资料免费寄给买方。</w:t>
      </w:r>
    </w:p>
    <w:p w14:paraId="53AB3A84">
      <w:pPr>
        <w:ind w:firstLine="480" w:firstLineChars="200"/>
        <w:rPr>
          <w:rFonts w:hint="eastAsia" w:ascii="宋体" w:hAnsi="宋体" w:cs="宋体"/>
          <w:sz w:val="24"/>
        </w:rPr>
      </w:pPr>
      <w:r>
        <w:rPr>
          <w:rFonts w:hint="eastAsia" w:ascii="宋体" w:hAnsi="宋体" w:cs="宋体"/>
          <w:sz w:val="24"/>
        </w:rPr>
        <w:t>6、检验和验收</w:t>
      </w:r>
    </w:p>
    <w:p w14:paraId="6AF0B3B7">
      <w:pPr>
        <w:ind w:firstLine="480" w:firstLineChars="200"/>
        <w:rPr>
          <w:rFonts w:hint="eastAsia" w:ascii="宋体" w:hAnsi="宋体" w:cs="宋体"/>
          <w:sz w:val="24"/>
        </w:rPr>
      </w:pPr>
      <w:r>
        <w:rPr>
          <w:rFonts w:hint="eastAsia" w:ascii="宋体" w:hAnsi="宋体" w:cs="宋体"/>
          <w:sz w:val="24"/>
        </w:rPr>
        <w:t>6.1在服务前，中标人应对服务需求进行详细而全面的检验，并出具证明符合合同规定的文件。该文件将作为申请付款单据的一部分。</w:t>
      </w:r>
    </w:p>
    <w:p w14:paraId="2F2B648C">
      <w:pPr>
        <w:ind w:firstLine="480" w:firstLineChars="200"/>
        <w:rPr>
          <w:rFonts w:hint="eastAsia" w:ascii="宋体" w:hAnsi="宋体" w:cs="宋体"/>
          <w:sz w:val="24"/>
        </w:rPr>
      </w:pPr>
      <w:r>
        <w:rPr>
          <w:rFonts w:hint="eastAsia" w:ascii="宋体" w:hAnsi="宋体" w:cs="宋体"/>
          <w:sz w:val="24"/>
        </w:rPr>
        <w:t>6.2服务完成后，买方应在</w:t>
      </w:r>
      <w:r>
        <w:rPr>
          <w:rFonts w:hint="eastAsia" w:ascii="宋体" w:hAnsi="宋体" w:cs="宋体"/>
          <w:sz w:val="24"/>
          <w:u w:val="single"/>
        </w:rPr>
        <w:t xml:space="preserve">_   </w:t>
      </w:r>
      <w:r>
        <w:rPr>
          <w:rFonts w:hint="eastAsia" w:ascii="宋体" w:hAnsi="宋体" w:cs="宋体"/>
          <w:sz w:val="24"/>
        </w:rPr>
        <w:t>日内组织验收，并制作验收备忘录，签署验收意见。</w:t>
      </w:r>
    </w:p>
    <w:p w14:paraId="2EBD2C72">
      <w:pPr>
        <w:ind w:firstLine="480" w:firstLineChars="200"/>
        <w:rPr>
          <w:rFonts w:hint="eastAsia" w:ascii="宋体" w:hAnsi="宋体" w:cs="宋体"/>
          <w:sz w:val="24"/>
        </w:rPr>
      </w:pPr>
      <w:r>
        <w:rPr>
          <w:rFonts w:hint="eastAsia" w:ascii="宋体" w:hAnsi="宋体" w:cs="宋体"/>
          <w:sz w:val="24"/>
        </w:rPr>
        <w:t>6.3买方有在服务过程中派员监督的权利，卖方有义务为买方监督人员行使该权利提供方便。</w:t>
      </w:r>
    </w:p>
    <w:p w14:paraId="2A5EE63C">
      <w:pPr>
        <w:ind w:firstLine="480" w:firstLineChars="200"/>
        <w:rPr>
          <w:rFonts w:hint="eastAsia" w:ascii="宋体" w:hAnsi="宋体" w:cs="宋体"/>
          <w:sz w:val="24"/>
        </w:rPr>
      </w:pPr>
      <w:r>
        <w:rPr>
          <w:rFonts w:hint="eastAsia" w:ascii="宋体" w:hAnsi="宋体" w:cs="宋体"/>
          <w:sz w:val="24"/>
        </w:rPr>
        <w:t>7、索赔</w:t>
      </w:r>
    </w:p>
    <w:p w14:paraId="15B356F4">
      <w:pPr>
        <w:ind w:firstLine="480" w:firstLineChars="200"/>
        <w:rPr>
          <w:rFonts w:hint="eastAsia" w:ascii="宋体" w:hAnsi="宋体" w:cs="宋体"/>
          <w:sz w:val="24"/>
        </w:rPr>
      </w:pPr>
      <w:r>
        <w:rPr>
          <w:rFonts w:hint="eastAsia" w:ascii="宋体" w:hAnsi="宋体" w:cs="宋体"/>
          <w:sz w:val="24"/>
        </w:rPr>
        <w:t>7.1如果服务内容与合同不符，买方有权根据有资质的权威质检机构的检验结果，并向卖方提出索赔。</w:t>
      </w:r>
    </w:p>
    <w:p w14:paraId="1C1B893D">
      <w:pPr>
        <w:ind w:firstLine="480" w:firstLineChars="200"/>
        <w:rPr>
          <w:rFonts w:hint="eastAsia" w:ascii="宋体" w:hAnsi="宋体" w:cs="宋体"/>
          <w:sz w:val="24"/>
        </w:rPr>
      </w:pPr>
      <w:r>
        <w:rPr>
          <w:rFonts w:hint="eastAsia" w:ascii="宋体" w:hAnsi="宋体" w:cs="宋体"/>
          <w:sz w:val="24"/>
        </w:rPr>
        <w:t>7.2 如果卖方对买方提出的索赔负有责任，卖方应按照买方同意的下列一种或多种方式解决索赔事宜，并同时承担合同总标的额30%的违约金:</w:t>
      </w:r>
    </w:p>
    <w:p w14:paraId="676C9E48">
      <w:pPr>
        <w:ind w:firstLine="480" w:firstLineChars="200"/>
        <w:rPr>
          <w:rFonts w:hint="eastAsia" w:ascii="宋体" w:hAnsi="宋体" w:cs="宋体"/>
          <w:sz w:val="24"/>
        </w:rPr>
      </w:pPr>
      <w:r>
        <w:rPr>
          <w:rFonts w:hint="eastAsia" w:ascii="宋体" w:hAnsi="宋体" w:cs="宋体"/>
          <w:sz w:val="24"/>
        </w:rPr>
        <w:t>7.2.1卖方应按合同规定将服务费用退还给买方，并承担由此发生的一切损失和费用，包括但不限于利息、银行手续费以及诉讼费、律师费等其他所需的必要费用。</w:t>
      </w:r>
    </w:p>
    <w:p w14:paraId="4D01280B">
      <w:pPr>
        <w:rPr>
          <w:rFonts w:hint="eastAsia" w:ascii="宋体" w:hAnsi="宋体" w:cs="宋体"/>
          <w:sz w:val="24"/>
        </w:rPr>
      </w:pPr>
      <w:r>
        <w:rPr>
          <w:rFonts w:hint="eastAsia" w:ascii="宋体" w:hAnsi="宋体" w:cs="宋体"/>
          <w:sz w:val="24"/>
        </w:rPr>
        <w:t xml:space="preserve">    7.2.2根据服务低劣程度、损坏程度以及买方所遭受损失的数额，经买卖双方商定降低服务的价格，或由有权（资质）的部门进行评估，以降低后的价格或评估价格为准。</w:t>
      </w:r>
    </w:p>
    <w:p w14:paraId="4069F973">
      <w:pPr>
        <w:ind w:firstLine="480" w:firstLineChars="200"/>
        <w:rPr>
          <w:rFonts w:hint="eastAsia" w:ascii="宋体" w:hAnsi="宋体" w:cs="宋体"/>
          <w:sz w:val="24"/>
        </w:rPr>
      </w:pPr>
      <w:r>
        <w:rPr>
          <w:rFonts w:hint="eastAsia" w:ascii="宋体" w:hAnsi="宋体" w:cs="宋体"/>
          <w:sz w:val="24"/>
        </w:rPr>
        <w:t>7.3如果在买方发出索赔通知后</w:t>
      </w:r>
      <w:r>
        <w:rPr>
          <w:rFonts w:hint="eastAsia" w:ascii="宋体" w:hAnsi="宋体" w:cs="宋体"/>
          <w:sz w:val="24"/>
          <w:u w:val="single"/>
        </w:rPr>
        <w:t xml:space="preserve">_  </w:t>
      </w:r>
      <w:r>
        <w:rPr>
          <w:rFonts w:hint="eastAsia" w:ascii="宋体" w:hAnsi="宋体" w:cs="宋体"/>
          <w:sz w:val="24"/>
        </w:rPr>
        <w:t>天内，卖方未作答复，上述索赔应视为已被卖方接受。如卖方未能在买方提出索赔通知后</w:t>
      </w:r>
      <w:r>
        <w:rPr>
          <w:rFonts w:hint="eastAsia" w:ascii="宋体" w:hAnsi="宋体" w:cs="宋体"/>
          <w:sz w:val="24"/>
          <w:u w:val="single"/>
        </w:rPr>
        <w:t xml:space="preserve">   </w:t>
      </w:r>
      <w:r>
        <w:rPr>
          <w:rFonts w:hint="eastAsia" w:ascii="宋体" w:hAnsi="宋体" w:cs="宋体"/>
          <w:sz w:val="24"/>
        </w:rPr>
        <w:t>天内或买方同意的更长时间内，按照本合同规定的任何一种方法解决索赔事宜。</w:t>
      </w:r>
    </w:p>
    <w:p w14:paraId="3C93873F">
      <w:pPr>
        <w:ind w:firstLine="480" w:firstLineChars="200"/>
        <w:rPr>
          <w:rFonts w:hint="eastAsia" w:ascii="宋体" w:hAnsi="宋体" w:cs="宋体"/>
          <w:sz w:val="24"/>
        </w:rPr>
      </w:pPr>
      <w:r>
        <w:rPr>
          <w:rFonts w:hint="eastAsia" w:ascii="宋体" w:hAnsi="宋体" w:cs="宋体"/>
          <w:sz w:val="24"/>
        </w:rPr>
        <w:t>8、延迟服务</w:t>
      </w:r>
    </w:p>
    <w:p w14:paraId="02B846E5">
      <w:pPr>
        <w:ind w:firstLine="480" w:firstLineChars="200"/>
        <w:rPr>
          <w:rFonts w:hint="eastAsia" w:ascii="宋体" w:hAnsi="宋体" w:cs="宋体"/>
          <w:sz w:val="24"/>
        </w:rPr>
      </w:pPr>
      <w:r>
        <w:rPr>
          <w:rFonts w:hint="eastAsia" w:ascii="宋体" w:hAnsi="宋体" w:cs="宋体"/>
          <w:sz w:val="24"/>
        </w:rPr>
        <w:t>8.1卖方应按照“服务需求一览表及技术规格”中买方规定的时间表提供服务。</w:t>
      </w:r>
    </w:p>
    <w:p w14:paraId="72846BD9">
      <w:pPr>
        <w:ind w:firstLine="480" w:firstLineChars="200"/>
        <w:rPr>
          <w:rFonts w:hint="eastAsia" w:ascii="宋体" w:hAnsi="宋体" w:cs="宋体"/>
          <w:sz w:val="24"/>
        </w:rPr>
      </w:pPr>
      <w:r>
        <w:rPr>
          <w:rFonts w:hint="eastAsia" w:ascii="宋体" w:hAnsi="宋体" w:cs="宋体"/>
          <w:sz w:val="24"/>
        </w:rPr>
        <w:t>8.2如果卖方无正当理由迟延服务，买方有权要求卖方按照合同总标的额30%支付违约金并解除合同。</w:t>
      </w:r>
    </w:p>
    <w:p w14:paraId="5D2A4790">
      <w:pPr>
        <w:ind w:firstLine="480" w:firstLineChars="200"/>
        <w:rPr>
          <w:rFonts w:hint="eastAsia" w:ascii="宋体" w:hAnsi="宋体" w:cs="宋体"/>
          <w:sz w:val="24"/>
        </w:rPr>
      </w:pPr>
      <w:r>
        <w:rPr>
          <w:rFonts w:hint="eastAsia" w:ascii="宋体" w:hAnsi="宋体" w:cs="宋体"/>
          <w:sz w:val="24"/>
        </w:rPr>
        <w:t xml:space="preserve">8.3在履行合同过程中，如果卖方遇到不能按时提供服务的情况，应及时以书面形式将不能按时提供服务的理由、预期延误时间通知买方。买方收到卖方通知后，认为理由正当的，可酌情延长服务时间。 </w:t>
      </w:r>
    </w:p>
    <w:p w14:paraId="3A084717">
      <w:pPr>
        <w:ind w:firstLine="480" w:firstLineChars="200"/>
        <w:rPr>
          <w:rFonts w:hint="eastAsia" w:ascii="宋体" w:hAnsi="宋体" w:cs="宋体"/>
          <w:sz w:val="24"/>
        </w:rPr>
      </w:pPr>
      <w:r>
        <w:rPr>
          <w:rFonts w:hint="eastAsia" w:ascii="宋体" w:hAnsi="宋体" w:cs="宋体"/>
          <w:sz w:val="24"/>
        </w:rPr>
        <w:t>9、违约赔偿</w:t>
      </w:r>
    </w:p>
    <w:p w14:paraId="6A9C06C8">
      <w:pPr>
        <w:ind w:firstLine="360" w:firstLineChars="150"/>
        <w:rPr>
          <w:rFonts w:hint="eastAsia" w:ascii="宋体" w:hAnsi="宋体" w:cs="宋体"/>
          <w:sz w:val="24"/>
        </w:rPr>
      </w:pPr>
      <w:r>
        <w:rPr>
          <w:rFonts w:hint="eastAsia" w:ascii="宋体" w:hAnsi="宋体" w:cs="宋体"/>
          <w:sz w:val="24"/>
        </w:rPr>
        <w:t>9.1除合同规定的索赔条款外，如果卖方没有按照合同规定的时间提供服务，买方可要求卖方支付违约金。违约金按每周未提供服务交付价的0.5%计收。但违约金的最高限额为该合同价款总额的30%。不足7天按一周计算。如果达到最高限额，买方有权解除合同。</w:t>
      </w:r>
    </w:p>
    <w:p w14:paraId="7EBD2728">
      <w:pPr>
        <w:ind w:firstLine="480" w:firstLineChars="200"/>
        <w:rPr>
          <w:rFonts w:hint="eastAsia" w:ascii="宋体" w:hAnsi="宋体" w:cs="宋体"/>
          <w:sz w:val="24"/>
        </w:rPr>
      </w:pPr>
      <w:r>
        <w:rPr>
          <w:rFonts w:hint="eastAsia" w:ascii="宋体" w:hAnsi="宋体" w:cs="宋体"/>
          <w:sz w:val="24"/>
        </w:rPr>
        <w:t>10、不可抗力</w:t>
      </w:r>
    </w:p>
    <w:p w14:paraId="39941714">
      <w:pPr>
        <w:ind w:firstLine="480" w:firstLineChars="200"/>
        <w:rPr>
          <w:rFonts w:hint="eastAsia" w:ascii="宋体" w:hAnsi="宋体" w:cs="宋体"/>
          <w:sz w:val="24"/>
        </w:rPr>
      </w:pPr>
      <w:r>
        <w:rPr>
          <w:rFonts w:hint="eastAsia" w:ascii="宋体" w:hAnsi="宋体" w:cs="宋体"/>
          <w:sz w:val="24"/>
        </w:rPr>
        <w:t>10.1如果双方中任何一方遭遇法律规定的不可抗力，致使合同履行受阻时，履行合同的期限应予延长，延长的期限应相当于不可抗力所影响的时间。</w:t>
      </w:r>
    </w:p>
    <w:p w14:paraId="01462353">
      <w:pPr>
        <w:ind w:firstLine="480" w:firstLineChars="200"/>
        <w:rPr>
          <w:rFonts w:hint="eastAsia" w:ascii="宋体" w:hAnsi="宋体" w:cs="宋体"/>
          <w:sz w:val="24"/>
        </w:rPr>
      </w:pPr>
      <w:r>
        <w:rPr>
          <w:rFonts w:hint="eastAsia" w:ascii="宋体" w:hAnsi="宋体" w:cs="宋体"/>
          <w:sz w:val="24"/>
        </w:rPr>
        <w:t>10.2受事故影响的一方应在不可抗力的事故发生后尽快书面形式通知另一方，并在事故发生后7天内，将有关部门出具的证明文件送达另一方。</w:t>
      </w:r>
    </w:p>
    <w:p w14:paraId="7AC5DE72">
      <w:pPr>
        <w:ind w:firstLine="480" w:firstLineChars="200"/>
        <w:rPr>
          <w:rFonts w:hint="eastAsia" w:ascii="宋体" w:hAnsi="宋体" w:cs="宋体"/>
          <w:sz w:val="24"/>
        </w:rPr>
      </w:pPr>
      <w:r>
        <w:rPr>
          <w:rFonts w:hint="eastAsia" w:ascii="宋体" w:hAnsi="宋体" w:cs="宋体"/>
          <w:sz w:val="24"/>
        </w:rPr>
        <w:t>10.3不可抗力使合同的某些内容有变更必要的，双方应通过协商在</w:t>
      </w:r>
      <w:r>
        <w:rPr>
          <w:rFonts w:hint="eastAsia" w:ascii="宋体" w:hAnsi="宋体" w:cs="宋体"/>
          <w:sz w:val="24"/>
          <w:u w:val="single"/>
        </w:rPr>
        <w:t xml:space="preserve">  </w:t>
      </w:r>
      <w:r>
        <w:rPr>
          <w:rFonts w:hint="eastAsia" w:ascii="宋体" w:hAnsi="宋体" w:cs="宋体"/>
          <w:sz w:val="24"/>
        </w:rPr>
        <w:t>日内达成进一步履行合同的协议，因不可抗力致使合同不能履行的，合同终止。</w:t>
      </w:r>
    </w:p>
    <w:p w14:paraId="13F3BD92">
      <w:pPr>
        <w:ind w:firstLine="480" w:firstLineChars="200"/>
        <w:rPr>
          <w:rFonts w:hint="eastAsia" w:ascii="宋体" w:hAnsi="宋体" w:cs="宋体"/>
          <w:sz w:val="24"/>
        </w:rPr>
      </w:pPr>
      <w:r>
        <w:rPr>
          <w:rFonts w:hint="eastAsia" w:ascii="宋体" w:hAnsi="宋体" w:cs="宋体"/>
          <w:sz w:val="24"/>
        </w:rPr>
        <w:t>11、税费</w:t>
      </w:r>
    </w:p>
    <w:p w14:paraId="08BC3653">
      <w:pPr>
        <w:ind w:firstLine="480" w:firstLineChars="200"/>
        <w:rPr>
          <w:rFonts w:hint="eastAsia" w:ascii="宋体" w:hAnsi="宋体" w:cs="宋体"/>
          <w:sz w:val="24"/>
        </w:rPr>
      </w:pPr>
      <w:r>
        <w:rPr>
          <w:rFonts w:hint="eastAsia" w:ascii="宋体" w:hAnsi="宋体" w:cs="宋体"/>
          <w:sz w:val="24"/>
        </w:rPr>
        <w:t>11.1与本合同有关的一切税费均适用中华人民共和国法律的相关规定。</w:t>
      </w:r>
    </w:p>
    <w:p w14:paraId="377CCF0B">
      <w:pPr>
        <w:ind w:firstLine="480" w:firstLineChars="200"/>
        <w:rPr>
          <w:rFonts w:hint="eastAsia" w:ascii="宋体" w:hAnsi="宋体" w:cs="宋体"/>
          <w:sz w:val="24"/>
        </w:rPr>
      </w:pPr>
      <w:r>
        <w:rPr>
          <w:rFonts w:hint="eastAsia" w:ascii="宋体" w:hAnsi="宋体" w:cs="宋体"/>
          <w:sz w:val="24"/>
        </w:rPr>
        <w:t>12、合同争议的解决</w:t>
      </w:r>
    </w:p>
    <w:p w14:paraId="4A1F9803">
      <w:pPr>
        <w:ind w:firstLine="480" w:firstLineChars="200"/>
        <w:rPr>
          <w:rFonts w:hint="eastAsia" w:ascii="宋体" w:hAnsi="宋体" w:cs="宋体"/>
          <w:sz w:val="24"/>
        </w:rPr>
      </w:pPr>
      <w:r>
        <w:rPr>
          <w:rFonts w:hint="eastAsia" w:ascii="宋体" w:hAnsi="宋体" w:cs="宋体"/>
          <w:sz w:val="24"/>
        </w:rPr>
        <w:t>12.1因合同履行中发生的争议，合同当事人双方可通过协商解决。协商不成的，可向买方所在地人民法院提起诉讼。</w:t>
      </w:r>
    </w:p>
    <w:p w14:paraId="39177BB7">
      <w:pPr>
        <w:ind w:firstLine="480" w:firstLineChars="200"/>
        <w:rPr>
          <w:rFonts w:hint="eastAsia" w:ascii="宋体" w:hAnsi="宋体" w:cs="宋体"/>
          <w:sz w:val="24"/>
        </w:rPr>
      </w:pPr>
      <w:r>
        <w:rPr>
          <w:rFonts w:hint="eastAsia" w:ascii="宋体" w:hAnsi="宋体" w:cs="宋体"/>
          <w:sz w:val="24"/>
        </w:rPr>
        <w:t>13、违约解除合同</w:t>
      </w:r>
    </w:p>
    <w:p w14:paraId="54F1E00A">
      <w:pPr>
        <w:ind w:firstLine="480" w:firstLineChars="200"/>
        <w:rPr>
          <w:rFonts w:hint="eastAsia" w:ascii="宋体" w:hAnsi="宋体" w:cs="宋体"/>
          <w:sz w:val="24"/>
        </w:rPr>
      </w:pPr>
      <w:r>
        <w:rPr>
          <w:rFonts w:hint="eastAsia" w:ascii="宋体" w:hAnsi="宋体" w:cs="宋体"/>
          <w:sz w:val="24"/>
        </w:rPr>
        <w:t>13.1在卖方违约的情况下，买方可向卖方发出书面通知全部或者部分解除合同。同时保留向卖方追诉的权利。</w:t>
      </w:r>
    </w:p>
    <w:p w14:paraId="5E2CC130">
      <w:pPr>
        <w:ind w:firstLine="480" w:firstLineChars="200"/>
        <w:rPr>
          <w:rFonts w:hint="eastAsia" w:ascii="宋体" w:hAnsi="宋体" w:cs="宋体"/>
          <w:sz w:val="24"/>
        </w:rPr>
      </w:pPr>
      <w:r>
        <w:rPr>
          <w:rFonts w:hint="eastAsia" w:ascii="宋体" w:hAnsi="宋体" w:cs="宋体"/>
          <w:sz w:val="24"/>
        </w:rPr>
        <w:t>13.1.1卖方未能在合同规定的限期或买方同意延长的限期内，提供全部或部分服务的，买方可以解除合同;</w:t>
      </w:r>
    </w:p>
    <w:p w14:paraId="75FC3B4E">
      <w:pPr>
        <w:ind w:firstLine="480" w:firstLineChars="200"/>
        <w:rPr>
          <w:rFonts w:hint="eastAsia" w:ascii="宋体" w:hAnsi="宋体" w:cs="宋体"/>
          <w:sz w:val="24"/>
        </w:rPr>
      </w:pPr>
      <w:r>
        <w:rPr>
          <w:rFonts w:hint="eastAsia" w:ascii="宋体" w:hAnsi="宋体" w:cs="宋体"/>
          <w:sz w:val="24"/>
        </w:rPr>
        <w:t xml:space="preserve">13.1．2卖方未能履行合同规定的其它主要义务的; </w:t>
      </w:r>
    </w:p>
    <w:p w14:paraId="687C1C9D">
      <w:pPr>
        <w:ind w:firstLine="480" w:firstLineChars="200"/>
        <w:rPr>
          <w:rFonts w:hint="eastAsia" w:ascii="宋体" w:hAnsi="宋体" w:cs="宋体"/>
          <w:sz w:val="24"/>
        </w:rPr>
      </w:pPr>
      <w:r>
        <w:rPr>
          <w:rFonts w:hint="eastAsia" w:ascii="宋体" w:hAnsi="宋体" w:cs="宋体"/>
          <w:sz w:val="24"/>
        </w:rPr>
        <w:t>13. 1.3在本合同履行过程中有腐败和欺诈行为的。</w:t>
      </w:r>
    </w:p>
    <w:p w14:paraId="7C62A7D8">
      <w:pPr>
        <w:ind w:firstLine="480" w:firstLineChars="200"/>
        <w:rPr>
          <w:rFonts w:hint="eastAsia" w:ascii="宋体" w:hAnsi="宋体" w:cs="宋体"/>
          <w:sz w:val="24"/>
        </w:rPr>
      </w:pPr>
      <w:r>
        <w:rPr>
          <w:rFonts w:hint="eastAsia" w:ascii="宋体" w:hAnsi="宋体" w:cs="宋体"/>
          <w:sz w:val="24"/>
        </w:rPr>
        <w:t>13.1.3.1“腐败行为”和“欺诈行为”定义如下:</w:t>
      </w:r>
    </w:p>
    <w:p w14:paraId="6FCE107D">
      <w:pPr>
        <w:ind w:firstLine="480" w:firstLineChars="200"/>
        <w:rPr>
          <w:rFonts w:hint="eastAsia" w:ascii="宋体" w:hAnsi="宋体" w:cs="宋体"/>
          <w:sz w:val="24"/>
        </w:rPr>
      </w:pPr>
      <w:r>
        <w:rPr>
          <w:rFonts w:hint="eastAsia" w:ascii="宋体" w:hAnsi="宋体" w:cs="宋体"/>
          <w:sz w:val="24"/>
        </w:rPr>
        <w:t>“腐败行为”是指提供/给予/接受或索取任何有价值的东西来影响买方在合同签订、履行过程中的行为。</w:t>
      </w:r>
    </w:p>
    <w:p w14:paraId="4F5B7189">
      <w:pPr>
        <w:ind w:firstLine="480" w:firstLineChars="200"/>
        <w:rPr>
          <w:rFonts w:hint="eastAsia" w:ascii="宋体" w:hAnsi="宋体" w:cs="宋体"/>
          <w:sz w:val="24"/>
        </w:rPr>
      </w:pPr>
      <w:r>
        <w:rPr>
          <w:rFonts w:hint="eastAsia" w:ascii="宋体" w:hAnsi="宋体" w:cs="宋体"/>
          <w:sz w:val="24"/>
        </w:rPr>
        <w:t>“欺诈行为”是指为了影响合同签订、履行过程，以谎报事实的方法损害买方的利益的行为。</w:t>
      </w:r>
    </w:p>
    <w:p w14:paraId="021F84CB">
      <w:pPr>
        <w:ind w:firstLine="480" w:firstLineChars="200"/>
        <w:rPr>
          <w:rFonts w:hint="eastAsia" w:ascii="宋体" w:hAnsi="宋体" w:cs="宋体"/>
          <w:sz w:val="24"/>
        </w:rPr>
      </w:pPr>
      <w:r>
        <w:rPr>
          <w:rFonts w:hint="eastAsia" w:ascii="宋体" w:hAnsi="宋体" w:cs="宋体"/>
          <w:sz w:val="24"/>
        </w:rPr>
        <w:t>13.2全部或部分解除合同之后，应当遵循诚实信用原则，全部或部分购买与未交付的服务，卖方应承担买方购买类似服务而产生的额外支出。部分解除合同的，卖方应继续履行合同中未解除的部分。</w:t>
      </w:r>
    </w:p>
    <w:p w14:paraId="0E360211">
      <w:pPr>
        <w:ind w:firstLine="480" w:firstLineChars="200"/>
        <w:rPr>
          <w:rFonts w:hint="eastAsia" w:ascii="宋体" w:hAnsi="宋体" w:cs="宋体"/>
          <w:sz w:val="24"/>
        </w:rPr>
      </w:pPr>
      <w:r>
        <w:rPr>
          <w:rFonts w:hint="eastAsia" w:ascii="宋体" w:hAnsi="宋体" w:cs="宋体"/>
          <w:sz w:val="24"/>
        </w:rPr>
        <w:t>14、破产终止合同</w:t>
      </w:r>
    </w:p>
    <w:p w14:paraId="48FA00FF">
      <w:pPr>
        <w:ind w:firstLine="480" w:firstLineChars="200"/>
        <w:rPr>
          <w:rFonts w:hint="eastAsia" w:ascii="宋体" w:hAnsi="宋体" w:cs="宋体"/>
          <w:sz w:val="24"/>
        </w:rPr>
      </w:pPr>
      <w:r>
        <w:rPr>
          <w:rFonts w:hint="eastAsia" w:ascii="宋体" w:hAnsi="宋体" w:cs="宋体"/>
          <w:sz w:val="24"/>
        </w:rPr>
        <w:t>14.1如果卖方破产导致合同无法履行时，买方可以书面形式通知卖方，单方终止合同而不给卖方补偿。但买方必须以书面形式告知同级政府采购监督管理部门。该合同的终止将不损害或不影响买方己经采取或将要采取的任何行动或补救措施的权利。</w:t>
      </w:r>
    </w:p>
    <w:p w14:paraId="3A0517AB">
      <w:pPr>
        <w:ind w:firstLine="480" w:firstLineChars="200"/>
        <w:rPr>
          <w:rFonts w:hint="eastAsia" w:ascii="宋体" w:hAnsi="宋体" w:cs="宋体"/>
          <w:sz w:val="24"/>
        </w:rPr>
      </w:pPr>
      <w:r>
        <w:rPr>
          <w:rFonts w:hint="eastAsia" w:ascii="宋体" w:hAnsi="宋体" w:cs="宋体"/>
          <w:sz w:val="24"/>
        </w:rPr>
        <w:t>15、转让和分包</w:t>
      </w:r>
    </w:p>
    <w:p w14:paraId="7069DD93">
      <w:pPr>
        <w:ind w:firstLine="480" w:firstLineChars="200"/>
        <w:rPr>
          <w:rFonts w:hint="eastAsia" w:ascii="宋体" w:hAnsi="宋体" w:cs="宋体"/>
          <w:sz w:val="24"/>
        </w:rPr>
      </w:pPr>
      <w:r>
        <w:rPr>
          <w:rFonts w:hint="eastAsia" w:ascii="宋体" w:hAnsi="宋体" w:cs="宋体"/>
          <w:sz w:val="24"/>
        </w:rPr>
        <w:t>15.1 除非在投标文件中载明，卖方不得分包。必须在投标文件中载明分包。经买方同意，卖方可以将合同项下非主体、非关键性工作分包给他人完成。卖方保证接受分包的人应当具备相应的资格条件，并不得再次分包。分包后不能解除卖方履行本合同的责任和义务，卖方对分包内容的质量向买方承担合同的责任和义务。如投标文件无明确可以分包，卖方分包的，则在支付最后款项中买方扣合同总标的额10%的卖方违约责任，买包有权追索卖方因分包给买方造成的一切经济损失。</w:t>
      </w:r>
    </w:p>
    <w:p w14:paraId="2866442B">
      <w:pPr>
        <w:ind w:firstLine="480" w:firstLineChars="200"/>
        <w:rPr>
          <w:rFonts w:hint="eastAsia" w:ascii="宋体" w:hAnsi="宋体" w:cs="宋体"/>
          <w:sz w:val="24"/>
        </w:rPr>
      </w:pPr>
      <w:r>
        <w:rPr>
          <w:rFonts w:hint="eastAsia" w:ascii="宋体" w:hAnsi="宋体" w:cs="宋体"/>
          <w:sz w:val="24"/>
        </w:rPr>
        <w:t>16、合同修改</w:t>
      </w:r>
    </w:p>
    <w:p w14:paraId="7651F185">
      <w:pPr>
        <w:ind w:firstLine="480" w:firstLineChars="200"/>
        <w:rPr>
          <w:rFonts w:hint="eastAsia" w:ascii="宋体" w:hAnsi="宋体" w:cs="宋体"/>
          <w:sz w:val="24"/>
        </w:rPr>
      </w:pPr>
      <w:r>
        <w:rPr>
          <w:rFonts w:hint="eastAsia" w:ascii="宋体" w:hAnsi="宋体" w:cs="宋体"/>
          <w:sz w:val="24"/>
        </w:rPr>
        <w:t>16.1买方和卖方都不得擅自变更本合同，但合同继续履行将损害国家和社会公共利益的除外。如必须对合同条款进行改动时，当事人双方须共同签署书面文件，作为合同的补充。</w:t>
      </w:r>
    </w:p>
    <w:p w14:paraId="40AB7B98">
      <w:pPr>
        <w:ind w:firstLine="480" w:firstLineChars="200"/>
        <w:rPr>
          <w:rFonts w:hint="eastAsia" w:ascii="宋体" w:hAnsi="宋体" w:cs="宋体"/>
          <w:sz w:val="24"/>
        </w:rPr>
      </w:pPr>
      <w:r>
        <w:rPr>
          <w:rFonts w:hint="eastAsia" w:ascii="宋体" w:hAnsi="宋体" w:cs="宋体"/>
          <w:sz w:val="24"/>
        </w:rPr>
        <w:t>17、通知</w:t>
      </w:r>
    </w:p>
    <w:p w14:paraId="0DB14EDD">
      <w:pPr>
        <w:ind w:firstLine="480" w:firstLineChars="200"/>
        <w:rPr>
          <w:rFonts w:hint="eastAsia" w:ascii="宋体" w:hAnsi="宋体" w:cs="宋体"/>
          <w:sz w:val="24"/>
        </w:rPr>
      </w:pPr>
      <w:r>
        <w:rPr>
          <w:rFonts w:hint="eastAsia" w:ascii="宋体" w:hAnsi="宋体" w:cs="宋体"/>
          <w:sz w:val="24"/>
        </w:rPr>
        <w:t>17.1本合同任何一方给另一方的通知，都应以书面形式发送，而另一方也应以书面形式确认并发送到对方明确的地址。</w:t>
      </w:r>
    </w:p>
    <w:p w14:paraId="662B2330">
      <w:pPr>
        <w:ind w:firstLine="480" w:firstLineChars="200"/>
        <w:rPr>
          <w:rFonts w:hint="eastAsia" w:ascii="宋体" w:hAnsi="宋体" w:cs="宋体"/>
          <w:sz w:val="24"/>
        </w:rPr>
      </w:pPr>
      <w:r>
        <w:rPr>
          <w:rFonts w:hint="eastAsia" w:ascii="宋体" w:hAnsi="宋体" w:cs="宋体"/>
          <w:sz w:val="24"/>
        </w:rPr>
        <w:t xml:space="preserve">18、计量单位 </w:t>
      </w:r>
    </w:p>
    <w:p w14:paraId="1FF1DD67">
      <w:pPr>
        <w:ind w:firstLine="480" w:firstLineChars="200"/>
        <w:rPr>
          <w:rFonts w:hint="eastAsia" w:ascii="宋体" w:hAnsi="宋体" w:cs="宋体"/>
          <w:sz w:val="24"/>
        </w:rPr>
      </w:pPr>
      <w:r>
        <w:rPr>
          <w:rFonts w:hint="eastAsia" w:ascii="宋体" w:hAnsi="宋体" w:cs="宋体"/>
          <w:sz w:val="24"/>
        </w:rPr>
        <w:t>除技术规范中另有规定外，计量单位均使用国家法定计量单位。</w:t>
      </w:r>
    </w:p>
    <w:p w14:paraId="1CC780A7">
      <w:pPr>
        <w:ind w:firstLine="480" w:firstLineChars="200"/>
        <w:rPr>
          <w:rFonts w:hint="eastAsia" w:ascii="宋体" w:hAnsi="宋体" w:cs="宋体"/>
          <w:sz w:val="24"/>
        </w:rPr>
      </w:pPr>
      <w:r>
        <w:rPr>
          <w:rFonts w:hint="eastAsia" w:ascii="宋体" w:hAnsi="宋体" w:cs="宋体"/>
          <w:sz w:val="24"/>
        </w:rPr>
        <w:t>19、适用法律</w:t>
      </w:r>
    </w:p>
    <w:p w14:paraId="2C9F3E0B">
      <w:pPr>
        <w:ind w:firstLine="480" w:firstLineChars="200"/>
        <w:rPr>
          <w:rFonts w:hint="eastAsia" w:ascii="宋体" w:hAnsi="宋体" w:cs="宋体"/>
          <w:sz w:val="24"/>
        </w:rPr>
      </w:pPr>
      <w:r>
        <w:rPr>
          <w:rFonts w:hint="eastAsia" w:ascii="宋体" w:hAnsi="宋体" w:cs="宋体"/>
          <w:sz w:val="24"/>
        </w:rPr>
        <w:t>本合同应按照中华人民共和国的法律进行解释。</w:t>
      </w:r>
    </w:p>
    <w:p w14:paraId="741BE863">
      <w:pPr>
        <w:ind w:firstLine="480" w:firstLineChars="200"/>
        <w:rPr>
          <w:rFonts w:hint="eastAsia" w:ascii="宋体" w:hAnsi="宋体" w:cs="宋体"/>
          <w:sz w:val="24"/>
        </w:rPr>
      </w:pPr>
      <w:r>
        <w:rPr>
          <w:rFonts w:hint="eastAsia" w:ascii="宋体" w:hAnsi="宋体" w:cs="宋体"/>
          <w:sz w:val="24"/>
        </w:rPr>
        <w:t>20、履约保证金：</w:t>
      </w:r>
      <w:r>
        <w:rPr>
          <w:rFonts w:hint="eastAsia" w:ascii="宋体" w:hAnsi="宋体" w:cs="宋体"/>
          <w:sz w:val="24"/>
          <w:u w:val="single"/>
        </w:rPr>
        <w:t xml:space="preserve">                            </w:t>
      </w:r>
    </w:p>
    <w:p w14:paraId="6DAF073D">
      <w:pPr>
        <w:ind w:firstLine="480" w:firstLineChars="200"/>
        <w:rPr>
          <w:rFonts w:hint="eastAsia" w:ascii="宋体" w:hAnsi="宋体" w:cs="宋体"/>
          <w:sz w:val="24"/>
        </w:rPr>
      </w:pPr>
      <w:r>
        <w:rPr>
          <w:rFonts w:hint="eastAsia" w:ascii="宋体" w:hAnsi="宋体" w:cs="宋体"/>
          <w:sz w:val="24"/>
        </w:rPr>
        <w:t>21、合同生效和其它</w:t>
      </w:r>
    </w:p>
    <w:p w14:paraId="6EB590F0">
      <w:pPr>
        <w:ind w:firstLine="480" w:firstLineChars="200"/>
        <w:rPr>
          <w:rFonts w:hint="eastAsia" w:ascii="宋体" w:hAnsi="宋体" w:cs="宋体"/>
          <w:sz w:val="24"/>
        </w:rPr>
      </w:pPr>
      <w:r>
        <w:rPr>
          <w:rFonts w:hint="eastAsia" w:ascii="宋体" w:hAnsi="宋体" w:cs="宋体"/>
          <w:sz w:val="24"/>
        </w:rPr>
        <w:t>21.1采购项目的采购合同内容的确定应以招标文件和投标文件为基础，不得违背其实质性内容。</w:t>
      </w:r>
    </w:p>
    <w:p w14:paraId="4686490A">
      <w:pPr>
        <w:ind w:firstLine="480" w:firstLineChars="200"/>
        <w:rPr>
          <w:rFonts w:hint="eastAsia" w:ascii="宋体" w:hAnsi="宋体" w:cs="宋体"/>
          <w:sz w:val="24"/>
        </w:rPr>
      </w:pPr>
      <w:r>
        <w:rPr>
          <w:rFonts w:hint="eastAsia" w:ascii="宋体" w:hAnsi="宋体" w:cs="宋体"/>
          <w:sz w:val="24"/>
        </w:rPr>
        <w:t>21.2本合同一式</w:t>
      </w:r>
      <w:r>
        <w:rPr>
          <w:rFonts w:hint="eastAsia" w:ascii="宋体" w:hAnsi="宋体" w:cs="宋体"/>
          <w:sz w:val="24"/>
          <w:u w:val="single"/>
        </w:rPr>
        <w:t xml:space="preserve">   </w:t>
      </w:r>
      <w:r>
        <w:rPr>
          <w:rFonts w:hint="eastAsia" w:ascii="宋体" w:hAnsi="宋体" w:cs="宋体"/>
          <w:sz w:val="24"/>
        </w:rPr>
        <w:t>份，具有同等法律效力。买方和卖方各执</w:t>
      </w:r>
      <w:r>
        <w:rPr>
          <w:rFonts w:hint="eastAsia" w:ascii="宋体" w:hAnsi="宋体" w:cs="宋体"/>
          <w:sz w:val="24"/>
          <w:u w:val="single"/>
        </w:rPr>
        <w:t xml:space="preserve">   </w:t>
      </w:r>
      <w:r>
        <w:rPr>
          <w:rFonts w:hint="eastAsia" w:ascii="宋体" w:hAnsi="宋体" w:cs="宋体"/>
          <w:sz w:val="24"/>
        </w:rPr>
        <w:t>份。</w:t>
      </w:r>
    </w:p>
    <w:p w14:paraId="28ACD63B">
      <w:pPr>
        <w:rPr>
          <w:rFonts w:hint="eastAsia" w:ascii="宋体" w:hAnsi="宋体" w:cs="宋体"/>
          <w:sz w:val="24"/>
        </w:rPr>
      </w:pPr>
      <w:r>
        <w:rPr>
          <w:rFonts w:hint="eastAsia" w:ascii="宋体" w:hAnsi="宋体" w:cs="宋体"/>
          <w:sz w:val="24"/>
        </w:rPr>
        <w:t>甲方名称:                                   (盖 章 )</w:t>
      </w:r>
    </w:p>
    <w:p w14:paraId="09A367DC">
      <w:pPr>
        <w:rPr>
          <w:rFonts w:hint="eastAsia" w:ascii="宋体" w:hAnsi="宋体" w:cs="宋体"/>
          <w:sz w:val="24"/>
        </w:rPr>
      </w:pPr>
      <w:r>
        <w:rPr>
          <w:rFonts w:hint="eastAsia" w:ascii="宋体" w:hAnsi="宋体" w:cs="宋体"/>
          <w:sz w:val="24"/>
        </w:rPr>
        <w:t>法定代表人或委托代理人:</w:t>
      </w:r>
    </w:p>
    <w:p w14:paraId="5CD40EE7">
      <w:pPr>
        <w:rPr>
          <w:rFonts w:hint="eastAsia" w:ascii="宋体" w:hAnsi="宋体" w:cs="宋体"/>
          <w:sz w:val="24"/>
        </w:rPr>
      </w:pPr>
      <w:r>
        <w:rPr>
          <w:rFonts w:hint="eastAsia" w:ascii="宋体" w:hAnsi="宋体" w:cs="宋体"/>
          <w:sz w:val="24"/>
        </w:rPr>
        <w:t>签订日期：</w:t>
      </w:r>
    </w:p>
    <w:p w14:paraId="4E4CA5A9">
      <w:pPr>
        <w:rPr>
          <w:rFonts w:hint="eastAsia" w:ascii="宋体" w:hAnsi="宋体" w:cs="宋体"/>
          <w:sz w:val="24"/>
        </w:rPr>
      </w:pPr>
      <w:r>
        <w:rPr>
          <w:rFonts w:hint="eastAsia" w:ascii="宋体" w:hAnsi="宋体" w:cs="宋体"/>
          <w:sz w:val="24"/>
        </w:rPr>
        <w:t>地址：</w:t>
      </w:r>
    </w:p>
    <w:p w14:paraId="6D7C13E4">
      <w:pPr>
        <w:rPr>
          <w:rFonts w:hint="eastAsia" w:ascii="宋体" w:hAnsi="宋体" w:cs="宋体"/>
          <w:sz w:val="24"/>
        </w:rPr>
      </w:pPr>
      <w:r>
        <w:rPr>
          <w:rFonts w:hint="eastAsia" w:ascii="宋体" w:hAnsi="宋体" w:cs="宋体"/>
          <w:sz w:val="24"/>
        </w:rPr>
        <w:t xml:space="preserve">电话: </w:t>
      </w:r>
    </w:p>
    <w:p w14:paraId="4C140751">
      <w:pPr>
        <w:rPr>
          <w:rFonts w:hint="eastAsia" w:ascii="宋体" w:hAnsi="宋体" w:cs="宋体"/>
          <w:sz w:val="24"/>
        </w:rPr>
      </w:pPr>
    </w:p>
    <w:p w14:paraId="37698113">
      <w:pPr>
        <w:rPr>
          <w:rFonts w:hint="eastAsia" w:ascii="宋体" w:hAnsi="宋体" w:cs="宋体"/>
          <w:sz w:val="24"/>
        </w:rPr>
      </w:pPr>
      <w:r>
        <w:rPr>
          <w:rFonts w:hint="eastAsia" w:ascii="宋体" w:hAnsi="宋体" w:cs="宋体"/>
          <w:sz w:val="24"/>
        </w:rPr>
        <w:t>乙方名称:                                  (盖 章 )</w:t>
      </w:r>
    </w:p>
    <w:p w14:paraId="658976CA">
      <w:pPr>
        <w:rPr>
          <w:rFonts w:hint="eastAsia" w:ascii="宋体" w:hAnsi="宋体" w:cs="宋体"/>
          <w:sz w:val="24"/>
        </w:rPr>
      </w:pPr>
      <w:r>
        <w:rPr>
          <w:rFonts w:hint="eastAsia" w:ascii="宋体" w:hAnsi="宋体" w:cs="宋体"/>
          <w:sz w:val="24"/>
        </w:rPr>
        <w:t>法定代表人或委托代理人：</w:t>
      </w:r>
    </w:p>
    <w:p w14:paraId="659F08C2">
      <w:pPr>
        <w:rPr>
          <w:rFonts w:hint="eastAsia" w:ascii="宋体" w:hAnsi="宋体" w:cs="宋体"/>
          <w:sz w:val="24"/>
        </w:rPr>
      </w:pPr>
      <w:r>
        <w:rPr>
          <w:rFonts w:hint="eastAsia" w:ascii="宋体" w:hAnsi="宋体" w:cs="宋体"/>
          <w:sz w:val="24"/>
        </w:rPr>
        <w:t>签订日期:</w:t>
      </w:r>
    </w:p>
    <w:p w14:paraId="211FF177">
      <w:pPr>
        <w:rPr>
          <w:rFonts w:hint="eastAsia" w:ascii="宋体" w:hAnsi="宋体" w:cs="宋体"/>
          <w:sz w:val="24"/>
        </w:rPr>
      </w:pPr>
      <w:r>
        <w:rPr>
          <w:rFonts w:hint="eastAsia" w:ascii="宋体" w:hAnsi="宋体" w:cs="宋体"/>
          <w:sz w:val="24"/>
        </w:rPr>
        <w:t xml:space="preserve">地址: </w:t>
      </w:r>
    </w:p>
    <w:p w14:paraId="617F26CA">
      <w:pPr>
        <w:rPr>
          <w:rFonts w:hint="eastAsia" w:ascii="宋体" w:hAnsi="宋体" w:cs="宋体"/>
          <w:sz w:val="24"/>
        </w:rPr>
      </w:pPr>
      <w:r>
        <w:rPr>
          <w:rFonts w:hint="eastAsia" w:ascii="宋体" w:hAnsi="宋体" w:cs="宋体"/>
          <w:sz w:val="24"/>
        </w:rPr>
        <w:t>电话:</w:t>
      </w:r>
    </w:p>
    <w:p w14:paraId="65FFF4F0">
      <w:pPr>
        <w:adjustRightInd w:val="0"/>
        <w:snapToGrid w:val="0"/>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第五章  技术（质量标准）</w:t>
      </w:r>
      <w:bookmarkEnd w:id="31"/>
      <w:bookmarkEnd w:id="32"/>
      <w:r>
        <w:rPr>
          <w:rFonts w:hint="eastAsia" w:ascii="宋体" w:hAnsi="宋体" w:cs="宋体"/>
          <w:b/>
          <w:bCs/>
          <w:sz w:val="24"/>
        </w:rPr>
        <w:t>参数及说明</w:t>
      </w:r>
    </w:p>
    <w:p w14:paraId="2764880F">
      <w:pPr>
        <w:jc w:val="center"/>
        <w:rPr>
          <w:rFonts w:hint="eastAsia" w:ascii="宋体" w:hAnsi="宋体" w:cs="宋体"/>
          <w:sz w:val="24"/>
        </w:rPr>
      </w:pPr>
    </w:p>
    <w:p w14:paraId="56C47E5D">
      <w:pPr>
        <w:pStyle w:val="3"/>
        <w:numPr>
          <w:ilvl w:val="0"/>
          <w:numId w:val="0"/>
        </w:numPr>
        <w:spacing w:line="240" w:lineRule="auto"/>
        <w:rPr>
          <w:rFonts w:hint="eastAsia" w:ascii="宋体" w:hAnsi="宋体" w:cs="宋体"/>
          <w:sz w:val="24"/>
          <w:szCs w:val="24"/>
        </w:rPr>
      </w:pPr>
      <w:r>
        <w:rPr>
          <w:rFonts w:hint="eastAsia" w:ascii="宋体" w:hAnsi="宋体" w:cs="宋体"/>
          <w:sz w:val="24"/>
          <w:szCs w:val="24"/>
        </w:rPr>
        <w:t>项目采购需求</w:t>
      </w:r>
    </w:p>
    <w:p w14:paraId="4B30AA99">
      <w:pPr>
        <w:keepNext/>
        <w:keepLines/>
        <w:ind w:firstLine="482" w:firstLineChars="200"/>
        <w:outlineLvl w:val="1"/>
        <w:rPr>
          <w:rFonts w:hint="eastAsia" w:ascii="宋体" w:hAnsi="宋体" w:cs="宋体"/>
          <w:b/>
          <w:bCs/>
          <w:sz w:val="24"/>
        </w:rPr>
      </w:pPr>
      <w:r>
        <w:rPr>
          <w:rFonts w:hint="eastAsia" w:ascii="宋体" w:hAnsi="宋体" w:cs="宋体"/>
          <w:b/>
          <w:bCs/>
          <w:sz w:val="24"/>
        </w:rPr>
        <w:t>一、监理服务目标</w:t>
      </w:r>
    </w:p>
    <w:p w14:paraId="250D903E">
      <w:pPr>
        <w:ind w:firstLine="480" w:firstLineChars="200"/>
        <w:rPr>
          <w:rFonts w:hint="eastAsia" w:ascii="宋体" w:hAnsi="宋体" w:cs="宋体"/>
          <w:sz w:val="24"/>
        </w:rPr>
      </w:pPr>
      <w:r>
        <w:rPr>
          <w:rFonts w:hint="eastAsia" w:ascii="宋体" w:hAnsi="宋体" w:cs="宋体"/>
          <w:sz w:val="24"/>
        </w:rPr>
        <w:t>通过监控、督导和评价各承建单位的行为，并采取相应的管理措施，保证项目建设行为符合国家法律、法规和有关政策、标准、规范的要求，充分运用监理职责，发挥监理作用，制止建设行为的随意性和盲目性。通过监理单位的工作，确保项目的质量、进度、投资以及信息安全目标的实现，确保建设行为的合法性、科学性、合理性和经济性。</w:t>
      </w:r>
    </w:p>
    <w:p w14:paraId="14635A24">
      <w:pPr>
        <w:keepNext/>
        <w:keepLines/>
        <w:numPr>
          <w:ilvl w:val="0"/>
          <w:numId w:val="12"/>
        </w:numPr>
        <w:ind w:firstLine="482" w:firstLineChars="200"/>
        <w:outlineLvl w:val="1"/>
        <w:rPr>
          <w:rFonts w:hint="eastAsia" w:ascii="宋体" w:hAnsi="宋体" w:cs="宋体"/>
          <w:b/>
          <w:bCs/>
          <w:sz w:val="24"/>
        </w:rPr>
      </w:pPr>
      <w:r>
        <w:rPr>
          <w:rFonts w:hint="eastAsia" w:ascii="宋体" w:hAnsi="宋体" w:cs="宋体"/>
          <w:b/>
          <w:bCs/>
          <w:sz w:val="24"/>
        </w:rPr>
        <w:t>监理服务范围</w:t>
      </w:r>
    </w:p>
    <w:p w14:paraId="0D2C2A84">
      <w:pPr>
        <w:ind w:firstLine="480" w:firstLineChars="200"/>
        <w:rPr>
          <w:rFonts w:hint="eastAsia" w:ascii="宋体" w:hAnsi="宋体" w:cs="宋体"/>
          <w:sz w:val="24"/>
        </w:rPr>
      </w:pPr>
      <w:r>
        <w:rPr>
          <w:rFonts w:hint="eastAsia" w:ascii="宋体" w:hAnsi="宋体" w:cs="宋体"/>
          <w:sz w:val="24"/>
        </w:rPr>
        <w:t>（一）人工影响天气作业装备升级改造。升级改造141门高炮，升级更新350套火箭发射装置；建设200套智能化烟炉；建设2套机动集成作业系统，包括2套探测模组（方舱式）、2套指挥模组（方舱式）、2套作业模组；购置86辆特种作业车。</w:t>
      </w:r>
    </w:p>
    <w:p w14:paraId="0C432FBF">
      <w:pPr>
        <w:ind w:firstLine="480" w:firstLineChars="200"/>
        <w:rPr>
          <w:rFonts w:hint="eastAsia" w:ascii="宋体" w:hAnsi="宋体" w:cs="宋体"/>
          <w:sz w:val="24"/>
        </w:rPr>
      </w:pPr>
      <w:r>
        <w:rPr>
          <w:rFonts w:hint="eastAsia" w:ascii="宋体" w:hAnsi="宋体" w:cs="宋体"/>
          <w:sz w:val="24"/>
        </w:rPr>
        <w:t>（二）人工影响天气地面作业安全能力提升。升级94个火箭+高炮固定作业点和29个火箭固定作业点的设备，主要包括双光谱摄像机、智慧安防门、人影弹药全自动智能出库一体机、智能监控识别终端及配套设备、固定作业点人员安全防护设备等；购置300个流动作业站点作业设备，主要包括移动布控球、视频监控终端及配套通信保障、对讲机、视频记录仪等；购置安全作业综合演练基地设备，主要包括仿真任务系统、仿真探测系统、仿真催化系统、仿真通讯系统、音视频会议终端设备等。</w:t>
      </w:r>
    </w:p>
    <w:p w14:paraId="294DF145">
      <w:pPr>
        <w:ind w:firstLine="480" w:firstLineChars="200"/>
        <w:rPr>
          <w:rFonts w:hint="eastAsia" w:ascii="宋体" w:hAnsi="宋体" w:cs="宋体"/>
          <w:sz w:val="24"/>
        </w:rPr>
      </w:pPr>
      <w:r>
        <w:rPr>
          <w:rFonts w:hint="eastAsia" w:ascii="宋体" w:hAnsi="宋体" w:cs="宋体"/>
          <w:sz w:val="24"/>
        </w:rPr>
        <w:t>（三）人工影响天气指挥能力建设。建设自治区级人影指挥调度系统1套、地（州、市）级人影指挥调度系统14套、县级人影指挥调度系统79套及配套基础保障设备；建设自治区级作业端一体化指挥调度应用软件，包括人工影响天气观探测数据支撑平台1套、国省一体化人影综合业务平台组件1套、人影空域申报系统1套等。</w:t>
      </w:r>
    </w:p>
    <w:p w14:paraId="05CF1594">
      <w:pPr>
        <w:ind w:firstLine="480" w:firstLineChars="200"/>
        <w:rPr>
          <w:rFonts w:hint="eastAsia" w:ascii="宋体" w:hAnsi="宋体" w:cs="宋体"/>
          <w:sz w:val="24"/>
        </w:rPr>
      </w:pPr>
      <w:r>
        <w:rPr>
          <w:rFonts w:hint="eastAsia" w:ascii="宋体" w:hAnsi="宋体" w:cs="宋体"/>
          <w:sz w:val="24"/>
        </w:rPr>
        <w:t>（四）新建人工影响设备装备库。总建筑面积1303.8平方米，为地上1层，地下1层，采用门式钢架结构，主要设置无人机库、消防设备用房等。</w:t>
      </w:r>
    </w:p>
    <w:p w14:paraId="03DE1EDA">
      <w:pPr>
        <w:ind w:firstLine="480" w:firstLineChars="200"/>
        <w:rPr>
          <w:rFonts w:hint="eastAsia" w:ascii="宋体" w:hAnsi="宋体" w:cs="宋体"/>
          <w:sz w:val="24"/>
        </w:rPr>
      </w:pPr>
      <w:r>
        <w:rPr>
          <w:rFonts w:hint="eastAsia" w:ascii="宋体" w:hAnsi="宋体" w:cs="宋体"/>
          <w:sz w:val="24"/>
        </w:rPr>
        <w:t>（五）新建人工影响天气地面作业装备实训基地。主要包括安全作业综合演练基地建设和应急保障基础基地建设。其中，安全作业综合演练基地总建筑面积为1013.3平方米，为地上1层，采用门式钢架结构，主要设置综合演练用房以及学术报告厅；应急保障基础基地总建筑面积为73.4平方米，为地上1层，采用混凝土框架结构，主要设置气象业务保障用房及消防控制室。</w:t>
      </w:r>
    </w:p>
    <w:p w14:paraId="6560F383">
      <w:pPr>
        <w:ind w:firstLine="480" w:firstLineChars="200"/>
        <w:rPr>
          <w:rFonts w:hint="eastAsia" w:ascii="宋体" w:hAnsi="宋体" w:cs="宋体"/>
          <w:sz w:val="24"/>
        </w:rPr>
      </w:pPr>
      <w:r>
        <w:rPr>
          <w:rFonts w:hint="eastAsia" w:ascii="宋体" w:hAnsi="宋体" w:cs="宋体"/>
          <w:sz w:val="24"/>
        </w:rPr>
        <w:t>（六）作业点修缮及调度中心环境改造。修缮全疆123个固定作业站点及300个流动作业站点，主要包括“两库两室一平台”、射界标识、防雷升级及配套设施等；对68个地（州、市）、县（市、区）人工影响指挥中心进行环境改造，包括围墙、地面、墙面、顶面改造等。</w:t>
      </w:r>
    </w:p>
    <w:p w14:paraId="2B130106">
      <w:pPr>
        <w:keepNext/>
        <w:keepLines/>
        <w:ind w:firstLine="482" w:firstLineChars="200"/>
        <w:outlineLvl w:val="1"/>
        <w:rPr>
          <w:rFonts w:hint="eastAsia" w:ascii="宋体" w:hAnsi="宋体" w:cs="宋体"/>
          <w:b/>
          <w:bCs/>
          <w:sz w:val="24"/>
        </w:rPr>
      </w:pPr>
      <w:r>
        <w:rPr>
          <w:rFonts w:hint="eastAsia" w:ascii="宋体" w:hAnsi="宋体" w:cs="宋体"/>
          <w:b/>
          <w:bCs/>
          <w:sz w:val="24"/>
        </w:rPr>
        <w:t>三、监理服务期限</w:t>
      </w:r>
    </w:p>
    <w:p w14:paraId="131B1D8C">
      <w:pPr>
        <w:ind w:firstLine="480" w:firstLineChars="200"/>
        <w:rPr>
          <w:rFonts w:hint="eastAsia" w:ascii="宋体" w:hAnsi="宋体" w:cs="宋体"/>
          <w:sz w:val="24"/>
        </w:rPr>
      </w:pPr>
      <w:r>
        <w:rPr>
          <w:rFonts w:hint="eastAsia" w:ascii="宋体" w:hAnsi="宋体" w:cs="宋体"/>
          <w:sz w:val="24"/>
        </w:rPr>
        <w:t>自监理合同签订之日起至2026年12月31日，符合国家标准，且通过甲方验收达到合格。</w:t>
      </w:r>
    </w:p>
    <w:p w14:paraId="12493996">
      <w:pPr>
        <w:keepNext/>
        <w:keepLines/>
        <w:ind w:firstLine="482" w:firstLineChars="200"/>
        <w:outlineLvl w:val="1"/>
        <w:rPr>
          <w:rFonts w:hint="eastAsia" w:ascii="宋体" w:hAnsi="宋体" w:cs="宋体"/>
          <w:b/>
          <w:bCs/>
          <w:sz w:val="24"/>
        </w:rPr>
      </w:pPr>
      <w:r>
        <w:rPr>
          <w:rFonts w:hint="eastAsia" w:ascii="宋体" w:hAnsi="宋体" w:cs="宋体"/>
          <w:b/>
          <w:bCs/>
          <w:sz w:val="24"/>
        </w:rPr>
        <w:t>四、监理服务内容</w:t>
      </w:r>
    </w:p>
    <w:p w14:paraId="1E32EC09">
      <w:pPr>
        <w:ind w:firstLine="480" w:firstLineChars="200"/>
        <w:rPr>
          <w:rFonts w:hint="eastAsia" w:ascii="宋体" w:hAnsi="宋体" w:cs="宋体"/>
          <w:sz w:val="24"/>
        </w:rPr>
      </w:pPr>
      <w:r>
        <w:rPr>
          <w:rFonts w:hint="eastAsia" w:ascii="宋体" w:hAnsi="宋体" w:cs="宋体"/>
          <w:sz w:val="24"/>
        </w:rPr>
        <w:t>监理服务内容为依据国家相关法律法规、标准规范，根据项目合同约定和项目建设需求，遵循科学、公正、遵纪、守法、诚信、守约的职业道德，对项目实施有重点的、全面的、精细化的监督管理。监理工作包含但不限于初步设计、招投标及合同签订，详细设计，实施开发、系统调试，试运行及验收和竣工移交等阶段，在监理过程中实行质量控制、进度控制、投资控制、变更控制、安全管理、合同管理、信息管理和组织协调等工作。</w:t>
      </w:r>
    </w:p>
    <w:p w14:paraId="2295E61F">
      <w:pPr>
        <w:ind w:firstLine="480" w:firstLineChars="200"/>
        <w:rPr>
          <w:rFonts w:hint="eastAsia" w:ascii="宋体" w:hAnsi="宋体" w:cs="宋体"/>
          <w:sz w:val="24"/>
        </w:rPr>
      </w:pPr>
      <w:r>
        <w:rPr>
          <w:rFonts w:hint="eastAsia" w:ascii="宋体" w:hAnsi="宋体" w:cs="宋体"/>
          <w:sz w:val="24"/>
        </w:rPr>
        <w:t>监理标准：依照国家现行有关法律、法规及建筑相关专业的监理验收规范、技术标准等。</w:t>
      </w:r>
    </w:p>
    <w:p w14:paraId="6BA9E65C">
      <w:pPr>
        <w:ind w:firstLine="480" w:firstLineChars="200"/>
        <w:rPr>
          <w:rFonts w:hint="eastAsia" w:ascii="宋体" w:hAnsi="宋体" w:cs="宋体"/>
          <w:sz w:val="24"/>
        </w:rPr>
      </w:pPr>
      <w:r>
        <w:rPr>
          <w:rFonts w:hint="eastAsia" w:ascii="宋体" w:hAnsi="宋体" w:cs="宋体"/>
          <w:sz w:val="24"/>
        </w:rPr>
        <w:t>本项目招标监理服务费计算的是根据施工招标控制价暂定的，如后期施工合同价有调整，监理费也相应做调整。</w:t>
      </w:r>
    </w:p>
    <w:p w14:paraId="6FF752FA">
      <w:pPr>
        <w:ind w:firstLine="480" w:firstLineChars="200"/>
        <w:rPr>
          <w:rFonts w:hint="eastAsia" w:ascii="宋体" w:hAnsi="宋体" w:cs="宋体"/>
          <w:sz w:val="24"/>
        </w:rPr>
      </w:pPr>
      <w:r>
        <w:rPr>
          <w:rFonts w:hint="eastAsia" w:ascii="宋体" w:hAnsi="宋体" w:cs="宋体"/>
          <w:sz w:val="24"/>
        </w:rPr>
        <w:t>监理工作具体说明如下（应包含但不限于）：</w:t>
      </w:r>
    </w:p>
    <w:p w14:paraId="7E372EE3">
      <w:pPr>
        <w:ind w:firstLine="482" w:firstLineChars="200"/>
        <w:rPr>
          <w:rFonts w:hint="eastAsia" w:ascii="宋体" w:hAnsi="宋体" w:cs="宋体"/>
          <w:b/>
          <w:bCs/>
          <w:sz w:val="24"/>
        </w:rPr>
      </w:pPr>
      <w:r>
        <w:rPr>
          <w:rFonts w:hint="eastAsia" w:ascii="宋体" w:hAnsi="宋体" w:cs="宋体"/>
          <w:b/>
          <w:bCs/>
          <w:sz w:val="24"/>
        </w:rPr>
        <w:t>4.1项目组织及技术总体方案的把关</w:t>
      </w:r>
    </w:p>
    <w:p w14:paraId="260EB43A">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协助建设单位做好项目组织工作，提供管理咨询服务；</w:t>
      </w:r>
    </w:p>
    <w:p w14:paraId="1D24CEFE">
      <w:pPr>
        <w:ind w:firstLine="480" w:firstLineChars="200"/>
        <w:rPr>
          <w:rFonts w:hint="eastAsia" w:ascii="宋体" w:hAnsi="宋体" w:cs="宋体"/>
          <w:sz w:val="24"/>
        </w:rPr>
      </w:pPr>
      <w:r>
        <w:rPr>
          <w:rFonts w:hint="eastAsia" w:ascii="宋体" w:hAnsi="宋体" w:cs="宋体"/>
          <w:sz w:val="24"/>
        </w:rPr>
        <w:t>2. 以验收为导向协助建设单位做好过程管理，符合信息系统管理规范要求，满足信息系统审计条件，达成验收目标。</w:t>
      </w:r>
    </w:p>
    <w:p w14:paraId="2825A969">
      <w:pPr>
        <w:ind w:firstLine="480" w:firstLineChars="200"/>
        <w:rPr>
          <w:rFonts w:hint="eastAsia" w:ascii="宋体" w:hAnsi="宋体" w:cs="宋体"/>
          <w:sz w:val="24"/>
        </w:rPr>
      </w:pPr>
      <w:r>
        <w:rPr>
          <w:rFonts w:hint="eastAsia" w:ascii="宋体" w:hAnsi="宋体" w:cs="宋体"/>
          <w:sz w:val="24"/>
        </w:rPr>
        <w:t>3. 审核和确认承建单位的技术方案，对技术选型、系统规划提供咨询建议；</w:t>
      </w:r>
    </w:p>
    <w:p w14:paraId="47E0F164">
      <w:pPr>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审核和确认承建单位的组织实施方案和项目计划，符合项目管理要求；</w:t>
      </w:r>
    </w:p>
    <w:p w14:paraId="1B9977C6">
      <w:pPr>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审核和确认承建单位的项目质量保证计划及质量控制体系；</w:t>
      </w:r>
    </w:p>
    <w:p w14:paraId="6994B6BA">
      <w:pPr>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审核和确认承建单位的测试计划、测试方案，符合软件评测规范要求；</w:t>
      </w:r>
    </w:p>
    <w:p w14:paraId="0932E892">
      <w:pPr>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监督对源代码、应用程序及相关文档的移交验收；</w:t>
      </w:r>
    </w:p>
    <w:p w14:paraId="0110EB34">
      <w:pPr>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明确项目控制的关键性环节，从系统规划管理角度提供咨询建议。</w:t>
      </w:r>
    </w:p>
    <w:p w14:paraId="011BEC48">
      <w:pPr>
        <w:ind w:firstLine="482" w:firstLineChars="200"/>
        <w:rPr>
          <w:rFonts w:hint="eastAsia" w:ascii="宋体" w:hAnsi="宋体" w:cs="宋体"/>
          <w:b/>
          <w:bCs/>
          <w:sz w:val="24"/>
        </w:rPr>
      </w:pPr>
      <w:r>
        <w:rPr>
          <w:rFonts w:hint="eastAsia" w:ascii="宋体" w:hAnsi="宋体" w:cs="宋体"/>
          <w:b/>
          <w:bCs/>
          <w:sz w:val="24"/>
        </w:rPr>
        <w:t>4.2项目质量控制</w:t>
      </w:r>
    </w:p>
    <w:p w14:paraId="27443716">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系统集成质量的控制</w:t>
      </w:r>
    </w:p>
    <w:p w14:paraId="7F021D6B">
      <w:pPr>
        <w:ind w:firstLine="480" w:firstLineChars="200"/>
        <w:rPr>
          <w:rFonts w:hint="eastAsia" w:ascii="宋体" w:hAnsi="宋体" w:cs="宋体"/>
          <w:sz w:val="24"/>
        </w:rPr>
      </w:pPr>
      <w:r>
        <w:rPr>
          <w:rFonts w:hint="eastAsia" w:ascii="宋体" w:hAnsi="宋体" w:cs="宋体"/>
          <w:sz w:val="24"/>
        </w:rPr>
        <w:t>1)进行实施方案、集成方案的审核和确认；</w:t>
      </w:r>
    </w:p>
    <w:p w14:paraId="0F2F7BEF">
      <w:pPr>
        <w:ind w:firstLine="480" w:firstLineChars="200"/>
        <w:rPr>
          <w:rFonts w:hint="eastAsia" w:ascii="宋体" w:hAnsi="宋体" w:cs="宋体"/>
          <w:sz w:val="24"/>
        </w:rPr>
      </w:pPr>
      <w:r>
        <w:rPr>
          <w:rFonts w:hint="eastAsia" w:ascii="宋体" w:hAnsi="宋体" w:cs="宋体"/>
          <w:sz w:val="24"/>
        </w:rPr>
        <w:t>2)对采购的软硬件产品的质量进行检验、测试和验收并提供相应文档；</w:t>
      </w:r>
    </w:p>
    <w:p w14:paraId="2BB24AD4">
      <w:pPr>
        <w:ind w:firstLine="480" w:firstLineChars="200"/>
        <w:rPr>
          <w:rFonts w:hint="eastAsia" w:ascii="宋体" w:hAnsi="宋体" w:cs="宋体"/>
          <w:sz w:val="24"/>
        </w:rPr>
      </w:pPr>
      <w:r>
        <w:rPr>
          <w:rFonts w:hint="eastAsia" w:ascii="宋体" w:hAnsi="宋体" w:cs="宋体"/>
          <w:sz w:val="24"/>
        </w:rPr>
        <w:t>3)对系统集成进行总体验收。</w:t>
      </w:r>
    </w:p>
    <w:p w14:paraId="71ED7A09">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应用软件开发质量的控制</w:t>
      </w:r>
    </w:p>
    <w:p w14:paraId="3E6F8F00">
      <w:pPr>
        <w:ind w:firstLine="480" w:firstLineChars="200"/>
        <w:rPr>
          <w:rFonts w:hint="eastAsia" w:ascii="宋体" w:hAnsi="宋体" w:cs="宋体"/>
          <w:sz w:val="24"/>
        </w:rPr>
      </w:pPr>
      <w:r>
        <w:rPr>
          <w:rFonts w:hint="eastAsia" w:ascii="宋体" w:hAnsi="宋体" w:cs="宋体"/>
          <w:sz w:val="24"/>
        </w:rPr>
        <w:t>1)软件开发计划的审核和确认；</w:t>
      </w:r>
    </w:p>
    <w:p w14:paraId="58CDC3D9">
      <w:pPr>
        <w:ind w:firstLine="480" w:firstLineChars="200"/>
        <w:rPr>
          <w:rFonts w:hint="eastAsia" w:ascii="宋体" w:hAnsi="宋体" w:cs="宋体"/>
          <w:sz w:val="24"/>
        </w:rPr>
      </w:pPr>
      <w:r>
        <w:rPr>
          <w:rFonts w:hint="eastAsia" w:ascii="宋体" w:hAnsi="宋体" w:cs="宋体"/>
          <w:sz w:val="24"/>
        </w:rPr>
        <w:t>2)对软件开发的需求分析、概要设计、详细设计、编码测试、应用测试等每个开发阶段进行把关；</w:t>
      </w:r>
    </w:p>
    <w:p w14:paraId="68DF354B">
      <w:pPr>
        <w:ind w:firstLine="480" w:firstLineChars="200"/>
        <w:rPr>
          <w:rFonts w:hint="eastAsia" w:ascii="宋体" w:hAnsi="宋体" w:cs="宋体"/>
          <w:sz w:val="24"/>
        </w:rPr>
      </w:pPr>
      <w:r>
        <w:rPr>
          <w:rFonts w:hint="eastAsia" w:ascii="宋体" w:hAnsi="宋体" w:cs="宋体"/>
          <w:sz w:val="24"/>
        </w:rPr>
        <w:t>3)对承建单位的开发质量记录进行审核；</w:t>
      </w:r>
    </w:p>
    <w:p w14:paraId="560C79CD">
      <w:pPr>
        <w:ind w:firstLine="480" w:firstLineChars="200"/>
        <w:rPr>
          <w:rFonts w:hint="eastAsia" w:ascii="宋体" w:hAnsi="宋体" w:cs="宋体"/>
          <w:sz w:val="24"/>
        </w:rPr>
      </w:pPr>
      <w:r>
        <w:rPr>
          <w:rFonts w:hint="eastAsia" w:ascii="宋体" w:hAnsi="宋体" w:cs="宋体"/>
          <w:sz w:val="24"/>
        </w:rPr>
        <w:t>4)源代码及应用程序的移交验收等；</w:t>
      </w:r>
    </w:p>
    <w:p w14:paraId="37A99B78">
      <w:pPr>
        <w:ind w:firstLine="480" w:firstLineChars="200"/>
        <w:rPr>
          <w:rFonts w:hint="eastAsia" w:ascii="宋体" w:hAnsi="宋体" w:cs="宋体"/>
          <w:sz w:val="24"/>
        </w:rPr>
      </w:pPr>
      <w:r>
        <w:rPr>
          <w:rFonts w:hint="eastAsia" w:ascii="宋体" w:hAnsi="宋体" w:cs="宋体"/>
          <w:sz w:val="24"/>
        </w:rPr>
        <w:t>5)参与对应用软件的总体验收。</w:t>
      </w:r>
    </w:p>
    <w:p w14:paraId="00BE16F3">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安全质量控制</w:t>
      </w:r>
    </w:p>
    <w:p w14:paraId="17831F47">
      <w:pPr>
        <w:ind w:firstLine="480" w:firstLineChars="200"/>
        <w:rPr>
          <w:rFonts w:hint="eastAsia" w:ascii="宋体" w:hAnsi="宋体" w:cs="宋体"/>
          <w:sz w:val="24"/>
        </w:rPr>
      </w:pPr>
      <w:r>
        <w:rPr>
          <w:rFonts w:hint="eastAsia" w:ascii="宋体" w:hAnsi="宋体" w:cs="宋体"/>
          <w:sz w:val="24"/>
        </w:rPr>
        <w:t>1)负责安全系统方案的审核和确认；</w:t>
      </w:r>
    </w:p>
    <w:p w14:paraId="1C53A6B6">
      <w:pPr>
        <w:ind w:firstLine="480" w:firstLineChars="200"/>
        <w:rPr>
          <w:rFonts w:hint="eastAsia" w:ascii="宋体" w:hAnsi="宋体" w:cs="宋体"/>
          <w:sz w:val="24"/>
        </w:rPr>
      </w:pPr>
      <w:r>
        <w:rPr>
          <w:rFonts w:hint="eastAsia" w:ascii="宋体" w:hAnsi="宋体" w:cs="宋体"/>
          <w:sz w:val="24"/>
        </w:rPr>
        <w:t>2)对安全系统的安装、调试、配置过程的监督；</w:t>
      </w:r>
    </w:p>
    <w:p w14:paraId="502F50C5">
      <w:pPr>
        <w:ind w:firstLine="480" w:firstLineChars="200"/>
        <w:rPr>
          <w:rFonts w:hint="eastAsia" w:ascii="宋体" w:hAnsi="宋体" w:cs="宋体"/>
          <w:sz w:val="24"/>
        </w:rPr>
      </w:pPr>
      <w:r>
        <w:rPr>
          <w:rFonts w:hint="eastAsia" w:ascii="宋体" w:hAnsi="宋体" w:cs="宋体"/>
          <w:sz w:val="24"/>
        </w:rPr>
        <w:t>3)对有必要进行的第三方测试工作进行配合及管理，保证第三方测试项目按计划有效实施；</w:t>
      </w:r>
    </w:p>
    <w:p w14:paraId="423A840C">
      <w:pPr>
        <w:ind w:firstLine="480" w:firstLineChars="200"/>
        <w:rPr>
          <w:rFonts w:hint="eastAsia" w:ascii="宋体" w:hAnsi="宋体" w:cs="宋体"/>
          <w:sz w:val="24"/>
        </w:rPr>
      </w:pPr>
      <w:r>
        <w:rPr>
          <w:rFonts w:hint="eastAsia" w:ascii="宋体" w:hAnsi="宋体" w:cs="宋体"/>
          <w:sz w:val="24"/>
        </w:rPr>
        <w:t>4)对信息系统等级保护测试工作进行配合及管理，协助建设单位完成信息系统等级保护。</w:t>
      </w:r>
    </w:p>
    <w:p w14:paraId="59E8A6DC">
      <w:pPr>
        <w:ind w:firstLine="480" w:firstLineChars="200"/>
        <w:rPr>
          <w:rFonts w:hint="eastAsia" w:ascii="宋体" w:hAnsi="宋体" w:cs="宋体"/>
          <w:sz w:val="24"/>
        </w:rPr>
      </w:pPr>
      <w:r>
        <w:rPr>
          <w:rFonts w:hint="eastAsia" w:ascii="宋体" w:hAnsi="宋体" w:cs="宋体"/>
          <w:sz w:val="24"/>
        </w:rPr>
        <w:t>5)使用用户数据安全管理工具对用户数据安全进行管理。</w:t>
      </w:r>
    </w:p>
    <w:p w14:paraId="4D563258">
      <w:pPr>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培训的质量控制</w:t>
      </w:r>
    </w:p>
    <w:p w14:paraId="7ED62D6F">
      <w:pPr>
        <w:ind w:firstLine="480" w:firstLineChars="200"/>
        <w:rPr>
          <w:rFonts w:hint="eastAsia" w:ascii="宋体" w:hAnsi="宋体" w:cs="宋体"/>
          <w:sz w:val="24"/>
        </w:rPr>
      </w:pPr>
      <w:r>
        <w:rPr>
          <w:rFonts w:hint="eastAsia" w:ascii="宋体" w:hAnsi="宋体" w:cs="宋体"/>
          <w:sz w:val="24"/>
        </w:rPr>
        <w:t>1)审核确认承建单位的培训计划；</w:t>
      </w:r>
    </w:p>
    <w:p w14:paraId="799A08DC">
      <w:pPr>
        <w:ind w:firstLine="480" w:firstLineChars="200"/>
        <w:rPr>
          <w:rFonts w:hint="eastAsia" w:ascii="宋体" w:hAnsi="宋体" w:cs="宋体"/>
          <w:sz w:val="24"/>
        </w:rPr>
      </w:pPr>
      <w:r>
        <w:rPr>
          <w:rFonts w:hint="eastAsia" w:ascii="宋体" w:hAnsi="宋体" w:cs="宋体"/>
          <w:sz w:val="24"/>
        </w:rPr>
        <w:t>2)检查培训教材、使用说明书、维护手册等资料内容，检查培训文档是否与实际培训内容相符合；</w:t>
      </w:r>
    </w:p>
    <w:p w14:paraId="2552E4C6">
      <w:pPr>
        <w:ind w:firstLine="480" w:firstLineChars="200"/>
        <w:rPr>
          <w:rFonts w:hint="eastAsia" w:ascii="宋体" w:hAnsi="宋体" w:cs="宋体"/>
          <w:sz w:val="24"/>
        </w:rPr>
      </w:pPr>
      <w:r>
        <w:rPr>
          <w:rFonts w:hint="eastAsia" w:ascii="宋体" w:hAnsi="宋体" w:cs="宋体"/>
          <w:sz w:val="24"/>
        </w:rPr>
        <w:t>3)协助用户方组织培训；</w:t>
      </w:r>
    </w:p>
    <w:p w14:paraId="781F355A">
      <w:pPr>
        <w:ind w:firstLine="480" w:firstLineChars="200"/>
        <w:rPr>
          <w:rFonts w:hint="eastAsia" w:ascii="宋体" w:hAnsi="宋体" w:cs="宋体"/>
          <w:sz w:val="24"/>
        </w:rPr>
      </w:pPr>
      <w:r>
        <w:rPr>
          <w:rFonts w:hint="eastAsia" w:ascii="宋体" w:hAnsi="宋体" w:cs="宋体"/>
          <w:sz w:val="24"/>
        </w:rPr>
        <w:t>4)监督承建单位实施其培训计划，并征求用户的反馈意见；</w:t>
      </w:r>
    </w:p>
    <w:p w14:paraId="604EAB17">
      <w:pPr>
        <w:ind w:firstLine="480" w:firstLineChars="200"/>
        <w:rPr>
          <w:rFonts w:hint="eastAsia" w:ascii="宋体" w:hAnsi="宋体" w:cs="宋体"/>
          <w:sz w:val="24"/>
        </w:rPr>
      </w:pPr>
      <w:r>
        <w:rPr>
          <w:rFonts w:hint="eastAsia" w:ascii="宋体" w:hAnsi="宋体" w:cs="宋体"/>
          <w:sz w:val="24"/>
        </w:rPr>
        <w:t>5)对培训效果进行考核；</w:t>
      </w:r>
    </w:p>
    <w:p w14:paraId="450672B0">
      <w:pPr>
        <w:ind w:firstLine="480" w:firstLineChars="200"/>
        <w:rPr>
          <w:rFonts w:hint="eastAsia" w:ascii="宋体" w:hAnsi="宋体" w:cs="宋体"/>
          <w:sz w:val="24"/>
        </w:rPr>
      </w:pPr>
      <w:r>
        <w:rPr>
          <w:rFonts w:hint="eastAsia" w:ascii="宋体" w:hAnsi="宋体" w:cs="宋体"/>
          <w:sz w:val="24"/>
        </w:rPr>
        <w:t>6)审核确认承建单位的培训总结报告。</w:t>
      </w:r>
    </w:p>
    <w:p w14:paraId="236AA1E8">
      <w:pPr>
        <w:ind w:firstLine="482" w:firstLineChars="200"/>
        <w:rPr>
          <w:rFonts w:hint="eastAsia" w:ascii="宋体" w:hAnsi="宋体" w:cs="宋体"/>
          <w:b/>
          <w:bCs/>
          <w:sz w:val="24"/>
        </w:rPr>
      </w:pPr>
      <w:r>
        <w:rPr>
          <w:rFonts w:hint="eastAsia" w:ascii="宋体" w:hAnsi="宋体" w:cs="宋体"/>
          <w:b/>
          <w:bCs/>
          <w:sz w:val="24"/>
        </w:rPr>
        <w:t>4.3项目进度控制</w:t>
      </w:r>
    </w:p>
    <w:p w14:paraId="4CD1FE33">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审核项目的进度分解计划，确认分解计划可以保证总体计划目标；</w:t>
      </w:r>
    </w:p>
    <w:p w14:paraId="2F11B7DB">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对项目实施进度进行实时跟踪，并要求各项目建设方对进度计划进行动态调整，以确保项目的阶段和总体进度目标的实现；</w:t>
      </w:r>
    </w:p>
    <w:p w14:paraId="55C7116B">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使用监理工作问题跟踪工具对监理工作过程中发现的项目问题进行跟踪，并按照要求督促各项目承建方在规定时间节点完成处理，关闭问题。</w:t>
      </w:r>
    </w:p>
    <w:p w14:paraId="50F40CF0">
      <w:pPr>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当项目目标出现偏离时，应及时指出，并提出对策建议，同时督促承建单位尽快采取措施。</w:t>
      </w:r>
    </w:p>
    <w:p w14:paraId="3DA12F93">
      <w:pPr>
        <w:ind w:firstLine="482" w:firstLineChars="200"/>
        <w:rPr>
          <w:rFonts w:hint="eastAsia" w:ascii="宋体" w:hAnsi="宋体" w:cs="宋体"/>
          <w:b/>
          <w:bCs/>
          <w:sz w:val="24"/>
        </w:rPr>
      </w:pPr>
      <w:r>
        <w:rPr>
          <w:rFonts w:hint="eastAsia" w:ascii="宋体" w:hAnsi="宋体" w:cs="宋体"/>
          <w:b/>
          <w:bCs/>
          <w:sz w:val="24"/>
        </w:rPr>
        <w:t>4.4项目投资控制</w:t>
      </w:r>
    </w:p>
    <w:p w14:paraId="6BAAF2D1">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对项目实施方案及设计从投资角度提出优化咨询建议，确保投资控制在预算之内，执行合理；</w:t>
      </w:r>
    </w:p>
    <w:p w14:paraId="183222A8">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协助建设单位将付款进度与项目质量和进度结合起来；</w:t>
      </w:r>
    </w:p>
    <w:p w14:paraId="56683BB4">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对信息系统建设项目进行第三方造价评估工作，为项目投资决策时提供参考依据；</w:t>
      </w:r>
    </w:p>
    <w:p w14:paraId="77C75CD3">
      <w:pPr>
        <w:ind w:firstLine="480" w:firstLineChars="200"/>
        <w:rPr>
          <w:rFonts w:hint="eastAsia" w:ascii="宋体" w:hAnsi="宋体" w:cs="宋体"/>
          <w:sz w:val="24"/>
        </w:rPr>
      </w:pPr>
      <w:r>
        <w:rPr>
          <w:rFonts w:hint="eastAsia" w:ascii="宋体" w:hAnsi="宋体" w:cs="宋体"/>
          <w:sz w:val="24"/>
        </w:rPr>
        <w:t>4. 使用信息化项目预算执行绩效评价工具对项目预算执行过程开展绩效评价相关工作，为项目验收及审计提供支撑。</w:t>
      </w:r>
    </w:p>
    <w:p w14:paraId="36411532">
      <w:pPr>
        <w:ind w:firstLine="482" w:firstLineChars="200"/>
        <w:rPr>
          <w:rFonts w:hint="eastAsia" w:ascii="宋体" w:hAnsi="宋体" w:cs="宋体"/>
          <w:b/>
          <w:bCs/>
          <w:sz w:val="24"/>
        </w:rPr>
      </w:pPr>
      <w:r>
        <w:rPr>
          <w:rFonts w:hint="eastAsia" w:ascii="宋体" w:hAnsi="宋体" w:cs="宋体"/>
          <w:b/>
          <w:bCs/>
          <w:sz w:val="24"/>
        </w:rPr>
        <w:t>4.5项目变更控制</w:t>
      </w:r>
    </w:p>
    <w:p w14:paraId="79D6F375">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对每个项目合同有针对性地构建一个变更管理系统，通过它对项目计划、流程、预算、进度或可交付成果的变更申请进行评估；</w:t>
      </w:r>
    </w:p>
    <w:p w14:paraId="4646B69B">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注重对项目经理的时间管理是否合理、有效进行监督，并且就检查结果与项目经理本人进行沟通，帮助项目经理进行有效的时间管理；</w:t>
      </w:r>
    </w:p>
    <w:p w14:paraId="21D82FC1">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根据项目制定出的计划成本，通过采用成本分析方法找出计划成本与实际成本间的偏差和分析产生偏差的原因与变化发展趋势，进而督促承建单位采取措施以减少或消除偏差，实现目标成本；</w:t>
      </w:r>
    </w:p>
    <w:p w14:paraId="7DACB19D">
      <w:pPr>
        <w:ind w:firstLine="480" w:firstLineChars="200"/>
        <w:rPr>
          <w:rFonts w:hint="eastAsia" w:ascii="宋体" w:hAnsi="宋体" w:cs="宋体"/>
          <w:sz w:val="24"/>
        </w:rPr>
      </w:pPr>
      <w:r>
        <w:rPr>
          <w:rFonts w:hint="eastAsia" w:ascii="宋体" w:hAnsi="宋体" w:cs="宋体"/>
          <w:sz w:val="24"/>
        </w:rPr>
        <w:t>4. 使用信息化项目预算执行绩效评价工具和造价评估手段，对项目变更后的预算执行合理性做第三方评价。</w:t>
      </w:r>
    </w:p>
    <w:p w14:paraId="6526BE35">
      <w:pPr>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及时记录合同变更情况，并经确认。</w:t>
      </w:r>
    </w:p>
    <w:p w14:paraId="1A5BDFEE">
      <w:pPr>
        <w:ind w:firstLine="482" w:firstLineChars="200"/>
        <w:rPr>
          <w:rFonts w:hint="eastAsia" w:ascii="宋体" w:hAnsi="宋体" w:cs="宋体"/>
          <w:b/>
          <w:bCs/>
          <w:sz w:val="24"/>
        </w:rPr>
      </w:pPr>
      <w:r>
        <w:rPr>
          <w:rFonts w:hint="eastAsia" w:ascii="宋体" w:hAnsi="宋体" w:cs="宋体"/>
          <w:b/>
          <w:bCs/>
          <w:sz w:val="24"/>
        </w:rPr>
        <w:t>4.6项目合同管理</w:t>
      </w:r>
    </w:p>
    <w:p w14:paraId="51AA7DC9">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跟踪检查合同的执行情况，确保项目建设单位按时履约；</w:t>
      </w:r>
    </w:p>
    <w:p w14:paraId="14A85712">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对合同的工期的延误和延期进行审核确认；</w:t>
      </w:r>
    </w:p>
    <w:p w14:paraId="19211938">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对合同变更、索赔等事宜进行审核确认；</w:t>
      </w:r>
    </w:p>
    <w:p w14:paraId="25D13E5B">
      <w:pPr>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根据合同约定，审核项目承建单位的支付申请，签发付款凭证；</w:t>
      </w:r>
    </w:p>
    <w:p w14:paraId="6751E7B2">
      <w:pPr>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对项目变更控制，明确界定项目变更的目标，防止变更范围的扩大化，加强变更风险以及变更效果的评估；</w:t>
      </w:r>
    </w:p>
    <w:p w14:paraId="4C32922C">
      <w:pPr>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任何合同变更都要得到三方（建设单位、监理单位和承建单位）的书面确认。</w:t>
      </w:r>
    </w:p>
    <w:p w14:paraId="4B1E7B26">
      <w:pPr>
        <w:ind w:firstLine="482" w:firstLineChars="200"/>
        <w:rPr>
          <w:rFonts w:hint="eastAsia" w:ascii="宋体" w:hAnsi="宋体" w:cs="宋体"/>
          <w:b/>
          <w:bCs/>
          <w:sz w:val="24"/>
        </w:rPr>
      </w:pPr>
      <w:r>
        <w:rPr>
          <w:rFonts w:hint="eastAsia" w:ascii="宋体" w:hAnsi="宋体" w:cs="宋体"/>
          <w:b/>
          <w:bCs/>
          <w:sz w:val="24"/>
        </w:rPr>
        <w:t>4.7项目信息管理/档案管理</w:t>
      </w:r>
    </w:p>
    <w:p w14:paraId="6B67407C">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做好项目监理日记及项目大事记；</w:t>
      </w:r>
    </w:p>
    <w:p w14:paraId="7321D386">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做好合同批复等各类往来文件的存档；</w:t>
      </w:r>
    </w:p>
    <w:p w14:paraId="73BCACE5">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做好项目协调会、技术专题会的会议纪要工作；</w:t>
      </w:r>
    </w:p>
    <w:p w14:paraId="2841B8B7">
      <w:pPr>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管理实施期间的各类技术文档；</w:t>
      </w:r>
    </w:p>
    <w:p w14:paraId="7C581121">
      <w:pPr>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项目月报；</w:t>
      </w:r>
    </w:p>
    <w:p w14:paraId="59961839">
      <w:pPr>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监理工程师通知；</w:t>
      </w:r>
    </w:p>
    <w:p w14:paraId="6E2C18A6">
      <w:pPr>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阶段性项目总结。</w:t>
      </w:r>
    </w:p>
    <w:p w14:paraId="2CBA7F42">
      <w:pPr>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其他关于项目档案管理的工作，</w:t>
      </w:r>
    </w:p>
    <w:p w14:paraId="09B0D0A2">
      <w:pPr>
        <w:ind w:firstLine="480" w:firstLineChars="200"/>
        <w:rPr>
          <w:rFonts w:hint="eastAsia" w:ascii="宋体" w:hAnsi="宋体" w:cs="宋体"/>
          <w:sz w:val="24"/>
        </w:rPr>
      </w:pPr>
      <w:r>
        <w:rPr>
          <w:rFonts w:hint="eastAsia" w:ascii="宋体" w:hAnsi="宋体" w:cs="宋体"/>
          <w:sz w:val="24"/>
        </w:rPr>
        <w:t>9. 使用监理文档审核工具对项目实施过程中的关键文档进行审核、分类。</w:t>
      </w:r>
    </w:p>
    <w:p w14:paraId="5F409F88">
      <w:pPr>
        <w:ind w:firstLine="482" w:firstLineChars="200"/>
        <w:rPr>
          <w:rFonts w:hint="eastAsia" w:ascii="宋体" w:hAnsi="宋体" w:cs="宋体"/>
          <w:b/>
          <w:bCs/>
          <w:sz w:val="24"/>
        </w:rPr>
      </w:pPr>
      <w:r>
        <w:rPr>
          <w:rFonts w:hint="eastAsia" w:ascii="宋体" w:hAnsi="宋体" w:cs="宋体"/>
          <w:b/>
          <w:bCs/>
          <w:sz w:val="24"/>
        </w:rPr>
        <w:t>4.8项目安全管理</w:t>
      </w:r>
    </w:p>
    <w:p w14:paraId="4D350596">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协助建设单位审核系统建设的有关安全保密技术方案和数据安全治理方案，做好项目前期数据安全保密宣贯工作；</w:t>
      </w:r>
    </w:p>
    <w:p w14:paraId="06243BE3">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负责项目建设过程中所涉及的政府敏感数据和资料的保护，应用用户数据安全管理工具，保证政府敏感数据和资料不被非授权使用；</w:t>
      </w:r>
    </w:p>
    <w:p w14:paraId="371A38A0">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负责项目建设施工过程中安全控制，确保不出现安全事故。</w:t>
      </w:r>
    </w:p>
    <w:p w14:paraId="03FB1EB5">
      <w:pPr>
        <w:ind w:firstLine="482" w:firstLineChars="200"/>
        <w:rPr>
          <w:rFonts w:hint="eastAsia" w:ascii="宋体" w:hAnsi="宋体" w:cs="宋体"/>
          <w:b/>
          <w:bCs/>
          <w:sz w:val="24"/>
        </w:rPr>
      </w:pPr>
      <w:r>
        <w:rPr>
          <w:rFonts w:hint="eastAsia" w:ascii="宋体" w:hAnsi="宋体" w:cs="宋体"/>
          <w:b/>
          <w:bCs/>
          <w:sz w:val="24"/>
        </w:rPr>
        <w:t>4.9项目协调与组织</w:t>
      </w:r>
    </w:p>
    <w:p w14:paraId="53D5AB4B">
      <w:pPr>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协调建设单位与承建单位之间的工作关系，解决项目建设过程中发生的各类纠纷和问题；对发现的重大问题或暂不能解决的问题，需提交解决方案；</w:t>
      </w:r>
    </w:p>
    <w:p w14:paraId="47193629">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解决项目建设过程中发生的各类纠纷和问题；对发现的重大问题或暂不能解决的问题，需提交解决方案建议；</w:t>
      </w:r>
    </w:p>
    <w:p w14:paraId="2D3F9B89">
      <w:pPr>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配合建设单位组织和主持项目会议，包括项目协调会、项目例会、项目专题研讨会、项目专家论证评审会、项目阶段工作总结会、项目问题通报会、项目验收会等。</w:t>
      </w:r>
    </w:p>
    <w:p w14:paraId="7C3EAC09">
      <w:pPr>
        <w:keepNext/>
        <w:keepLines/>
        <w:ind w:firstLine="482" w:firstLineChars="200"/>
        <w:outlineLvl w:val="1"/>
        <w:rPr>
          <w:rFonts w:hint="eastAsia" w:ascii="宋体" w:hAnsi="宋体" w:cs="宋体"/>
          <w:b/>
          <w:bCs/>
          <w:sz w:val="24"/>
        </w:rPr>
      </w:pPr>
      <w:r>
        <w:rPr>
          <w:rFonts w:hint="eastAsia" w:ascii="宋体" w:hAnsi="宋体" w:cs="宋体"/>
          <w:b/>
          <w:bCs/>
          <w:sz w:val="24"/>
        </w:rPr>
        <w:t>五、监理服务要求</w:t>
      </w:r>
    </w:p>
    <w:p w14:paraId="0B5ACA3C">
      <w:pPr>
        <w:ind w:firstLine="482" w:firstLineChars="200"/>
        <w:rPr>
          <w:rFonts w:hint="eastAsia" w:ascii="宋体" w:hAnsi="宋体" w:cs="宋体"/>
          <w:b/>
          <w:bCs/>
          <w:sz w:val="24"/>
        </w:rPr>
      </w:pPr>
      <w:r>
        <w:rPr>
          <w:rFonts w:hint="eastAsia" w:ascii="宋体" w:hAnsi="宋体" w:cs="宋体"/>
          <w:b/>
          <w:bCs/>
          <w:sz w:val="24"/>
        </w:rPr>
        <w:t>5.1监理服务能力要求</w:t>
      </w:r>
    </w:p>
    <w:p w14:paraId="350D281B">
      <w:pPr>
        <w:ind w:firstLine="480" w:firstLineChars="200"/>
        <w:rPr>
          <w:rFonts w:hint="eastAsia" w:ascii="宋体" w:hAnsi="宋体" w:cs="宋体"/>
          <w:sz w:val="24"/>
        </w:rPr>
      </w:pPr>
      <w:r>
        <w:rPr>
          <w:rFonts w:hint="eastAsia" w:ascii="宋体" w:hAnsi="宋体" w:cs="宋体"/>
          <w:sz w:val="24"/>
        </w:rPr>
        <w:t>本项目建设过程中，监理单位需向采购人提供全过程建设管理咨询服务，包括管理制度制定咨询、造价咨询、大数据咨询等。具体包括：在项目建设前期，监理单位需协助采购人制定项目总体管理办法，确保项目管理过程规范严谨，要求监理单位具备管理咨询服务能力；在项目初步设计阶段、招投标阶段、方案设计及实施阶段，涉及到相关软硬件的变更控制和投资控制，监理单位需向采购人提供相应的造价咨询，要求监理单位需具备造价咨询服务能力；项目建设过程中，数据统一采集、分级应用，要求监理单位应具备一定的大数据服务咨询能力，在大数据爬取、处理、重构、过滤、可视化处理等方面提供必要的咨询服务。</w:t>
      </w:r>
    </w:p>
    <w:p w14:paraId="54C85226">
      <w:pPr>
        <w:ind w:firstLine="482" w:firstLineChars="200"/>
        <w:rPr>
          <w:rFonts w:hint="eastAsia" w:ascii="宋体" w:hAnsi="宋体" w:cs="宋体"/>
          <w:b/>
          <w:bCs/>
          <w:sz w:val="24"/>
        </w:rPr>
      </w:pPr>
      <w:r>
        <w:rPr>
          <w:rFonts w:hint="eastAsia" w:ascii="宋体" w:hAnsi="宋体" w:cs="宋体"/>
          <w:b/>
          <w:bCs/>
          <w:sz w:val="24"/>
        </w:rPr>
        <w:t>5.2监理团队要求</w:t>
      </w:r>
    </w:p>
    <w:p w14:paraId="24045A71">
      <w:pPr>
        <w:ind w:firstLine="480" w:firstLineChars="200"/>
        <w:rPr>
          <w:rFonts w:hint="eastAsia" w:ascii="宋体" w:hAnsi="宋体" w:cs="宋体"/>
          <w:color w:val="4F81BD"/>
          <w:sz w:val="24"/>
        </w:rPr>
      </w:pPr>
      <w:r>
        <w:rPr>
          <w:rFonts w:hint="eastAsia" w:ascii="宋体" w:hAnsi="宋体" w:cs="宋体"/>
          <w:color w:val="4F81BD"/>
          <w:sz w:val="24"/>
        </w:rPr>
        <w:t>监理单位应成立专业的监理机构，负责本项目的监理实施工作，监理机构中至少包括总监理工程师1名，总监理工程师代表1名，房屋建筑工程专业监理工程师</w:t>
      </w:r>
      <w:r>
        <w:rPr>
          <w:rFonts w:hint="eastAsia" w:ascii="宋体" w:hAnsi="宋体" w:cs="宋体"/>
          <w:color w:val="4F81BD"/>
          <w:sz w:val="24"/>
          <w:lang w:val="en-US" w:eastAsia="zh-CN"/>
        </w:rPr>
        <w:t>和</w:t>
      </w:r>
      <w:r>
        <w:rPr>
          <w:rFonts w:hint="eastAsia" w:ascii="宋体" w:hAnsi="宋体" w:cs="宋体"/>
          <w:color w:val="4F81BD"/>
          <w:sz w:val="24"/>
        </w:rPr>
        <w:t>信息系统专业监理工程师或通信工程专业监理工程师</w:t>
      </w:r>
      <w:r>
        <w:rPr>
          <w:rFonts w:hint="eastAsia" w:ascii="宋体" w:hAnsi="宋体" w:cs="宋体"/>
          <w:color w:val="4F81BD"/>
          <w:sz w:val="24"/>
          <w:lang w:val="en-US" w:eastAsia="zh-CN"/>
        </w:rPr>
        <w:t>各不少于3名</w:t>
      </w:r>
      <w:r>
        <w:rPr>
          <w:rFonts w:hint="eastAsia" w:ascii="宋体" w:hAnsi="宋体" w:cs="宋体"/>
          <w:color w:val="4F81BD"/>
          <w:sz w:val="24"/>
        </w:rPr>
        <w:t>，并根据项目实际情况浮动调整，以满足甲方要求为准。</w:t>
      </w:r>
    </w:p>
    <w:p w14:paraId="560E6456">
      <w:pPr>
        <w:ind w:firstLine="480" w:firstLineChars="200"/>
        <w:rPr>
          <w:rFonts w:hint="eastAsia" w:ascii="宋体" w:hAnsi="宋体" w:cs="宋体"/>
          <w:sz w:val="24"/>
        </w:rPr>
      </w:pPr>
      <w:r>
        <w:rPr>
          <w:rFonts w:hint="eastAsia" w:ascii="宋体" w:hAnsi="宋体" w:cs="宋体"/>
          <w:sz w:val="24"/>
        </w:rPr>
        <w:t>1) 总监理工程师要求</w:t>
      </w:r>
    </w:p>
    <w:p w14:paraId="012C156E">
      <w:pPr>
        <w:ind w:firstLine="480" w:firstLineChars="200"/>
        <w:rPr>
          <w:rFonts w:hint="eastAsia" w:ascii="宋体" w:hAnsi="宋体" w:cs="宋体"/>
          <w:sz w:val="24"/>
        </w:rPr>
      </w:pPr>
      <w:r>
        <w:rPr>
          <w:rFonts w:hint="eastAsia" w:ascii="宋体" w:hAnsi="宋体" w:cs="宋体"/>
          <w:sz w:val="24"/>
        </w:rPr>
        <w:t>总监理工程师全面主持本项目监理工作，统筹管理项目监理团队，负责项目重大系统变更的审核和评估，全面负责项目实施过程中的风险管理和信息及数据安全管理。要求总监理工程师具有多年的信息系统工程监理和管理经验，具有资深信息系监理技术能力，应为信息系统监理领域高级技术人员，具备软件系统成本度量和评估能力，具备信息安全管理能力和风险管理能力。</w:t>
      </w:r>
    </w:p>
    <w:p w14:paraId="133EDCCE">
      <w:pPr>
        <w:ind w:firstLine="480" w:firstLineChars="200"/>
        <w:rPr>
          <w:rFonts w:hint="eastAsia" w:ascii="宋体" w:hAnsi="宋体" w:cs="宋体"/>
          <w:sz w:val="24"/>
        </w:rPr>
      </w:pPr>
      <w:r>
        <w:rPr>
          <w:rFonts w:hint="eastAsia" w:ascii="宋体" w:hAnsi="宋体" w:cs="宋体"/>
          <w:sz w:val="24"/>
        </w:rPr>
        <w:t>2) 总监理工程师代表要求</w:t>
      </w:r>
    </w:p>
    <w:p w14:paraId="6DA97505">
      <w:pPr>
        <w:ind w:firstLine="480" w:firstLineChars="200"/>
        <w:rPr>
          <w:rFonts w:hint="eastAsia" w:ascii="宋体" w:hAnsi="宋体" w:cs="宋体"/>
          <w:sz w:val="24"/>
        </w:rPr>
      </w:pPr>
      <w:r>
        <w:rPr>
          <w:rFonts w:hint="eastAsia" w:ascii="宋体" w:hAnsi="宋体" w:cs="宋体"/>
          <w:sz w:val="24"/>
        </w:rPr>
        <w:t>总监理工程师代表负责总监理工程师指定或交办的监理工作，按总监理工程师的授权，行使总监理工程师的部份职责和权力，驻场开展项目监理实施工作；应具有信息系统监理师资格，具有多年的信息系统工程监理和管理经验，具有高级项目管理能力和投资咨询能力。</w:t>
      </w:r>
    </w:p>
    <w:p w14:paraId="475E482C">
      <w:pPr>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 专业监理工程师要求</w:t>
      </w:r>
    </w:p>
    <w:p w14:paraId="07039854">
      <w:pPr>
        <w:ind w:firstLine="480" w:firstLineChars="200"/>
        <w:rPr>
          <w:rFonts w:hint="eastAsia" w:ascii="宋体" w:hAnsi="宋体" w:cs="宋体"/>
          <w:sz w:val="24"/>
        </w:rPr>
      </w:pPr>
      <w:r>
        <w:rPr>
          <w:rFonts w:hint="eastAsia" w:ascii="宋体" w:hAnsi="宋体" w:cs="宋体"/>
          <w:sz w:val="24"/>
        </w:rPr>
        <w:t>具备信息系统监理师资格，项目组成员应包含软件开发、通用设备、系统集成、网络安全、硬件采购、数据中心等不同专业的人员，包含具有资深信息系监理技术能力的人员。</w:t>
      </w:r>
    </w:p>
    <w:p w14:paraId="2FF787E9">
      <w:pPr>
        <w:ind w:firstLine="482" w:firstLineChars="200"/>
        <w:rPr>
          <w:rFonts w:hint="eastAsia" w:ascii="宋体" w:hAnsi="宋体" w:cs="宋体"/>
          <w:b/>
          <w:bCs/>
          <w:sz w:val="24"/>
        </w:rPr>
      </w:pPr>
      <w:r>
        <w:rPr>
          <w:rFonts w:hint="eastAsia" w:ascii="宋体" w:hAnsi="宋体" w:cs="宋体"/>
          <w:b/>
          <w:bCs/>
          <w:sz w:val="24"/>
        </w:rPr>
        <w:t>5.3监理服务响应</w:t>
      </w:r>
    </w:p>
    <w:p w14:paraId="4625D4BA">
      <w:pPr>
        <w:ind w:firstLine="480" w:firstLineChars="200"/>
        <w:rPr>
          <w:rFonts w:hint="eastAsia" w:ascii="宋体" w:hAnsi="宋体" w:cs="宋体"/>
          <w:sz w:val="24"/>
        </w:rPr>
      </w:pPr>
      <w:r>
        <w:rPr>
          <w:rFonts w:hint="eastAsia" w:ascii="宋体" w:hAnsi="宋体" w:cs="宋体"/>
          <w:sz w:val="24"/>
        </w:rPr>
        <w:t>监理单位应提供快速的服务响应，系统建设阶段应保障有专人常驻现场开展监理工作。非工作时间（尤其是国定节假日、双休日）能够在2小时内响应任务，并及时现场处置。在项目实施过程中，根据项目实施阶段工作重点，应相应调整监理机构的人员配置，人员调整必须经建设单位同意。建设单位有权要求更换人员。</w:t>
      </w:r>
    </w:p>
    <w:p w14:paraId="345ED0AB">
      <w:pPr>
        <w:keepNext/>
        <w:keepLines/>
        <w:ind w:firstLine="482" w:firstLineChars="200"/>
        <w:outlineLvl w:val="1"/>
        <w:rPr>
          <w:rFonts w:hint="eastAsia" w:ascii="宋体" w:hAnsi="宋体" w:cs="宋体"/>
          <w:b/>
          <w:bCs/>
          <w:sz w:val="24"/>
        </w:rPr>
      </w:pPr>
      <w:r>
        <w:rPr>
          <w:rFonts w:hint="eastAsia" w:ascii="宋体" w:hAnsi="宋体" w:cs="宋体"/>
          <w:b/>
          <w:bCs/>
          <w:sz w:val="24"/>
        </w:rPr>
        <w:t>六、监理服务依据</w:t>
      </w:r>
    </w:p>
    <w:p w14:paraId="3477F595">
      <w:pPr>
        <w:ind w:firstLine="480" w:firstLineChars="200"/>
        <w:rPr>
          <w:rFonts w:hint="eastAsia" w:ascii="宋体" w:hAnsi="宋体" w:cs="宋体"/>
          <w:sz w:val="24"/>
        </w:rPr>
      </w:pPr>
      <w:r>
        <w:rPr>
          <w:rFonts w:hint="eastAsia" w:ascii="宋体" w:hAnsi="宋体" w:cs="宋体"/>
          <w:sz w:val="24"/>
        </w:rPr>
        <w:t>中标人应遵循的监理服务依据包括但不限于：</w:t>
      </w:r>
    </w:p>
    <w:p w14:paraId="79151736">
      <w:pPr>
        <w:ind w:firstLine="480" w:firstLineChars="200"/>
        <w:rPr>
          <w:rFonts w:hint="eastAsia" w:ascii="宋体" w:hAnsi="宋体" w:cs="宋体"/>
          <w:sz w:val="24"/>
        </w:rPr>
      </w:pPr>
      <w:r>
        <w:rPr>
          <w:rFonts w:hint="eastAsia" w:ascii="宋体" w:hAnsi="宋体" w:cs="宋体"/>
          <w:sz w:val="24"/>
        </w:rPr>
        <w:t>1、国家相关部门有关监理的政策、法规等文件规范：</w:t>
      </w:r>
    </w:p>
    <w:p w14:paraId="39287AC3">
      <w:pPr>
        <w:ind w:firstLine="480" w:firstLineChars="200"/>
        <w:rPr>
          <w:rFonts w:hint="eastAsia" w:ascii="宋体" w:hAnsi="宋体" w:cs="宋体"/>
          <w:sz w:val="24"/>
        </w:rPr>
      </w:pPr>
      <w:r>
        <w:rPr>
          <w:rFonts w:hint="eastAsia" w:ascii="宋体" w:hAnsi="宋体" w:cs="宋体"/>
          <w:sz w:val="24"/>
        </w:rPr>
        <w:t>《中华人民共和国民法典》</w:t>
      </w:r>
    </w:p>
    <w:p w14:paraId="60FA6653">
      <w:pPr>
        <w:ind w:firstLine="480" w:firstLineChars="200"/>
        <w:rPr>
          <w:rFonts w:hint="eastAsia" w:ascii="宋体" w:hAnsi="宋体" w:cs="宋体"/>
          <w:sz w:val="24"/>
        </w:rPr>
      </w:pPr>
      <w:r>
        <w:rPr>
          <w:rFonts w:hint="eastAsia" w:ascii="宋体" w:hAnsi="宋体" w:cs="宋体"/>
          <w:sz w:val="24"/>
        </w:rPr>
        <w:t>《中华人民共和国招标投标法》</w:t>
      </w:r>
    </w:p>
    <w:p w14:paraId="0134760B">
      <w:pPr>
        <w:ind w:firstLine="480" w:firstLineChars="200"/>
        <w:rPr>
          <w:rFonts w:hint="eastAsia" w:ascii="宋体" w:hAnsi="宋体" w:cs="宋体"/>
          <w:sz w:val="24"/>
        </w:rPr>
      </w:pPr>
      <w:r>
        <w:rPr>
          <w:rFonts w:hint="eastAsia" w:ascii="宋体" w:hAnsi="宋体" w:cs="宋体"/>
          <w:sz w:val="24"/>
        </w:rPr>
        <w:t>《中华人民共和国政府采购法》</w:t>
      </w:r>
    </w:p>
    <w:p w14:paraId="54A12916">
      <w:pPr>
        <w:ind w:firstLine="480" w:firstLineChars="200"/>
        <w:rPr>
          <w:rFonts w:hint="eastAsia" w:ascii="宋体" w:hAnsi="宋体" w:cs="宋体"/>
          <w:sz w:val="24"/>
        </w:rPr>
      </w:pPr>
      <w:r>
        <w:rPr>
          <w:rFonts w:hint="eastAsia" w:ascii="宋体" w:hAnsi="宋体" w:cs="宋体"/>
          <w:sz w:val="24"/>
        </w:rPr>
        <w:t>《中华人民共和国国家安全法》</w:t>
      </w:r>
    </w:p>
    <w:p w14:paraId="45B20776">
      <w:pPr>
        <w:ind w:firstLine="480" w:firstLineChars="200"/>
        <w:rPr>
          <w:rFonts w:hint="eastAsia" w:ascii="宋体" w:hAnsi="宋体" w:cs="宋体"/>
          <w:sz w:val="24"/>
        </w:rPr>
      </w:pPr>
      <w:r>
        <w:rPr>
          <w:rFonts w:hint="eastAsia" w:ascii="宋体" w:hAnsi="宋体" w:cs="宋体"/>
          <w:sz w:val="24"/>
        </w:rPr>
        <w:t>《国家政务信息化项目建设管理办法》（国办发【2019】57号）</w:t>
      </w:r>
    </w:p>
    <w:p w14:paraId="59D51055">
      <w:pPr>
        <w:ind w:firstLine="480" w:firstLineChars="200"/>
        <w:rPr>
          <w:rFonts w:hint="eastAsia" w:ascii="宋体" w:hAnsi="宋体" w:cs="宋体"/>
          <w:sz w:val="24"/>
        </w:rPr>
      </w:pPr>
      <w:r>
        <w:rPr>
          <w:rFonts w:hint="eastAsia" w:ascii="宋体" w:hAnsi="宋体" w:cs="宋体"/>
          <w:sz w:val="24"/>
        </w:rPr>
        <w:t>《国家电子政务工程建设项目档案管理 暂行办法》（档发【2008】3号）</w:t>
      </w:r>
    </w:p>
    <w:p w14:paraId="5DE07E3E">
      <w:pPr>
        <w:ind w:firstLine="480" w:firstLineChars="200"/>
        <w:rPr>
          <w:rFonts w:hint="eastAsia" w:ascii="宋体" w:hAnsi="宋体" w:cs="宋体"/>
          <w:sz w:val="24"/>
        </w:rPr>
      </w:pPr>
      <w:r>
        <w:rPr>
          <w:rFonts w:hint="eastAsia" w:ascii="宋体" w:hAnsi="宋体" w:cs="宋体"/>
          <w:sz w:val="24"/>
        </w:rPr>
        <w:t>GB/T 19668.1-2014信息技术服务 监理 第1部分：总则；</w:t>
      </w:r>
    </w:p>
    <w:p w14:paraId="085809E9">
      <w:pPr>
        <w:ind w:firstLine="480" w:firstLineChars="200"/>
        <w:rPr>
          <w:rFonts w:hint="eastAsia" w:ascii="宋体" w:hAnsi="宋体" w:cs="宋体"/>
          <w:sz w:val="24"/>
        </w:rPr>
      </w:pPr>
      <w:r>
        <w:rPr>
          <w:rFonts w:hint="eastAsia" w:ascii="宋体" w:hAnsi="宋体" w:cs="宋体"/>
          <w:sz w:val="24"/>
        </w:rPr>
        <w:t>GB/T 19668.2-2017信息技术服务 监理 第2部分：基础设施工程监理规范；</w:t>
      </w:r>
    </w:p>
    <w:p w14:paraId="3480ED03">
      <w:pPr>
        <w:ind w:firstLine="480" w:firstLineChars="200"/>
        <w:rPr>
          <w:rFonts w:hint="eastAsia" w:ascii="宋体" w:hAnsi="宋体" w:cs="宋体"/>
          <w:sz w:val="24"/>
        </w:rPr>
      </w:pPr>
      <w:r>
        <w:rPr>
          <w:rFonts w:hint="eastAsia" w:ascii="宋体" w:hAnsi="宋体" w:cs="宋体"/>
          <w:sz w:val="24"/>
        </w:rPr>
        <w:t>GB/T 19668.3-2017信息技术服务 监理 第3部分：运行维护监理规范；</w:t>
      </w:r>
    </w:p>
    <w:p w14:paraId="51115CDD">
      <w:pPr>
        <w:ind w:firstLine="480" w:firstLineChars="200"/>
        <w:rPr>
          <w:rFonts w:hint="eastAsia" w:ascii="宋体" w:hAnsi="宋体" w:cs="宋体"/>
          <w:sz w:val="24"/>
        </w:rPr>
      </w:pPr>
      <w:r>
        <w:rPr>
          <w:rFonts w:hint="eastAsia" w:ascii="宋体" w:hAnsi="宋体" w:cs="宋体"/>
          <w:sz w:val="24"/>
        </w:rPr>
        <w:t>GB/T 19668.4-2017信息技术服务 监理 第4部分：信息安全监理规范；</w:t>
      </w:r>
    </w:p>
    <w:p w14:paraId="22245CC9">
      <w:pPr>
        <w:ind w:firstLine="480" w:firstLineChars="200"/>
        <w:rPr>
          <w:rFonts w:hint="eastAsia" w:ascii="宋体" w:hAnsi="宋体" w:cs="宋体"/>
          <w:sz w:val="24"/>
        </w:rPr>
      </w:pPr>
      <w:r>
        <w:rPr>
          <w:rFonts w:hint="eastAsia" w:ascii="宋体" w:hAnsi="宋体" w:cs="宋体"/>
          <w:sz w:val="24"/>
        </w:rPr>
        <w:t>GB/T 19668.5-2018信息技术服务 监理 5部分: 软件工程监理规范；</w:t>
      </w:r>
    </w:p>
    <w:p w14:paraId="68083DF8">
      <w:pPr>
        <w:ind w:firstLine="480" w:firstLineChars="200"/>
        <w:rPr>
          <w:rFonts w:hint="eastAsia" w:ascii="宋体" w:hAnsi="宋体" w:cs="宋体"/>
          <w:sz w:val="24"/>
        </w:rPr>
      </w:pPr>
      <w:r>
        <w:rPr>
          <w:rFonts w:hint="eastAsia" w:ascii="宋体" w:hAnsi="宋体" w:cs="宋体"/>
          <w:sz w:val="24"/>
        </w:rPr>
        <w:t>GB/T 19668.6-2019信息技术服务 监理 第6部分:应用系统:数据中心工程监理规范</w:t>
      </w:r>
    </w:p>
    <w:p w14:paraId="1F3E40B7">
      <w:pPr>
        <w:ind w:firstLine="480" w:firstLineChars="200"/>
        <w:rPr>
          <w:rFonts w:hint="eastAsia" w:ascii="宋体" w:hAnsi="宋体" w:cs="宋体"/>
          <w:sz w:val="24"/>
        </w:rPr>
      </w:pPr>
      <w:r>
        <w:rPr>
          <w:rFonts w:hint="eastAsia" w:ascii="宋体" w:hAnsi="宋体" w:cs="宋体"/>
          <w:sz w:val="24"/>
        </w:rPr>
        <w:t>其它现行有关的法律、法规和管理规范等；</w:t>
      </w:r>
    </w:p>
    <w:p w14:paraId="32457C5B">
      <w:pPr>
        <w:ind w:firstLine="480" w:firstLineChars="200"/>
        <w:rPr>
          <w:rFonts w:hint="eastAsia" w:ascii="宋体" w:hAnsi="宋体" w:cs="宋体"/>
          <w:sz w:val="24"/>
        </w:rPr>
      </w:pPr>
      <w:r>
        <w:rPr>
          <w:rFonts w:hint="eastAsia" w:ascii="宋体" w:hAnsi="宋体" w:cs="宋体"/>
          <w:sz w:val="24"/>
        </w:rPr>
        <w:t>2、建设单位立项材料及相关批复文件；</w:t>
      </w:r>
    </w:p>
    <w:p w14:paraId="2EC07AAA">
      <w:pPr>
        <w:ind w:firstLine="480" w:firstLineChars="200"/>
        <w:rPr>
          <w:rFonts w:hint="eastAsia" w:ascii="宋体" w:hAnsi="宋体" w:cs="宋体"/>
          <w:sz w:val="24"/>
        </w:rPr>
      </w:pPr>
      <w:r>
        <w:rPr>
          <w:rFonts w:hint="eastAsia" w:ascii="宋体" w:hAnsi="宋体" w:cs="宋体"/>
          <w:sz w:val="24"/>
        </w:rPr>
        <w:t>3、建设单位与监理单位、各承建单位签订的合同；</w:t>
      </w:r>
    </w:p>
    <w:p w14:paraId="292E89CD">
      <w:pPr>
        <w:ind w:firstLine="480" w:firstLineChars="200"/>
        <w:rPr>
          <w:rFonts w:hint="eastAsia" w:ascii="宋体" w:hAnsi="宋体" w:cs="宋体"/>
          <w:sz w:val="24"/>
        </w:rPr>
      </w:pPr>
      <w:r>
        <w:rPr>
          <w:rFonts w:hint="eastAsia" w:ascii="宋体" w:hAnsi="宋体" w:cs="宋体"/>
          <w:sz w:val="24"/>
        </w:rPr>
        <w:t>4、有关国家和新疆维吾尔自治区技术规范和标准。</w:t>
      </w:r>
    </w:p>
    <w:p w14:paraId="7969403B">
      <w:pPr>
        <w:keepNext/>
        <w:keepLines/>
        <w:ind w:firstLine="482" w:firstLineChars="200"/>
        <w:outlineLvl w:val="1"/>
        <w:rPr>
          <w:rFonts w:hint="eastAsia" w:ascii="宋体" w:hAnsi="宋体" w:cs="宋体"/>
          <w:b/>
          <w:bCs/>
          <w:sz w:val="24"/>
        </w:rPr>
      </w:pPr>
      <w:r>
        <w:rPr>
          <w:rFonts w:hint="eastAsia" w:ascii="宋体" w:hAnsi="宋体" w:cs="宋体"/>
          <w:b/>
          <w:bCs/>
          <w:sz w:val="24"/>
        </w:rPr>
        <w:t>七、监理服务准则</w:t>
      </w:r>
    </w:p>
    <w:p w14:paraId="55D21191">
      <w:pPr>
        <w:ind w:firstLine="480" w:firstLineChars="200"/>
        <w:rPr>
          <w:rFonts w:hint="eastAsia" w:ascii="宋体" w:hAnsi="宋体" w:cs="宋体"/>
          <w:sz w:val="24"/>
        </w:rPr>
      </w:pPr>
      <w:r>
        <w:rPr>
          <w:rFonts w:hint="eastAsia" w:ascii="宋体" w:hAnsi="宋体" w:cs="宋体"/>
          <w:sz w:val="24"/>
        </w:rPr>
        <w:t>监理单位应以“守法、诚信、公正、科学”的准则执业，维护建设方与承建方的合法权益。具体应作到：</w:t>
      </w:r>
    </w:p>
    <w:p w14:paraId="76F8C482">
      <w:pPr>
        <w:ind w:firstLine="480" w:firstLineChars="200"/>
        <w:rPr>
          <w:rFonts w:hint="eastAsia" w:ascii="宋体" w:hAnsi="宋体" w:cs="宋体"/>
          <w:sz w:val="24"/>
        </w:rPr>
      </w:pPr>
      <w:r>
        <w:rPr>
          <w:rFonts w:hint="eastAsia" w:ascii="宋体" w:hAnsi="宋体" w:cs="宋体"/>
          <w:sz w:val="24"/>
        </w:rPr>
        <w:t>(1)监理公司有责任为建设单位提供项目咨询监理意见，督促承建单位实现合同所规定的目标，公正维护各方的合法权益。</w:t>
      </w:r>
    </w:p>
    <w:p w14:paraId="4097B174">
      <w:pPr>
        <w:ind w:firstLine="480" w:firstLineChars="200"/>
        <w:rPr>
          <w:rFonts w:hint="eastAsia" w:ascii="宋体" w:hAnsi="宋体" w:cs="宋体"/>
          <w:sz w:val="24"/>
        </w:rPr>
      </w:pPr>
      <w:r>
        <w:rPr>
          <w:rFonts w:hint="eastAsia" w:ascii="宋体" w:hAnsi="宋体" w:cs="宋体"/>
          <w:sz w:val="24"/>
        </w:rPr>
        <w:t>(2)不收受被监理单位的任何礼金，坚持公正的立场、独立、公正地处理有关各方的争议。</w:t>
      </w:r>
    </w:p>
    <w:p w14:paraId="167F7D4B">
      <w:pPr>
        <w:ind w:firstLine="480" w:firstLineChars="200"/>
        <w:rPr>
          <w:rFonts w:hint="eastAsia" w:ascii="宋体" w:hAnsi="宋体" w:cs="宋体"/>
          <w:sz w:val="24"/>
        </w:rPr>
      </w:pPr>
      <w:r>
        <w:rPr>
          <w:rFonts w:hint="eastAsia" w:ascii="宋体" w:hAnsi="宋体" w:cs="宋体"/>
          <w:sz w:val="24"/>
        </w:rPr>
        <w:t>(3)在本合同期内及合同终止后，未征得建设单位同意，不得泄露与本项目有关的资料。因保密不慎或有意泄露所造成的损失和后果，按国家保密法或相关规定予以处罚。</w:t>
      </w:r>
    </w:p>
    <w:p w14:paraId="33F66B08">
      <w:pPr>
        <w:ind w:firstLine="480" w:firstLineChars="200"/>
        <w:rPr>
          <w:rFonts w:hint="eastAsia" w:ascii="宋体" w:hAnsi="宋体" w:cs="宋体"/>
          <w:sz w:val="24"/>
        </w:rPr>
      </w:pPr>
      <w:r>
        <w:rPr>
          <w:rFonts w:hint="eastAsia" w:ascii="宋体" w:hAnsi="宋体" w:cs="宋体"/>
          <w:sz w:val="24"/>
        </w:rPr>
        <w:t>(4)由于承建单位在项目实施中不符合项目规范和质量要求，监理公司要监督承建单位停工整改或返工。如承建单位人员工作不力，可提出调换有关人员。</w:t>
      </w:r>
    </w:p>
    <w:p w14:paraId="0F74E202">
      <w:pPr>
        <w:ind w:firstLine="480" w:firstLineChars="200"/>
        <w:rPr>
          <w:rFonts w:hint="eastAsia" w:ascii="宋体" w:hAnsi="宋体" w:cs="宋体"/>
          <w:sz w:val="24"/>
        </w:rPr>
      </w:pPr>
      <w:r>
        <w:rPr>
          <w:rFonts w:hint="eastAsia" w:ascii="宋体" w:hAnsi="宋体" w:cs="宋体"/>
          <w:sz w:val="24"/>
        </w:rPr>
        <w:t>(5)如果承建单位违反合同规定的质量要求和完工时限，监理公司应协助建设单位追究有关承建单位的责任。</w:t>
      </w:r>
    </w:p>
    <w:p w14:paraId="120F20E0">
      <w:pPr>
        <w:ind w:firstLine="480" w:firstLineChars="200"/>
        <w:rPr>
          <w:rFonts w:hint="eastAsia" w:ascii="宋体" w:hAnsi="宋体" w:cs="宋体"/>
          <w:sz w:val="24"/>
        </w:rPr>
      </w:pPr>
      <w:r>
        <w:rPr>
          <w:rFonts w:hint="eastAsia" w:ascii="宋体" w:hAnsi="宋体" w:cs="宋体"/>
          <w:sz w:val="24"/>
        </w:rPr>
        <w:t>(6)如果因监理公司监督不力，造成建设单位经济损失的，监理公司应负赔偿责任，赔偿总额不超过监理费总额。</w:t>
      </w:r>
    </w:p>
    <w:p w14:paraId="696CE30D">
      <w:pPr>
        <w:pStyle w:val="87"/>
        <w:jc w:val="center"/>
        <w:outlineLvl w:val="0"/>
        <w:rPr>
          <w:rFonts w:hint="eastAsia" w:ascii="宋体" w:hAnsi="宋体" w:cs="宋体"/>
          <w:b/>
          <w:sz w:val="24"/>
          <w:szCs w:val="24"/>
        </w:rPr>
      </w:pPr>
      <w:r>
        <w:rPr>
          <w:rFonts w:hint="eastAsia" w:ascii="宋体" w:hAnsi="宋体" w:cs="宋体"/>
          <w:sz w:val="24"/>
          <w:szCs w:val="24"/>
        </w:rPr>
        <w:t>(7)监理公司使用建设单位提供的设备和物品属建设单位所有，在监理工作完成或终止时，应将设备和剩余物品在合同规定的时间和方式移交给建设单位。</w:t>
      </w:r>
      <w:r>
        <w:rPr>
          <w:rFonts w:hint="eastAsia" w:ascii="宋体" w:hAnsi="宋体" w:cs="宋体"/>
          <w:b/>
          <w:sz w:val="24"/>
          <w:szCs w:val="24"/>
        </w:rPr>
        <w:br w:type="page"/>
      </w:r>
      <w:bookmarkStart w:id="40" w:name="_Toc26727"/>
      <w:bookmarkStart w:id="41" w:name="_Toc362"/>
      <w:r>
        <w:rPr>
          <w:rFonts w:hint="eastAsia" w:ascii="宋体" w:hAnsi="宋体" w:cs="宋体"/>
          <w:sz w:val="24"/>
          <w:szCs w:val="24"/>
        </w:rPr>
        <w:t xml:space="preserve"> </w:t>
      </w:r>
      <w:bookmarkEnd w:id="40"/>
      <w:bookmarkEnd w:id="41"/>
      <w:bookmarkStart w:id="42" w:name="_Toc17967"/>
      <w:r>
        <w:rPr>
          <w:rFonts w:hint="eastAsia" w:ascii="宋体" w:hAnsi="宋体" w:cs="宋体"/>
          <w:b/>
          <w:sz w:val="24"/>
          <w:szCs w:val="24"/>
        </w:rPr>
        <w:t>第六章  响应文件</w:t>
      </w:r>
      <w:bookmarkEnd w:id="42"/>
      <w:bookmarkStart w:id="43" w:name="_Toc507399516"/>
      <w:r>
        <w:rPr>
          <w:rFonts w:hint="eastAsia" w:ascii="宋体" w:hAnsi="宋体" w:cs="宋体"/>
          <w:b/>
          <w:sz w:val="24"/>
          <w:szCs w:val="24"/>
        </w:rPr>
        <w:t>（格式）</w:t>
      </w:r>
    </w:p>
    <w:bookmarkEnd w:id="43"/>
    <w:p w14:paraId="114F53F9">
      <w:pPr>
        <w:pStyle w:val="87"/>
        <w:ind w:left="5250"/>
        <w:jc w:val="center"/>
        <w:rPr>
          <w:rFonts w:hint="eastAsia" w:ascii="宋体" w:hAnsi="宋体" w:cs="宋体"/>
          <w:b/>
          <w:sz w:val="24"/>
          <w:szCs w:val="24"/>
        </w:rPr>
      </w:pPr>
      <w:bookmarkStart w:id="44" w:name="_Toc507399517"/>
    </w:p>
    <w:p w14:paraId="2B5540AA">
      <w:pPr>
        <w:pStyle w:val="87"/>
        <w:ind w:left="5250"/>
        <w:jc w:val="center"/>
        <w:rPr>
          <w:rFonts w:hint="eastAsia" w:ascii="宋体" w:hAnsi="宋体" w:cs="宋体"/>
          <w:b/>
          <w:sz w:val="24"/>
          <w:szCs w:val="24"/>
        </w:rPr>
      </w:pPr>
    </w:p>
    <w:p w14:paraId="009E7EFF">
      <w:pPr>
        <w:pStyle w:val="14"/>
        <w:spacing w:line="240" w:lineRule="auto"/>
        <w:ind w:firstLine="452" w:firstLineChars="200"/>
        <w:rPr>
          <w:rFonts w:hint="eastAsia" w:ascii="宋体" w:hAnsi="宋体" w:cs="宋体"/>
        </w:rPr>
      </w:pPr>
      <w:r>
        <w:rPr>
          <w:rFonts w:hint="eastAsia" w:ascii="宋体" w:hAnsi="宋体" w:cs="宋体"/>
          <w:spacing w:val="-7"/>
        </w:rPr>
        <w:t>为保证评标工作的顺利进行，各投标人需参照如下的格式，认真进行投标文件的编</w:t>
      </w:r>
      <w:r>
        <w:rPr>
          <w:rFonts w:hint="eastAsia" w:ascii="宋体" w:hAnsi="宋体" w:cs="宋体"/>
          <w:spacing w:val="-6"/>
        </w:rPr>
        <w:t>写工作。</w:t>
      </w:r>
      <w:r>
        <w:rPr>
          <w:rFonts w:hint="eastAsia" w:ascii="宋体" w:hAnsi="宋体" w:cs="宋体"/>
          <w:u w:val="single"/>
        </w:rPr>
        <w:t>需建立详细的目录。</w:t>
      </w:r>
    </w:p>
    <w:p w14:paraId="5B7AA9D1">
      <w:pPr>
        <w:pStyle w:val="14"/>
        <w:spacing w:line="240" w:lineRule="auto"/>
        <w:ind w:firstLine="456" w:firstLineChars="200"/>
        <w:rPr>
          <w:rFonts w:hint="eastAsia" w:ascii="宋体" w:hAnsi="宋体" w:cs="宋体"/>
        </w:rPr>
      </w:pPr>
      <w:r>
        <w:rPr>
          <w:rFonts w:hint="eastAsia" w:ascii="宋体" w:hAnsi="宋体" w:cs="宋体"/>
          <w:spacing w:val="-6"/>
        </w:rPr>
        <w:t>各投标人提交文件中涉及商业机密的，应明确标明，采购人及最终用户将给予保密</w:t>
      </w:r>
      <w:r>
        <w:rPr>
          <w:rFonts w:hint="eastAsia" w:ascii="宋体" w:hAnsi="宋体" w:cs="宋体"/>
        </w:rPr>
        <w:t>处理，否则视为公开资料。</w:t>
      </w:r>
    </w:p>
    <w:p w14:paraId="0BD1A513">
      <w:pPr>
        <w:pStyle w:val="87"/>
        <w:spacing w:before="0" w:after="0"/>
        <w:ind w:left="5250" w:firstLine="522" w:firstLineChars="200"/>
        <w:jc w:val="center"/>
        <w:rPr>
          <w:rFonts w:hint="eastAsia" w:ascii="宋体" w:hAnsi="宋体" w:cs="宋体"/>
          <w:b/>
          <w:sz w:val="24"/>
          <w:szCs w:val="24"/>
        </w:rPr>
        <w:sectPr>
          <w:headerReference r:id="rId4" w:type="default"/>
          <w:footerReference r:id="rId5" w:type="default"/>
          <w:pgSz w:w="11910" w:h="16850"/>
          <w:pgMar w:top="1440" w:right="1290" w:bottom="1440" w:left="1800" w:header="720" w:footer="720" w:gutter="0"/>
          <w:pgNumType w:start="1"/>
          <w:cols w:space="720" w:num="1"/>
        </w:sectPr>
      </w:pPr>
    </w:p>
    <w:p w14:paraId="04B6894C">
      <w:pPr>
        <w:pStyle w:val="8"/>
        <w:spacing w:before="88" w:line="240" w:lineRule="auto"/>
        <w:ind w:left="360"/>
        <w:rPr>
          <w:rFonts w:hint="eastAsia" w:ascii="宋体" w:hAnsi="宋体" w:eastAsia="宋体" w:cs="宋体"/>
          <w:szCs w:val="24"/>
        </w:rPr>
      </w:pPr>
      <w:r>
        <w:rPr>
          <w:rFonts w:hint="eastAsia" w:ascii="宋体" w:hAnsi="宋体" w:eastAsia="宋体" w:cs="宋体"/>
          <w:szCs w:val="24"/>
        </w:rPr>
        <w:t>封面格式</w:t>
      </w:r>
    </w:p>
    <w:p w14:paraId="69BDCF58">
      <w:pPr>
        <w:pStyle w:val="14"/>
        <w:spacing w:line="240" w:lineRule="auto"/>
        <w:jc w:val="right"/>
        <w:rPr>
          <w:rFonts w:hint="eastAsia" w:ascii="宋体" w:hAnsi="宋体" w:cs="宋体"/>
          <w:bdr w:val="single" w:color="auto" w:sz="4" w:space="0"/>
        </w:rPr>
      </w:pPr>
      <w:r>
        <w:rPr>
          <w:rFonts w:hint="eastAsia" w:ascii="宋体" w:hAnsi="宋体" w:cs="宋体"/>
          <w:bdr w:val="single" w:color="auto" w:sz="4" w:space="0"/>
        </w:rPr>
        <w:t>正本</w:t>
      </w:r>
    </w:p>
    <w:p w14:paraId="31C85FA7">
      <w:pPr>
        <w:pStyle w:val="14"/>
        <w:spacing w:line="240" w:lineRule="auto"/>
        <w:rPr>
          <w:rFonts w:hint="eastAsia" w:ascii="宋体" w:hAnsi="宋体" w:cs="宋体"/>
        </w:rPr>
      </w:pPr>
    </w:p>
    <w:p w14:paraId="6F0A46BB">
      <w:pPr>
        <w:pStyle w:val="14"/>
        <w:spacing w:line="240" w:lineRule="auto"/>
        <w:rPr>
          <w:rFonts w:hint="eastAsia" w:ascii="宋体" w:hAnsi="宋体" w:cs="宋体"/>
        </w:rPr>
      </w:pPr>
    </w:p>
    <w:p w14:paraId="7848758E">
      <w:pPr>
        <w:pStyle w:val="14"/>
        <w:spacing w:line="240" w:lineRule="auto"/>
        <w:rPr>
          <w:rFonts w:hint="eastAsia" w:ascii="宋体" w:hAnsi="宋体" w:cs="宋体"/>
        </w:rPr>
      </w:pPr>
    </w:p>
    <w:p w14:paraId="0ED2D215">
      <w:pPr>
        <w:pStyle w:val="14"/>
        <w:spacing w:line="240" w:lineRule="auto"/>
        <w:rPr>
          <w:rFonts w:hint="eastAsia" w:ascii="宋体" w:hAnsi="宋体" w:cs="宋体"/>
        </w:rPr>
      </w:pPr>
    </w:p>
    <w:p w14:paraId="48D22F18">
      <w:pPr>
        <w:pStyle w:val="14"/>
        <w:spacing w:line="240" w:lineRule="auto"/>
        <w:rPr>
          <w:rFonts w:hint="eastAsia" w:ascii="宋体" w:hAnsi="宋体" w:cs="宋体"/>
        </w:rPr>
      </w:pPr>
    </w:p>
    <w:p w14:paraId="42657FCA">
      <w:pPr>
        <w:pStyle w:val="14"/>
        <w:spacing w:before="2" w:line="240" w:lineRule="auto"/>
        <w:rPr>
          <w:rFonts w:hint="eastAsia" w:ascii="宋体" w:hAnsi="宋体" w:cs="宋体"/>
        </w:rPr>
      </w:pPr>
    </w:p>
    <w:p w14:paraId="4AE43A94">
      <w:pPr>
        <w:ind w:right="165"/>
        <w:jc w:val="center"/>
        <w:outlineLvl w:val="0"/>
        <w:rPr>
          <w:rFonts w:hint="eastAsia" w:ascii="宋体" w:hAnsi="宋体" w:cs="宋体"/>
          <w:b/>
          <w:sz w:val="24"/>
        </w:rPr>
      </w:pPr>
      <w:bookmarkStart w:id="45" w:name="_Toc13737"/>
      <w:bookmarkStart w:id="46" w:name="_Toc21522"/>
      <w:r>
        <w:rPr>
          <w:rFonts w:hint="eastAsia" w:ascii="宋体" w:hAnsi="宋体" w:cs="宋体"/>
          <w:b/>
          <w:sz w:val="24"/>
        </w:rPr>
        <w:t>投标文件</w:t>
      </w:r>
      <w:bookmarkEnd w:id="45"/>
      <w:bookmarkEnd w:id="46"/>
    </w:p>
    <w:p w14:paraId="30A82392">
      <w:pPr>
        <w:spacing w:before="684"/>
        <w:ind w:right="156"/>
        <w:jc w:val="center"/>
        <w:rPr>
          <w:rFonts w:hint="eastAsia" w:ascii="宋体" w:hAnsi="宋体" w:cs="宋体"/>
          <w:b/>
          <w:sz w:val="24"/>
        </w:rPr>
      </w:pPr>
    </w:p>
    <w:p w14:paraId="3D696FC8">
      <w:pPr>
        <w:pStyle w:val="14"/>
        <w:spacing w:before="8" w:line="240" w:lineRule="auto"/>
        <w:rPr>
          <w:rFonts w:hint="eastAsia" w:ascii="宋体" w:hAnsi="宋体" w:cs="宋体"/>
          <w:b/>
        </w:rPr>
      </w:pPr>
    </w:p>
    <w:p w14:paraId="10F21A09">
      <w:pPr>
        <w:pStyle w:val="4"/>
        <w:numPr>
          <w:ilvl w:val="0"/>
          <w:numId w:val="0"/>
        </w:numPr>
        <w:tabs>
          <w:tab w:val="left" w:pos="7306"/>
        </w:tabs>
        <w:spacing w:before="0" w:line="240" w:lineRule="auto"/>
        <w:ind w:left="1389"/>
        <w:jc w:val="both"/>
        <w:rPr>
          <w:rFonts w:hint="eastAsia" w:ascii="宋体" w:hAnsi="宋体" w:cs="宋体"/>
          <w:sz w:val="24"/>
          <w:szCs w:val="24"/>
        </w:rPr>
      </w:pPr>
      <w:r>
        <w:rPr>
          <w:rFonts w:hint="eastAsia" w:ascii="宋体" w:hAnsi="宋体" w:cs="宋体"/>
          <w:sz w:val="24"/>
          <w:szCs w:val="24"/>
        </w:rPr>
        <w:t>招标编号</w:t>
      </w:r>
      <w:r>
        <w:rPr>
          <w:rFonts w:hint="eastAsia" w:ascii="宋体" w:hAnsi="宋体" w:cs="宋体"/>
          <w:spacing w:val="3"/>
          <w:sz w:val="24"/>
          <w:szCs w:val="24"/>
        </w:rPr>
        <w:t>：</w:t>
      </w:r>
    </w:p>
    <w:p w14:paraId="32DD7E99">
      <w:pPr>
        <w:pStyle w:val="4"/>
        <w:numPr>
          <w:ilvl w:val="0"/>
          <w:numId w:val="0"/>
        </w:numPr>
        <w:tabs>
          <w:tab w:val="left" w:pos="8536"/>
        </w:tabs>
        <w:spacing w:before="0" w:line="240" w:lineRule="auto"/>
        <w:ind w:left="1389"/>
        <w:jc w:val="both"/>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pacing w:val="3"/>
          <w:sz w:val="24"/>
          <w:szCs w:val="24"/>
        </w:rPr>
        <w:t>：</w:t>
      </w:r>
    </w:p>
    <w:p w14:paraId="764E7750">
      <w:pPr>
        <w:pStyle w:val="4"/>
        <w:numPr>
          <w:ilvl w:val="0"/>
          <w:numId w:val="0"/>
        </w:numPr>
        <w:tabs>
          <w:tab w:val="left" w:pos="7787"/>
        </w:tabs>
        <w:spacing w:before="0" w:line="240" w:lineRule="auto"/>
        <w:ind w:left="1389"/>
        <w:jc w:val="both"/>
        <w:rPr>
          <w:rFonts w:hint="eastAsia" w:ascii="宋体" w:hAnsi="宋体" w:cs="宋体"/>
          <w:sz w:val="24"/>
          <w:szCs w:val="24"/>
        </w:rPr>
      </w:pPr>
      <w:r>
        <w:rPr>
          <w:rFonts w:hint="eastAsia" w:ascii="宋体" w:hAnsi="宋体" w:cs="宋体"/>
          <w:sz w:val="24"/>
          <w:szCs w:val="24"/>
        </w:rPr>
        <w:t>投标人名称（盖公章）</w:t>
      </w:r>
      <w:r>
        <w:rPr>
          <w:rFonts w:hint="eastAsia" w:ascii="宋体" w:hAnsi="宋体" w:cs="宋体"/>
          <w:spacing w:val="3"/>
          <w:sz w:val="24"/>
          <w:szCs w:val="24"/>
        </w:rPr>
        <w:t>：</w:t>
      </w:r>
    </w:p>
    <w:p w14:paraId="3B44400F">
      <w:pPr>
        <w:pStyle w:val="8"/>
        <w:tabs>
          <w:tab w:val="left" w:pos="9453"/>
        </w:tabs>
        <w:adjustRightInd w:val="0"/>
        <w:snapToGrid w:val="0"/>
        <w:spacing w:before="0" w:line="240" w:lineRule="auto"/>
        <w:ind w:firstLine="723" w:firstLineChars="300"/>
        <w:rPr>
          <w:rFonts w:hint="eastAsia" w:ascii="宋体" w:hAnsi="宋体" w:eastAsia="宋体" w:cs="宋体"/>
          <w:szCs w:val="24"/>
        </w:rPr>
      </w:pPr>
      <w:r>
        <w:rPr>
          <w:rFonts w:hint="eastAsia" w:ascii="宋体" w:hAnsi="宋体" w:eastAsia="宋体" w:cs="宋体"/>
          <w:szCs w:val="24"/>
        </w:rPr>
        <w:t xml:space="preserve">     法定代表人或其授权代表签字（或盖章）：</w:t>
      </w:r>
    </w:p>
    <w:p w14:paraId="445A4D00">
      <w:pPr>
        <w:pStyle w:val="14"/>
        <w:adjustRightInd w:val="0"/>
        <w:snapToGrid w:val="0"/>
        <w:spacing w:line="240" w:lineRule="auto"/>
        <w:rPr>
          <w:rFonts w:hint="eastAsia" w:ascii="宋体" w:hAnsi="宋体" w:cs="宋体"/>
        </w:rPr>
      </w:pPr>
    </w:p>
    <w:p w14:paraId="5748D2C3">
      <w:pPr>
        <w:pStyle w:val="14"/>
        <w:adjustRightInd w:val="0"/>
        <w:snapToGrid w:val="0"/>
        <w:spacing w:line="240" w:lineRule="auto"/>
        <w:rPr>
          <w:rFonts w:hint="eastAsia" w:ascii="宋体" w:hAnsi="宋体" w:cs="宋体"/>
        </w:rPr>
      </w:pPr>
    </w:p>
    <w:p w14:paraId="1FCA73E9">
      <w:pPr>
        <w:pStyle w:val="14"/>
        <w:adjustRightInd w:val="0"/>
        <w:snapToGrid w:val="0"/>
        <w:spacing w:line="240" w:lineRule="auto"/>
        <w:rPr>
          <w:rFonts w:hint="eastAsia" w:ascii="宋体" w:hAnsi="宋体" w:cs="宋体"/>
        </w:rPr>
      </w:pPr>
    </w:p>
    <w:p w14:paraId="34CD68CB">
      <w:pPr>
        <w:pStyle w:val="14"/>
        <w:adjustRightInd w:val="0"/>
        <w:snapToGrid w:val="0"/>
        <w:spacing w:line="240" w:lineRule="auto"/>
        <w:rPr>
          <w:rFonts w:hint="eastAsia" w:ascii="宋体" w:hAnsi="宋体" w:cs="宋体"/>
        </w:rPr>
      </w:pPr>
    </w:p>
    <w:p w14:paraId="473A0199">
      <w:pPr>
        <w:pStyle w:val="22"/>
        <w:adjustRightInd w:val="0"/>
        <w:jc w:val="center"/>
        <w:outlineLvl w:val="0"/>
        <w:rPr>
          <w:rFonts w:hint="eastAsia" w:ascii="宋体" w:hAnsi="宋体" w:cs="宋体"/>
          <w:sz w:val="24"/>
          <w:szCs w:val="24"/>
        </w:rPr>
      </w:pPr>
      <w:bookmarkStart w:id="47" w:name="_Toc20449"/>
      <w:bookmarkStart w:id="48" w:name="_Toc31285"/>
      <w:r>
        <w:rPr>
          <w:rFonts w:hint="eastAsia" w:ascii="宋体" w:hAnsi="宋体" w:cs="宋体"/>
          <w:sz w:val="24"/>
          <w:szCs w:val="24"/>
        </w:rPr>
        <w:t>年   月</w:t>
      </w:r>
      <w:bookmarkEnd w:id="47"/>
      <w:bookmarkEnd w:id="48"/>
    </w:p>
    <w:p w14:paraId="175C19DC">
      <w:pPr>
        <w:pStyle w:val="87"/>
        <w:adjustRightInd w:val="0"/>
        <w:snapToGrid w:val="0"/>
        <w:spacing w:before="0" w:after="0"/>
        <w:ind w:left="5250"/>
        <w:jc w:val="both"/>
        <w:rPr>
          <w:rFonts w:hint="eastAsia" w:ascii="宋体" w:hAnsi="宋体" w:cs="宋体"/>
          <w:b/>
          <w:sz w:val="24"/>
          <w:szCs w:val="24"/>
        </w:rPr>
        <w:sectPr>
          <w:pgSz w:w="11910" w:h="16850"/>
          <w:pgMar w:top="1440" w:right="1800" w:bottom="1440" w:left="1800" w:header="720" w:footer="720" w:gutter="0"/>
          <w:cols w:space="720" w:num="1"/>
        </w:sectPr>
      </w:pPr>
    </w:p>
    <w:p w14:paraId="4358C724">
      <w:pPr>
        <w:spacing w:before="91"/>
        <w:ind w:left="360"/>
        <w:outlineLvl w:val="0"/>
        <w:rPr>
          <w:rFonts w:hint="eastAsia" w:ascii="宋体" w:hAnsi="宋体" w:cs="宋体"/>
          <w:b/>
          <w:sz w:val="24"/>
        </w:rPr>
      </w:pPr>
      <w:bookmarkStart w:id="49" w:name="_Toc31589"/>
      <w:bookmarkStart w:id="50" w:name="_Toc21908"/>
      <w:r>
        <w:rPr>
          <w:rFonts w:hint="eastAsia" w:ascii="宋体" w:hAnsi="宋体" w:cs="宋体"/>
          <w:b/>
          <w:sz w:val="24"/>
        </w:rPr>
        <w:t>投标文件目录及索引</w:t>
      </w:r>
      <w:bookmarkEnd w:id="49"/>
      <w:bookmarkEnd w:id="50"/>
    </w:p>
    <w:p w14:paraId="3FDC8F16">
      <w:pPr>
        <w:pStyle w:val="14"/>
        <w:spacing w:before="9" w:line="240" w:lineRule="auto"/>
        <w:rPr>
          <w:rFonts w:hint="eastAsia" w:ascii="宋体" w:hAnsi="宋体" w:cs="宋体"/>
          <w:b/>
        </w:rPr>
      </w:pPr>
    </w:p>
    <w:tbl>
      <w:tblPr>
        <w:tblStyle w:val="32"/>
        <w:tblW w:w="8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4956"/>
        <w:gridCol w:w="782"/>
        <w:gridCol w:w="1956"/>
      </w:tblGrid>
      <w:tr w14:paraId="5E1A5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0B6A251F">
            <w:pPr>
              <w:pStyle w:val="96"/>
              <w:adjustRightInd w:val="0"/>
              <w:spacing w:before="25"/>
              <w:ind w:left="124"/>
              <w:textAlignment w:val="baseline"/>
              <w:rPr>
                <w:rFonts w:hint="eastAsia" w:ascii="宋体" w:hAnsi="宋体" w:eastAsia="宋体" w:cs="宋体"/>
                <w:b/>
                <w:sz w:val="24"/>
              </w:rPr>
            </w:pPr>
            <w:r>
              <w:rPr>
                <w:rFonts w:hint="eastAsia" w:ascii="宋体" w:hAnsi="宋体" w:eastAsia="宋体" w:cs="宋体"/>
                <w:b/>
                <w:sz w:val="24"/>
              </w:rPr>
              <w:t>序号</w:t>
            </w:r>
          </w:p>
        </w:tc>
        <w:tc>
          <w:tcPr>
            <w:tcW w:w="4956" w:type="dxa"/>
          </w:tcPr>
          <w:p w14:paraId="021EDFD8">
            <w:pPr>
              <w:pStyle w:val="96"/>
              <w:adjustRightInd w:val="0"/>
              <w:spacing w:before="25"/>
              <w:ind w:right="116"/>
              <w:jc w:val="center"/>
              <w:textAlignment w:val="baseline"/>
              <w:rPr>
                <w:rFonts w:hint="eastAsia" w:ascii="宋体" w:hAnsi="宋体" w:eastAsia="宋体" w:cs="宋体"/>
                <w:b/>
                <w:sz w:val="24"/>
              </w:rPr>
            </w:pPr>
            <w:r>
              <w:rPr>
                <w:rFonts w:hint="eastAsia" w:ascii="宋体" w:hAnsi="宋体" w:eastAsia="宋体" w:cs="宋体"/>
                <w:b/>
                <w:sz w:val="24"/>
              </w:rPr>
              <w:t>文件名称</w:t>
            </w:r>
          </w:p>
        </w:tc>
        <w:tc>
          <w:tcPr>
            <w:tcW w:w="782" w:type="dxa"/>
          </w:tcPr>
          <w:p w14:paraId="757E232E">
            <w:pPr>
              <w:pStyle w:val="96"/>
              <w:adjustRightInd w:val="0"/>
              <w:spacing w:before="25"/>
              <w:ind w:left="213"/>
              <w:textAlignment w:val="baseline"/>
              <w:rPr>
                <w:rFonts w:hint="eastAsia" w:ascii="宋体" w:hAnsi="宋体" w:eastAsia="宋体" w:cs="宋体"/>
                <w:b/>
                <w:sz w:val="24"/>
              </w:rPr>
            </w:pPr>
            <w:r>
              <w:rPr>
                <w:rFonts w:hint="eastAsia" w:ascii="宋体" w:hAnsi="宋体" w:eastAsia="宋体" w:cs="宋体"/>
                <w:b/>
                <w:sz w:val="24"/>
              </w:rPr>
              <w:t>页码</w:t>
            </w:r>
          </w:p>
        </w:tc>
        <w:tc>
          <w:tcPr>
            <w:tcW w:w="1956" w:type="dxa"/>
          </w:tcPr>
          <w:p w14:paraId="03188105">
            <w:pPr>
              <w:pStyle w:val="96"/>
              <w:adjustRightInd w:val="0"/>
              <w:spacing w:before="25"/>
              <w:jc w:val="center"/>
              <w:textAlignment w:val="baseline"/>
              <w:rPr>
                <w:rFonts w:hint="eastAsia" w:ascii="宋体" w:hAnsi="宋体" w:eastAsia="宋体" w:cs="宋体"/>
                <w:b/>
                <w:sz w:val="24"/>
              </w:rPr>
            </w:pPr>
            <w:r>
              <w:rPr>
                <w:rFonts w:hint="eastAsia" w:ascii="宋体" w:hAnsi="宋体" w:eastAsia="宋体" w:cs="宋体"/>
                <w:b/>
                <w:sz w:val="24"/>
              </w:rPr>
              <w:t>该文件总页数</w:t>
            </w:r>
          </w:p>
        </w:tc>
      </w:tr>
      <w:tr w14:paraId="65ED9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Pr>
          <w:p w14:paraId="338F9306">
            <w:pPr>
              <w:pStyle w:val="96"/>
              <w:adjustRightInd w:val="0"/>
              <w:textAlignment w:val="baseline"/>
              <w:rPr>
                <w:rFonts w:hint="eastAsia" w:ascii="宋体" w:hAnsi="宋体" w:eastAsia="宋体" w:cs="宋体"/>
                <w:sz w:val="24"/>
              </w:rPr>
            </w:pPr>
          </w:p>
        </w:tc>
        <w:tc>
          <w:tcPr>
            <w:tcW w:w="4956" w:type="dxa"/>
          </w:tcPr>
          <w:p w14:paraId="26081BB5">
            <w:pPr>
              <w:pStyle w:val="96"/>
              <w:adjustRightInd w:val="0"/>
              <w:textAlignment w:val="baseline"/>
              <w:rPr>
                <w:rFonts w:hint="eastAsia" w:ascii="宋体" w:hAnsi="宋体" w:eastAsia="宋体" w:cs="宋体"/>
                <w:sz w:val="24"/>
              </w:rPr>
            </w:pPr>
          </w:p>
        </w:tc>
        <w:tc>
          <w:tcPr>
            <w:tcW w:w="782" w:type="dxa"/>
          </w:tcPr>
          <w:p w14:paraId="201BB005">
            <w:pPr>
              <w:pStyle w:val="96"/>
              <w:adjustRightInd w:val="0"/>
              <w:textAlignment w:val="baseline"/>
              <w:rPr>
                <w:rFonts w:hint="eastAsia" w:ascii="宋体" w:hAnsi="宋体" w:eastAsia="宋体" w:cs="宋体"/>
                <w:sz w:val="24"/>
              </w:rPr>
            </w:pPr>
          </w:p>
        </w:tc>
        <w:tc>
          <w:tcPr>
            <w:tcW w:w="1956" w:type="dxa"/>
          </w:tcPr>
          <w:p w14:paraId="613C6B4F">
            <w:pPr>
              <w:pStyle w:val="96"/>
              <w:adjustRightInd w:val="0"/>
              <w:textAlignment w:val="baseline"/>
              <w:rPr>
                <w:rFonts w:hint="eastAsia" w:ascii="宋体" w:hAnsi="宋体" w:eastAsia="宋体" w:cs="宋体"/>
                <w:sz w:val="24"/>
              </w:rPr>
            </w:pPr>
          </w:p>
        </w:tc>
      </w:tr>
      <w:tr w14:paraId="0708F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66F0240F">
            <w:pPr>
              <w:pStyle w:val="96"/>
              <w:adjustRightInd w:val="0"/>
              <w:textAlignment w:val="baseline"/>
              <w:rPr>
                <w:rFonts w:hint="eastAsia" w:ascii="宋体" w:hAnsi="宋体" w:eastAsia="宋体" w:cs="宋体"/>
                <w:sz w:val="24"/>
              </w:rPr>
            </w:pPr>
          </w:p>
        </w:tc>
        <w:tc>
          <w:tcPr>
            <w:tcW w:w="4956" w:type="dxa"/>
          </w:tcPr>
          <w:p w14:paraId="25A449C3">
            <w:pPr>
              <w:pStyle w:val="96"/>
              <w:adjustRightInd w:val="0"/>
              <w:textAlignment w:val="baseline"/>
              <w:rPr>
                <w:rFonts w:hint="eastAsia" w:ascii="宋体" w:hAnsi="宋体" w:eastAsia="宋体" w:cs="宋体"/>
                <w:sz w:val="24"/>
              </w:rPr>
            </w:pPr>
          </w:p>
        </w:tc>
        <w:tc>
          <w:tcPr>
            <w:tcW w:w="782" w:type="dxa"/>
          </w:tcPr>
          <w:p w14:paraId="2AAE906A">
            <w:pPr>
              <w:pStyle w:val="96"/>
              <w:adjustRightInd w:val="0"/>
              <w:textAlignment w:val="baseline"/>
              <w:rPr>
                <w:rFonts w:hint="eastAsia" w:ascii="宋体" w:hAnsi="宋体" w:eastAsia="宋体" w:cs="宋体"/>
                <w:sz w:val="24"/>
              </w:rPr>
            </w:pPr>
          </w:p>
        </w:tc>
        <w:tc>
          <w:tcPr>
            <w:tcW w:w="1956" w:type="dxa"/>
          </w:tcPr>
          <w:p w14:paraId="05E6EC6E">
            <w:pPr>
              <w:pStyle w:val="96"/>
              <w:adjustRightInd w:val="0"/>
              <w:textAlignment w:val="baseline"/>
              <w:rPr>
                <w:rFonts w:hint="eastAsia" w:ascii="宋体" w:hAnsi="宋体" w:eastAsia="宋体" w:cs="宋体"/>
                <w:sz w:val="24"/>
              </w:rPr>
            </w:pPr>
          </w:p>
        </w:tc>
      </w:tr>
      <w:tr w14:paraId="5BAD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9" w:type="dxa"/>
          </w:tcPr>
          <w:p w14:paraId="7E95BE54">
            <w:pPr>
              <w:pStyle w:val="96"/>
              <w:adjustRightInd w:val="0"/>
              <w:textAlignment w:val="baseline"/>
              <w:rPr>
                <w:rFonts w:hint="eastAsia" w:ascii="宋体" w:hAnsi="宋体" w:eastAsia="宋体" w:cs="宋体"/>
                <w:sz w:val="24"/>
              </w:rPr>
            </w:pPr>
          </w:p>
        </w:tc>
        <w:tc>
          <w:tcPr>
            <w:tcW w:w="4956" w:type="dxa"/>
          </w:tcPr>
          <w:p w14:paraId="51B38AF6">
            <w:pPr>
              <w:pStyle w:val="96"/>
              <w:adjustRightInd w:val="0"/>
              <w:textAlignment w:val="baseline"/>
              <w:rPr>
                <w:rFonts w:hint="eastAsia" w:ascii="宋体" w:hAnsi="宋体" w:eastAsia="宋体" w:cs="宋体"/>
                <w:sz w:val="24"/>
              </w:rPr>
            </w:pPr>
          </w:p>
        </w:tc>
        <w:tc>
          <w:tcPr>
            <w:tcW w:w="782" w:type="dxa"/>
          </w:tcPr>
          <w:p w14:paraId="6FE6CF50">
            <w:pPr>
              <w:pStyle w:val="96"/>
              <w:adjustRightInd w:val="0"/>
              <w:textAlignment w:val="baseline"/>
              <w:rPr>
                <w:rFonts w:hint="eastAsia" w:ascii="宋体" w:hAnsi="宋体" w:eastAsia="宋体" w:cs="宋体"/>
                <w:sz w:val="24"/>
              </w:rPr>
            </w:pPr>
          </w:p>
        </w:tc>
        <w:tc>
          <w:tcPr>
            <w:tcW w:w="1956" w:type="dxa"/>
          </w:tcPr>
          <w:p w14:paraId="04AC2900">
            <w:pPr>
              <w:pStyle w:val="96"/>
              <w:adjustRightInd w:val="0"/>
              <w:textAlignment w:val="baseline"/>
              <w:rPr>
                <w:rFonts w:hint="eastAsia" w:ascii="宋体" w:hAnsi="宋体" w:eastAsia="宋体" w:cs="宋体"/>
                <w:sz w:val="24"/>
              </w:rPr>
            </w:pPr>
          </w:p>
        </w:tc>
      </w:tr>
      <w:tr w14:paraId="391EB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2EBC469D">
            <w:pPr>
              <w:pStyle w:val="96"/>
              <w:adjustRightInd w:val="0"/>
              <w:textAlignment w:val="baseline"/>
              <w:rPr>
                <w:rFonts w:hint="eastAsia" w:ascii="宋体" w:hAnsi="宋体" w:eastAsia="宋体" w:cs="宋体"/>
                <w:sz w:val="24"/>
              </w:rPr>
            </w:pPr>
          </w:p>
        </w:tc>
        <w:tc>
          <w:tcPr>
            <w:tcW w:w="4956" w:type="dxa"/>
          </w:tcPr>
          <w:p w14:paraId="07EDBD0C">
            <w:pPr>
              <w:pStyle w:val="96"/>
              <w:adjustRightInd w:val="0"/>
              <w:textAlignment w:val="baseline"/>
              <w:rPr>
                <w:rFonts w:hint="eastAsia" w:ascii="宋体" w:hAnsi="宋体" w:eastAsia="宋体" w:cs="宋体"/>
                <w:sz w:val="24"/>
              </w:rPr>
            </w:pPr>
          </w:p>
        </w:tc>
        <w:tc>
          <w:tcPr>
            <w:tcW w:w="782" w:type="dxa"/>
          </w:tcPr>
          <w:p w14:paraId="467A17D4">
            <w:pPr>
              <w:pStyle w:val="96"/>
              <w:adjustRightInd w:val="0"/>
              <w:textAlignment w:val="baseline"/>
              <w:rPr>
                <w:rFonts w:hint="eastAsia" w:ascii="宋体" w:hAnsi="宋体" w:eastAsia="宋体" w:cs="宋体"/>
                <w:sz w:val="24"/>
              </w:rPr>
            </w:pPr>
          </w:p>
        </w:tc>
        <w:tc>
          <w:tcPr>
            <w:tcW w:w="1956" w:type="dxa"/>
          </w:tcPr>
          <w:p w14:paraId="54F0E8C5">
            <w:pPr>
              <w:pStyle w:val="96"/>
              <w:adjustRightInd w:val="0"/>
              <w:textAlignment w:val="baseline"/>
              <w:rPr>
                <w:rFonts w:hint="eastAsia" w:ascii="宋体" w:hAnsi="宋体" w:eastAsia="宋体" w:cs="宋体"/>
                <w:sz w:val="24"/>
              </w:rPr>
            </w:pPr>
          </w:p>
        </w:tc>
      </w:tr>
      <w:tr w14:paraId="76A93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Pr>
          <w:p w14:paraId="6A2E19C0">
            <w:pPr>
              <w:pStyle w:val="96"/>
              <w:adjustRightInd w:val="0"/>
              <w:textAlignment w:val="baseline"/>
              <w:rPr>
                <w:rFonts w:hint="eastAsia" w:ascii="宋体" w:hAnsi="宋体" w:eastAsia="宋体" w:cs="宋体"/>
                <w:sz w:val="24"/>
              </w:rPr>
            </w:pPr>
          </w:p>
        </w:tc>
        <w:tc>
          <w:tcPr>
            <w:tcW w:w="4956" w:type="dxa"/>
          </w:tcPr>
          <w:p w14:paraId="059EC6A7">
            <w:pPr>
              <w:pStyle w:val="96"/>
              <w:adjustRightInd w:val="0"/>
              <w:textAlignment w:val="baseline"/>
              <w:rPr>
                <w:rFonts w:hint="eastAsia" w:ascii="宋体" w:hAnsi="宋体" w:eastAsia="宋体" w:cs="宋体"/>
                <w:sz w:val="24"/>
              </w:rPr>
            </w:pPr>
          </w:p>
        </w:tc>
        <w:tc>
          <w:tcPr>
            <w:tcW w:w="782" w:type="dxa"/>
          </w:tcPr>
          <w:p w14:paraId="3737975C">
            <w:pPr>
              <w:pStyle w:val="96"/>
              <w:adjustRightInd w:val="0"/>
              <w:textAlignment w:val="baseline"/>
              <w:rPr>
                <w:rFonts w:hint="eastAsia" w:ascii="宋体" w:hAnsi="宋体" w:eastAsia="宋体" w:cs="宋体"/>
                <w:sz w:val="24"/>
              </w:rPr>
            </w:pPr>
          </w:p>
        </w:tc>
        <w:tc>
          <w:tcPr>
            <w:tcW w:w="1956" w:type="dxa"/>
          </w:tcPr>
          <w:p w14:paraId="6AB68214">
            <w:pPr>
              <w:pStyle w:val="96"/>
              <w:adjustRightInd w:val="0"/>
              <w:textAlignment w:val="baseline"/>
              <w:rPr>
                <w:rFonts w:hint="eastAsia" w:ascii="宋体" w:hAnsi="宋体" w:eastAsia="宋体" w:cs="宋体"/>
                <w:sz w:val="24"/>
              </w:rPr>
            </w:pPr>
          </w:p>
        </w:tc>
      </w:tr>
      <w:tr w14:paraId="602D1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Pr>
          <w:p w14:paraId="55593EE7">
            <w:pPr>
              <w:pStyle w:val="96"/>
              <w:adjustRightInd w:val="0"/>
              <w:textAlignment w:val="baseline"/>
              <w:rPr>
                <w:rFonts w:hint="eastAsia" w:ascii="宋体" w:hAnsi="宋体" w:eastAsia="宋体" w:cs="宋体"/>
                <w:sz w:val="24"/>
              </w:rPr>
            </w:pPr>
          </w:p>
        </w:tc>
        <w:tc>
          <w:tcPr>
            <w:tcW w:w="4956" w:type="dxa"/>
          </w:tcPr>
          <w:p w14:paraId="5BCF0540">
            <w:pPr>
              <w:pStyle w:val="96"/>
              <w:adjustRightInd w:val="0"/>
              <w:textAlignment w:val="baseline"/>
              <w:rPr>
                <w:rFonts w:hint="eastAsia" w:ascii="宋体" w:hAnsi="宋体" w:eastAsia="宋体" w:cs="宋体"/>
                <w:sz w:val="24"/>
              </w:rPr>
            </w:pPr>
          </w:p>
        </w:tc>
        <w:tc>
          <w:tcPr>
            <w:tcW w:w="782" w:type="dxa"/>
          </w:tcPr>
          <w:p w14:paraId="30094038">
            <w:pPr>
              <w:pStyle w:val="96"/>
              <w:adjustRightInd w:val="0"/>
              <w:textAlignment w:val="baseline"/>
              <w:rPr>
                <w:rFonts w:hint="eastAsia" w:ascii="宋体" w:hAnsi="宋体" w:eastAsia="宋体" w:cs="宋体"/>
                <w:sz w:val="24"/>
              </w:rPr>
            </w:pPr>
          </w:p>
        </w:tc>
        <w:tc>
          <w:tcPr>
            <w:tcW w:w="1956" w:type="dxa"/>
          </w:tcPr>
          <w:p w14:paraId="6DF16142">
            <w:pPr>
              <w:pStyle w:val="96"/>
              <w:adjustRightInd w:val="0"/>
              <w:textAlignment w:val="baseline"/>
              <w:rPr>
                <w:rFonts w:hint="eastAsia" w:ascii="宋体" w:hAnsi="宋体" w:eastAsia="宋体" w:cs="宋体"/>
                <w:sz w:val="24"/>
              </w:rPr>
            </w:pPr>
          </w:p>
        </w:tc>
      </w:tr>
      <w:tr w14:paraId="0C0FC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9" w:type="dxa"/>
          </w:tcPr>
          <w:p w14:paraId="3C7EA8FB">
            <w:pPr>
              <w:pStyle w:val="96"/>
              <w:adjustRightInd w:val="0"/>
              <w:textAlignment w:val="baseline"/>
              <w:rPr>
                <w:rFonts w:hint="eastAsia" w:ascii="宋体" w:hAnsi="宋体" w:eastAsia="宋体" w:cs="宋体"/>
                <w:sz w:val="24"/>
              </w:rPr>
            </w:pPr>
          </w:p>
        </w:tc>
        <w:tc>
          <w:tcPr>
            <w:tcW w:w="4956" w:type="dxa"/>
          </w:tcPr>
          <w:p w14:paraId="62257C40">
            <w:pPr>
              <w:pStyle w:val="96"/>
              <w:adjustRightInd w:val="0"/>
              <w:textAlignment w:val="baseline"/>
              <w:rPr>
                <w:rFonts w:hint="eastAsia" w:ascii="宋体" w:hAnsi="宋体" w:eastAsia="宋体" w:cs="宋体"/>
                <w:sz w:val="24"/>
              </w:rPr>
            </w:pPr>
          </w:p>
        </w:tc>
        <w:tc>
          <w:tcPr>
            <w:tcW w:w="782" w:type="dxa"/>
          </w:tcPr>
          <w:p w14:paraId="531C7FA3">
            <w:pPr>
              <w:pStyle w:val="96"/>
              <w:adjustRightInd w:val="0"/>
              <w:textAlignment w:val="baseline"/>
              <w:rPr>
                <w:rFonts w:hint="eastAsia" w:ascii="宋体" w:hAnsi="宋体" w:eastAsia="宋体" w:cs="宋体"/>
                <w:sz w:val="24"/>
              </w:rPr>
            </w:pPr>
          </w:p>
        </w:tc>
        <w:tc>
          <w:tcPr>
            <w:tcW w:w="1956" w:type="dxa"/>
          </w:tcPr>
          <w:p w14:paraId="075968A2">
            <w:pPr>
              <w:pStyle w:val="96"/>
              <w:adjustRightInd w:val="0"/>
              <w:textAlignment w:val="baseline"/>
              <w:rPr>
                <w:rFonts w:hint="eastAsia" w:ascii="宋体" w:hAnsi="宋体" w:eastAsia="宋体" w:cs="宋体"/>
                <w:sz w:val="24"/>
              </w:rPr>
            </w:pPr>
          </w:p>
        </w:tc>
      </w:tr>
      <w:tr w14:paraId="2875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Pr>
          <w:p w14:paraId="558D4BF1">
            <w:pPr>
              <w:pStyle w:val="96"/>
              <w:adjustRightInd w:val="0"/>
              <w:textAlignment w:val="baseline"/>
              <w:rPr>
                <w:rFonts w:hint="eastAsia" w:ascii="宋体" w:hAnsi="宋体" w:eastAsia="宋体" w:cs="宋体"/>
                <w:sz w:val="24"/>
              </w:rPr>
            </w:pPr>
          </w:p>
        </w:tc>
        <w:tc>
          <w:tcPr>
            <w:tcW w:w="4956" w:type="dxa"/>
          </w:tcPr>
          <w:p w14:paraId="28A74A06">
            <w:pPr>
              <w:pStyle w:val="96"/>
              <w:adjustRightInd w:val="0"/>
              <w:textAlignment w:val="baseline"/>
              <w:rPr>
                <w:rFonts w:hint="eastAsia" w:ascii="宋体" w:hAnsi="宋体" w:eastAsia="宋体" w:cs="宋体"/>
                <w:sz w:val="24"/>
              </w:rPr>
            </w:pPr>
          </w:p>
        </w:tc>
        <w:tc>
          <w:tcPr>
            <w:tcW w:w="782" w:type="dxa"/>
          </w:tcPr>
          <w:p w14:paraId="34CF8A1E">
            <w:pPr>
              <w:pStyle w:val="96"/>
              <w:adjustRightInd w:val="0"/>
              <w:textAlignment w:val="baseline"/>
              <w:rPr>
                <w:rFonts w:hint="eastAsia" w:ascii="宋体" w:hAnsi="宋体" w:eastAsia="宋体" w:cs="宋体"/>
                <w:sz w:val="24"/>
              </w:rPr>
            </w:pPr>
          </w:p>
        </w:tc>
        <w:tc>
          <w:tcPr>
            <w:tcW w:w="1956" w:type="dxa"/>
          </w:tcPr>
          <w:p w14:paraId="18F274BF">
            <w:pPr>
              <w:pStyle w:val="96"/>
              <w:adjustRightInd w:val="0"/>
              <w:textAlignment w:val="baseline"/>
              <w:rPr>
                <w:rFonts w:hint="eastAsia" w:ascii="宋体" w:hAnsi="宋体" w:eastAsia="宋体" w:cs="宋体"/>
                <w:sz w:val="24"/>
              </w:rPr>
            </w:pPr>
          </w:p>
        </w:tc>
      </w:tr>
      <w:tr w14:paraId="08EF8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3ED65D04">
            <w:pPr>
              <w:pStyle w:val="96"/>
              <w:adjustRightInd w:val="0"/>
              <w:textAlignment w:val="baseline"/>
              <w:rPr>
                <w:rFonts w:hint="eastAsia" w:ascii="宋体" w:hAnsi="宋体" w:eastAsia="宋体" w:cs="宋体"/>
                <w:sz w:val="24"/>
              </w:rPr>
            </w:pPr>
          </w:p>
        </w:tc>
        <w:tc>
          <w:tcPr>
            <w:tcW w:w="4956" w:type="dxa"/>
          </w:tcPr>
          <w:p w14:paraId="40BB3912">
            <w:pPr>
              <w:pStyle w:val="96"/>
              <w:adjustRightInd w:val="0"/>
              <w:textAlignment w:val="baseline"/>
              <w:rPr>
                <w:rFonts w:hint="eastAsia" w:ascii="宋体" w:hAnsi="宋体" w:eastAsia="宋体" w:cs="宋体"/>
                <w:sz w:val="24"/>
              </w:rPr>
            </w:pPr>
          </w:p>
        </w:tc>
        <w:tc>
          <w:tcPr>
            <w:tcW w:w="782" w:type="dxa"/>
          </w:tcPr>
          <w:p w14:paraId="6989407A">
            <w:pPr>
              <w:pStyle w:val="96"/>
              <w:adjustRightInd w:val="0"/>
              <w:textAlignment w:val="baseline"/>
              <w:rPr>
                <w:rFonts w:hint="eastAsia" w:ascii="宋体" w:hAnsi="宋体" w:eastAsia="宋体" w:cs="宋体"/>
                <w:sz w:val="24"/>
              </w:rPr>
            </w:pPr>
          </w:p>
        </w:tc>
        <w:tc>
          <w:tcPr>
            <w:tcW w:w="1956" w:type="dxa"/>
          </w:tcPr>
          <w:p w14:paraId="517B7976">
            <w:pPr>
              <w:pStyle w:val="96"/>
              <w:adjustRightInd w:val="0"/>
              <w:textAlignment w:val="baseline"/>
              <w:rPr>
                <w:rFonts w:hint="eastAsia" w:ascii="宋体" w:hAnsi="宋体" w:eastAsia="宋体" w:cs="宋体"/>
                <w:sz w:val="24"/>
              </w:rPr>
            </w:pPr>
          </w:p>
        </w:tc>
      </w:tr>
      <w:tr w14:paraId="12235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Pr>
          <w:p w14:paraId="684E880F">
            <w:pPr>
              <w:pStyle w:val="96"/>
              <w:adjustRightInd w:val="0"/>
              <w:textAlignment w:val="baseline"/>
              <w:rPr>
                <w:rFonts w:hint="eastAsia" w:ascii="宋体" w:hAnsi="宋体" w:eastAsia="宋体" w:cs="宋体"/>
                <w:sz w:val="24"/>
              </w:rPr>
            </w:pPr>
          </w:p>
        </w:tc>
        <w:tc>
          <w:tcPr>
            <w:tcW w:w="4956" w:type="dxa"/>
          </w:tcPr>
          <w:p w14:paraId="27C69D77">
            <w:pPr>
              <w:pStyle w:val="96"/>
              <w:adjustRightInd w:val="0"/>
              <w:textAlignment w:val="baseline"/>
              <w:rPr>
                <w:rFonts w:hint="eastAsia" w:ascii="宋体" w:hAnsi="宋体" w:eastAsia="宋体" w:cs="宋体"/>
                <w:sz w:val="24"/>
              </w:rPr>
            </w:pPr>
          </w:p>
        </w:tc>
        <w:tc>
          <w:tcPr>
            <w:tcW w:w="782" w:type="dxa"/>
          </w:tcPr>
          <w:p w14:paraId="099394EF">
            <w:pPr>
              <w:pStyle w:val="96"/>
              <w:adjustRightInd w:val="0"/>
              <w:textAlignment w:val="baseline"/>
              <w:rPr>
                <w:rFonts w:hint="eastAsia" w:ascii="宋体" w:hAnsi="宋体" w:eastAsia="宋体" w:cs="宋体"/>
                <w:sz w:val="24"/>
              </w:rPr>
            </w:pPr>
          </w:p>
        </w:tc>
        <w:tc>
          <w:tcPr>
            <w:tcW w:w="1956" w:type="dxa"/>
          </w:tcPr>
          <w:p w14:paraId="7DC538DC">
            <w:pPr>
              <w:pStyle w:val="96"/>
              <w:adjustRightInd w:val="0"/>
              <w:textAlignment w:val="baseline"/>
              <w:rPr>
                <w:rFonts w:hint="eastAsia" w:ascii="宋体" w:hAnsi="宋体" w:eastAsia="宋体" w:cs="宋体"/>
                <w:sz w:val="24"/>
              </w:rPr>
            </w:pPr>
          </w:p>
        </w:tc>
      </w:tr>
      <w:tr w14:paraId="7CB3B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9" w:type="dxa"/>
          </w:tcPr>
          <w:p w14:paraId="71E4F4DA">
            <w:pPr>
              <w:pStyle w:val="96"/>
              <w:adjustRightInd w:val="0"/>
              <w:textAlignment w:val="baseline"/>
              <w:rPr>
                <w:rFonts w:hint="eastAsia" w:ascii="宋体" w:hAnsi="宋体" w:eastAsia="宋体" w:cs="宋体"/>
                <w:sz w:val="24"/>
              </w:rPr>
            </w:pPr>
          </w:p>
        </w:tc>
        <w:tc>
          <w:tcPr>
            <w:tcW w:w="4956" w:type="dxa"/>
          </w:tcPr>
          <w:p w14:paraId="77924355">
            <w:pPr>
              <w:pStyle w:val="96"/>
              <w:adjustRightInd w:val="0"/>
              <w:textAlignment w:val="baseline"/>
              <w:rPr>
                <w:rFonts w:hint="eastAsia" w:ascii="宋体" w:hAnsi="宋体" w:eastAsia="宋体" w:cs="宋体"/>
                <w:sz w:val="24"/>
              </w:rPr>
            </w:pPr>
          </w:p>
        </w:tc>
        <w:tc>
          <w:tcPr>
            <w:tcW w:w="782" w:type="dxa"/>
          </w:tcPr>
          <w:p w14:paraId="412E02B3">
            <w:pPr>
              <w:pStyle w:val="96"/>
              <w:adjustRightInd w:val="0"/>
              <w:textAlignment w:val="baseline"/>
              <w:rPr>
                <w:rFonts w:hint="eastAsia" w:ascii="宋体" w:hAnsi="宋体" w:eastAsia="宋体" w:cs="宋体"/>
                <w:sz w:val="24"/>
              </w:rPr>
            </w:pPr>
          </w:p>
        </w:tc>
        <w:tc>
          <w:tcPr>
            <w:tcW w:w="1956" w:type="dxa"/>
          </w:tcPr>
          <w:p w14:paraId="1D2A5962">
            <w:pPr>
              <w:pStyle w:val="96"/>
              <w:adjustRightInd w:val="0"/>
              <w:textAlignment w:val="baseline"/>
              <w:rPr>
                <w:rFonts w:hint="eastAsia" w:ascii="宋体" w:hAnsi="宋体" w:eastAsia="宋体" w:cs="宋体"/>
                <w:sz w:val="24"/>
              </w:rPr>
            </w:pPr>
          </w:p>
        </w:tc>
      </w:tr>
      <w:tr w14:paraId="4A96A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Pr>
          <w:p w14:paraId="1630C2DD">
            <w:pPr>
              <w:pStyle w:val="96"/>
              <w:adjustRightInd w:val="0"/>
              <w:textAlignment w:val="baseline"/>
              <w:rPr>
                <w:rFonts w:hint="eastAsia" w:ascii="宋体" w:hAnsi="宋体" w:eastAsia="宋体" w:cs="宋体"/>
                <w:sz w:val="24"/>
              </w:rPr>
            </w:pPr>
          </w:p>
        </w:tc>
        <w:tc>
          <w:tcPr>
            <w:tcW w:w="4956" w:type="dxa"/>
          </w:tcPr>
          <w:p w14:paraId="67B04983">
            <w:pPr>
              <w:pStyle w:val="96"/>
              <w:adjustRightInd w:val="0"/>
              <w:textAlignment w:val="baseline"/>
              <w:rPr>
                <w:rFonts w:hint="eastAsia" w:ascii="宋体" w:hAnsi="宋体" w:eastAsia="宋体" w:cs="宋体"/>
                <w:sz w:val="24"/>
              </w:rPr>
            </w:pPr>
          </w:p>
        </w:tc>
        <w:tc>
          <w:tcPr>
            <w:tcW w:w="782" w:type="dxa"/>
          </w:tcPr>
          <w:p w14:paraId="71010D64">
            <w:pPr>
              <w:pStyle w:val="96"/>
              <w:adjustRightInd w:val="0"/>
              <w:textAlignment w:val="baseline"/>
              <w:rPr>
                <w:rFonts w:hint="eastAsia" w:ascii="宋体" w:hAnsi="宋体" w:eastAsia="宋体" w:cs="宋体"/>
                <w:sz w:val="24"/>
              </w:rPr>
            </w:pPr>
          </w:p>
        </w:tc>
        <w:tc>
          <w:tcPr>
            <w:tcW w:w="1956" w:type="dxa"/>
          </w:tcPr>
          <w:p w14:paraId="506B9742">
            <w:pPr>
              <w:pStyle w:val="96"/>
              <w:adjustRightInd w:val="0"/>
              <w:textAlignment w:val="baseline"/>
              <w:rPr>
                <w:rFonts w:hint="eastAsia" w:ascii="宋体" w:hAnsi="宋体" w:eastAsia="宋体" w:cs="宋体"/>
                <w:sz w:val="24"/>
              </w:rPr>
            </w:pPr>
          </w:p>
        </w:tc>
      </w:tr>
      <w:tr w14:paraId="45254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Pr>
          <w:p w14:paraId="10C740B3">
            <w:pPr>
              <w:pStyle w:val="96"/>
              <w:adjustRightInd w:val="0"/>
              <w:textAlignment w:val="baseline"/>
              <w:rPr>
                <w:rFonts w:hint="eastAsia" w:ascii="宋体" w:hAnsi="宋体" w:eastAsia="宋体" w:cs="宋体"/>
                <w:sz w:val="24"/>
              </w:rPr>
            </w:pPr>
          </w:p>
        </w:tc>
        <w:tc>
          <w:tcPr>
            <w:tcW w:w="4956" w:type="dxa"/>
          </w:tcPr>
          <w:p w14:paraId="4709DF3B">
            <w:pPr>
              <w:pStyle w:val="96"/>
              <w:adjustRightInd w:val="0"/>
              <w:textAlignment w:val="baseline"/>
              <w:rPr>
                <w:rFonts w:hint="eastAsia" w:ascii="宋体" w:hAnsi="宋体" w:eastAsia="宋体" w:cs="宋体"/>
                <w:sz w:val="24"/>
              </w:rPr>
            </w:pPr>
          </w:p>
        </w:tc>
        <w:tc>
          <w:tcPr>
            <w:tcW w:w="782" w:type="dxa"/>
          </w:tcPr>
          <w:p w14:paraId="60C5A9DB">
            <w:pPr>
              <w:pStyle w:val="96"/>
              <w:adjustRightInd w:val="0"/>
              <w:textAlignment w:val="baseline"/>
              <w:rPr>
                <w:rFonts w:hint="eastAsia" w:ascii="宋体" w:hAnsi="宋体" w:eastAsia="宋体" w:cs="宋体"/>
                <w:sz w:val="24"/>
              </w:rPr>
            </w:pPr>
          </w:p>
        </w:tc>
        <w:tc>
          <w:tcPr>
            <w:tcW w:w="1956" w:type="dxa"/>
          </w:tcPr>
          <w:p w14:paraId="1A122515">
            <w:pPr>
              <w:pStyle w:val="96"/>
              <w:adjustRightInd w:val="0"/>
              <w:textAlignment w:val="baseline"/>
              <w:rPr>
                <w:rFonts w:hint="eastAsia" w:ascii="宋体" w:hAnsi="宋体" w:eastAsia="宋体" w:cs="宋体"/>
                <w:sz w:val="24"/>
              </w:rPr>
            </w:pPr>
          </w:p>
        </w:tc>
      </w:tr>
      <w:tr w14:paraId="6446A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4222E4C8">
            <w:pPr>
              <w:pStyle w:val="96"/>
              <w:adjustRightInd w:val="0"/>
              <w:textAlignment w:val="baseline"/>
              <w:rPr>
                <w:rFonts w:hint="eastAsia" w:ascii="宋体" w:hAnsi="宋体" w:eastAsia="宋体" w:cs="宋体"/>
                <w:sz w:val="24"/>
              </w:rPr>
            </w:pPr>
          </w:p>
        </w:tc>
        <w:tc>
          <w:tcPr>
            <w:tcW w:w="4956" w:type="dxa"/>
          </w:tcPr>
          <w:p w14:paraId="4FAFB58E">
            <w:pPr>
              <w:pStyle w:val="96"/>
              <w:adjustRightInd w:val="0"/>
              <w:textAlignment w:val="baseline"/>
              <w:rPr>
                <w:rFonts w:hint="eastAsia" w:ascii="宋体" w:hAnsi="宋体" w:eastAsia="宋体" w:cs="宋体"/>
                <w:sz w:val="24"/>
              </w:rPr>
            </w:pPr>
          </w:p>
        </w:tc>
        <w:tc>
          <w:tcPr>
            <w:tcW w:w="782" w:type="dxa"/>
          </w:tcPr>
          <w:p w14:paraId="22D4EDD1">
            <w:pPr>
              <w:pStyle w:val="96"/>
              <w:adjustRightInd w:val="0"/>
              <w:textAlignment w:val="baseline"/>
              <w:rPr>
                <w:rFonts w:hint="eastAsia" w:ascii="宋体" w:hAnsi="宋体" w:eastAsia="宋体" w:cs="宋体"/>
                <w:sz w:val="24"/>
              </w:rPr>
            </w:pPr>
          </w:p>
        </w:tc>
        <w:tc>
          <w:tcPr>
            <w:tcW w:w="1956" w:type="dxa"/>
          </w:tcPr>
          <w:p w14:paraId="5DB42D9C">
            <w:pPr>
              <w:pStyle w:val="96"/>
              <w:adjustRightInd w:val="0"/>
              <w:textAlignment w:val="baseline"/>
              <w:rPr>
                <w:rFonts w:hint="eastAsia" w:ascii="宋体" w:hAnsi="宋体" w:eastAsia="宋体" w:cs="宋体"/>
                <w:sz w:val="24"/>
              </w:rPr>
            </w:pPr>
          </w:p>
        </w:tc>
      </w:tr>
      <w:tr w14:paraId="24150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9" w:type="dxa"/>
          </w:tcPr>
          <w:p w14:paraId="06616E8E">
            <w:pPr>
              <w:pStyle w:val="96"/>
              <w:adjustRightInd w:val="0"/>
              <w:textAlignment w:val="baseline"/>
              <w:rPr>
                <w:rFonts w:hint="eastAsia" w:ascii="宋体" w:hAnsi="宋体" w:eastAsia="宋体" w:cs="宋体"/>
                <w:sz w:val="24"/>
              </w:rPr>
            </w:pPr>
          </w:p>
        </w:tc>
        <w:tc>
          <w:tcPr>
            <w:tcW w:w="4956" w:type="dxa"/>
          </w:tcPr>
          <w:p w14:paraId="62DAE4C6">
            <w:pPr>
              <w:pStyle w:val="96"/>
              <w:adjustRightInd w:val="0"/>
              <w:textAlignment w:val="baseline"/>
              <w:rPr>
                <w:rFonts w:hint="eastAsia" w:ascii="宋体" w:hAnsi="宋体" w:eastAsia="宋体" w:cs="宋体"/>
                <w:sz w:val="24"/>
              </w:rPr>
            </w:pPr>
          </w:p>
        </w:tc>
        <w:tc>
          <w:tcPr>
            <w:tcW w:w="782" w:type="dxa"/>
          </w:tcPr>
          <w:p w14:paraId="028759B3">
            <w:pPr>
              <w:pStyle w:val="96"/>
              <w:adjustRightInd w:val="0"/>
              <w:textAlignment w:val="baseline"/>
              <w:rPr>
                <w:rFonts w:hint="eastAsia" w:ascii="宋体" w:hAnsi="宋体" w:eastAsia="宋体" w:cs="宋体"/>
                <w:sz w:val="24"/>
              </w:rPr>
            </w:pPr>
          </w:p>
        </w:tc>
        <w:tc>
          <w:tcPr>
            <w:tcW w:w="1956" w:type="dxa"/>
          </w:tcPr>
          <w:p w14:paraId="1D88CC5F">
            <w:pPr>
              <w:pStyle w:val="96"/>
              <w:adjustRightInd w:val="0"/>
              <w:textAlignment w:val="baseline"/>
              <w:rPr>
                <w:rFonts w:hint="eastAsia" w:ascii="宋体" w:hAnsi="宋体" w:eastAsia="宋体" w:cs="宋体"/>
                <w:sz w:val="24"/>
              </w:rPr>
            </w:pPr>
          </w:p>
        </w:tc>
      </w:tr>
      <w:tr w14:paraId="6B10E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5706AB3F">
            <w:pPr>
              <w:pStyle w:val="96"/>
              <w:adjustRightInd w:val="0"/>
              <w:textAlignment w:val="baseline"/>
              <w:rPr>
                <w:rFonts w:hint="eastAsia" w:ascii="宋体" w:hAnsi="宋体" w:eastAsia="宋体" w:cs="宋体"/>
                <w:sz w:val="24"/>
              </w:rPr>
            </w:pPr>
          </w:p>
        </w:tc>
        <w:tc>
          <w:tcPr>
            <w:tcW w:w="4956" w:type="dxa"/>
          </w:tcPr>
          <w:p w14:paraId="35E47C75">
            <w:pPr>
              <w:pStyle w:val="96"/>
              <w:adjustRightInd w:val="0"/>
              <w:textAlignment w:val="baseline"/>
              <w:rPr>
                <w:rFonts w:hint="eastAsia" w:ascii="宋体" w:hAnsi="宋体" w:eastAsia="宋体" w:cs="宋体"/>
                <w:sz w:val="24"/>
              </w:rPr>
            </w:pPr>
          </w:p>
        </w:tc>
        <w:tc>
          <w:tcPr>
            <w:tcW w:w="782" w:type="dxa"/>
          </w:tcPr>
          <w:p w14:paraId="198775EA">
            <w:pPr>
              <w:pStyle w:val="96"/>
              <w:adjustRightInd w:val="0"/>
              <w:textAlignment w:val="baseline"/>
              <w:rPr>
                <w:rFonts w:hint="eastAsia" w:ascii="宋体" w:hAnsi="宋体" w:eastAsia="宋体" w:cs="宋体"/>
                <w:sz w:val="24"/>
              </w:rPr>
            </w:pPr>
          </w:p>
        </w:tc>
        <w:tc>
          <w:tcPr>
            <w:tcW w:w="1956" w:type="dxa"/>
          </w:tcPr>
          <w:p w14:paraId="7CC34A93">
            <w:pPr>
              <w:pStyle w:val="96"/>
              <w:adjustRightInd w:val="0"/>
              <w:textAlignment w:val="baseline"/>
              <w:rPr>
                <w:rFonts w:hint="eastAsia" w:ascii="宋体" w:hAnsi="宋体" w:eastAsia="宋体" w:cs="宋体"/>
                <w:sz w:val="24"/>
              </w:rPr>
            </w:pPr>
          </w:p>
        </w:tc>
      </w:tr>
      <w:tr w14:paraId="2ED69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Pr>
          <w:p w14:paraId="03AAC7F4">
            <w:pPr>
              <w:pStyle w:val="96"/>
              <w:adjustRightInd w:val="0"/>
              <w:textAlignment w:val="baseline"/>
              <w:rPr>
                <w:rFonts w:hint="eastAsia" w:ascii="宋体" w:hAnsi="宋体" w:eastAsia="宋体" w:cs="宋体"/>
                <w:sz w:val="24"/>
              </w:rPr>
            </w:pPr>
          </w:p>
        </w:tc>
        <w:tc>
          <w:tcPr>
            <w:tcW w:w="4956" w:type="dxa"/>
          </w:tcPr>
          <w:p w14:paraId="49C584A0">
            <w:pPr>
              <w:pStyle w:val="96"/>
              <w:adjustRightInd w:val="0"/>
              <w:textAlignment w:val="baseline"/>
              <w:rPr>
                <w:rFonts w:hint="eastAsia" w:ascii="宋体" w:hAnsi="宋体" w:eastAsia="宋体" w:cs="宋体"/>
                <w:sz w:val="24"/>
              </w:rPr>
            </w:pPr>
          </w:p>
        </w:tc>
        <w:tc>
          <w:tcPr>
            <w:tcW w:w="782" w:type="dxa"/>
          </w:tcPr>
          <w:p w14:paraId="397DD5AD">
            <w:pPr>
              <w:pStyle w:val="96"/>
              <w:adjustRightInd w:val="0"/>
              <w:textAlignment w:val="baseline"/>
              <w:rPr>
                <w:rFonts w:hint="eastAsia" w:ascii="宋体" w:hAnsi="宋体" w:eastAsia="宋体" w:cs="宋体"/>
                <w:sz w:val="24"/>
              </w:rPr>
            </w:pPr>
          </w:p>
        </w:tc>
        <w:tc>
          <w:tcPr>
            <w:tcW w:w="1956" w:type="dxa"/>
          </w:tcPr>
          <w:p w14:paraId="2B7B28BD">
            <w:pPr>
              <w:pStyle w:val="96"/>
              <w:adjustRightInd w:val="0"/>
              <w:textAlignment w:val="baseline"/>
              <w:rPr>
                <w:rFonts w:hint="eastAsia" w:ascii="宋体" w:hAnsi="宋体" w:eastAsia="宋体" w:cs="宋体"/>
                <w:sz w:val="24"/>
              </w:rPr>
            </w:pPr>
          </w:p>
        </w:tc>
      </w:tr>
      <w:tr w14:paraId="71383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79FD7087">
            <w:pPr>
              <w:pStyle w:val="96"/>
              <w:adjustRightInd w:val="0"/>
              <w:textAlignment w:val="baseline"/>
              <w:rPr>
                <w:rFonts w:hint="eastAsia" w:ascii="宋体" w:hAnsi="宋体" w:eastAsia="宋体" w:cs="宋体"/>
                <w:sz w:val="24"/>
              </w:rPr>
            </w:pPr>
          </w:p>
        </w:tc>
        <w:tc>
          <w:tcPr>
            <w:tcW w:w="4956" w:type="dxa"/>
          </w:tcPr>
          <w:p w14:paraId="0AD2E4E1">
            <w:pPr>
              <w:pStyle w:val="96"/>
              <w:adjustRightInd w:val="0"/>
              <w:textAlignment w:val="baseline"/>
              <w:rPr>
                <w:rFonts w:hint="eastAsia" w:ascii="宋体" w:hAnsi="宋体" w:eastAsia="宋体" w:cs="宋体"/>
                <w:sz w:val="24"/>
              </w:rPr>
            </w:pPr>
          </w:p>
        </w:tc>
        <w:tc>
          <w:tcPr>
            <w:tcW w:w="782" w:type="dxa"/>
          </w:tcPr>
          <w:p w14:paraId="57A34CB3">
            <w:pPr>
              <w:pStyle w:val="96"/>
              <w:adjustRightInd w:val="0"/>
              <w:textAlignment w:val="baseline"/>
              <w:rPr>
                <w:rFonts w:hint="eastAsia" w:ascii="宋体" w:hAnsi="宋体" w:eastAsia="宋体" w:cs="宋体"/>
                <w:sz w:val="24"/>
              </w:rPr>
            </w:pPr>
          </w:p>
        </w:tc>
        <w:tc>
          <w:tcPr>
            <w:tcW w:w="1956" w:type="dxa"/>
          </w:tcPr>
          <w:p w14:paraId="2EC25B60">
            <w:pPr>
              <w:pStyle w:val="96"/>
              <w:adjustRightInd w:val="0"/>
              <w:textAlignment w:val="baseline"/>
              <w:rPr>
                <w:rFonts w:hint="eastAsia" w:ascii="宋体" w:hAnsi="宋体" w:eastAsia="宋体" w:cs="宋体"/>
                <w:sz w:val="24"/>
              </w:rPr>
            </w:pPr>
          </w:p>
        </w:tc>
      </w:tr>
      <w:tr w14:paraId="1C5BE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9" w:type="dxa"/>
          </w:tcPr>
          <w:p w14:paraId="15BDD42D">
            <w:pPr>
              <w:pStyle w:val="96"/>
              <w:adjustRightInd w:val="0"/>
              <w:textAlignment w:val="baseline"/>
              <w:rPr>
                <w:rFonts w:hint="eastAsia" w:ascii="宋体" w:hAnsi="宋体" w:eastAsia="宋体" w:cs="宋体"/>
                <w:sz w:val="24"/>
              </w:rPr>
            </w:pPr>
          </w:p>
        </w:tc>
        <w:tc>
          <w:tcPr>
            <w:tcW w:w="4956" w:type="dxa"/>
          </w:tcPr>
          <w:p w14:paraId="2E817A05">
            <w:pPr>
              <w:pStyle w:val="96"/>
              <w:adjustRightInd w:val="0"/>
              <w:textAlignment w:val="baseline"/>
              <w:rPr>
                <w:rFonts w:hint="eastAsia" w:ascii="宋体" w:hAnsi="宋体" w:eastAsia="宋体" w:cs="宋体"/>
                <w:sz w:val="24"/>
              </w:rPr>
            </w:pPr>
          </w:p>
        </w:tc>
        <w:tc>
          <w:tcPr>
            <w:tcW w:w="782" w:type="dxa"/>
          </w:tcPr>
          <w:p w14:paraId="3832EA15">
            <w:pPr>
              <w:pStyle w:val="96"/>
              <w:adjustRightInd w:val="0"/>
              <w:textAlignment w:val="baseline"/>
              <w:rPr>
                <w:rFonts w:hint="eastAsia" w:ascii="宋体" w:hAnsi="宋体" w:eastAsia="宋体" w:cs="宋体"/>
                <w:sz w:val="24"/>
              </w:rPr>
            </w:pPr>
          </w:p>
        </w:tc>
        <w:tc>
          <w:tcPr>
            <w:tcW w:w="1956" w:type="dxa"/>
          </w:tcPr>
          <w:p w14:paraId="144B006C">
            <w:pPr>
              <w:pStyle w:val="96"/>
              <w:adjustRightInd w:val="0"/>
              <w:textAlignment w:val="baseline"/>
              <w:rPr>
                <w:rFonts w:hint="eastAsia" w:ascii="宋体" w:hAnsi="宋体" w:eastAsia="宋体" w:cs="宋体"/>
                <w:sz w:val="24"/>
              </w:rPr>
            </w:pPr>
          </w:p>
        </w:tc>
      </w:tr>
      <w:tr w14:paraId="40900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9" w:type="dxa"/>
          </w:tcPr>
          <w:p w14:paraId="0D7C81A0">
            <w:pPr>
              <w:pStyle w:val="96"/>
              <w:adjustRightInd w:val="0"/>
              <w:textAlignment w:val="baseline"/>
              <w:rPr>
                <w:rFonts w:hint="eastAsia" w:ascii="宋体" w:hAnsi="宋体" w:eastAsia="宋体" w:cs="宋体"/>
                <w:sz w:val="24"/>
              </w:rPr>
            </w:pPr>
          </w:p>
        </w:tc>
        <w:tc>
          <w:tcPr>
            <w:tcW w:w="4956" w:type="dxa"/>
          </w:tcPr>
          <w:p w14:paraId="7C85A01A">
            <w:pPr>
              <w:pStyle w:val="96"/>
              <w:adjustRightInd w:val="0"/>
              <w:textAlignment w:val="baseline"/>
              <w:rPr>
                <w:rFonts w:hint="eastAsia" w:ascii="宋体" w:hAnsi="宋体" w:eastAsia="宋体" w:cs="宋体"/>
                <w:sz w:val="24"/>
              </w:rPr>
            </w:pPr>
          </w:p>
        </w:tc>
        <w:tc>
          <w:tcPr>
            <w:tcW w:w="782" w:type="dxa"/>
          </w:tcPr>
          <w:p w14:paraId="2D5C0281">
            <w:pPr>
              <w:pStyle w:val="96"/>
              <w:adjustRightInd w:val="0"/>
              <w:textAlignment w:val="baseline"/>
              <w:rPr>
                <w:rFonts w:hint="eastAsia" w:ascii="宋体" w:hAnsi="宋体" w:eastAsia="宋体" w:cs="宋体"/>
                <w:sz w:val="24"/>
              </w:rPr>
            </w:pPr>
          </w:p>
        </w:tc>
        <w:tc>
          <w:tcPr>
            <w:tcW w:w="1956" w:type="dxa"/>
          </w:tcPr>
          <w:p w14:paraId="3DD8C87C">
            <w:pPr>
              <w:pStyle w:val="96"/>
              <w:adjustRightInd w:val="0"/>
              <w:textAlignment w:val="baseline"/>
              <w:rPr>
                <w:rFonts w:hint="eastAsia" w:ascii="宋体" w:hAnsi="宋体" w:eastAsia="宋体" w:cs="宋体"/>
                <w:sz w:val="24"/>
              </w:rPr>
            </w:pPr>
          </w:p>
        </w:tc>
      </w:tr>
      <w:tr w14:paraId="684A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9" w:type="dxa"/>
          </w:tcPr>
          <w:p w14:paraId="70F64937">
            <w:pPr>
              <w:pStyle w:val="96"/>
              <w:adjustRightInd w:val="0"/>
              <w:textAlignment w:val="baseline"/>
              <w:rPr>
                <w:rFonts w:hint="eastAsia" w:ascii="宋体" w:hAnsi="宋体" w:eastAsia="宋体" w:cs="宋体"/>
                <w:sz w:val="24"/>
              </w:rPr>
            </w:pPr>
          </w:p>
        </w:tc>
        <w:tc>
          <w:tcPr>
            <w:tcW w:w="4956" w:type="dxa"/>
          </w:tcPr>
          <w:p w14:paraId="3363AFED">
            <w:pPr>
              <w:pStyle w:val="96"/>
              <w:adjustRightInd w:val="0"/>
              <w:textAlignment w:val="baseline"/>
              <w:rPr>
                <w:rFonts w:hint="eastAsia" w:ascii="宋体" w:hAnsi="宋体" w:eastAsia="宋体" w:cs="宋体"/>
                <w:sz w:val="24"/>
              </w:rPr>
            </w:pPr>
          </w:p>
        </w:tc>
        <w:tc>
          <w:tcPr>
            <w:tcW w:w="782" w:type="dxa"/>
          </w:tcPr>
          <w:p w14:paraId="1260F523">
            <w:pPr>
              <w:pStyle w:val="96"/>
              <w:adjustRightInd w:val="0"/>
              <w:textAlignment w:val="baseline"/>
              <w:rPr>
                <w:rFonts w:hint="eastAsia" w:ascii="宋体" w:hAnsi="宋体" w:eastAsia="宋体" w:cs="宋体"/>
                <w:sz w:val="24"/>
              </w:rPr>
            </w:pPr>
          </w:p>
        </w:tc>
        <w:tc>
          <w:tcPr>
            <w:tcW w:w="1956" w:type="dxa"/>
          </w:tcPr>
          <w:p w14:paraId="2CA8F19E">
            <w:pPr>
              <w:pStyle w:val="96"/>
              <w:adjustRightInd w:val="0"/>
              <w:textAlignment w:val="baseline"/>
              <w:rPr>
                <w:rFonts w:hint="eastAsia" w:ascii="宋体" w:hAnsi="宋体" w:eastAsia="宋体" w:cs="宋体"/>
                <w:sz w:val="24"/>
              </w:rPr>
            </w:pPr>
          </w:p>
        </w:tc>
      </w:tr>
    </w:tbl>
    <w:p w14:paraId="7CCEFBA4">
      <w:pPr>
        <w:spacing w:before="1"/>
        <w:ind w:left="360" w:right="449" w:rightChars="214"/>
        <w:rPr>
          <w:rFonts w:hint="eastAsia" w:ascii="宋体" w:hAnsi="宋体" w:cs="宋体"/>
          <w:sz w:val="24"/>
        </w:rPr>
      </w:pPr>
      <w:r>
        <w:rPr>
          <w:rFonts w:hint="eastAsia" w:ascii="宋体" w:hAnsi="宋体" w:cs="宋体"/>
          <w:b/>
          <w:sz w:val="24"/>
        </w:rPr>
        <w:t>注：</w:t>
      </w:r>
      <w:r>
        <w:rPr>
          <w:rFonts w:hint="eastAsia" w:ascii="宋体" w:hAnsi="宋体" w:cs="宋体"/>
          <w:spacing w:val="-1"/>
          <w:sz w:val="24"/>
        </w:rPr>
        <w:t>该目录为方便评标委员会查找相关证明文件及评审条件，应尽可能的详细、清晰，投标人可根据</w:t>
      </w:r>
      <w:r>
        <w:rPr>
          <w:rFonts w:hint="eastAsia" w:ascii="宋体" w:hAnsi="宋体" w:cs="宋体"/>
          <w:spacing w:val="-3"/>
          <w:sz w:val="24"/>
        </w:rPr>
        <w:t>自身情况补充完善；</w:t>
      </w:r>
      <w:r>
        <w:rPr>
          <w:rFonts w:hint="eastAsia" w:ascii="宋体" w:hAnsi="宋体" w:cs="宋体"/>
          <w:spacing w:val="-7"/>
          <w:sz w:val="24"/>
        </w:rPr>
        <w:t>投标文件的编制顺序应按此表顺序，并连续编排页码(扫描或复印件可以采用页码机加盖页码)。</w:t>
      </w:r>
    </w:p>
    <w:p w14:paraId="2B98AF4D">
      <w:pPr>
        <w:pStyle w:val="47"/>
        <w:tabs>
          <w:tab w:val="left" w:pos="682"/>
        </w:tabs>
        <w:autoSpaceDE w:val="0"/>
        <w:autoSpaceDN w:val="0"/>
        <w:spacing w:before="2"/>
        <w:ind w:right="519" w:firstLine="0" w:firstLineChars="0"/>
        <w:rPr>
          <w:rFonts w:hint="eastAsia" w:ascii="宋体" w:hAnsi="宋体" w:cs="宋体"/>
          <w:spacing w:val="-7"/>
          <w:sz w:val="24"/>
          <w:szCs w:val="24"/>
        </w:rPr>
      </w:pPr>
    </w:p>
    <w:p w14:paraId="1B89E608">
      <w:pPr>
        <w:pStyle w:val="87"/>
        <w:ind w:left="5250"/>
        <w:jc w:val="center"/>
        <w:rPr>
          <w:rFonts w:hint="eastAsia" w:ascii="宋体" w:hAnsi="宋体" w:cs="宋体"/>
          <w:b/>
          <w:sz w:val="24"/>
          <w:szCs w:val="24"/>
        </w:rPr>
        <w:sectPr>
          <w:pgSz w:w="11910" w:h="16850"/>
          <w:pgMar w:top="1440" w:right="1800" w:bottom="1440" w:left="1800" w:header="720" w:footer="720" w:gutter="0"/>
          <w:cols w:space="720" w:num="1"/>
        </w:sectPr>
      </w:pPr>
    </w:p>
    <w:p w14:paraId="144A7835">
      <w:pPr>
        <w:pStyle w:val="87"/>
        <w:ind w:left="567"/>
        <w:jc w:val="center"/>
        <w:rPr>
          <w:rFonts w:hint="eastAsia" w:ascii="宋体" w:hAnsi="宋体" w:cs="宋体"/>
          <w:bCs w:val="0"/>
          <w:sz w:val="24"/>
          <w:szCs w:val="24"/>
        </w:rPr>
      </w:pPr>
      <w:r>
        <w:rPr>
          <w:rFonts w:hint="eastAsia" w:ascii="宋体" w:hAnsi="宋体" w:cs="宋体"/>
          <w:b/>
          <w:sz w:val="24"/>
          <w:szCs w:val="24"/>
        </w:rPr>
        <w:t>1 开标一览表（投标文件格式一）</w:t>
      </w:r>
      <w:bookmarkEnd w:id="44"/>
    </w:p>
    <w:p w14:paraId="07F23EAE">
      <w:pPr>
        <w:pStyle w:val="19"/>
        <w:ind w:firstLine="482" w:firstLineChars="200"/>
        <w:jc w:val="center"/>
        <w:rPr>
          <w:rFonts w:hint="eastAsia" w:hAnsi="宋体" w:cs="宋体"/>
          <w:b/>
          <w:sz w:val="24"/>
          <w:szCs w:val="24"/>
        </w:rPr>
      </w:pPr>
      <w:r>
        <w:rPr>
          <w:rFonts w:hint="eastAsia" w:hAnsi="宋体" w:cs="宋体"/>
          <w:b/>
          <w:sz w:val="24"/>
          <w:szCs w:val="24"/>
        </w:rPr>
        <w:t>报价一览表</w:t>
      </w:r>
    </w:p>
    <w:p w14:paraId="735B603D">
      <w:pPr>
        <w:pStyle w:val="19"/>
        <w:ind w:firstLine="482" w:firstLineChars="200"/>
        <w:jc w:val="center"/>
        <w:rPr>
          <w:rFonts w:hint="eastAsia" w:hAnsi="宋体" w:cs="宋体"/>
          <w:b/>
          <w:sz w:val="24"/>
          <w:szCs w:val="24"/>
        </w:rPr>
      </w:pPr>
    </w:p>
    <w:p w14:paraId="13880BDC">
      <w:pPr>
        <w:pStyle w:val="19"/>
        <w:rPr>
          <w:rFonts w:hint="eastAsia" w:hAnsi="宋体" w:cs="宋体"/>
          <w:sz w:val="24"/>
          <w:szCs w:val="24"/>
        </w:rPr>
      </w:pPr>
    </w:p>
    <w:p w14:paraId="653BA899">
      <w:pPr>
        <w:pStyle w:val="14"/>
        <w:spacing w:line="240" w:lineRule="auto"/>
        <w:rPr>
          <w:rFonts w:hint="eastAsia" w:ascii="宋体" w:hAnsi="宋体" w:cs="宋体"/>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项目编</w:t>
      </w:r>
      <w:r>
        <w:rPr>
          <w:rFonts w:hint="eastAsia" w:ascii="宋体" w:hAnsi="宋体" w:cs="宋体"/>
          <w:spacing w:val="-3"/>
        </w:rPr>
        <w:t>号</w:t>
      </w:r>
      <w:r>
        <w:rPr>
          <w:rFonts w:hint="eastAsia" w:ascii="宋体" w:hAnsi="宋体" w:cs="宋体"/>
        </w:rPr>
        <w:t>：</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 xml:space="preserve">                   </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6689"/>
      </w:tblGrid>
      <w:tr w14:paraId="5861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77" w:type="pct"/>
            <w:vAlign w:val="center"/>
          </w:tcPr>
          <w:p w14:paraId="3CBFDFD5">
            <w:pPr>
              <w:pStyle w:val="48"/>
              <w:spacing w:line="240" w:lineRule="auto"/>
              <w:jc w:val="center"/>
              <w:rPr>
                <w:rFonts w:hint="eastAsia" w:hAnsi="宋体" w:cs="宋体"/>
              </w:rPr>
            </w:pPr>
            <w:r>
              <w:rPr>
                <w:rFonts w:hint="eastAsia" w:hAnsi="宋体" w:cs="宋体"/>
              </w:rPr>
              <w:t>标题</w:t>
            </w:r>
          </w:p>
        </w:tc>
        <w:tc>
          <w:tcPr>
            <w:tcW w:w="3922" w:type="pct"/>
            <w:vAlign w:val="center"/>
          </w:tcPr>
          <w:p w14:paraId="27FAB796">
            <w:pPr>
              <w:pStyle w:val="48"/>
              <w:spacing w:line="240" w:lineRule="auto"/>
              <w:jc w:val="center"/>
              <w:rPr>
                <w:rFonts w:hint="eastAsia" w:hAnsi="宋体" w:cs="宋体"/>
              </w:rPr>
            </w:pPr>
            <w:r>
              <w:rPr>
                <w:rFonts w:hint="eastAsia" w:hAnsi="宋体" w:cs="宋体"/>
              </w:rPr>
              <w:t>内容</w:t>
            </w:r>
          </w:p>
        </w:tc>
      </w:tr>
      <w:tr w14:paraId="10F2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77" w:type="pct"/>
            <w:vAlign w:val="center"/>
          </w:tcPr>
          <w:p w14:paraId="3845451E">
            <w:pPr>
              <w:pStyle w:val="48"/>
              <w:spacing w:line="240" w:lineRule="auto"/>
              <w:jc w:val="center"/>
              <w:rPr>
                <w:rFonts w:hint="eastAsia" w:hAnsi="宋体" w:cs="宋体"/>
              </w:rPr>
            </w:pPr>
            <w:r>
              <w:rPr>
                <w:rFonts w:hint="eastAsia" w:hAnsi="宋体" w:cs="宋体"/>
              </w:rPr>
              <w:t>投标总价</w:t>
            </w:r>
          </w:p>
        </w:tc>
        <w:tc>
          <w:tcPr>
            <w:tcW w:w="3922" w:type="pct"/>
            <w:vAlign w:val="center"/>
          </w:tcPr>
          <w:p w14:paraId="547957AE">
            <w:pPr>
              <w:pStyle w:val="48"/>
              <w:spacing w:line="240" w:lineRule="auto"/>
              <w:jc w:val="center"/>
              <w:rPr>
                <w:rFonts w:hint="eastAsia" w:hAnsi="宋体" w:cs="宋体"/>
              </w:rPr>
            </w:pPr>
            <w:r>
              <w:rPr>
                <w:rFonts w:hint="eastAsia" w:hAnsi="宋体" w:cs="宋体"/>
              </w:rPr>
              <w:t>（大写）</w:t>
            </w:r>
            <w:r>
              <w:rPr>
                <w:rFonts w:hint="eastAsia" w:hAnsi="宋体" w:cs="宋体"/>
                <w:u w:val="single"/>
              </w:rPr>
              <w:t xml:space="preserve">          </w:t>
            </w:r>
            <w:r>
              <w:rPr>
                <w:rFonts w:hint="eastAsia" w:hAnsi="宋体" w:cs="宋体"/>
              </w:rPr>
              <w:t>元整</w:t>
            </w:r>
          </w:p>
          <w:p w14:paraId="4E258880">
            <w:pPr>
              <w:pStyle w:val="48"/>
              <w:spacing w:line="240" w:lineRule="auto"/>
              <w:jc w:val="center"/>
              <w:rPr>
                <w:rFonts w:hint="eastAsia" w:hAnsi="宋体" w:cs="宋体"/>
              </w:rPr>
            </w:pPr>
            <w:r>
              <w:rPr>
                <w:rFonts w:hint="eastAsia" w:hAnsi="宋体" w:cs="宋体"/>
              </w:rPr>
              <w:t>（小写）￥</w:t>
            </w:r>
            <w:r>
              <w:rPr>
                <w:rFonts w:hint="eastAsia" w:hAnsi="宋体" w:cs="宋体"/>
                <w:u w:val="single"/>
              </w:rPr>
              <w:t xml:space="preserve">           </w:t>
            </w:r>
            <w:r>
              <w:rPr>
                <w:rFonts w:hint="eastAsia" w:hAnsi="宋体" w:cs="宋体"/>
              </w:rPr>
              <w:t>元</w:t>
            </w:r>
          </w:p>
        </w:tc>
      </w:tr>
      <w:tr w14:paraId="6E9A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77" w:type="pct"/>
            <w:vAlign w:val="center"/>
          </w:tcPr>
          <w:p w14:paraId="3F17736D">
            <w:pPr>
              <w:pStyle w:val="48"/>
              <w:spacing w:line="240" w:lineRule="auto"/>
              <w:jc w:val="center"/>
              <w:rPr>
                <w:rFonts w:hint="eastAsia" w:hAnsi="宋体" w:cs="宋体"/>
              </w:rPr>
            </w:pPr>
            <w:r>
              <w:rPr>
                <w:rFonts w:hint="eastAsia" w:hAnsi="宋体" w:cs="宋体"/>
              </w:rPr>
              <w:t>服务期</w:t>
            </w:r>
          </w:p>
        </w:tc>
        <w:tc>
          <w:tcPr>
            <w:tcW w:w="3922" w:type="pct"/>
            <w:vAlign w:val="center"/>
          </w:tcPr>
          <w:p w14:paraId="01B3ED13">
            <w:pPr>
              <w:pStyle w:val="48"/>
              <w:spacing w:line="240" w:lineRule="auto"/>
              <w:jc w:val="center"/>
              <w:rPr>
                <w:rFonts w:hint="eastAsia" w:hAnsi="宋体" w:cs="宋体"/>
              </w:rPr>
            </w:pPr>
          </w:p>
        </w:tc>
      </w:tr>
      <w:tr w14:paraId="3953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77" w:type="pct"/>
            <w:vAlign w:val="center"/>
          </w:tcPr>
          <w:p w14:paraId="3E40067B">
            <w:pPr>
              <w:pStyle w:val="48"/>
              <w:spacing w:line="240" w:lineRule="auto"/>
              <w:jc w:val="center"/>
              <w:rPr>
                <w:rFonts w:hint="eastAsia" w:hAnsi="宋体" w:cs="宋体"/>
              </w:rPr>
            </w:pPr>
            <w:r>
              <w:rPr>
                <w:rFonts w:hint="eastAsia" w:hAnsi="宋体" w:cs="宋体"/>
              </w:rPr>
              <w:t>备注说明</w:t>
            </w:r>
          </w:p>
        </w:tc>
        <w:tc>
          <w:tcPr>
            <w:tcW w:w="3922" w:type="pct"/>
            <w:vAlign w:val="center"/>
          </w:tcPr>
          <w:p w14:paraId="39457985">
            <w:pPr>
              <w:pStyle w:val="48"/>
              <w:spacing w:line="240" w:lineRule="auto"/>
              <w:jc w:val="center"/>
              <w:rPr>
                <w:rFonts w:hint="eastAsia" w:hAnsi="宋体" w:cs="宋体"/>
              </w:rPr>
            </w:pPr>
          </w:p>
        </w:tc>
      </w:tr>
    </w:tbl>
    <w:p w14:paraId="5CDA15B6">
      <w:pPr>
        <w:pStyle w:val="19"/>
        <w:rPr>
          <w:rFonts w:hint="eastAsia" w:hAnsi="宋体" w:cs="宋体"/>
          <w:sz w:val="24"/>
          <w:szCs w:val="24"/>
        </w:rPr>
      </w:pPr>
    </w:p>
    <w:p w14:paraId="357FC454">
      <w:pPr>
        <w:pStyle w:val="19"/>
        <w:ind w:firstLine="480" w:firstLineChars="200"/>
        <w:rPr>
          <w:rFonts w:hint="eastAsia" w:hAnsi="宋体" w:cs="宋体"/>
          <w:sz w:val="24"/>
          <w:szCs w:val="24"/>
        </w:rPr>
      </w:pPr>
      <w:r>
        <w:rPr>
          <w:rFonts w:hint="eastAsia" w:hAnsi="宋体" w:cs="宋体"/>
          <w:sz w:val="24"/>
          <w:szCs w:val="24"/>
        </w:rPr>
        <w:t>以上报价包括劳务支出、安全保险、劳保福利、食宿、材料、机械损耗、税收、管理费、社会保险等一切费用。</w:t>
      </w:r>
    </w:p>
    <w:p w14:paraId="019BA2DC">
      <w:pPr>
        <w:ind w:left="640" w:right="497"/>
        <w:rPr>
          <w:rFonts w:hint="eastAsia" w:ascii="宋体" w:hAnsi="宋体" w:cs="宋体"/>
          <w:sz w:val="24"/>
        </w:rPr>
      </w:pPr>
      <w:r>
        <w:rPr>
          <w:rFonts w:hint="eastAsia" w:ascii="宋体" w:hAnsi="宋体" w:cs="宋体"/>
          <w:sz w:val="24"/>
        </w:rPr>
        <w:t>如有优惠折扣申明，请在此表中列出。</w:t>
      </w:r>
    </w:p>
    <w:p w14:paraId="4AC38B51">
      <w:pPr>
        <w:pStyle w:val="19"/>
        <w:rPr>
          <w:rFonts w:hint="eastAsia" w:hAnsi="宋体" w:cs="宋体"/>
          <w:sz w:val="24"/>
          <w:szCs w:val="24"/>
        </w:rPr>
      </w:pPr>
    </w:p>
    <w:p w14:paraId="4AC48183">
      <w:pPr>
        <w:pStyle w:val="19"/>
        <w:ind w:firstLine="480" w:firstLineChars="200"/>
        <w:rPr>
          <w:rFonts w:hint="eastAsia" w:hAnsi="宋体" w:cs="宋体"/>
          <w:sz w:val="24"/>
          <w:szCs w:val="24"/>
        </w:rPr>
      </w:pPr>
    </w:p>
    <w:p w14:paraId="6FA950C9">
      <w:pPr>
        <w:pStyle w:val="19"/>
        <w:ind w:firstLine="480" w:firstLineChars="200"/>
        <w:rPr>
          <w:rFonts w:hint="eastAsia" w:hAnsi="宋体" w:cs="宋体"/>
          <w:sz w:val="24"/>
          <w:szCs w:val="24"/>
        </w:rPr>
      </w:pPr>
      <w:r>
        <w:rPr>
          <w:rFonts w:hint="eastAsia" w:hAnsi="宋体" w:cs="宋体"/>
          <w:sz w:val="24"/>
          <w:szCs w:val="24"/>
        </w:rPr>
        <w:t>供应商名称(公章)：____________</w:t>
      </w:r>
    </w:p>
    <w:p w14:paraId="4D8D12D3">
      <w:pPr>
        <w:pStyle w:val="19"/>
        <w:ind w:firstLine="480" w:firstLineChars="200"/>
        <w:rPr>
          <w:rFonts w:hint="eastAsia" w:hAnsi="宋体" w:cs="宋体"/>
          <w:sz w:val="24"/>
          <w:szCs w:val="24"/>
        </w:rPr>
      </w:pPr>
      <w:r>
        <w:rPr>
          <w:rFonts w:hint="eastAsia" w:hAnsi="宋体" w:cs="宋体"/>
          <w:sz w:val="24"/>
          <w:szCs w:val="24"/>
        </w:rPr>
        <w:t>法定代表人或其授权代表(签字或盖章)：____________</w:t>
      </w:r>
    </w:p>
    <w:p w14:paraId="38180065">
      <w:pPr>
        <w:pStyle w:val="19"/>
        <w:ind w:firstLine="480" w:firstLineChars="200"/>
        <w:jc w:val="right"/>
        <w:rPr>
          <w:rFonts w:hint="eastAsia" w:hAnsi="宋体" w:cs="宋体"/>
          <w:sz w:val="24"/>
          <w:szCs w:val="24"/>
        </w:rPr>
      </w:pPr>
    </w:p>
    <w:p w14:paraId="0BD3F112">
      <w:pPr>
        <w:pStyle w:val="19"/>
        <w:ind w:firstLine="480" w:firstLineChars="200"/>
        <w:jc w:val="right"/>
        <w:rPr>
          <w:rFonts w:hint="eastAsia" w:hAnsi="宋体" w:cs="宋体"/>
          <w:sz w:val="24"/>
          <w:szCs w:val="24"/>
        </w:rPr>
      </w:pPr>
    </w:p>
    <w:p w14:paraId="5CD3F2DD">
      <w:pPr>
        <w:pStyle w:val="19"/>
        <w:ind w:firstLine="480" w:firstLineChars="200"/>
        <w:jc w:val="right"/>
        <w:rPr>
          <w:rFonts w:hint="eastAsia" w:hAnsi="宋体" w:cs="宋体"/>
          <w:sz w:val="24"/>
          <w:szCs w:val="24"/>
        </w:rPr>
      </w:pPr>
      <w:r>
        <w:rPr>
          <w:rFonts w:hint="eastAsia" w:hAnsi="宋体" w:cs="宋体"/>
          <w:sz w:val="24"/>
          <w:szCs w:val="24"/>
        </w:rPr>
        <w:t>日期：______年____月____日</w:t>
      </w:r>
    </w:p>
    <w:p w14:paraId="4A18F262">
      <w:pPr>
        <w:pStyle w:val="87"/>
        <w:rPr>
          <w:rFonts w:hint="eastAsia" w:ascii="宋体" w:hAnsi="宋体" w:cs="宋体"/>
          <w:sz w:val="24"/>
          <w:szCs w:val="24"/>
        </w:rPr>
      </w:pPr>
    </w:p>
    <w:p w14:paraId="3A177B3C">
      <w:pPr>
        <w:pStyle w:val="87"/>
        <w:ind w:left="5250"/>
        <w:rPr>
          <w:rFonts w:hint="eastAsia" w:ascii="宋体" w:hAnsi="宋体" w:cs="宋体"/>
          <w:sz w:val="24"/>
          <w:szCs w:val="24"/>
        </w:rPr>
        <w:sectPr>
          <w:pgSz w:w="11910" w:h="16850"/>
          <w:pgMar w:top="1440" w:right="1800" w:bottom="1440" w:left="1800" w:header="720" w:footer="720" w:gutter="0"/>
          <w:cols w:space="720" w:num="1"/>
        </w:sectPr>
      </w:pPr>
    </w:p>
    <w:p w14:paraId="31DF7A46">
      <w:pPr>
        <w:pStyle w:val="87"/>
        <w:ind w:left="2694"/>
        <w:outlineLvl w:val="0"/>
        <w:rPr>
          <w:rFonts w:hint="eastAsia" w:ascii="宋体" w:hAnsi="宋体" w:cs="宋体"/>
          <w:b/>
          <w:sz w:val="24"/>
          <w:szCs w:val="24"/>
        </w:rPr>
      </w:pPr>
      <w:bookmarkStart w:id="51" w:name="_Toc507399518"/>
      <w:bookmarkStart w:id="52" w:name="_Toc25232"/>
      <w:bookmarkStart w:id="53" w:name="_Toc14919"/>
      <w:r>
        <w:rPr>
          <w:rFonts w:hint="eastAsia" w:ascii="宋体" w:hAnsi="宋体" w:cs="宋体"/>
          <w:b/>
          <w:sz w:val="24"/>
          <w:szCs w:val="24"/>
        </w:rPr>
        <w:t xml:space="preserve">2 </w:t>
      </w:r>
      <w:bookmarkEnd w:id="51"/>
      <w:r>
        <w:rPr>
          <w:rFonts w:hint="eastAsia" w:ascii="宋体" w:hAnsi="宋体" w:cs="宋体"/>
          <w:b/>
          <w:sz w:val="24"/>
          <w:szCs w:val="24"/>
        </w:rPr>
        <w:t>资格、资信证明文件</w:t>
      </w:r>
      <w:bookmarkEnd w:id="52"/>
      <w:bookmarkEnd w:id="53"/>
    </w:p>
    <w:p w14:paraId="6562A239">
      <w:pPr>
        <w:pStyle w:val="87"/>
        <w:ind w:left="5250"/>
        <w:rPr>
          <w:rFonts w:hint="eastAsia" w:ascii="宋体" w:hAnsi="宋体" w:cs="宋体"/>
          <w:bCs w:val="0"/>
          <w:sz w:val="24"/>
          <w:szCs w:val="24"/>
        </w:rPr>
      </w:pPr>
    </w:p>
    <w:p w14:paraId="13F659E6">
      <w:pPr>
        <w:pStyle w:val="9"/>
        <w:spacing w:line="240" w:lineRule="auto"/>
        <w:rPr>
          <w:rFonts w:hint="eastAsia" w:ascii="宋体" w:hAnsi="宋体" w:cs="宋体"/>
          <w:szCs w:val="24"/>
        </w:rPr>
      </w:pPr>
      <w:bookmarkStart w:id="54" w:name="_Toc507399520"/>
      <w:r>
        <w:rPr>
          <w:rFonts w:hint="eastAsia" w:ascii="宋体" w:hAnsi="宋体" w:cs="宋体"/>
          <w:szCs w:val="24"/>
        </w:rPr>
        <w:t>附件 2-1 法人或者非法人组织的营业执照等证明文件或自然人的身份证明复印件;</w:t>
      </w:r>
    </w:p>
    <w:p w14:paraId="6CE38353">
      <w:pPr>
        <w:pStyle w:val="14"/>
        <w:spacing w:line="240" w:lineRule="auto"/>
        <w:rPr>
          <w:rFonts w:hint="eastAsia" w:ascii="宋体" w:hAnsi="宋体" w:cs="宋体"/>
          <w:b/>
        </w:rPr>
      </w:pPr>
    </w:p>
    <w:p w14:paraId="6F31FEE3">
      <w:pPr>
        <w:pStyle w:val="14"/>
        <w:spacing w:before="12" w:line="240" w:lineRule="auto"/>
        <w:rPr>
          <w:rFonts w:hint="eastAsia" w:ascii="宋体" w:hAnsi="宋体" w:cs="宋体"/>
          <w:b/>
        </w:rPr>
      </w:pPr>
    </w:p>
    <w:p w14:paraId="6C0C2E7E">
      <w:pPr>
        <w:pStyle w:val="14"/>
        <w:spacing w:line="240" w:lineRule="auto"/>
        <w:ind w:right="1145"/>
        <w:rPr>
          <w:rFonts w:hint="eastAsia" w:ascii="宋体" w:hAnsi="宋体" w:cs="宋体"/>
        </w:rPr>
      </w:pPr>
      <w:r>
        <w:rPr>
          <w:rFonts w:hint="eastAsia" w:ascii="宋体" w:hAnsi="宋体" w:cs="宋体"/>
        </w:rPr>
        <w:t>说明：1.提供有效的营业执照等证明文件复印件，复印件上应加盖本单位公章。</w:t>
      </w:r>
    </w:p>
    <w:p w14:paraId="2A60847F">
      <w:pPr>
        <w:pStyle w:val="14"/>
        <w:spacing w:line="240" w:lineRule="auto"/>
        <w:ind w:right="1145" w:firstLine="720" w:firstLineChars="300"/>
        <w:outlineLvl w:val="0"/>
        <w:rPr>
          <w:rFonts w:hint="eastAsia" w:ascii="宋体" w:hAnsi="宋体" w:cs="宋体"/>
        </w:rPr>
      </w:pPr>
      <w:bookmarkStart w:id="55" w:name="_Toc1278"/>
      <w:bookmarkStart w:id="56" w:name="_Toc27013"/>
      <w:r>
        <w:rPr>
          <w:rFonts w:hint="eastAsia" w:ascii="宋体" w:hAnsi="宋体" w:cs="宋体"/>
        </w:rPr>
        <w:t>2.投标人为自然人的，应提供身份证明的复印件。</w:t>
      </w:r>
      <w:bookmarkEnd w:id="55"/>
      <w:bookmarkEnd w:id="56"/>
    </w:p>
    <w:p w14:paraId="53C7C531">
      <w:pPr>
        <w:pStyle w:val="87"/>
        <w:ind w:left="5250"/>
        <w:rPr>
          <w:rFonts w:hint="eastAsia" w:ascii="宋体" w:hAnsi="宋体" w:cs="宋体"/>
          <w:b/>
          <w:sz w:val="24"/>
          <w:szCs w:val="24"/>
        </w:rPr>
      </w:pPr>
    </w:p>
    <w:p w14:paraId="31E4C676">
      <w:pPr>
        <w:pStyle w:val="87"/>
        <w:ind w:left="5250"/>
        <w:rPr>
          <w:rFonts w:hint="eastAsia" w:ascii="宋体" w:hAnsi="宋体" w:cs="宋体"/>
          <w:b/>
          <w:sz w:val="24"/>
          <w:szCs w:val="24"/>
        </w:rPr>
        <w:sectPr>
          <w:pgSz w:w="11906" w:h="16838"/>
          <w:pgMar w:top="1440" w:right="1800" w:bottom="1440" w:left="1800" w:header="851" w:footer="992" w:gutter="0"/>
          <w:cols w:space="720" w:num="1"/>
          <w:docGrid w:type="lines" w:linePitch="312" w:charSpace="0"/>
        </w:sectPr>
      </w:pPr>
    </w:p>
    <w:bookmarkEnd w:id="54"/>
    <w:p w14:paraId="309E78A8">
      <w:pPr>
        <w:pStyle w:val="9"/>
        <w:spacing w:before="66" w:line="240" w:lineRule="auto"/>
        <w:rPr>
          <w:rFonts w:hint="eastAsia" w:ascii="宋体" w:hAnsi="宋体" w:cs="宋体"/>
          <w:szCs w:val="24"/>
        </w:rPr>
      </w:pPr>
      <w:bookmarkStart w:id="57" w:name="_Toc7147"/>
      <w:bookmarkStart w:id="58" w:name="_Toc211"/>
      <w:r>
        <w:rPr>
          <w:rFonts w:hint="eastAsia" w:ascii="宋体" w:hAnsi="宋体" w:cs="宋体"/>
          <w:szCs w:val="24"/>
        </w:rPr>
        <w:t>附件 2-2 法定代表人授权书(统一格式，自然人投标的无需提供)</w:t>
      </w:r>
      <w:bookmarkEnd w:id="57"/>
      <w:bookmarkEnd w:id="58"/>
    </w:p>
    <w:p w14:paraId="4A878C10">
      <w:pPr>
        <w:ind w:left="360" w:right="513" w:firstLine="480"/>
        <w:rPr>
          <w:rFonts w:hint="eastAsia" w:ascii="宋体" w:hAnsi="宋体" w:cs="宋体"/>
          <w:spacing w:val="-5"/>
          <w:w w:val="95"/>
          <w:sz w:val="24"/>
        </w:rPr>
      </w:pPr>
    </w:p>
    <w:p w14:paraId="4D152325">
      <w:pPr>
        <w:pStyle w:val="22"/>
        <w:jc w:val="center"/>
        <w:rPr>
          <w:rFonts w:hint="eastAsia" w:ascii="宋体" w:hAnsi="宋体" w:cs="宋体"/>
          <w:sz w:val="24"/>
          <w:szCs w:val="24"/>
        </w:rPr>
      </w:pPr>
      <w:r>
        <w:rPr>
          <w:rFonts w:hint="eastAsia" w:ascii="宋体" w:hAnsi="宋体" w:cs="宋体"/>
          <w:b/>
          <w:bCs/>
          <w:sz w:val="24"/>
          <w:szCs w:val="24"/>
        </w:rPr>
        <w:t>法定代表人身份证明</w:t>
      </w:r>
    </w:p>
    <w:p w14:paraId="3EF21A68">
      <w:pPr>
        <w:pStyle w:val="22"/>
        <w:rPr>
          <w:rFonts w:hint="eastAsia" w:ascii="宋体" w:hAnsi="宋体" w:cs="宋体"/>
          <w:sz w:val="24"/>
          <w:szCs w:val="24"/>
        </w:rPr>
      </w:pPr>
    </w:p>
    <w:p w14:paraId="68EBEB0F">
      <w:pPr>
        <w:pStyle w:val="22"/>
        <w:rPr>
          <w:rFonts w:hint="eastAsia"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w:t>
      </w:r>
    </w:p>
    <w:p w14:paraId="3DA59224">
      <w:pPr>
        <w:pStyle w:val="22"/>
        <w:rPr>
          <w:rFonts w:hint="eastAsia"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13E433F1">
      <w:pPr>
        <w:pStyle w:val="22"/>
        <w:rPr>
          <w:rFonts w:hint="eastAsia" w:ascii="宋体" w:hAnsi="宋体" w:cs="宋体"/>
          <w:sz w:val="24"/>
          <w:szCs w:val="24"/>
          <w:u w:val="single"/>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（投标人名称）的法定代表人。 </w:t>
      </w:r>
    </w:p>
    <w:p w14:paraId="34A95541">
      <w:pPr>
        <w:pStyle w:val="22"/>
        <w:ind w:firstLine="480" w:firstLineChars="200"/>
        <w:rPr>
          <w:rFonts w:hint="eastAsia" w:ascii="宋体" w:hAnsi="宋体" w:cs="宋体"/>
          <w:sz w:val="24"/>
          <w:szCs w:val="24"/>
        </w:rPr>
      </w:pPr>
      <w:r>
        <w:rPr>
          <w:rFonts w:hint="eastAsia" w:ascii="宋体" w:hAnsi="宋体" w:cs="宋体"/>
          <w:sz w:val="24"/>
          <w:szCs w:val="24"/>
        </w:rPr>
        <w:t>特此证明。</w:t>
      </w:r>
    </w:p>
    <w:p w14:paraId="5F387B00">
      <w:pPr>
        <w:pStyle w:val="22"/>
        <w:rPr>
          <w:rFonts w:hint="eastAsia" w:ascii="宋体" w:hAnsi="宋体" w:cs="宋体"/>
          <w:sz w:val="24"/>
          <w:szCs w:val="24"/>
        </w:rPr>
      </w:pPr>
    </w:p>
    <w:p w14:paraId="14D3876B">
      <w:pPr>
        <w:pStyle w:val="22"/>
        <w:rPr>
          <w:rFonts w:hint="eastAsia" w:ascii="宋体" w:hAnsi="宋体" w:cs="宋体"/>
          <w:sz w:val="24"/>
          <w:szCs w:val="24"/>
        </w:rPr>
      </w:pPr>
      <w:r>
        <w:rPr>
          <w:rFonts w:hint="eastAsia" w:ascii="宋体" w:hAnsi="宋体" w:cs="宋体"/>
          <w:sz w:val="24"/>
          <w:szCs w:val="24"/>
        </w:rPr>
        <w:t>附：法定代表人身份证复印件。</w:t>
      </w: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7820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11FED43D">
            <w:pPr>
              <w:widowControl w:val="0"/>
              <w:adjustRightInd w:val="0"/>
              <w:jc w:val="center"/>
              <w:textAlignment w:val="baseline"/>
              <w:rPr>
                <w:rFonts w:hint="eastAsia" w:ascii="宋体" w:hAnsi="宋体" w:cs="宋体"/>
                <w:sz w:val="24"/>
              </w:rPr>
            </w:pPr>
            <w:r>
              <w:rPr>
                <w:rFonts w:hint="eastAsia" w:ascii="宋体" w:hAnsi="宋体" w:cs="宋体"/>
                <w:spacing w:val="-3"/>
                <w:sz w:val="24"/>
              </w:rPr>
              <w:t>法</w:t>
            </w:r>
            <w:r>
              <w:rPr>
                <w:rFonts w:hint="eastAsia" w:ascii="宋体" w:hAnsi="宋体" w:cs="宋体"/>
                <w:sz w:val="24"/>
              </w:rPr>
              <w:t>定</w:t>
            </w:r>
            <w:r>
              <w:rPr>
                <w:rFonts w:hint="eastAsia" w:ascii="宋体" w:hAnsi="宋体" w:cs="宋体"/>
                <w:spacing w:val="-3"/>
                <w:sz w:val="24"/>
              </w:rPr>
              <w:t>代</w:t>
            </w:r>
            <w:r>
              <w:rPr>
                <w:rFonts w:hint="eastAsia" w:ascii="宋体" w:hAnsi="宋体" w:cs="宋体"/>
                <w:sz w:val="24"/>
              </w:rPr>
              <w:t>表</w:t>
            </w:r>
            <w:r>
              <w:rPr>
                <w:rFonts w:hint="eastAsia" w:ascii="宋体" w:hAnsi="宋体" w:cs="宋体"/>
                <w:spacing w:val="-3"/>
                <w:sz w:val="24"/>
              </w:rPr>
              <w:t>人</w:t>
            </w:r>
            <w:r>
              <w:rPr>
                <w:rFonts w:hint="eastAsia" w:ascii="宋体" w:hAnsi="宋体" w:cs="宋体"/>
                <w:sz w:val="24"/>
              </w:rPr>
              <w:t>身</w:t>
            </w:r>
            <w:r>
              <w:rPr>
                <w:rFonts w:hint="eastAsia" w:ascii="宋体" w:hAnsi="宋体" w:cs="宋体"/>
                <w:spacing w:val="-3"/>
                <w:sz w:val="24"/>
              </w:rPr>
              <w:t>份</w:t>
            </w:r>
            <w:r>
              <w:rPr>
                <w:rFonts w:hint="eastAsia" w:ascii="宋体" w:hAnsi="宋体" w:cs="宋体"/>
                <w:sz w:val="24"/>
              </w:rPr>
              <w:t>证</w:t>
            </w:r>
            <w:r>
              <w:rPr>
                <w:rFonts w:hint="eastAsia" w:ascii="宋体" w:hAnsi="宋体" w:cs="宋体"/>
                <w:spacing w:val="-3"/>
                <w:sz w:val="24"/>
              </w:rPr>
              <w:t>正反面</w:t>
            </w:r>
          </w:p>
        </w:tc>
      </w:tr>
    </w:tbl>
    <w:p w14:paraId="1FC1EBF3">
      <w:pPr>
        <w:pStyle w:val="22"/>
        <w:rPr>
          <w:rFonts w:hint="eastAsia" w:ascii="宋体" w:hAnsi="宋体" w:cs="宋体"/>
          <w:sz w:val="24"/>
          <w:szCs w:val="24"/>
          <w:u w:val="single"/>
        </w:rPr>
      </w:pPr>
    </w:p>
    <w:p w14:paraId="6D858B49">
      <w:pPr>
        <w:pStyle w:val="22"/>
        <w:rPr>
          <w:rFonts w:hint="eastAsia" w:ascii="宋体" w:hAnsi="宋体" w:cs="宋体"/>
          <w:sz w:val="24"/>
          <w:szCs w:val="24"/>
          <w:u w:val="single"/>
        </w:rPr>
      </w:pPr>
    </w:p>
    <w:p w14:paraId="373D70B2">
      <w:pPr>
        <w:pStyle w:val="22"/>
        <w:rPr>
          <w:rFonts w:hint="eastAsia" w:ascii="宋体" w:hAnsi="宋体" w:cs="宋体"/>
          <w:sz w:val="24"/>
          <w:szCs w:val="24"/>
          <w:u w:val="single"/>
        </w:rPr>
      </w:pPr>
    </w:p>
    <w:p w14:paraId="4B193C33">
      <w:pPr>
        <w:pStyle w:val="22"/>
        <w:rPr>
          <w:rFonts w:hint="eastAsia" w:ascii="宋体" w:hAnsi="宋体" w:cs="宋体"/>
          <w:sz w:val="24"/>
          <w:szCs w:val="24"/>
          <w:u w:val="single"/>
        </w:rPr>
      </w:pPr>
    </w:p>
    <w:p w14:paraId="22273AB5">
      <w:pPr>
        <w:jc w:val="right"/>
        <w:rPr>
          <w:rFonts w:hint="eastAsia" w:ascii="宋体" w:hAnsi="宋体" w:cs="宋体"/>
          <w:sz w:val="24"/>
        </w:rPr>
      </w:pPr>
      <w:r>
        <w:rPr>
          <w:rFonts w:hint="eastAsia" w:ascii="宋体" w:hAnsi="宋体" w:cs="宋体"/>
          <w:color w:val="000000"/>
          <w:kern w:val="0"/>
          <w:sz w:val="24"/>
          <w:lang w:bidi="ar"/>
        </w:rPr>
        <w:t>投标人：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（盖单位章）</w:t>
      </w:r>
    </w:p>
    <w:p w14:paraId="560404D9">
      <w:pPr>
        <w:ind w:firstLine="4560" w:firstLineChars="1900"/>
        <w:rPr>
          <w:rFonts w:hint="eastAsia" w:ascii="宋体" w:hAnsi="宋体" w:cs="宋体"/>
          <w:sz w:val="24"/>
          <w:u w:val="single"/>
        </w:rPr>
      </w:pPr>
      <w:r>
        <w:rPr>
          <w:rFonts w:hint="eastAsia" w:ascii="宋体" w:hAnsi="宋体" w:cs="宋体"/>
          <w:color w:val="000000"/>
          <w:kern w:val="0"/>
          <w:sz w:val="24"/>
          <w:u w:val="single"/>
          <w:lang w:bidi="ar"/>
        </w:rPr>
        <w:t xml:space="preserve">      年     月     日</w:t>
      </w:r>
    </w:p>
    <w:p w14:paraId="733AE387">
      <w:pPr>
        <w:rPr>
          <w:rFonts w:hint="eastAsia" w:ascii="宋体" w:hAnsi="宋体" w:cs="宋体"/>
          <w:spacing w:val="-5"/>
          <w:w w:val="95"/>
          <w:sz w:val="24"/>
        </w:rPr>
      </w:pPr>
      <w:r>
        <w:rPr>
          <w:rFonts w:hint="eastAsia" w:ascii="宋体" w:hAnsi="宋体" w:cs="宋体"/>
          <w:spacing w:val="-5"/>
          <w:w w:val="95"/>
          <w:sz w:val="24"/>
        </w:rPr>
        <w:br w:type="page"/>
      </w:r>
    </w:p>
    <w:p w14:paraId="3537A50F">
      <w:pPr>
        <w:ind w:right="106" w:firstLine="480"/>
        <w:jc w:val="center"/>
        <w:rPr>
          <w:rFonts w:hint="eastAsia" w:ascii="宋体" w:hAnsi="宋体" w:cs="宋体"/>
          <w:b/>
          <w:bCs/>
          <w:spacing w:val="-5"/>
          <w:w w:val="95"/>
          <w:sz w:val="24"/>
        </w:rPr>
      </w:pPr>
      <w:r>
        <w:rPr>
          <w:rFonts w:hint="eastAsia" w:ascii="宋体" w:hAnsi="宋体" w:cs="宋体"/>
          <w:b/>
          <w:bCs/>
          <w:sz w:val="24"/>
        </w:rPr>
        <w:t>法定代表人授权书</w:t>
      </w:r>
    </w:p>
    <w:p w14:paraId="32C40365">
      <w:pPr>
        <w:ind w:right="106" w:firstLine="480"/>
        <w:rPr>
          <w:rFonts w:hint="eastAsia" w:ascii="宋体" w:hAnsi="宋体" w:cs="宋体"/>
          <w:spacing w:val="-5"/>
          <w:w w:val="95"/>
          <w:sz w:val="24"/>
        </w:rPr>
      </w:pPr>
    </w:p>
    <w:p w14:paraId="24C31674">
      <w:pPr>
        <w:ind w:right="106" w:firstLine="480"/>
        <w:rPr>
          <w:rFonts w:hint="eastAsia" w:ascii="宋体" w:hAnsi="宋体" w:cs="宋体"/>
          <w:sz w:val="24"/>
        </w:rPr>
      </w:pPr>
      <w:r>
        <w:rPr>
          <w:rFonts w:hint="eastAsia" w:ascii="宋体" w:hAnsi="宋体" w:cs="宋体"/>
          <w:spacing w:val="-5"/>
          <w:w w:val="95"/>
          <w:sz w:val="24"/>
        </w:rPr>
        <w:t>本授权书声明：注册于</w:t>
      </w:r>
      <w:r>
        <w:rPr>
          <w:rFonts w:hint="eastAsia" w:ascii="宋体" w:hAnsi="宋体" w:cs="宋体"/>
          <w:w w:val="95"/>
          <w:sz w:val="24"/>
          <w:u w:val="single"/>
        </w:rPr>
        <w:t>（国家或地区的名称</w:t>
      </w:r>
      <w:r>
        <w:rPr>
          <w:rFonts w:hint="eastAsia" w:ascii="宋体" w:hAnsi="宋体" w:cs="宋体"/>
          <w:spacing w:val="-17"/>
          <w:w w:val="95"/>
          <w:sz w:val="24"/>
          <w:u w:val="single"/>
        </w:rPr>
        <w:t>）</w:t>
      </w:r>
      <w:r>
        <w:rPr>
          <w:rFonts w:hint="eastAsia" w:ascii="宋体" w:hAnsi="宋体" w:cs="宋体"/>
          <w:spacing w:val="-15"/>
          <w:w w:val="95"/>
          <w:sz w:val="24"/>
        </w:rPr>
        <w:t>的</w:t>
      </w:r>
      <w:r>
        <w:rPr>
          <w:rFonts w:hint="eastAsia" w:ascii="宋体" w:hAnsi="宋体" w:cs="宋体"/>
          <w:w w:val="95"/>
          <w:sz w:val="24"/>
          <w:u w:val="single"/>
        </w:rPr>
        <w:t>（</w:t>
      </w:r>
      <w:r>
        <w:rPr>
          <w:rFonts w:hint="eastAsia" w:ascii="宋体" w:hAnsi="宋体" w:cs="宋体"/>
          <w:i/>
          <w:w w:val="95"/>
          <w:sz w:val="24"/>
          <w:u w:val="single"/>
        </w:rPr>
        <w:t>投标人名称</w:t>
      </w:r>
      <w:r>
        <w:rPr>
          <w:rFonts w:hint="eastAsia" w:ascii="宋体" w:hAnsi="宋体" w:cs="宋体"/>
          <w:spacing w:val="-15"/>
          <w:w w:val="95"/>
          <w:sz w:val="24"/>
          <w:u w:val="single"/>
        </w:rPr>
        <w:t>）</w:t>
      </w:r>
      <w:r>
        <w:rPr>
          <w:rFonts w:hint="eastAsia" w:ascii="宋体" w:hAnsi="宋体" w:cs="宋体"/>
          <w:spacing w:val="-3"/>
          <w:w w:val="95"/>
          <w:sz w:val="24"/>
        </w:rPr>
        <w:t>的在下面签字的</w:t>
      </w:r>
      <w:r>
        <w:rPr>
          <w:rFonts w:hint="eastAsia" w:ascii="宋体" w:hAnsi="宋体" w:cs="宋体"/>
          <w:w w:val="95"/>
          <w:sz w:val="24"/>
        </w:rPr>
        <w:t>（</w:t>
      </w:r>
      <w:r>
        <w:rPr>
          <w:rFonts w:hint="eastAsia" w:ascii="宋体" w:hAnsi="宋体" w:cs="宋体"/>
          <w:i/>
          <w:spacing w:val="-7"/>
          <w:w w:val="95"/>
          <w:sz w:val="24"/>
          <w:u w:val="single"/>
        </w:rPr>
        <w:t>法人代表姓名</w:t>
      </w:r>
      <w:r>
        <w:rPr>
          <w:rFonts w:hint="eastAsia" w:ascii="宋体" w:hAnsi="宋体" w:cs="宋体"/>
          <w:i/>
          <w:spacing w:val="-29"/>
          <w:w w:val="95"/>
          <w:sz w:val="24"/>
          <w:u w:val="single"/>
        </w:rPr>
        <w:t>、职务</w:t>
      </w:r>
      <w:r>
        <w:rPr>
          <w:rFonts w:hint="eastAsia" w:ascii="宋体" w:hAnsi="宋体" w:cs="宋体"/>
          <w:spacing w:val="-15"/>
          <w:w w:val="95"/>
          <w:sz w:val="24"/>
        </w:rPr>
        <w:t>）</w:t>
      </w:r>
      <w:r>
        <w:rPr>
          <w:rFonts w:hint="eastAsia" w:ascii="宋体" w:hAnsi="宋体" w:cs="宋体"/>
          <w:spacing w:val="-4"/>
          <w:w w:val="95"/>
          <w:sz w:val="24"/>
        </w:rPr>
        <w:t>代表本公司授权</w:t>
      </w:r>
      <w:r>
        <w:rPr>
          <w:rFonts w:hint="eastAsia" w:ascii="宋体" w:hAnsi="宋体" w:cs="宋体"/>
          <w:w w:val="95"/>
          <w:sz w:val="24"/>
          <w:u w:val="single"/>
        </w:rPr>
        <w:t>（</w:t>
      </w:r>
      <w:r>
        <w:rPr>
          <w:rFonts w:hint="eastAsia" w:ascii="宋体" w:hAnsi="宋体" w:cs="宋体"/>
          <w:i/>
          <w:w w:val="95"/>
          <w:sz w:val="24"/>
          <w:u w:val="single"/>
        </w:rPr>
        <w:t>投标人名称</w:t>
      </w:r>
      <w:r>
        <w:rPr>
          <w:rFonts w:hint="eastAsia" w:ascii="宋体" w:hAnsi="宋体" w:cs="宋体"/>
          <w:spacing w:val="-15"/>
          <w:w w:val="95"/>
          <w:sz w:val="24"/>
          <w:u w:val="single"/>
        </w:rPr>
        <w:t>）</w:t>
      </w:r>
      <w:r>
        <w:rPr>
          <w:rFonts w:hint="eastAsia" w:ascii="宋体" w:hAnsi="宋体" w:cs="宋体"/>
          <w:spacing w:val="-3"/>
          <w:w w:val="95"/>
          <w:sz w:val="24"/>
        </w:rPr>
        <w:t>的在下面签字的</w:t>
      </w:r>
      <w:r>
        <w:rPr>
          <w:rFonts w:hint="eastAsia" w:ascii="宋体" w:hAnsi="宋体" w:cs="宋体"/>
          <w:w w:val="95"/>
          <w:sz w:val="24"/>
        </w:rPr>
        <w:t>（</w:t>
      </w:r>
      <w:r>
        <w:rPr>
          <w:rFonts w:hint="eastAsia" w:ascii="宋体" w:hAnsi="宋体" w:cs="宋体"/>
          <w:i/>
          <w:spacing w:val="-4"/>
          <w:w w:val="95"/>
          <w:sz w:val="24"/>
          <w:u w:val="single"/>
        </w:rPr>
        <w:t xml:space="preserve">被授权人的姓名、职务 </w:t>
      </w:r>
      <w:r>
        <w:rPr>
          <w:rFonts w:hint="eastAsia" w:ascii="宋体" w:hAnsi="宋体" w:cs="宋体"/>
          <w:spacing w:val="-20"/>
          <w:w w:val="95"/>
          <w:sz w:val="24"/>
        </w:rPr>
        <w:t>）</w:t>
      </w:r>
      <w:r>
        <w:rPr>
          <w:rFonts w:hint="eastAsia" w:ascii="宋体" w:hAnsi="宋体" w:cs="宋体"/>
          <w:spacing w:val="-4"/>
          <w:w w:val="95"/>
          <w:sz w:val="24"/>
        </w:rPr>
        <w:t>为本公司的合法代理人，就</w:t>
      </w:r>
      <w:r>
        <w:rPr>
          <w:rFonts w:hint="eastAsia" w:ascii="宋体" w:hAnsi="宋体" w:cs="宋体"/>
          <w:w w:val="95"/>
          <w:sz w:val="24"/>
        </w:rPr>
        <w:t>（</w:t>
      </w:r>
      <w:r>
        <w:rPr>
          <w:rFonts w:hint="eastAsia" w:ascii="宋体" w:hAnsi="宋体" w:cs="宋体"/>
          <w:i/>
          <w:w w:val="95"/>
          <w:sz w:val="24"/>
          <w:u w:val="single"/>
        </w:rPr>
        <w:t>项目名称</w:t>
      </w:r>
      <w:r>
        <w:rPr>
          <w:rFonts w:hint="eastAsia" w:ascii="宋体" w:hAnsi="宋体" w:cs="宋体"/>
          <w:spacing w:val="-17"/>
          <w:w w:val="95"/>
          <w:sz w:val="24"/>
        </w:rPr>
        <w:t>）</w:t>
      </w:r>
      <w:r>
        <w:rPr>
          <w:rFonts w:hint="eastAsia" w:ascii="宋体" w:hAnsi="宋体" w:cs="宋体"/>
          <w:spacing w:val="-4"/>
          <w:w w:val="95"/>
          <w:sz w:val="24"/>
        </w:rPr>
        <w:t>的投标，以本公司名义处理一切与之有关的</w:t>
      </w:r>
      <w:r>
        <w:rPr>
          <w:rFonts w:hint="eastAsia" w:ascii="宋体" w:hAnsi="宋体" w:cs="宋体"/>
          <w:sz w:val="24"/>
        </w:rPr>
        <w:t>事务。</w:t>
      </w:r>
    </w:p>
    <w:p w14:paraId="6B413508">
      <w:pPr>
        <w:pStyle w:val="14"/>
        <w:tabs>
          <w:tab w:val="left" w:pos="3360"/>
          <w:tab w:val="left" w:pos="4200"/>
          <w:tab w:val="left" w:pos="5041"/>
        </w:tabs>
        <w:spacing w:before="6" w:line="240" w:lineRule="auto"/>
        <w:ind w:firstLine="480" w:firstLineChars="200"/>
        <w:rPr>
          <w:rFonts w:hint="eastAsia" w:ascii="宋体" w:hAnsi="宋体" w:cs="宋体"/>
        </w:rPr>
      </w:pPr>
      <w:r>
        <w:rPr>
          <w:rFonts w:hint="eastAsia" w:ascii="宋体" w:hAnsi="宋体" w:cs="宋体"/>
        </w:rPr>
        <w:t>本授权书于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日签字生效,特此声明。</w:t>
      </w:r>
    </w:p>
    <w:p w14:paraId="3F9C6C64">
      <w:pPr>
        <w:pStyle w:val="14"/>
        <w:spacing w:before="11" w:line="240" w:lineRule="auto"/>
        <w:rPr>
          <w:rFonts w:hint="eastAsia" w:ascii="宋体" w:hAnsi="宋体" w:cs="宋体"/>
        </w:rPr>
      </w:pPr>
    </w:p>
    <w:p w14:paraId="6EF71529">
      <w:pPr>
        <w:pStyle w:val="14"/>
        <w:tabs>
          <w:tab w:val="left" w:pos="6296"/>
          <w:tab w:val="left" w:pos="6416"/>
        </w:tabs>
        <w:spacing w:line="240" w:lineRule="auto"/>
        <w:rPr>
          <w:rFonts w:hint="eastAsia" w:ascii="宋体" w:hAnsi="宋体" w:cs="宋体"/>
          <w:u w:val="single"/>
        </w:rPr>
      </w:pPr>
      <w:r>
        <w:rPr>
          <w:rFonts w:hint="eastAsia" w:ascii="宋体" w:hAnsi="宋体" w:cs="宋体"/>
        </w:rPr>
        <w:t>法定代表人签字或盖章：</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14:paraId="17F3C81F">
      <w:pPr>
        <w:pStyle w:val="14"/>
        <w:tabs>
          <w:tab w:val="left" w:pos="6296"/>
          <w:tab w:val="left" w:pos="6416"/>
        </w:tabs>
        <w:spacing w:line="240" w:lineRule="auto"/>
        <w:rPr>
          <w:rFonts w:hint="eastAsia" w:ascii="宋体" w:hAnsi="宋体" w:cs="宋体"/>
          <w:u w:val="single"/>
        </w:rPr>
      </w:pPr>
      <w:r>
        <w:rPr>
          <w:rFonts w:hint="eastAsia" w:ascii="宋体" w:hAnsi="宋体" w:cs="宋体"/>
        </w:rPr>
        <w:t>被授权人签字：</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14:paraId="7E511B69">
      <w:pPr>
        <w:pStyle w:val="14"/>
        <w:tabs>
          <w:tab w:val="left" w:pos="6296"/>
          <w:tab w:val="left" w:pos="6416"/>
        </w:tabs>
        <w:spacing w:line="240" w:lineRule="auto"/>
        <w:rPr>
          <w:rFonts w:hint="eastAsia" w:ascii="宋体" w:hAnsi="宋体" w:cs="宋体"/>
        </w:rPr>
      </w:pPr>
      <w:r>
        <w:rPr>
          <w:rFonts w:hint="eastAsia" w:ascii="宋体" w:hAnsi="宋体" w:cs="宋体"/>
        </w:rPr>
        <w:t xml:space="preserve">投标人盖章：  </w:t>
      </w:r>
      <w:r>
        <w:rPr>
          <w:rFonts w:hint="eastAsia" w:ascii="宋体" w:hAnsi="宋体" w:cs="宋体"/>
          <w:u w:val="single"/>
        </w:rPr>
        <w:t xml:space="preserve"> </w:t>
      </w:r>
      <w:r>
        <w:rPr>
          <w:rFonts w:hint="eastAsia" w:ascii="宋体" w:hAnsi="宋体" w:cs="宋体"/>
          <w:u w:val="single"/>
        </w:rPr>
        <w:tab/>
      </w:r>
    </w:p>
    <w:p w14:paraId="0895764C">
      <w:pPr>
        <w:pStyle w:val="14"/>
        <w:spacing w:line="240" w:lineRule="auto"/>
        <w:rPr>
          <w:rFonts w:hint="eastAsia" w:ascii="宋体" w:hAnsi="宋体" w:cs="宋体"/>
        </w:rPr>
      </w:pPr>
      <w:r>
        <w:rPr>
          <w:rFonts w:hint="eastAsia" w:ascii="宋体" w:hAnsi="宋体" w:cs="宋体"/>
        </w:rPr>
        <w:t>附：</w:t>
      </w:r>
    </w:p>
    <w:p w14:paraId="68E7EB7E">
      <w:pPr>
        <w:pStyle w:val="14"/>
        <w:tabs>
          <w:tab w:val="left" w:pos="6476"/>
        </w:tabs>
        <w:spacing w:line="240" w:lineRule="auto"/>
        <w:rPr>
          <w:rFonts w:hint="eastAsia" w:ascii="宋体" w:hAnsi="宋体" w:cs="宋体"/>
          <w:u w:val="single"/>
        </w:rPr>
      </w:pPr>
      <w:r>
        <w:rPr>
          <w:rFonts w:hint="eastAsia" w:ascii="宋体" w:hAnsi="宋体" w:cs="宋体"/>
        </w:rPr>
        <w:t>被授权人姓名：</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14:paraId="24422F38">
      <w:pPr>
        <w:pStyle w:val="14"/>
        <w:tabs>
          <w:tab w:val="left" w:pos="6476"/>
        </w:tabs>
        <w:spacing w:line="240" w:lineRule="auto"/>
        <w:rPr>
          <w:rFonts w:hint="eastAsia" w:ascii="宋体" w:hAnsi="宋体" w:cs="宋体"/>
          <w:u w:val="single"/>
        </w:rPr>
      </w:pPr>
      <w:r>
        <w:rPr>
          <w:rFonts w:hint="eastAsia" w:ascii="宋体" w:hAnsi="宋体" w:cs="宋体"/>
        </w:rPr>
        <w:t>职        务：</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14:paraId="1A1A4725">
      <w:pPr>
        <w:pStyle w:val="14"/>
        <w:tabs>
          <w:tab w:val="left" w:pos="6476"/>
        </w:tabs>
        <w:spacing w:line="240" w:lineRule="auto"/>
        <w:rPr>
          <w:rFonts w:hint="eastAsia" w:ascii="宋体" w:hAnsi="宋体" w:cs="宋体"/>
          <w:u w:val="single"/>
        </w:rPr>
      </w:pPr>
      <w:r>
        <w:rPr>
          <w:rFonts w:hint="eastAsia" w:ascii="宋体" w:hAnsi="宋体" w:cs="宋体"/>
        </w:rPr>
        <w:t>详细通讯地址：</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14:paraId="7D281B13">
      <w:pPr>
        <w:pStyle w:val="14"/>
        <w:tabs>
          <w:tab w:val="left" w:pos="6476"/>
        </w:tabs>
        <w:spacing w:line="240" w:lineRule="auto"/>
        <w:rPr>
          <w:rFonts w:hint="eastAsia" w:ascii="宋体" w:hAnsi="宋体" w:cs="宋体"/>
          <w:u w:val="single"/>
        </w:rPr>
      </w:pPr>
      <w:r>
        <w:rPr>
          <w:rFonts w:hint="eastAsia" w:ascii="宋体" w:hAnsi="宋体" w:cs="宋体"/>
        </w:rPr>
        <w:t>邮 政 编</w:t>
      </w:r>
      <w:r>
        <w:rPr>
          <w:rFonts w:hint="eastAsia" w:ascii="宋体" w:hAnsi="宋体" w:cs="宋体"/>
          <w:spacing w:val="-1"/>
        </w:rPr>
        <w:t xml:space="preserve"> </w:t>
      </w:r>
      <w:r>
        <w:rPr>
          <w:rFonts w:hint="eastAsia" w:ascii="宋体" w:hAnsi="宋体" w:cs="宋体"/>
        </w:rPr>
        <w:t>码 ：</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14:paraId="06A3906E">
      <w:pPr>
        <w:pStyle w:val="14"/>
        <w:tabs>
          <w:tab w:val="left" w:pos="6476"/>
        </w:tabs>
        <w:spacing w:line="240" w:lineRule="auto"/>
        <w:rPr>
          <w:rFonts w:hint="eastAsia" w:ascii="宋体" w:hAnsi="宋体" w:cs="宋体"/>
          <w:u w:val="single"/>
        </w:rPr>
      </w:pPr>
      <w:r>
        <w:rPr>
          <w:rFonts w:hint="eastAsia" w:ascii="宋体" w:hAnsi="宋体" w:cs="宋体"/>
        </w:rPr>
        <w:t>电  子 邮 箱：</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14:paraId="4BE88E6C">
      <w:pPr>
        <w:pStyle w:val="14"/>
        <w:tabs>
          <w:tab w:val="left" w:pos="6476"/>
        </w:tabs>
        <w:spacing w:line="240" w:lineRule="auto"/>
        <w:rPr>
          <w:rFonts w:hint="eastAsia"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u w:val="single"/>
        </w:rPr>
        <w:tab/>
      </w:r>
    </w:p>
    <w:p w14:paraId="33ACA37F">
      <w:pPr>
        <w:pStyle w:val="14"/>
        <w:spacing w:before="6" w:line="240" w:lineRule="auto"/>
        <w:rPr>
          <w:rFonts w:hint="eastAsia" w:ascii="宋体" w:hAnsi="宋体" w:cs="宋体"/>
        </w:rPr>
      </w:pPr>
    </w:p>
    <w:p w14:paraId="010905F3">
      <w:pPr>
        <w:pStyle w:val="14"/>
        <w:spacing w:line="240" w:lineRule="auto"/>
        <w:rPr>
          <w:rFonts w:hint="eastAsia" w:ascii="宋体" w:hAnsi="宋体" w:cs="宋体"/>
        </w:rPr>
      </w:pPr>
      <w:r>
        <w:rPr>
          <w:rFonts w:hint="eastAsia" w:ascii="宋体" w:hAnsi="宋体" w:cs="宋体"/>
        </w:rPr>
        <mc:AlternateContent>
          <mc:Choice Requires="wps">
            <w:drawing>
              <wp:anchor distT="0" distB="0" distL="114300" distR="114300" simplePos="0" relativeHeight="251659264" behindDoc="1" locked="0" layoutInCell="1" allowOverlap="1">
                <wp:simplePos x="0" y="0"/>
                <wp:positionH relativeFrom="page">
                  <wp:posOffset>1302385</wp:posOffset>
                </wp:positionH>
                <wp:positionV relativeFrom="paragraph">
                  <wp:posOffset>119380</wp:posOffset>
                </wp:positionV>
                <wp:extent cx="2240915" cy="1125855"/>
                <wp:effectExtent l="4445" t="4445" r="12065" b="12700"/>
                <wp:wrapTopAndBottom/>
                <wp:docPr id="1"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722779D3">
                            <w:pPr>
                              <w:pStyle w:val="14"/>
                              <w:autoSpaceDE w:val="0"/>
                              <w:autoSpaceDN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6F7991C1">
                            <w:pPr>
                              <w:pStyle w:val="14"/>
                              <w:autoSpaceDE w:val="0"/>
                              <w:autoSpaceDN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wrap="square" lIns="0" tIns="0" rIns="0" bIns="0" upright="1"/>
                    </wps:wsp>
                  </a:graphicData>
                </a:graphic>
              </wp:anchor>
            </w:drawing>
          </mc:Choice>
          <mc:Fallback>
            <w:pict>
              <v:shape id="文本框 13" o:spid="_x0000_s1026" o:spt="202" type="#_x0000_t202" style="position:absolute;left:0pt;margin-left:102.55pt;margin-top:9.4pt;height:88.65pt;width:176.45pt;mso-position-horizontal-relative:page;mso-wrap-distance-bottom:0pt;mso-wrap-distance-top:0pt;z-index:-251657216;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M&#10;zVWr2AAAAAoBAAAPAAAAAAAAAAEAIAAAACIAAABkcnMvZG93bnJldi54bWxQSwECFAAUAAAACACH&#10;TuJAXXW4LSQCAABPBAAADgAAAAAAAAABACAAAAAnAQAAZHJzL2Uyb0RvYy54bWxQSwUGAAAAAAYA&#10;BgBZAQAAvQUAAAAA&#10;">
                <v:fill on="f" focussize="0,0"/>
                <v:stroke color="#000000" joinstyle="miter"/>
                <v:imagedata o:title=""/>
                <o:lock v:ext="edit" aspectratio="f"/>
                <v:textbox inset="0mm,0mm,0mm,0mm">
                  <w:txbxContent>
                    <w:p w14:paraId="722779D3">
                      <w:pPr>
                        <w:pStyle w:val="14"/>
                        <w:autoSpaceDE w:val="0"/>
                        <w:autoSpaceDN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6F7991C1">
                      <w:pPr>
                        <w:pStyle w:val="14"/>
                        <w:autoSpaceDE w:val="0"/>
                        <w:autoSpaceDN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cs="宋体"/>
        </w:rPr>
        <mc:AlternateContent>
          <mc:Choice Requires="wps">
            <w:drawing>
              <wp:anchor distT="0" distB="0" distL="114300" distR="114300" simplePos="0" relativeHeight="251660288" behindDoc="1" locked="0" layoutInCell="1" allowOverlap="1">
                <wp:simplePos x="0" y="0"/>
                <wp:positionH relativeFrom="page">
                  <wp:posOffset>3790315</wp:posOffset>
                </wp:positionH>
                <wp:positionV relativeFrom="paragraph">
                  <wp:posOffset>121285</wp:posOffset>
                </wp:positionV>
                <wp:extent cx="2240915" cy="1125855"/>
                <wp:effectExtent l="4445" t="4445" r="12065" b="12700"/>
                <wp:wrapTopAndBottom/>
                <wp:docPr id="2"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26269DD5">
                            <w:pPr>
                              <w:pStyle w:val="14"/>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3281BAF6">
                            <w:pPr>
                              <w:pStyle w:val="14"/>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wrap="square" lIns="0" tIns="0" rIns="0" bIns="0" upright="1"/>
                    </wps:wsp>
                  </a:graphicData>
                </a:graphic>
              </wp:anchor>
            </w:drawing>
          </mc:Choice>
          <mc:Fallback>
            <w:pict>
              <v:shape id="文本框 14" o:spid="_x0000_s1026" o:spt="202" type="#_x0000_t202" style="position:absolute;left:0pt;margin-left:298.45pt;margin-top:9.55pt;height:88.65pt;width:176.45pt;mso-position-horizontal-relative:page;mso-wrap-distance-bottom:0pt;mso-wrap-distance-top:0pt;z-index:-251656192;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BeT4tkAAAAKAQAADwAAAAAAAAABACAAAAAiAAAAZHJzL2Rvd25yZXYueG1sUEsBAhQAFAAAAAgA&#10;h07iQI+H+wokAgAATwQAAA4AAAAAAAAAAQAgAAAAKAEAAGRycy9lMm9Eb2MueG1sUEsFBgAAAAAG&#10;AAYAWQEAAL4FAAAAAA==&#10;">
                <v:fill on="f" focussize="0,0"/>
                <v:stroke color="#000000" joinstyle="miter"/>
                <v:imagedata o:title=""/>
                <o:lock v:ext="edit" aspectratio="f"/>
                <v:textbox inset="0mm,0mm,0mm,0mm">
                  <w:txbxContent>
                    <w:p w14:paraId="26269DD5">
                      <w:pPr>
                        <w:pStyle w:val="14"/>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3281BAF6">
                      <w:pPr>
                        <w:pStyle w:val="14"/>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cs="宋体"/>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1513840</wp:posOffset>
                </wp:positionV>
                <wp:extent cx="2240915" cy="1125855"/>
                <wp:effectExtent l="4445" t="4445" r="12065" b="12700"/>
                <wp:wrapTopAndBottom/>
                <wp:docPr id="3"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121680F2">
                            <w:pPr>
                              <w:pStyle w:val="14"/>
                            </w:pPr>
                          </w:p>
                          <w:p w14:paraId="045D7E96">
                            <w:pPr>
                              <w:pStyle w:val="14"/>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11CDFC96">
                            <w:pPr>
                              <w:pStyle w:val="14"/>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wrap="square" lIns="0" tIns="0" rIns="0" bIns="0" upright="1"/>
                    </wps:wsp>
                  </a:graphicData>
                </a:graphic>
              </wp:anchor>
            </w:drawing>
          </mc:Choice>
          <mc:Fallback>
            <w:pict>
              <v:shape id="文本框 11" o:spid="_x0000_s1026" o:spt="202" type="#_x0000_t202" style="position:absolute;left:0pt;margin-left:102.55pt;margin-top:119.2pt;height:88.65pt;width:176.45pt;mso-position-horizontal-relative:page;mso-wrap-distance-bottom:0pt;mso-wrap-distance-top:0pt;z-index:-251655168;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TdE57bAAAACwEAAA8AAAAAAAAAAQAgAAAAIgAAAGRycy9kb3ducmV2LnhtbFBLAQIUABQAAAAI&#10;AIdO4kCgxUukIwIAAE8EAAAOAAAAAAAAAAEAIAAAACoBAABkcnMvZTJvRG9jLnhtbFBLBQYAAAAA&#10;BgAGAFkBAAC/BQAAAAA=&#10;">
                <v:fill on="f" focussize="0,0"/>
                <v:stroke color="#000000" joinstyle="miter"/>
                <v:imagedata o:title=""/>
                <o:lock v:ext="edit" aspectratio="f"/>
                <v:textbox inset="0mm,0mm,0mm,0mm">
                  <w:txbxContent>
                    <w:p w14:paraId="121680F2">
                      <w:pPr>
                        <w:pStyle w:val="14"/>
                      </w:pPr>
                    </w:p>
                    <w:p w14:paraId="045D7E96">
                      <w:pPr>
                        <w:pStyle w:val="14"/>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11CDFC96">
                      <w:pPr>
                        <w:pStyle w:val="14"/>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宋体" w:hAnsi="宋体" w:cs="宋体"/>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1515745</wp:posOffset>
                </wp:positionV>
                <wp:extent cx="2240915" cy="1125855"/>
                <wp:effectExtent l="4445" t="4445" r="12065" b="12700"/>
                <wp:wrapTopAndBottom/>
                <wp:docPr id="4"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4550C405">
                            <w:pPr>
                              <w:pStyle w:val="14"/>
                            </w:pPr>
                          </w:p>
                          <w:p w14:paraId="467CC6C3">
                            <w:pPr>
                              <w:pStyle w:val="14"/>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3BE2039A">
                            <w:pPr>
                              <w:pStyle w:val="14"/>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wrap="square" lIns="0" tIns="0" rIns="0" bIns="0" upright="1"/>
                    </wps:wsp>
                  </a:graphicData>
                </a:graphic>
              </wp:anchor>
            </w:drawing>
          </mc:Choice>
          <mc:Fallback>
            <w:pict>
              <v:shape id="文本框 12" o:spid="_x0000_s1026" o:spt="202" type="#_x0000_t202" style="position:absolute;left:0pt;margin-left:298.45pt;margin-top:119.35pt;height:88.65pt;width:176.45pt;mso-position-horizontal-relative:page;mso-wrap-distance-bottom:0pt;mso-wrap-distance-top:0pt;z-index:-251654144;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k43d2wAAAAsBAAAPAAAAAAAAAAEAIAAAACIAAABkcnMvZG93bnJldi54bWxQSwECFAAUAAAA&#10;CACHTuJAyVCeSyQCAABPBAAADgAAAAAAAAABACAAAAAqAQAAZHJzL2Uyb0RvYy54bWxQSwUGAAAA&#10;AAYABgBZAQAAwAUAAAAA&#10;">
                <v:fill on="f" focussize="0,0"/>
                <v:stroke color="#000000" joinstyle="miter"/>
                <v:imagedata o:title=""/>
                <o:lock v:ext="edit" aspectratio="f"/>
                <v:textbox inset="0mm,0mm,0mm,0mm">
                  <w:txbxContent>
                    <w:p w14:paraId="4550C405">
                      <w:pPr>
                        <w:pStyle w:val="14"/>
                      </w:pPr>
                    </w:p>
                    <w:p w14:paraId="467CC6C3">
                      <w:pPr>
                        <w:pStyle w:val="14"/>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3BE2039A">
                      <w:pPr>
                        <w:pStyle w:val="14"/>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5235E157">
      <w:pPr>
        <w:pStyle w:val="14"/>
        <w:tabs>
          <w:tab w:val="left" w:pos="1560"/>
          <w:tab w:val="left" w:pos="2040"/>
        </w:tabs>
        <w:spacing w:before="66" w:line="240" w:lineRule="auto"/>
        <w:ind w:left="360"/>
        <w:rPr>
          <w:rFonts w:hint="eastAsia" w:ascii="宋体" w:hAnsi="宋体" w:cs="宋体"/>
        </w:rPr>
      </w:pPr>
      <w:r>
        <w:rPr>
          <w:rFonts w:hint="eastAsia" w:ascii="宋体" w:hAnsi="宋体" w:cs="宋体"/>
        </w:rPr>
        <w:t>注：投标人可自拟格式提供，但应与招标文件提供的格式具备同等效力。</w:t>
      </w:r>
    </w:p>
    <w:p w14:paraId="7812AAEF">
      <w:pPr>
        <w:rPr>
          <w:rFonts w:hint="eastAsia" w:ascii="宋体" w:hAnsi="宋体" w:cs="宋体"/>
          <w:b/>
          <w:bCs/>
          <w:sz w:val="24"/>
        </w:rPr>
      </w:pPr>
      <w:bookmarkStart w:id="59" w:name="_Toc507399521"/>
      <w:r>
        <w:rPr>
          <w:rFonts w:hint="eastAsia" w:ascii="宋体" w:hAnsi="宋体" w:cs="宋体"/>
          <w:b/>
          <w:bCs/>
          <w:sz w:val="24"/>
        </w:rPr>
        <w:br w:type="page"/>
      </w:r>
    </w:p>
    <w:bookmarkEnd w:id="59"/>
    <w:p w14:paraId="7F348071">
      <w:pPr>
        <w:pStyle w:val="9"/>
        <w:spacing w:before="66" w:line="240" w:lineRule="auto"/>
        <w:rPr>
          <w:rFonts w:hint="eastAsia" w:ascii="宋体" w:hAnsi="宋体" w:cs="宋体"/>
          <w:szCs w:val="24"/>
        </w:rPr>
      </w:pPr>
      <w:bookmarkStart w:id="60" w:name="_Toc32366"/>
      <w:bookmarkStart w:id="61" w:name="_Toc11207"/>
      <w:bookmarkStart w:id="62" w:name="_Toc507399522"/>
      <w:r>
        <w:rPr>
          <w:rFonts w:hint="eastAsia" w:ascii="宋体" w:hAnsi="宋体" w:cs="宋体"/>
          <w:szCs w:val="24"/>
        </w:rPr>
        <w:t>附件 2-3 投标人具有良好的商业信誉和健全的财务会计制度的证明文件</w:t>
      </w:r>
      <w:bookmarkEnd w:id="60"/>
      <w:bookmarkEnd w:id="61"/>
    </w:p>
    <w:p w14:paraId="1C30655D">
      <w:pPr>
        <w:pStyle w:val="14"/>
        <w:spacing w:line="240" w:lineRule="auto"/>
        <w:rPr>
          <w:rFonts w:hint="eastAsia" w:ascii="宋体" w:hAnsi="宋体" w:cs="宋体"/>
          <w:b/>
        </w:rPr>
      </w:pPr>
    </w:p>
    <w:p w14:paraId="07AD736F">
      <w:pPr>
        <w:pStyle w:val="14"/>
        <w:spacing w:line="240" w:lineRule="auto"/>
        <w:ind w:right="560"/>
        <w:rPr>
          <w:rFonts w:hint="eastAsia" w:ascii="宋体" w:hAnsi="宋体" w:cs="宋体"/>
        </w:rPr>
      </w:pPr>
      <w:r>
        <w:rPr>
          <w:rFonts w:hint="eastAsia" w:ascii="宋体" w:hAnsi="宋体" w:cs="宋体"/>
        </w:rPr>
        <w:t>会计师事务所出具的上一年度财务审计报告或</w:t>
      </w:r>
      <w:r>
        <w:rPr>
          <w:rFonts w:hint="eastAsia" w:ascii="宋体" w:hAnsi="宋体" w:cs="宋体"/>
          <w:color w:val="000000"/>
          <w:lang w:bidi="ar"/>
        </w:rPr>
        <w:t>开标日前三个月内银行出具的资金资信证明</w:t>
      </w:r>
      <w:r>
        <w:rPr>
          <w:rFonts w:hint="eastAsia" w:ascii="宋体" w:hAnsi="宋体" w:cs="宋体"/>
        </w:rPr>
        <w:t>等。</w:t>
      </w:r>
    </w:p>
    <w:p w14:paraId="24322A37">
      <w:pPr>
        <w:pStyle w:val="14"/>
        <w:spacing w:line="240" w:lineRule="auto"/>
        <w:rPr>
          <w:rFonts w:hint="eastAsia" w:ascii="宋体" w:hAnsi="宋体" w:cs="宋体"/>
        </w:rPr>
      </w:pPr>
    </w:p>
    <w:p w14:paraId="338A3EFF">
      <w:pPr>
        <w:pStyle w:val="14"/>
        <w:spacing w:line="240" w:lineRule="auto"/>
        <w:ind w:right="560"/>
        <w:rPr>
          <w:rFonts w:hint="eastAsia" w:ascii="宋体" w:hAnsi="宋体" w:cs="宋体"/>
        </w:rPr>
      </w:pPr>
      <w:r>
        <w:rPr>
          <w:rFonts w:hint="eastAsia" w:ascii="宋体" w:hAnsi="宋体" w:cs="宋体"/>
        </w:rPr>
        <w:t>说明：复印件并加盖本单位公章</w:t>
      </w:r>
    </w:p>
    <w:p w14:paraId="599F8D42">
      <w:pPr>
        <w:pStyle w:val="87"/>
        <w:ind w:left="5250"/>
        <w:rPr>
          <w:rFonts w:hint="eastAsia" w:ascii="宋体" w:hAnsi="宋体" w:cs="宋体"/>
          <w:b/>
          <w:sz w:val="24"/>
          <w:szCs w:val="24"/>
        </w:rPr>
      </w:pPr>
    </w:p>
    <w:p w14:paraId="58FB07E6">
      <w:pPr>
        <w:pStyle w:val="87"/>
        <w:ind w:left="5250"/>
        <w:rPr>
          <w:rFonts w:hint="eastAsia" w:ascii="宋体" w:hAnsi="宋体" w:cs="宋体"/>
          <w:b/>
          <w:sz w:val="24"/>
          <w:szCs w:val="24"/>
        </w:rPr>
      </w:pPr>
    </w:p>
    <w:p w14:paraId="316AE41D">
      <w:pPr>
        <w:rPr>
          <w:rFonts w:hint="eastAsia" w:ascii="宋体" w:hAnsi="宋体" w:cs="宋体"/>
          <w:b/>
          <w:bCs/>
          <w:sz w:val="24"/>
        </w:rPr>
      </w:pPr>
      <w:bookmarkStart w:id="63" w:name="_Toc30497"/>
      <w:r>
        <w:rPr>
          <w:rFonts w:hint="eastAsia" w:ascii="宋体" w:hAnsi="宋体" w:cs="宋体"/>
          <w:b/>
          <w:bCs/>
          <w:sz w:val="24"/>
        </w:rPr>
        <w:br w:type="page"/>
      </w:r>
    </w:p>
    <w:p w14:paraId="6CBDF30A">
      <w:pPr>
        <w:pStyle w:val="87"/>
        <w:outlineLvl w:val="0"/>
        <w:rPr>
          <w:rFonts w:hint="eastAsia" w:ascii="宋体" w:hAnsi="宋体" w:cs="宋体"/>
          <w:bCs w:val="0"/>
          <w:sz w:val="24"/>
          <w:szCs w:val="24"/>
        </w:rPr>
      </w:pPr>
      <w:bookmarkStart w:id="64" w:name="_Toc22978"/>
      <w:r>
        <w:rPr>
          <w:rFonts w:hint="eastAsia" w:ascii="宋体" w:hAnsi="宋体" w:cs="宋体"/>
          <w:b/>
          <w:sz w:val="24"/>
          <w:szCs w:val="24"/>
        </w:rPr>
        <w:t>附件 2-4 投标保证金缴纳凭证复印件</w:t>
      </w:r>
      <w:bookmarkEnd w:id="63"/>
      <w:bookmarkEnd w:id="64"/>
    </w:p>
    <w:p w14:paraId="4E21C3EA">
      <w:pPr>
        <w:pStyle w:val="87"/>
        <w:rPr>
          <w:rFonts w:hint="eastAsia" w:ascii="宋体" w:hAnsi="宋体" w:cs="宋体"/>
          <w:bCs w:val="0"/>
          <w:sz w:val="24"/>
          <w:szCs w:val="24"/>
        </w:rPr>
      </w:pPr>
      <w:r>
        <w:rPr>
          <w:rFonts w:hint="eastAsia" w:ascii="宋体" w:hAnsi="宋体" w:cs="宋体"/>
          <w:bCs w:val="0"/>
          <w:sz w:val="24"/>
          <w:szCs w:val="24"/>
        </w:rPr>
        <w:t>说明：投标人可将本项目投标保证金支付的汇款凭证的复印件作为缴纳凭证放在投标文件中，复印件上应加盖本单位公章；</w:t>
      </w:r>
    </w:p>
    <w:p w14:paraId="0065B676">
      <w:pPr>
        <w:pStyle w:val="14"/>
        <w:spacing w:line="240" w:lineRule="auto"/>
        <w:ind w:right="516"/>
        <w:rPr>
          <w:rFonts w:hint="eastAsia" w:ascii="宋体" w:hAnsi="宋体" w:cs="宋体"/>
          <w:b/>
        </w:rPr>
      </w:pPr>
    </w:p>
    <w:p w14:paraId="59158729">
      <w:pPr>
        <w:rPr>
          <w:rFonts w:hint="eastAsia" w:ascii="宋体" w:hAnsi="宋体" w:cs="宋体"/>
          <w:b/>
          <w:sz w:val="24"/>
        </w:rPr>
      </w:pPr>
      <w:r>
        <w:rPr>
          <w:rFonts w:hint="eastAsia" w:ascii="宋体" w:hAnsi="宋体" w:cs="宋体"/>
          <w:b/>
          <w:sz w:val="24"/>
        </w:rPr>
        <w:br w:type="page"/>
      </w:r>
    </w:p>
    <w:p w14:paraId="29EF15E0">
      <w:pPr>
        <w:pStyle w:val="14"/>
        <w:spacing w:line="240" w:lineRule="auto"/>
        <w:ind w:right="516"/>
        <w:outlineLvl w:val="0"/>
        <w:rPr>
          <w:rFonts w:hint="eastAsia" w:ascii="宋体" w:hAnsi="宋体" w:cs="宋体"/>
          <w:spacing w:val="-17"/>
        </w:rPr>
      </w:pPr>
      <w:bookmarkStart w:id="65" w:name="_Toc19010"/>
      <w:r>
        <w:rPr>
          <w:rFonts w:hint="eastAsia" w:ascii="宋体" w:hAnsi="宋体" w:cs="宋体"/>
          <w:b/>
        </w:rPr>
        <w:t xml:space="preserve">附件2-5 </w:t>
      </w:r>
      <w:r>
        <w:rPr>
          <w:rFonts w:hint="eastAsia" w:ascii="宋体" w:hAnsi="宋体" w:cs="宋体"/>
          <w:b/>
          <w:bCs/>
          <w:spacing w:val="-1"/>
        </w:rPr>
        <w:t>投标人缴纳</w:t>
      </w:r>
      <w:r>
        <w:rPr>
          <w:rFonts w:hint="eastAsia" w:ascii="宋体" w:hAnsi="宋体" w:cs="宋体"/>
          <w:b/>
          <w:bCs/>
        </w:rPr>
        <w:t>税收</w:t>
      </w:r>
      <w:r>
        <w:rPr>
          <w:rFonts w:hint="eastAsia" w:ascii="宋体" w:hAnsi="宋体" w:cs="宋体"/>
          <w:b/>
          <w:bCs/>
          <w:spacing w:val="-17"/>
        </w:rPr>
        <w:t>的证明</w:t>
      </w:r>
      <w:bookmarkEnd w:id="65"/>
    </w:p>
    <w:p w14:paraId="5426FC67">
      <w:pPr>
        <w:pStyle w:val="14"/>
        <w:spacing w:line="240" w:lineRule="auto"/>
        <w:ind w:right="516"/>
        <w:rPr>
          <w:rFonts w:hint="eastAsia" w:ascii="宋体" w:hAnsi="宋体" w:cs="宋体"/>
        </w:rPr>
      </w:pPr>
      <w:r>
        <w:rPr>
          <w:rFonts w:hint="eastAsia" w:ascii="宋体" w:hAnsi="宋体" w:cs="宋体"/>
        </w:rPr>
        <w:t>投标人缴纳税收的证明（加盖公章</w:t>
      </w:r>
      <w:r>
        <w:rPr>
          <w:rFonts w:hint="eastAsia" w:ascii="宋体" w:hAnsi="宋体" w:cs="宋体"/>
          <w:spacing w:val="-51"/>
        </w:rPr>
        <w:t>）</w:t>
      </w:r>
      <w:r>
        <w:rPr>
          <w:rFonts w:hint="eastAsia" w:ascii="宋体" w:hAnsi="宋体" w:cs="宋体"/>
          <w:spacing w:val="-2"/>
        </w:rPr>
        <w:t>或事业单位近期纳</w:t>
      </w:r>
      <w:r>
        <w:rPr>
          <w:rFonts w:hint="eastAsia" w:ascii="宋体" w:hAnsi="宋体" w:cs="宋体"/>
        </w:rPr>
        <w:t>税证明（加盖公章）或自然人缴纳个人所得税证明，须提供响应文件递交截止日期之前六个月内任何一期的纳税记录复印件加盖公章（依法免税的应提供相应文件说明）</w:t>
      </w:r>
    </w:p>
    <w:p w14:paraId="76ADE6F0">
      <w:pPr>
        <w:pStyle w:val="14"/>
        <w:spacing w:before="229" w:line="240" w:lineRule="auto"/>
        <w:ind w:right="396"/>
        <w:rPr>
          <w:rFonts w:hint="eastAsia" w:ascii="宋体" w:hAnsi="宋体" w:cs="宋体"/>
          <w:b/>
        </w:rPr>
      </w:pPr>
    </w:p>
    <w:p w14:paraId="08817822">
      <w:pPr>
        <w:rPr>
          <w:rFonts w:hint="eastAsia" w:ascii="宋体" w:hAnsi="宋体" w:cs="宋体"/>
          <w:b/>
          <w:sz w:val="24"/>
        </w:rPr>
      </w:pPr>
      <w:r>
        <w:rPr>
          <w:rFonts w:hint="eastAsia" w:ascii="宋体" w:hAnsi="宋体" w:cs="宋体"/>
          <w:b/>
          <w:sz w:val="24"/>
        </w:rPr>
        <w:br w:type="page"/>
      </w:r>
    </w:p>
    <w:p w14:paraId="69EA560A">
      <w:pPr>
        <w:pStyle w:val="14"/>
        <w:spacing w:line="240" w:lineRule="auto"/>
        <w:outlineLvl w:val="0"/>
        <w:rPr>
          <w:rFonts w:hint="eastAsia" w:ascii="宋体" w:hAnsi="宋体" w:cs="宋体"/>
          <w:b/>
        </w:rPr>
      </w:pPr>
      <w:bookmarkStart w:id="66" w:name="_Toc13470"/>
      <w:r>
        <w:rPr>
          <w:rFonts w:hint="eastAsia" w:ascii="宋体" w:hAnsi="宋体" w:cs="宋体"/>
          <w:b/>
        </w:rPr>
        <w:t>附件2-6 投标人为职工缴纳社会保险的证明</w:t>
      </w:r>
      <w:bookmarkEnd w:id="66"/>
    </w:p>
    <w:p w14:paraId="5DF3A57B">
      <w:pPr>
        <w:pStyle w:val="14"/>
        <w:spacing w:line="240" w:lineRule="auto"/>
        <w:rPr>
          <w:rFonts w:hint="eastAsia" w:ascii="宋体" w:hAnsi="宋体" w:cs="宋体"/>
        </w:rPr>
      </w:pPr>
    </w:p>
    <w:p w14:paraId="67205671">
      <w:pPr>
        <w:pStyle w:val="87"/>
        <w:ind w:left="-284"/>
        <w:rPr>
          <w:rFonts w:hint="eastAsia" w:ascii="宋体" w:hAnsi="宋体" w:cs="宋体"/>
          <w:bCs w:val="0"/>
          <w:sz w:val="24"/>
          <w:szCs w:val="24"/>
        </w:rPr>
      </w:pPr>
      <w:r>
        <w:rPr>
          <w:rFonts w:hint="eastAsia" w:ascii="宋体" w:hAnsi="宋体" w:cs="宋体"/>
          <w:bCs w:val="0"/>
          <w:spacing w:val="0"/>
          <w:kern w:val="2"/>
          <w:sz w:val="24"/>
          <w:szCs w:val="24"/>
        </w:rPr>
        <w:t>须提供响应文件递交截止日期之前六个月内为员工缴纳社会保障资金的证明材料复印件加盖公章（任意一个月即可），证明材料是缴纳社会保险的凭据（专用收据或社会保险缴纳清单）（依法不需要缴纳社会保障资金的应提供相应文件说明）</w:t>
      </w:r>
    </w:p>
    <w:bookmarkEnd w:id="62"/>
    <w:p w14:paraId="5EA1296E">
      <w:pPr>
        <w:pStyle w:val="87"/>
        <w:ind w:left="5250"/>
        <w:rPr>
          <w:rFonts w:hint="eastAsia" w:ascii="宋体" w:hAnsi="宋体" w:cs="宋体"/>
          <w:bCs w:val="0"/>
          <w:sz w:val="24"/>
          <w:szCs w:val="24"/>
        </w:rPr>
        <w:sectPr>
          <w:pgSz w:w="11906" w:h="16838"/>
          <w:pgMar w:top="1440" w:right="1800" w:bottom="1440" w:left="1800" w:header="851" w:footer="992" w:gutter="0"/>
          <w:cols w:space="720" w:num="1"/>
          <w:docGrid w:type="lines" w:linePitch="312" w:charSpace="0"/>
        </w:sectPr>
      </w:pPr>
    </w:p>
    <w:p w14:paraId="67BF4EE1">
      <w:pPr>
        <w:pStyle w:val="87"/>
        <w:jc w:val="center"/>
        <w:outlineLvl w:val="0"/>
        <w:rPr>
          <w:rFonts w:hint="eastAsia" w:ascii="宋体" w:hAnsi="宋体" w:cs="宋体"/>
          <w:b/>
          <w:sz w:val="24"/>
          <w:szCs w:val="24"/>
        </w:rPr>
      </w:pPr>
      <w:bookmarkStart w:id="67" w:name="_Toc11968"/>
      <w:bookmarkStart w:id="68" w:name="_Toc99"/>
      <w:r>
        <w:rPr>
          <w:rFonts w:hint="eastAsia" w:ascii="宋体" w:hAnsi="宋体" w:cs="宋体"/>
          <w:b/>
          <w:sz w:val="24"/>
          <w:szCs w:val="24"/>
        </w:rPr>
        <w:t>附件 2-7 投标人声明函（统一格式）</w:t>
      </w:r>
      <w:bookmarkEnd w:id="67"/>
      <w:bookmarkEnd w:id="68"/>
    </w:p>
    <w:p w14:paraId="3141F97D">
      <w:pPr>
        <w:pStyle w:val="14"/>
        <w:spacing w:line="240" w:lineRule="auto"/>
        <w:ind w:left="638" w:leftChars="304" w:right="869" w:rightChars="414"/>
        <w:rPr>
          <w:rFonts w:hint="eastAsia" w:ascii="宋体" w:hAnsi="宋体" w:cs="宋体"/>
          <w:bCs/>
        </w:rPr>
      </w:pPr>
      <w:bookmarkStart w:id="69" w:name="_Toc507399526"/>
      <w:r>
        <w:rPr>
          <w:rFonts w:hint="eastAsia" w:ascii="宋体" w:hAnsi="宋体" w:cs="宋体"/>
          <w:bCs/>
        </w:rPr>
        <w:t xml:space="preserve">    </w:t>
      </w:r>
    </w:p>
    <w:p w14:paraId="4B0CEB87">
      <w:pPr>
        <w:pStyle w:val="14"/>
        <w:spacing w:line="240" w:lineRule="auto"/>
        <w:rPr>
          <w:rFonts w:hint="eastAsia" w:ascii="宋体" w:hAnsi="宋体" w:cs="宋体"/>
          <w:bCs/>
        </w:rPr>
      </w:pPr>
      <w:r>
        <w:rPr>
          <w:rFonts w:hint="eastAsia" w:ascii="宋体" w:hAnsi="宋体" w:cs="宋体"/>
          <w:bCs/>
        </w:rPr>
        <w:t>致：</w:t>
      </w:r>
      <w:r>
        <w:rPr>
          <w:rFonts w:hint="eastAsia" w:ascii="宋体" w:hAnsi="宋体" w:cs="宋体"/>
          <w:bCs/>
          <w:u w:val="single"/>
        </w:rPr>
        <w:t>采购人/采购代理机构</w:t>
      </w:r>
    </w:p>
    <w:p w14:paraId="49B47FF2">
      <w:pPr>
        <w:pStyle w:val="14"/>
        <w:spacing w:line="240" w:lineRule="auto"/>
        <w:rPr>
          <w:rFonts w:hint="eastAsia" w:ascii="宋体" w:hAnsi="宋体" w:cs="宋体"/>
          <w:b/>
        </w:rPr>
      </w:pPr>
    </w:p>
    <w:p w14:paraId="2C9D41F4">
      <w:pPr>
        <w:rPr>
          <w:rFonts w:hint="eastAsia" w:ascii="宋体" w:hAnsi="宋体" w:cs="宋体"/>
          <w:sz w:val="24"/>
        </w:rPr>
      </w:pPr>
      <w:r>
        <w:rPr>
          <w:rFonts w:hint="eastAsia" w:ascii="宋体" w:hAnsi="宋体" w:cs="宋体"/>
          <w:sz w:val="24"/>
        </w:rPr>
        <w:t>在参与本次项目投标中，我单位</w:t>
      </w:r>
      <w:r>
        <w:rPr>
          <w:rFonts w:hint="eastAsia" w:ascii="宋体" w:hAnsi="宋体" w:cs="宋体"/>
          <w:b/>
          <w:sz w:val="24"/>
        </w:rPr>
        <w:t>郑重承诺</w:t>
      </w:r>
      <w:r>
        <w:rPr>
          <w:rFonts w:hint="eastAsia" w:ascii="宋体" w:hAnsi="宋体" w:cs="宋体"/>
          <w:sz w:val="24"/>
        </w:rPr>
        <w:t>：</w:t>
      </w:r>
    </w:p>
    <w:p w14:paraId="27F7FBB8">
      <w:pPr>
        <w:pStyle w:val="14"/>
        <w:spacing w:line="240" w:lineRule="auto"/>
        <w:rPr>
          <w:rFonts w:hint="eastAsia" w:ascii="宋体" w:hAnsi="宋体" w:cs="宋体"/>
        </w:rPr>
      </w:pPr>
      <w:r>
        <w:rPr>
          <w:rFonts w:hint="eastAsia" w:ascii="宋体" w:hAnsi="宋体" w:cs="宋体"/>
        </w:rPr>
        <w:t>1</w:t>
      </w:r>
      <w:r>
        <w:rPr>
          <w:rFonts w:hint="eastAsia" w:ascii="宋体" w:hAnsi="宋体" w:cs="宋体"/>
          <w:spacing w:val="-1"/>
        </w:rPr>
        <w:t>、我单位参与采购活动前三年内在经营活动中没有因违法经营受到刑事处罚或者</w:t>
      </w:r>
      <w:r>
        <w:rPr>
          <w:rFonts w:hint="eastAsia" w:ascii="宋体" w:hAnsi="宋体" w:cs="宋体"/>
          <w:spacing w:val="-8"/>
        </w:rPr>
        <w:t>责令停产停业、吊销许可证或者执照、较大数额罚款等行政处罚</w:t>
      </w:r>
      <w:r>
        <w:rPr>
          <w:rFonts w:hint="eastAsia" w:ascii="宋体" w:hAnsi="宋体" w:cs="宋体"/>
        </w:rPr>
        <w:t>（</w:t>
      </w:r>
      <w:r>
        <w:rPr>
          <w:rFonts w:hint="eastAsia" w:ascii="宋体" w:hAnsi="宋体" w:cs="宋体"/>
          <w:spacing w:val="-2"/>
        </w:rPr>
        <w:t>如果因违法经营被禁</w:t>
      </w:r>
      <w:r>
        <w:rPr>
          <w:rFonts w:hint="eastAsia" w:ascii="宋体" w:hAnsi="宋体" w:cs="宋体"/>
        </w:rPr>
        <w:t>止在一定期限内参加政府采购活动，期限已经届满</w:t>
      </w:r>
      <w:r>
        <w:rPr>
          <w:rFonts w:hint="eastAsia" w:ascii="宋体" w:hAnsi="宋体" w:cs="宋体"/>
          <w:spacing w:val="-120"/>
        </w:rPr>
        <w:t>）。</w:t>
      </w:r>
    </w:p>
    <w:p w14:paraId="6F807FA8">
      <w:pPr>
        <w:pStyle w:val="14"/>
        <w:spacing w:line="240" w:lineRule="auto"/>
        <w:rPr>
          <w:rFonts w:hint="eastAsia" w:ascii="宋体" w:hAnsi="宋体" w:cs="宋体"/>
        </w:rPr>
      </w:pPr>
      <w:r>
        <w:rPr>
          <w:rFonts w:hint="eastAsia" w:ascii="宋体" w:hAnsi="宋体" w:cs="宋体"/>
        </w:rPr>
        <w:t>2、我单位具有履行合同所必需的专业技术能力，并在规定工作时间内有能力调配较强工作力量，按时保质完成相关工作任务。</w:t>
      </w:r>
    </w:p>
    <w:p w14:paraId="2FAE4A9E">
      <w:pPr>
        <w:pStyle w:val="14"/>
        <w:spacing w:line="240" w:lineRule="auto"/>
        <w:rPr>
          <w:rFonts w:hint="eastAsia" w:ascii="宋体" w:hAnsi="宋体" w:cs="宋体"/>
        </w:rPr>
      </w:pPr>
      <w:r>
        <w:rPr>
          <w:rFonts w:hint="eastAsia" w:ascii="宋体" w:hAnsi="宋体" w:cs="宋体"/>
        </w:rPr>
        <w:t>3、我单位不存在单位负责人为同一人同时参加本项目投标的情况。</w:t>
      </w:r>
    </w:p>
    <w:p w14:paraId="4C71492B">
      <w:pPr>
        <w:pStyle w:val="14"/>
        <w:spacing w:line="240" w:lineRule="auto"/>
        <w:rPr>
          <w:rFonts w:hint="eastAsia" w:ascii="宋体" w:hAnsi="宋体" w:cs="宋体"/>
        </w:rPr>
      </w:pPr>
      <w:r>
        <w:rPr>
          <w:rFonts w:hint="eastAsia" w:ascii="宋体" w:hAnsi="宋体" w:cs="宋体"/>
        </w:rPr>
        <w:t>4、我单位不存在直接控股、管理关系的不同投标人同时参与本项目投标的情况。</w:t>
      </w:r>
    </w:p>
    <w:p w14:paraId="3110D22F">
      <w:pPr>
        <w:pStyle w:val="14"/>
        <w:spacing w:line="240" w:lineRule="auto"/>
        <w:rPr>
          <w:rFonts w:hint="eastAsia" w:ascii="宋体" w:hAnsi="宋体" w:cs="宋体"/>
        </w:rPr>
      </w:pPr>
      <w:r>
        <w:rPr>
          <w:rFonts w:hint="eastAsia" w:ascii="宋体" w:hAnsi="宋体" w:cs="宋体"/>
        </w:rPr>
        <w:t>5、我单位不存在为采购项目提供整体设计、规范编制或者项目管理、监理、检测等服务后，再参加该采购项目的其他采购活动的情形。</w:t>
      </w:r>
    </w:p>
    <w:p w14:paraId="6D5C2D90">
      <w:pPr>
        <w:pStyle w:val="14"/>
        <w:spacing w:line="240" w:lineRule="auto"/>
        <w:rPr>
          <w:rFonts w:hint="eastAsia" w:ascii="宋体" w:hAnsi="宋体" w:cs="宋体"/>
        </w:rPr>
      </w:pPr>
      <w:r>
        <w:rPr>
          <w:rFonts w:hint="eastAsia" w:ascii="宋体" w:hAnsi="宋体" w:cs="宋体"/>
        </w:rPr>
        <w:t>6、我单位在投标过程中，不存在向采购人提供、给予任何有价值的物品，试图影响其正常决策的行为。</w:t>
      </w:r>
    </w:p>
    <w:p w14:paraId="044CDB03">
      <w:pPr>
        <w:pStyle w:val="14"/>
        <w:spacing w:line="240" w:lineRule="auto"/>
        <w:rPr>
          <w:rFonts w:hint="eastAsia" w:ascii="宋体" w:hAnsi="宋体" w:cs="宋体"/>
        </w:rPr>
      </w:pPr>
      <w:r>
        <w:rPr>
          <w:rFonts w:hint="eastAsia" w:ascii="宋体" w:hAnsi="宋体" w:cs="宋体"/>
        </w:rPr>
        <w:t>7、我单位严格遵守国家及行业相关用工标准，做到合理合法用工。</w:t>
      </w:r>
    </w:p>
    <w:p w14:paraId="137AB292">
      <w:pPr>
        <w:pStyle w:val="14"/>
        <w:spacing w:line="240" w:lineRule="auto"/>
        <w:rPr>
          <w:rFonts w:hint="eastAsia" w:ascii="宋体" w:hAnsi="宋体" w:cs="宋体"/>
        </w:rPr>
      </w:pPr>
      <w:r>
        <w:rPr>
          <w:rFonts w:hint="eastAsia" w:ascii="宋体" w:hAnsi="宋体" w:cs="宋体"/>
        </w:rPr>
        <w:t>8、本项目所有岗位涉及工作人员在提供服务过程中，经采购人评价不具备工作能力的，我单位将无条件调换。</w:t>
      </w:r>
    </w:p>
    <w:p w14:paraId="65215285">
      <w:pPr>
        <w:pStyle w:val="14"/>
        <w:spacing w:line="240" w:lineRule="auto"/>
        <w:rPr>
          <w:rFonts w:hint="eastAsia" w:ascii="宋体" w:hAnsi="宋体" w:cs="宋体"/>
        </w:rPr>
      </w:pPr>
      <w:r>
        <w:rPr>
          <w:rFonts w:hint="eastAsia" w:ascii="宋体" w:hAnsi="宋体" w:cs="宋体"/>
        </w:rPr>
        <w:t>若采购人、采购代理机构在本项目采购过程中发现我单位存在违反上述承诺的事项， 我单位将自动失去在本项目的成交资格，并承担因此引起的一切后果及虚假投标责任。</w:t>
      </w:r>
    </w:p>
    <w:p w14:paraId="4A679D18">
      <w:pPr>
        <w:pStyle w:val="14"/>
        <w:spacing w:line="240" w:lineRule="auto"/>
        <w:rPr>
          <w:rFonts w:hint="eastAsia" w:ascii="宋体" w:hAnsi="宋体" w:cs="宋体"/>
        </w:rPr>
      </w:pPr>
    </w:p>
    <w:p w14:paraId="04028753">
      <w:pPr>
        <w:pStyle w:val="14"/>
        <w:spacing w:line="240" w:lineRule="auto"/>
        <w:rPr>
          <w:rFonts w:hint="eastAsia" w:ascii="宋体" w:hAnsi="宋体" w:cs="宋体"/>
        </w:rPr>
      </w:pPr>
    </w:p>
    <w:p w14:paraId="700E3A50">
      <w:pPr>
        <w:pStyle w:val="14"/>
        <w:tabs>
          <w:tab w:val="left" w:pos="4736"/>
        </w:tabs>
        <w:spacing w:line="240" w:lineRule="auto"/>
        <w:rPr>
          <w:rFonts w:hint="eastAsia" w:ascii="宋体" w:hAnsi="宋体" w:cs="宋体"/>
        </w:rPr>
      </w:pPr>
      <w:r>
        <w:rPr>
          <w:rFonts w:hint="eastAsia" w:ascii="宋体" w:hAnsi="宋体" w:cs="宋体"/>
        </w:rPr>
        <w:t>投标人名称（盖章）：</w:t>
      </w:r>
      <w:r>
        <w:rPr>
          <w:rFonts w:hint="eastAsia" w:ascii="宋体" w:hAnsi="宋体" w:cs="宋体"/>
          <w:u w:val="single"/>
        </w:rPr>
        <w:t xml:space="preserve"> </w:t>
      </w:r>
      <w:r>
        <w:rPr>
          <w:rFonts w:hint="eastAsia" w:ascii="宋体" w:hAnsi="宋体" w:cs="宋体"/>
          <w:u w:val="single"/>
        </w:rPr>
        <w:tab/>
      </w:r>
    </w:p>
    <w:p w14:paraId="6CE013FC">
      <w:pPr>
        <w:pStyle w:val="14"/>
        <w:tabs>
          <w:tab w:val="left" w:pos="5521"/>
          <w:tab w:val="left" w:pos="6366"/>
          <w:tab w:val="left" w:pos="9062"/>
        </w:tabs>
        <w:spacing w:line="240" w:lineRule="auto"/>
        <w:rPr>
          <w:rFonts w:hint="eastAsia" w:ascii="宋体" w:hAnsi="宋体" w:cs="宋体"/>
          <w:u w:val="single"/>
        </w:rPr>
      </w:pPr>
      <w:r>
        <w:rPr>
          <w:rFonts w:hint="eastAsia" w:ascii="宋体" w:hAnsi="宋体" w:cs="宋体"/>
        </w:rPr>
        <w:t>投标人授权代表(签字或盖章)：</w:t>
      </w:r>
      <w:r>
        <w:rPr>
          <w:rFonts w:hint="eastAsia" w:ascii="宋体" w:hAnsi="宋体" w:cs="宋体"/>
          <w:u w:val="single"/>
        </w:rPr>
        <w:t xml:space="preserve"> </w:t>
      </w:r>
      <w:r>
        <w:rPr>
          <w:rFonts w:hint="eastAsia" w:ascii="宋体" w:hAnsi="宋体" w:cs="宋体"/>
          <w:u w:val="single"/>
        </w:rPr>
        <w:tab/>
      </w:r>
    </w:p>
    <w:p w14:paraId="6B6B8D60">
      <w:pPr>
        <w:pStyle w:val="14"/>
        <w:tabs>
          <w:tab w:val="left" w:pos="5521"/>
          <w:tab w:val="left" w:pos="6366"/>
          <w:tab w:val="left" w:pos="9062"/>
        </w:tabs>
        <w:spacing w:line="240" w:lineRule="auto"/>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u w:val="single"/>
        </w:rPr>
        <w:tab/>
      </w:r>
    </w:p>
    <w:p w14:paraId="181B8C32">
      <w:pPr>
        <w:pStyle w:val="14"/>
        <w:spacing w:line="240" w:lineRule="auto"/>
        <w:rPr>
          <w:rFonts w:hint="eastAsia" w:ascii="宋体" w:hAnsi="宋体" w:cs="宋体"/>
        </w:rPr>
      </w:pPr>
      <w:r>
        <w:rPr>
          <w:rFonts w:hint="eastAsia" w:ascii="宋体" w:hAnsi="宋体" w:cs="宋体"/>
        </w:rPr>
        <w:t>（注：投标人实际情况如与上述承诺内容不符的，请如实说明，不得虚假承诺）</w:t>
      </w:r>
    </w:p>
    <w:p w14:paraId="73DE186D">
      <w:pPr>
        <w:rPr>
          <w:rFonts w:hint="eastAsia" w:ascii="宋体" w:hAnsi="宋体" w:cs="宋体"/>
          <w:sz w:val="24"/>
        </w:rPr>
      </w:pPr>
      <w:r>
        <w:rPr>
          <w:rFonts w:hint="eastAsia" w:ascii="宋体" w:hAnsi="宋体" w:cs="宋体"/>
          <w:sz w:val="24"/>
        </w:rPr>
        <w:t>说明：</w:t>
      </w:r>
      <w:r>
        <w:rPr>
          <w:rFonts w:hint="eastAsia" w:ascii="宋体" w:hAnsi="宋体" w:cs="宋体"/>
          <w:spacing w:val="-3"/>
          <w:sz w:val="24"/>
        </w:rPr>
        <w:t>自然人投标的无需盖章，需要签字。</w:t>
      </w:r>
    </w:p>
    <w:p w14:paraId="2A5C0BA1">
      <w:pPr>
        <w:rPr>
          <w:rFonts w:hint="eastAsia" w:ascii="宋体" w:hAnsi="宋体" w:cs="宋体"/>
          <w:sz w:val="24"/>
        </w:rPr>
        <w:sectPr>
          <w:type w:val="continuous"/>
          <w:pgSz w:w="11910" w:h="16850"/>
          <w:pgMar w:top="1440" w:right="1800" w:bottom="1440" w:left="1800" w:header="720" w:footer="720" w:gutter="0"/>
          <w:cols w:space="720" w:num="1"/>
        </w:sectPr>
      </w:pPr>
    </w:p>
    <w:p w14:paraId="2836E70C">
      <w:pPr>
        <w:pStyle w:val="9"/>
        <w:spacing w:before="67" w:line="240" w:lineRule="auto"/>
        <w:ind w:right="-92" w:rightChars="-44"/>
        <w:rPr>
          <w:rFonts w:hint="eastAsia" w:ascii="宋体" w:hAnsi="宋体" w:cs="宋体"/>
          <w:szCs w:val="24"/>
        </w:rPr>
      </w:pPr>
      <w:bookmarkStart w:id="70" w:name="_Toc23406"/>
      <w:bookmarkStart w:id="71" w:name="_Toc312"/>
      <w:r>
        <w:rPr>
          <w:rFonts w:hint="eastAsia" w:ascii="宋体" w:hAnsi="宋体" w:cs="宋体"/>
          <w:szCs w:val="24"/>
        </w:rPr>
        <w:t>附件 2-8 虚假应标承担责任声明（统一格式）</w:t>
      </w:r>
      <w:bookmarkEnd w:id="70"/>
      <w:bookmarkEnd w:id="71"/>
    </w:p>
    <w:p w14:paraId="5D4A7CBE">
      <w:pPr>
        <w:pStyle w:val="14"/>
        <w:spacing w:line="240" w:lineRule="auto"/>
        <w:ind w:right="-92" w:rightChars="-44"/>
        <w:rPr>
          <w:rFonts w:hint="eastAsia" w:ascii="宋体" w:hAnsi="宋体" w:cs="宋体"/>
          <w:b/>
        </w:rPr>
      </w:pPr>
    </w:p>
    <w:p w14:paraId="0DA06682">
      <w:pPr>
        <w:pStyle w:val="14"/>
        <w:spacing w:line="240" w:lineRule="auto"/>
        <w:ind w:right="-92" w:rightChars="-44"/>
        <w:rPr>
          <w:rFonts w:hint="eastAsia" w:ascii="宋体" w:hAnsi="宋体" w:cs="宋体"/>
          <w:b/>
        </w:rPr>
      </w:pPr>
    </w:p>
    <w:p w14:paraId="5D8948C4">
      <w:pPr>
        <w:pStyle w:val="14"/>
        <w:spacing w:before="2" w:line="240" w:lineRule="auto"/>
        <w:ind w:right="-92" w:rightChars="-44"/>
        <w:rPr>
          <w:rFonts w:hint="eastAsia" w:ascii="宋体" w:hAnsi="宋体" w:cs="宋体"/>
          <w:b/>
        </w:rPr>
      </w:pPr>
    </w:p>
    <w:p w14:paraId="76B9623D">
      <w:pPr>
        <w:pStyle w:val="9"/>
        <w:spacing w:line="240" w:lineRule="auto"/>
        <w:ind w:right="-92" w:rightChars="-44"/>
        <w:rPr>
          <w:rFonts w:hint="eastAsia" w:ascii="宋体" w:hAnsi="宋体" w:cs="宋体"/>
          <w:szCs w:val="24"/>
        </w:rPr>
      </w:pPr>
      <w:r>
        <w:rPr>
          <w:rFonts w:hint="eastAsia" w:ascii="宋体" w:hAnsi="宋体" w:cs="宋体"/>
          <w:szCs w:val="24"/>
        </w:rPr>
        <w:t>致：</w:t>
      </w:r>
      <w:r>
        <w:rPr>
          <w:rFonts w:hint="eastAsia" w:ascii="宋体" w:hAnsi="宋体" w:cs="宋体"/>
          <w:szCs w:val="24"/>
          <w:u w:val="single"/>
        </w:rPr>
        <w:t>采购人/采购代理机构</w:t>
      </w:r>
    </w:p>
    <w:p w14:paraId="40FAB299">
      <w:pPr>
        <w:pStyle w:val="14"/>
        <w:spacing w:before="9" w:line="240" w:lineRule="auto"/>
        <w:ind w:right="-92" w:rightChars="-44"/>
        <w:rPr>
          <w:rFonts w:hint="eastAsia" w:ascii="宋体" w:hAnsi="宋体" w:cs="宋体"/>
          <w:b/>
        </w:rPr>
      </w:pPr>
    </w:p>
    <w:p w14:paraId="6CA27BE9">
      <w:pPr>
        <w:pStyle w:val="14"/>
        <w:spacing w:before="67" w:line="240" w:lineRule="auto"/>
        <w:ind w:right="-92" w:rightChars="-44" w:firstLine="480" w:firstLineChars="200"/>
        <w:rPr>
          <w:rFonts w:hint="eastAsia" w:ascii="宋体" w:hAnsi="宋体" w:cs="宋体"/>
        </w:rPr>
      </w:pPr>
      <w:r>
        <w:rPr>
          <w:rFonts w:hint="eastAsia" w:ascii="宋体" w:hAnsi="宋体" w:cs="宋体"/>
        </w:rPr>
        <w:t>我公司</w:t>
      </w:r>
      <w:r>
        <w:rPr>
          <w:rFonts w:hint="eastAsia" w:ascii="宋体" w:hAnsi="宋体" w:cs="宋体"/>
          <w:spacing w:val="-7"/>
        </w:rPr>
        <w:t>承诺：</w:t>
      </w:r>
      <w:r>
        <w:rPr>
          <w:rFonts w:hint="eastAsia" w:ascii="宋体" w:hAnsi="宋体" w:cs="宋体"/>
          <w:spacing w:val="-3"/>
        </w:rPr>
        <w:t>所提供的投标文件</w:t>
      </w:r>
      <w:r>
        <w:rPr>
          <w:rFonts w:hint="eastAsia" w:ascii="宋体" w:hAnsi="宋体" w:cs="宋体"/>
        </w:rPr>
        <w:t>（</w:t>
      </w:r>
      <w:r>
        <w:rPr>
          <w:rFonts w:hint="eastAsia" w:ascii="宋体" w:hAnsi="宋体" w:cs="宋体"/>
          <w:spacing w:val="-5"/>
        </w:rPr>
        <w:t>包括一切技术资料、技术承诺、商务承诺等</w:t>
      </w:r>
      <w:r>
        <w:rPr>
          <w:rFonts w:hint="eastAsia" w:ascii="宋体" w:hAnsi="宋体" w:cs="宋体"/>
          <w:spacing w:val="-20"/>
        </w:rPr>
        <w:t>）</w:t>
      </w:r>
      <w:r>
        <w:rPr>
          <w:rFonts w:hint="eastAsia" w:ascii="宋体" w:hAnsi="宋体" w:cs="宋体"/>
          <w:spacing w:val="-12"/>
        </w:rPr>
        <w:t>均</w:t>
      </w:r>
      <w:r>
        <w:rPr>
          <w:rFonts w:hint="eastAsia" w:ascii="宋体" w:hAnsi="宋体" w:cs="宋体"/>
          <w:spacing w:val="-6"/>
        </w:rPr>
        <w:t>真实有效，若在项目招标过程中</w:t>
      </w:r>
      <w:r>
        <w:rPr>
          <w:rFonts w:hint="eastAsia" w:ascii="宋体" w:hAnsi="宋体" w:cs="宋体"/>
        </w:rPr>
        <w:t>（</w:t>
      </w:r>
      <w:r>
        <w:rPr>
          <w:rFonts w:hint="eastAsia" w:ascii="宋体" w:hAnsi="宋体" w:cs="宋体"/>
          <w:spacing w:val="-6"/>
        </w:rPr>
        <w:t>包括开评审、中标公示过程</w:t>
      </w:r>
      <w:r>
        <w:rPr>
          <w:rFonts w:hint="eastAsia" w:ascii="宋体" w:hAnsi="宋体" w:cs="宋体"/>
          <w:spacing w:val="-20"/>
        </w:rPr>
        <w:t>）</w:t>
      </w:r>
      <w:r>
        <w:rPr>
          <w:rFonts w:hint="eastAsia" w:ascii="宋体" w:hAnsi="宋体" w:cs="宋体"/>
          <w:spacing w:val="-2"/>
        </w:rPr>
        <w:t>及履行合同期间</w:t>
      </w:r>
      <w:r>
        <w:rPr>
          <w:rFonts w:hint="eastAsia" w:ascii="宋体" w:hAnsi="宋体" w:cs="宋体"/>
        </w:rPr>
        <w:t>（包括验收过程</w:t>
      </w:r>
      <w:r>
        <w:rPr>
          <w:rFonts w:hint="eastAsia" w:ascii="宋体" w:hAnsi="宋体" w:cs="宋体"/>
          <w:spacing w:val="-15"/>
        </w:rPr>
        <w:t>）</w:t>
      </w:r>
      <w:r>
        <w:rPr>
          <w:rFonts w:hint="eastAsia" w:ascii="宋体" w:hAnsi="宋体" w:cs="宋体"/>
          <w:spacing w:val="-2"/>
        </w:rPr>
        <w:t>发现我公司提供的货物</w:t>
      </w:r>
      <w:r>
        <w:rPr>
          <w:rFonts w:hint="eastAsia" w:ascii="宋体" w:hAnsi="宋体" w:cs="宋体"/>
        </w:rPr>
        <w:t>（或服务</w:t>
      </w:r>
      <w:r>
        <w:rPr>
          <w:rFonts w:hint="eastAsia" w:ascii="宋体" w:hAnsi="宋体" w:cs="宋体"/>
          <w:spacing w:val="-15"/>
        </w:rPr>
        <w:t>）</w:t>
      </w:r>
      <w:r>
        <w:rPr>
          <w:rFonts w:hint="eastAsia" w:ascii="宋体" w:hAnsi="宋体" w:cs="宋体"/>
          <w:spacing w:val="-5"/>
        </w:rPr>
        <w:t>与投标</w:t>
      </w:r>
      <w:r>
        <w:rPr>
          <w:rFonts w:hint="eastAsia" w:ascii="宋体" w:hAnsi="宋体" w:cs="宋体"/>
        </w:rPr>
        <w:t>文件</w:t>
      </w:r>
      <w:r>
        <w:rPr>
          <w:rFonts w:hint="eastAsia" w:ascii="宋体" w:hAnsi="宋体" w:cs="宋体"/>
          <w:spacing w:val="-6"/>
        </w:rPr>
        <w:t>不一致，或发现我</w:t>
      </w:r>
      <w:r>
        <w:rPr>
          <w:rFonts w:hint="eastAsia" w:ascii="宋体" w:hAnsi="宋体" w:cs="宋体"/>
        </w:rPr>
        <w:t>公司提供了不真实的投标文件（虚假材料</w:t>
      </w:r>
      <w:r>
        <w:rPr>
          <w:rFonts w:hint="eastAsia" w:ascii="宋体" w:hAnsi="宋体" w:cs="宋体"/>
          <w:spacing w:val="-120"/>
        </w:rPr>
        <w:t>）   ）</w:t>
      </w:r>
      <w:r>
        <w:rPr>
          <w:rFonts w:hint="eastAsia" w:ascii="宋体" w:hAnsi="宋体" w:cs="宋体"/>
        </w:rPr>
        <w:t>），我公司愿意承担一切法律责任并认可采购人或采购代理机构作出的取消中标资格、罚没保证金等决定。</w:t>
      </w:r>
    </w:p>
    <w:p w14:paraId="30787BCD">
      <w:pPr>
        <w:pStyle w:val="14"/>
        <w:spacing w:line="240" w:lineRule="auto"/>
        <w:ind w:right="-92" w:rightChars="-44"/>
        <w:rPr>
          <w:rFonts w:hint="eastAsia" w:ascii="宋体" w:hAnsi="宋体" w:cs="宋体"/>
        </w:rPr>
      </w:pPr>
      <w:r>
        <w:rPr>
          <w:rFonts w:hint="eastAsia" w:ascii="宋体" w:hAnsi="宋体" w:cs="宋体"/>
        </w:rPr>
        <w:t>特此声明。</w:t>
      </w:r>
    </w:p>
    <w:p w14:paraId="19323F84">
      <w:pPr>
        <w:pStyle w:val="14"/>
        <w:spacing w:line="240" w:lineRule="auto"/>
        <w:ind w:right="-92" w:rightChars="-44"/>
        <w:rPr>
          <w:rFonts w:hint="eastAsia" w:ascii="宋体" w:hAnsi="宋体" w:cs="宋体"/>
        </w:rPr>
      </w:pPr>
    </w:p>
    <w:p w14:paraId="37BB6ED7">
      <w:pPr>
        <w:pStyle w:val="14"/>
        <w:spacing w:line="240" w:lineRule="auto"/>
        <w:ind w:right="-92" w:rightChars="-44"/>
        <w:rPr>
          <w:rFonts w:hint="eastAsia" w:ascii="宋体" w:hAnsi="宋体" w:cs="宋体"/>
        </w:rPr>
      </w:pPr>
    </w:p>
    <w:p w14:paraId="2C97F750">
      <w:pPr>
        <w:pStyle w:val="14"/>
        <w:spacing w:line="240" w:lineRule="auto"/>
        <w:ind w:right="-92" w:rightChars="-44"/>
        <w:rPr>
          <w:rFonts w:hint="eastAsia" w:ascii="宋体" w:hAnsi="宋体" w:cs="宋体"/>
        </w:rPr>
      </w:pPr>
    </w:p>
    <w:p w14:paraId="5CF77D4B">
      <w:pPr>
        <w:pStyle w:val="14"/>
        <w:tabs>
          <w:tab w:val="left" w:pos="4736"/>
        </w:tabs>
        <w:spacing w:line="240" w:lineRule="auto"/>
        <w:rPr>
          <w:rFonts w:hint="eastAsia" w:ascii="宋体" w:hAnsi="宋体" w:cs="宋体"/>
        </w:rPr>
      </w:pPr>
      <w:r>
        <w:rPr>
          <w:rFonts w:hint="eastAsia" w:ascii="宋体" w:hAnsi="宋体" w:cs="宋体"/>
        </w:rPr>
        <w:t>投标人名称（盖章）：</w:t>
      </w:r>
      <w:r>
        <w:rPr>
          <w:rFonts w:hint="eastAsia" w:ascii="宋体" w:hAnsi="宋体" w:cs="宋体"/>
          <w:u w:val="single"/>
        </w:rPr>
        <w:t xml:space="preserve"> </w:t>
      </w:r>
      <w:r>
        <w:rPr>
          <w:rFonts w:hint="eastAsia" w:ascii="宋体" w:hAnsi="宋体" w:cs="宋体"/>
          <w:u w:val="single"/>
        </w:rPr>
        <w:tab/>
      </w:r>
    </w:p>
    <w:p w14:paraId="1D8EA028">
      <w:pPr>
        <w:pStyle w:val="14"/>
        <w:tabs>
          <w:tab w:val="left" w:pos="5521"/>
          <w:tab w:val="left" w:pos="6366"/>
          <w:tab w:val="left" w:pos="9062"/>
        </w:tabs>
        <w:spacing w:line="240" w:lineRule="auto"/>
        <w:rPr>
          <w:rFonts w:hint="eastAsia" w:ascii="宋体" w:hAnsi="宋体" w:cs="宋体"/>
          <w:u w:val="single"/>
        </w:rPr>
      </w:pPr>
      <w:r>
        <w:rPr>
          <w:rFonts w:hint="eastAsia" w:ascii="宋体" w:hAnsi="宋体" w:cs="宋体"/>
        </w:rPr>
        <w:t>投标人授权代表(签字或盖章)：</w:t>
      </w:r>
      <w:r>
        <w:rPr>
          <w:rFonts w:hint="eastAsia" w:ascii="宋体" w:hAnsi="宋体" w:cs="宋体"/>
          <w:u w:val="single"/>
        </w:rPr>
        <w:t xml:space="preserve"> </w:t>
      </w:r>
      <w:r>
        <w:rPr>
          <w:rFonts w:hint="eastAsia" w:ascii="宋体" w:hAnsi="宋体" w:cs="宋体"/>
          <w:u w:val="single"/>
        </w:rPr>
        <w:tab/>
      </w:r>
    </w:p>
    <w:p w14:paraId="03A2E651">
      <w:pPr>
        <w:pStyle w:val="14"/>
        <w:tabs>
          <w:tab w:val="left" w:pos="5521"/>
          <w:tab w:val="left" w:pos="6366"/>
          <w:tab w:val="left" w:pos="9062"/>
        </w:tabs>
        <w:spacing w:line="240" w:lineRule="auto"/>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u w:val="single"/>
        </w:rPr>
        <w:tab/>
      </w:r>
    </w:p>
    <w:p w14:paraId="1B6A655B">
      <w:pPr>
        <w:pStyle w:val="14"/>
        <w:spacing w:line="240" w:lineRule="auto"/>
        <w:rPr>
          <w:rFonts w:hint="eastAsia" w:ascii="宋体" w:hAnsi="宋体" w:cs="宋体"/>
        </w:rPr>
      </w:pPr>
    </w:p>
    <w:p w14:paraId="5BBF02D0">
      <w:pPr>
        <w:pStyle w:val="14"/>
        <w:spacing w:line="240" w:lineRule="auto"/>
        <w:rPr>
          <w:rFonts w:hint="eastAsia" w:ascii="宋体" w:hAnsi="宋体" w:cs="宋体"/>
        </w:rPr>
      </w:pPr>
    </w:p>
    <w:p w14:paraId="49DBCC97">
      <w:pPr>
        <w:pStyle w:val="14"/>
        <w:tabs>
          <w:tab w:val="left" w:pos="1560"/>
          <w:tab w:val="left" w:pos="2040"/>
        </w:tabs>
        <w:spacing w:before="66" w:line="240" w:lineRule="auto"/>
        <w:ind w:right="-92" w:rightChars="-44"/>
        <w:rPr>
          <w:rFonts w:hint="eastAsia" w:ascii="宋体" w:hAnsi="宋体" w:cs="宋体"/>
        </w:rPr>
      </w:pPr>
    </w:p>
    <w:p w14:paraId="10448D55">
      <w:pPr>
        <w:pStyle w:val="87"/>
        <w:ind w:left="5250" w:right="-92" w:rightChars="-44"/>
        <w:jc w:val="both"/>
        <w:rPr>
          <w:rFonts w:hint="eastAsia" w:ascii="宋体" w:hAnsi="宋体" w:cs="宋体"/>
          <w:b/>
          <w:sz w:val="24"/>
          <w:szCs w:val="24"/>
        </w:rPr>
        <w:sectPr>
          <w:pgSz w:w="11906" w:h="16838"/>
          <w:pgMar w:top="1440" w:right="1800" w:bottom="1440" w:left="1800" w:header="851" w:footer="992" w:gutter="0"/>
          <w:cols w:space="720" w:num="1"/>
          <w:docGrid w:type="lines" w:linePitch="312" w:charSpace="0"/>
        </w:sectPr>
      </w:pPr>
    </w:p>
    <w:p w14:paraId="30EEAC81">
      <w:pPr>
        <w:pStyle w:val="9"/>
        <w:spacing w:before="67" w:line="240" w:lineRule="auto"/>
        <w:rPr>
          <w:rFonts w:hint="eastAsia" w:ascii="宋体" w:hAnsi="宋体" w:cs="宋体"/>
          <w:szCs w:val="24"/>
        </w:rPr>
      </w:pPr>
      <w:bookmarkStart w:id="72" w:name="_Toc1085"/>
      <w:bookmarkStart w:id="73" w:name="_Toc28847"/>
      <w:r>
        <w:rPr>
          <w:rFonts w:hint="eastAsia" w:ascii="宋体" w:hAnsi="宋体" w:cs="宋体"/>
          <w:szCs w:val="24"/>
        </w:rPr>
        <w:t>附件 2-9（格式自拟）</w:t>
      </w:r>
      <w:bookmarkEnd w:id="72"/>
      <w:bookmarkEnd w:id="73"/>
    </w:p>
    <w:p w14:paraId="4F5C944C">
      <w:pPr>
        <w:pStyle w:val="14"/>
        <w:spacing w:before="9" w:line="240" w:lineRule="auto"/>
        <w:rPr>
          <w:rFonts w:hint="eastAsia" w:ascii="宋体" w:hAnsi="宋体" w:cs="宋体"/>
          <w:b/>
        </w:rPr>
      </w:pPr>
    </w:p>
    <w:p w14:paraId="2DB213BB">
      <w:pPr>
        <w:pStyle w:val="7"/>
        <w:spacing w:line="240" w:lineRule="auto"/>
        <w:rPr>
          <w:rFonts w:hint="eastAsia" w:ascii="宋体" w:hAnsi="宋体" w:cs="宋体"/>
          <w:sz w:val="24"/>
          <w:szCs w:val="24"/>
        </w:rPr>
      </w:pPr>
      <w:r>
        <w:rPr>
          <w:rFonts w:hint="eastAsia" w:ascii="宋体" w:hAnsi="宋体" w:cs="宋体"/>
          <w:sz w:val="24"/>
          <w:szCs w:val="24"/>
        </w:rPr>
        <w:t>投标人关联单位的说明（格式自拟）（必须提供）</w:t>
      </w:r>
    </w:p>
    <w:p w14:paraId="23ABCAE5">
      <w:pPr>
        <w:rPr>
          <w:rFonts w:hint="eastAsia" w:ascii="宋体" w:hAnsi="宋体" w:cs="宋体"/>
          <w:sz w:val="24"/>
        </w:rPr>
      </w:pPr>
    </w:p>
    <w:p w14:paraId="1093847E">
      <w:pPr>
        <w:pStyle w:val="87"/>
        <w:rPr>
          <w:rFonts w:hint="eastAsia" w:ascii="宋体" w:hAnsi="宋体" w:cs="宋体"/>
          <w:sz w:val="24"/>
          <w:szCs w:val="24"/>
        </w:rPr>
      </w:pPr>
      <w:r>
        <w:rPr>
          <w:rFonts w:hint="eastAsia" w:ascii="宋体" w:hAnsi="宋体" w:cs="宋体"/>
          <w:sz w:val="24"/>
          <w:szCs w:val="24"/>
        </w:rPr>
        <w:t>说明：</w:t>
      </w:r>
    </w:p>
    <w:p w14:paraId="064E8C53">
      <w:pPr>
        <w:pStyle w:val="87"/>
        <w:rPr>
          <w:rFonts w:hint="eastAsia" w:ascii="宋体" w:hAnsi="宋体" w:cs="宋体"/>
          <w:sz w:val="24"/>
          <w:szCs w:val="24"/>
        </w:rPr>
      </w:pPr>
      <w:r>
        <w:rPr>
          <w:rFonts w:hint="eastAsia" w:ascii="宋体" w:hAnsi="宋体" w:cs="宋体"/>
          <w:sz w:val="24"/>
          <w:szCs w:val="24"/>
        </w:rPr>
        <w:t>1.投标人应当如实披露与本单位存在下列关联关系的单位名称：</w:t>
      </w:r>
    </w:p>
    <w:p w14:paraId="0E6A089F">
      <w:pPr>
        <w:pStyle w:val="87"/>
        <w:rPr>
          <w:rFonts w:hint="eastAsia" w:ascii="宋体" w:hAnsi="宋体" w:cs="宋体"/>
          <w:sz w:val="24"/>
          <w:szCs w:val="24"/>
        </w:rPr>
      </w:pPr>
      <w:r>
        <w:rPr>
          <w:rFonts w:hint="eastAsia" w:ascii="宋体" w:hAnsi="宋体" w:cs="宋体"/>
          <w:sz w:val="24"/>
          <w:szCs w:val="24"/>
        </w:rPr>
        <w:t>与投标人单位负责人为同一人的其他单位；</w:t>
      </w:r>
    </w:p>
    <w:p w14:paraId="14D985A5">
      <w:pPr>
        <w:pStyle w:val="87"/>
        <w:rPr>
          <w:rFonts w:hint="eastAsia" w:ascii="宋体" w:hAnsi="宋体" w:cs="宋体"/>
          <w:sz w:val="24"/>
          <w:szCs w:val="24"/>
        </w:rPr>
      </w:pPr>
      <w:r>
        <w:rPr>
          <w:rFonts w:hint="eastAsia" w:ascii="宋体" w:hAnsi="宋体" w:cs="宋体"/>
          <w:sz w:val="24"/>
          <w:szCs w:val="24"/>
        </w:rPr>
        <w:t>2.与投标人存在直接控股、管理关系的其他单位；</w:t>
      </w:r>
    </w:p>
    <w:p w14:paraId="77E8C229">
      <w:pPr>
        <w:pStyle w:val="87"/>
        <w:rPr>
          <w:rFonts w:hint="eastAsia" w:ascii="宋体" w:hAnsi="宋体" w:cs="宋体"/>
          <w:sz w:val="24"/>
          <w:szCs w:val="24"/>
        </w:rPr>
      </w:pPr>
      <w:r>
        <w:rPr>
          <w:rFonts w:hint="eastAsia" w:ascii="宋体" w:hAnsi="宋体" w:cs="宋体"/>
          <w:sz w:val="24"/>
          <w:szCs w:val="24"/>
        </w:rPr>
        <w:t>3.如无关联单位可不提供此说明。</w:t>
      </w:r>
    </w:p>
    <w:p w14:paraId="376D9A14">
      <w:pPr>
        <w:pStyle w:val="87"/>
        <w:ind w:left="5250"/>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p>
    <w:p w14:paraId="02BCBC6C">
      <w:pPr>
        <w:pStyle w:val="9"/>
        <w:tabs>
          <w:tab w:val="left" w:pos="1627"/>
        </w:tabs>
        <w:spacing w:before="67" w:line="240" w:lineRule="auto"/>
        <w:rPr>
          <w:rFonts w:hint="eastAsia" w:ascii="宋体" w:hAnsi="宋体" w:cs="宋体"/>
          <w:szCs w:val="24"/>
        </w:rPr>
      </w:pPr>
      <w:bookmarkStart w:id="74" w:name="_Toc5327"/>
      <w:bookmarkStart w:id="75" w:name="_Toc23872"/>
      <w:r>
        <w:rPr>
          <w:rFonts w:hint="eastAsia" w:ascii="宋体" w:hAnsi="宋体" w:cs="宋体"/>
          <w:spacing w:val="2"/>
          <w:w w:val="99"/>
          <w:szCs w:val="24"/>
        </w:rPr>
        <w:t>附</w:t>
      </w:r>
      <w:r>
        <w:rPr>
          <w:rFonts w:hint="eastAsia" w:ascii="宋体" w:hAnsi="宋体" w:cs="宋体"/>
          <w:w w:val="99"/>
          <w:szCs w:val="24"/>
        </w:rPr>
        <w:t>件</w:t>
      </w:r>
      <w:r>
        <w:rPr>
          <w:rFonts w:hint="eastAsia" w:ascii="宋体" w:hAnsi="宋体" w:cs="宋体"/>
          <w:spacing w:val="-61"/>
          <w:szCs w:val="24"/>
        </w:rPr>
        <w:t xml:space="preserve"> </w:t>
      </w:r>
      <w:r>
        <w:rPr>
          <w:rFonts w:hint="eastAsia" w:ascii="宋体" w:hAnsi="宋体" w:cs="宋体"/>
          <w:spacing w:val="2"/>
          <w:w w:val="99"/>
          <w:szCs w:val="24"/>
        </w:rPr>
        <w:t>2</w:t>
      </w:r>
      <w:r>
        <w:rPr>
          <w:rFonts w:hint="eastAsia" w:ascii="宋体" w:hAnsi="宋体" w:cs="宋体"/>
          <w:w w:val="99"/>
          <w:szCs w:val="24"/>
        </w:rPr>
        <w:t>-10</w:t>
      </w:r>
      <w:r>
        <w:rPr>
          <w:rFonts w:hint="eastAsia" w:ascii="宋体" w:hAnsi="宋体" w:cs="宋体"/>
          <w:szCs w:val="24"/>
        </w:rPr>
        <w:tab/>
      </w:r>
      <w:r>
        <w:rPr>
          <w:rFonts w:hint="eastAsia" w:ascii="宋体" w:hAnsi="宋体" w:cs="宋体"/>
          <w:spacing w:val="2"/>
          <w:w w:val="99"/>
          <w:szCs w:val="24"/>
        </w:rPr>
        <w:t>投标人</w:t>
      </w:r>
      <w:r>
        <w:rPr>
          <w:rFonts w:hint="eastAsia" w:ascii="宋体" w:hAnsi="宋体" w:cs="宋体"/>
          <w:w w:val="99"/>
          <w:szCs w:val="24"/>
        </w:rPr>
        <w:t>须</w:t>
      </w:r>
      <w:r>
        <w:rPr>
          <w:rFonts w:hint="eastAsia" w:ascii="宋体" w:hAnsi="宋体" w:cs="宋体"/>
          <w:spacing w:val="2"/>
          <w:w w:val="99"/>
          <w:szCs w:val="24"/>
        </w:rPr>
        <w:t>知前附表</w:t>
      </w:r>
      <w:r>
        <w:rPr>
          <w:rFonts w:hint="eastAsia" w:ascii="宋体" w:hAnsi="宋体" w:cs="宋体"/>
          <w:w w:val="99"/>
          <w:szCs w:val="24"/>
        </w:rPr>
        <w:t>要</w:t>
      </w:r>
      <w:r>
        <w:rPr>
          <w:rFonts w:hint="eastAsia" w:ascii="宋体" w:hAnsi="宋体" w:cs="宋体"/>
          <w:spacing w:val="2"/>
          <w:w w:val="99"/>
          <w:szCs w:val="24"/>
        </w:rPr>
        <w:t>求</w:t>
      </w:r>
      <w:r>
        <w:rPr>
          <w:rFonts w:hint="eastAsia" w:ascii="宋体" w:hAnsi="宋体" w:cs="宋体"/>
          <w:w w:val="99"/>
          <w:szCs w:val="24"/>
        </w:rPr>
        <w:t>的</w:t>
      </w:r>
      <w:r>
        <w:rPr>
          <w:rFonts w:hint="eastAsia" w:ascii="宋体" w:hAnsi="宋体" w:cs="宋体"/>
          <w:spacing w:val="2"/>
          <w:w w:val="99"/>
          <w:szCs w:val="24"/>
        </w:rPr>
        <w:t>其</w:t>
      </w:r>
      <w:r>
        <w:rPr>
          <w:rFonts w:hint="eastAsia" w:ascii="宋体" w:hAnsi="宋体" w:cs="宋体"/>
          <w:w w:val="99"/>
          <w:szCs w:val="24"/>
        </w:rPr>
        <w:t>他资</w:t>
      </w:r>
      <w:r>
        <w:rPr>
          <w:rFonts w:hint="eastAsia" w:ascii="宋体" w:hAnsi="宋体" w:cs="宋体"/>
          <w:spacing w:val="2"/>
          <w:w w:val="99"/>
          <w:szCs w:val="24"/>
        </w:rPr>
        <w:t>格</w:t>
      </w:r>
      <w:r>
        <w:rPr>
          <w:rFonts w:hint="eastAsia" w:ascii="宋体" w:hAnsi="宋体" w:cs="宋体"/>
          <w:w w:val="99"/>
          <w:szCs w:val="24"/>
        </w:rPr>
        <w:t>证</w:t>
      </w:r>
      <w:r>
        <w:rPr>
          <w:rFonts w:hint="eastAsia" w:ascii="宋体" w:hAnsi="宋体" w:cs="宋体"/>
          <w:spacing w:val="2"/>
          <w:w w:val="99"/>
          <w:szCs w:val="24"/>
        </w:rPr>
        <w:t>明</w:t>
      </w:r>
      <w:r>
        <w:rPr>
          <w:rFonts w:hint="eastAsia" w:ascii="宋体" w:hAnsi="宋体" w:cs="宋体"/>
          <w:w w:val="99"/>
          <w:szCs w:val="24"/>
        </w:rPr>
        <w:t>文件</w:t>
      </w:r>
      <w:bookmarkEnd w:id="74"/>
      <w:bookmarkEnd w:id="75"/>
    </w:p>
    <w:p w14:paraId="1D9535D5">
      <w:pPr>
        <w:pStyle w:val="14"/>
        <w:spacing w:before="12" w:line="240" w:lineRule="auto"/>
        <w:rPr>
          <w:rFonts w:hint="eastAsia" w:ascii="宋体" w:hAnsi="宋体" w:cs="宋体"/>
          <w:b/>
        </w:rPr>
      </w:pPr>
    </w:p>
    <w:p w14:paraId="003EE182">
      <w:pPr>
        <w:pStyle w:val="14"/>
        <w:autoSpaceDE w:val="0"/>
        <w:autoSpaceDN w:val="0"/>
        <w:adjustRightInd w:val="0"/>
        <w:snapToGrid w:val="0"/>
        <w:spacing w:line="240" w:lineRule="auto"/>
        <w:rPr>
          <w:rFonts w:hint="eastAsia" w:ascii="宋体" w:hAnsi="宋体" w:cs="宋体"/>
        </w:rPr>
      </w:pPr>
      <w:r>
        <w:rPr>
          <w:rFonts w:hint="eastAsia" w:ascii="宋体" w:hAnsi="宋体" w:cs="宋体"/>
        </w:rPr>
        <w:t>说明：</w:t>
      </w:r>
    </w:p>
    <w:p w14:paraId="075DFA64">
      <w:pPr>
        <w:pStyle w:val="14"/>
        <w:autoSpaceDE w:val="0"/>
        <w:autoSpaceDN w:val="0"/>
        <w:adjustRightInd w:val="0"/>
        <w:snapToGrid w:val="0"/>
        <w:spacing w:line="240" w:lineRule="auto"/>
        <w:rPr>
          <w:rFonts w:hint="eastAsia" w:ascii="宋体" w:hAnsi="宋体" w:cs="宋体"/>
        </w:rPr>
      </w:pPr>
      <w:r>
        <w:rPr>
          <w:rFonts w:hint="eastAsia" w:ascii="宋体" w:hAnsi="宋体" w:cs="宋体"/>
        </w:rPr>
        <w:t>1. 供应商如在“信用中国”（www.creditchina.gov.cn）、中国政府采购网（www.ccgp.gov.cn）列入失信被执行人、重大税收违法失信主体名单、政府采购严重违法失信行为记录名单，将拒绝其参本次采购活动；</w:t>
      </w:r>
    </w:p>
    <w:p w14:paraId="3B5B90B7">
      <w:pPr>
        <w:pStyle w:val="14"/>
        <w:autoSpaceDE w:val="0"/>
        <w:autoSpaceDN w:val="0"/>
        <w:adjustRightInd w:val="0"/>
        <w:snapToGrid w:val="0"/>
        <w:spacing w:line="240" w:lineRule="auto"/>
        <w:rPr>
          <w:rFonts w:hint="eastAsia" w:ascii="宋体" w:hAnsi="宋体" w:cs="宋体"/>
        </w:rPr>
      </w:pPr>
      <w:r>
        <w:rPr>
          <w:rFonts w:hint="eastAsia" w:ascii="宋体" w:hAnsi="宋体" w:cs="宋体"/>
        </w:rPr>
        <w:t>2.应提供</w:t>
      </w:r>
      <w:r>
        <w:rPr>
          <w:rFonts w:hint="eastAsia" w:ascii="宋体" w:hAnsi="宋体" w:cs="宋体"/>
          <w:u w:val="single"/>
        </w:rPr>
        <w:t>投标人须知前附表及资格性审查表中</w:t>
      </w:r>
      <w:r>
        <w:rPr>
          <w:rFonts w:hint="eastAsia" w:ascii="宋体" w:hAnsi="宋体" w:cs="宋体"/>
        </w:rPr>
        <w:t>要求的其他资格证明文件。</w:t>
      </w:r>
    </w:p>
    <w:p w14:paraId="42CBA226">
      <w:pPr>
        <w:pStyle w:val="47"/>
        <w:tabs>
          <w:tab w:val="left" w:pos="1322"/>
        </w:tabs>
        <w:autoSpaceDE w:val="0"/>
        <w:autoSpaceDN w:val="0"/>
        <w:adjustRightInd w:val="0"/>
        <w:snapToGrid w:val="0"/>
        <w:ind w:firstLine="0" w:firstLineChars="0"/>
        <w:rPr>
          <w:rFonts w:hint="eastAsia" w:ascii="宋体" w:hAnsi="宋体" w:cs="宋体"/>
          <w:sz w:val="24"/>
          <w:szCs w:val="24"/>
        </w:rPr>
      </w:pPr>
      <w:r>
        <w:rPr>
          <w:rFonts w:hint="eastAsia" w:ascii="宋体" w:hAnsi="宋体" w:cs="宋体"/>
          <w:sz w:val="24"/>
          <w:szCs w:val="24"/>
        </w:rPr>
        <w:t>3.原件、复印件上均应加盖本单位公章，自然人投标的无需盖章，需要签字。</w:t>
      </w:r>
    </w:p>
    <w:p w14:paraId="19186905">
      <w:pPr>
        <w:pStyle w:val="47"/>
        <w:tabs>
          <w:tab w:val="left" w:pos="1322"/>
        </w:tabs>
        <w:autoSpaceDE w:val="0"/>
        <w:autoSpaceDN w:val="0"/>
        <w:adjustRightInd w:val="0"/>
        <w:snapToGrid w:val="0"/>
        <w:ind w:firstLine="696" w:firstLineChars="290"/>
        <w:rPr>
          <w:rFonts w:hint="eastAsia" w:ascii="宋体" w:hAnsi="宋体" w:cs="宋体"/>
          <w:sz w:val="24"/>
          <w:szCs w:val="24"/>
        </w:rPr>
      </w:pPr>
    </w:p>
    <w:p w14:paraId="588196CB">
      <w:pPr>
        <w:pStyle w:val="47"/>
        <w:tabs>
          <w:tab w:val="left" w:pos="1322"/>
        </w:tabs>
        <w:autoSpaceDE w:val="0"/>
        <w:autoSpaceDN w:val="0"/>
        <w:adjustRightInd w:val="0"/>
        <w:snapToGrid w:val="0"/>
        <w:ind w:firstLine="696" w:firstLineChars="290"/>
        <w:rPr>
          <w:rFonts w:hint="eastAsia" w:ascii="宋体" w:hAnsi="宋体" w:cs="宋体"/>
          <w:sz w:val="24"/>
          <w:szCs w:val="24"/>
        </w:rPr>
      </w:pPr>
    </w:p>
    <w:p w14:paraId="7E82C980">
      <w:pPr>
        <w:pStyle w:val="47"/>
        <w:tabs>
          <w:tab w:val="left" w:pos="1322"/>
        </w:tabs>
        <w:autoSpaceDE w:val="0"/>
        <w:autoSpaceDN w:val="0"/>
        <w:adjustRightInd w:val="0"/>
        <w:snapToGrid w:val="0"/>
        <w:ind w:firstLine="696" w:firstLineChars="290"/>
        <w:rPr>
          <w:rFonts w:hint="eastAsia" w:ascii="宋体" w:hAnsi="宋体" w:cs="宋体"/>
          <w:sz w:val="24"/>
          <w:szCs w:val="24"/>
        </w:rPr>
      </w:pPr>
    </w:p>
    <w:p w14:paraId="7A7938F2">
      <w:pPr>
        <w:pStyle w:val="47"/>
        <w:tabs>
          <w:tab w:val="left" w:pos="1322"/>
        </w:tabs>
        <w:autoSpaceDE w:val="0"/>
        <w:autoSpaceDN w:val="0"/>
        <w:adjustRightInd w:val="0"/>
        <w:snapToGrid w:val="0"/>
        <w:ind w:firstLine="0" w:firstLineChars="0"/>
        <w:jc w:val="both"/>
        <w:rPr>
          <w:rFonts w:hint="eastAsia"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附件2-11须提供具备履行合同所必需的设备和专业技术能力的证明材料或书面声明。</w:t>
      </w:r>
    </w:p>
    <w:p w14:paraId="178A8916">
      <w:pPr>
        <w:pStyle w:val="47"/>
        <w:tabs>
          <w:tab w:val="left" w:pos="1322"/>
        </w:tabs>
        <w:autoSpaceDE w:val="0"/>
        <w:autoSpaceDN w:val="0"/>
        <w:adjustRightInd w:val="0"/>
        <w:snapToGrid w:val="0"/>
        <w:ind w:firstLine="696" w:firstLineChars="290"/>
        <w:rPr>
          <w:rFonts w:hint="eastAsia" w:ascii="宋体" w:hAnsi="宋体" w:cs="宋体"/>
          <w:sz w:val="24"/>
          <w:szCs w:val="24"/>
        </w:rPr>
      </w:pPr>
    </w:p>
    <w:p w14:paraId="38B9DD7F">
      <w:pPr>
        <w:pStyle w:val="47"/>
        <w:tabs>
          <w:tab w:val="left" w:pos="1322"/>
        </w:tabs>
        <w:autoSpaceDE w:val="0"/>
        <w:autoSpaceDN w:val="0"/>
        <w:adjustRightInd w:val="0"/>
        <w:snapToGrid w:val="0"/>
        <w:ind w:firstLine="696" w:firstLineChars="290"/>
        <w:rPr>
          <w:rFonts w:hint="eastAsia" w:ascii="宋体" w:hAnsi="宋体" w:cs="宋体"/>
          <w:sz w:val="24"/>
          <w:szCs w:val="24"/>
        </w:rPr>
      </w:pPr>
    </w:p>
    <w:p w14:paraId="4D731612">
      <w:pPr>
        <w:pStyle w:val="9"/>
        <w:spacing w:line="240" w:lineRule="auto"/>
        <w:ind w:right="-92" w:rightChars="-44"/>
        <w:rPr>
          <w:rFonts w:hint="eastAsia" w:ascii="宋体" w:hAnsi="宋体" w:cs="宋体"/>
          <w:szCs w:val="24"/>
        </w:rPr>
      </w:pPr>
      <w:r>
        <w:rPr>
          <w:rFonts w:hint="eastAsia" w:ascii="宋体" w:hAnsi="宋体" w:cs="宋体"/>
          <w:szCs w:val="24"/>
        </w:rPr>
        <w:t>致：</w:t>
      </w:r>
      <w:r>
        <w:rPr>
          <w:rFonts w:hint="eastAsia" w:ascii="宋体" w:hAnsi="宋体" w:cs="宋体"/>
          <w:szCs w:val="24"/>
          <w:u w:val="single"/>
        </w:rPr>
        <w:t>采购人/采购代理机构</w:t>
      </w:r>
    </w:p>
    <w:p w14:paraId="53228E93">
      <w:pPr>
        <w:pStyle w:val="19"/>
        <w:rPr>
          <w:rFonts w:hint="eastAsia" w:hAnsi="宋体" w:cs="宋体"/>
          <w:sz w:val="24"/>
          <w:szCs w:val="24"/>
        </w:rPr>
      </w:pPr>
    </w:p>
    <w:p w14:paraId="6FC475AA">
      <w:pPr>
        <w:pStyle w:val="19"/>
        <w:ind w:firstLine="480" w:firstLineChars="200"/>
        <w:rPr>
          <w:rFonts w:hint="eastAsia" w:hAnsi="宋体" w:cs="宋体"/>
          <w:sz w:val="24"/>
          <w:szCs w:val="24"/>
        </w:rPr>
      </w:pPr>
      <w:r>
        <w:rPr>
          <w:rFonts w:hint="eastAsia" w:hAnsi="宋体" w:cs="宋体"/>
          <w:sz w:val="24"/>
          <w:szCs w:val="24"/>
        </w:rPr>
        <w:t>本单位郑重声明：</w:t>
      </w:r>
    </w:p>
    <w:p w14:paraId="5EE2F9E9">
      <w:pPr>
        <w:pStyle w:val="19"/>
        <w:ind w:firstLine="480" w:firstLineChars="200"/>
        <w:rPr>
          <w:rFonts w:hint="eastAsia" w:hAnsi="宋体" w:cs="宋体"/>
          <w:sz w:val="24"/>
          <w:szCs w:val="24"/>
        </w:rPr>
      </w:pPr>
      <w:r>
        <w:rPr>
          <w:rFonts w:hint="eastAsia" w:hAnsi="宋体" w:cs="宋体"/>
          <w:sz w:val="24"/>
          <w:szCs w:val="24"/>
        </w:rPr>
        <w:t>我单位在参加本次采购活动具备履行合同所必需的设备和专业技术能力。</w:t>
      </w:r>
    </w:p>
    <w:p w14:paraId="449A42ED">
      <w:pPr>
        <w:pStyle w:val="19"/>
        <w:ind w:firstLine="480" w:firstLineChars="200"/>
        <w:rPr>
          <w:rFonts w:hint="eastAsia" w:hAnsi="宋体" w:cs="宋体"/>
          <w:sz w:val="24"/>
          <w:szCs w:val="24"/>
        </w:rPr>
      </w:pPr>
    </w:p>
    <w:p w14:paraId="6D064B6C">
      <w:pPr>
        <w:pStyle w:val="19"/>
        <w:ind w:firstLine="480" w:firstLineChars="200"/>
        <w:rPr>
          <w:rFonts w:hint="eastAsia" w:hAnsi="宋体" w:cs="宋体"/>
          <w:sz w:val="24"/>
          <w:szCs w:val="24"/>
        </w:rPr>
      </w:pPr>
      <w:r>
        <w:rPr>
          <w:rFonts w:hint="eastAsia" w:hAnsi="宋体" w:cs="宋体"/>
          <w:sz w:val="24"/>
          <w:szCs w:val="24"/>
        </w:rPr>
        <w:t>特此声明！</w:t>
      </w:r>
    </w:p>
    <w:p w14:paraId="25885975">
      <w:pPr>
        <w:pStyle w:val="19"/>
        <w:ind w:firstLine="480" w:firstLineChars="200"/>
        <w:rPr>
          <w:rFonts w:hint="eastAsia" w:hAnsi="宋体" w:cs="宋体"/>
          <w:sz w:val="24"/>
          <w:szCs w:val="24"/>
        </w:rPr>
      </w:pPr>
    </w:p>
    <w:p w14:paraId="7ADCB4A4">
      <w:pPr>
        <w:pStyle w:val="19"/>
        <w:ind w:firstLine="480" w:firstLineChars="200"/>
        <w:rPr>
          <w:rFonts w:hint="eastAsia" w:hAnsi="宋体" w:cs="宋体"/>
          <w:sz w:val="24"/>
          <w:szCs w:val="24"/>
        </w:rPr>
      </w:pPr>
      <w:r>
        <w:rPr>
          <w:rFonts w:hint="eastAsia" w:hAnsi="宋体" w:cs="宋体"/>
          <w:sz w:val="24"/>
          <w:szCs w:val="24"/>
        </w:rPr>
        <w:t>供应商名称(公章)：____________</w:t>
      </w:r>
    </w:p>
    <w:p w14:paraId="000B014D">
      <w:pPr>
        <w:pStyle w:val="19"/>
        <w:ind w:firstLine="480" w:firstLineChars="200"/>
        <w:rPr>
          <w:rFonts w:hint="eastAsia" w:hAnsi="宋体" w:cs="宋体"/>
          <w:sz w:val="24"/>
          <w:szCs w:val="24"/>
        </w:rPr>
      </w:pPr>
      <w:r>
        <w:rPr>
          <w:rFonts w:hint="eastAsia" w:hAnsi="宋体" w:cs="宋体"/>
          <w:sz w:val="24"/>
          <w:szCs w:val="24"/>
        </w:rPr>
        <w:t>法定代表人或其授权代表(签字或盖章)：____________</w:t>
      </w:r>
    </w:p>
    <w:p w14:paraId="413D950E">
      <w:pPr>
        <w:pStyle w:val="19"/>
        <w:ind w:firstLine="480" w:firstLineChars="200"/>
        <w:rPr>
          <w:rFonts w:hint="eastAsia" w:hAnsi="宋体" w:cs="宋体"/>
          <w:sz w:val="24"/>
          <w:szCs w:val="24"/>
        </w:rPr>
      </w:pPr>
      <w:r>
        <w:rPr>
          <w:rFonts w:hint="eastAsia" w:hAnsi="宋体" w:cs="宋体"/>
          <w:sz w:val="24"/>
          <w:szCs w:val="24"/>
        </w:rPr>
        <w:t>日期：______年____月____日</w:t>
      </w:r>
    </w:p>
    <w:p w14:paraId="728C08C2">
      <w:pPr>
        <w:pStyle w:val="19"/>
        <w:rPr>
          <w:rFonts w:hint="eastAsia" w:hAnsi="宋体" w:cs="宋体"/>
          <w:b/>
          <w:sz w:val="24"/>
          <w:szCs w:val="24"/>
        </w:rPr>
      </w:pPr>
      <w:r>
        <w:rPr>
          <w:rFonts w:hint="eastAsia" w:hAnsi="宋体" w:cs="宋体"/>
          <w:b/>
          <w:sz w:val="24"/>
          <w:szCs w:val="24"/>
        </w:rPr>
        <w:br w:type="page"/>
      </w:r>
      <w:r>
        <w:rPr>
          <w:rFonts w:hint="eastAsia" w:hAnsi="宋体" w:cs="宋体"/>
          <w:b/>
          <w:sz w:val="24"/>
          <w:szCs w:val="24"/>
        </w:rPr>
        <w:t>附件2-12参加政府采购活动前三年内在经营活动中没有重大违法记录的书面声明</w:t>
      </w:r>
    </w:p>
    <w:p w14:paraId="0138FDAE">
      <w:pPr>
        <w:pStyle w:val="19"/>
        <w:ind w:firstLine="480" w:firstLineChars="200"/>
        <w:rPr>
          <w:rFonts w:hint="eastAsia" w:hAnsi="宋体" w:cs="宋体"/>
          <w:sz w:val="24"/>
          <w:szCs w:val="24"/>
        </w:rPr>
      </w:pPr>
      <w:r>
        <w:rPr>
          <w:rFonts w:hint="eastAsia" w:hAnsi="宋体" w:cs="宋体"/>
          <w:sz w:val="24"/>
          <w:szCs w:val="24"/>
        </w:rPr>
        <w:t>本单位郑重声明：</w:t>
      </w:r>
    </w:p>
    <w:p w14:paraId="0268B1CA">
      <w:pPr>
        <w:pStyle w:val="19"/>
        <w:ind w:firstLine="480" w:firstLineChars="200"/>
        <w:rPr>
          <w:rFonts w:hint="eastAsia" w:hAnsi="宋体" w:cs="宋体"/>
          <w:sz w:val="24"/>
          <w:szCs w:val="24"/>
        </w:rPr>
      </w:pPr>
      <w:r>
        <w:rPr>
          <w:rFonts w:hint="eastAsia" w:hAnsi="宋体" w:cs="宋体"/>
          <w:sz w:val="24"/>
          <w:szCs w:val="24"/>
        </w:rPr>
        <w:t>我单位在参加采购活动前三年内在经营活动中没有《政府采购法》第二十二条第一款第(五)项所称重大违法记录，包括：</w:t>
      </w:r>
    </w:p>
    <w:p w14:paraId="057940FE">
      <w:pPr>
        <w:pStyle w:val="19"/>
        <w:ind w:firstLine="480" w:firstLineChars="200"/>
        <w:rPr>
          <w:rFonts w:hint="eastAsia" w:hAnsi="宋体" w:cs="宋体"/>
          <w:sz w:val="24"/>
          <w:szCs w:val="24"/>
        </w:rPr>
      </w:pPr>
      <w:r>
        <w:rPr>
          <w:rFonts w:hint="eastAsia" w:hAnsi="宋体" w:cs="宋体"/>
          <w:sz w:val="24"/>
          <w:szCs w:val="24"/>
        </w:rPr>
        <w:t>我单位或者其法定代表人、董事、监事、高级管理人员未因经营活动中的违法行为受到刑事处罚或者责令停产停业、吊销许可证或者执照、较大数额罚款等行政处罚。</w:t>
      </w:r>
    </w:p>
    <w:p w14:paraId="17BF0E80">
      <w:pPr>
        <w:pStyle w:val="19"/>
        <w:ind w:firstLine="480" w:firstLineChars="200"/>
        <w:rPr>
          <w:rFonts w:hint="eastAsia" w:hAnsi="宋体" w:cs="宋体"/>
          <w:sz w:val="24"/>
          <w:szCs w:val="24"/>
        </w:rPr>
      </w:pPr>
      <w:r>
        <w:rPr>
          <w:rFonts w:hint="eastAsia" w:hAnsi="宋体" w:cs="宋体"/>
          <w:sz w:val="24"/>
          <w:szCs w:val="24"/>
        </w:rPr>
        <w:t>特此声明！</w:t>
      </w:r>
    </w:p>
    <w:p w14:paraId="179C14DF">
      <w:pPr>
        <w:pStyle w:val="19"/>
        <w:ind w:firstLine="480" w:firstLineChars="200"/>
        <w:rPr>
          <w:rFonts w:hint="eastAsia" w:hAnsi="宋体" w:cs="宋体"/>
          <w:sz w:val="24"/>
          <w:szCs w:val="24"/>
        </w:rPr>
      </w:pPr>
    </w:p>
    <w:p w14:paraId="59D97D9C">
      <w:pPr>
        <w:pStyle w:val="19"/>
        <w:ind w:firstLine="480" w:firstLineChars="200"/>
        <w:rPr>
          <w:rFonts w:hint="eastAsia" w:hAnsi="宋体" w:cs="宋体"/>
          <w:sz w:val="24"/>
          <w:szCs w:val="24"/>
        </w:rPr>
      </w:pPr>
      <w:r>
        <w:rPr>
          <w:rFonts w:hint="eastAsia" w:hAnsi="宋体" w:cs="宋体"/>
          <w:sz w:val="24"/>
          <w:szCs w:val="24"/>
        </w:rPr>
        <w:t>供应商名称(公章)：____________</w:t>
      </w:r>
    </w:p>
    <w:p w14:paraId="07B4B845">
      <w:pPr>
        <w:pStyle w:val="19"/>
        <w:ind w:firstLine="480" w:firstLineChars="200"/>
        <w:rPr>
          <w:rFonts w:hint="eastAsia" w:hAnsi="宋体" w:cs="宋体"/>
          <w:sz w:val="24"/>
          <w:szCs w:val="24"/>
        </w:rPr>
      </w:pPr>
      <w:r>
        <w:rPr>
          <w:rFonts w:hint="eastAsia" w:hAnsi="宋体" w:cs="宋体"/>
          <w:sz w:val="24"/>
          <w:szCs w:val="24"/>
        </w:rPr>
        <w:t>法定代表人或其授权代表(签字或盖章)：____________</w:t>
      </w:r>
    </w:p>
    <w:p w14:paraId="3B0DE670">
      <w:pPr>
        <w:pStyle w:val="19"/>
        <w:ind w:firstLine="480" w:firstLineChars="200"/>
        <w:rPr>
          <w:rFonts w:hint="eastAsia" w:hAnsi="宋体" w:cs="宋体"/>
          <w:sz w:val="24"/>
          <w:szCs w:val="24"/>
        </w:rPr>
      </w:pPr>
      <w:r>
        <w:rPr>
          <w:rFonts w:hint="eastAsia" w:hAnsi="宋体" w:cs="宋体"/>
          <w:sz w:val="24"/>
          <w:szCs w:val="24"/>
        </w:rPr>
        <w:t>日期：______年____月____日</w:t>
      </w:r>
    </w:p>
    <w:p w14:paraId="1F4E3972">
      <w:pPr>
        <w:pStyle w:val="47"/>
        <w:tabs>
          <w:tab w:val="left" w:pos="1322"/>
        </w:tabs>
        <w:autoSpaceDE w:val="0"/>
        <w:autoSpaceDN w:val="0"/>
        <w:adjustRightInd w:val="0"/>
        <w:snapToGrid w:val="0"/>
        <w:ind w:firstLine="696" w:firstLineChars="290"/>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p>
    <w:p w14:paraId="16FE8D54">
      <w:pPr>
        <w:pStyle w:val="9"/>
        <w:spacing w:before="90" w:line="240" w:lineRule="auto"/>
        <w:ind w:right="-314"/>
        <w:rPr>
          <w:rFonts w:hint="eastAsia" w:ascii="宋体" w:hAnsi="宋体" w:cs="宋体"/>
          <w:szCs w:val="24"/>
        </w:rPr>
      </w:pPr>
      <w:bookmarkStart w:id="76" w:name="_Toc22532"/>
      <w:bookmarkStart w:id="77" w:name="_Toc22438"/>
      <w:r>
        <w:rPr>
          <w:rFonts w:hint="eastAsia" w:ascii="宋体" w:hAnsi="宋体" w:cs="宋体"/>
          <w:szCs w:val="24"/>
        </w:rPr>
        <w:t>附件 3：投标人综合情况（格式）</w:t>
      </w:r>
      <w:bookmarkEnd w:id="76"/>
      <w:bookmarkEnd w:id="77"/>
      <w:r>
        <w:rPr>
          <w:rFonts w:hint="eastAsia" w:ascii="宋体" w:hAnsi="宋体" w:cs="宋体"/>
          <w:szCs w:val="24"/>
        </w:rPr>
        <w:t xml:space="preserve"> </w:t>
      </w:r>
    </w:p>
    <w:p w14:paraId="3E808ADC">
      <w:pPr>
        <w:pStyle w:val="9"/>
        <w:spacing w:line="240" w:lineRule="auto"/>
        <w:ind w:right="159"/>
        <w:rPr>
          <w:rFonts w:hint="eastAsia" w:ascii="宋体" w:hAnsi="宋体" w:cs="宋体"/>
          <w:szCs w:val="24"/>
        </w:rPr>
      </w:pPr>
      <w:bookmarkStart w:id="78" w:name="_Toc5632"/>
      <w:bookmarkStart w:id="79" w:name="_Toc11568"/>
      <w:r>
        <w:rPr>
          <w:rFonts w:hint="eastAsia" w:ascii="宋体" w:hAnsi="宋体" w:cs="宋体"/>
          <w:szCs w:val="24"/>
        </w:rPr>
        <w:t>附件 3-1 投标人综合情况一览表</w:t>
      </w:r>
      <w:bookmarkEnd w:id="78"/>
      <w:bookmarkEnd w:id="79"/>
    </w:p>
    <w:p w14:paraId="645BEE5D">
      <w:pPr>
        <w:pStyle w:val="14"/>
        <w:spacing w:before="6" w:line="240" w:lineRule="auto"/>
        <w:rPr>
          <w:rFonts w:hint="eastAsia" w:ascii="宋体" w:hAnsi="宋体" w:cs="宋体"/>
          <w:b/>
        </w:rPr>
      </w:pPr>
    </w:p>
    <w:tbl>
      <w:tblPr>
        <w:tblStyle w:val="32"/>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42ABC7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35D45AD3">
            <w:pPr>
              <w:pStyle w:val="96"/>
              <w:adjustRightInd w:val="0"/>
              <w:spacing w:before="153"/>
              <w:ind w:left="107"/>
              <w:textAlignment w:val="baseline"/>
              <w:rPr>
                <w:rFonts w:hint="eastAsia" w:ascii="宋体" w:hAnsi="宋体" w:eastAsia="宋体" w:cs="宋体"/>
                <w:sz w:val="24"/>
              </w:rPr>
            </w:pPr>
            <w:r>
              <w:rPr>
                <w:rFonts w:hint="eastAsia" w:ascii="宋体" w:hAnsi="宋体" w:eastAsia="宋体" w:cs="宋体"/>
                <w:sz w:val="24"/>
                <w:lang w:val="en-US"/>
              </w:rPr>
              <w:t>投标人</w:t>
            </w:r>
            <w:r>
              <w:rPr>
                <w:rFonts w:hint="eastAsia" w:ascii="宋体" w:hAnsi="宋体" w:eastAsia="宋体" w:cs="宋体"/>
                <w:sz w:val="24"/>
              </w:rPr>
              <w:t>名称</w:t>
            </w:r>
          </w:p>
        </w:tc>
        <w:tc>
          <w:tcPr>
            <w:tcW w:w="6831" w:type="dxa"/>
            <w:gridSpan w:val="9"/>
            <w:tcBorders>
              <w:left w:val="single" w:color="000000" w:sz="6" w:space="0"/>
              <w:bottom w:val="single" w:color="000000" w:sz="6" w:space="0"/>
            </w:tcBorders>
          </w:tcPr>
          <w:p w14:paraId="2EAD1FDA">
            <w:pPr>
              <w:pStyle w:val="96"/>
              <w:adjustRightInd w:val="0"/>
              <w:spacing w:before="153"/>
              <w:ind w:left="115"/>
              <w:textAlignment w:val="baseline"/>
              <w:rPr>
                <w:rFonts w:hint="eastAsia" w:ascii="宋体" w:hAnsi="宋体" w:eastAsia="宋体" w:cs="宋体"/>
                <w:sz w:val="24"/>
              </w:rPr>
            </w:pPr>
            <w:r>
              <w:rPr>
                <w:rFonts w:hint="eastAsia" w:ascii="宋体" w:hAnsi="宋体" w:eastAsia="宋体" w:cs="宋体"/>
                <w:sz w:val="24"/>
              </w:rPr>
              <w:t>（公章）</w:t>
            </w:r>
          </w:p>
        </w:tc>
      </w:tr>
      <w:tr w14:paraId="2335F8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531D3354">
            <w:pPr>
              <w:pStyle w:val="96"/>
              <w:adjustRightInd w:val="0"/>
              <w:spacing w:before="148"/>
              <w:ind w:left="107"/>
              <w:textAlignment w:val="baseline"/>
              <w:rPr>
                <w:rFonts w:hint="eastAsia" w:ascii="宋体" w:hAnsi="宋体" w:eastAsia="宋体" w:cs="宋体"/>
                <w:sz w:val="24"/>
              </w:rPr>
            </w:pPr>
            <w:r>
              <w:rPr>
                <w:rFonts w:hint="eastAsia" w:ascii="宋体" w:hAnsi="宋体" w:eastAsia="宋体" w:cs="宋体"/>
                <w:sz w:val="24"/>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22470345">
            <w:pPr>
              <w:pStyle w:val="96"/>
              <w:adjustRightInd w:val="0"/>
              <w:textAlignment w:val="baseline"/>
              <w:rPr>
                <w:rFonts w:hint="eastAsia" w:ascii="宋体" w:hAnsi="宋体" w:eastAsia="宋体" w:cs="宋体"/>
                <w:sz w:val="24"/>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9553B2C">
            <w:pPr>
              <w:pStyle w:val="96"/>
              <w:adjustRightInd w:val="0"/>
              <w:spacing w:before="148"/>
              <w:ind w:left="119"/>
              <w:textAlignment w:val="baseline"/>
              <w:rPr>
                <w:rFonts w:hint="eastAsia" w:ascii="宋体" w:hAnsi="宋体" w:eastAsia="宋体" w:cs="宋体"/>
                <w:sz w:val="24"/>
              </w:rPr>
            </w:pPr>
            <w:r>
              <w:rPr>
                <w:rFonts w:hint="eastAsia" w:ascii="宋体" w:hAnsi="宋体" w:eastAsia="宋体" w:cs="宋体"/>
                <w:sz w:val="24"/>
              </w:rPr>
              <w:t>邮政编码</w:t>
            </w:r>
          </w:p>
        </w:tc>
        <w:tc>
          <w:tcPr>
            <w:tcW w:w="1785" w:type="dxa"/>
            <w:gridSpan w:val="3"/>
            <w:tcBorders>
              <w:top w:val="single" w:color="000000" w:sz="6" w:space="0"/>
              <w:left w:val="single" w:color="000000" w:sz="6" w:space="0"/>
              <w:bottom w:val="single" w:color="000000" w:sz="6" w:space="0"/>
            </w:tcBorders>
          </w:tcPr>
          <w:p w14:paraId="75CBB6EF">
            <w:pPr>
              <w:pStyle w:val="96"/>
              <w:adjustRightInd w:val="0"/>
              <w:textAlignment w:val="baseline"/>
              <w:rPr>
                <w:rFonts w:hint="eastAsia" w:ascii="宋体" w:hAnsi="宋体" w:eastAsia="宋体" w:cs="宋体"/>
                <w:sz w:val="24"/>
              </w:rPr>
            </w:pPr>
          </w:p>
        </w:tc>
      </w:tr>
      <w:tr w14:paraId="078E08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688FA0BC">
            <w:pPr>
              <w:pStyle w:val="96"/>
              <w:adjustRightInd w:val="0"/>
              <w:spacing w:before="10"/>
              <w:textAlignment w:val="baseline"/>
              <w:rPr>
                <w:rFonts w:hint="eastAsia" w:ascii="宋体" w:hAnsi="宋体" w:eastAsia="宋体" w:cs="宋体"/>
                <w:b/>
                <w:sz w:val="24"/>
              </w:rPr>
            </w:pPr>
          </w:p>
          <w:p w14:paraId="6916363E">
            <w:pPr>
              <w:pStyle w:val="96"/>
              <w:adjustRightInd w:val="0"/>
              <w:ind w:left="107"/>
              <w:textAlignment w:val="baseline"/>
              <w:rPr>
                <w:rFonts w:hint="eastAsia" w:ascii="宋体" w:hAnsi="宋体" w:eastAsia="宋体" w:cs="宋体"/>
                <w:sz w:val="24"/>
              </w:rPr>
            </w:pPr>
            <w:r>
              <w:rPr>
                <w:rFonts w:hint="eastAsia" w:ascii="宋体" w:hAnsi="宋体" w:eastAsia="宋体" w:cs="宋体"/>
                <w:sz w:val="24"/>
              </w:rPr>
              <w:t>联系方式</w:t>
            </w:r>
          </w:p>
        </w:tc>
        <w:tc>
          <w:tcPr>
            <w:tcW w:w="1072" w:type="dxa"/>
            <w:tcBorders>
              <w:top w:val="single" w:color="000000" w:sz="6" w:space="0"/>
              <w:left w:val="single" w:color="000000" w:sz="6" w:space="0"/>
              <w:bottom w:val="single" w:color="000000" w:sz="6" w:space="0"/>
              <w:right w:val="single" w:color="000000" w:sz="6" w:space="0"/>
            </w:tcBorders>
          </w:tcPr>
          <w:p w14:paraId="142BE296">
            <w:pPr>
              <w:pStyle w:val="96"/>
              <w:adjustRightInd w:val="0"/>
              <w:spacing w:before="143"/>
              <w:ind w:left="115"/>
              <w:textAlignment w:val="baseline"/>
              <w:rPr>
                <w:rFonts w:hint="eastAsia" w:ascii="宋体" w:hAnsi="宋体" w:eastAsia="宋体" w:cs="宋体"/>
                <w:sz w:val="24"/>
              </w:rPr>
            </w:pPr>
            <w:r>
              <w:rPr>
                <w:rFonts w:hint="eastAsia" w:ascii="宋体" w:hAnsi="宋体" w:eastAsia="宋体" w:cs="宋体"/>
                <w:sz w:val="24"/>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72A043D8">
            <w:pPr>
              <w:pStyle w:val="96"/>
              <w:adjustRightInd w:val="0"/>
              <w:textAlignment w:val="baseline"/>
              <w:rPr>
                <w:rFonts w:hint="eastAsia" w:ascii="宋体" w:hAnsi="宋体" w:eastAsia="宋体" w:cs="宋体"/>
                <w:sz w:val="24"/>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957ADE2">
            <w:pPr>
              <w:pStyle w:val="96"/>
              <w:adjustRightInd w:val="0"/>
              <w:spacing w:before="143"/>
              <w:ind w:left="119"/>
              <w:textAlignment w:val="baseline"/>
              <w:rPr>
                <w:rFonts w:hint="eastAsia" w:ascii="宋体" w:hAnsi="宋体" w:eastAsia="宋体" w:cs="宋体"/>
                <w:sz w:val="24"/>
              </w:rPr>
            </w:pPr>
            <w:r>
              <w:rPr>
                <w:rFonts w:hint="eastAsia" w:ascii="宋体" w:hAnsi="宋体" w:eastAsia="宋体" w:cs="宋体"/>
                <w:sz w:val="24"/>
              </w:rPr>
              <w:t>电话</w:t>
            </w:r>
          </w:p>
        </w:tc>
        <w:tc>
          <w:tcPr>
            <w:tcW w:w="1785" w:type="dxa"/>
            <w:gridSpan w:val="3"/>
            <w:tcBorders>
              <w:top w:val="single" w:color="000000" w:sz="6" w:space="0"/>
              <w:left w:val="single" w:color="000000" w:sz="6" w:space="0"/>
              <w:bottom w:val="single" w:color="000000" w:sz="6" w:space="0"/>
            </w:tcBorders>
          </w:tcPr>
          <w:p w14:paraId="03B666AF">
            <w:pPr>
              <w:pStyle w:val="96"/>
              <w:adjustRightInd w:val="0"/>
              <w:textAlignment w:val="baseline"/>
              <w:rPr>
                <w:rFonts w:hint="eastAsia" w:ascii="宋体" w:hAnsi="宋体" w:eastAsia="宋体" w:cs="宋体"/>
                <w:sz w:val="24"/>
              </w:rPr>
            </w:pPr>
          </w:p>
        </w:tc>
      </w:tr>
      <w:tr w14:paraId="319B77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6EDBFCC3">
            <w:pPr>
              <w:widowControl w:val="0"/>
              <w:adjustRightInd w:val="0"/>
              <w:jc w:val="both"/>
              <w:textAlignment w:val="baseline"/>
              <w:rPr>
                <w:rFonts w:hint="eastAsia" w:ascii="宋体" w:hAnsi="宋体" w:cs="宋体"/>
                <w:sz w:val="24"/>
              </w:rPr>
            </w:pPr>
          </w:p>
        </w:tc>
        <w:tc>
          <w:tcPr>
            <w:tcW w:w="1072" w:type="dxa"/>
            <w:tcBorders>
              <w:top w:val="single" w:color="000000" w:sz="6" w:space="0"/>
              <w:left w:val="single" w:color="000000" w:sz="6" w:space="0"/>
              <w:bottom w:val="single" w:color="000000" w:sz="6" w:space="0"/>
              <w:right w:val="single" w:color="000000" w:sz="6" w:space="0"/>
            </w:tcBorders>
          </w:tcPr>
          <w:p w14:paraId="087CA5F3">
            <w:pPr>
              <w:pStyle w:val="96"/>
              <w:adjustRightInd w:val="0"/>
              <w:spacing w:before="151"/>
              <w:ind w:left="115"/>
              <w:textAlignment w:val="baseline"/>
              <w:rPr>
                <w:rFonts w:hint="eastAsia" w:ascii="宋体" w:hAnsi="宋体" w:eastAsia="宋体" w:cs="宋体"/>
                <w:sz w:val="24"/>
              </w:rPr>
            </w:pPr>
            <w:r>
              <w:rPr>
                <w:rFonts w:hint="eastAsia" w:ascii="宋体" w:hAnsi="宋体" w:eastAsia="宋体" w:cs="宋体"/>
                <w:sz w:val="24"/>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30F71E57">
            <w:pPr>
              <w:pStyle w:val="96"/>
              <w:adjustRightInd w:val="0"/>
              <w:textAlignment w:val="baseline"/>
              <w:rPr>
                <w:rFonts w:hint="eastAsia" w:ascii="宋体" w:hAnsi="宋体" w:eastAsia="宋体" w:cs="宋体"/>
                <w:sz w:val="24"/>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353B8E3">
            <w:pPr>
              <w:pStyle w:val="96"/>
              <w:adjustRightInd w:val="0"/>
              <w:spacing w:before="151"/>
              <w:ind w:left="119"/>
              <w:textAlignment w:val="baseline"/>
              <w:rPr>
                <w:rFonts w:hint="eastAsia" w:ascii="宋体" w:hAnsi="宋体" w:eastAsia="宋体" w:cs="宋体"/>
                <w:sz w:val="24"/>
              </w:rPr>
            </w:pPr>
            <w:r>
              <w:rPr>
                <w:rFonts w:hint="eastAsia" w:ascii="宋体" w:hAnsi="宋体" w:eastAsia="宋体" w:cs="宋体"/>
                <w:sz w:val="24"/>
              </w:rPr>
              <w:t>邮箱</w:t>
            </w:r>
          </w:p>
        </w:tc>
        <w:tc>
          <w:tcPr>
            <w:tcW w:w="1785" w:type="dxa"/>
            <w:gridSpan w:val="3"/>
            <w:tcBorders>
              <w:top w:val="single" w:color="000000" w:sz="6" w:space="0"/>
              <w:left w:val="single" w:color="000000" w:sz="6" w:space="0"/>
              <w:bottom w:val="single" w:color="000000" w:sz="6" w:space="0"/>
            </w:tcBorders>
          </w:tcPr>
          <w:p w14:paraId="0DE8A8AC">
            <w:pPr>
              <w:pStyle w:val="96"/>
              <w:adjustRightInd w:val="0"/>
              <w:textAlignment w:val="baseline"/>
              <w:rPr>
                <w:rFonts w:hint="eastAsia" w:ascii="宋体" w:hAnsi="宋体" w:eastAsia="宋体" w:cs="宋体"/>
                <w:sz w:val="24"/>
              </w:rPr>
            </w:pPr>
          </w:p>
        </w:tc>
      </w:tr>
      <w:tr w14:paraId="271169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445FE04">
            <w:pPr>
              <w:pStyle w:val="96"/>
              <w:adjustRightInd w:val="0"/>
              <w:spacing w:before="151"/>
              <w:ind w:left="107" w:right="-44"/>
              <w:textAlignment w:val="baseline"/>
              <w:rPr>
                <w:rFonts w:hint="eastAsia" w:ascii="宋体" w:hAnsi="宋体" w:eastAsia="宋体" w:cs="宋体"/>
                <w:sz w:val="24"/>
              </w:rPr>
            </w:pPr>
            <w:r>
              <w:rPr>
                <w:rFonts w:hint="eastAsia" w:ascii="宋体" w:hAnsi="宋体" w:eastAsia="宋体" w:cs="宋体"/>
                <w:spacing w:val="-8"/>
                <w:sz w:val="24"/>
              </w:rPr>
              <w:t>隶属情况</w:t>
            </w:r>
            <w:r>
              <w:rPr>
                <w:rFonts w:hint="eastAsia" w:ascii="宋体" w:hAnsi="宋体" w:eastAsia="宋体" w:cs="宋体"/>
                <w:sz w:val="24"/>
              </w:rPr>
              <w:t>（如有）</w:t>
            </w:r>
          </w:p>
        </w:tc>
        <w:tc>
          <w:tcPr>
            <w:tcW w:w="6831" w:type="dxa"/>
            <w:gridSpan w:val="9"/>
            <w:tcBorders>
              <w:top w:val="single" w:color="000000" w:sz="6" w:space="0"/>
              <w:left w:val="single" w:color="000000" w:sz="6" w:space="0"/>
              <w:bottom w:val="single" w:color="000000" w:sz="6" w:space="0"/>
            </w:tcBorders>
          </w:tcPr>
          <w:p w14:paraId="7C2EB637">
            <w:pPr>
              <w:pStyle w:val="96"/>
              <w:adjustRightInd w:val="0"/>
              <w:spacing w:before="151"/>
              <w:ind w:left="115"/>
              <w:textAlignment w:val="baseline"/>
              <w:rPr>
                <w:rFonts w:hint="eastAsia" w:ascii="宋体" w:hAnsi="宋体" w:eastAsia="宋体" w:cs="宋体"/>
                <w:sz w:val="24"/>
              </w:rPr>
            </w:pPr>
            <w:r>
              <w:rPr>
                <w:rFonts w:hint="eastAsia" w:ascii="宋体" w:hAnsi="宋体" w:eastAsia="宋体" w:cs="宋体"/>
                <w:sz w:val="24"/>
              </w:rPr>
              <w:t>阐明隶属及组织机构情况</w:t>
            </w:r>
          </w:p>
        </w:tc>
      </w:tr>
      <w:tr w14:paraId="046AAD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61FE7251">
            <w:pPr>
              <w:pStyle w:val="96"/>
              <w:adjustRightInd w:val="0"/>
              <w:spacing w:before="151"/>
              <w:ind w:left="107" w:right="-44"/>
              <w:textAlignment w:val="baseline"/>
              <w:rPr>
                <w:rFonts w:hint="eastAsia" w:ascii="宋体" w:hAnsi="宋体" w:eastAsia="宋体" w:cs="宋体"/>
                <w:sz w:val="24"/>
              </w:rPr>
            </w:pPr>
            <w:r>
              <w:rPr>
                <w:rFonts w:hint="eastAsia" w:ascii="宋体" w:hAnsi="宋体" w:eastAsia="宋体" w:cs="宋体"/>
                <w:spacing w:val="-8"/>
                <w:sz w:val="24"/>
              </w:rPr>
              <w:t>控股情况</w:t>
            </w:r>
            <w:r>
              <w:rPr>
                <w:rFonts w:hint="eastAsia" w:ascii="宋体" w:hAnsi="宋体" w:eastAsia="宋体" w:cs="宋体"/>
                <w:sz w:val="24"/>
              </w:rPr>
              <w:t>（如有）</w:t>
            </w:r>
          </w:p>
        </w:tc>
        <w:tc>
          <w:tcPr>
            <w:tcW w:w="6831" w:type="dxa"/>
            <w:gridSpan w:val="9"/>
            <w:tcBorders>
              <w:top w:val="single" w:color="000000" w:sz="6" w:space="0"/>
              <w:left w:val="single" w:color="000000" w:sz="6" w:space="0"/>
              <w:bottom w:val="single" w:color="000000" w:sz="6" w:space="0"/>
            </w:tcBorders>
          </w:tcPr>
          <w:p w14:paraId="7974799E">
            <w:pPr>
              <w:pStyle w:val="96"/>
              <w:adjustRightInd w:val="0"/>
              <w:spacing w:before="151"/>
              <w:ind w:left="115"/>
              <w:textAlignment w:val="baseline"/>
              <w:rPr>
                <w:rFonts w:hint="eastAsia" w:ascii="宋体" w:hAnsi="宋体" w:eastAsia="宋体" w:cs="宋体"/>
                <w:sz w:val="24"/>
              </w:rPr>
            </w:pPr>
            <w:r>
              <w:rPr>
                <w:rFonts w:hint="eastAsia" w:ascii="宋体" w:hAnsi="宋体" w:eastAsia="宋体" w:cs="宋体"/>
                <w:sz w:val="24"/>
              </w:rPr>
              <w:t>阐明控股和被控股情况</w:t>
            </w:r>
          </w:p>
        </w:tc>
      </w:tr>
      <w:tr w14:paraId="4E9D80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0B962C8E">
            <w:pPr>
              <w:pStyle w:val="96"/>
              <w:adjustRightInd w:val="0"/>
              <w:spacing w:before="141"/>
              <w:ind w:left="107"/>
              <w:textAlignment w:val="baseline"/>
              <w:rPr>
                <w:rFonts w:hint="eastAsia" w:ascii="宋体" w:hAnsi="宋体" w:eastAsia="宋体" w:cs="宋体"/>
                <w:sz w:val="24"/>
              </w:rPr>
            </w:pPr>
            <w:r>
              <w:rPr>
                <w:rFonts w:hint="eastAsia" w:ascii="宋体" w:hAnsi="宋体" w:eastAsia="宋体" w:cs="宋体"/>
                <w:sz w:val="24"/>
              </w:rPr>
              <w:t>组织结构</w:t>
            </w:r>
          </w:p>
        </w:tc>
        <w:tc>
          <w:tcPr>
            <w:tcW w:w="6831" w:type="dxa"/>
            <w:gridSpan w:val="9"/>
            <w:tcBorders>
              <w:top w:val="single" w:color="000000" w:sz="6" w:space="0"/>
              <w:left w:val="single" w:color="000000" w:sz="6" w:space="0"/>
              <w:bottom w:val="single" w:color="000000" w:sz="6" w:space="0"/>
            </w:tcBorders>
          </w:tcPr>
          <w:p w14:paraId="1B38017B">
            <w:pPr>
              <w:pStyle w:val="96"/>
              <w:adjustRightInd w:val="0"/>
              <w:textAlignment w:val="baseline"/>
              <w:rPr>
                <w:rFonts w:hint="eastAsia" w:ascii="宋体" w:hAnsi="宋体" w:eastAsia="宋体" w:cs="宋体"/>
                <w:sz w:val="24"/>
              </w:rPr>
            </w:pPr>
          </w:p>
        </w:tc>
      </w:tr>
      <w:tr w14:paraId="60C163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0B57D73E">
            <w:pPr>
              <w:pStyle w:val="96"/>
              <w:adjustRightInd w:val="0"/>
              <w:spacing w:before="155"/>
              <w:ind w:left="107"/>
              <w:textAlignment w:val="baseline"/>
              <w:rPr>
                <w:rFonts w:hint="eastAsia" w:ascii="宋体" w:hAnsi="宋体" w:eastAsia="宋体" w:cs="宋体"/>
                <w:sz w:val="24"/>
              </w:rPr>
            </w:pPr>
            <w:r>
              <w:rPr>
                <w:rFonts w:hint="eastAsia" w:ascii="宋体" w:hAnsi="宋体" w:eastAsia="宋体" w:cs="宋体"/>
                <w:sz w:val="24"/>
              </w:rPr>
              <w:t>简介</w:t>
            </w:r>
          </w:p>
        </w:tc>
        <w:tc>
          <w:tcPr>
            <w:tcW w:w="6831" w:type="dxa"/>
            <w:gridSpan w:val="9"/>
            <w:tcBorders>
              <w:top w:val="single" w:color="000000" w:sz="6" w:space="0"/>
              <w:left w:val="single" w:color="000000" w:sz="6" w:space="0"/>
              <w:bottom w:val="single" w:color="000000" w:sz="6" w:space="0"/>
            </w:tcBorders>
          </w:tcPr>
          <w:p w14:paraId="43E91B19">
            <w:pPr>
              <w:pStyle w:val="96"/>
              <w:adjustRightInd w:val="0"/>
              <w:ind w:left="115" w:right="-58"/>
              <w:textAlignment w:val="baseline"/>
              <w:rPr>
                <w:rFonts w:hint="eastAsia" w:ascii="宋体" w:hAnsi="宋体" w:eastAsia="宋体" w:cs="宋体"/>
                <w:sz w:val="24"/>
              </w:rPr>
            </w:pPr>
            <w:r>
              <w:rPr>
                <w:rFonts w:hint="eastAsia" w:ascii="宋体" w:hAnsi="宋体" w:eastAsia="宋体" w:cs="宋体"/>
                <w:spacing w:val="-16"/>
                <w:sz w:val="24"/>
              </w:rPr>
              <w:t>包括但不限于：企业经营范围、发展历程、经营业绩、获奖情况、</w:t>
            </w:r>
            <w:r>
              <w:rPr>
                <w:rFonts w:hint="eastAsia" w:ascii="宋体" w:hAnsi="宋体" w:eastAsia="宋体" w:cs="宋体"/>
                <w:sz w:val="24"/>
              </w:rPr>
              <w:t>财务状况、人力资源等。（可另附页）</w:t>
            </w:r>
          </w:p>
        </w:tc>
      </w:tr>
      <w:tr w14:paraId="7CD1E6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7601C2CF">
            <w:pPr>
              <w:pStyle w:val="96"/>
              <w:adjustRightInd w:val="0"/>
              <w:spacing w:before="144"/>
              <w:ind w:left="107"/>
              <w:textAlignment w:val="baseline"/>
              <w:rPr>
                <w:rFonts w:hint="eastAsia" w:ascii="宋体" w:hAnsi="宋体" w:eastAsia="宋体" w:cs="宋体"/>
                <w:sz w:val="24"/>
              </w:rPr>
            </w:pPr>
            <w:r>
              <w:rPr>
                <w:rFonts w:hint="eastAsia" w:ascii="宋体" w:hAnsi="宋体" w:eastAsia="宋体" w:cs="宋体"/>
                <w:sz w:val="24"/>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3C9B7E47">
            <w:pPr>
              <w:pStyle w:val="96"/>
              <w:adjustRightInd w:val="0"/>
              <w:spacing w:before="144"/>
              <w:ind w:left="115"/>
              <w:textAlignment w:val="baseline"/>
              <w:rPr>
                <w:rFonts w:hint="eastAsia" w:ascii="宋体" w:hAnsi="宋体" w:eastAsia="宋体" w:cs="宋体"/>
                <w:sz w:val="24"/>
              </w:rPr>
            </w:pPr>
            <w:r>
              <w:rPr>
                <w:rFonts w:hint="eastAsia" w:ascii="宋体" w:hAnsi="宋体" w:eastAsia="宋体" w:cs="宋体"/>
                <w:sz w:val="24"/>
              </w:rPr>
              <w:t>姓名</w:t>
            </w:r>
          </w:p>
        </w:tc>
        <w:tc>
          <w:tcPr>
            <w:tcW w:w="1802" w:type="dxa"/>
            <w:tcBorders>
              <w:top w:val="single" w:color="000000" w:sz="6" w:space="0"/>
              <w:left w:val="single" w:color="000000" w:sz="6" w:space="0"/>
              <w:bottom w:val="single" w:color="000000" w:sz="6" w:space="0"/>
              <w:right w:val="single" w:color="000000" w:sz="6" w:space="0"/>
            </w:tcBorders>
          </w:tcPr>
          <w:p w14:paraId="34484608">
            <w:pPr>
              <w:pStyle w:val="96"/>
              <w:adjustRightInd w:val="0"/>
              <w:textAlignment w:val="baseline"/>
              <w:rPr>
                <w:rFonts w:hint="eastAsia" w:ascii="宋体" w:hAnsi="宋体" w:eastAsia="宋体" w:cs="宋体"/>
                <w:sz w:val="24"/>
              </w:rPr>
            </w:pPr>
          </w:p>
        </w:tc>
        <w:tc>
          <w:tcPr>
            <w:tcW w:w="1250" w:type="dxa"/>
            <w:gridSpan w:val="3"/>
            <w:tcBorders>
              <w:top w:val="single" w:color="000000" w:sz="6" w:space="0"/>
              <w:left w:val="single" w:color="000000" w:sz="6" w:space="0"/>
              <w:bottom w:val="single" w:color="000000" w:sz="6" w:space="0"/>
              <w:right w:val="single" w:color="000000" w:sz="6" w:space="0"/>
            </w:tcBorders>
          </w:tcPr>
          <w:p w14:paraId="53B36B62">
            <w:pPr>
              <w:pStyle w:val="96"/>
              <w:adjustRightInd w:val="0"/>
              <w:spacing w:before="144"/>
              <w:ind w:left="116"/>
              <w:textAlignment w:val="baseline"/>
              <w:rPr>
                <w:rFonts w:hint="eastAsia" w:ascii="宋体" w:hAnsi="宋体" w:eastAsia="宋体" w:cs="宋体"/>
                <w:sz w:val="24"/>
              </w:rPr>
            </w:pPr>
            <w:r>
              <w:rPr>
                <w:rFonts w:hint="eastAsia" w:ascii="宋体" w:hAnsi="宋体" w:eastAsia="宋体" w:cs="宋体"/>
                <w:sz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252B7D93">
            <w:pPr>
              <w:pStyle w:val="96"/>
              <w:adjustRightInd w:val="0"/>
              <w:textAlignment w:val="baseline"/>
              <w:rPr>
                <w:rFonts w:hint="eastAsia" w:ascii="宋体" w:hAnsi="宋体" w:eastAsia="宋体" w:cs="宋体"/>
                <w:sz w:val="24"/>
              </w:rPr>
            </w:pPr>
          </w:p>
        </w:tc>
        <w:tc>
          <w:tcPr>
            <w:tcW w:w="722" w:type="dxa"/>
            <w:tcBorders>
              <w:top w:val="single" w:color="000000" w:sz="6" w:space="0"/>
              <w:left w:val="single" w:color="000000" w:sz="6" w:space="0"/>
              <w:bottom w:val="single" w:color="000000" w:sz="6" w:space="0"/>
              <w:right w:val="single" w:color="000000" w:sz="6" w:space="0"/>
            </w:tcBorders>
          </w:tcPr>
          <w:p w14:paraId="107D2442">
            <w:pPr>
              <w:pStyle w:val="96"/>
              <w:adjustRightInd w:val="0"/>
              <w:spacing w:before="144"/>
              <w:ind w:right="104"/>
              <w:jc w:val="right"/>
              <w:textAlignment w:val="baseline"/>
              <w:rPr>
                <w:rFonts w:hint="eastAsia" w:ascii="宋体" w:hAnsi="宋体" w:eastAsia="宋体" w:cs="宋体"/>
                <w:sz w:val="24"/>
              </w:rPr>
            </w:pPr>
            <w:r>
              <w:rPr>
                <w:rFonts w:hint="eastAsia" w:ascii="宋体" w:hAnsi="宋体" w:eastAsia="宋体" w:cs="宋体"/>
                <w:sz w:val="24"/>
              </w:rPr>
              <w:t>电话</w:t>
            </w:r>
          </w:p>
        </w:tc>
        <w:tc>
          <w:tcPr>
            <w:tcW w:w="720" w:type="dxa"/>
            <w:tcBorders>
              <w:top w:val="single" w:color="000000" w:sz="6" w:space="0"/>
              <w:left w:val="single" w:color="000000" w:sz="6" w:space="0"/>
              <w:bottom w:val="single" w:color="000000" w:sz="6" w:space="0"/>
            </w:tcBorders>
          </w:tcPr>
          <w:p w14:paraId="2BE49FC4">
            <w:pPr>
              <w:pStyle w:val="96"/>
              <w:adjustRightInd w:val="0"/>
              <w:textAlignment w:val="baseline"/>
              <w:rPr>
                <w:rFonts w:hint="eastAsia" w:ascii="宋体" w:hAnsi="宋体" w:eastAsia="宋体" w:cs="宋体"/>
                <w:sz w:val="24"/>
              </w:rPr>
            </w:pPr>
          </w:p>
        </w:tc>
      </w:tr>
      <w:tr w14:paraId="4FFF62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1B974803">
            <w:pPr>
              <w:pStyle w:val="96"/>
              <w:adjustRightInd w:val="0"/>
              <w:spacing w:before="158"/>
              <w:ind w:left="107"/>
              <w:textAlignment w:val="baseline"/>
              <w:rPr>
                <w:rFonts w:hint="eastAsia" w:ascii="宋体" w:hAnsi="宋体" w:eastAsia="宋体" w:cs="宋体"/>
                <w:sz w:val="24"/>
              </w:rPr>
            </w:pPr>
            <w:r>
              <w:rPr>
                <w:rFonts w:hint="eastAsia" w:ascii="宋体" w:hAnsi="宋体" w:eastAsia="宋体" w:cs="宋体"/>
                <w:sz w:val="24"/>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15B25550">
            <w:pPr>
              <w:pStyle w:val="96"/>
              <w:adjustRightInd w:val="0"/>
              <w:spacing w:before="158"/>
              <w:ind w:left="115"/>
              <w:textAlignment w:val="baseline"/>
              <w:rPr>
                <w:rFonts w:hint="eastAsia" w:ascii="宋体" w:hAnsi="宋体" w:eastAsia="宋体" w:cs="宋体"/>
                <w:sz w:val="24"/>
              </w:rPr>
            </w:pPr>
            <w:r>
              <w:rPr>
                <w:rFonts w:hint="eastAsia" w:ascii="宋体" w:hAnsi="宋体" w:eastAsia="宋体" w:cs="宋体"/>
                <w:sz w:val="24"/>
              </w:rPr>
              <w:t>姓名</w:t>
            </w:r>
          </w:p>
        </w:tc>
        <w:tc>
          <w:tcPr>
            <w:tcW w:w="1802" w:type="dxa"/>
            <w:tcBorders>
              <w:top w:val="single" w:color="000000" w:sz="6" w:space="0"/>
              <w:left w:val="single" w:color="000000" w:sz="6" w:space="0"/>
              <w:bottom w:val="single" w:color="000000" w:sz="6" w:space="0"/>
              <w:right w:val="single" w:color="000000" w:sz="6" w:space="0"/>
            </w:tcBorders>
          </w:tcPr>
          <w:p w14:paraId="757F96B5">
            <w:pPr>
              <w:pStyle w:val="96"/>
              <w:adjustRightInd w:val="0"/>
              <w:textAlignment w:val="baseline"/>
              <w:rPr>
                <w:rFonts w:hint="eastAsia" w:ascii="宋体" w:hAnsi="宋体" w:eastAsia="宋体" w:cs="宋体"/>
                <w:sz w:val="24"/>
              </w:rPr>
            </w:pPr>
          </w:p>
        </w:tc>
        <w:tc>
          <w:tcPr>
            <w:tcW w:w="1250" w:type="dxa"/>
            <w:gridSpan w:val="3"/>
            <w:tcBorders>
              <w:top w:val="single" w:color="000000" w:sz="6" w:space="0"/>
              <w:left w:val="single" w:color="000000" w:sz="6" w:space="0"/>
              <w:bottom w:val="single" w:color="000000" w:sz="6" w:space="0"/>
              <w:right w:val="single" w:color="000000" w:sz="6" w:space="0"/>
            </w:tcBorders>
          </w:tcPr>
          <w:p w14:paraId="3AC583E2">
            <w:pPr>
              <w:pStyle w:val="96"/>
              <w:adjustRightInd w:val="0"/>
              <w:spacing w:before="158"/>
              <w:ind w:left="116"/>
              <w:textAlignment w:val="baseline"/>
              <w:rPr>
                <w:rFonts w:hint="eastAsia" w:ascii="宋体" w:hAnsi="宋体" w:eastAsia="宋体" w:cs="宋体"/>
                <w:sz w:val="24"/>
              </w:rPr>
            </w:pPr>
            <w:r>
              <w:rPr>
                <w:rFonts w:hint="eastAsia" w:ascii="宋体" w:hAnsi="宋体" w:eastAsia="宋体" w:cs="宋体"/>
                <w:sz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46613EC2">
            <w:pPr>
              <w:pStyle w:val="96"/>
              <w:adjustRightInd w:val="0"/>
              <w:textAlignment w:val="baseline"/>
              <w:rPr>
                <w:rFonts w:hint="eastAsia" w:ascii="宋体" w:hAnsi="宋体" w:eastAsia="宋体" w:cs="宋体"/>
                <w:sz w:val="24"/>
              </w:rPr>
            </w:pPr>
          </w:p>
        </w:tc>
        <w:tc>
          <w:tcPr>
            <w:tcW w:w="722" w:type="dxa"/>
            <w:tcBorders>
              <w:top w:val="single" w:color="000000" w:sz="6" w:space="0"/>
              <w:left w:val="single" w:color="000000" w:sz="6" w:space="0"/>
              <w:bottom w:val="single" w:color="000000" w:sz="6" w:space="0"/>
              <w:right w:val="single" w:color="000000" w:sz="6" w:space="0"/>
            </w:tcBorders>
          </w:tcPr>
          <w:p w14:paraId="1BB16129">
            <w:pPr>
              <w:pStyle w:val="96"/>
              <w:adjustRightInd w:val="0"/>
              <w:spacing w:before="158"/>
              <w:ind w:right="104"/>
              <w:jc w:val="right"/>
              <w:textAlignment w:val="baseline"/>
              <w:rPr>
                <w:rFonts w:hint="eastAsia" w:ascii="宋体" w:hAnsi="宋体" w:eastAsia="宋体" w:cs="宋体"/>
                <w:sz w:val="24"/>
              </w:rPr>
            </w:pPr>
            <w:r>
              <w:rPr>
                <w:rFonts w:hint="eastAsia" w:ascii="宋体" w:hAnsi="宋体" w:eastAsia="宋体" w:cs="宋体"/>
                <w:sz w:val="24"/>
              </w:rPr>
              <w:t>电话</w:t>
            </w:r>
          </w:p>
        </w:tc>
        <w:tc>
          <w:tcPr>
            <w:tcW w:w="720" w:type="dxa"/>
            <w:tcBorders>
              <w:top w:val="single" w:color="000000" w:sz="6" w:space="0"/>
              <w:left w:val="single" w:color="000000" w:sz="6" w:space="0"/>
              <w:bottom w:val="single" w:color="000000" w:sz="6" w:space="0"/>
            </w:tcBorders>
          </w:tcPr>
          <w:p w14:paraId="7EE91CB6">
            <w:pPr>
              <w:pStyle w:val="96"/>
              <w:adjustRightInd w:val="0"/>
              <w:textAlignment w:val="baseline"/>
              <w:rPr>
                <w:rFonts w:hint="eastAsia" w:ascii="宋体" w:hAnsi="宋体" w:eastAsia="宋体" w:cs="宋体"/>
                <w:sz w:val="24"/>
              </w:rPr>
            </w:pPr>
          </w:p>
        </w:tc>
      </w:tr>
      <w:tr w14:paraId="638E1E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37300C0">
            <w:pPr>
              <w:pStyle w:val="96"/>
              <w:adjustRightInd w:val="0"/>
              <w:spacing w:before="151"/>
              <w:ind w:left="107"/>
              <w:textAlignment w:val="baseline"/>
              <w:rPr>
                <w:rFonts w:hint="eastAsia" w:ascii="宋体" w:hAnsi="宋体" w:eastAsia="宋体" w:cs="宋体"/>
                <w:sz w:val="24"/>
              </w:rPr>
            </w:pPr>
            <w:r>
              <w:rPr>
                <w:rFonts w:hint="eastAsia" w:ascii="宋体" w:hAnsi="宋体" w:eastAsia="宋体" w:cs="宋体"/>
                <w:sz w:val="24"/>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3DF09254">
            <w:pPr>
              <w:pStyle w:val="96"/>
              <w:adjustRightInd w:val="0"/>
              <w:textAlignment w:val="baseline"/>
              <w:rPr>
                <w:rFonts w:hint="eastAsia" w:ascii="宋体" w:hAnsi="宋体" w:eastAsia="宋体" w:cs="宋体"/>
                <w:sz w:val="24"/>
              </w:rPr>
            </w:pPr>
          </w:p>
        </w:tc>
        <w:tc>
          <w:tcPr>
            <w:tcW w:w="3957" w:type="dxa"/>
            <w:gridSpan w:val="7"/>
            <w:tcBorders>
              <w:top w:val="single" w:color="000000" w:sz="6" w:space="0"/>
              <w:left w:val="single" w:color="000000" w:sz="6" w:space="0"/>
              <w:bottom w:val="single" w:color="000000" w:sz="6" w:space="0"/>
            </w:tcBorders>
          </w:tcPr>
          <w:p w14:paraId="512A6C6B">
            <w:pPr>
              <w:pStyle w:val="96"/>
              <w:adjustRightInd w:val="0"/>
              <w:spacing w:before="151"/>
              <w:ind w:left="116"/>
              <w:textAlignment w:val="baseline"/>
              <w:rPr>
                <w:rFonts w:hint="eastAsia" w:ascii="宋体" w:hAnsi="宋体" w:eastAsia="宋体" w:cs="宋体"/>
                <w:sz w:val="24"/>
              </w:rPr>
            </w:pPr>
            <w:r>
              <w:rPr>
                <w:rFonts w:hint="eastAsia" w:ascii="宋体" w:hAnsi="宋体" w:eastAsia="宋体" w:cs="宋体"/>
                <w:sz w:val="24"/>
              </w:rPr>
              <w:t>员工总人数：</w:t>
            </w:r>
          </w:p>
        </w:tc>
      </w:tr>
      <w:tr w14:paraId="1657FE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5E3FDDA8">
            <w:pPr>
              <w:pStyle w:val="96"/>
              <w:adjustRightInd w:val="0"/>
              <w:spacing w:before="151"/>
              <w:ind w:left="107"/>
              <w:textAlignment w:val="baseline"/>
              <w:rPr>
                <w:rFonts w:hint="eastAsia" w:ascii="宋体" w:hAnsi="宋体" w:eastAsia="宋体" w:cs="宋体"/>
                <w:sz w:val="24"/>
              </w:rPr>
            </w:pPr>
            <w:r>
              <w:rPr>
                <w:rFonts w:hint="eastAsia" w:ascii="宋体" w:hAnsi="宋体" w:eastAsia="宋体" w:cs="宋体"/>
                <w:sz w:val="24"/>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532771A9">
            <w:pPr>
              <w:pStyle w:val="96"/>
              <w:adjustRightInd w:val="0"/>
              <w:textAlignment w:val="baseline"/>
              <w:rPr>
                <w:rFonts w:hint="eastAsia" w:ascii="宋体" w:hAnsi="宋体" w:eastAsia="宋体" w:cs="宋体"/>
                <w:sz w:val="24"/>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2B40555C">
            <w:pPr>
              <w:pStyle w:val="96"/>
              <w:adjustRightInd w:val="0"/>
              <w:textAlignment w:val="baseline"/>
              <w:rPr>
                <w:rFonts w:hint="eastAsia" w:ascii="宋体" w:hAnsi="宋体" w:eastAsia="宋体" w:cs="宋体"/>
                <w:b/>
                <w:sz w:val="24"/>
              </w:rPr>
            </w:pPr>
          </w:p>
          <w:p w14:paraId="5E1772A7">
            <w:pPr>
              <w:pStyle w:val="96"/>
              <w:adjustRightInd w:val="0"/>
              <w:textAlignment w:val="baseline"/>
              <w:rPr>
                <w:rFonts w:hint="eastAsia" w:ascii="宋体" w:hAnsi="宋体" w:eastAsia="宋体" w:cs="宋体"/>
                <w:b/>
                <w:sz w:val="24"/>
              </w:rPr>
            </w:pPr>
          </w:p>
          <w:p w14:paraId="44964E67">
            <w:pPr>
              <w:pStyle w:val="96"/>
              <w:adjustRightInd w:val="0"/>
              <w:textAlignment w:val="baseline"/>
              <w:rPr>
                <w:rFonts w:hint="eastAsia" w:ascii="宋体" w:hAnsi="宋体" w:eastAsia="宋体" w:cs="宋体"/>
                <w:b/>
                <w:sz w:val="24"/>
              </w:rPr>
            </w:pPr>
          </w:p>
          <w:p w14:paraId="554AA82C">
            <w:pPr>
              <w:pStyle w:val="96"/>
              <w:adjustRightInd w:val="0"/>
              <w:textAlignment w:val="baseline"/>
              <w:rPr>
                <w:rFonts w:hint="eastAsia" w:ascii="宋体" w:hAnsi="宋体" w:eastAsia="宋体" w:cs="宋体"/>
                <w:b/>
                <w:sz w:val="24"/>
              </w:rPr>
            </w:pPr>
          </w:p>
          <w:p w14:paraId="2C228943">
            <w:pPr>
              <w:pStyle w:val="96"/>
              <w:adjustRightInd w:val="0"/>
              <w:spacing w:before="1"/>
              <w:ind w:left="116"/>
              <w:textAlignment w:val="baseline"/>
              <w:rPr>
                <w:rFonts w:hint="eastAsia" w:ascii="宋体" w:hAnsi="宋体" w:eastAsia="宋体" w:cs="宋体"/>
                <w:sz w:val="24"/>
              </w:rPr>
            </w:pPr>
            <w:r>
              <w:rPr>
                <w:rFonts w:hint="eastAsia" w:ascii="宋体" w:hAnsi="宋体" w:eastAsia="宋体" w:cs="宋体"/>
                <w:sz w:val="24"/>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43F88AAF">
            <w:pPr>
              <w:pStyle w:val="96"/>
              <w:adjustRightInd w:val="0"/>
              <w:spacing w:before="151"/>
              <w:ind w:left="118"/>
              <w:textAlignment w:val="baseline"/>
              <w:rPr>
                <w:rFonts w:hint="eastAsia" w:ascii="宋体" w:hAnsi="宋体" w:eastAsia="宋体" w:cs="宋体"/>
                <w:sz w:val="24"/>
              </w:rPr>
            </w:pPr>
            <w:r>
              <w:rPr>
                <w:rFonts w:hint="eastAsia" w:ascii="宋体" w:hAnsi="宋体" w:eastAsia="宋体" w:cs="宋体"/>
                <w:sz w:val="24"/>
              </w:rPr>
              <w:t>高级职称人员</w:t>
            </w:r>
          </w:p>
        </w:tc>
        <w:tc>
          <w:tcPr>
            <w:tcW w:w="1442" w:type="dxa"/>
            <w:gridSpan w:val="2"/>
            <w:tcBorders>
              <w:top w:val="single" w:color="000000" w:sz="6" w:space="0"/>
              <w:left w:val="single" w:color="000000" w:sz="6" w:space="0"/>
              <w:bottom w:val="single" w:color="000000" w:sz="6" w:space="0"/>
            </w:tcBorders>
          </w:tcPr>
          <w:p w14:paraId="30ED3005">
            <w:pPr>
              <w:pStyle w:val="96"/>
              <w:adjustRightInd w:val="0"/>
              <w:textAlignment w:val="baseline"/>
              <w:rPr>
                <w:rFonts w:hint="eastAsia" w:ascii="宋体" w:hAnsi="宋体" w:eastAsia="宋体" w:cs="宋体"/>
                <w:sz w:val="24"/>
              </w:rPr>
            </w:pPr>
          </w:p>
        </w:tc>
      </w:tr>
      <w:tr w14:paraId="237E62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48CAF6F9">
            <w:pPr>
              <w:pStyle w:val="96"/>
              <w:adjustRightInd w:val="0"/>
              <w:spacing w:before="110"/>
              <w:ind w:left="107"/>
              <w:textAlignment w:val="baseline"/>
              <w:rPr>
                <w:rFonts w:hint="eastAsia" w:ascii="宋体" w:hAnsi="宋体" w:eastAsia="宋体" w:cs="宋体"/>
                <w:sz w:val="24"/>
              </w:rPr>
            </w:pPr>
            <w:r>
              <w:rPr>
                <w:rFonts w:hint="eastAsia" w:ascii="宋体" w:hAnsi="宋体" w:eastAsia="宋体" w:cs="宋体"/>
                <w:sz w:val="24"/>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2D718813">
            <w:pPr>
              <w:pStyle w:val="96"/>
              <w:adjustRightInd w:val="0"/>
              <w:textAlignment w:val="baseline"/>
              <w:rPr>
                <w:rFonts w:hint="eastAsia" w:ascii="宋体" w:hAnsi="宋体" w:eastAsia="宋体" w:cs="宋体"/>
                <w:sz w:val="24"/>
              </w:rPr>
            </w:pPr>
          </w:p>
        </w:tc>
        <w:tc>
          <w:tcPr>
            <w:tcW w:w="714" w:type="dxa"/>
            <w:vMerge w:val="continue"/>
            <w:tcBorders>
              <w:top w:val="nil"/>
              <w:left w:val="single" w:color="000000" w:sz="6" w:space="0"/>
              <w:bottom w:val="single" w:color="000000" w:sz="6" w:space="0"/>
              <w:right w:val="single" w:color="000000" w:sz="6" w:space="0"/>
            </w:tcBorders>
          </w:tcPr>
          <w:p w14:paraId="777DFDAB">
            <w:pPr>
              <w:widowControl w:val="0"/>
              <w:adjustRightInd w:val="0"/>
              <w:jc w:val="both"/>
              <w:textAlignment w:val="baseline"/>
              <w:rPr>
                <w:rFonts w:hint="eastAsia" w:ascii="宋体" w:hAnsi="宋体" w:cs="宋体"/>
                <w:sz w:val="24"/>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7796EE0">
            <w:pPr>
              <w:pStyle w:val="96"/>
              <w:adjustRightInd w:val="0"/>
              <w:spacing w:before="110"/>
              <w:ind w:left="118"/>
              <w:textAlignment w:val="baseline"/>
              <w:rPr>
                <w:rFonts w:hint="eastAsia" w:ascii="宋体" w:hAnsi="宋体" w:eastAsia="宋体" w:cs="宋体"/>
                <w:sz w:val="24"/>
              </w:rPr>
            </w:pPr>
            <w:r>
              <w:rPr>
                <w:rFonts w:hint="eastAsia" w:ascii="宋体" w:hAnsi="宋体" w:eastAsia="宋体" w:cs="宋体"/>
                <w:sz w:val="24"/>
              </w:rPr>
              <w:t>中级职称人员</w:t>
            </w:r>
          </w:p>
        </w:tc>
        <w:tc>
          <w:tcPr>
            <w:tcW w:w="1442" w:type="dxa"/>
            <w:gridSpan w:val="2"/>
            <w:tcBorders>
              <w:top w:val="single" w:color="000000" w:sz="6" w:space="0"/>
              <w:left w:val="single" w:color="000000" w:sz="6" w:space="0"/>
              <w:bottom w:val="single" w:color="000000" w:sz="6" w:space="0"/>
            </w:tcBorders>
          </w:tcPr>
          <w:p w14:paraId="489F54A0">
            <w:pPr>
              <w:pStyle w:val="96"/>
              <w:adjustRightInd w:val="0"/>
              <w:textAlignment w:val="baseline"/>
              <w:rPr>
                <w:rFonts w:hint="eastAsia" w:ascii="宋体" w:hAnsi="宋体" w:eastAsia="宋体" w:cs="宋体"/>
                <w:sz w:val="24"/>
              </w:rPr>
            </w:pPr>
          </w:p>
        </w:tc>
      </w:tr>
      <w:tr w14:paraId="2639A4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4290FE6D">
            <w:pPr>
              <w:pStyle w:val="96"/>
              <w:adjustRightInd w:val="0"/>
              <w:spacing w:before="79"/>
              <w:ind w:left="107"/>
              <w:textAlignment w:val="baseline"/>
              <w:rPr>
                <w:rFonts w:hint="eastAsia" w:ascii="宋体" w:hAnsi="宋体" w:eastAsia="宋体" w:cs="宋体"/>
                <w:sz w:val="24"/>
              </w:rPr>
            </w:pPr>
            <w:r>
              <w:rPr>
                <w:rFonts w:hint="eastAsia" w:ascii="宋体" w:hAnsi="宋体" w:eastAsia="宋体" w:cs="宋体"/>
                <w:sz w:val="24"/>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4F7D779C">
            <w:pPr>
              <w:pStyle w:val="96"/>
              <w:adjustRightInd w:val="0"/>
              <w:textAlignment w:val="baseline"/>
              <w:rPr>
                <w:rFonts w:hint="eastAsia" w:ascii="宋体" w:hAnsi="宋体" w:eastAsia="宋体" w:cs="宋体"/>
                <w:sz w:val="24"/>
              </w:rPr>
            </w:pPr>
          </w:p>
        </w:tc>
        <w:tc>
          <w:tcPr>
            <w:tcW w:w="714" w:type="dxa"/>
            <w:vMerge w:val="continue"/>
            <w:tcBorders>
              <w:top w:val="nil"/>
              <w:left w:val="single" w:color="000000" w:sz="6" w:space="0"/>
              <w:bottom w:val="single" w:color="000000" w:sz="6" w:space="0"/>
              <w:right w:val="single" w:color="000000" w:sz="6" w:space="0"/>
            </w:tcBorders>
          </w:tcPr>
          <w:p w14:paraId="1B62779D">
            <w:pPr>
              <w:widowControl w:val="0"/>
              <w:adjustRightInd w:val="0"/>
              <w:jc w:val="both"/>
              <w:textAlignment w:val="baseline"/>
              <w:rPr>
                <w:rFonts w:hint="eastAsia" w:ascii="宋体" w:hAnsi="宋体" w:cs="宋体"/>
                <w:sz w:val="24"/>
              </w:rPr>
            </w:pPr>
          </w:p>
        </w:tc>
        <w:tc>
          <w:tcPr>
            <w:tcW w:w="1801" w:type="dxa"/>
            <w:gridSpan w:val="4"/>
            <w:tcBorders>
              <w:top w:val="single" w:color="000000" w:sz="6" w:space="0"/>
              <w:left w:val="single" w:color="000000" w:sz="6" w:space="0"/>
              <w:bottom w:val="single" w:color="000000" w:sz="6" w:space="0"/>
              <w:right w:val="single" w:color="000000" w:sz="6" w:space="0"/>
            </w:tcBorders>
          </w:tcPr>
          <w:p w14:paraId="2B9370A4">
            <w:pPr>
              <w:pStyle w:val="96"/>
              <w:adjustRightInd w:val="0"/>
              <w:spacing w:before="79"/>
              <w:ind w:left="118"/>
              <w:textAlignment w:val="baseline"/>
              <w:rPr>
                <w:rFonts w:hint="eastAsia" w:ascii="宋体" w:hAnsi="宋体" w:eastAsia="宋体" w:cs="宋体"/>
                <w:sz w:val="24"/>
              </w:rPr>
            </w:pPr>
            <w:r>
              <w:rPr>
                <w:rFonts w:hint="eastAsia" w:ascii="宋体" w:hAnsi="宋体" w:eastAsia="宋体" w:cs="宋体"/>
                <w:sz w:val="24"/>
              </w:rPr>
              <w:t>初级职称人员</w:t>
            </w:r>
          </w:p>
        </w:tc>
        <w:tc>
          <w:tcPr>
            <w:tcW w:w="1442" w:type="dxa"/>
            <w:gridSpan w:val="2"/>
            <w:tcBorders>
              <w:top w:val="single" w:color="000000" w:sz="6" w:space="0"/>
              <w:left w:val="single" w:color="000000" w:sz="6" w:space="0"/>
              <w:bottom w:val="single" w:color="000000" w:sz="6" w:space="0"/>
            </w:tcBorders>
          </w:tcPr>
          <w:p w14:paraId="52551CAB">
            <w:pPr>
              <w:pStyle w:val="96"/>
              <w:adjustRightInd w:val="0"/>
              <w:textAlignment w:val="baseline"/>
              <w:rPr>
                <w:rFonts w:hint="eastAsia" w:ascii="宋体" w:hAnsi="宋体" w:eastAsia="宋体" w:cs="宋体"/>
                <w:sz w:val="24"/>
              </w:rPr>
            </w:pPr>
          </w:p>
        </w:tc>
      </w:tr>
      <w:tr w14:paraId="48E2DB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0C7581FB">
            <w:pPr>
              <w:pStyle w:val="96"/>
              <w:adjustRightInd w:val="0"/>
              <w:spacing w:before="108"/>
              <w:ind w:left="107"/>
              <w:textAlignment w:val="baseline"/>
              <w:rPr>
                <w:rFonts w:hint="eastAsia" w:ascii="宋体" w:hAnsi="宋体" w:eastAsia="宋体" w:cs="宋体"/>
                <w:sz w:val="24"/>
              </w:rPr>
            </w:pPr>
            <w:r>
              <w:rPr>
                <w:rFonts w:hint="eastAsia" w:ascii="宋体" w:hAnsi="宋体" w:eastAsia="宋体" w:cs="宋体"/>
                <w:sz w:val="24"/>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130844AA">
            <w:pPr>
              <w:pStyle w:val="96"/>
              <w:adjustRightInd w:val="0"/>
              <w:textAlignment w:val="baseline"/>
              <w:rPr>
                <w:rFonts w:hint="eastAsia" w:ascii="宋体" w:hAnsi="宋体" w:eastAsia="宋体" w:cs="宋体"/>
                <w:sz w:val="24"/>
              </w:rPr>
            </w:pPr>
          </w:p>
        </w:tc>
        <w:tc>
          <w:tcPr>
            <w:tcW w:w="714" w:type="dxa"/>
            <w:vMerge w:val="continue"/>
            <w:tcBorders>
              <w:top w:val="nil"/>
              <w:left w:val="single" w:color="000000" w:sz="6" w:space="0"/>
              <w:bottom w:val="single" w:color="000000" w:sz="6" w:space="0"/>
              <w:right w:val="single" w:color="000000" w:sz="6" w:space="0"/>
            </w:tcBorders>
          </w:tcPr>
          <w:p w14:paraId="3F3EF65D">
            <w:pPr>
              <w:widowControl w:val="0"/>
              <w:adjustRightInd w:val="0"/>
              <w:jc w:val="both"/>
              <w:textAlignment w:val="baseline"/>
              <w:rPr>
                <w:rFonts w:hint="eastAsia" w:ascii="宋体" w:hAnsi="宋体" w:cs="宋体"/>
                <w:sz w:val="24"/>
              </w:rPr>
            </w:pPr>
          </w:p>
        </w:tc>
        <w:tc>
          <w:tcPr>
            <w:tcW w:w="1801" w:type="dxa"/>
            <w:gridSpan w:val="4"/>
            <w:tcBorders>
              <w:top w:val="single" w:color="000000" w:sz="6" w:space="0"/>
              <w:left w:val="single" w:color="000000" w:sz="6" w:space="0"/>
              <w:bottom w:val="single" w:color="000000" w:sz="6" w:space="0"/>
              <w:right w:val="single" w:color="000000" w:sz="6" w:space="0"/>
            </w:tcBorders>
          </w:tcPr>
          <w:p w14:paraId="6D7E27FF">
            <w:pPr>
              <w:pStyle w:val="96"/>
              <w:adjustRightInd w:val="0"/>
              <w:spacing w:before="108"/>
              <w:ind w:left="118"/>
              <w:textAlignment w:val="baseline"/>
              <w:rPr>
                <w:rFonts w:hint="eastAsia" w:ascii="宋体" w:hAnsi="宋体" w:eastAsia="宋体" w:cs="宋体"/>
                <w:sz w:val="24"/>
              </w:rPr>
            </w:pPr>
            <w:r>
              <w:rPr>
                <w:rFonts w:hint="eastAsia" w:ascii="宋体" w:hAnsi="宋体" w:eastAsia="宋体" w:cs="宋体"/>
                <w:sz w:val="24"/>
              </w:rPr>
              <w:t>其他……</w:t>
            </w:r>
          </w:p>
        </w:tc>
        <w:tc>
          <w:tcPr>
            <w:tcW w:w="1442" w:type="dxa"/>
            <w:gridSpan w:val="2"/>
            <w:tcBorders>
              <w:top w:val="single" w:color="000000" w:sz="6" w:space="0"/>
              <w:left w:val="single" w:color="000000" w:sz="6" w:space="0"/>
              <w:bottom w:val="single" w:color="000000" w:sz="6" w:space="0"/>
            </w:tcBorders>
          </w:tcPr>
          <w:p w14:paraId="1BD15627">
            <w:pPr>
              <w:pStyle w:val="96"/>
              <w:adjustRightInd w:val="0"/>
              <w:textAlignment w:val="baseline"/>
              <w:rPr>
                <w:rFonts w:hint="eastAsia" w:ascii="宋体" w:hAnsi="宋体" w:eastAsia="宋体" w:cs="宋体"/>
                <w:sz w:val="24"/>
              </w:rPr>
            </w:pPr>
          </w:p>
        </w:tc>
      </w:tr>
      <w:tr w14:paraId="5755ED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41F9729C">
            <w:pPr>
              <w:pStyle w:val="96"/>
              <w:adjustRightInd w:val="0"/>
              <w:spacing w:before="52"/>
              <w:ind w:left="107"/>
              <w:textAlignment w:val="baseline"/>
              <w:rPr>
                <w:rFonts w:hint="eastAsia" w:ascii="宋体" w:hAnsi="宋体" w:eastAsia="宋体" w:cs="宋体"/>
                <w:sz w:val="24"/>
              </w:rPr>
            </w:pPr>
            <w:r>
              <w:rPr>
                <w:rFonts w:hint="eastAsia" w:ascii="宋体" w:hAnsi="宋体" w:eastAsia="宋体" w:cs="宋体"/>
                <w:sz w:val="24"/>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19AEA710">
            <w:pPr>
              <w:pStyle w:val="96"/>
              <w:adjustRightInd w:val="0"/>
              <w:textAlignment w:val="baseline"/>
              <w:rPr>
                <w:rFonts w:hint="eastAsia" w:ascii="宋体" w:hAnsi="宋体" w:eastAsia="宋体" w:cs="宋体"/>
                <w:sz w:val="24"/>
              </w:rPr>
            </w:pPr>
          </w:p>
        </w:tc>
        <w:tc>
          <w:tcPr>
            <w:tcW w:w="714" w:type="dxa"/>
            <w:vMerge w:val="continue"/>
            <w:tcBorders>
              <w:top w:val="nil"/>
              <w:left w:val="single" w:color="000000" w:sz="6" w:space="0"/>
              <w:bottom w:val="single" w:color="000000" w:sz="6" w:space="0"/>
              <w:right w:val="single" w:color="000000" w:sz="6" w:space="0"/>
            </w:tcBorders>
          </w:tcPr>
          <w:p w14:paraId="5C4BC2DD">
            <w:pPr>
              <w:widowControl w:val="0"/>
              <w:adjustRightInd w:val="0"/>
              <w:jc w:val="both"/>
              <w:textAlignment w:val="baseline"/>
              <w:rPr>
                <w:rFonts w:hint="eastAsia" w:ascii="宋体" w:hAnsi="宋体" w:cs="宋体"/>
                <w:sz w:val="24"/>
              </w:rPr>
            </w:pPr>
          </w:p>
        </w:tc>
        <w:tc>
          <w:tcPr>
            <w:tcW w:w="1801" w:type="dxa"/>
            <w:gridSpan w:val="4"/>
            <w:tcBorders>
              <w:top w:val="single" w:color="000000" w:sz="6" w:space="0"/>
              <w:left w:val="single" w:color="000000" w:sz="6" w:space="0"/>
              <w:bottom w:val="single" w:color="000000" w:sz="6" w:space="0"/>
              <w:right w:val="single" w:color="000000" w:sz="6" w:space="0"/>
            </w:tcBorders>
          </w:tcPr>
          <w:p w14:paraId="617F7F03">
            <w:pPr>
              <w:pStyle w:val="96"/>
              <w:adjustRightInd w:val="0"/>
              <w:textAlignment w:val="baseline"/>
              <w:rPr>
                <w:rFonts w:hint="eastAsia" w:ascii="宋体" w:hAnsi="宋体" w:eastAsia="宋体" w:cs="宋体"/>
                <w:sz w:val="24"/>
              </w:rPr>
            </w:pPr>
          </w:p>
        </w:tc>
        <w:tc>
          <w:tcPr>
            <w:tcW w:w="1442" w:type="dxa"/>
            <w:gridSpan w:val="2"/>
            <w:tcBorders>
              <w:top w:val="single" w:color="000000" w:sz="6" w:space="0"/>
              <w:left w:val="single" w:color="000000" w:sz="6" w:space="0"/>
              <w:bottom w:val="single" w:color="000000" w:sz="6" w:space="0"/>
            </w:tcBorders>
          </w:tcPr>
          <w:p w14:paraId="7338710D">
            <w:pPr>
              <w:pStyle w:val="96"/>
              <w:adjustRightInd w:val="0"/>
              <w:textAlignment w:val="baseline"/>
              <w:rPr>
                <w:rFonts w:hint="eastAsia" w:ascii="宋体" w:hAnsi="宋体" w:eastAsia="宋体" w:cs="宋体"/>
                <w:sz w:val="24"/>
              </w:rPr>
            </w:pPr>
          </w:p>
        </w:tc>
      </w:tr>
      <w:tr w14:paraId="7CE37A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1679592E">
            <w:pPr>
              <w:pStyle w:val="96"/>
              <w:adjustRightInd w:val="0"/>
              <w:spacing w:before="93"/>
              <w:ind w:left="107"/>
              <w:textAlignment w:val="baseline"/>
              <w:rPr>
                <w:rFonts w:hint="eastAsia" w:ascii="宋体" w:hAnsi="宋体" w:eastAsia="宋体" w:cs="宋体"/>
                <w:sz w:val="24"/>
              </w:rPr>
            </w:pPr>
            <w:r>
              <w:rPr>
                <w:rFonts w:hint="eastAsia" w:ascii="宋体" w:hAnsi="宋体" w:eastAsia="宋体" w:cs="宋体"/>
                <w:sz w:val="24"/>
              </w:rPr>
              <w:t>经营范围备注</w:t>
            </w:r>
          </w:p>
        </w:tc>
        <w:tc>
          <w:tcPr>
            <w:tcW w:w="6831" w:type="dxa"/>
            <w:gridSpan w:val="9"/>
            <w:tcBorders>
              <w:top w:val="single" w:color="000000" w:sz="6" w:space="0"/>
              <w:left w:val="single" w:color="000000" w:sz="6" w:space="0"/>
            </w:tcBorders>
          </w:tcPr>
          <w:p w14:paraId="485EEE29">
            <w:pPr>
              <w:pStyle w:val="96"/>
              <w:adjustRightInd w:val="0"/>
              <w:textAlignment w:val="baseline"/>
              <w:rPr>
                <w:rFonts w:hint="eastAsia" w:ascii="宋体" w:hAnsi="宋体" w:eastAsia="宋体" w:cs="宋体"/>
                <w:sz w:val="24"/>
              </w:rPr>
            </w:pPr>
          </w:p>
        </w:tc>
      </w:tr>
    </w:tbl>
    <w:p w14:paraId="3DDC9824">
      <w:pPr>
        <w:pStyle w:val="14"/>
        <w:spacing w:before="4" w:line="240" w:lineRule="auto"/>
        <w:rPr>
          <w:rFonts w:hint="eastAsia" w:ascii="宋体" w:hAnsi="宋体" w:cs="宋体"/>
          <w:b/>
        </w:rPr>
      </w:pPr>
    </w:p>
    <w:p w14:paraId="52C57053">
      <w:pPr>
        <w:rPr>
          <w:rFonts w:hint="eastAsia" w:ascii="宋体" w:hAnsi="宋体" w:cs="宋体"/>
          <w:sz w:val="24"/>
        </w:rPr>
      </w:pPr>
      <w:r>
        <w:rPr>
          <w:rFonts w:hint="eastAsia" w:ascii="宋体" w:hAnsi="宋体" w:cs="宋体"/>
          <w:sz w:val="24"/>
        </w:rPr>
        <w:br w:type="page"/>
      </w:r>
      <w:bookmarkStart w:id="80" w:name="_Toc16932"/>
      <w:bookmarkStart w:id="81" w:name="_Toc8022"/>
      <w:r>
        <w:rPr>
          <w:rFonts w:hint="eastAsia" w:ascii="宋体" w:hAnsi="宋体" w:cs="宋体"/>
          <w:sz w:val="24"/>
        </w:rPr>
        <w:t>附件 3-2 投标人单位简介</w:t>
      </w:r>
      <w:bookmarkEnd w:id="80"/>
      <w:bookmarkEnd w:id="81"/>
    </w:p>
    <w:p w14:paraId="7B72F26C">
      <w:pPr>
        <w:pStyle w:val="14"/>
        <w:spacing w:line="240" w:lineRule="auto"/>
        <w:rPr>
          <w:rFonts w:hint="eastAsia" w:ascii="宋体" w:hAnsi="宋体" w:cs="宋体"/>
          <w:b/>
        </w:rPr>
      </w:pPr>
    </w:p>
    <w:p w14:paraId="03CB0403">
      <w:pPr>
        <w:pStyle w:val="14"/>
        <w:spacing w:before="11" w:line="240" w:lineRule="auto"/>
        <w:rPr>
          <w:rFonts w:hint="eastAsia" w:ascii="宋体" w:hAnsi="宋体" w:cs="宋体"/>
          <w:b/>
        </w:rPr>
      </w:pPr>
    </w:p>
    <w:p w14:paraId="1E65946D">
      <w:pPr>
        <w:pStyle w:val="9"/>
        <w:spacing w:line="240" w:lineRule="auto"/>
        <w:ind w:right="156"/>
        <w:jc w:val="center"/>
        <w:rPr>
          <w:rFonts w:hint="eastAsia" w:ascii="宋体" w:hAnsi="宋体" w:cs="宋体"/>
          <w:szCs w:val="24"/>
        </w:rPr>
      </w:pPr>
    </w:p>
    <w:p w14:paraId="39FBC8F4">
      <w:pPr>
        <w:pStyle w:val="87"/>
        <w:ind w:right="-92" w:rightChars="-44"/>
        <w:jc w:val="both"/>
        <w:rPr>
          <w:rFonts w:hint="eastAsia" w:ascii="宋体" w:hAnsi="宋体" w:cs="宋体"/>
          <w:sz w:val="24"/>
          <w:szCs w:val="24"/>
        </w:rPr>
      </w:pPr>
      <w:r>
        <w:rPr>
          <w:rFonts w:hint="eastAsia" w:ascii="宋体" w:hAnsi="宋体" w:cs="宋体"/>
          <w:sz w:val="24"/>
          <w:szCs w:val="24"/>
        </w:rPr>
        <w:t>（包括但不限于投标人实力、业务范围、所有权状况、组织机构及职能、人员构成、单位的场地环境和软硬件设施等）</w:t>
      </w:r>
    </w:p>
    <w:p w14:paraId="0B590AB1">
      <w:pPr>
        <w:pStyle w:val="87"/>
        <w:ind w:left="5250" w:right="-92" w:rightChars="-44"/>
        <w:jc w:val="both"/>
        <w:rPr>
          <w:rFonts w:hint="eastAsia" w:ascii="宋体" w:hAnsi="宋体" w:cs="宋体"/>
          <w:sz w:val="24"/>
          <w:szCs w:val="24"/>
        </w:rPr>
      </w:pPr>
    </w:p>
    <w:p w14:paraId="71FBD7CD">
      <w:pPr>
        <w:pStyle w:val="87"/>
        <w:ind w:left="5250" w:right="-92" w:rightChars="-44"/>
        <w:jc w:val="both"/>
        <w:rPr>
          <w:rFonts w:hint="eastAsia" w:ascii="宋体" w:hAnsi="宋体" w:cs="宋体"/>
          <w:sz w:val="24"/>
          <w:szCs w:val="24"/>
        </w:rPr>
      </w:pPr>
    </w:p>
    <w:p w14:paraId="6592D9D1">
      <w:pPr>
        <w:pStyle w:val="87"/>
        <w:ind w:left="5250" w:right="-92" w:rightChars="-44"/>
        <w:jc w:val="both"/>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p>
    <w:bookmarkEnd w:id="69"/>
    <w:p w14:paraId="4DBB1AFD">
      <w:pPr>
        <w:pStyle w:val="9"/>
        <w:spacing w:before="67" w:line="240" w:lineRule="auto"/>
        <w:rPr>
          <w:rFonts w:hint="eastAsia" w:ascii="宋体" w:hAnsi="宋体" w:cs="宋体"/>
          <w:szCs w:val="24"/>
        </w:rPr>
      </w:pPr>
      <w:bookmarkStart w:id="82" w:name="_Toc30877"/>
      <w:bookmarkStart w:id="83" w:name="_Toc18885"/>
      <w:r>
        <w:rPr>
          <w:rFonts w:hint="eastAsia" w:ascii="宋体" w:hAnsi="宋体" w:cs="宋体"/>
          <w:szCs w:val="24"/>
        </w:rPr>
        <w:t>附件 3-3 投标人同类型项目案例（业绩）情况介绍</w:t>
      </w:r>
      <w:bookmarkEnd w:id="82"/>
      <w:bookmarkEnd w:id="83"/>
    </w:p>
    <w:p w14:paraId="1E07439D">
      <w:pPr>
        <w:pStyle w:val="14"/>
        <w:spacing w:line="240" w:lineRule="auto"/>
        <w:rPr>
          <w:rFonts w:hint="eastAsia" w:ascii="宋体" w:hAnsi="宋体" w:cs="宋体"/>
          <w:b/>
        </w:rPr>
      </w:pPr>
    </w:p>
    <w:p w14:paraId="17B9A080">
      <w:pPr>
        <w:pStyle w:val="14"/>
        <w:spacing w:line="240" w:lineRule="auto"/>
        <w:rPr>
          <w:rFonts w:hint="eastAsia" w:ascii="宋体" w:hAnsi="宋体" w:cs="宋体"/>
          <w:b/>
        </w:rPr>
      </w:pPr>
    </w:p>
    <w:p w14:paraId="474F0665">
      <w:pPr>
        <w:pStyle w:val="14"/>
        <w:spacing w:line="240" w:lineRule="auto"/>
        <w:ind w:left="532" w:right="453"/>
        <w:jc w:val="center"/>
        <w:rPr>
          <w:rFonts w:hint="eastAsia" w:ascii="宋体" w:hAnsi="宋体" w:cs="宋体"/>
        </w:rPr>
      </w:pPr>
      <w:r>
        <w:rPr>
          <w:rFonts w:hint="eastAsia" w:ascii="宋体" w:hAnsi="宋体" w:cs="宋体"/>
        </w:rPr>
        <w:t>业绩统计一览表和合同履行情况</w:t>
      </w:r>
    </w:p>
    <w:p w14:paraId="3DB53DDD">
      <w:pPr>
        <w:pStyle w:val="14"/>
        <w:spacing w:before="7" w:line="240" w:lineRule="auto"/>
        <w:rPr>
          <w:rFonts w:hint="eastAsia" w:ascii="宋体" w:hAnsi="宋体" w:cs="宋体"/>
        </w:rPr>
      </w:pPr>
    </w:p>
    <w:tbl>
      <w:tblPr>
        <w:tblStyle w:val="32"/>
        <w:tblW w:w="832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2249"/>
        <w:gridCol w:w="928"/>
        <w:gridCol w:w="1008"/>
        <w:gridCol w:w="1020"/>
        <w:gridCol w:w="847"/>
        <w:gridCol w:w="837"/>
        <w:gridCol w:w="565"/>
      </w:tblGrid>
      <w:tr w14:paraId="32EF94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875" w:type="dxa"/>
            <w:tcBorders>
              <w:bottom w:val="single" w:color="000000" w:sz="6" w:space="0"/>
              <w:right w:val="single" w:color="000000" w:sz="6" w:space="0"/>
            </w:tcBorders>
            <w:vAlign w:val="center"/>
          </w:tcPr>
          <w:p w14:paraId="6D1313B6">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序号</w:t>
            </w:r>
          </w:p>
        </w:tc>
        <w:tc>
          <w:tcPr>
            <w:tcW w:w="2249" w:type="dxa"/>
            <w:tcBorders>
              <w:left w:val="single" w:color="000000" w:sz="6" w:space="0"/>
              <w:bottom w:val="single" w:color="000000" w:sz="6" w:space="0"/>
              <w:right w:val="single" w:color="000000" w:sz="6" w:space="0"/>
            </w:tcBorders>
            <w:vAlign w:val="center"/>
          </w:tcPr>
          <w:p w14:paraId="0FE81173">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项目委托单位、联系人及电话</w:t>
            </w:r>
          </w:p>
        </w:tc>
        <w:tc>
          <w:tcPr>
            <w:tcW w:w="928" w:type="dxa"/>
            <w:tcBorders>
              <w:left w:val="single" w:color="000000" w:sz="6" w:space="0"/>
              <w:bottom w:val="single" w:color="000000" w:sz="6" w:space="0"/>
              <w:right w:val="single" w:color="000000" w:sz="6" w:space="0"/>
            </w:tcBorders>
            <w:vAlign w:val="center"/>
          </w:tcPr>
          <w:p w14:paraId="54F224A5">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项目</w:t>
            </w:r>
          </w:p>
          <w:p w14:paraId="6874ACCC">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名称</w:t>
            </w:r>
          </w:p>
        </w:tc>
        <w:tc>
          <w:tcPr>
            <w:tcW w:w="1008" w:type="dxa"/>
            <w:tcBorders>
              <w:left w:val="single" w:color="000000" w:sz="6" w:space="0"/>
              <w:bottom w:val="single" w:color="000000" w:sz="6" w:space="0"/>
              <w:right w:val="single" w:color="000000" w:sz="6" w:space="0"/>
            </w:tcBorders>
            <w:vAlign w:val="center"/>
          </w:tcPr>
          <w:p w14:paraId="5F160CA9">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项目</w:t>
            </w:r>
          </w:p>
          <w:p w14:paraId="6BF0A794">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内容</w:t>
            </w:r>
          </w:p>
        </w:tc>
        <w:tc>
          <w:tcPr>
            <w:tcW w:w="1020" w:type="dxa"/>
            <w:tcBorders>
              <w:left w:val="single" w:color="000000" w:sz="6" w:space="0"/>
              <w:bottom w:val="single" w:color="000000" w:sz="6" w:space="0"/>
              <w:right w:val="single" w:color="000000" w:sz="6" w:space="0"/>
            </w:tcBorders>
            <w:vAlign w:val="center"/>
          </w:tcPr>
          <w:p w14:paraId="0A59C018">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合同</w:t>
            </w:r>
          </w:p>
          <w:p w14:paraId="302B1EC7">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金额</w:t>
            </w:r>
          </w:p>
        </w:tc>
        <w:tc>
          <w:tcPr>
            <w:tcW w:w="847" w:type="dxa"/>
            <w:tcBorders>
              <w:left w:val="single" w:color="000000" w:sz="6" w:space="0"/>
              <w:bottom w:val="single" w:color="000000" w:sz="6" w:space="0"/>
              <w:right w:val="single" w:color="000000" w:sz="6" w:space="0"/>
            </w:tcBorders>
            <w:vAlign w:val="center"/>
          </w:tcPr>
          <w:p w14:paraId="01488BC4">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合同</w:t>
            </w:r>
            <w:r>
              <w:rPr>
                <w:rFonts w:hint="eastAsia" w:ascii="宋体" w:hAnsi="宋体" w:eastAsia="宋体" w:cs="宋体"/>
                <w:spacing w:val="-9"/>
                <w:sz w:val="24"/>
              </w:rPr>
              <w:t>签订日期</w:t>
            </w:r>
          </w:p>
        </w:tc>
        <w:tc>
          <w:tcPr>
            <w:tcW w:w="837" w:type="dxa"/>
            <w:tcBorders>
              <w:left w:val="single" w:color="000000" w:sz="6" w:space="0"/>
              <w:bottom w:val="single" w:color="000000" w:sz="6" w:space="0"/>
              <w:right w:val="single" w:color="000000" w:sz="6" w:space="0"/>
            </w:tcBorders>
            <w:vAlign w:val="center"/>
          </w:tcPr>
          <w:p w14:paraId="57269F04">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完成</w:t>
            </w:r>
          </w:p>
          <w:p w14:paraId="7FAF3ADC">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情况</w:t>
            </w:r>
          </w:p>
        </w:tc>
        <w:tc>
          <w:tcPr>
            <w:tcW w:w="565" w:type="dxa"/>
            <w:tcBorders>
              <w:left w:val="single" w:color="000000" w:sz="6" w:space="0"/>
              <w:bottom w:val="single" w:color="000000" w:sz="6" w:space="0"/>
            </w:tcBorders>
            <w:vAlign w:val="center"/>
          </w:tcPr>
          <w:p w14:paraId="0072107F">
            <w:pPr>
              <w:pStyle w:val="96"/>
              <w:autoSpaceDE w:val="0"/>
              <w:autoSpaceDN w:val="0"/>
              <w:adjustRightInd w:val="0"/>
              <w:snapToGrid w:val="0"/>
              <w:jc w:val="center"/>
              <w:textAlignment w:val="baseline"/>
              <w:rPr>
                <w:rFonts w:hint="eastAsia" w:ascii="宋体" w:hAnsi="宋体" w:eastAsia="宋体" w:cs="宋体"/>
                <w:sz w:val="24"/>
              </w:rPr>
            </w:pPr>
            <w:r>
              <w:rPr>
                <w:rFonts w:hint="eastAsia" w:ascii="宋体" w:hAnsi="宋体" w:eastAsia="宋体" w:cs="宋体"/>
                <w:sz w:val="24"/>
              </w:rPr>
              <w:t>备注</w:t>
            </w:r>
          </w:p>
        </w:tc>
      </w:tr>
      <w:tr w14:paraId="4FC84D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2C1948B5">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61071AF6">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68A23155">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314B89DC">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39F479B0">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72ED3AB0">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11F16568">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74CBF6CF">
            <w:pPr>
              <w:pStyle w:val="96"/>
              <w:adjustRightInd w:val="0"/>
              <w:textAlignment w:val="baseline"/>
              <w:rPr>
                <w:rFonts w:hint="eastAsia" w:ascii="宋体" w:hAnsi="宋体" w:eastAsia="宋体" w:cs="宋体"/>
                <w:sz w:val="24"/>
              </w:rPr>
            </w:pPr>
          </w:p>
        </w:tc>
      </w:tr>
      <w:tr w14:paraId="1CCF97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5255BDB9">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3E5C4590">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74E5799B">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22771669">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4DA39196">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1715005C">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1BBB8D3C">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0525F90A">
            <w:pPr>
              <w:pStyle w:val="96"/>
              <w:adjustRightInd w:val="0"/>
              <w:textAlignment w:val="baseline"/>
              <w:rPr>
                <w:rFonts w:hint="eastAsia" w:ascii="宋体" w:hAnsi="宋体" w:eastAsia="宋体" w:cs="宋体"/>
                <w:sz w:val="24"/>
              </w:rPr>
            </w:pPr>
          </w:p>
        </w:tc>
      </w:tr>
      <w:tr w14:paraId="44A451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62F8A84B">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785D36E9">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2B10778A">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31C6BC61">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3035A783">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15681101">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5461009E">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2861A283">
            <w:pPr>
              <w:pStyle w:val="96"/>
              <w:adjustRightInd w:val="0"/>
              <w:textAlignment w:val="baseline"/>
              <w:rPr>
                <w:rFonts w:hint="eastAsia" w:ascii="宋体" w:hAnsi="宋体" w:eastAsia="宋体" w:cs="宋体"/>
                <w:sz w:val="24"/>
              </w:rPr>
            </w:pPr>
          </w:p>
        </w:tc>
      </w:tr>
      <w:tr w14:paraId="1D795F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6EE154F8">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55859199">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002F7CD1">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38D4166C">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3B6D056D">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607606CE">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2AEFEF5E">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51BEBD84">
            <w:pPr>
              <w:pStyle w:val="96"/>
              <w:adjustRightInd w:val="0"/>
              <w:textAlignment w:val="baseline"/>
              <w:rPr>
                <w:rFonts w:hint="eastAsia" w:ascii="宋体" w:hAnsi="宋体" w:eastAsia="宋体" w:cs="宋体"/>
                <w:sz w:val="24"/>
              </w:rPr>
            </w:pPr>
          </w:p>
        </w:tc>
      </w:tr>
      <w:tr w14:paraId="58D174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543F3C80">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1900D3BE">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4FC7E050">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41F5310F">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7667D7AD">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08C9EFC7">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4600565F">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15FE5361">
            <w:pPr>
              <w:pStyle w:val="96"/>
              <w:adjustRightInd w:val="0"/>
              <w:textAlignment w:val="baseline"/>
              <w:rPr>
                <w:rFonts w:hint="eastAsia" w:ascii="宋体" w:hAnsi="宋体" w:eastAsia="宋体" w:cs="宋体"/>
                <w:sz w:val="24"/>
              </w:rPr>
            </w:pPr>
          </w:p>
        </w:tc>
      </w:tr>
      <w:tr w14:paraId="736548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765DD8F5">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09591EBA">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3AFC7274">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01BF9E6B">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2F2D0CEB">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6E5566FE">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5D5D0406">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54704DCB">
            <w:pPr>
              <w:pStyle w:val="96"/>
              <w:adjustRightInd w:val="0"/>
              <w:textAlignment w:val="baseline"/>
              <w:rPr>
                <w:rFonts w:hint="eastAsia" w:ascii="宋体" w:hAnsi="宋体" w:eastAsia="宋体" w:cs="宋体"/>
                <w:sz w:val="24"/>
              </w:rPr>
            </w:pPr>
          </w:p>
        </w:tc>
      </w:tr>
      <w:tr w14:paraId="5C5710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0FAE6031">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2FACED87">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18211096">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47861B57">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7ED3B211">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1A6331BC">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6A77C100">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0F3416B0">
            <w:pPr>
              <w:pStyle w:val="96"/>
              <w:adjustRightInd w:val="0"/>
              <w:textAlignment w:val="baseline"/>
              <w:rPr>
                <w:rFonts w:hint="eastAsia" w:ascii="宋体" w:hAnsi="宋体" w:eastAsia="宋体" w:cs="宋体"/>
                <w:sz w:val="24"/>
              </w:rPr>
            </w:pPr>
          </w:p>
        </w:tc>
      </w:tr>
      <w:tr w14:paraId="412861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132CE238">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3BEF2BFA">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6176E10C">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28A47149">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479AD4E3">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19E5DA5D">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21F6E9B8">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1870F9B5">
            <w:pPr>
              <w:pStyle w:val="96"/>
              <w:adjustRightInd w:val="0"/>
              <w:textAlignment w:val="baseline"/>
              <w:rPr>
                <w:rFonts w:hint="eastAsia" w:ascii="宋体" w:hAnsi="宋体" w:eastAsia="宋体" w:cs="宋体"/>
                <w:sz w:val="24"/>
              </w:rPr>
            </w:pPr>
          </w:p>
        </w:tc>
      </w:tr>
      <w:tr w14:paraId="52D1B6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bottom w:val="single" w:color="000000" w:sz="6" w:space="0"/>
              <w:right w:val="single" w:color="000000" w:sz="6" w:space="0"/>
            </w:tcBorders>
          </w:tcPr>
          <w:p w14:paraId="45364544">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bottom w:val="single" w:color="000000" w:sz="6" w:space="0"/>
              <w:right w:val="single" w:color="000000" w:sz="6" w:space="0"/>
            </w:tcBorders>
          </w:tcPr>
          <w:p w14:paraId="4E0C0B22">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bottom w:val="single" w:color="000000" w:sz="6" w:space="0"/>
              <w:right w:val="single" w:color="000000" w:sz="6" w:space="0"/>
            </w:tcBorders>
          </w:tcPr>
          <w:p w14:paraId="3F13F17E">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bottom w:val="single" w:color="000000" w:sz="6" w:space="0"/>
              <w:right w:val="single" w:color="000000" w:sz="6" w:space="0"/>
            </w:tcBorders>
          </w:tcPr>
          <w:p w14:paraId="7B2435F4">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bottom w:val="single" w:color="000000" w:sz="6" w:space="0"/>
              <w:right w:val="single" w:color="000000" w:sz="6" w:space="0"/>
            </w:tcBorders>
          </w:tcPr>
          <w:p w14:paraId="3736C0E9">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bottom w:val="single" w:color="000000" w:sz="6" w:space="0"/>
              <w:right w:val="single" w:color="000000" w:sz="6" w:space="0"/>
            </w:tcBorders>
          </w:tcPr>
          <w:p w14:paraId="4A937A71">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bottom w:val="single" w:color="000000" w:sz="6" w:space="0"/>
              <w:right w:val="single" w:color="000000" w:sz="6" w:space="0"/>
            </w:tcBorders>
          </w:tcPr>
          <w:p w14:paraId="16CD2C0D">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bottom w:val="single" w:color="000000" w:sz="6" w:space="0"/>
            </w:tcBorders>
          </w:tcPr>
          <w:p w14:paraId="581FB0E2">
            <w:pPr>
              <w:pStyle w:val="96"/>
              <w:adjustRightInd w:val="0"/>
              <w:textAlignment w:val="baseline"/>
              <w:rPr>
                <w:rFonts w:hint="eastAsia" w:ascii="宋体" w:hAnsi="宋体" w:eastAsia="宋体" w:cs="宋体"/>
                <w:sz w:val="24"/>
              </w:rPr>
            </w:pPr>
          </w:p>
        </w:tc>
      </w:tr>
      <w:tr w14:paraId="4F2B5F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875" w:type="dxa"/>
            <w:tcBorders>
              <w:top w:val="single" w:color="000000" w:sz="6" w:space="0"/>
              <w:right w:val="single" w:color="000000" w:sz="6" w:space="0"/>
            </w:tcBorders>
          </w:tcPr>
          <w:p w14:paraId="5260A07C">
            <w:pPr>
              <w:pStyle w:val="96"/>
              <w:adjustRightInd w:val="0"/>
              <w:textAlignment w:val="baseline"/>
              <w:rPr>
                <w:rFonts w:hint="eastAsia" w:ascii="宋体" w:hAnsi="宋体" w:eastAsia="宋体" w:cs="宋体"/>
                <w:sz w:val="24"/>
              </w:rPr>
            </w:pPr>
          </w:p>
        </w:tc>
        <w:tc>
          <w:tcPr>
            <w:tcW w:w="2249" w:type="dxa"/>
            <w:tcBorders>
              <w:top w:val="single" w:color="000000" w:sz="6" w:space="0"/>
              <w:left w:val="single" w:color="000000" w:sz="6" w:space="0"/>
              <w:right w:val="single" w:color="000000" w:sz="6" w:space="0"/>
            </w:tcBorders>
          </w:tcPr>
          <w:p w14:paraId="5FF9A656">
            <w:pPr>
              <w:pStyle w:val="96"/>
              <w:adjustRightInd w:val="0"/>
              <w:textAlignment w:val="baseline"/>
              <w:rPr>
                <w:rFonts w:hint="eastAsia" w:ascii="宋体" w:hAnsi="宋体" w:eastAsia="宋体" w:cs="宋体"/>
                <w:sz w:val="24"/>
              </w:rPr>
            </w:pPr>
          </w:p>
        </w:tc>
        <w:tc>
          <w:tcPr>
            <w:tcW w:w="928" w:type="dxa"/>
            <w:tcBorders>
              <w:top w:val="single" w:color="000000" w:sz="6" w:space="0"/>
              <w:left w:val="single" w:color="000000" w:sz="6" w:space="0"/>
              <w:right w:val="single" w:color="000000" w:sz="6" w:space="0"/>
            </w:tcBorders>
          </w:tcPr>
          <w:p w14:paraId="076F23A9">
            <w:pPr>
              <w:pStyle w:val="96"/>
              <w:adjustRightInd w:val="0"/>
              <w:textAlignment w:val="baseline"/>
              <w:rPr>
                <w:rFonts w:hint="eastAsia" w:ascii="宋体" w:hAnsi="宋体" w:eastAsia="宋体" w:cs="宋体"/>
                <w:sz w:val="24"/>
              </w:rPr>
            </w:pPr>
          </w:p>
        </w:tc>
        <w:tc>
          <w:tcPr>
            <w:tcW w:w="1008" w:type="dxa"/>
            <w:tcBorders>
              <w:top w:val="single" w:color="000000" w:sz="6" w:space="0"/>
              <w:left w:val="single" w:color="000000" w:sz="6" w:space="0"/>
              <w:right w:val="single" w:color="000000" w:sz="6" w:space="0"/>
            </w:tcBorders>
          </w:tcPr>
          <w:p w14:paraId="4DB7CBE2">
            <w:pPr>
              <w:pStyle w:val="96"/>
              <w:adjustRightInd w:val="0"/>
              <w:textAlignment w:val="baseline"/>
              <w:rPr>
                <w:rFonts w:hint="eastAsia" w:ascii="宋体" w:hAnsi="宋体" w:eastAsia="宋体" w:cs="宋体"/>
                <w:sz w:val="24"/>
              </w:rPr>
            </w:pPr>
          </w:p>
        </w:tc>
        <w:tc>
          <w:tcPr>
            <w:tcW w:w="1020" w:type="dxa"/>
            <w:tcBorders>
              <w:top w:val="single" w:color="000000" w:sz="6" w:space="0"/>
              <w:left w:val="single" w:color="000000" w:sz="6" w:space="0"/>
              <w:right w:val="single" w:color="000000" w:sz="6" w:space="0"/>
            </w:tcBorders>
          </w:tcPr>
          <w:p w14:paraId="1F156D81">
            <w:pPr>
              <w:pStyle w:val="96"/>
              <w:adjustRightInd w:val="0"/>
              <w:textAlignment w:val="baseline"/>
              <w:rPr>
                <w:rFonts w:hint="eastAsia" w:ascii="宋体" w:hAnsi="宋体" w:eastAsia="宋体" w:cs="宋体"/>
                <w:sz w:val="24"/>
              </w:rPr>
            </w:pPr>
          </w:p>
        </w:tc>
        <w:tc>
          <w:tcPr>
            <w:tcW w:w="847" w:type="dxa"/>
            <w:tcBorders>
              <w:top w:val="single" w:color="000000" w:sz="6" w:space="0"/>
              <w:left w:val="single" w:color="000000" w:sz="6" w:space="0"/>
              <w:right w:val="single" w:color="000000" w:sz="6" w:space="0"/>
            </w:tcBorders>
          </w:tcPr>
          <w:p w14:paraId="14169D85">
            <w:pPr>
              <w:pStyle w:val="96"/>
              <w:adjustRightInd w:val="0"/>
              <w:textAlignment w:val="baseline"/>
              <w:rPr>
                <w:rFonts w:hint="eastAsia" w:ascii="宋体" w:hAnsi="宋体" w:eastAsia="宋体" w:cs="宋体"/>
                <w:sz w:val="24"/>
              </w:rPr>
            </w:pPr>
          </w:p>
        </w:tc>
        <w:tc>
          <w:tcPr>
            <w:tcW w:w="837" w:type="dxa"/>
            <w:tcBorders>
              <w:top w:val="single" w:color="000000" w:sz="6" w:space="0"/>
              <w:left w:val="single" w:color="000000" w:sz="6" w:space="0"/>
              <w:right w:val="single" w:color="000000" w:sz="6" w:space="0"/>
            </w:tcBorders>
          </w:tcPr>
          <w:p w14:paraId="42A5BEE0">
            <w:pPr>
              <w:pStyle w:val="96"/>
              <w:adjustRightInd w:val="0"/>
              <w:textAlignment w:val="baseline"/>
              <w:rPr>
                <w:rFonts w:hint="eastAsia" w:ascii="宋体" w:hAnsi="宋体" w:eastAsia="宋体" w:cs="宋体"/>
                <w:sz w:val="24"/>
              </w:rPr>
            </w:pPr>
          </w:p>
        </w:tc>
        <w:tc>
          <w:tcPr>
            <w:tcW w:w="565" w:type="dxa"/>
            <w:tcBorders>
              <w:top w:val="single" w:color="000000" w:sz="6" w:space="0"/>
              <w:left w:val="single" w:color="000000" w:sz="6" w:space="0"/>
            </w:tcBorders>
          </w:tcPr>
          <w:p w14:paraId="6B985CC2">
            <w:pPr>
              <w:pStyle w:val="96"/>
              <w:adjustRightInd w:val="0"/>
              <w:textAlignment w:val="baseline"/>
              <w:rPr>
                <w:rFonts w:hint="eastAsia" w:ascii="宋体" w:hAnsi="宋体" w:eastAsia="宋体" w:cs="宋体"/>
                <w:sz w:val="24"/>
              </w:rPr>
            </w:pPr>
          </w:p>
        </w:tc>
      </w:tr>
    </w:tbl>
    <w:p w14:paraId="4E0D1FFB">
      <w:pPr>
        <w:spacing w:before="41"/>
        <w:rPr>
          <w:rFonts w:hint="eastAsia" w:ascii="宋体" w:hAnsi="宋体" w:cs="宋体"/>
          <w:sz w:val="24"/>
        </w:rPr>
      </w:pPr>
      <w:r>
        <w:rPr>
          <w:rFonts w:hint="eastAsia" w:ascii="宋体" w:hAnsi="宋体" w:cs="宋体"/>
          <w:sz w:val="24"/>
        </w:rPr>
        <w:t>注：1.请</w:t>
      </w:r>
      <w:r>
        <w:rPr>
          <w:rFonts w:hint="eastAsia" w:ascii="宋体" w:hAnsi="宋体" w:cs="宋体"/>
          <w:spacing w:val="-2"/>
          <w:sz w:val="24"/>
        </w:rPr>
        <w:t>投标人</w:t>
      </w:r>
      <w:r>
        <w:rPr>
          <w:rFonts w:hint="eastAsia" w:ascii="宋体" w:hAnsi="宋体" w:cs="宋体"/>
          <w:sz w:val="24"/>
        </w:rPr>
        <w:t>按照合同签订时间先后顺序填写此表，并按照同一顺序附相关证明材料。</w:t>
      </w:r>
    </w:p>
    <w:p w14:paraId="6890C230">
      <w:pPr>
        <w:spacing w:before="41"/>
        <w:rPr>
          <w:rFonts w:hint="eastAsia" w:ascii="宋体" w:hAnsi="宋体" w:cs="宋体"/>
          <w:sz w:val="24"/>
        </w:rPr>
      </w:pPr>
      <w:r>
        <w:rPr>
          <w:rFonts w:hint="eastAsia" w:ascii="宋体" w:hAnsi="宋体" w:cs="宋体"/>
          <w:sz w:val="24"/>
        </w:rPr>
        <w:t>2.投标人近三年（2022年1月1日-至今）类似业绩，须提供中标通知书和业绩合同复印件加盖公章，未提供相关证明材料或提供证明材料不全者不得分。</w:t>
      </w:r>
    </w:p>
    <w:p w14:paraId="14769BC2">
      <w:pPr>
        <w:spacing w:before="3"/>
        <w:rPr>
          <w:rFonts w:hint="eastAsia" w:ascii="宋体" w:hAnsi="宋体" w:cs="宋体"/>
          <w:sz w:val="24"/>
        </w:rPr>
      </w:pPr>
      <w:r>
        <w:rPr>
          <w:rFonts w:hint="eastAsia" w:ascii="宋体" w:hAnsi="宋体" w:cs="宋体"/>
          <w:sz w:val="24"/>
        </w:rPr>
        <w:t>3.投标人提供虚假合同的，按虚假投标处理。</w:t>
      </w:r>
    </w:p>
    <w:p w14:paraId="25421FAB">
      <w:pPr>
        <w:pStyle w:val="14"/>
        <w:spacing w:line="240" w:lineRule="auto"/>
        <w:rPr>
          <w:rFonts w:hint="eastAsia" w:ascii="宋体" w:hAnsi="宋体" w:cs="宋体"/>
        </w:rPr>
      </w:pPr>
    </w:p>
    <w:p w14:paraId="74C5B3D1">
      <w:pPr>
        <w:pStyle w:val="14"/>
        <w:spacing w:before="8" w:line="240" w:lineRule="auto"/>
        <w:rPr>
          <w:rFonts w:hint="eastAsia" w:ascii="宋体" w:hAnsi="宋体" w:cs="宋体"/>
        </w:rPr>
      </w:pPr>
    </w:p>
    <w:p w14:paraId="5F904AD1">
      <w:pPr>
        <w:pStyle w:val="14"/>
        <w:tabs>
          <w:tab w:val="left" w:pos="3360"/>
          <w:tab w:val="left" w:pos="5041"/>
        </w:tabs>
        <w:spacing w:line="240" w:lineRule="auto"/>
        <w:ind w:left="360"/>
        <w:rPr>
          <w:rFonts w:hint="eastAsia" w:ascii="宋体" w:hAnsi="宋体" w:cs="宋体"/>
        </w:rPr>
      </w:pPr>
      <w:r>
        <w:rPr>
          <w:rFonts w:hint="eastAsia" w:ascii="宋体" w:hAnsi="宋体" w:cs="宋体"/>
          <w:spacing w:val="-2"/>
        </w:rPr>
        <w:t>投标人</w:t>
      </w:r>
      <w:r>
        <w:rPr>
          <w:rFonts w:hint="eastAsia" w:ascii="宋体" w:hAnsi="宋体" w:cs="宋体"/>
        </w:rPr>
        <w:t>名称：</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（盖公章）</w:t>
      </w:r>
      <w:r>
        <w:rPr>
          <w:rFonts w:hint="eastAsia" w:ascii="宋体" w:hAnsi="宋体" w:cs="宋体"/>
        </w:rPr>
        <w:tab/>
      </w:r>
    </w:p>
    <w:p w14:paraId="3D93115D">
      <w:pPr>
        <w:pStyle w:val="14"/>
        <w:tabs>
          <w:tab w:val="left" w:pos="3240"/>
        </w:tabs>
        <w:spacing w:before="160" w:line="240" w:lineRule="auto"/>
        <w:ind w:left="360" w:right="-314"/>
        <w:rPr>
          <w:rFonts w:hint="eastAsia" w:ascii="宋体" w:hAnsi="宋体" w:cs="宋体"/>
        </w:rPr>
      </w:pPr>
      <w:r>
        <w:rPr>
          <w:rFonts w:hint="eastAsia" w:ascii="宋体" w:hAnsi="宋体" w:cs="宋体"/>
        </w:rPr>
        <w:t>法人代表或其授权人：</w:t>
      </w:r>
      <w:r>
        <w:rPr>
          <w:rFonts w:hint="eastAsia" w:ascii="宋体" w:hAnsi="宋体" w:cs="宋体"/>
          <w:u w:val="single"/>
        </w:rPr>
        <w:t xml:space="preserve">         </w:t>
      </w:r>
      <w:r>
        <w:rPr>
          <w:rFonts w:hint="eastAsia" w:ascii="宋体" w:hAnsi="宋体" w:cs="宋体"/>
        </w:rPr>
        <w:t xml:space="preserve">（签字或盖章） </w:t>
      </w:r>
    </w:p>
    <w:p w14:paraId="4E0DE3AB">
      <w:pPr>
        <w:pStyle w:val="14"/>
        <w:tabs>
          <w:tab w:val="left" w:pos="3240"/>
          <w:tab w:val="left" w:pos="3535"/>
        </w:tabs>
        <w:spacing w:before="160" w:line="240" w:lineRule="auto"/>
        <w:ind w:left="360" w:right="4863"/>
        <w:rPr>
          <w:rFonts w:hint="eastAsia" w:ascii="宋体" w:hAnsi="宋体" w:cs="宋体"/>
        </w:rPr>
      </w:pPr>
      <w:r>
        <w:rPr>
          <w:rFonts w:hint="eastAsia" w:ascii="宋体" w:hAnsi="宋体" w:cs="宋体"/>
        </w:rPr>
        <w:t>日</w:t>
      </w:r>
      <w:r>
        <w:rPr>
          <w:rFonts w:hint="eastAsia" w:ascii="宋体" w:hAnsi="宋体" w:cs="宋体"/>
          <w:spacing w:val="-1"/>
        </w:rPr>
        <w:t xml:space="preserve"> </w:t>
      </w:r>
      <w:r>
        <w:rPr>
          <w:rFonts w:hint="eastAsia" w:ascii="宋体" w:hAnsi="宋体" w:cs="宋体"/>
        </w:rPr>
        <w:t>期：</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p>
    <w:p w14:paraId="05E3EA85">
      <w:pPr>
        <w:pStyle w:val="87"/>
        <w:ind w:left="5250"/>
        <w:rPr>
          <w:rFonts w:hint="eastAsia" w:ascii="宋体" w:hAnsi="宋体" w:cs="宋体"/>
          <w:bCs w:val="0"/>
          <w:sz w:val="24"/>
          <w:szCs w:val="24"/>
        </w:rPr>
      </w:pPr>
    </w:p>
    <w:p w14:paraId="13A8AA2A">
      <w:pPr>
        <w:pStyle w:val="87"/>
        <w:ind w:left="5250"/>
        <w:rPr>
          <w:rFonts w:hint="eastAsia" w:ascii="宋体" w:hAnsi="宋体" w:cs="宋体"/>
          <w:bCs w:val="0"/>
          <w:sz w:val="24"/>
          <w:szCs w:val="24"/>
        </w:rPr>
      </w:pPr>
    </w:p>
    <w:p w14:paraId="4894C96D">
      <w:pPr>
        <w:pStyle w:val="87"/>
        <w:ind w:left="5250"/>
        <w:rPr>
          <w:rFonts w:hint="eastAsia" w:ascii="宋体" w:hAnsi="宋体" w:cs="宋体"/>
          <w:bCs w:val="0"/>
          <w:sz w:val="24"/>
          <w:szCs w:val="24"/>
        </w:rPr>
        <w:sectPr>
          <w:pgSz w:w="11906" w:h="16838"/>
          <w:pgMar w:top="1440" w:right="1800" w:bottom="1440" w:left="1800" w:header="851" w:footer="992" w:gutter="0"/>
          <w:cols w:space="720" w:num="1"/>
          <w:docGrid w:type="lines" w:linePitch="312" w:charSpace="0"/>
        </w:sectPr>
      </w:pPr>
    </w:p>
    <w:p w14:paraId="0F002EF8">
      <w:pPr>
        <w:pStyle w:val="87"/>
        <w:ind w:left="1279" w:leftChars="112" w:hanging="1044" w:hangingChars="400"/>
        <w:jc w:val="both"/>
        <w:outlineLvl w:val="0"/>
        <w:rPr>
          <w:rFonts w:hint="eastAsia" w:ascii="宋体" w:hAnsi="宋体" w:cs="宋体"/>
          <w:b/>
          <w:sz w:val="24"/>
          <w:szCs w:val="24"/>
        </w:rPr>
      </w:pPr>
      <w:bookmarkStart w:id="84" w:name="_Toc31811"/>
      <w:bookmarkStart w:id="85" w:name="_Toc7415"/>
      <w:bookmarkStart w:id="86" w:name="_Toc507399530"/>
      <w:r>
        <w:rPr>
          <w:rFonts w:hint="eastAsia" w:ascii="宋体" w:hAnsi="宋体" w:cs="宋体"/>
          <w:b/>
          <w:sz w:val="24"/>
          <w:szCs w:val="24"/>
        </w:rPr>
        <w:t xml:space="preserve">附件4 </w:t>
      </w:r>
      <w:bookmarkStart w:id="87" w:name="_Hlt520355504"/>
      <w:bookmarkEnd w:id="87"/>
      <w:r>
        <w:rPr>
          <w:rFonts w:hint="eastAsia" w:ascii="宋体" w:hAnsi="宋体" w:cs="宋体"/>
          <w:b/>
          <w:sz w:val="24"/>
          <w:szCs w:val="24"/>
        </w:rPr>
        <w:t>投标书</w:t>
      </w:r>
      <w:bookmarkEnd w:id="84"/>
      <w:bookmarkEnd w:id="85"/>
      <w:bookmarkEnd w:id="86"/>
    </w:p>
    <w:p w14:paraId="1516A7CE">
      <w:pPr>
        <w:pStyle w:val="87"/>
        <w:ind w:left="-993"/>
        <w:jc w:val="center"/>
        <w:rPr>
          <w:rFonts w:hint="eastAsia" w:ascii="宋体" w:hAnsi="宋体" w:cs="宋体"/>
          <w:bCs w:val="0"/>
          <w:sz w:val="24"/>
          <w:szCs w:val="24"/>
        </w:rPr>
      </w:pPr>
      <w:r>
        <w:rPr>
          <w:rFonts w:hint="eastAsia" w:ascii="宋体" w:hAnsi="宋体" w:cs="宋体"/>
          <w:b/>
          <w:sz w:val="24"/>
          <w:szCs w:val="24"/>
        </w:rPr>
        <w:t xml:space="preserve">         投标书</w:t>
      </w:r>
    </w:p>
    <w:p w14:paraId="213036CC">
      <w:pPr>
        <w:pStyle w:val="87"/>
        <w:ind w:left="284"/>
        <w:rPr>
          <w:rFonts w:hint="eastAsia" w:ascii="宋体" w:hAnsi="宋体" w:cs="宋体"/>
          <w:bCs w:val="0"/>
          <w:sz w:val="24"/>
          <w:szCs w:val="24"/>
        </w:rPr>
      </w:pPr>
      <w:r>
        <w:rPr>
          <w:rFonts w:hint="eastAsia" w:ascii="宋体" w:hAnsi="宋体" w:cs="宋体"/>
          <w:bCs w:val="0"/>
          <w:sz w:val="24"/>
          <w:szCs w:val="24"/>
        </w:rPr>
        <w:t>致：采购人/采购代理机构</w:t>
      </w:r>
    </w:p>
    <w:p w14:paraId="51B2E2FC">
      <w:pPr>
        <w:pStyle w:val="87"/>
        <w:tabs>
          <w:tab w:val="left" w:pos="5103"/>
          <w:tab w:val="left" w:pos="5250"/>
        </w:tabs>
        <w:ind w:left="284" w:firstLine="520" w:firstLineChars="200"/>
        <w:rPr>
          <w:rFonts w:hint="eastAsia" w:ascii="宋体" w:hAnsi="宋体" w:cs="宋体"/>
          <w:bCs w:val="0"/>
          <w:sz w:val="24"/>
          <w:szCs w:val="24"/>
        </w:rPr>
      </w:pPr>
      <w:r>
        <w:rPr>
          <w:rFonts w:hint="eastAsia" w:ascii="宋体" w:hAnsi="宋体" w:cs="宋体"/>
          <w:bCs w:val="0"/>
          <w:sz w:val="24"/>
          <w:szCs w:val="24"/>
        </w:rPr>
        <w:t>根据贵方为</w:t>
      </w:r>
      <w:r>
        <w:rPr>
          <w:rFonts w:hint="eastAsia" w:ascii="宋体" w:hAnsi="宋体" w:cs="宋体"/>
          <w:bCs w:val="0"/>
          <w:sz w:val="24"/>
          <w:szCs w:val="24"/>
          <w:u w:val="single"/>
        </w:rPr>
        <w:t xml:space="preserve">  (项目名称、招标编号)  </w:t>
      </w:r>
      <w:r>
        <w:rPr>
          <w:rFonts w:hint="eastAsia" w:ascii="宋体" w:hAnsi="宋体" w:cs="宋体"/>
          <w:bCs w:val="0"/>
          <w:sz w:val="24"/>
          <w:szCs w:val="24"/>
        </w:rPr>
        <w:t>项目的投标邀请,签字代表</w:t>
      </w:r>
      <w:r>
        <w:rPr>
          <w:rFonts w:hint="eastAsia" w:ascii="宋体" w:hAnsi="宋体" w:cs="宋体"/>
          <w:bCs w:val="0"/>
          <w:sz w:val="24"/>
          <w:szCs w:val="24"/>
          <w:u w:val="single"/>
        </w:rPr>
        <w:t>(姓名、职务)</w:t>
      </w:r>
      <w:r>
        <w:rPr>
          <w:rFonts w:hint="eastAsia" w:ascii="宋体" w:hAnsi="宋体" w:cs="宋体"/>
          <w:bCs w:val="0"/>
          <w:sz w:val="24"/>
          <w:szCs w:val="24"/>
        </w:rPr>
        <w:t>经正式授权并代表投标人</w:t>
      </w:r>
      <w:r>
        <w:rPr>
          <w:rFonts w:hint="eastAsia" w:ascii="宋体" w:hAnsi="宋体" w:cs="宋体"/>
          <w:bCs w:val="0"/>
          <w:sz w:val="24"/>
          <w:szCs w:val="24"/>
          <w:u w:val="single"/>
        </w:rPr>
        <w:t xml:space="preserve">  （投标人名称、地址）  </w:t>
      </w:r>
      <w:r>
        <w:rPr>
          <w:rFonts w:hint="eastAsia" w:ascii="宋体" w:hAnsi="宋体" w:cs="宋体"/>
          <w:bCs w:val="0"/>
          <w:sz w:val="24"/>
          <w:szCs w:val="24"/>
        </w:rPr>
        <w:t>提交响应文件，以</w:t>
      </w:r>
      <w:r>
        <w:rPr>
          <w:rFonts w:hint="eastAsia" w:ascii="宋体" w:hAnsi="宋体" w:cs="宋体"/>
          <w:bCs w:val="0"/>
          <w:sz w:val="24"/>
          <w:szCs w:val="24"/>
          <w:u w:val="single"/>
        </w:rPr>
        <w:t xml:space="preserve">    </w:t>
      </w:r>
      <w:r>
        <w:rPr>
          <w:rFonts w:hint="eastAsia" w:ascii="宋体" w:hAnsi="宋体" w:cs="宋体"/>
          <w:bCs w:val="0"/>
          <w:sz w:val="24"/>
          <w:szCs w:val="24"/>
        </w:rPr>
        <w:t>形式出具的金额为人民币</w:t>
      </w:r>
      <w:r>
        <w:rPr>
          <w:rFonts w:hint="eastAsia" w:ascii="宋体" w:hAnsi="宋体" w:cs="宋体"/>
          <w:bCs w:val="0"/>
          <w:sz w:val="24"/>
          <w:szCs w:val="24"/>
          <w:u w:val="single"/>
        </w:rPr>
        <w:t xml:space="preserve">   </w:t>
      </w:r>
      <w:r>
        <w:rPr>
          <w:rFonts w:hint="eastAsia" w:ascii="宋体" w:hAnsi="宋体" w:cs="宋体"/>
          <w:bCs w:val="0"/>
          <w:sz w:val="24"/>
          <w:szCs w:val="24"/>
        </w:rPr>
        <w:t>元的投标保证金。并作出如下承诺：</w:t>
      </w:r>
    </w:p>
    <w:p w14:paraId="56BAC433">
      <w:pPr>
        <w:pStyle w:val="87"/>
        <w:tabs>
          <w:tab w:val="left" w:pos="5250"/>
        </w:tabs>
        <w:ind w:left="284"/>
        <w:rPr>
          <w:rFonts w:hint="eastAsia" w:ascii="宋体" w:hAnsi="宋体" w:cs="宋体"/>
          <w:bCs w:val="0"/>
          <w:sz w:val="24"/>
          <w:szCs w:val="24"/>
        </w:rPr>
      </w:pPr>
      <w:r>
        <w:rPr>
          <w:rFonts w:hint="eastAsia" w:ascii="宋体" w:hAnsi="宋体" w:cs="宋体"/>
          <w:bCs w:val="0"/>
          <w:sz w:val="24"/>
          <w:szCs w:val="24"/>
        </w:rPr>
        <w:t>1、如果我方被确定为中标人，我们将按照招标文件、我方投标文件及双方确认的合同条款的要求执行。</w:t>
      </w:r>
    </w:p>
    <w:p w14:paraId="5605AC85">
      <w:pPr>
        <w:pStyle w:val="87"/>
        <w:tabs>
          <w:tab w:val="left" w:pos="5250"/>
        </w:tabs>
        <w:ind w:left="284"/>
        <w:rPr>
          <w:rFonts w:hint="eastAsia" w:ascii="宋体" w:hAnsi="宋体" w:cs="宋体"/>
          <w:bCs w:val="0"/>
          <w:sz w:val="24"/>
          <w:szCs w:val="24"/>
        </w:rPr>
      </w:pPr>
      <w:r>
        <w:rPr>
          <w:rFonts w:hint="eastAsia" w:ascii="宋体" w:hAnsi="宋体" w:cs="宋体"/>
          <w:bCs w:val="0"/>
          <w:sz w:val="24"/>
          <w:szCs w:val="24"/>
        </w:rPr>
        <w:t>2、我方保证忠实地执行双方所签的合同，并承担合同规定的责任和义务。</w:t>
      </w:r>
    </w:p>
    <w:p w14:paraId="32B85BE9">
      <w:pPr>
        <w:pStyle w:val="87"/>
        <w:tabs>
          <w:tab w:val="left" w:pos="5250"/>
        </w:tabs>
        <w:ind w:left="284"/>
        <w:rPr>
          <w:rFonts w:hint="eastAsia" w:ascii="宋体" w:hAnsi="宋体" w:cs="宋体"/>
          <w:bCs w:val="0"/>
          <w:sz w:val="24"/>
          <w:szCs w:val="24"/>
        </w:rPr>
      </w:pPr>
      <w:r>
        <w:rPr>
          <w:rFonts w:hint="eastAsia" w:ascii="宋体" w:hAnsi="宋体" w:cs="宋体"/>
          <w:bCs w:val="0"/>
          <w:sz w:val="24"/>
          <w:szCs w:val="24"/>
        </w:rPr>
        <w:t>3、我方愿意向贵方提供任何与此报价有关的数据、情况和技术资料。完全理解贵方不一定接受最低价的投标或收到的任何投标。</w:t>
      </w:r>
    </w:p>
    <w:p w14:paraId="65AABB34">
      <w:pPr>
        <w:pStyle w:val="87"/>
        <w:tabs>
          <w:tab w:val="left" w:pos="5250"/>
        </w:tabs>
        <w:ind w:left="284"/>
        <w:rPr>
          <w:rFonts w:hint="eastAsia" w:ascii="宋体" w:hAnsi="宋体" w:cs="宋体"/>
          <w:bCs w:val="0"/>
          <w:sz w:val="24"/>
          <w:szCs w:val="24"/>
        </w:rPr>
      </w:pPr>
      <w:r>
        <w:rPr>
          <w:rFonts w:hint="eastAsia" w:ascii="宋体" w:hAnsi="宋体" w:cs="宋体"/>
          <w:bCs w:val="0"/>
          <w:sz w:val="24"/>
          <w:szCs w:val="24"/>
        </w:rPr>
        <w:t>4、我方提交的投标文件及报价自提交日期起</w:t>
      </w:r>
      <w:r>
        <w:rPr>
          <w:rFonts w:hint="eastAsia" w:ascii="宋体" w:hAnsi="宋体" w:cs="宋体"/>
          <w:bCs w:val="0"/>
          <w:sz w:val="24"/>
          <w:szCs w:val="24"/>
          <w:u w:val="single"/>
        </w:rPr>
        <w:t xml:space="preserve"> 90 </w:t>
      </w:r>
      <w:r>
        <w:rPr>
          <w:rFonts w:hint="eastAsia" w:ascii="宋体" w:hAnsi="宋体" w:cs="宋体"/>
          <w:bCs w:val="0"/>
          <w:sz w:val="24"/>
          <w:szCs w:val="24"/>
        </w:rPr>
        <w:t>天有效，并对我方具有约束力。</w:t>
      </w:r>
    </w:p>
    <w:p w14:paraId="61DCB79E">
      <w:pPr>
        <w:pStyle w:val="87"/>
        <w:ind w:left="-2" w:leftChars="-1" w:firstLine="418" w:firstLineChars="161"/>
        <w:rPr>
          <w:rFonts w:hint="eastAsia" w:ascii="宋体" w:hAnsi="宋体" w:cs="宋体"/>
          <w:bCs w:val="0"/>
          <w:sz w:val="24"/>
          <w:szCs w:val="24"/>
        </w:rPr>
      </w:pPr>
      <w:r>
        <w:rPr>
          <w:rFonts w:hint="eastAsia" w:ascii="宋体" w:hAnsi="宋体" w:cs="宋体"/>
          <w:bCs w:val="0"/>
          <w:sz w:val="24"/>
          <w:szCs w:val="24"/>
        </w:rPr>
        <w:t>5、我方已详细审查全部招标文件，包括所有补充通知（如果有的话）。我们完全理解并同意放弃对这方面有不明、误解和质疑的权力。</w:t>
      </w:r>
    </w:p>
    <w:p w14:paraId="6B7D20A8">
      <w:pPr>
        <w:pStyle w:val="87"/>
        <w:ind w:left="-2" w:leftChars="-1" w:firstLine="418" w:firstLineChars="161"/>
        <w:rPr>
          <w:rFonts w:hint="eastAsia" w:ascii="宋体" w:hAnsi="宋体" w:cs="宋体"/>
          <w:bCs w:val="0"/>
          <w:sz w:val="24"/>
          <w:szCs w:val="24"/>
        </w:rPr>
      </w:pPr>
      <w:r>
        <w:rPr>
          <w:rFonts w:hint="eastAsia" w:ascii="宋体" w:hAnsi="宋体" w:cs="宋体"/>
          <w:bCs w:val="0"/>
          <w:sz w:val="24"/>
          <w:szCs w:val="24"/>
        </w:rPr>
        <w:t>6、在规定的开标时间后，投标人保证遵守招标文件中有关保证金的规定。</w:t>
      </w:r>
    </w:p>
    <w:p w14:paraId="3A5ABB54">
      <w:pPr>
        <w:pStyle w:val="87"/>
        <w:ind w:left="-2" w:leftChars="-1" w:firstLine="418" w:firstLineChars="161"/>
        <w:rPr>
          <w:rFonts w:hint="eastAsia" w:ascii="宋体" w:hAnsi="宋体" w:cs="宋体"/>
          <w:bCs w:val="0"/>
          <w:sz w:val="24"/>
          <w:szCs w:val="24"/>
        </w:rPr>
      </w:pPr>
      <w:r>
        <w:rPr>
          <w:rFonts w:hint="eastAsia" w:ascii="宋体" w:hAnsi="宋体" w:cs="宋体"/>
          <w:bCs w:val="0"/>
          <w:sz w:val="24"/>
          <w:szCs w:val="24"/>
        </w:rPr>
        <w:t>7、与本投标有关的一切正式往来信函请寄：</w:t>
      </w:r>
    </w:p>
    <w:p w14:paraId="45D14761">
      <w:pPr>
        <w:pStyle w:val="87"/>
        <w:ind w:left="-2" w:leftChars="-1" w:firstLine="418" w:firstLineChars="161"/>
        <w:rPr>
          <w:rFonts w:hint="eastAsia" w:ascii="宋体" w:hAnsi="宋体" w:cs="宋体"/>
          <w:bCs w:val="0"/>
          <w:sz w:val="24"/>
          <w:szCs w:val="24"/>
        </w:rPr>
      </w:pPr>
      <w:r>
        <w:rPr>
          <w:rFonts w:hint="eastAsia" w:ascii="宋体" w:hAnsi="宋体" w:cs="宋体"/>
          <w:bCs w:val="0"/>
          <w:sz w:val="24"/>
          <w:szCs w:val="24"/>
        </w:rPr>
        <w:t>地址：</w:t>
      </w:r>
      <w:r>
        <w:rPr>
          <w:rFonts w:hint="eastAsia" w:ascii="宋体" w:hAnsi="宋体" w:cs="宋体"/>
          <w:bCs w:val="0"/>
          <w:sz w:val="24"/>
          <w:szCs w:val="24"/>
          <w:u w:val="single"/>
        </w:rPr>
        <w:t xml:space="preserve">                     </w:t>
      </w:r>
      <w:r>
        <w:rPr>
          <w:rFonts w:hint="eastAsia" w:ascii="宋体" w:hAnsi="宋体" w:cs="宋体"/>
          <w:bCs w:val="0"/>
          <w:sz w:val="24"/>
          <w:szCs w:val="24"/>
        </w:rPr>
        <w:t xml:space="preserve">                                      </w:t>
      </w:r>
    </w:p>
    <w:p w14:paraId="08AC211E">
      <w:pPr>
        <w:pStyle w:val="87"/>
        <w:ind w:left="-2" w:leftChars="-1" w:firstLine="418" w:firstLineChars="161"/>
        <w:rPr>
          <w:rFonts w:hint="eastAsia" w:ascii="宋体" w:hAnsi="宋体" w:cs="宋体"/>
          <w:bCs w:val="0"/>
          <w:sz w:val="24"/>
          <w:szCs w:val="24"/>
        </w:rPr>
      </w:pPr>
      <w:r>
        <w:rPr>
          <w:rFonts w:hint="eastAsia" w:ascii="宋体" w:hAnsi="宋体" w:cs="宋体"/>
          <w:bCs w:val="0"/>
          <w:sz w:val="24"/>
          <w:szCs w:val="24"/>
        </w:rPr>
        <w:t>电话：</w:t>
      </w:r>
      <w:r>
        <w:rPr>
          <w:rFonts w:hint="eastAsia" w:ascii="宋体" w:hAnsi="宋体" w:cs="宋体"/>
          <w:bCs w:val="0"/>
          <w:sz w:val="24"/>
          <w:szCs w:val="24"/>
          <w:u w:val="single"/>
        </w:rPr>
        <w:t xml:space="preserve">                     </w:t>
      </w:r>
      <w:r>
        <w:rPr>
          <w:rFonts w:hint="eastAsia" w:ascii="宋体" w:hAnsi="宋体" w:cs="宋体"/>
          <w:bCs w:val="0"/>
          <w:sz w:val="24"/>
          <w:szCs w:val="24"/>
        </w:rPr>
        <w:t xml:space="preserve">            </w:t>
      </w:r>
    </w:p>
    <w:p w14:paraId="4E7F3D4F">
      <w:pPr>
        <w:pStyle w:val="87"/>
        <w:ind w:left="426"/>
        <w:rPr>
          <w:rFonts w:hint="eastAsia" w:ascii="宋体" w:hAnsi="宋体" w:cs="宋体"/>
          <w:bCs w:val="0"/>
          <w:sz w:val="24"/>
          <w:szCs w:val="24"/>
        </w:rPr>
      </w:pPr>
      <w:r>
        <w:rPr>
          <w:rFonts w:hint="eastAsia" w:ascii="宋体" w:hAnsi="宋体" w:cs="宋体"/>
          <w:bCs w:val="0"/>
          <w:sz w:val="24"/>
          <w:szCs w:val="24"/>
        </w:rPr>
        <w:t>投标人：</w:t>
      </w:r>
      <w:r>
        <w:rPr>
          <w:rFonts w:hint="eastAsia" w:ascii="宋体" w:hAnsi="宋体" w:cs="宋体"/>
          <w:bCs w:val="0"/>
          <w:sz w:val="24"/>
          <w:szCs w:val="24"/>
          <w:u w:val="single"/>
        </w:rPr>
        <w:t xml:space="preserve"> </w:t>
      </w:r>
      <w:r>
        <w:rPr>
          <w:rFonts w:hint="eastAsia" w:ascii="宋体" w:hAnsi="宋体" w:cs="宋体"/>
          <w:bCs w:val="0"/>
          <w:sz w:val="24"/>
          <w:szCs w:val="24"/>
          <w:u w:val="single"/>
        </w:rPr>
        <w:tab/>
      </w:r>
      <w:r>
        <w:rPr>
          <w:rFonts w:hint="eastAsia" w:ascii="宋体" w:hAnsi="宋体" w:cs="宋体"/>
          <w:bCs w:val="0"/>
          <w:sz w:val="24"/>
          <w:szCs w:val="24"/>
          <w:u w:val="single"/>
        </w:rPr>
        <w:t xml:space="preserve">             （公章）</w:t>
      </w:r>
      <w:r>
        <w:rPr>
          <w:rFonts w:hint="eastAsia" w:ascii="宋体" w:hAnsi="宋体" w:cs="宋体"/>
          <w:bCs w:val="0"/>
          <w:sz w:val="24"/>
          <w:szCs w:val="24"/>
        </w:rPr>
        <w:tab/>
      </w:r>
    </w:p>
    <w:p w14:paraId="025FEF7F">
      <w:pPr>
        <w:pStyle w:val="87"/>
        <w:ind w:left="426"/>
        <w:rPr>
          <w:rFonts w:hint="eastAsia" w:ascii="宋体" w:hAnsi="宋体" w:cs="宋体"/>
          <w:bCs w:val="0"/>
          <w:sz w:val="24"/>
          <w:szCs w:val="24"/>
        </w:rPr>
      </w:pPr>
      <w:r>
        <w:rPr>
          <w:rFonts w:hint="eastAsia" w:ascii="宋体" w:hAnsi="宋体" w:cs="宋体"/>
          <w:bCs w:val="0"/>
          <w:sz w:val="24"/>
          <w:szCs w:val="24"/>
        </w:rPr>
        <w:t>法定代表人或其授权代理人：</w:t>
      </w:r>
      <w:r>
        <w:rPr>
          <w:rFonts w:hint="eastAsia" w:ascii="宋体" w:hAnsi="宋体" w:cs="宋体"/>
          <w:bCs w:val="0"/>
          <w:sz w:val="24"/>
          <w:szCs w:val="24"/>
          <w:u w:val="single"/>
        </w:rPr>
        <w:t xml:space="preserve">     </w:t>
      </w:r>
      <w:r>
        <w:rPr>
          <w:rFonts w:hint="eastAsia" w:ascii="宋体" w:hAnsi="宋体" w:cs="宋体"/>
          <w:bCs w:val="0"/>
          <w:sz w:val="24"/>
          <w:szCs w:val="24"/>
          <w:u w:val="single"/>
        </w:rPr>
        <w:tab/>
      </w:r>
      <w:r>
        <w:rPr>
          <w:rFonts w:hint="eastAsia" w:ascii="宋体" w:hAnsi="宋体" w:cs="宋体"/>
          <w:bCs w:val="0"/>
          <w:sz w:val="24"/>
          <w:szCs w:val="24"/>
          <w:u w:val="single"/>
        </w:rPr>
        <w:t>（签字或盖章）</w:t>
      </w:r>
      <w:r>
        <w:rPr>
          <w:rFonts w:hint="eastAsia" w:ascii="宋体" w:hAnsi="宋体" w:cs="宋体"/>
          <w:bCs w:val="0"/>
          <w:sz w:val="24"/>
          <w:szCs w:val="24"/>
        </w:rPr>
        <w:tab/>
      </w:r>
    </w:p>
    <w:p w14:paraId="35738EEA">
      <w:pPr>
        <w:pStyle w:val="87"/>
        <w:tabs>
          <w:tab w:val="left" w:pos="5250"/>
        </w:tabs>
        <w:ind w:left="5250"/>
        <w:rPr>
          <w:rFonts w:hint="eastAsia" w:ascii="宋体" w:hAnsi="宋体" w:cs="宋体"/>
          <w:bCs w:val="0"/>
          <w:sz w:val="24"/>
          <w:szCs w:val="24"/>
        </w:rPr>
      </w:pPr>
    </w:p>
    <w:p w14:paraId="2D3E6E32">
      <w:pPr>
        <w:pStyle w:val="87"/>
        <w:tabs>
          <w:tab w:val="left" w:pos="5250"/>
        </w:tabs>
        <w:ind w:left="5250"/>
        <w:rPr>
          <w:rFonts w:hint="eastAsia" w:ascii="宋体" w:hAnsi="宋体" w:cs="宋体"/>
          <w:bCs w:val="0"/>
          <w:sz w:val="24"/>
          <w:szCs w:val="24"/>
        </w:rPr>
      </w:pPr>
    </w:p>
    <w:p w14:paraId="4F162DB5">
      <w:pPr>
        <w:pStyle w:val="87"/>
        <w:tabs>
          <w:tab w:val="left" w:pos="5250"/>
        </w:tabs>
        <w:ind w:left="5250"/>
        <w:rPr>
          <w:rFonts w:hint="eastAsia" w:ascii="宋体" w:hAnsi="宋体" w:cs="宋体"/>
          <w:bCs w:val="0"/>
          <w:sz w:val="24"/>
          <w:szCs w:val="24"/>
        </w:rPr>
      </w:pPr>
      <w:r>
        <w:rPr>
          <w:rFonts w:hint="eastAsia" w:ascii="宋体" w:hAnsi="宋体" w:cs="宋体"/>
          <w:bCs w:val="0"/>
          <w:sz w:val="24"/>
          <w:szCs w:val="24"/>
        </w:rPr>
        <w:t xml:space="preserve">日期： </w:t>
      </w:r>
      <w:r>
        <w:rPr>
          <w:rFonts w:hint="eastAsia" w:ascii="宋体" w:hAnsi="宋体" w:cs="宋体"/>
          <w:bCs w:val="0"/>
          <w:sz w:val="24"/>
          <w:szCs w:val="24"/>
        </w:rPr>
        <w:tab/>
      </w:r>
      <w:r>
        <w:rPr>
          <w:rFonts w:hint="eastAsia" w:ascii="宋体" w:hAnsi="宋体" w:cs="宋体"/>
          <w:bCs w:val="0"/>
          <w:sz w:val="24"/>
          <w:szCs w:val="24"/>
        </w:rPr>
        <w:t>年   月   日</w:t>
      </w:r>
    </w:p>
    <w:p w14:paraId="20E465C7">
      <w:pPr>
        <w:pStyle w:val="87"/>
        <w:ind w:left="5250"/>
        <w:rPr>
          <w:rFonts w:hint="eastAsia" w:ascii="宋体" w:hAnsi="宋体" w:cs="宋体"/>
          <w:bCs w:val="0"/>
          <w:sz w:val="24"/>
          <w:szCs w:val="24"/>
        </w:rPr>
        <w:sectPr>
          <w:pgSz w:w="11906" w:h="16838"/>
          <w:pgMar w:top="1440" w:right="1800" w:bottom="1440" w:left="1800" w:header="851" w:footer="992" w:gutter="0"/>
          <w:cols w:space="720" w:num="1"/>
          <w:docGrid w:type="lines" w:linePitch="312" w:charSpace="0"/>
        </w:sectPr>
      </w:pPr>
    </w:p>
    <w:p w14:paraId="752141C8">
      <w:pPr>
        <w:pStyle w:val="3"/>
        <w:numPr>
          <w:ilvl w:val="0"/>
          <w:numId w:val="0"/>
        </w:numPr>
        <w:spacing w:before="0" w:line="240" w:lineRule="auto"/>
        <w:jc w:val="left"/>
        <w:rPr>
          <w:rFonts w:hint="eastAsia" w:ascii="宋体" w:hAnsi="宋体" w:cs="宋体"/>
          <w:sz w:val="24"/>
          <w:szCs w:val="24"/>
        </w:rPr>
      </w:pPr>
      <w:bookmarkStart w:id="88" w:name="_Toc507399533"/>
      <w:bookmarkStart w:id="89" w:name="_Toc29754"/>
      <w:bookmarkStart w:id="90" w:name="_Toc32182"/>
      <w:bookmarkStart w:id="91" w:name="_Toc216582817"/>
      <w:r>
        <w:rPr>
          <w:rFonts w:hint="eastAsia" w:ascii="宋体" w:hAnsi="宋体" w:cs="宋体"/>
          <w:sz w:val="24"/>
          <w:szCs w:val="24"/>
        </w:rPr>
        <w:t>附件5  技术规格偏离表</w:t>
      </w:r>
      <w:bookmarkEnd w:id="88"/>
      <w:bookmarkEnd w:id="89"/>
      <w:bookmarkEnd w:id="90"/>
      <w:bookmarkEnd w:id="91"/>
    </w:p>
    <w:p w14:paraId="17E5823B">
      <w:pPr>
        <w:pStyle w:val="19"/>
        <w:ind w:left="1080" w:leftChars="257" w:hanging="540"/>
        <w:jc w:val="center"/>
        <w:rPr>
          <w:rFonts w:hint="eastAsia" w:hAnsi="宋体" w:cs="宋体"/>
          <w:sz w:val="24"/>
          <w:szCs w:val="24"/>
        </w:rPr>
      </w:pPr>
      <w:r>
        <w:rPr>
          <w:rFonts w:hint="eastAsia" w:hAnsi="宋体" w:cs="宋体"/>
          <w:b/>
          <w:bCs/>
          <w:sz w:val="24"/>
          <w:szCs w:val="24"/>
        </w:rPr>
        <w:t>技术规格偏离表</w:t>
      </w:r>
    </w:p>
    <w:p w14:paraId="5AC1CC8D">
      <w:pPr>
        <w:pStyle w:val="19"/>
        <w:rPr>
          <w:rFonts w:hint="eastAsia" w:hAnsi="宋体" w:cs="宋体"/>
          <w:sz w:val="24"/>
          <w:szCs w:val="24"/>
        </w:rPr>
      </w:pPr>
      <w:r>
        <w:rPr>
          <w:rFonts w:hint="eastAsia" w:hAnsi="宋体" w:cs="宋体"/>
          <w:sz w:val="24"/>
          <w:szCs w:val="24"/>
        </w:rPr>
        <w:t>项目名称:                       招标编号:                 包号:</w:t>
      </w:r>
    </w:p>
    <w:tbl>
      <w:tblPr>
        <w:tblStyle w:val="32"/>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7C0E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vAlign w:val="center"/>
          </w:tcPr>
          <w:p w14:paraId="57D12320">
            <w:pPr>
              <w:pStyle w:val="19"/>
              <w:widowControl w:val="0"/>
              <w:adjustRightInd w:val="0"/>
              <w:jc w:val="center"/>
              <w:textAlignment w:val="baseline"/>
              <w:rPr>
                <w:rFonts w:hint="eastAsia" w:hAnsi="宋体" w:cs="宋体"/>
                <w:sz w:val="24"/>
                <w:szCs w:val="24"/>
              </w:rPr>
            </w:pPr>
            <w:r>
              <w:rPr>
                <w:rFonts w:hint="eastAsia" w:hAnsi="宋体" w:cs="宋体"/>
                <w:sz w:val="24"/>
                <w:szCs w:val="24"/>
              </w:rPr>
              <w:t>序号</w:t>
            </w:r>
          </w:p>
        </w:tc>
        <w:tc>
          <w:tcPr>
            <w:tcW w:w="1407" w:type="dxa"/>
            <w:vAlign w:val="center"/>
          </w:tcPr>
          <w:p w14:paraId="0D3D5DAB">
            <w:pPr>
              <w:pStyle w:val="19"/>
              <w:widowControl w:val="0"/>
              <w:adjustRightInd w:val="0"/>
              <w:jc w:val="center"/>
              <w:textAlignment w:val="baseline"/>
              <w:rPr>
                <w:rFonts w:hint="eastAsia" w:hAnsi="宋体" w:cs="宋体"/>
                <w:sz w:val="24"/>
                <w:szCs w:val="24"/>
              </w:rPr>
            </w:pPr>
            <w:r>
              <w:rPr>
                <w:rFonts w:hint="eastAsia" w:hAnsi="宋体" w:cs="宋体"/>
                <w:sz w:val="24"/>
                <w:szCs w:val="24"/>
              </w:rPr>
              <w:t>名称</w:t>
            </w:r>
          </w:p>
        </w:tc>
        <w:tc>
          <w:tcPr>
            <w:tcW w:w="2044" w:type="dxa"/>
            <w:vAlign w:val="center"/>
          </w:tcPr>
          <w:p w14:paraId="063F10D6">
            <w:pPr>
              <w:pStyle w:val="19"/>
              <w:widowControl w:val="0"/>
              <w:adjustRightInd w:val="0"/>
              <w:snapToGrid w:val="0"/>
              <w:jc w:val="center"/>
              <w:textAlignment w:val="baseline"/>
              <w:rPr>
                <w:rFonts w:hint="eastAsia" w:hAnsi="宋体" w:cs="宋体"/>
                <w:sz w:val="24"/>
                <w:szCs w:val="24"/>
              </w:rPr>
            </w:pPr>
            <w:r>
              <w:rPr>
                <w:rFonts w:hint="eastAsia" w:hAnsi="宋体" w:cs="宋体"/>
                <w:sz w:val="24"/>
                <w:szCs w:val="24"/>
              </w:rPr>
              <w:t>招标文件条款号及招标规格</w:t>
            </w:r>
          </w:p>
        </w:tc>
        <w:tc>
          <w:tcPr>
            <w:tcW w:w="1791" w:type="dxa"/>
            <w:vAlign w:val="center"/>
          </w:tcPr>
          <w:p w14:paraId="3C759F8F">
            <w:pPr>
              <w:pStyle w:val="19"/>
              <w:widowControl w:val="0"/>
              <w:adjustRightInd w:val="0"/>
              <w:jc w:val="center"/>
              <w:textAlignment w:val="baseline"/>
              <w:rPr>
                <w:rFonts w:hint="eastAsia" w:hAnsi="宋体" w:cs="宋体"/>
                <w:sz w:val="24"/>
                <w:szCs w:val="24"/>
              </w:rPr>
            </w:pPr>
            <w:r>
              <w:rPr>
                <w:rFonts w:hint="eastAsia" w:hAnsi="宋体" w:cs="宋体"/>
                <w:sz w:val="24"/>
                <w:szCs w:val="24"/>
              </w:rPr>
              <w:t>投标规格</w:t>
            </w:r>
          </w:p>
        </w:tc>
        <w:tc>
          <w:tcPr>
            <w:tcW w:w="2010" w:type="dxa"/>
            <w:vAlign w:val="center"/>
          </w:tcPr>
          <w:p w14:paraId="0777052C">
            <w:pPr>
              <w:pStyle w:val="19"/>
              <w:widowControl w:val="0"/>
              <w:adjustRightInd w:val="0"/>
              <w:jc w:val="center"/>
              <w:textAlignment w:val="baseline"/>
              <w:rPr>
                <w:rFonts w:hint="eastAsia" w:hAnsi="宋体" w:cs="宋体"/>
                <w:sz w:val="24"/>
                <w:szCs w:val="24"/>
              </w:rPr>
            </w:pPr>
            <w:r>
              <w:rPr>
                <w:rFonts w:hint="eastAsia" w:hAnsi="宋体" w:cs="宋体"/>
                <w:sz w:val="24"/>
                <w:szCs w:val="24"/>
              </w:rPr>
              <w:t>偏离说明</w:t>
            </w:r>
          </w:p>
        </w:tc>
      </w:tr>
      <w:tr w14:paraId="01B2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455821AD">
            <w:pPr>
              <w:pStyle w:val="19"/>
              <w:widowControl w:val="0"/>
              <w:adjustRightInd w:val="0"/>
              <w:ind w:left="1080" w:leftChars="257" w:hanging="540"/>
              <w:jc w:val="both"/>
              <w:textAlignment w:val="baseline"/>
              <w:rPr>
                <w:rFonts w:hint="eastAsia" w:hAnsi="宋体" w:cs="宋体"/>
                <w:sz w:val="24"/>
                <w:szCs w:val="24"/>
              </w:rPr>
            </w:pPr>
          </w:p>
        </w:tc>
        <w:tc>
          <w:tcPr>
            <w:tcW w:w="1407" w:type="dxa"/>
          </w:tcPr>
          <w:p w14:paraId="6110C27C">
            <w:pPr>
              <w:pStyle w:val="19"/>
              <w:widowControl w:val="0"/>
              <w:adjustRightInd w:val="0"/>
              <w:ind w:left="1080" w:leftChars="257" w:hanging="540"/>
              <w:jc w:val="both"/>
              <w:textAlignment w:val="baseline"/>
              <w:rPr>
                <w:rFonts w:hint="eastAsia" w:hAnsi="宋体" w:cs="宋体"/>
                <w:sz w:val="24"/>
                <w:szCs w:val="24"/>
              </w:rPr>
            </w:pPr>
          </w:p>
        </w:tc>
        <w:tc>
          <w:tcPr>
            <w:tcW w:w="2044" w:type="dxa"/>
          </w:tcPr>
          <w:p w14:paraId="5B020AAD">
            <w:pPr>
              <w:pStyle w:val="19"/>
              <w:widowControl w:val="0"/>
              <w:adjustRightInd w:val="0"/>
              <w:ind w:left="1080" w:leftChars="257" w:hanging="540"/>
              <w:jc w:val="both"/>
              <w:textAlignment w:val="baseline"/>
              <w:rPr>
                <w:rFonts w:hint="eastAsia" w:hAnsi="宋体" w:cs="宋体"/>
                <w:sz w:val="24"/>
                <w:szCs w:val="24"/>
              </w:rPr>
            </w:pPr>
          </w:p>
        </w:tc>
        <w:tc>
          <w:tcPr>
            <w:tcW w:w="1791" w:type="dxa"/>
          </w:tcPr>
          <w:p w14:paraId="786083CF">
            <w:pPr>
              <w:pStyle w:val="19"/>
              <w:widowControl w:val="0"/>
              <w:adjustRightInd w:val="0"/>
              <w:ind w:left="1080" w:leftChars="257" w:hanging="540"/>
              <w:jc w:val="both"/>
              <w:textAlignment w:val="baseline"/>
              <w:rPr>
                <w:rFonts w:hint="eastAsia" w:hAnsi="宋体" w:cs="宋体"/>
                <w:sz w:val="24"/>
                <w:szCs w:val="24"/>
              </w:rPr>
            </w:pPr>
          </w:p>
        </w:tc>
        <w:tc>
          <w:tcPr>
            <w:tcW w:w="2010" w:type="dxa"/>
          </w:tcPr>
          <w:p w14:paraId="29AD8ACC">
            <w:pPr>
              <w:pStyle w:val="19"/>
              <w:widowControl w:val="0"/>
              <w:adjustRightInd w:val="0"/>
              <w:ind w:left="1080" w:leftChars="257" w:hanging="540"/>
              <w:jc w:val="both"/>
              <w:textAlignment w:val="baseline"/>
              <w:rPr>
                <w:rFonts w:hint="eastAsia" w:hAnsi="宋体" w:cs="宋体"/>
                <w:sz w:val="24"/>
                <w:szCs w:val="24"/>
              </w:rPr>
            </w:pPr>
          </w:p>
        </w:tc>
      </w:tr>
      <w:tr w14:paraId="06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34D23071">
            <w:pPr>
              <w:pStyle w:val="19"/>
              <w:widowControl w:val="0"/>
              <w:adjustRightInd w:val="0"/>
              <w:ind w:left="1080" w:leftChars="257" w:hanging="540"/>
              <w:jc w:val="both"/>
              <w:textAlignment w:val="baseline"/>
              <w:rPr>
                <w:rFonts w:hint="eastAsia" w:hAnsi="宋体" w:cs="宋体"/>
                <w:sz w:val="24"/>
                <w:szCs w:val="24"/>
              </w:rPr>
            </w:pPr>
          </w:p>
        </w:tc>
        <w:tc>
          <w:tcPr>
            <w:tcW w:w="1407" w:type="dxa"/>
          </w:tcPr>
          <w:p w14:paraId="7E9921F6">
            <w:pPr>
              <w:pStyle w:val="19"/>
              <w:widowControl w:val="0"/>
              <w:adjustRightInd w:val="0"/>
              <w:ind w:left="1080" w:leftChars="257" w:hanging="540"/>
              <w:jc w:val="both"/>
              <w:textAlignment w:val="baseline"/>
              <w:rPr>
                <w:rFonts w:hint="eastAsia" w:hAnsi="宋体" w:cs="宋体"/>
                <w:sz w:val="24"/>
                <w:szCs w:val="24"/>
              </w:rPr>
            </w:pPr>
          </w:p>
        </w:tc>
        <w:tc>
          <w:tcPr>
            <w:tcW w:w="2044" w:type="dxa"/>
          </w:tcPr>
          <w:p w14:paraId="53B8D313">
            <w:pPr>
              <w:pStyle w:val="19"/>
              <w:widowControl w:val="0"/>
              <w:adjustRightInd w:val="0"/>
              <w:ind w:left="1080" w:leftChars="257" w:hanging="540"/>
              <w:jc w:val="both"/>
              <w:textAlignment w:val="baseline"/>
              <w:rPr>
                <w:rFonts w:hint="eastAsia" w:hAnsi="宋体" w:cs="宋体"/>
                <w:sz w:val="24"/>
                <w:szCs w:val="24"/>
              </w:rPr>
            </w:pPr>
          </w:p>
        </w:tc>
        <w:tc>
          <w:tcPr>
            <w:tcW w:w="1791" w:type="dxa"/>
          </w:tcPr>
          <w:p w14:paraId="748671B7">
            <w:pPr>
              <w:pStyle w:val="19"/>
              <w:widowControl w:val="0"/>
              <w:adjustRightInd w:val="0"/>
              <w:ind w:left="1080" w:leftChars="257" w:hanging="540"/>
              <w:jc w:val="both"/>
              <w:textAlignment w:val="baseline"/>
              <w:rPr>
                <w:rFonts w:hint="eastAsia" w:hAnsi="宋体" w:cs="宋体"/>
                <w:sz w:val="24"/>
                <w:szCs w:val="24"/>
              </w:rPr>
            </w:pPr>
          </w:p>
        </w:tc>
        <w:tc>
          <w:tcPr>
            <w:tcW w:w="2010" w:type="dxa"/>
          </w:tcPr>
          <w:p w14:paraId="64C5764F">
            <w:pPr>
              <w:pStyle w:val="19"/>
              <w:widowControl w:val="0"/>
              <w:adjustRightInd w:val="0"/>
              <w:ind w:left="1080" w:leftChars="257" w:hanging="540"/>
              <w:jc w:val="both"/>
              <w:textAlignment w:val="baseline"/>
              <w:rPr>
                <w:rFonts w:hint="eastAsia" w:hAnsi="宋体" w:cs="宋体"/>
                <w:sz w:val="24"/>
                <w:szCs w:val="24"/>
              </w:rPr>
            </w:pPr>
          </w:p>
        </w:tc>
      </w:tr>
      <w:tr w14:paraId="3198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11ED6CF1">
            <w:pPr>
              <w:pStyle w:val="19"/>
              <w:widowControl w:val="0"/>
              <w:adjustRightInd w:val="0"/>
              <w:ind w:left="1080" w:leftChars="257" w:hanging="540"/>
              <w:jc w:val="both"/>
              <w:textAlignment w:val="baseline"/>
              <w:rPr>
                <w:rFonts w:hint="eastAsia" w:hAnsi="宋体" w:cs="宋体"/>
                <w:sz w:val="24"/>
                <w:szCs w:val="24"/>
              </w:rPr>
            </w:pPr>
          </w:p>
        </w:tc>
        <w:tc>
          <w:tcPr>
            <w:tcW w:w="1407" w:type="dxa"/>
          </w:tcPr>
          <w:p w14:paraId="5C790EAC">
            <w:pPr>
              <w:pStyle w:val="19"/>
              <w:widowControl w:val="0"/>
              <w:adjustRightInd w:val="0"/>
              <w:ind w:left="1080" w:leftChars="257" w:hanging="540"/>
              <w:jc w:val="both"/>
              <w:textAlignment w:val="baseline"/>
              <w:rPr>
                <w:rFonts w:hint="eastAsia" w:hAnsi="宋体" w:cs="宋体"/>
                <w:sz w:val="24"/>
                <w:szCs w:val="24"/>
              </w:rPr>
            </w:pPr>
          </w:p>
        </w:tc>
        <w:tc>
          <w:tcPr>
            <w:tcW w:w="2044" w:type="dxa"/>
          </w:tcPr>
          <w:p w14:paraId="2B34D45F">
            <w:pPr>
              <w:pStyle w:val="19"/>
              <w:widowControl w:val="0"/>
              <w:adjustRightInd w:val="0"/>
              <w:ind w:left="1080" w:leftChars="257" w:hanging="540"/>
              <w:jc w:val="both"/>
              <w:textAlignment w:val="baseline"/>
              <w:rPr>
                <w:rFonts w:hint="eastAsia" w:hAnsi="宋体" w:cs="宋体"/>
                <w:sz w:val="24"/>
                <w:szCs w:val="24"/>
              </w:rPr>
            </w:pPr>
          </w:p>
        </w:tc>
        <w:tc>
          <w:tcPr>
            <w:tcW w:w="1791" w:type="dxa"/>
          </w:tcPr>
          <w:p w14:paraId="24C40BF7">
            <w:pPr>
              <w:pStyle w:val="19"/>
              <w:widowControl w:val="0"/>
              <w:adjustRightInd w:val="0"/>
              <w:ind w:left="1080" w:leftChars="257" w:hanging="540"/>
              <w:jc w:val="both"/>
              <w:textAlignment w:val="baseline"/>
              <w:rPr>
                <w:rFonts w:hint="eastAsia" w:hAnsi="宋体" w:cs="宋体"/>
                <w:sz w:val="24"/>
                <w:szCs w:val="24"/>
              </w:rPr>
            </w:pPr>
          </w:p>
        </w:tc>
        <w:tc>
          <w:tcPr>
            <w:tcW w:w="2010" w:type="dxa"/>
          </w:tcPr>
          <w:p w14:paraId="100BD933">
            <w:pPr>
              <w:pStyle w:val="19"/>
              <w:widowControl w:val="0"/>
              <w:adjustRightInd w:val="0"/>
              <w:ind w:left="1080" w:leftChars="257" w:hanging="540"/>
              <w:jc w:val="both"/>
              <w:textAlignment w:val="baseline"/>
              <w:rPr>
                <w:rFonts w:hint="eastAsia" w:hAnsi="宋体" w:cs="宋体"/>
                <w:sz w:val="24"/>
                <w:szCs w:val="24"/>
              </w:rPr>
            </w:pPr>
          </w:p>
        </w:tc>
      </w:tr>
      <w:tr w14:paraId="29C5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3989E86D">
            <w:pPr>
              <w:pStyle w:val="19"/>
              <w:widowControl w:val="0"/>
              <w:adjustRightInd w:val="0"/>
              <w:ind w:left="1080" w:leftChars="257" w:hanging="540"/>
              <w:jc w:val="both"/>
              <w:textAlignment w:val="baseline"/>
              <w:rPr>
                <w:rFonts w:hint="eastAsia" w:hAnsi="宋体" w:cs="宋体"/>
                <w:sz w:val="24"/>
                <w:szCs w:val="24"/>
              </w:rPr>
            </w:pPr>
          </w:p>
        </w:tc>
        <w:tc>
          <w:tcPr>
            <w:tcW w:w="1407" w:type="dxa"/>
          </w:tcPr>
          <w:p w14:paraId="7AA68153">
            <w:pPr>
              <w:pStyle w:val="19"/>
              <w:widowControl w:val="0"/>
              <w:adjustRightInd w:val="0"/>
              <w:ind w:left="1080" w:leftChars="257" w:hanging="540"/>
              <w:jc w:val="both"/>
              <w:textAlignment w:val="baseline"/>
              <w:rPr>
                <w:rFonts w:hint="eastAsia" w:hAnsi="宋体" w:cs="宋体"/>
                <w:sz w:val="24"/>
                <w:szCs w:val="24"/>
              </w:rPr>
            </w:pPr>
          </w:p>
        </w:tc>
        <w:tc>
          <w:tcPr>
            <w:tcW w:w="2044" w:type="dxa"/>
          </w:tcPr>
          <w:p w14:paraId="60BC4449">
            <w:pPr>
              <w:pStyle w:val="19"/>
              <w:widowControl w:val="0"/>
              <w:adjustRightInd w:val="0"/>
              <w:ind w:left="1080" w:leftChars="257" w:hanging="540"/>
              <w:jc w:val="both"/>
              <w:textAlignment w:val="baseline"/>
              <w:rPr>
                <w:rFonts w:hint="eastAsia" w:hAnsi="宋体" w:cs="宋体"/>
                <w:sz w:val="24"/>
                <w:szCs w:val="24"/>
              </w:rPr>
            </w:pPr>
          </w:p>
        </w:tc>
        <w:tc>
          <w:tcPr>
            <w:tcW w:w="1791" w:type="dxa"/>
          </w:tcPr>
          <w:p w14:paraId="31949D88">
            <w:pPr>
              <w:pStyle w:val="19"/>
              <w:widowControl w:val="0"/>
              <w:adjustRightInd w:val="0"/>
              <w:ind w:left="1080" w:leftChars="257" w:hanging="540"/>
              <w:jc w:val="both"/>
              <w:textAlignment w:val="baseline"/>
              <w:rPr>
                <w:rFonts w:hint="eastAsia" w:hAnsi="宋体" w:cs="宋体"/>
                <w:sz w:val="24"/>
                <w:szCs w:val="24"/>
              </w:rPr>
            </w:pPr>
          </w:p>
        </w:tc>
        <w:tc>
          <w:tcPr>
            <w:tcW w:w="2010" w:type="dxa"/>
          </w:tcPr>
          <w:p w14:paraId="2D6C2B4C">
            <w:pPr>
              <w:pStyle w:val="19"/>
              <w:widowControl w:val="0"/>
              <w:adjustRightInd w:val="0"/>
              <w:ind w:left="1080" w:leftChars="257" w:hanging="540"/>
              <w:jc w:val="both"/>
              <w:textAlignment w:val="baseline"/>
              <w:rPr>
                <w:rFonts w:hint="eastAsia" w:hAnsi="宋体" w:cs="宋体"/>
                <w:sz w:val="24"/>
                <w:szCs w:val="24"/>
              </w:rPr>
            </w:pPr>
          </w:p>
        </w:tc>
      </w:tr>
      <w:tr w14:paraId="0FFD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22A1E7C0">
            <w:pPr>
              <w:pStyle w:val="19"/>
              <w:widowControl w:val="0"/>
              <w:adjustRightInd w:val="0"/>
              <w:ind w:left="1080" w:leftChars="257" w:hanging="540"/>
              <w:jc w:val="both"/>
              <w:textAlignment w:val="baseline"/>
              <w:rPr>
                <w:rFonts w:hint="eastAsia" w:hAnsi="宋体" w:cs="宋体"/>
                <w:sz w:val="24"/>
                <w:szCs w:val="24"/>
              </w:rPr>
            </w:pPr>
          </w:p>
        </w:tc>
        <w:tc>
          <w:tcPr>
            <w:tcW w:w="1407" w:type="dxa"/>
          </w:tcPr>
          <w:p w14:paraId="3844754F">
            <w:pPr>
              <w:pStyle w:val="19"/>
              <w:widowControl w:val="0"/>
              <w:adjustRightInd w:val="0"/>
              <w:ind w:left="1080" w:leftChars="257" w:hanging="540"/>
              <w:jc w:val="both"/>
              <w:textAlignment w:val="baseline"/>
              <w:rPr>
                <w:rFonts w:hint="eastAsia" w:hAnsi="宋体" w:cs="宋体"/>
                <w:sz w:val="24"/>
                <w:szCs w:val="24"/>
              </w:rPr>
            </w:pPr>
          </w:p>
        </w:tc>
        <w:tc>
          <w:tcPr>
            <w:tcW w:w="2044" w:type="dxa"/>
          </w:tcPr>
          <w:p w14:paraId="35553942">
            <w:pPr>
              <w:pStyle w:val="19"/>
              <w:widowControl w:val="0"/>
              <w:adjustRightInd w:val="0"/>
              <w:ind w:left="1080" w:leftChars="257" w:hanging="540"/>
              <w:jc w:val="both"/>
              <w:textAlignment w:val="baseline"/>
              <w:rPr>
                <w:rFonts w:hint="eastAsia" w:hAnsi="宋体" w:cs="宋体"/>
                <w:sz w:val="24"/>
                <w:szCs w:val="24"/>
              </w:rPr>
            </w:pPr>
          </w:p>
        </w:tc>
        <w:tc>
          <w:tcPr>
            <w:tcW w:w="1791" w:type="dxa"/>
          </w:tcPr>
          <w:p w14:paraId="21825F7C">
            <w:pPr>
              <w:pStyle w:val="19"/>
              <w:widowControl w:val="0"/>
              <w:adjustRightInd w:val="0"/>
              <w:ind w:left="1080" w:leftChars="257" w:hanging="540"/>
              <w:jc w:val="both"/>
              <w:textAlignment w:val="baseline"/>
              <w:rPr>
                <w:rFonts w:hint="eastAsia" w:hAnsi="宋体" w:cs="宋体"/>
                <w:sz w:val="24"/>
                <w:szCs w:val="24"/>
              </w:rPr>
            </w:pPr>
          </w:p>
        </w:tc>
        <w:tc>
          <w:tcPr>
            <w:tcW w:w="2010" w:type="dxa"/>
          </w:tcPr>
          <w:p w14:paraId="2195EEF7">
            <w:pPr>
              <w:pStyle w:val="19"/>
              <w:widowControl w:val="0"/>
              <w:adjustRightInd w:val="0"/>
              <w:ind w:left="1080" w:leftChars="257" w:hanging="540"/>
              <w:jc w:val="both"/>
              <w:textAlignment w:val="baseline"/>
              <w:rPr>
                <w:rFonts w:hint="eastAsia" w:hAnsi="宋体" w:cs="宋体"/>
                <w:sz w:val="24"/>
                <w:szCs w:val="24"/>
              </w:rPr>
            </w:pPr>
          </w:p>
        </w:tc>
      </w:tr>
      <w:tr w14:paraId="7C6F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2C6ED5F">
            <w:pPr>
              <w:pStyle w:val="19"/>
              <w:widowControl w:val="0"/>
              <w:adjustRightInd w:val="0"/>
              <w:ind w:left="1080" w:leftChars="257" w:hanging="540"/>
              <w:jc w:val="both"/>
              <w:textAlignment w:val="baseline"/>
              <w:rPr>
                <w:rFonts w:hint="eastAsia" w:hAnsi="宋体" w:cs="宋体"/>
                <w:sz w:val="24"/>
                <w:szCs w:val="24"/>
              </w:rPr>
            </w:pPr>
          </w:p>
        </w:tc>
        <w:tc>
          <w:tcPr>
            <w:tcW w:w="1407" w:type="dxa"/>
          </w:tcPr>
          <w:p w14:paraId="248D1521">
            <w:pPr>
              <w:pStyle w:val="19"/>
              <w:widowControl w:val="0"/>
              <w:adjustRightInd w:val="0"/>
              <w:ind w:left="1080" w:leftChars="257" w:hanging="540"/>
              <w:jc w:val="both"/>
              <w:textAlignment w:val="baseline"/>
              <w:rPr>
                <w:rFonts w:hint="eastAsia" w:hAnsi="宋体" w:cs="宋体"/>
                <w:sz w:val="24"/>
                <w:szCs w:val="24"/>
              </w:rPr>
            </w:pPr>
          </w:p>
        </w:tc>
        <w:tc>
          <w:tcPr>
            <w:tcW w:w="2044" w:type="dxa"/>
          </w:tcPr>
          <w:p w14:paraId="53704EA2">
            <w:pPr>
              <w:pStyle w:val="19"/>
              <w:widowControl w:val="0"/>
              <w:adjustRightInd w:val="0"/>
              <w:ind w:left="1080" w:leftChars="257" w:hanging="540"/>
              <w:jc w:val="both"/>
              <w:textAlignment w:val="baseline"/>
              <w:rPr>
                <w:rFonts w:hint="eastAsia" w:hAnsi="宋体" w:cs="宋体"/>
                <w:sz w:val="24"/>
                <w:szCs w:val="24"/>
              </w:rPr>
            </w:pPr>
          </w:p>
        </w:tc>
        <w:tc>
          <w:tcPr>
            <w:tcW w:w="1791" w:type="dxa"/>
          </w:tcPr>
          <w:p w14:paraId="16857DD0">
            <w:pPr>
              <w:pStyle w:val="19"/>
              <w:widowControl w:val="0"/>
              <w:adjustRightInd w:val="0"/>
              <w:ind w:left="1080" w:leftChars="257" w:hanging="540"/>
              <w:jc w:val="both"/>
              <w:textAlignment w:val="baseline"/>
              <w:rPr>
                <w:rFonts w:hint="eastAsia" w:hAnsi="宋体" w:cs="宋体"/>
                <w:sz w:val="24"/>
                <w:szCs w:val="24"/>
              </w:rPr>
            </w:pPr>
          </w:p>
        </w:tc>
        <w:tc>
          <w:tcPr>
            <w:tcW w:w="2010" w:type="dxa"/>
          </w:tcPr>
          <w:p w14:paraId="1A3849B0">
            <w:pPr>
              <w:pStyle w:val="19"/>
              <w:widowControl w:val="0"/>
              <w:adjustRightInd w:val="0"/>
              <w:ind w:left="1080" w:leftChars="257" w:hanging="540"/>
              <w:jc w:val="both"/>
              <w:textAlignment w:val="baseline"/>
              <w:rPr>
                <w:rFonts w:hint="eastAsia" w:hAnsi="宋体" w:cs="宋体"/>
                <w:sz w:val="24"/>
                <w:szCs w:val="24"/>
              </w:rPr>
            </w:pPr>
          </w:p>
        </w:tc>
      </w:tr>
      <w:tr w14:paraId="544F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64B79851">
            <w:pPr>
              <w:pStyle w:val="19"/>
              <w:widowControl w:val="0"/>
              <w:adjustRightInd w:val="0"/>
              <w:ind w:left="1080" w:leftChars="257" w:hanging="540"/>
              <w:jc w:val="both"/>
              <w:textAlignment w:val="baseline"/>
              <w:rPr>
                <w:rFonts w:hint="eastAsia" w:hAnsi="宋体" w:cs="宋体"/>
                <w:sz w:val="24"/>
                <w:szCs w:val="24"/>
              </w:rPr>
            </w:pPr>
          </w:p>
        </w:tc>
        <w:tc>
          <w:tcPr>
            <w:tcW w:w="1407" w:type="dxa"/>
          </w:tcPr>
          <w:p w14:paraId="725B5854">
            <w:pPr>
              <w:pStyle w:val="19"/>
              <w:widowControl w:val="0"/>
              <w:adjustRightInd w:val="0"/>
              <w:ind w:left="1080" w:leftChars="257" w:hanging="540"/>
              <w:jc w:val="both"/>
              <w:textAlignment w:val="baseline"/>
              <w:rPr>
                <w:rFonts w:hint="eastAsia" w:hAnsi="宋体" w:cs="宋体"/>
                <w:sz w:val="24"/>
                <w:szCs w:val="24"/>
              </w:rPr>
            </w:pPr>
          </w:p>
        </w:tc>
        <w:tc>
          <w:tcPr>
            <w:tcW w:w="2044" w:type="dxa"/>
          </w:tcPr>
          <w:p w14:paraId="355886DA">
            <w:pPr>
              <w:pStyle w:val="19"/>
              <w:widowControl w:val="0"/>
              <w:adjustRightInd w:val="0"/>
              <w:ind w:left="1080" w:leftChars="257" w:hanging="540"/>
              <w:jc w:val="both"/>
              <w:textAlignment w:val="baseline"/>
              <w:rPr>
                <w:rFonts w:hint="eastAsia" w:hAnsi="宋体" w:cs="宋体"/>
                <w:sz w:val="24"/>
                <w:szCs w:val="24"/>
              </w:rPr>
            </w:pPr>
          </w:p>
        </w:tc>
        <w:tc>
          <w:tcPr>
            <w:tcW w:w="1791" w:type="dxa"/>
          </w:tcPr>
          <w:p w14:paraId="203A283F">
            <w:pPr>
              <w:pStyle w:val="19"/>
              <w:widowControl w:val="0"/>
              <w:adjustRightInd w:val="0"/>
              <w:ind w:left="1080" w:leftChars="257" w:hanging="540"/>
              <w:jc w:val="both"/>
              <w:textAlignment w:val="baseline"/>
              <w:rPr>
                <w:rFonts w:hint="eastAsia" w:hAnsi="宋体" w:cs="宋体"/>
                <w:sz w:val="24"/>
                <w:szCs w:val="24"/>
              </w:rPr>
            </w:pPr>
          </w:p>
        </w:tc>
        <w:tc>
          <w:tcPr>
            <w:tcW w:w="2010" w:type="dxa"/>
          </w:tcPr>
          <w:p w14:paraId="7226C490">
            <w:pPr>
              <w:pStyle w:val="19"/>
              <w:widowControl w:val="0"/>
              <w:adjustRightInd w:val="0"/>
              <w:ind w:left="1080" w:leftChars="257" w:hanging="540"/>
              <w:jc w:val="both"/>
              <w:textAlignment w:val="baseline"/>
              <w:rPr>
                <w:rFonts w:hint="eastAsia" w:hAnsi="宋体" w:cs="宋体"/>
                <w:sz w:val="24"/>
                <w:szCs w:val="24"/>
              </w:rPr>
            </w:pPr>
          </w:p>
        </w:tc>
      </w:tr>
    </w:tbl>
    <w:p w14:paraId="10AD25A8">
      <w:pPr>
        <w:pStyle w:val="19"/>
        <w:adjustRightInd w:val="0"/>
        <w:snapToGrid w:val="0"/>
        <w:rPr>
          <w:rFonts w:hint="eastAsia" w:hAnsi="宋体" w:cs="宋体"/>
          <w:sz w:val="24"/>
          <w:szCs w:val="24"/>
        </w:rPr>
      </w:pPr>
      <w:r>
        <w:rPr>
          <w:rFonts w:hint="eastAsia" w:hAnsi="宋体" w:cs="宋体"/>
          <w:sz w:val="24"/>
          <w:szCs w:val="24"/>
        </w:rPr>
        <w:t>注：</w:t>
      </w:r>
    </w:p>
    <w:p w14:paraId="5D8A52C7">
      <w:pPr>
        <w:pStyle w:val="19"/>
        <w:adjustRightInd w:val="0"/>
        <w:snapToGrid w:val="0"/>
        <w:rPr>
          <w:rFonts w:hint="eastAsia" w:hAnsi="宋体" w:cs="宋体"/>
          <w:sz w:val="24"/>
          <w:szCs w:val="24"/>
        </w:rPr>
      </w:pPr>
      <w:r>
        <w:rPr>
          <w:rFonts w:hint="eastAsia" w:hAnsi="宋体" w:cs="宋体"/>
          <w:sz w:val="24"/>
          <w:szCs w:val="24"/>
        </w:rPr>
        <w:t>1.有偏离的技术条款须在该表中逐一列明，并在“投标文件的技术条款”栏填写具体应答内容，在“偏离说明”中说明偏离具体情形。若无偏离请在“投标文件的技术条款”中填写“无偏离”。</w:t>
      </w:r>
    </w:p>
    <w:p w14:paraId="1E9697B4">
      <w:pPr>
        <w:pStyle w:val="19"/>
        <w:adjustRightInd w:val="0"/>
        <w:snapToGrid w:val="0"/>
        <w:rPr>
          <w:rFonts w:hint="eastAsia" w:hAnsi="宋体" w:cs="宋体"/>
          <w:sz w:val="24"/>
          <w:szCs w:val="24"/>
        </w:rPr>
      </w:pPr>
      <w:r>
        <w:rPr>
          <w:rFonts w:hint="eastAsia" w:hAnsi="宋体" w:cs="宋体"/>
          <w:sz w:val="24"/>
          <w:szCs w:val="24"/>
        </w:rPr>
        <w:t>2.未声明部分将被视为已接受投标文件要求，签约时未经采购人同意不得改变。</w:t>
      </w:r>
    </w:p>
    <w:p w14:paraId="12468E17">
      <w:pPr>
        <w:pStyle w:val="19"/>
        <w:adjustRightInd w:val="0"/>
        <w:snapToGrid w:val="0"/>
        <w:rPr>
          <w:rFonts w:hint="eastAsia" w:hAnsi="宋体" w:cs="宋体"/>
          <w:sz w:val="24"/>
          <w:szCs w:val="24"/>
        </w:rPr>
      </w:pPr>
      <w:r>
        <w:rPr>
          <w:rFonts w:hint="eastAsia" w:hAnsi="宋体" w:cs="宋体"/>
          <w:sz w:val="24"/>
          <w:szCs w:val="24"/>
        </w:rPr>
        <w:t>3.投标人可根据其投标内容进一步细化上述表格，并可增添其它表格或说明以便进一步明确投标内容。</w:t>
      </w:r>
    </w:p>
    <w:p w14:paraId="37C5B696">
      <w:pPr>
        <w:pStyle w:val="19"/>
        <w:ind w:left="1080" w:leftChars="257" w:hanging="540"/>
        <w:rPr>
          <w:rFonts w:hint="eastAsia" w:hAnsi="宋体" w:cs="宋体"/>
          <w:sz w:val="24"/>
          <w:szCs w:val="24"/>
        </w:rPr>
      </w:pPr>
    </w:p>
    <w:p w14:paraId="36FA751B">
      <w:pPr>
        <w:pStyle w:val="19"/>
        <w:ind w:left="1080" w:leftChars="257" w:hanging="540"/>
        <w:rPr>
          <w:rFonts w:hint="eastAsia" w:hAnsi="宋体" w:cs="宋体"/>
          <w:sz w:val="24"/>
          <w:szCs w:val="24"/>
        </w:rPr>
      </w:pPr>
    </w:p>
    <w:p w14:paraId="416B53C4">
      <w:pPr>
        <w:pStyle w:val="19"/>
        <w:ind w:firstLine="600" w:firstLineChars="250"/>
        <w:rPr>
          <w:rFonts w:hint="eastAsia" w:hAnsi="宋体" w:cs="宋体"/>
          <w:sz w:val="24"/>
          <w:szCs w:val="24"/>
        </w:rPr>
      </w:pPr>
      <w:bookmarkStart w:id="92" w:name="_Toc507399534"/>
      <w:bookmarkStart w:id="93" w:name="_Toc23907"/>
      <w:bookmarkStart w:id="94" w:name="_Toc216582818"/>
      <w:bookmarkStart w:id="95" w:name="_Toc25702"/>
      <w:r>
        <w:rPr>
          <w:rFonts w:hint="eastAsia" w:hAnsi="宋体" w:cs="宋体"/>
          <w:sz w:val="24"/>
          <w:szCs w:val="24"/>
        </w:rPr>
        <w:t>法定代表人或授权代表（签字或盖章）</w:t>
      </w:r>
      <w:r>
        <w:rPr>
          <w:rFonts w:hint="eastAsia" w:hAnsi="宋体" w:cs="宋体"/>
          <w:sz w:val="24"/>
          <w:szCs w:val="24"/>
          <w:u w:val="single"/>
        </w:rPr>
        <w:tab/>
      </w:r>
      <w:r>
        <w:rPr>
          <w:rFonts w:hint="eastAsia" w:hAnsi="宋体" w:cs="宋体"/>
          <w:sz w:val="24"/>
          <w:szCs w:val="24"/>
          <w:u w:val="single"/>
        </w:rPr>
        <w:t xml:space="preserve">                     </w:t>
      </w:r>
    </w:p>
    <w:p w14:paraId="4D796091">
      <w:pPr>
        <w:pStyle w:val="19"/>
        <w:tabs>
          <w:tab w:val="left" w:pos="5580"/>
        </w:tabs>
        <w:ind w:left="1079" w:leftChars="257" w:hanging="539"/>
        <w:rPr>
          <w:rFonts w:hint="eastAsia" w:hAnsi="宋体" w:cs="宋体"/>
          <w:sz w:val="24"/>
          <w:szCs w:val="24"/>
          <w:u w:val="single"/>
        </w:rPr>
      </w:pPr>
      <w:r>
        <w:rPr>
          <w:rFonts w:hint="eastAsia" w:hAnsi="宋体" w:cs="宋体"/>
          <w:sz w:val="24"/>
          <w:szCs w:val="24"/>
        </w:rPr>
        <w:t>投标人(盖章):</w:t>
      </w:r>
      <w:r>
        <w:rPr>
          <w:rFonts w:hint="eastAsia" w:hAnsi="宋体" w:cs="宋体"/>
          <w:sz w:val="24"/>
          <w:szCs w:val="24"/>
          <w:u w:val="single"/>
        </w:rPr>
        <w:tab/>
      </w:r>
      <w:r>
        <w:rPr>
          <w:rFonts w:hint="eastAsia" w:hAnsi="宋体" w:cs="宋体"/>
          <w:sz w:val="24"/>
          <w:szCs w:val="24"/>
          <w:u w:val="single"/>
        </w:rPr>
        <w:tab/>
      </w:r>
    </w:p>
    <w:p w14:paraId="447A76C3">
      <w:pPr>
        <w:pStyle w:val="19"/>
        <w:tabs>
          <w:tab w:val="left" w:pos="5580"/>
        </w:tabs>
        <w:ind w:left="1079" w:leftChars="257" w:hanging="539"/>
        <w:rPr>
          <w:rFonts w:hint="eastAsia" w:hAnsi="宋体" w:cs="宋体"/>
          <w:sz w:val="24"/>
          <w:szCs w:val="24"/>
          <w:u w:val="single"/>
        </w:rPr>
      </w:pPr>
      <w:r>
        <w:rPr>
          <w:rFonts w:hint="eastAsia" w:hAnsi="宋体" w:cs="宋体"/>
          <w:sz w:val="24"/>
          <w:szCs w:val="24"/>
        </w:rPr>
        <w:t>日期：</w:t>
      </w:r>
      <w:r>
        <w:rPr>
          <w:rFonts w:hint="eastAsia" w:hAnsi="宋体" w:cs="宋体"/>
          <w:sz w:val="24"/>
          <w:szCs w:val="24"/>
          <w:u w:val="single"/>
        </w:rPr>
        <w:t xml:space="preserve">                  </w:t>
      </w:r>
    </w:p>
    <w:p w14:paraId="292AF9BF">
      <w:pPr>
        <w:pStyle w:val="87"/>
        <w:ind w:left="5250"/>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p>
    <w:p w14:paraId="70BBE53B">
      <w:pPr>
        <w:pStyle w:val="3"/>
        <w:numPr>
          <w:ilvl w:val="0"/>
          <w:numId w:val="0"/>
        </w:numPr>
        <w:spacing w:before="0" w:line="240" w:lineRule="auto"/>
        <w:jc w:val="left"/>
        <w:rPr>
          <w:rFonts w:hint="eastAsia" w:ascii="宋体" w:hAnsi="宋体" w:cs="宋体"/>
          <w:sz w:val="24"/>
          <w:szCs w:val="24"/>
        </w:rPr>
      </w:pPr>
      <w:r>
        <w:rPr>
          <w:rFonts w:hint="eastAsia" w:ascii="宋体" w:hAnsi="宋体" w:cs="宋体"/>
          <w:sz w:val="24"/>
          <w:szCs w:val="24"/>
        </w:rPr>
        <w:t>附件6   商务条款偏离表</w:t>
      </w:r>
      <w:bookmarkEnd w:id="92"/>
      <w:bookmarkEnd w:id="93"/>
      <w:bookmarkEnd w:id="94"/>
      <w:bookmarkEnd w:id="95"/>
      <w:r>
        <w:rPr>
          <w:rFonts w:hint="eastAsia" w:ascii="宋体" w:hAnsi="宋体" w:cs="宋体"/>
          <w:sz w:val="24"/>
          <w:szCs w:val="24"/>
        </w:rPr>
        <w:t xml:space="preserve"> </w:t>
      </w:r>
    </w:p>
    <w:p w14:paraId="73560842">
      <w:pPr>
        <w:pStyle w:val="19"/>
        <w:ind w:left="1080" w:leftChars="257" w:hanging="540"/>
        <w:jc w:val="center"/>
        <w:rPr>
          <w:rFonts w:hint="eastAsia" w:hAnsi="宋体" w:cs="宋体"/>
          <w:b/>
          <w:bCs/>
          <w:sz w:val="24"/>
          <w:szCs w:val="24"/>
        </w:rPr>
      </w:pPr>
      <w:r>
        <w:rPr>
          <w:rFonts w:hint="eastAsia" w:hAnsi="宋体" w:cs="宋体"/>
          <w:b/>
          <w:bCs/>
          <w:sz w:val="24"/>
          <w:szCs w:val="24"/>
        </w:rPr>
        <w:t>商务条款偏离表</w:t>
      </w:r>
    </w:p>
    <w:p w14:paraId="4687C7AF">
      <w:pPr>
        <w:pStyle w:val="19"/>
        <w:ind w:left="1080" w:leftChars="257" w:hanging="540"/>
        <w:rPr>
          <w:rFonts w:hint="eastAsia" w:hAnsi="宋体" w:cs="宋体"/>
          <w:sz w:val="24"/>
          <w:szCs w:val="24"/>
        </w:rPr>
      </w:pPr>
    </w:p>
    <w:p w14:paraId="62045A37">
      <w:pPr>
        <w:pStyle w:val="19"/>
        <w:rPr>
          <w:rFonts w:hint="eastAsia" w:hAnsi="宋体" w:cs="宋体"/>
          <w:sz w:val="24"/>
          <w:szCs w:val="24"/>
        </w:rPr>
      </w:pPr>
      <w:r>
        <w:rPr>
          <w:rFonts w:hint="eastAsia" w:hAnsi="宋体" w:cs="宋体"/>
          <w:sz w:val="24"/>
          <w:szCs w:val="24"/>
        </w:rPr>
        <w:t>项目名称:                      招标编号:             包号:</w:t>
      </w:r>
    </w:p>
    <w:p w14:paraId="5C05E16C">
      <w:pPr>
        <w:pStyle w:val="19"/>
        <w:ind w:left="1080" w:leftChars="257" w:hanging="540"/>
        <w:rPr>
          <w:rFonts w:hint="eastAsia" w:hAnsi="宋体" w:cs="宋体"/>
          <w:sz w:val="24"/>
          <w:szCs w:val="24"/>
        </w:rPr>
      </w:pPr>
    </w:p>
    <w:tbl>
      <w:tblPr>
        <w:tblStyle w:val="32"/>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637E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131" w:type="dxa"/>
            <w:vAlign w:val="center"/>
          </w:tcPr>
          <w:p w14:paraId="68A5C639">
            <w:pPr>
              <w:pStyle w:val="19"/>
              <w:widowControl w:val="0"/>
              <w:adjustRightInd w:val="0"/>
              <w:jc w:val="center"/>
              <w:textAlignment w:val="baseline"/>
              <w:rPr>
                <w:rFonts w:hint="eastAsia" w:hAnsi="宋体" w:cs="宋体"/>
                <w:sz w:val="24"/>
                <w:szCs w:val="24"/>
              </w:rPr>
            </w:pPr>
            <w:r>
              <w:rPr>
                <w:rFonts w:hint="eastAsia" w:hAnsi="宋体" w:cs="宋体"/>
                <w:sz w:val="24"/>
                <w:szCs w:val="24"/>
              </w:rPr>
              <w:t>序号</w:t>
            </w:r>
          </w:p>
        </w:tc>
        <w:tc>
          <w:tcPr>
            <w:tcW w:w="2870" w:type="dxa"/>
            <w:vAlign w:val="center"/>
          </w:tcPr>
          <w:p w14:paraId="3AB25851">
            <w:pPr>
              <w:pStyle w:val="19"/>
              <w:widowControl w:val="0"/>
              <w:adjustRightInd w:val="0"/>
              <w:jc w:val="center"/>
              <w:textAlignment w:val="baseline"/>
              <w:rPr>
                <w:rFonts w:hint="eastAsia" w:hAnsi="宋体" w:cs="宋体"/>
                <w:sz w:val="24"/>
                <w:szCs w:val="24"/>
              </w:rPr>
            </w:pPr>
            <w:r>
              <w:rPr>
                <w:rFonts w:hint="eastAsia" w:hAnsi="宋体" w:cs="宋体"/>
                <w:sz w:val="24"/>
                <w:szCs w:val="24"/>
              </w:rPr>
              <w:t>招标文件的商务条款</w:t>
            </w:r>
          </w:p>
        </w:tc>
        <w:tc>
          <w:tcPr>
            <w:tcW w:w="2853" w:type="dxa"/>
            <w:vAlign w:val="center"/>
          </w:tcPr>
          <w:p w14:paraId="66F2EC92">
            <w:pPr>
              <w:pStyle w:val="19"/>
              <w:widowControl w:val="0"/>
              <w:adjustRightInd w:val="0"/>
              <w:jc w:val="center"/>
              <w:textAlignment w:val="baseline"/>
              <w:rPr>
                <w:rFonts w:hint="eastAsia" w:hAnsi="宋体" w:cs="宋体"/>
                <w:sz w:val="24"/>
                <w:szCs w:val="24"/>
              </w:rPr>
            </w:pPr>
            <w:r>
              <w:rPr>
                <w:rFonts w:hint="eastAsia" w:hAnsi="宋体" w:cs="宋体"/>
                <w:sz w:val="24"/>
                <w:szCs w:val="24"/>
              </w:rPr>
              <w:t>投标文件的商务条款</w:t>
            </w:r>
          </w:p>
        </w:tc>
        <w:tc>
          <w:tcPr>
            <w:tcW w:w="1365" w:type="dxa"/>
            <w:vAlign w:val="center"/>
          </w:tcPr>
          <w:p w14:paraId="106A9261">
            <w:pPr>
              <w:pStyle w:val="19"/>
              <w:widowControl w:val="0"/>
              <w:adjustRightInd w:val="0"/>
              <w:jc w:val="center"/>
              <w:textAlignment w:val="baseline"/>
              <w:rPr>
                <w:rFonts w:hint="eastAsia" w:hAnsi="宋体" w:cs="宋体"/>
                <w:sz w:val="24"/>
                <w:szCs w:val="24"/>
              </w:rPr>
            </w:pPr>
            <w:r>
              <w:rPr>
                <w:rFonts w:hint="eastAsia" w:hAnsi="宋体" w:cs="宋体"/>
                <w:sz w:val="24"/>
                <w:szCs w:val="24"/>
              </w:rPr>
              <w:t>偏离说明</w:t>
            </w:r>
          </w:p>
        </w:tc>
      </w:tr>
      <w:tr w14:paraId="4A2D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0100CE69">
            <w:pPr>
              <w:pStyle w:val="19"/>
              <w:widowControl w:val="0"/>
              <w:adjustRightInd w:val="0"/>
              <w:ind w:left="1080" w:leftChars="257" w:hanging="540"/>
              <w:jc w:val="both"/>
              <w:textAlignment w:val="baseline"/>
              <w:rPr>
                <w:rFonts w:hint="eastAsia" w:hAnsi="宋体" w:cs="宋体"/>
                <w:sz w:val="24"/>
                <w:szCs w:val="24"/>
              </w:rPr>
            </w:pPr>
          </w:p>
        </w:tc>
        <w:tc>
          <w:tcPr>
            <w:tcW w:w="2870" w:type="dxa"/>
          </w:tcPr>
          <w:p w14:paraId="16FB506A">
            <w:pPr>
              <w:pStyle w:val="19"/>
              <w:widowControl w:val="0"/>
              <w:adjustRightInd w:val="0"/>
              <w:ind w:left="1080" w:leftChars="257" w:hanging="540"/>
              <w:jc w:val="center"/>
              <w:textAlignment w:val="baseline"/>
              <w:rPr>
                <w:rFonts w:hint="eastAsia" w:hAnsi="宋体" w:cs="宋体"/>
                <w:sz w:val="24"/>
                <w:szCs w:val="24"/>
              </w:rPr>
            </w:pPr>
          </w:p>
        </w:tc>
        <w:tc>
          <w:tcPr>
            <w:tcW w:w="2853" w:type="dxa"/>
          </w:tcPr>
          <w:p w14:paraId="4248A3D0">
            <w:pPr>
              <w:pStyle w:val="19"/>
              <w:widowControl w:val="0"/>
              <w:adjustRightInd w:val="0"/>
              <w:ind w:left="1080" w:leftChars="257" w:hanging="540"/>
              <w:jc w:val="center"/>
              <w:textAlignment w:val="baseline"/>
              <w:rPr>
                <w:rFonts w:hint="eastAsia" w:hAnsi="宋体" w:cs="宋体"/>
                <w:sz w:val="24"/>
                <w:szCs w:val="24"/>
              </w:rPr>
            </w:pPr>
          </w:p>
        </w:tc>
        <w:tc>
          <w:tcPr>
            <w:tcW w:w="1365" w:type="dxa"/>
          </w:tcPr>
          <w:p w14:paraId="77C13578">
            <w:pPr>
              <w:pStyle w:val="19"/>
              <w:widowControl w:val="0"/>
              <w:adjustRightInd w:val="0"/>
              <w:ind w:left="1080" w:leftChars="257" w:hanging="540"/>
              <w:jc w:val="both"/>
              <w:textAlignment w:val="baseline"/>
              <w:rPr>
                <w:rFonts w:hint="eastAsia" w:hAnsi="宋体" w:cs="宋体"/>
                <w:sz w:val="24"/>
                <w:szCs w:val="24"/>
              </w:rPr>
            </w:pPr>
          </w:p>
        </w:tc>
      </w:tr>
      <w:tr w14:paraId="7F7C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18E31CB">
            <w:pPr>
              <w:pStyle w:val="19"/>
              <w:widowControl w:val="0"/>
              <w:adjustRightInd w:val="0"/>
              <w:ind w:left="1080" w:leftChars="257" w:hanging="540"/>
              <w:jc w:val="both"/>
              <w:textAlignment w:val="baseline"/>
              <w:rPr>
                <w:rFonts w:hint="eastAsia" w:hAnsi="宋体" w:cs="宋体"/>
                <w:sz w:val="24"/>
                <w:szCs w:val="24"/>
              </w:rPr>
            </w:pPr>
          </w:p>
        </w:tc>
        <w:tc>
          <w:tcPr>
            <w:tcW w:w="2870" w:type="dxa"/>
          </w:tcPr>
          <w:p w14:paraId="07191BCE">
            <w:pPr>
              <w:pStyle w:val="19"/>
              <w:widowControl w:val="0"/>
              <w:adjustRightInd w:val="0"/>
              <w:ind w:left="1080" w:leftChars="257" w:hanging="540"/>
              <w:jc w:val="both"/>
              <w:textAlignment w:val="baseline"/>
              <w:rPr>
                <w:rFonts w:hint="eastAsia" w:hAnsi="宋体" w:cs="宋体"/>
                <w:sz w:val="24"/>
                <w:szCs w:val="24"/>
              </w:rPr>
            </w:pPr>
          </w:p>
        </w:tc>
        <w:tc>
          <w:tcPr>
            <w:tcW w:w="2853" w:type="dxa"/>
          </w:tcPr>
          <w:p w14:paraId="694C6641">
            <w:pPr>
              <w:pStyle w:val="19"/>
              <w:widowControl w:val="0"/>
              <w:adjustRightInd w:val="0"/>
              <w:ind w:left="1080" w:leftChars="257" w:hanging="540"/>
              <w:jc w:val="both"/>
              <w:textAlignment w:val="baseline"/>
              <w:rPr>
                <w:rFonts w:hint="eastAsia" w:hAnsi="宋体" w:cs="宋体"/>
                <w:sz w:val="24"/>
                <w:szCs w:val="24"/>
              </w:rPr>
            </w:pPr>
          </w:p>
        </w:tc>
        <w:tc>
          <w:tcPr>
            <w:tcW w:w="1365" w:type="dxa"/>
          </w:tcPr>
          <w:p w14:paraId="32FBC333">
            <w:pPr>
              <w:pStyle w:val="19"/>
              <w:widowControl w:val="0"/>
              <w:adjustRightInd w:val="0"/>
              <w:ind w:left="1080" w:leftChars="257" w:hanging="540"/>
              <w:jc w:val="both"/>
              <w:textAlignment w:val="baseline"/>
              <w:rPr>
                <w:rFonts w:hint="eastAsia" w:hAnsi="宋体" w:cs="宋体"/>
                <w:sz w:val="24"/>
                <w:szCs w:val="24"/>
              </w:rPr>
            </w:pPr>
          </w:p>
        </w:tc>
      </w:tr>
      <w:tr w14:paraId="67DF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F4E4F8B">
            <w:pPr>
              <w:pStyle w:val="19"/>
              <w:widowControl w:val="0"/>
              <w:adjustRightInd w:val="0"/>
              <w:ind w:left="1080" w:leftChars="257" w:hanging="540"/>
              <w:jc w:val="both"/>
              <w:textAlignment w:val="baseline"/>
              <w:rPr>
                <w:rFonts w:hint="eastAsia" w:hAnsi="宋体" w:cs="宋体"/>
                <w:sz w:val="24"/>
                <w:szCs w:val="24"/>
              </w:rPr>
            </w:pPr>
          </w:p>
        </w:tc>
        <w:tc>
          <w:tcPr>
            <w:tcW w:w="2870" w:type="dxa"/>
          </w:tcPr>
          <w:p w14:paraId="5A4E7783">
            <w:pPr>
              <w:pStyle w:val="19"/>
              <w:widowControl w:val="0"/>
              <w:adjustRightInd w:val="0"/>
              <w:ind w:left="1080" w:leftChars="257" w:hanging="540"/>
              <w:jc w:val="both"/>
              <w:textAlignment w:val="baseline"/>
              <w:rPr>
                <w:rFonts w:hint="eastAsia" w:hAnsi="宋体" w:cs="宋体"/>
                <w:sz w:val="24"/>
                <w:szCs w:val="24"/>
              </w:rPr>
            </w:pPr>
          </w:p>
        </w:tc>
        <w:tc>
          <w:tcPr>
            <w:tcW w:w="2853" w:type="dxa"/>
          </w:tcPr>
          <w:p w14:paraId="0F4BCBA3">
            <w:pPr>
              <w:pStyle w:val="19"/>
              <w:widowControl w:val="0"/>
              <w:adjustRightInd w:val="0"/>
              <w:ind w:left="1080" w:leftChars="257" w:hanging="540"/>
              <w:jc w:val="both"/>
              <w:textAlignment w:val="baseline"/>
              <w:rPr>
                <w:rFonts w:hint="eastAsia" w:hAnsi="宋体" w:cs="宋体"/>
                <w:sz w:val="24"/>
                <w:szCs w:val="24"/>
              </w:rPr>
            </w:pPr>
          </w:p>
        </w:tc>
        <w:tc>
          <w:tcPr>
            <w:tcW w:w="1365" w:type="dxa"/>
          </w:tcPr>
          <w:p w14:paraId="69CFE708">
            <w:pPr>
              <w:pStyle w:val="19"/>
              <w:widowControl w:val="0"/>
              <w:adjustRightInd w:val="0"/>
              <w:ind w:left="1080" w:leftChars="257" w:hanging="540"/>
              <w:jc w:val="both"/>
              <w:textAlignment w:val="baseline"/>
              <w:rPr>
                <w:rFonts w:hint="eastAsia" w:hAnsi="宋体" w:cs="宋体"/>
                <w:sz w:val="24"/>
                <w:szCs w:val="24"/>
              </w:rPr>
            </w:pPr>
          </w:p>
        </w:tc>
      </w:tr>
      <w:tr w14:paraId="2453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73346521">
            <w:pPr>
              <w:pStyle w:val="19"/>
              <w:widowControl w:val="0"/>
              <w:adjustRightInd w:val="0"/>
              <w:ind w:left="1080" w:leftChars="257" w:hanging="540"/>
              <w:jc w:val="both"/>
              <w:textAlignment w:val="baseline"/>
              <w:rPr>
                <w:rFonts w:hint="eastAsia" w:hAnsi="宋体" w:cs="宋体"/>
                <w:sz w:val="24"/>
                <w:szCs w:val="24"/>
              </w:rPr>
            </w:pPr>
          </w:p>
        </w:tc>
        <w:tc>
          <w:tcPr>
            <w:tcW w:w="2870" w:type="dxa"/>
          </w:tcPr>
          <w:p w14:paraId="3C1895EE">
            <w:pPr>
              <w:pStyle w:val="19"/>
              <w:widowControl w:val="0"/>
              <w:adjustRightInd w:val="0"/>
              <w:ind w:left="1080" w:leftChars="257" w:hanging="540"/>
              <w:jc w:val="both"/>
              <w:textAlignment w:val="baseline"/>
              <w:rPr>
                <w:rFonts w:hint="eastAsia" w:hAnsi="宋体" w:cs="宋体"/>
                <w:sz w:val="24"/>
                <w:szCs w:val="24"/>
              </w:rPr>
            </w:pPr>
          </w:p>
        </w:tc>
        <w:tc>
          <w:tcPr>
            <w:tcW w:w="2853" w:type="dxa"/>
          </w:tcPr>
          <w:p w14:paraId="163C9784">
            <w:pPr>
              <w:pStyle w:val="19"/>
              <w:widowControl w:val="0"/>
              <w:adjustRightInd w:val="0"/>
              <w:ind w:left="1080" w:leftChars="257" w:hanging="540"/>
              <w:jc w:val="both"/>
              <w:textAlignment w:val="baseline"/>
              <w:rPr>
                <w:rFonts w:hint="eastAsia" w:hAnsi="宋体" w:cs="宋体"/>
                <w:sz w:val="24"/>
                <w:szCs w:val="24"/>
              </w:rPr>
            </w:pPr>
          </w:p>
        </w:tc>
        <w:tc>
          <w:tcPr>
            <w:tcW w:w="1365" w:type="dxa"/>
          </w:tcPr>
          <w:p w14:paraId="2D8D6471">
            <w:pPr>
              <w:pStyle w:val="19"/>
              <w:widowControl w:val="0"/>
              <w:adjustRightInd w:val="0"/>
              <w:ind w:left="1080" w:leftChars="257" w:hanging="540"/>
              <w:jc w:val="both"/>
              <w:textAlignment w:val="baseline"/>
              <w:rPr>
                <w:rFonts w:hint="eastAsia" w:hAnsi="宋体" w:cs="宋体"/>
                <w:sz w:val="24"/>
                <w:szCs w:val="24"/>
              </w:rPr>
            </w:pPr>
          </w:p>
        </w:tc>
      </w:tr>
      <w:tr w14:paraId="6C2D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221DF8CC">
            <w:pPr>
              <w:pStyle w:val="19"/>
              <w:widowControl w:val="0"/>
              <w:adjustRightInd w:val="0"/>
              <w:ind w:left="1080" w:leftChars="257" w:hanging="540"/>
              <w:jc w:val="both"/>
              <w:textAlignment w:val="baseline"/>
              <w:rPr>
                <w:rFonts w:hint="eastAsia" w:hAnsi="宋体" w:cs="宋体"/>
                <w:sz w:val="24"/>
                <w:szCs w:val="24"/>
              </w:rPr>
            </w:pPr>
          </w:p>
        </w:tc>
        <w:tc>
          <w:tcPr>
            <w:tcW w:w="2870" w:type="dxa"/>
          </w:tcPr>
          <w:p w14:paraId="72DE71AA">
            <w:pPr>
              <w:pStyle w:val="19"/>
              <w:widowControl w:val="0"/>
              <w:adjustRightInd w:val="0"/>
              <w:ind w:left="1080" w:leftChars="257" w:hanging="540"/>
              <w:jc w:val="both"/>
              <w:textAlignment w:val="baseline"/>
              <w:rPr>
                <w:rFonts w:hint="eastAsia" w:hAnsi="宋体" w:cs="宋体"/>
                <w:sz w:val="24"/>
                <w:szCs w:val="24"/>
              </w:rPr>
            </w:pPr>
          </w:p>
        </w:tc>
        <w:tc>
          <w:tcPr>
            <w:tcW w:w="2853" w:type="dxa"/>
          </w:tcPr>
          <w:p w14:paraId="5ABB7281">
            <w:pPr>
              <w:pStyle w:val="19"/>
              <w:widowControl w:val="0"/>
              <w:adjustRightInd w:val="0"/>
              <w:ind w:left="1080" w:leftChars="257" w:hanging="540"/>
              <w:jc w:val="both"/>
              <w:textAlignment w:val="baseline"/>
              <w:rPr>
                <w:rFonts w:hint="eastAsia" w:hAnsi="宋体" w:cs="宋体"/>
                <w:sz w:val="24"/>
                <w:szCs w:val="24"/>
              </w:rPr>
            </w:pPr>
          </w:p>
        </w:tc>
        <w:tc>
          <w:tcPr>
            <w:tcW w:w="1365" w:type="dxa"/>
          </w:tcPr>
          <w:p w14:paraId="6424A07E">
            <w:pPr>
              <w:pStyle w:val="19"/>
              <w:widowControl w:val="0"/>
              <w:adjustRightInd w:val="0"/>
              <w:ind w:left="1080" w:leftChars="257" w:hanging="540"/>
              <w:jc w:val="both"/>
              <w:textAlignment w:val="baseline"/>
              <w:rPr>
                <w:rFonts w:hint="eastAsia" w:hAnsi="宋体" w:cs="宋体"/>
                <w:sz w:val="24"/>
                <w:szCs w:val="24"/>
              </w:rPr>
            </w:pPr>
          </w:p>
        </w:tc>
      </w:tr>
      <w:tr w14:paraId="78B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A345AD5">
            <w:pPr>
              <w:pStyle w:val="19"/>
              <w:widowControl w:val="0"/>
              <w:adjustRightInd w:val="0"/>
              <w:ind w:left="1080" w:leftChars="257" w:hanging="540"/>
              <w:jc w:val="both"/>
              <w:textAlignment w:val="baseline"/>
              <w:rPr>
                <w:rFonts w:hint="eastAsia" w:hAnsi="宋体" w:cs="宋体"/>
                <w:sz w:val="24"/>
                <w:szCs w:val="24"/>
              </w:rPr>
            </w:pPr>
          </w:p>
        </w:tc>
        <w:tc>
          <w:tcPr>
            <w:tcW w:w="2870" w:type="dxa"/>
          </w:tcPr>
          <w:p w14:paraId="058D6C48">
            <w:pPr>
              <w:pStyle w:val="19"/>
              <w:widowControl w:val="0"/>
              <w:adjustRightInd w:val="0"/>
              <w:ind w:left="1080" w:leftChars="257" w:hanging="540"/>
              <w:jc w:val="both"/>
              <w:textAlignment w:val="baseline"/>
              <w:rPr>
                <w:rFonts w:hint="eastAsia" w:hAnsi="宋体" w:cs="宋体"/>
                <w:sz w:val="24"/>
                <w:szCs w:val="24"/>
              </w:rPr>
            </w:pPr>
          </w:p>
        </w:tc>
        <w:tc>
          <w:tcPr>
            <w:tcW w:w="2853" w:type="dxa"/>
          </w:tcPr>
          <w:p w14:paraId="1D7FC3E6">
            <w:pPr>
              <w:pStyle w:val="19"/>
              <w:widowControl w:val="0"/>
              <w:adjustRightInd w:val="0"/>
              <w:ind w:left="1080" w:leftChars="257" w:hanging="540"/>
              <w:jc w:val="both"/>
              <w:textAlignment w:val="baseline"/>
              <w:rPr>
                <w:rFonts w:hint="eastAsia" w:hAnsi="宋体" w:cs="宋体"/>
                <w:sz w:val="24"/>
                <w:szCs w:val="24"/>
              </w:rPr>
            </w:pPr>
          </w:p>
        </w:tc>
        <w:tc>
          <w:tcPr>
            <w:tcW w:w="1365" w:type="dxa"/>
          </w:tcPr>
          <w:p w14:paraId="498B1BCE">
            <w:pPr>
              <w:pStyle w:val="19"/>
              <w:widowControl w:val="0"/>
              <w:adjustRightInd w:val="0"/>
              <w:ind w:left="1080" w:leftChars="257" w:hanging="540"/>
              <w:jc w:val="both"/>
              <w:textAlignment w:val="baseline"/>
              <w:rPr>
                <w:rFonts w:hint="eastAsia" w:hAnsi="宋体" w:cs="宋体"/>
                <w:sz w:val="24"/>
                <w:szCs w:val="24"/>
              </w:rPr>
            </w:pPr>
          </w:p>
        </w:tc>
      </w:tr>
      <w:tr w14:paraId="2163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0F0F578C">
            <w:pPr>
              <w:pStyle w:val="19"/>
              <w:widowControl w:val="0"/>
              <w:adjustRightInd w:val="0"/>
              <w:ind w:left="1080" w:leftChars="257" w:hanging="540"/>
              <w:jc w:val="both"/>
              <w:textAlignment w:val="baseline"/>
              <w:rPr>
                <w:rFonts w:hint="eastAsia" w:hAnsi="宋体" w:cs="宋体"/>
                <w:sz w:val="24"/>
                <w:szCs w:val="24"/>
              </w:rPr>
            </w:pPr>
          </w:p>
        </w:tc>
        <w:tc>
          <w:tcPr>
            <w:tcW w:w="2870" w:type="dxa"/>
          </w:tcPr>
          <w:p w14:paraId="5A9E4B95">
            <w:pPr>
              <w:pStyle w:val="19"/>
              <w:widowControl w:val="0"/>
              <w:adjustRightInd w:val="0"/>
              <w:ind w:left="1080" w:leftChars="257" w:hanging="540"/>
              <w:jc w:val="both"/>
              <w:textAlignment w:val="baseline"/>
              <w:rPr>
                <w:rFonts w:hint="eastAsia" w:hAnsi="宋体" w:cs="宋体"/>
                <w:sz w:val="24"/>
                <w:szCs w:val="24"/>
              </w:rPr>
            </w:pPr>
          </w:p>
        </w:tc>
        <w:tc>
          <w:tcPr>
            <w:tcW w:w="2853" w:type="dxa"/>
          </w:tcPr>
          <w:p w14:paraId="05C6760A">
            <w:pPr>
              <w:pStyle w:val="19"/>
              <w:widowControl w:val="0"/>
              <w:adjustRightInd w:val="0"/>
              <w:ind w:left="1080" w:leftChars="257" w:hanging="540"/>
              <w:jc w:val="both"/>
              <w:textAlignment w:val="baseline"/>
              <w:rPr>
                <w:rFonts w:hint="eastAsia" w:hAnsi="宋体" w:cs="宋体"/>
                <w:sz w:val="24"/>
                <w:szCs w:val="24"/>
              </w:rPr>
            </w:pPr>
          </w:p>
        </w:tc>
        <w:tc>
          <w:tcPr>
            <w:tcW w:w="1365" w:type="dxa"/>
          </w:tcPr>
          <w:p w14:paraId="29AB081E">
            <w:pPr>
              <w:pStyle w:val="19"/>
              <w:widowControl w:val="0"/>
              <w:adjustRightInd w:val="0"/>
              <w:ind w:left="1080" w:leftChars="257" w:hanging="540"/>
              <w:jc w:val="both"/>
              <w:textAlignment w:val="baseline"/>
              <w:rPr>
                <w:rFonts w:hint="eastAsia" w:hAnsi="宋体" w:cs="宋体"/>
                <w:sz w:val="24"/>
                <w:szCs w:val="24"/>
              </w:rPr>
            </w:pPr>
          </w:p>
        </w:tc>
      </w:tr>
    </w:tbl>
    <w:p w14:paraId="77A904FA">
      <w:pPr>
        <w:pStyle w:val="19"/>
        <w:adjustRightInd w:val="0"/>
        <w:snapToGrid w:val="0"/>
        <w:rPr>
          <w:rFonts w:hint="eastAsia" w:hAnsi="宋体" w:cs="宋体"/>
          <w:sz w:val="24"/>
          <w:szCs w:val="24"/>
        </w:rPr>
      </w:pPr>
      <w:r>
        <w:rPr>
          <w:rFonts w:hint="eastAsia" w:hAnsi="宋体" w:cs="宋体"/>
          <w:sz w:val="24"/>
          <w:szCs w:val="24"/>
        </w:rPr>
        <w:t>注：1.有偏离的商务条款须在该表中逐一列明，并在“投标文件的商务条款”栏填写具体应答内容，在“偏离说明”中说明偏离具体情形。若无偏离请在“投标文件的商务条款”中填写“无偏离”。</w:t>
      </w:r>
    </w:p>
    <w:p w14:paraId="2A30D8D1">
      <w:pPr>
        <w:pStyle w:val="19"/>
        <w:adjustRightInd w:val="0"/>
        <w:snapToGrid w:val="0"/>
        <w:rPr>
          <w:rFonts w:hint="eastAsia" w:hAnsi="宋体" w:cs="宋体"/>
          <w:sz w:val="24"/>
          <w:szCs w:val="24"/>
        </w:rPr>
      </w:pPr>
      <w:r>
        <w:rPr>
          <w:rFonts w:hint="eastAsia" w:hAnsi="宋体" w:cs="宋体"/>
          <w:sz w:val="24"/>
          <w:szCs w:val="24"/>
        </w:rPr>
        <w:t>2.未声明部分将被视为已接受招标文件要求，签约时未经招标方同意不得改变。</w:t>
      </w:r>
    </w:p>
    <w:p w14:paraId="2EFA9647">
      <w:pPr>
        <w:pStyle w:val="19"/>
        <w:adjustRightInd w:val="0"/>
        <w:snapToGrid w:val="0"/>
        <w:rPr>
          <w:rFonts w:hint="eastAsia" w:hAnsi="宋体" w:cs="宋体"/>
          <w:sz w:val="24"/>
          <w:szCs w:val="24"/>
        </w:rPr>
      </w:pPr>
      <w:r>
        <w:rPr>
          <w:rFonts w:hint="eastAsia" w:hAnsi="宋体" w:cs="宋体"/>
          <w:sz w:val="24"/>
          <w:szCs w:val="24"/>
        </w:rPr>
        <w:t>3.投标人可根据其投标内容进一步细化上述表格，并可增添其它表格或说明以便进一步明确响应内容。</w:t>
      </w:r>
    </w:p>
    <w:p w14:paraId="5E63FF27">
      <w:pPr>
        <w:pStyle w:val="19"/>
        <w:rPr>
          <w:rFonts w:hint="eastAsia" w:hAnsi="宋体" w:cs="宋体"/>
          <w:sz w:val="24"/>
          <w:szCs w:val="24"/>
        </w:rPr>
      </w:pPr>
    </w:p>
    <w:p w14:paraId="3D406172">
      <w:pPr>
        <w:pStyle w:val="19"/>
        <w:ind w:firstLine="600" w:firstLineChars="250"/>
        <w:rPr>
          <w:rFonts w:hint="eastAsia" w:hAnsi="宋体" w:cs="宋体"/>
          <w:sz w:val="24"/>
          <w:szCs w:val="24"/>
        </w:rPr>
      </w:pPr>
      <w:r>
        <w:rPr>
          <w:rFonts w:hint="eastAsia" w:hAnsi="宋体" w:cs="宋体"/>
          <w:sz w:val="24"/>
          <w:szCs w:val="24"/>
        </w:rPr>
        <w:t>法定代表人或授权代表（签字或盖章）</w:t>
      </w:r>
      <w:r>
        <w:rPr>
          <w:rFonts w:hint="eastAsia" w:hAnsi="宋体" w:cs="宋体"/>
          <w:sz w:val="24"/>
          <w:szCs w:val="24"/>
          <w:u w:val="single"/>
        </w:rPr>
        <w:tab/>
      </w:r>
      <w:r>
        <w:rPr>
          <w:rFonts w:hint="eastAsia" w:hAnsi="宋体" w:cs="宋体"/>
          <w:sz w:val="24"/>
          <w:szCs w:val="24"/>
          <w:u w:val="single"/>
        </w:rPr>
        <w:t xml:space="preserve">                     </w:t>
      </w:r>
    </w:p>
    <w:p w14:paraId="69E729EE">
      <w:pPr>
        <w:pStyle w:val="19"/>
        <w:tabs>
          <w:tab w:val="left" w:pos="5580"/>
        </w:tabs>
        <w:ind w:left="1079" w:leftChars="257" w:hanging="539"/>
        <w:rPr>
          <w:rFonts w:hint="eastAsia" w:hAnsi="宋体" w:cs="宋体"/>
          <w:sz w:val="24"/>
          <w:szCs w:val="24"/>
          <w:u w:val="single"/>
        </w:rPr>
      </w:pPr>
      <w:r>
        <w:rPr>
          <w:rFonts w:hint="eastAsia" w:hAnsi="宋体" w:cs="宋体"/>
          <w:sz w:val="24"/>
          <w:szCs w:val="24"/>
        </w:rPr>
        <w:t>投标人(盖章):</w:t>
      </w:r>
      <w:r>
        <w:rPr>
          <w:rFonts w:hint="eastAsia" w:hAnsi="宋体" w:cs="宋体"/>
          <w:sz w:val="24"/>
          <w:szCs w:val="24"/>
          <w:u w:val="single"/>
        </w:rPr>
        <w:tab/>
      </w:r>
      <w:r>
        <w:rPr>
          <w:rFonts w:hint="eastAsia" w:hAnsi="宋体" w:cs="宋体"/>
          <w:sz w:val="24"/>
          <w:szCs w:val="24"/>
          <w:u w:val="single"/>
        </w:rPr>
        <w:tab/>
      </w:r>
    </w:p>
    <w:p w14:paraId="64406F4B">
      <w:pPr>
        <w:pStyle w:val="19"/>
        <w:tabs>
          <w:tab w:val="left" w:pos="5580"/>
        </w:tabs>
        <w:ind w:left="1079" w:leftChars="257" w:hanging="539"/>
        <w:rPr>
          <w:rFonts w:hint="eastAsia" w:hAnsi="宋体" w:cs="宋体"/>
          <w:sz w:val="24"/>
          <w:szCs w:val="24"/>
        </w:rPr>
        <w:sectPr>
          <w:pgSz w:w="11906" w:h="16838"/>
          <w:pgMar w:top="1440" w:right="1800" w:bottom="1440" w:left="1800" w:header="851" w:footer="992" w:gutter="0"/>
          <w:cols w:space="720" w:num="1"/>
          <w:docGrid w:type="lines" w:linePitch="312" w:charSpace="0"/>
        </w:sectPr>
      </w:pPr>
      <w:r>
        <w:rPr>
          <w:rFonts w:hint="eastAsia" w:hAnsi="宋体" w:cs="宋体"/>
          <w:sz w:val="24"/>
          <w:szCs w:val="24"/>
        </w:rPr>
        <w:t>日期：</w:t>
      </w:r>
      <w:r>
        <w:rPr>
          <w:rFonts w:hint="eastAsia" w:hAnsi="宋体" w:cs="宋体"/>
          <w:sz w:val="24"/>
          <w:szCs w:val="24"/>
          <w:u w:val="single"/>
        </w:rPr>
        <w:t xml:space="preserve">                  </w:t>
      </w:r>
    </w:p>
    <w:p w14:paraId="16FA764D">
      <w:pPr>
        <w:rPr>
          <w:rStyle w:val="35"/>
          <w:rFonts w:hint="eastAsia" w:ascii="宋体" w:hAnsi="宋体" w:cs="宋体"/>
          <w:sz w:val="24"/>
        </w:rPr>
      </w:pPr>
      <w:r>
        <w:rPr>
          <w:rFonts w:hint="eastAsia" w:ascii="宋体" w:hAnsi="宋体" w:cs="宋体"/>
          <w:sz w:val="24"/>
        </w:rPr>
        <w:t xml:space="preserve"> </w:t>
      </w:r>
      <w:r>
        <w:rPr>
          <w:rStyle w:val="35"/>
          <w:rFonts w:hint="eastAsia" w:ascii="宋体" w:hAnsi="宋体" w:cs="宋体"/>
          <w:sz w:val="24"/>
        </w:rPr>
        <w:t>关于印发中小企业划型标准规定的通知</w:t>
      </w:r>
    </w:p>
    <w:p w14:paraId="21992A96">
      <w:pPr>
        <w:pStyle w:val="16"/>
        <w:spacing w:before="0" w:beforeAutospacing="0" w:after="0" w:afterAutospacing="0"/>
        <w:ind w:firstLine="600"/>
        <w:jc w:val="center"/>
        <w:rPr>
          <w:rFonts w:hint="eastAsia"/>
        </w:rPr>
      </w:pPr>
      <w:r>
        <w:rPr>
          <w:rFonts w:hint="eastAsia"/>
        </w:rPr>
        <w:t>工信部联企业〔2011〕300号</w:t>
      </w:r>
    </w:p>
    <w:p w14:paraId="0C038254">
      <w:pPr>
        <w:pStyle w:val="16"/>
        <w:spacing w:before="0" w:beforeAutospacing="0" w:after="0" w:afterAutospacing="0"/>
        <w:ind w:firstLine="480"/>
        <w:rPr>
          <w:rFonts w:hint="eastAsia"/>
        </w:rPr>
      </w:pPr>
      <w:r>
        <w:rPr>
          <w:rFonts w:hint="eastAsia"/>
        </w:rPr>
        <w:t>各省、自治区、直辖市人民政府，国务院各部委、各直属机构及有关单位：</w:t>
      </w:r>
    </w:p>
    <w:p w14:paraId="7DAB8F14">
      <w:pPr>
        <w:pStyle w:val="16"/>
        <w:spacing w:before="0" w:beforeAutospacing="0" w:after="0" w:afterAutospacing="0"/>
        <w:ind w:firstLine="480"/>
        <w:rPr>
          <w:rFonts w:hint="eastAsia"/>
        </w:rPr>
      </w:pPr>
      <w:r>
        <w:rPr>
          <w:rFonts w:hint="eastAsia"/>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99CE5CE">
      <w:pPr>
        <w:pStyle w:val="16"/>
        <w:spacing w:before="0" w:beforeAutospacing="0" w:after="0" w:afterAutospacing="0"/>
        <w:rPr>
          <w:rFonts w:hint="eastAsia"/>
        </w:rPr>
      </w:pPr>
      <w:r>
        <w:rPr>
          <w:rFonts w:hint="eastAsia"/>
        </w:rPr>
        <w:t>　　　　　　　　　　　　　　　　　　　　　工业和信息化部　国家统计局</w:t>
      </w:r>
    </w:p>
    <w:p w14:paraId="5328ED45">
      <w:pPr>
        <w:pStyle w:val="16"/>
        <w:spacing w:before="0" w:beforeAutospacing="0" w:after="0" w:afterAutospacing="0"/>
        <w:rPr>
          <w:rFonts w:hint="eastAsia"/>
        </w:rPr>
      </w:pPr>
      <w:r>
        <w:rPr>
          <w:rFonts w:hint="eastAsia"/>
        </w:rPr>
        <w:t>　　　　　　　　　　　　　　　　　　　　国家发展和改革委员会　财政部</w:t>
      </w:r>
    </w:p>
    <w:p w14:paraId="64235D4F">
      <w:pPr>
        <w:pStyle w:val="16"/>
        <w:spacing w:before="0" w:beforeAutospacing="0" w:after="0" w:afterAutospacing="0"/>
        <w:rPr>
          <w:rFonts w:hint="eastAsia"/>
        </w:rPr>
      </w:pPr>
      <w:r>
        <w:rPr>
          <w:rFonts w:hint="eastAsia"/>
        </w:rPr>
        <w:t>　　　　　　　　　　　　　　　　　　　　　　　　二○一一年六月十八日</w:t>
      </w:r>
    </w:p>
    <w:p w14:paraId="3BBF9975">
      <w:pPr>
        <w:pStyle w:val="16"/>
        <w:spacing w:before="0" w:beforeAutospacing="0" w:after="0" w:afterAutospacing="0"/>
        <w:jc w:val="center"/>
        <w:rPr>
          <w:rFonts w:hint="eastAsia"/>
        </w:rPr>
      </w:pPr>
      <w:r>
        <w:rPr>
          <w:rStyle w:val="35"/>
          <w:rFonts w:hint="eastAsia"/>
        </w:rPr>
        <w:t>中小企业划型标准规定</w:t>
      </w:r>
    </w:p>
    <w:p w14:paraId="406EFDB6">
      <w:pPr>
        <w:pStyle w:val="16"/>
        <w:spacing w:before="0" w:beforeAutospacing="0" w:after="0" w:afterAutospacing="0"/>
        <w:ind w:firstLine="420" w:firstLineChars="175"/>
        <w:jc w:val="both"/>
        <w:rPr>
          <w:rFonts w:hint="eastAsia"/>
        </w:rPr>
      </w:pPr>
      <w:r>
        <w:rPr>
          <w:rFonts w:hint="eastAsia"/>
        </w:rPr>
        <w:t>一、根据《中华人民共和国中小企业促进法》和《国务院关于进一步促进中小企业发展的若干意见》(国发〔2009〕36号)，制定本规定。</w:t>
      </w:r>
    </w:p>
    <w:p w14:paraId="7D0811A5">
      <w:pPr>
        <w:pStyle w:val="16"/>
        <w:spacing w:before="0" w:beforeAutospacing="0" w:after="0" w:afterAutospacing="0"/>
        <w:ind w:firstLine="420" w:firstLineChars="175"/>
        <w:jc w:val="both"/>
        <w:rPr>
          <w:rFonts w:hint="eastAsia"/>
        </w:rPr>
      </w:pPr>
      <w:r>
        <w:rPr>
          <w:rFonts w:hint="eastAsia"/>
        </w:rPr>
        <w:t>二、中小企业划分为中型、小型、微型三种类型，具体标准根据企业从业人员、营业收入、资产总额等指标，结合行业特点制定。</w:t>
      </w:r>
    </w:p>
    <w:p w14:paraId="3999E1AD">
      <w:pPr>
        <w:pStyle w:val="16"/>
        <w:spacing w:before="0" w:beforeAutospacing="0" w:after="0" w:afterAutospacing="0"/>
        <w:ind w:firstLine="420" w:firstLineChars="175"/>
        <w:jc w:val="both"/>
        <w:rPr>
          <w:rFonts w:hint="eastAsia"/>
        </w:rPr>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7371B4">
      <w:pPr>
        <w:pStyle w:val="16"/>
        <w:spacing w:before="0" w:beforeAutospacing="0" w:after="0" w:afterAutospacing="0"/>
        <w:ind w:firstLine="420" w:firstLineChars="175"/>
        <w:jc w:val="both"/>
        <w:rPr>
          <w:rFonts w:hint="eastAsia"/>
        </w:rPr>
      </w:pPr>
      <w:r>
        <w:rPr>
          <w:rFonts w:hint="eastAsia"/>
        </w:rPr>
        <w:t>四、各行业划型标准为：</w:t>
      </w:r>
    </w:p>
    <w:p w14:paraId="6ADDE7A5">
      <w:pPr>
        <w:pStyle w:val="16"/>
        <w:spacing w:before="0" w:beforeAutospacing="0" w:after="0" w:afterAutospacing="0"/>
        <w:ind w:firstLine="420" w:firstLineChars="175"/>
        <w:jc w:val="both"/>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5E0C9C4D">
      <w:pPr>
        <w:pStyle w:val="16"/>
        <w:spacing w:before="0" w:beforeAutospacing="0" w:after="0" w:afterAutospacing="0"/>
        <w:ind w:firstLine="420" w:firstLineChars="175"/>
        <w:jc w:val="both"/>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D51D73">
      <w:pPr>
        <w:pStyle w:val="16"/>
        <w:spacing w:before="0" w:beforeAutospacing="0" w:after="0" w:afterAutospacing="0"/>
        <w:ind w:firstLine="420" w:firstLineChars="175"/>
        <w:jc w:val="both"/>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D798B3">
      <w:pPr>
        <w:pStyle w:val="16"/>
        <w:spacing w:before="0" w:beforeAutospacing="0" w:after="0" w:afterAutospacing="0"/>
        <w:ind w:firstLine="420" w:firstLineChars="175"/>
        <w:jc w:val="both"/>
        <w:rPr>
          <w:rFonts w:hint="eastAsia"/>
        </w:rPr>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09CF49">
      <w:pPr>
        <w:pStyle w:val="16"/>
        <w:spacing w:before="0" w:beforeAutospacing="0" w:after="0" w:afterAutospacing="0"/>
        <w:ind w:firstLine="420" w:firstLineChars="175"/>
        <w:jc w:val="both"/>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620F91">
      <w:pPr>
        <w:pStyle w:val="16"/>
        <w:spacing w:before="0" w:beforeAutospacing="0" w:after="0" w:afterAutospacing="0"/>
        <w:ind w:firstLine="420" w:firstLineChars="175"/>
        <w:jc w:val="both"/>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FC04AC">
      <w:pPr>
        <w:pStyle w:val="16"/>
        <w:spacing w:before="0" w:beforeAutospacing="0" w:after="0" w:afterAutospacing="0"/>
        <w:ind w:firstLine="420" w:firstLineChars="175"/>
        <w:jc w:val="both"/>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4BE989">
      <w:pPr>
        <w:pStyle w:val="16"/>
        <w:spacing w:before="0" w:beforeAutospacing="0" w:after="0" w:afterAutospacing="0"/>
        <w:ind w:firstLine="420" w:firstLineChars="175"/>
        <w:jc w:val="both"/>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4B2FAB">
      <w:pPr>
        <w:pStyle w:val="16"/>
        <w:spacing w:before="0" w:beforeAutospacing="0" w:after="0" w:afterAutospacing="0"/>
        <w:ind w:firstLine="420" w:firstLineChars="175"/>
        <w:jc w:val="both"/>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0998D">
      <w:pPr>
        <w:pStyle w:val="16"/>
        <w:spacing w:before="0" w:beforeAutospacing="0" w:after="0" w:afterAutospacing="0"/>
        <w:ind w:firstLine="420" w:firstLineChars="175"/>
        <w:jc w:val="both"/>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BF7550">
      <w:pPr>
        <w:pStyle w:val="16"/>
        <w:spacing w:before="0" w:beforeAutospacing="0" w:after="0" w:afterAutospacing="0"/>
        <w:ind w:firstLine="420" w:firstLineChars="175"/>
        <w:jc w:val="both"/>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20455A7">
      <w:pPr>
        <w:pStyle w:val="16"/>
        <w:spacing w:before="0" w:beforeAutospacing="0" w:after="0" w:afterAutospacing="0"/>
        <w:ind w:firstLine="420" w:firstLineChars="175"/>
        <w:jc w:val="both"/>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56CE79">
      <w:pPr>
        <w:pStyle w:val="16"/>
        <w:spacing w:before="0" w:beforeAutospacing="0" w:after="0" w:afterAutospacing="0"/>
        <w:ind w:firstLine="420" w:firstLineChars="175"/>
        <w:jc w:val="both"/>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3BB387">
      <w:pPr>
        <w:pStyle w:val="16"/>
        <w:spacing w:before="0" w:beforeAutospacing="0" w:after="0" w:afterAutospacing="0"/>
        <w:ind w:firstLine="420" w:firstLineChars="175"/>
        <w:jc w:val="both"/>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630507">
      <w:pPr>
        <w:pStyle w:val="16"/>
        <w:spacing w:before="0" w:beforeAutospacing="0" w:after="0" w:afterAutospacing="0"/>
        <w:ind w:firstLine="420" w:firstLineChars="175"/>
        <w:jc w:val="both"/>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C4C638">
      <w:pPr>
        <w:pStyle w:val="16"/>
        <w:spacing w:before="0" w:beforeAutospacing="0" w:after="0" w:afterAutospacing="0"/>
        <w:ind w:firstLine="422" w:firstLineChars="175"/>
        <w:jc w:val="both"/>
        <w:rPr>
          <w:rFonts w:hint="eastAsia"/>
          <w:b/>
          <w:bCs/>
        </w:rPr>
      </w:pPr>
      <w:r>
        <w:rPr>
          <w:rFonts w:hint="eastAsia"/>
          <w:b/>
          <w:bCs/>
        </w:rPr>
        <w:t>（十六）其他未列明行业。从业人员300人以下的为中小微型企业。其中，从业人员100人及以上的为中型企业；从业人员10人及以上的为小型企业；从业人员10人以下的为微型企业。</w:t>
      </w:r>
    </w:p>
    <w:p w14:paraId="05F522AC">
      <w:pPr>
        <w:pStyle w:val="16"/>
        <w:spacing w:before="0" w:beforeAutospacing="0" w:after="0" w:afterAutospacing="0"/>
        <w:ind w:firstLine="422" w:firstLineChars="175"/>
        <w:jc w:val="both"/>
        <w:rPr>
          <w:rFonts w:hint="eastAsia"/>
          <w:b/>
          <w:bCs/>
        </w:rPr>
      </w:pPr>
      <w:r>
        <w:rPr>
          <w:rFonts w:hint="eastAsia"/>
          <w:b/>
          <w:bCs/>
        </w:rPr>
        <w:t>五、企业类型的划分以统计部门的统计数据为依据。</w:t>
      </w:r>
    </w:p>
    <w:p w14:paraId="283FC92C">
      <w:pPr>
        <w:pStyle w:val="16"/>
        <w:spacing w:before="0" w:beforeAutospacing="0" w:after="0" w:afterAutospacing="0"/>
        <w:ind w:firstLine="420" w:firstLineChars="175"/>
        <w:jc w:val="both"/>
        <w:rPr>
          <w:rFonts w:hint="eastAsia"/>
        </w:rPr>
      </w:pPr>
      <w:r>
        <w:rPr>
          <w:rFonts w:hint="eastAsia"/>
        </w:rPr>
        <w:t>六、本规定适用于在中华人民共和国境内依法设立的各类所有制和各种组织形式的企业。个体工商户和本规定以外的行业，参照本规定进行划型。</w:t>
      </w:r>
    </w:p>
    <w:p w14:paraId="321568AA">
      <w:pPr>
        <w:pStyle w:val="16"/>
        <w:spacing w:before="0" w:beforeAutospacing="0" w:after="0" w:afterAutospacing="0"/>
        <w:ind w:firstLine="420" w:firstLineChars="175"/>
        <w:jc w:val="both"/>
        <w:rPr>
          <w:rFonts w:hint="eastAsia"/>
        </w:rPr>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7A5D06C3">
      <w:pPr>
        <w:pStyle w:val="16"/>
        <w:spacing w:before="0" w:beforeAutospacing="0" w:after="0" w:afterAutospacing="0"/>
        <w:ind w:firstLine="420" w:firstLineChars="175"/>
        <w:jc w:val="both"/>
        <w:rPr>
          <w:rFonts w:hint="eastAsia"/>
        </w:rPr>
      </w:pPr>
      <w:r>
        <w:rPr>
          <w:rFonts w:hint="eastAsia"/>
        </w:rPr>
        <w:t>八、本规定由工业和信息化部、国家统计局会同有关部门根据《国民经济行业分类》修订情况和企业发展变化情况适时修订。</w:t>
      </w:r>
    </w:p>
    <w:p w14:paraId="5DD97234">
      <w:pPr>
        <w:pStyle w:val="16"/>
        <w:spacing w:before="0" w:beforeAutospacing="0" w:after="0" w:afterAutospacing="0"/>
        <w:ind w:firstLine="420" w:firstLineChars="175"/>
        <w:jc w:val="both"/>
        <w:rPr>
          <w:rFonts w:hint="eastAsia"/>
        </w:rPr>
      </w:pPr>
      <w:r>
        <w:rPr>
          <w:rFonts w:hint="eastAsia"/>
        </w:rPr>
        <w:t>九、本规定由工业和信息化部、国家统计局会同有关部门负责解释。</w:t>
      </w:r>
    </w:p>
    <w:p w14:paraId="79FF2F65">
      <w:pPr>
        <w:pStyle w:val="16"/>
        <w:spacing w:before="0" w:beforeAutospacing="0" w:after="0" w:afterAutospacing="0"/>
        <w:ind w:firstLine="420" w:firstLineChars="175"/>
        <w:jc w:val="both"/>
        <w:rPr>
          <w:rFonts w:hint="eastAsia"/>
        </w:rPr>
      </w:pPr>
      <w:r>
        <w:rPr>
          <w:rFonts w:hint="eastAsia"/>
        </w:rPr>
        <w:t>十、本规定自发布之日起执行，原国家经贸委、原国家计委、财政部和国家统计局2003年颁布的《中小企业标准暂行规定》同时废止。</w:t>
      </w:r>
    </w:p>
    <w:p w14:paraId="4DCA3538">
      <w:pPr>
        <w:rPr>
          <w:rFonts w:hint="eastAsia" w:ascii="宋体" w:hAnsi="宋体" w:cs="宋体"/>
          <w:sz w:val="24"/>
          <w:u w:val="single"/>
        </w:rPr>
      </w:pPr>
      <w:r>
        <w:rPr>
          <w:rFonts w:hint="eastAsia" w:ascii="宋体" w:hAnsi="宋体" w:cs="宋体"/>
          <w:sz w:val="24"/>
        </w:rPr>
        <w:br w:type="page"/>
      </w:r>
    </w:p>
    <w:p w14:paraId="6168852D">
      <w:pPr>
        <w:autoSpaceDE w:val="0"/>
        <w:autoSpaceDN w:val="0"/>
        <w:adjustRightInd w:val="0"/>
        <w:ind w:firstLine="482" w:firstLineChars="200"/>
        <w:jc w:val="center"/>
        <w:rPr>
          <w:rFonts w:hint="eastAsia" w:ascii="宋体" w:hAnsi="宋体" w:cs="宋体"/>
          <w:b/>
          <w:bCs/>
          <w:color w:val="000000"/>
          <w:sz w:val="24"/>
        </w:rPr>
      </w:pPr>
      <w:bookmarkStart w:id="96" w:name="_Toc14711"/>
      <w:bookmarkStart w:id="97" w:name="_Toc1502"/>
      <w:r>
        <w:rPr>
          <w:rFonts w:hint="eastAsia" w:ascii="宋体" w:hAnsi="宋体" w:cs="宋体"/>
          <w:b/>
          <w:bCs/>
          <w:sz w:val="24"/>
        </w:rPr>
        <w:t>附件</w:t>
      </w:r>
      <w:bookmarkStart w:id="98" w:name="_Toc71631935"/>
      <w:r>
        <w:rPr>
          <w:rFonts w:hint="eastAsia" w:ascii="宋体" w:hAnsi="宋体" w:cs="宋体"/>
          <w:b/>
          <w:bCs/>
          <w:sz w:val="24"/>
        </w:rPr>
        <w:t>7</w:t>
      </w:r>
      <w:bookmarkEnd w:id="96"/>
      <w:bookmarkEnd w:id="97"/>
      <w:bookmarkEnd w:id="98"/>
      <w:r>
        <w:rPr>
          <w:rFonts w:hint="eastAsia" w:ascii="宋体" w:hAnsi="宋体" w:cs="宋体"/>
          <w:b/>
          <w:bCs/>
          <w:sz w:val="24"/>
        </w:rPr>
        <w:t xml:space="preserve"> </w:t>
      </w:r>
      <w:r>
        <w:rPr>
          <w:rFonts w:hint="eastAsia" w:ascii="宋体" w:hAnsi="宋体" w:cs="宋体"/>
          <w:b/>
          <w:bCs/>
          <w:color w:val="000000"/>
          <w:sz w:val="24"/>
        </w:rPr>
        <w:t>中小企业声明函（如是）</w:t>
      </w:r>
    </w:p>
    <w:p w14:paraId="01C9F567">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本公司（联合体）郑重声明，根据《政府采购促进中小企业发展管理办法》（财库〔2020〕[2020]46号）的规定，本公司（联合体）参加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14:paraId="3BD83308">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14:paraId="702A7FBD">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 xml:space="preserve">2. </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14:paraId="29737198">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w:t>
      </w:r>
    </w:p>
    <w:p w14:paraId="4CD9987A">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14:paraId="52BB6C5E">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本企业对上述声明内容的真实性负责。如有虚假，将依法承担相应责任。</w:t>
      </w:r>
    </w:p>
    <w:p w14:paraId="7B392923">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                      企业名称（盖章）：</w:t>
      </w:r>
    </w:p>
    <w:p w14:paraId="5AEC1F7F">
      <w:pPr>
        <w:autoSpaceDE w:val="0"/>
        <w:autoSpaceDN w:val="0"/>
        <w:adjustRightInd w:val="0"/>
        <w:ind w:firstLine="480" w:firstLineChars="200"/>
        <w:rPr>
          <w:rFonts w:hint="eastAsia" w:ascii="宋体" w:hAnsi="宋体" w:cs="宋体"/>
          <w:color w:val="000000"/>
          <w:sz w:val="24"/>
        </w:rPr>
      </w:pPr>
      <w:r>
        <w:rPr>
          <w:rFonts w:hint="eastAsia" w:ascii="宋体" w:hAnsi="宋体" w:cs="宋体"/>
          <w:color w:val="000000"/>
          <w:sz w:val="24"/>
        </w:rPr>
        <w:t>                      日期：             </w:t>
      </w:r>
    </w:p>
    <w:p w14:paraId="2F8127AD">
      <w:pPr>
        <w:pStyle w:val="19"/>
        <w:tabs>
          <w:tab w:val="left" w:pos="5580"/>
        </w:tabs>
        <w:adjustRightInd w:val="0"/>
        <w:snapToGrid w:val="0"/>
        <w:ind w:firstLine="4680" w:firstLineChars="1950"/>
        <w:rPr>
          <w:rFonts w:hint="eastAsia" w:hAnsi="宋体" w:cs="宋体"/>
          <w:sz w:val="24"/>
          <w:szCs w:val="24"/>
        </w:rPr>
      </w:pPr>
    </w:p>
    <w:p w14:paraId="08DBD7D7">
      <w:pPr>
        <w:pStyle w:val="19"/>
        <w:tabs>
          <w:tab w:val="left" w:pos="5580"/>
        </w:tabs>
        <w:adjustRightInd w:val="0"/>
        <w:snapToGrid w:val="0"/>
        <w:ind w:hanging="527"/>
        <w:rPr>
          <w:rFonts w:hint="eastAsia" w:hAnsi="宋体" w:cs="宋体"/>
          <w:sz w:val="24"/>
          <w:szCs w:val="24"/>
        </w:rPr>
      </w:pPr>
    </w:p>
    <w:p w14:paraId="74F40B39">
      <w:pPr>
        <w:pStyle w:val="19"/>
        <w:tabs>
          <w:tab w:val="left" w:pos="5580"/>
        </w:tabs>
        <w:adjustRightInd w:val="0"/>
        <w:snapToGrid w:val="0"/>
        <w:rPr>
          <w:rFonts w:hint="eastAsia" w:hAnsi="宋体" w:cs="宋体"/>
          <w:sz w:val="24"/>
          <w:szCs w:val="24"/>
        </w:rPr>
      </w:pPr>
      <w:r>
        <w:rPr>
          <w:rFonts w:hint="eastAsia" w:hAnsi="宋体" w:cs="宋体"/>
          <w:sz w:val="24"/>
          <w:szCs w:val="24"/>
        </w:rPr>
        <w:t>注1、从业人员、营业收入、资产总额填报上一年度数据，无上一年度数据的新成立企业可不填报。</w:t>
      </w:r>
    </w:p>
    <w:p w14:paraId="515F8BC8">
      <w:pPr>
        <w:pStyle w:val="19"/>
        <w:tabs>
          <w:tab w:val="left" w:pos="5580"/>
        </w:tabs>
        <w:adjustRightInd w:val="0"/>
        <w:snapToGrid w:val="0"/>
        <w:rPr>
          <w:rFonts w:hint="eastAsia" w:hAnsi="宋体" w:cs="宋体"/>
          <w:sz w:val="24"/>
          <w:szCs w:val="24"/>
        </w:rPr>
      </w:pPr>
      <w:r>
        <w:rPr>
          <w:rFonts w:hint="eastAsia" w:hAnsi="宋体" w:cs="宋体"/>
          <w:sz w:val="24"/>
          <w:szCs w:val="24"/>
        </w:rPr>
        <w:t>2、请在本表中填写</w:t>
      </w:r>
      <w:r>
        <w:rPr>
          <w:rFonts w:hint="eastAsia" w:hAnsi="宋体" w:cs="宋体"/>
          <w:sz w:val="24"/>
          <w:szCs w:val="24"/>
          <w:u w:val="single"/>
        </w:rPr>
        <w:t>投标人须知前附表</w:t>
      </w:r>
      <w:r>
        <w:rPr>
          <w:rFonts w:hint="eastAsia" w:hAnsi="宋体" w:cs="宋体"/>
          <w:sz w:val="24"/>
          <w:szCs w:val="24"/>
        </w:rPr>
        <w:t>中写明的中小企业行业类别。</w:t>
      </w:r>
    </w:p>
    <w:p w14:paraId="59825E15">
      <w:pPr>
        <w:pStyle w:val="87"/>
        <w:adjustRightInd w:val="0"/>
        <w:snapToGrid w:val="0"/>
        <w:spacing w:before="0" w:after="0"/>
        <w:rPr>
          <w:rFonts w:hint="eastAsia" w:ascii="宋体" w:hAnsi="宋体" w:cs="宋体"/>
          <w:sz w:val="24"/>
          <w:szCs w:val="24"/>
        </w:rPr>
      </w:pPr>
      <w:r>
        <w:rPr>
          <w:rFonts w:hint="eastAsia" w:ascii="宋体" w:hAnsi="宋体" w:cs="宋体"/>
          <w:sz w:val="24"/>
          <w:szCs w:val="24"/>
        </w:rPr>
        <w:t>3、制造商如为监狱企业或残疾人福利性单位的，视同为小型、微型企业，请填写此声明函，并需要出具相应的声明函和证明文件（格式后附）。</w:t>
      </w:r>
    </w:p>
    <w:p w14:paraId="79603114">
      <w:pPr>
        <w:rPr>
          <w:rFonts w:hint="eastAsia" w:ascii="宋体" w:hAnsi="宋体" w:cs="宋体"/>
          <w:sz w:val="24"/>
        </w:rPr>
      </w:pPr>
      <w:r>
        <w:rPr>
          <w:rFonts w:hint="eastAsia" w:ascii="宋体" w:hAnsi="宋体" w:cs="宋体"/>
          <w:sz w:val="24"/>
        </w:rPr>
        <w:br w:type="page"/>
      </w:r>
    </w:p>
    <w:p w14:paraId="7A47CA38">
      <w:pPr>
        <w:pStyle w:val="3"/>
        <w:numPr>
          <w:ilvl w:val="0"/>
          <w:numId w:val="0"/>
        </w:numPr>
        <w:adjustRightInd w:val="0"/>
        <w:snapToGrid w:val="0"/>
        <w:spacing w:before="0" w:after="0" w:line="240" w:lineRule="auto"/>
        <w:ind w:left="2553"/>
        <w:jc w:val="left"/>
        <w:rPr>
          <w:rFonts w:hint="eastAsia" w:ascii="宋体" w:hAnsi="宋体" w:cs="宋体"/>
          <w:sz w:val="24"/>
          <w:szCs w:val="24"/>
        </w:rPr>
      </w:pPr>
      <w:bookmarkStart w:id="99" w:name="_Toc71631936"/>
      <w:bookmarkStart w:id="100" w:name="_Toc17478"/>
      <w:bookmarkStart w:id="101" w:name="_Toc5109"/>
      <w:r>
        <w:rPr>
          <w:rFonts w:hint="eastAsia" w:ascii="宋体" w:hAnsi="宋体" w:cs="宋体"/>
          <w:sz w:val="24"/>
          <w:szCs w:val="24"/>
        </w:rPr>
        <w:t>附件  监狱企业声明函</w:t>
      </w:r>
      <w:bookmarkEnd w:id="99"/>
      <w:r>
        <w:rPr>
          <w:rFonts w:hint="eastAsia" w:ascii="宋体" w:hAnsi="宋体" w:cs="宋体"/>
          <w:sz w:val="24"/>
          <w:szCs w:val="24"/>
        </w:rPr>
        <w:t>（如是）</w:t>
      </w:r>
      <w:bookmarkEnd w:id="100"/>
      <w:bookmarkEnd w:id="101"/>
    </w:p>
    <w:p w14:paraId="2F25AD39">
      <w:pPr>
        <w:adjustRightInd w:val="0"/>
        <w:snapToGrid w:val="0"/>
        <w:rPr>
          <w:rFonts w:hint="eastAsia" w:ascii="宋体" w:hAnsi="宋体" w:cs="宋体"/>
          <w:b/>
          <w:kern w:val="0"/>
          <w:sz w:val="24"/>
        </w:rPr>
      </w:pPr>
    </w:p>
    <w:p w14:paraId="53732651">
      <w:pPr>
        <w:adjustRightInd w:val="0"/>
        <w:snapToGrid w:val="0"/>
        <w:ind w:firstLine="480" w:firstLineChars="200"/>
        <w:rPr>
          <w:rFonts w:hint="eastAsia" w:ascii="宋体" w:hAnsi="宋体" w:cs="宋体"/>
          <w:kern w:val="0"/>
          <w:sz w:val="24"/>
        </w:rPr>
      </w:pPr>
      <w:r>
        <w:rPr>
          <w:rFonts w:hint="eastAsia" w:ascii="宋体" w:hAnsi="宋体" w:cs="宋体"/>
          <w:kern w:val="0"/>
          <w:sz w:val="24"/>
        </w:rPr>
        <w:t>本单位郑重声明，本单位在参加</w:t>
      </w:r>
      <w:r>
        <w:rPr>
          <w:rFonts w:hint="eastAsia" w:ascii="宋体" w:hAnsi="宋体" w:cs="宋体"/>
          <w:kern w:val="0"/>
          <w:sz w:val="24"/>
          <w:u w:val="single"/>
        </w:rPr>
        <w:t>（采购人名称）</w:t>
      </w:r>
      <w:r>
        <w:rPr>
          <w:rFonts w:hint="eastAsia" w:ascii="宋体" w:hAnsi="宋体" w:cs="宋体"/>
          <w:kern w:val="0"/>
          <w:sz w:val="24"/>
        </w:rPr>
        <w:t>的</w:t>
      </w:r>
      <w:r>
        <w:rPr>
          <w:rFonts w:hint="eastAsia" w:ascii="宋体" w:hAnsi="宋体" w:cs="宋体"/>
          <w:kern w:val="0"/>
          <w:sz w:val="24"/>
          <w:u w:val="single"/>
        </w:rPr>
        <w:t>（招标项目名称）</w:t>
      </w:r>
      <w:r>
        <w:rPr>
          <w:rFonts w:hint="eastAsia" w:ascii="宋体" w:hAnsi="宋体" w:cs="宋体"/>
          <w:kern w:val="0"/>
          <w:sz w:val="24"/>
        </w:rPr>
        <w:t>项目采购活动提供以下监狱企业制造的货物（或监狱企业承担的工程、或监狱企业承接的服务），具体情况如下：（按照实际情况勾选或填空）</w:t>
      </w:r>
    </w:p>
    <w:p w14:paraId="0391DDA0">
      <w:pPr>
        <w:adjustRightInd w:val="0"/>
        <w:snapToGrid w:val="0"/>
        <w:ind w:firstLine="360" w:firstLineChars="15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（制造商名称）</w:t>
      </w:r>
      <w:r>
        <w:rPr>
          <w:rFonts w:hint="eastAsia" w:ascii="宋体" w:hAnsi="宋体" w:cs="宋体"/>
          <w:kern w:val="0"/>
          <w:sz w:val="24"/>
        </w:rPr>
        <w:t>属于监狱企业，后附省级以上监狱管理局、戒毒管理局（含新疆生产建设兵团）出具的属于监狱企业的证明文件。</w:t>
      </w:r>
    </w:p>
    <w:p w14:paraId="0DF001B2">
      <w:pPr>
        <w:adjustRightInd w:val="0"/>
        <w:snapToGrid w:val="0"/>
        <w:ind w:firstLine="42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（制造商名称）</w:t>
      </w:r>
      <w:r>
        <w:rPr>
          <w:rFonts w:hint="eastAsia" w:ascii="宋体" w:hAnsi="宋体" w:cs="宋体"/>
          <w:kern w:val="0"/>
          <w:sz w:val="24"/>
        </w:rPr>
        <w:t>属于监狱企业并作为联合体一方，其提供协议合同金额占到共同投标协议合同总金额的比例为</w:t>
      </w:r>
      <w:r>
        <w:rPr>
          <w:rFonts w:hint="eastAsia" w:ascii="宋体" w:hAnsi="宋体" w:cs="宋体"/>
          <w:kern w:val="0"/>
          <w:sz w:val="24"/>
          <w:u w:val="single"/>
        </w:rPr>
        <w:t xml:space="preserve">       </w:t>
      </w:r>
      <w:r>
        <w:rPr>
          <w:rFonts w:hint="eastAsia" w:ascii="宋体" w:hAnsi="宋体" w:cs="宋体"/>
          <w:kern w:val="0"/>
          <w:sz w:val="24"/>
        </w:rPr>
        <w:t>。后附省级以上监狱管理局、戒毒管理局（含新疆生产建设兵团）出具的属于监狱企业的证明文件。</w:t>
      </w:r>
    </w:p>
    <w:p w14:paraId="4B7DB07A">
      <w:pPr>
        <w:adjustRightInd w:val="0"/>
        <w:snapToGrid w:val="0"/>
        <w:ind w:firstLine="420"/>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u w:val="single"/>
        </w:rPr>
        <w:t>（制造商名称）</w:t>
      </w:r>
      <w:r>
        <w:rPr>
          <w:rFonts w:hint="eastAsia" w:ascii="宋体" w:hAnsi="宋体" w:cs="宋体"/>
          <w:kern w:val="0"/>
          <w:sz w:val="24"/>
        </w:rPr>
        <w:t>属于监狱企业并作为分包方，其提供协议合同金额占到分包意向协议合同总金额的比例为</w:t>
      </w:r>
      <w:r>
        <w:rPr>
          <w:rFonts w:hint="eastAsia" w:ascii="宋体" w:hAnsi="宋体" w:cs="宋体"/>
          <w:kern w:val="0"/>
          <w:sz w:val="24"/>
          <w:u w:val="single"/>
        </w:rPr>
        <w:t xml:space="preserve">       </w:t>
      </w:r>
      <w:r>
        <w:rPr>
          <w:rFonts w:hint="eastAsia" w:ascii="宋体" w:hAnsi="宋体" w:cs="宋体"/>
          <w:kern w:val="0"/>
          <w:sz w:val="24"/>
        </w:rPr>
        <w:t>。后附省级以上监狱管理局、戒毒管理局（含新疆生产建设兵团）出具的属于监狱企业的证明文件。</w:t>
      </w:r>
    </w:p>
    <w:p w14:paraId="2FE8159B">
      <w:pPr>
        <w:adjustRightInd w:val="0"/>
        <w:snapToGrid w:val="0"/>
        <w:rPr>
          <w:rFonts w:hint="eastAsia" w:ascii="宋体" w:hAnsi="宋体" w:cs="宋体"/>
          <w:kern w:val="0"/>
          <w:sz w:val="24"/>
        </w:rPr>
      </w:pPr>
      <w:r>
        <w:rPr>
          <w:rFonts w:hint="eastAsia" w:ascii="宋体" w:hAnsi="宋体" w:cs="宋体"/>
          <w:kern w:val="0"/>
          <w:sz w:val="24"/>
        </w:rPr>
        <w:t xml:space="preserve">    本单位对上述声明的真实性负责。如有虚假，将依法承担相应责任。</w:t>
      </w:r>
    </w:p>
    <w:p w14:paraId="7591BA9D">
      <w:pPr>
        <w:adjustRightInd w:val="0"/>
        <w:snapToGrid w:val="0"/>
        <w:rPr>
          <w:rFonts w:hint="eastAsia" w:ascii="宋体" w:hAnsi="宋体" w:cs="宋体"/>
          <w:kern w:val="0"/>
          <w:sz w:val="24"/>
        </w:rPr>
      </w:pPr>
    </w:p>
    <w:p w14:paraId="72B11B08">
      <w:pPr>
        <w:pStyle w:val="22"/>
        <w:rPr>
          <w:rFonts w:hint="eastAsia" w:ascii="宋体" w:hAnsi="宋体" w:cs="宋体"/>
          <w:sz w:val="24"/>
          <w:szCs w:val="24"/>
        </w:rPr>
      </w:pPr>
    </w:p>
    <w:p w14:paraId="0F6707CE">
      <w:pPr>
        <w:adjustRightInd w:val="0"/>
        <w:snapToGrid w:val="0"/>
        <w:rPr>
          <w:rFonts w:hint="eastAsia" w:ascii="宋体" w:hAnsi="宋体" w:cs="宋体"/>
          <w:kern w:val="0"/>
          <w:sz w:val="24"/>
        </w:rPr>
      </w:pPr>
    </w:p>
    <w:p w14:paraId="7EA33416">
      <w:pPr>
        <w:adjustRightInd w:val="0"/>
        <w:snapToGrid w:val="0"/>
        <w:ind w:firstLine="5301" w:firstLineChars="2200"/>
        <w:rPr>
          <w:rFonts w:hint="eastAsia" w:ascii="宋体" w:hAnsi="宋体" w:cs="宋体"/>
          <w:b/>
          <w:kern w:val="0"/>
          <w:sz w:val="24"/>
        </w:rPr>
      </w:pPr>
    </w:p>
    <w:p w14:paraId="5612306B">
      <w:pPr>
        <w:adjustRightInd w:val="0"/>
        <w:snapToGrid w:val="0"/>
        <w:ind w:firstLine="5280" w:firstLineChars="2200"/>
        <w:rPr>
          <w:rFonts w:hint="eastAsia" w:ascii="宋体" w:hAnsi="宋体" w:cs="宋体"/>
          <w:kern w:val="0"/>
          <w:sz w:val="24"/>
        </w:rPr>
      </w:pPr>
      <w:r>
        <w:rPr>
          <w:rFonts w:hint="eastAsia" w:ascii="宋体" w:hAnsi="宋体" w:cs="宋体"/>
          <w:kern w:val="0"/>
          <w:sz w:val="24"/>
        </w:rPr>
        <w:t>单位名称（盖章）：</w:t>
      </w:r>
    </w:p>
    <w:p w14:paraId="12D85F9A">
      <w:pPr>
        <w:adjustRightInd w:val="0"/>
        <w:snapToGrid w:val="0"/>
        <w:ind w:firstLine="5280" w:firstLineChars="2200"/>
        <w:rPr>
          <w:rFonts w:hint="eastAsia" w:ascii="宋体" w:hAnsi="宋体" w:cs="宋体"/>
          <w:kern w:val="0"/>
          <w:sz w:val="24"/>
        </w:rPr>
      </w:pPr>
      <w:r>
        <w:rPr>
          <w:rFonts w:hint="eastAsia" w:ascii="宋体" w:hAnsi="宋体" w:cs="宋体"/>
          <w:kern w:val="0"/>
          <w:sz w:val="24"/>
        </w:rPr>
        <w:t>日  期：</w:t>
      </w:r>
    </w:p>
    <w:p w14:paraId="11D84B8C">
      <w:pPr>
        <w:rPr>
          <w:rFonts w:hint="eastAsia" w:ascii="宋体" w:hAnsi="宋体" w:cs="宋体"/>
          <w:sz w:val="24"/>
        </w:rPr>
      </w:pPr>
      <w:r>
        <w:rPr>
          <w:rFonts w:hint="eastAsia" w:ascii="宋体" w:hAnsi="宋体" w:cs="宋体"/>
          <w:sz w:val="24"/>
        </w:rPr>
        <w:br w:type="page"/>
      </w:r>
    </w:p>
    <w:p w14:paraId="31D700F8">
      <w:pPr>
        <w:pStyle w:val="3"/>
        <w:numPr>
          <w:ilvl w:val="0"/>
          <w:numId w:val="0"/>
        </w:numPr>
        <w:spacing w:before="0" w:after="0" w:line="240" w:lineRule="auto"/>
        <w:ind w:left="2553"/>
        <w:jc w:val="left"/>
        <w:rPr>
          <w:rFonts w:hint="eastAsia" w:ascii="宋体" w:hAnsi="宋体" w:cs="宋体"/>
          <w:sz w:val="24"/>
          <w:szCs w:val="24"/>
        </w:rPr>
      </w:pPr>
      <w:bookmarkStart w:id="102" w:name="_Toc71631937"/>
      <w:bookmarkStart w:id="103" w:name="_Toc28543"/>
      <w:bookmarkStart w:id="104" w:name="_Toc19189"/>
      <w:bookmarkStart w:id="105" w:name="OLE_LINK13"/>
      <w:bookmarkStart w:id="106" w:name="OLE_LINK14"/>
      <w:r>
        <w:rPr>
          <w:rFonts w:hint="eastAsia" w:ascii="宋体" w:hAnsi="宋体" w:cs="宋体"/>
          <w:sz w:val="24"/>
          <w:szCs w:val="24"/>
        </w:rPr>
        <w:t>附件 残疾人福利性单位声明函</w:t>
      </w:r>
      <w:bookmarkEnd w:id="102"/>
      <w:r>
        <w:rPr>
          <w:rFonts w:hint="eastAsia" w:ascii="宋体" w:hAnsi="宋体" w:cs="宋体"/>
          <w:sz w:val="24"/>
          <w:szCs w:val="24"/>
        </w:rPr>
        <w:t>（如是）</w:t>
      </w:r>
      <w:bookmarkEnd w:id="103"/>
      <w:bookmarkEnd w:id="104"/>
    </w:p>
    <w:bookmarkEnd w:id="105"/>
    <w:bookmarkEnd w:id="106"/>
    <w:p w14:paraId="204CEC08">
      <w:pPr>
        <w:ind w:hanging="540"/>
        <w:jc w:val="center"/>
        <w:rPr>
          <w:rFonts w:hint="eastAsia" w:ascii="宋体" w:hAnsi="宋体" w:cs="宋体"/>
          <w:kern w:val="0"/>
          <w:sz w:val="24"/>
        </w:rPr>
      </w:pPr>
    </w:p>
    <w:p w14:paraId="4207C2C0">
      <w:pPr>
        <w:ind w:firstLine="567"/>
        <w:rPr>
          <w:rFonts w:hint="eastAsia" w:ascii="宋体" w:hAnsi="宋体" w:cs="宋体"/>
          <w:kern w:val="0"/>
          <w:sz w:val="24"/>
        </w:rPr>
      </w:pPr>
    </w:p>
    <w:p w14:paraId="3EC72368">
      <w:pPr>
        <w:ind w:firstLine="480" w:firstLineChars="200"/>
        <w:rPr>
          <w:rFonts w:hint="eastAsia"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A61695">
      <w:pPr>
        <w:ind w:firstLine="480" w:firstLineChars="200"/>
        <w:rPr>
          <w:rFonts w:hint="eastAsia" w:ascii="宋体" w:hAnsi="宋体" w:cs="宋体"/>
          <w:kern w:val="0"/>
          <w:sz w:val="24"/>
        </w:rPr>
      </w:pPr>
      <w:r>
        <w:rPr>
          <w:rFonts w:hint="eastAsia" w:ascii="宋体" w:hAnsi="宋体" w:cs="宋体"/>
          <w:kern w:val="0"/>
          <w:sz w:val="24"/>
        </w:rPr>
        <w:t>本单位对上述声明的真实性负责。如有虚假，将依法承担相应责任。</w:t>
      </w:r>
    </w:p>
    <w:p w14:paraId="16BD4F1D">
      <w:pPr>
        <w:ind w:firstLine="480" w:firstLineChars="200"/>
        <w:rPr>
          <w:rFonts w:hint="eastAsia" w:ascii="宋体" w:hAnsi="宋体" w:cs="宋体"/>
          <w:kern w:val="0"/>
          <w:sz w:val="24"/>
        </w:rPr>
      </w:pPr>
    </w:p>
    <w:p w14:paraId="7790BE1C">
      <w:pPr>
        <w:ind w:firstLine="504" w:firstLineChars="200"/>
        <w:rPr>
          <w:rFonts w:hint="eastAsia" w:ascii="宋体" w:hAnsi="宋体" w:cs="宋体"/>
          <w:spacing w:val="6"/>
          <w:sz w:val="24"/>
        </w:rPr>
      </w:pPr>
    </w:p>
    <w:p w14:paraId="06DA2951">
      <w:pPr>
        <w:ind w:firstLine="480" w:firstLineChars="200"/>
        <w:rPr>
          <w:rFonts w:hint="eastAsia" w:ascii="宋体" w:hAnsi="宋体" w:cs="宋体"/>
          <w:kern w:val="0"/>
          <w:sz w:val="24"/>
        </w:rPr>
      </w:pPr>
      <w:r>
        <w:rPr>
          <w:rFonts w:hint="eastAsia" w:ascii="宋体" w:hAnsi="宋体" w:cs="宋体"/>
          <w:kern w:val="0"/>
          <w:sz w:val="24"/>
        </w:rPr>
        <w:t xml:space="preserve">                                     单位名称（盖章）：</w:t>
      </w:r>
    </w:p>
    <w:p w14:paraId="7A6FC6B0">
      <w:pPr>
        <w:ind w:firstLine="480" w:firstLineChars="200"/>
        <w:rPr>
          <w:rFonts w:hint="eastAsia" w:ascii="宋体" w:hAnsi="宋体" w:cs="宋体"/>
          <w:kern w:val="0"/>
          <w:sz w:val="24"/>
        </w:rPr>
      </w:pPr>
      <w:r>
        <w:rPr>
          <w:rFonts w:hint="eastAsia" w:ascii="宋体" w:hAnsi="宋体" w:cs="宋体"/>
          <w:kern w:val="0"/>
          <w:sz w:val="24"/>
        </w:rPr>
        <w:t xml:space="preserve">                                     日  期：</w:t>
      </w:r>
    </w:p>
    <w:p w14:paraId="2D264BF8">
      <w:pPr>
        <w:ind w:left="1080" w:leftChars="257" w:hanging="540"/>
        <w:jc w:val="center"/>
        <w:rPr>
          <w:rFonts w:hint="eastAsia" w:ascii="宋体" w:hAnsi="宋体" w:cs="宋体"/>
          <w:b/>
          <w:kern w:val="0"/>
          <w:sz w:val="24"/>
        </w:rPr>
      </w:pPr>
    </w:p>
    <w:p w14:paraId="313D30A7">
      <w:pPr>
        <w:pStyle w:val="16"/>
        <w:spacing w:before="405" w:beforeAutospacing="0" w:after="0" w:afterAutospacing="0"/>
        <w:rPr>
          <w:rFonts w:hint="eastAsia"/>
          <w:b/>
          <w:bCs/>
        </w:rPr>
      </w:pPr>
      <w:bookmarkStart w:id="107" w:name="_Toc71631941"/>
      <w:r>
        <w:rPr>
          <w:rFonts w:hint="eastAsia"/>
        </w:rPr>
        <w:br w:type="page"/>
      </w:r>
      <w:r>
        <w:rPr>
          <w:rFonts w:hint="eastAsia"/>
          <w:b/>
          <w:bCs/>
        </w:rPr>
        <w:t>附件8保密承诺</w:t>
      </w:r>
    </w:p>
    <w:p w14:paraId="13803C0E">
      <w:pPr>
        <w:pStyle w:val="16"/>
        <w:spacing w:before="405" w:beforeAutospacing="0" w:after="0" w:afterAutospacing="0"/>
        <w:jc w:val="center"/>
        <w:rPr>
          <w:rFonts w:hint="eastAsia"/>
          <w:b/>
          <w:bCs/>
        </w:rPr>
      </w:pPr>
      <w:r>
        <w:rPr>
          <w:rFonts w:hint="eastAsia"/>
          <w:b/>
          <w:bCs/>
        </w:rPr>
        <w:t>保密承诺</w:t>
      </w:r>
    </w:p>
    <w:p w14:paraId="398CA035">
      <w:pPr>
        <w:pStyle w:val="16"/>
        <w:spacing w:before="405" w:beforeAutospacing="0" w:after="0" w:afterAutospacing="0"/>
        <w:jc w:val="center"/>
        <w:rPr>
          <w:rFonts w:hint="eastAsia"/>
          <w:b/>
          <w:bCs/>
        </w:rPr>
      </w:pPr>
    </w:p>
    <w:p w14:paraId="62EAD0CB">
      <w:pPr>
        <w:pStyle w:val="16"/>
        <w:numPr>
          <w:ilvl w:val="0"/>
          <w:numId w:val="13"/>
        </w:numPr>
        <w:spacing w:before="0" w:beforeAutospacing="0" w:after="0" w:afterAutospacing="0"/>
        <w:ind w:firstLine="480" w:firstLineChars="200"/>
        <w:rPr>
          <w:rFonts w:hint="eastAsia"/>
          <w:color w:val="222222"/>
          <w:shd w:val="clear" w:color="auto" w:fill="FFFFFF"/>
        </w:rPr>
      </w:pPr>
      <w:r>
        <w:rPr>
          <w:rFonts w:hint="eastAsia"/>
          <w:color w:val="222222"/>
          <w:shd w:val="clear" w:color="auto" w:fill="FFFFFF"/>
        </w:rPr>
        <w:t>认真遵守保密条令条例和规章制度，不提供虚假信息，自愿接受审查，履行保密义务。</w:t>
      </w:r>
    </w:p>
    <w:p w14:paraId="6558D6C8">
      <w:pPr>
        <w:pStyle w:val="16"/>
        <w:spacing w:before="0" w:beforeAutospacing="0" w:after="0" w:afterAutospacing="0"/>
        <w:ind w:firstLine="480" w:firstLineChars="200"/>
        <w:rPr>
          <w:rFonts w:hint="eastAsia"/>
          <w:color w:val="222222"/>
        </w:rPr>
      </w:pPr>
      <w:r>
        <w:rPr>
          <w:rFonts w:hint="eastAsia"/>
          <w:color w:val="222222"/>
          <w:shd w:val="clear" w:color="auto" w:fill="FFFFFF"/>
        </w:rPr>
        <w:t>二、学习掌握《保密条例》，强化守纪意识，增强反渗透、反心战、反策反、反窃取的本领</w:t>
      </w:r>
    </w:p>
    <w:p w14:paraId="1C34AB19">
      <w:pPr>
        <w:pStyle w:val="16"/>
        <w:spacing w:before="0" w:beforeAutospacing="0" w:after="0" w:afterAutospacing="0"/>
        <w:ind w:firstLine="480" w:firstLineChars="200"/>
        <w:rPr>
          <w:rFonts w:hint="eastAsia"/>
          <w:color w:val="222222"/>
        </w:rPr>
      </w:pPr>
      <w:r>
        <w:rPr>
          <w:rFonts w:hint="eastAsia"/>
          <w:color w:val="222222"/>
          <w:shd w:val="clear" w:color="auto" w:fill="FFFFFF"/>
        </w:rPr>
        <w:t>三、不违反纪律存储、复制秘密信息，不违规使用和留存办公u盘、移动硬盘等秘密载体，不将手机、私人移动存储器、计算机等带入重要涉密场所。</w:t>
      </w:r>
    </w:p>
    <w:p w14:paraId="2B949BE6">
      <w:pPr>
        <w:pStyle w:val="16"/>
        <w:spacing w:before="0" w:beforeAutospacing="0" w:after="0" w:afterAutospacing="0"/>
        <w:ind w:firstLine="480" w:firstLineChars="200"/>
        <w:rPr>
          <w:rFonts w:hint="eastAsia"/>
          <w:color w:val="222222"/>
        </w:rPr>
      </w:pPr>
      <w:r>
        <w:rPr>
          <w:rFonts w:hint="eastAsia"/>
          <w:color w:val="222222"/>
          <w:shd w:val="clear" w:color="auto" w:fill="FFFFFF"/>
        </w:rPr>
        <w:t>四、不以任何方式泄露所接触和知晓的秘密，在执行重要任务时绝不携带和使用普通手机等非保密通信工具。</w:t>
      </w:r>
    </w:p>
    <w:p w14:paraId="7F2D9AC5">
      <w:pPr>
        <w:pStyle w:val="16"/>
        <w:spacing w:before="0" w:beforeAutospacing="0" w:after="0" w:afterAutospacing="0"/>
        <w:ind w:firstLine="480" w:firstLineChars="200"/>
        <w:rPr>
          <w:rFonts w:hint="eastAsia"/>
          <w:color w:val="222222"/>
        </w:rPr>
      </w:pPr>
      <w:r>
        <w:rPr>
          <w:rFonts w:hint="eastAsia"/>
          <w:color w:val="222222"/>
          <w:shd w:val="clear" w:color="auto" w:fill="FFFFFF"/>
        </w:rPr>
        <w:t>五、未经单位批准，不擅自使用手机、移移动存储器等载体，不违规使用计算机、笔记本、手机等工具连接互联网。不在电话、短信、信件等通信时谈论、传递涉密信息。</w:t>
      </w:r>
    </w:p>
    <w:p w14:paraId="13977E11">
      <w:pPr>
        <w:pStyle w:val="16"/>
        <w:spacing w:before="0" w:beforeAutospacing="0" w:after="0" w:afterAutospacing="0"/>
        <w:ind w:firstLine="480" w:firstLineChars="200"/>
        <w:rPr>
          <w:rFonts w:hint="eastAsia"/>
          <w:color w:val="222222"/>
          <w:shd w:val="clear" w:color="auto" w:fill="FFFFFF"/>
        </w:rPr>
      </w:pPr>
      <w:r>
        <w:rPr>
          <w:rFonts w:hint="eastAsia"/>
          <w:color w:val="222222"/>
          <w:shd w:val="clear" w:color="auto" w:fill="FFFFFF"/>
        </w:rPr>
        <w:t>六、不使用任何录音、摄像工具未经允许在公务活动中录音、摄像。不在涉密场所非公使用具有实时视频通信功能的通信工具。</w:t>
      </w:r>
    </w:p>
    <w:p w14:paraId="35CC0773">
      <w:pPr>
        <w:pStyle w:val="16"/>
        <w:spacing w:before="0" w:beforeAutospacing="0" w:after="0" w:afterAutospacing="0"/>
        <w:ind w:firstLine="480" w:firstLineChars="200"/>
        <w:rPr>
          <w:rFonts w:hint="eastAsia"/>
          <w:color w:val="222222"/>
          <w:shd w:val="clear" w:color="auto" w:fill="FFFFFF"/>
        </w:rPr>
      </w:pPr>
      <w:r>
        <w:rPr>
          <w:rFonts w:hint="eastAsia"/>
          <w:color w:val="222222"/>
          <w:shd w:val="clear" w:color="auto" w:fill="FFFFFF"/>
        </w:rPr>
        <w:t>七、如发现违反国家安全和泄露项目秘密的行为，主动及时向本单位领导、保密部门报告。</w:t>
      </w:r>
    </w:p>
    <w:p w14:paraId="6F46A63C">
      <w:pPr>
        <w:pStyle w:val="16"/>
        <w:spacing w:before="0" w:beforeAutospacing="0" w:after="0" w:afterAutospacing="0"/>
        <w:ind w:firstLine="480" w:firstLineChars="200"/>
        <w:rPr>
          <w:rFonts w:hint="eastAsia"/>
          <w:color w:val="222222"/>
          <w:shd w:val="clear" w:color="auto" w:fill="FFFFFF"/>
        </w:rPr>
      </w:pPr>
      <w:r>
        <w:rPr>
          <w:rFonts w:hint="eastAsia"/>
          <w:color w:val="222222"/>
          <w:shd w:val="clear" w:color="auto" w:fill="FFFFFF"/>
        </w:rPr>
        <w:t>八、结束此次工作时，自愿删除所有与本次项目相关的文件，图片，视频等。</w:t>
      </w:r>
    </w:p>
    <w:p w14:paraId="04643560">
      <w:pPr>
        <w:pStyle w:val="16"/>
        <w:spacing w:before="0" w:beforeAutospacing="0" w:after="0" w:afterAutospacing="0"/>
        <w:ind w:firstLine="480" w:firstLineChars="200"/>
        <w:rPr>
          <w:rFonts w:hint="eastAsia"/>
          <w:color w:val="222222"/>
          <w:shd w:val="clear" w:color="auto" w:fill="FFFFFF"/>
        </w:rPr>
      </w:pPr>
    </w:p>
    <w:p w14:paraId="136054CE">
      <w:pPr>
        <w:pStyle w:val="16"/>
        <w:spacing w:before="0" w:beforeAutospacing="0" w:after="0" w:afterAutospacing="0"/>
        <w:ind w:firstLine="480" w:firstLineChars="200"/>
        <w:rPr>
          <w:rFonts w:hint="eastAsia"/>
          <w:color w:val="222222"/>
          <w:shd w:val="clear" w:color="auto" w:fill="FFFFFF"/>
        </w:rPr>
      </w:pPr>
      <w:r>
        <w:rPr>
          <w:rFonts w:hint="eastAsia"/>
          <w:color w:val="222222"/>
          <w:shd w:val="clear" w:color="auto" w:fill="FFFFFF"/>
        </w:rPr>
        <w:t>违反上述承诺，自愿接受相关部门惩处，承担一切责任和法律后果。</w:t>
      </w:r>
    </w:p>
    <w:p w14:paraId="71A22DC3">
      <w:pPr>
        <w:pStyle w:val="16"/>
        <w:spacing w:before="45" w:beforeAutospacing="0" w:after="0" w:afterAutospacing="0"/>
        <w:jc w:val="center"/>
        <w:rPr>
          <w:rFonts w:hint="eastAsia"/>
          <w:color w:val="222222"/>
          <w:shd w:val="clear" w:color="auto" w:fill="FFFFFF"/>
        </w:rPr>
      </w:pPr>
      <w:r>
        <w:rPr>
          <w:rFonts w:hint="eastAsia"/>
          <w:color w:val="222222"/>
          <w:shd w:val="clear" w:color="auto" w:fill="FFFFFF"/>
        </w:rPr>
        <w:t xml:space="preserve">            </w:t>
      </w:r>
    </w:p>
    <w:p w14:paraId="75C28441">
      <w:pPr>
        <w:pStyle w:val="16"/>
        <w:spacing w:before="45" w:beforeAutospacing="0" w:after="0" w:afterAutospacing="0"/>
        <w:jc w:val="center"/>
        <w:rPr>
          <w:rFonts w:hint="eastAsia"/>
          <w:color w:val="222222"/>
          <w:shd w:val="clear" w:color="auto" w:fill="FFFFFF"/>
        </w:rPr>
      </w:pPr>
      <w:r>
        <w:rPr>
          <w:rFonts w:hint="eastAsia"/>
          <w:color w:val="222222"/>
          <w:shd w:val="clear" w:color="auto" w:fill="FFFFFF"/>
        </w:rPr>
        <w:t xml:space="preserve"> 承诺人代表其单位：</w:t>
      </w:r>
    </w:p>
    <w:p w14:paraId="4258998A">
      <w:pPr>
        <w:pStyle w:val="16"/>
        <w:spacing w:before="45" w:beforeAutospacing="0" w:after="0" w:afterAutospacing="0"/>
        <w:jc w:val="center"/>
        <w:rPr>
          <w:rFonts w:hint="eastAsia"/>
          <w:color w:val="222222"/>
        </w:rPr>
      </w:pPr>
      <w:r>
        <w:rPr>
          <w:rFonts w:hint="eastAsia"/>
          <w:color w:val="222222"/>
          <w:shd w:val="clear" w:color="auto" w:fill="FFFFFF"/>
        </w:rPr>
        <w:t xml:space="preserve"> 签字：</w:t>
      </w:r>
    </w:p>
    <w:p w14:paraId="5C071A93">
      <w:pPr>
        <w:pStyle w:val="16"/>
        <w:spacing w:before="45" w:beforeAutospacing="0" w:after="0" w:afterAutospacing="0"/>
        <w:jc w:val="right"/>
        <w:rPr>
          <w:rFonts w:hint="eastAsia"/>
          <w:color w:val="222222"/>
        </w:rPr>
      </w:pPr>
      <w:r>
        <w:rPr>
          <w:rFonts w:hint="eastAsia"/>
          <w:color w:val="222222"/>
          <w:shd w:val="clear" w:color="auto" w:fill="FFFFFF"/>
        </w:rPr>
        <w:t>年     月    日</w:t>
      </w:r>
    </w:p>
    <w:p w14:paraId="17935245">
      <w:pPr>
        <w:rPr>
          <w:rFonts w:hint="eastAsia" w:ascii="宋体" w:hAnsi="宋体" w:cs="宋体"/>
          <w:b/>
          <w:sz w:val="24"/>
        </w:rPr>
      </w:pPr>
    </w:p>
    <w:p w14:paraId="09C7E4E1">
      <w:pPr>
        <w:pStyle w:val="87"/>
        <w:adjustRightInd w:val="0"/>
        <w:snapToGrid w:val="0"/>
        <w:spacing w:before="0" w:after="0"/>
        <w:jc w:val="center"/>
        <w:outlineLvl w:val="0"/>
        <w:rPr>
          <w:rFonts w:hint="eastAsia" w:ascii="宋体" w:hAnsi="宋体" w:cs="宋体"/>
          <w:b/>
          <w:bCs w:val="0"/>
          <w:sz w:val="24"/>
          <w:szCs w:val="24"/>
        </w:rPr>
      </w:pPr>
      <w:bookmarkStart w:id="108" w:name="_Toc2602"/>
      <w:bookmarkStart w:id="109" w:name="_Toc29840"/>
      <w:r>
        <w:rPr>
          <w:rFonts w:hint="eastAsia" w:ascii="宋体" w:hAnsi="宋体" w:cs="宋体"/>
          <w:b/>
          <w:bCs w:val="0"/>
          <w:sz w:val="24"/>
          <w:szCs w:val="24"/>
        </w:rPr>
        <w:br w:type="page"/>
      </w:r>
      <w:r>
        <w:rPr>
          <w:rFonts w:hint="eastAsia" w:ascii="宋体" w:hAnsi="宋体" w:cs="宋体"/>
          <w:b/>
          <w:bCs w:val="0"/>
          <w:sz w:val="24"/>
          <w:szCs w:val="24"/>
        </w:rPr>
        <w:t>附件9 投标文件还应包括的技术文件</w:t>
      </w:r>
      <w:bookmarkEnd w:id="107"/>
      <w:bookmarkEnd w:id="108"/>
      <w:bookmarkEnd w:id="109"/>
    </w:p>
    <w:p w14:paraId="54A44DF9">
      <w:pPr>
        <w:pStyle w:val="87"/>
        <w:adjustRightInd w:val="0"/>
        <w:snapToGrid w:val="0"/>
        <w:spacing w:before="0" w:after="0"/>
        <w:rPr>
          <w:rFonts w:hint="eastAsia" w:ascii="宋体" w:hAnsi="宋体" w:cs="宋体"/>
          <w:sz w:val="24"/>
          <w:szCs w:val="24"/>
        </w:rPr>
      </w:pPr>
    </w:p>
    <w:p w14:paraId="3E50392D">
      <w:pPr>
        <w:pStyle w:val="87"/>
        <w:adjustRightInd w:val="0"/>
        <w:snapToGrid w:val="0"/>
        <w:spacing w:before="0" w:after="0"/>
        <w:rPr>
          <w:rFonts w:hint="eastAsia" w:ascii="宋体" w:hAnsi="宋体" w:cs="宋体"/>
          <w:sz w:val="24"/>
          <w:szCs w:val="24"/>
        </w:rPr>
      </w:pPr>
      <w:r>
        <w:rPr>
          <w:rFonts w:hint="eastAsia" w:ascii="宋体" w:hAnsi="宋体" w:cs="宋体"/>
          <w:sz w:val="24"/>
          <w:szCs w:val="24"/>
        </w:rPr>
        <w:t>投标人应根据招标文件第三章评标办法、第五章技术（质量标准）参数及说明的规定自行编写，详细叙述拟提供产品/服务情况。</w:t>
      </w:r>
    </w:p>
    <w:p w14:paraId="26AE4685">
      <w:pPr>
        <w:pStyle w:val="87"/>
        <w:adjustRightInd w:val="0"/>
        <w:snapToGrid w:val="0"/>
        <w:spacing w:before="0" w:after="0"/>
        <w:rPr>
          <w:rFonts w:hint="eastAsia" w:ascii="宋体" w:hAnsi="宋体" w:cs="宋体"/>
          <w:sz w:val="24"/>
          <w:szCs w:val="24"/>
        </w:rPr>
      </w:pPr>
    </w:p>
    <w:sectPr>
      <w:type w:val="nextColumn"/>
      <w:pgSz w:w="11850" w:h="16783"/>
      <w:pgMar w:top="1440" w:right="1440" w:bottom="1440" w:left="1440" w:header="720" w:footer="720" w:gutter="0"/>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8863D9D3-229D-4087-919C-C58645640C09}"/>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4BE79">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B17C8">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966E8">
                          <w:pPr>
                            <w:pStyle w:val="22"/>
                          </w:pPr>
                          <w:r>
                            <w:fldChar w:fldCharType="begin"/>
                          </w:r>
                          <w:r>
                            <w:instrText xml:space="preserve"> PAGE  \* MERGEFORMAT </w:instrText>
                          </w:r>
                          <w:r>
                            <w:fldChar w:fldCharType="separate"/>
                          </w:r>
                          <w:r>
                            <w:t>37</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mlM8jXAQAAsgMAAA4AAAAAAAAAAQAgAAAA&#10;HgEAAGRycy9lMm9Eb2MueG1sUEsFBgAAAAAGAAYAWQEAAGcFAAAAAA==&#10;">
              <v:fill on="f" focussize="0,0"/>
              <v:stroke on="f"/>
              <v:imagedata o:title=""/>
              <o:lock v:ext="edit" aspectratio="f"/>
              <v:textbox inset="0mm,0mm,0mm,0mm" style="mso-fit-shape-to-text:t;">
                <w:txbxContent>
                  <w:p w14:paraId="4A2966E8">
                    <w:pPr>
                      <w:pStyle w:val="2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624C">
    <w:pPr>
      <w:pStyle w:val="2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110EF"/>
    <w:multiLevelType w:val="singleLevel"/>
    <w:tmpl w:val="8FB110EF"/>
    <w:lvl w:ilvl="0" w:tentative="0">
      <w:start w:val="1"/>
      <w:numFmt w:val="chineseCounting"/>
      <w:suff w:val="nothing"/>
      <w:lvlText w:val="%1、"/>
      <w:lvlJc w:val="left"/>
      <w:rPr>
        <w:rFonts w:hint="eastAsia"/>
      </w:rPr>
    </w:lvl>
  </w:abstractNum>
  <w:abstractNum w:abstractNumId="1">
    <w:nsid w:val="CA887231"/>
    <w:multiLevelType w:val="singleLevel"/>
    <w:tmpl w:val="CA887231"/>
    <w:lvl w:ilvl="0" w:tentative="0">
      <w:start w:val="1"/>
      <w:numFmt w:val="decimal"/>
      <w:lvlText w:val="%1."/>
      <w:lvlJc w:val="left"/>
      <w:pPr>
        <w:tabs>
          <w:tab w:val="left" w:pos="312"/>
        </w:tabs>
      </w:pPr>
    </w:lvl>
  </w:abstractNum>
  <w:abstractNum w:abstractNumId="2">
    <w:nsid w:val="F9C62BCD"/>
    <w:multiLevelType w:val="singleLevel"/>
    <w:tmpl w:val="F9C62BCD"/>
    <w:lvl w:ilvl="0" w:tentative="0">
      <w:start w:val="2"/>
      <w:numFmt w:val="decimal"/>
      <w:suff w:val="nothing"/>
      <w:lvlText w:val="（%1）"/>
      <w:lvlJc w:val="left"/>
    </w:lvl>
  </w:abstractNum>
  <w:abstractNum w:abstractNumId="3">
    <w:nsid w:val="FF4A2B81"/>
    <w:multiLevelType w:val="singleLevel"/>
    <w:tmpl w:val="FF4A2B81"/>
    <w:lvl w:ilvl="0" w:tentative="0">
      <w:start w:val="1"/>
      <w:numFmt w:val="decimal"/>
      <w:lvlText w:val="%1."/>
      <w:lvlJc w:val="left"/>
      <w:pPr>
        <w:tabs>
          <w:tab w:val="left" w:pos="312"/>
        </w:tabs>
      </w:pPr>
    </w:lvl>
  </w:abstractNum>
  <w:abstractNum w:abstractNumId="4">
    <w:nsid w:val="00000002"/>
    <w:multiLevelType w:val="multilevel"/>
    <w:tmpl w:val="00000002"/>
    <w:lvl w:ilvl="0" w:tentative="0">
      <w:start w:val="1"/>
      <w:numFmt w:val="decimal"/>
      <w:pStyle w:val="4"/>
      <w:lvlText w:val="%1."/>
      <w:lvlJc w:val="left"/>
      <w:pPr>
        <w:tabs>
          <w:tab w:val="left" w:pos="425"/>
        </w:tabs>
        <w:ind w:left="425" w:hanging="425"/>
      </w:pPr>
      <w:rPr>
        <w:rFonts w:hint="eastAsia"/>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5">
    <w:nsid w:val="00000003"/>
    <w:multiLevelType w:val="multilevel"/>
    <w:tmpl w:val="00000003"/>
    <w:lvl w:ilvl="0" w:tentative="0">
      <w:start w:val="5"/>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pStyle w:val="64"/>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00000004"/>
    <w:multiLevelType w:val="multilevel"/>
    <w:tmpl w:val="00000004"/>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2553"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00000005"/>
    <w:multiLevelType w:val="singleLevel"/>
    <w:tmpl w:val="00000005"/>
    <w:lvl w:ilvl="0" w:tentative="0">
      <w:start w:val="1"/>
      <w:numFmt w:val="decimal"/>
      <w:pStyle w:val="5"/>
      <w:lvlText w:val="%1."/>
      <w:lvlJc w:val="left"/>
      <w:pPr>
        <w:tabs>
          <w:tab w:val="left" w:pos="425"/>
        </w:tabs>
        <w:ind w:left="425" w:hanging="425"/>
      </w:pPr>
      <w:rPr>
        <w:rFonts w:hint="eastAsia"/>
      </w:rPr>
    </w:lvl>
  </w:abstractNum>
  <w:abstractNum w:abstractNumId="8">
    <w:nsid w:val="0234BA71"/>
    <w:multiLevelType w:val="singleLevel"/>
    <w:tmpl w:val="0234BA71"/>
    <w:lvl w:ilvl="0" w:tentative="0">
      <w:start w:val="2"/>
      <w:numFmt w:val="chineseCounting"/>
      <w:suff w:val="nothing"/>
      <w:lvlText w:val="%1、"/>
      <w:lvlJc w:val="left"/>
      <w:rPr>
        <w:rFonts w:hint="eastAsia"/>
      </w:rPr>
    </w:lvl>
  </w:abstractNum>
  <w:abstractNum w:abstractNumId="9">
    <w:nsid w:val="2AB23E7E"/>
    <w:multiLevelType w:val="singleLevel"/>
    <w:tmpl w:val="2AB23E7E"/>
    <w:lvl w:ilvl="0" w:tentative="0">
      <w:start w:val="1"/>
      <w:numFmt w:val="decimal"/>
      <w:lvlText w:val="%1."/>
      <w:lvlJc w:val="left"/>
      <w:pPr>
        <w:tabs>
          <w:tab w:val="left" w:pos="312"/>
        </w:tabs>
      </w:pPr>
    </w:lvl>
  </w:abstractNum>
  <w:abstractNum w:abstractNumId="10">
    <w:nsid w:val="42F87EC7"/>
    <w:multiLevelType w:val="singleLevel"/>
    <w:tmpl w:val="42F87EC7"/>
    <w:lvl w:ilvl="0" w:tentative="0">
      <w:start w:val="1"/>
      <w:numFmt w:val="decimal"/>
      <w:lvlText w:val="(%1)"/>
      <w:lvlJc w:val="left"/>
      <w:pPr>
        <w:tabs>
          <w:tab w:val="left" w:pos="312"/>
        </w:tabs>
      </w:pPr>
    </w:lvl>
  </w:abstractNum>
  <w:abstractNum w:abstractNumId="11">
    <w:nsid w:val="54C14D9C"/>
    <w:multiLevelType w:val="singleLevel"/>
    <w:tmpl w:val="54C14D9C"/>
    <w:lvl w:ilvl="0" w:tentative="0">
      <w:start w:val="1"/>
      <w:numFmt w:val="decimal"/>
      <w:suff w:val="nothing"/>
      <w:lvlText w:val="（%1）"/>
      <w:lvlJc w:val="left"/>
    </w:lvl>
  </w:abstractNum>
  <w:abstractNum w:abstractNumId="12">
    <w:nsid w:val="77F0BF2C"/>
    <w:multiLevelType w:val="singleLevel"/>
    <w:tmpl w:val="77F0BF2C"/>
    <w:lvl w:ilvl="0" w:tentative="0">
      <w:start w:val="1"/>
      <w:numFmt w:val="decimal"/>
      <w:lvlText w:val="%1."/>
      <w:lvlJc w:val="left"/>
      <w:pPr>
        <w:tabs>
          <w:tab w:val="left" w:pos="312"/>
        </w:tabs>
      </w:pPr>
    </w:lvl>
  </w:abstractNum>
  <w:num w:numId="1">
    <w:abstractNumId w:val="6"/>
  </w:num>
  <w:num w:numId="2">
    <w:abstractNumId w:val="4"/>
  </w:num>
  <w:num w:numId="3">
    <w:abstractNumId w:val="7"/>
  </w:num>
  <w:num w:numId="4">
    <w:abstractNumId w:val="5"/>
  </w:num>
  <w:num w:numId="5">
    <w:abstractNumId w:val="10"/>
  </w:num>
  <w:num w:numId="6">
    <w:abstractNumId w:val="12"/>
  </w:num>
  <w:num w:numId="7">
    <w:abstractNumId w:val="11"/>
  </w:num>
  <w:num w:numId="8">
    <w:abstractNumId w:val="2"/>
  </w:num>
  <w:num w:numId="9">
    <w:abstractNumId w:val="9"/>
  </w:num>
  <w:num w:numId="10">
    <w:abstractNumId w:val="1"/>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2YzNjNjc4NWQ0N2RjMjlhOGUyMjY1MWZiZDVhM2MifQ=="/>
  </w:docVars>
  <w:rsids>
    <w:rsidRoot w:val="00172A27"/>
    <w:rsid w:val="000000E5"/>
    <w:rsid w:val="0000193E"/>
    <w:rsid w:val="00002E2D"/>
    <w:rsid w:val="00003416"/>
    <w:rsid w:val="00006BBC"/>
    <w:rsid w:val="0001055D"/>
    <w:rsid w:val="000110AB"/>
    <w:rsid w:val="00011A7D"/>
    <w:rsid w:val="000148C8"/>
    <w:rsid w:val="00016347"/>
    <w:rsid w:val="000177C1"/>
    <w:rsid w:val="000218D3"/>
    <w:rsid w:val="0002464D"/>
    <w:rsid w:val="0002508F"/>
    <w:rsid w:val="00025713"/>
    <w:rsid w:val="00025759"/>
    <w:rsid w:val="00025C19"/>
    <w:rsid w:val="000266DC"/>
    <w:rsid w:val="00027D57"/>
    <w:rsid w:val="00032828"/>
    <w:rsid w:val="00032954"/>
    <w:rsid w:val="00034B9A"/>
    <w:rsid w:val="00042978"/>
    <w:rsid w:val="00042F25"/>
    <w:rsid w:val="0004328F"/>
    <w:rsid w:val="0004351E"/>
    <w:rsid w:val="0004553B"/>
    <w:rsid w:val="000506B7"/>
    <w:rsid w:val="00051438"/>
    <w:rsid w:val="00051E84"/>
    <w:rsid w:val="0005205C"/>
    <w:rsid w:val="00053279"/>
    <w:rsid w:val="00053ABA"/>
    <w:rsid w:val="000544A0"/>
    <w:rsid w:val="0006083C"/>
    <w:rsid w:val="00060D27"/>
    <w:rsid w:val="00061230"/>
    <w:rsid w:val="00062E2A"/>
    <w:rsid w:val="00063748"/>
    <w:rsid w:val="00063DE5"/>
    <w:rsid w:val="00064D25"/>
    <w:rsid w:val="00065C55"/>
    <w:rsid w:val="000660AD"/>
    <w:rsid w:val="000702FA"/>
    <w:rsid w:val="0007038F"/>
    <w:rsid w:val="00070A36"/>
    <w:rsid w:val="00071B74"/>
    <w:rsid w:val="00072915"/>
    <w:rsid w:val="00074339"/>
    <w:rsid w:val="00075688"/>
    <w:rsid w:val="00076250"/>
    <w:rsid w:val="00076442"/>
    <w:rsid w:val="000773AA"/>
    <w:rsid w:val="00077F9C"/>
    <w:rsid w:val="00080F98"/>
    <w:rsid w:val="0008223F"/>
    <w:rsid w:val="0008287A"/>
    <w:rsid w:val="00083FB0"/>
    <w:rsid w:val="00084184"/>
    <w:rsid w:val="00084534"/>
    <w:rsid w:val="00084A8F"/>
    <w:rsid w:val="00084FEC"/>
    <w:rsid w:val="0008516E"/>
    <w:rsid w:val="00086771"/>
    <w:rsid w:val="00086DAE"/>
    <w:rsid w:val="00091D7F"/>
    <w:rsid w:val="00092FAC"/>
    <w:rsid w:val="000935FA"/>
    <w:rsid w:val="0009435F"/>
    <w:rsid w:val="0009681D"/>
    <w:rsid w:val="00097138"/>
    <w:rsid w:val="000A020C"/>
    <w:rsid w:val="000A03F1"/>
    <w:rsid w:val="000A0CFE"/>
    <w:rsid w:val="000A0D48"/>
    <w:rsid w:val="000A1742"/>
    <w:rsid w:val="000A199A"/>
    <w:rsid w:val="000A4F9E"/>
    <w:rsid w:val="000A5C34"/>
    <w:rsid w:val="000A6F2A"/>
    <w:rsid w:val="000B081D"/>
    <w:rsid w:val="000B3BB8"/>
    <w:rsid w:val="000B3C97"/>
    <w:rsid w:val="000B7353"/>
    <w:rsid w:val="000B7E1D"/>
    <w:rsid w:val="000C1946"/>
    <w:rsid w:val="000C4F3C"/>
    <w:rsid w:val="000C4FF5"/>
    <w:rsid w:val="000C57AC"/>
    <w:rsid w:val="000C68AA"/>
    <w:rsid w:val="000D0FA5"/>
    <w:rsid w:val="000D11BD"/>
    <w:rsid w:val="000D124A"/>
    <w:rsid w:val="000D2B98"/>
    <w:rsid w:val="000D34A1"/>
    <w:rsid w:val="000D473D"/>
    <w:rsid w:val="000D58BC"/>
    <w:rsid w:val="000E055A"/>
    <w:rsid w:val="000E1C58"/>
    <w:rsid w:val="000E1E13"/>
    <w:rsid w:val="000E2720"/>
    <w:rsid w:val="000E41FE"/>
    <w:rsid w:val="000E5885"/>
    <w:rsid w:val="000E7FF7"/>
    <w:rsid w:val="000F07D9"/>
    <w:rsid w:val="000F1737"/>
    <w:rsid w:val="000F2C45"/>
    <w:rsid w:val="000F2FFD"/>
    <w:rsid w:val="000F36E2"/>
    <w:rsid w:val="000F5A5D"/>
    <w:rsid w:val="000F5E5D"/>
    <w:rsid w:val="000F7FE0"/>
    <w:rsid w:val="0010069A"/>
    <w:rsid w:val="0010341D"/>
    <w:rsid w:val="00107482"/>
    <w:rsid w:val="0011008A"/>
    <w:rsid w:val="0011039C"/>
    <w:rsid w:val="00110B27"/>
    <w:rsid w:val="00110E66"/>
    <w:rsid w:val="00112152"/>
    <w:rsid w:val="001127C1"/>
    <w:rsid w:val="00113F10"/>
    <w:rsid w:val="00114E55"/>
    <w:rsid w:val="00114ECC"/>
    <w:rsid w:val="00116E7B"/>
    <w:rsid w:val="00120428"/>
    <w:rsid w:val="00120F2A"/>
    <w:rsid w:val="0012176D"/>
    <w:rsid w:val="0012631E"/>
    <w:rsid w:val="0012703F"/>
    <w:rsid w:val="00127BBD"/>
    <w:rsid w:val="001326DA"/>
    <w:rsid w:val="00133763"/>
    <w:rsid w:val="001345AB"/>
    <w:rsid w:val="00137680"/>
    <w:rsid w:val="00137BCE"/>
    <w:rsid w:val="00140B84"/>
    <w:rsid w:val="00140F1B"/>
    <w:rsid w:val="001441DB"/>
    <w:rsid w:val="00144F79"/>
    <w:rsid w:val="001452E7"/>
    <w:rsid w:val="001467C8"/>
    <w:rsid w:val="00146E94"/>
    <w:rsid w:val="00150B79"/>
    <w:rsid w:val="00152283"/>
    <w:rsid w:val="0015304C"/>
    <w:rsid w:val="001547CE"/>
    <w:rsid w:val="00154FA0"/>
    <w:rsid w:val="00155A0F"/>
    <w:rsid w:val="00156B9D"/>
    <w:rsid w:val="00157B91"/>
    <w:rsid w:val="00160741"/>
    <w:rsid w:val="00160A0B"/>
    <w:rsid w:val="00162446"/>
    <w:rsid w:val="00165572"/>
    <w:rsid w:val="001655E9"/>
    <w:rsid w:val="0016610B"/>
    <w:rsid w:val="00166EF0"/>
    <w:rsid w:val="00167983"/>
    <w:rsid w:val="00171585"/>
    <w:rsid w:val="001728F4"/>
    <w:rsid w:val="00172A27"/>
    <w:rsid w:val="001740FC"/>
    <w:rsid w:val="0017459D"/>
    <w:rsid w:val="001757AA"/>
    <w:rsid w:val="00176A77"/>
    <w:rsid w:val="001807B8"/>
    <w:rsid w:val="00181279"/>
    <w:rsid w:val="001816C8"/>
    <w:rsid w:val="0018274C"/>
    <w:rsid w:val="0018396C"/>
    <w:rsid w:val="001839F1"/>
    <w:rsid w:val="00183E29"/>
    <w:rsid w:val="001842A1"/>
    <w:rsid w:val="00184706"/>
    <w:rsid w:val="00184C23"/>
    <w:rsid w:val="0018505B"/>
    <w:rsid w:val="00186563"/>
    <w:rsid w:val="001901F9"/>
    <w:rsid w:val="00190589"/>
    <w:rsid w:val="00191198"/>
    <w:rsid w:val="00193F19"/>
    <w:rsid w:val="00193FF0"/>
    <w:rsid w:val="001947EB"/>
    <w:rsid w:val="0019527A"/>
    <w:rsid w:val="00195775"/>
    <w:rsid w:val="00195E09"/>
    <w:rsid w:val="00196856"/>
    <w:rsid w:val="001A1F58"/>
    <w:rsid w:val="001A3CFD"/>
    <w:rsid w:val="001A49C9"/>
    <w:rsid w:val="001A52D3"/>
    <w:rsid w:val="001A687B"/>
    <w:rsid w:val="001A6C4E"/>
    <w:rsid w:val="001A7E21"/>
    <w:rsid w:val="001B23D4"/>
    <w:rsid w:val="001B3FF3"/>
    <w:rsid w:val="001B5113"/>
    <w:rsid w:val="001B5A55"/>
    <w:rsid w:val="001B666C"/>
    <w:rsid w:val="001B74CE"/>
    <w:rsid w:val="001C0348"/>
    <w:rsid w:val="001C0B20"/>
    <w:rsid w:val="001C0D85"/>
    <w:rsid w:val="001C169E"/>
    <w:rsid w:val="001C1A21"/>
    <w:rsid w:val="001C4885"/>
    <w:rsid w:val="001C498F"/>
    <w:rsid w:val="001C58E6"/>
    <w:rsid w:val="001C66BF"/>
    <w:rsid w:val="001C74B3"/>
    <w:rsid w:val="001D0BB0"/>
    <w:rsid w:val="001D1346"/>
    <w:rsid w:val="001D2DF0"/>
    <w:rsid w:val="001D3F62"/>
    <w:rsid w:val="001D574C"/>
    <w:rsid w:val="001D5FA2"/>
    <w:rsid w:val="001D679D"/>
    <w:rsid w:val="001D7B0E"/>
    <w:rsid w:val="001E2C7D"/>
    <w:rsid w:val="001E2CE0"/>
    <w:rsid w:val="001E3138"/>
    <w:rsid w:val="001E438B"/>
    <w:rsid w:val="001E4941"/>
    <w:rsid w:val="001E51F5"/>
    <w:rsid w:val="001E71CF"/>
    <w:rsid w:val="001E79EE"/>
    <w:rsid w:val="001E7B00"/>
    <w:rsid w:val="001F36B8"/>
    <w:rsid w:val="001F3FD7"/>
    <w:rsid w:val="001F41B6"/>
    <w:rsid w:val="001F6DFA"/>
    <w:rsid w:val="00200C67"/>
    <w:rsid w:val="00200CF8"/>
    <w:rsid w:val="002013B6"/>
    <w:rsid w:val="00201417"/>
    <w:rsid w:val="00201475"/>
    <w:rsid w:val="0020175F"/>
    <w:rsid w:val="002017DB"/>
    <w:rsid w:val="00201AA4"/>
    <w:rsid w:val="00201BB0"/>
    <w:rsid w:val="00202A99"/>
    <w:rsid w:val="00203D95"/>
    <w:rsid w:val="002050CF"/>
    <w:rsid w:val="002060F2"/>
    <w:rsid w:val="002062A9"/>
    <w:rsid w:val="00206744"/>
    <w:rsid w:val="00206BA5"/>
    <w:rsid w:val="0021047B"/>
    <w:rsid w:val="00210494"/>
    <w:rsid w:val="00213344"/>
    <w:rsid w:val="00214ADF"/>
    <w:rsid w:val="00214C41"/>
    <w:rsid w:val="00220970"/>
    <w:rsid w:val="00220996"/>
    <w:rsid w:val="00220BAB"/>
    <w:rsid w:val="00220CD0"/>
    <w:rsid w:val="00221B47"/>
    <w:rsid w:val="00221F43"/>
    <w:rsid w:val="0022439F"/>
    <w:rsid w:val="002263C8"/>
    <w:rsid w:val="002272E3"/>
    <w:rsid w:val="00230ECA"/>
    <w:rsid w:val="00232151"/>
    <w:rsid w:val="00232F48"/>
    <w:rsid w:val="00233C7D"/>
    <w:rsid w:val="0023407C"/>
    <w:rsid w:val="00234BC4"/>
    <w:rsid w:val="00235BDA"/>
    <w:rsid w:val="002411FB"/>
    <w:rsid w:val="00241408"/>
    <w:rsid w:val="00242509"/>
    <w:rsid w:val="00242E96"/>
    <w:rsid w:val="0024387F"/>
    <w:rsid w:val="00243C65"/>
    <w:rsid w:val="0024478E"/>
    <w:rsid w:val="00245233"/>
    <w:rsid w:val="00245FB2"/>
    <w:rsid w:val="00246174"/>
    <w:rsid w:val="00246631"/>
    <w:rsid w:val="00246E7B"/>
    <w:rsid w:val="00247C6D"/>
    <w:rsid w:val="00250408"/>
    <w:rsid w:val="002536CB"/>
    <w:rsid w:val="00255E73"/>
    <w:rsid w:val="00261128"/>
    <w:rsid w:val="0026134A"/>
    <w:rsid w:val="00261CC6"/>
    <w:rsid w:val="00262C70"/>
    <w:rsid w:val="00264924"/>
    <w:rsid w:val="0026512A"/>
    <w:rsid w:val="00265186"/>
    <w:rsid w:val="00265BC0"/>
    <w:rsid w:val="00266373"/>
    <w:rsid w:val="002663F7"/>
    <w:rsid w:val="002676CC"/>
    <w:rsid w:val="002678B0"/>
    <w:rsid w:val="00267DDF"/>
    <w:rsid w:val="00270243"/>
    <w:rsid w:val="00271751"/>
    <w:rsid w:val="0027256E"/>
    <w:rsid w:val="00272A41"/>
    <w:rsid w:val="00272D54"/>
    <w:rsid w:val="00275D1A"/>
    <w:rsid w:val="00276122"/>
    <w:rsid w:val="00281088"/>
    <w:rsid w:val="00281193"/>
    <w:rsid w:val="00281623"/>
    <w:rsid w:val="002819A7"/>
    <w:rsid w:val="00283998"/>
    <w:rsid w:val="00283CCA"/>
    <w:rsid w:val="00284D8A"/>
    <w:rsid w:val="00285F02"/>
    <w:rsid w:val="00286931"/>
    <w:rsid w:val="00286AD9"/>
    <w:rsid w:val="00286D32"/>
    <w:rsid w:val="00291F80"/>
    <w:rsid w:val="00293534"/>
    <w:rsid w:val="002957A2"/>
    <w:rsid w:val="002957BE"/>
    <w:rsid w:val="00297F59"/>
    <w:rsid w:val="002A0E63"/>
    <w:rsid w:val="002A188D"/>
    <w:rsid w:val="002A551A"/>
    <w:rsid w:val="002A63DE"/>
    <w:rsid w:val="002A71B8"/>
    <w:rsid w:val="002A75DC"/>
    <w:rsid w:val="002A7EC0"/>
    <w:rsid w:val="002B241C"/>
    <w:rsid w:val="002B2CF4"/>
    <w:rsid w:val="002B2D93"/>
    <w:rsid w:val="002B361B"/>
    <w:rsid w:val="002C0996"/>
    <w:rsid w:val="002C09DC"/>
    <w:rsid w:val="002C4583"/>
    <w:rsid w:val="002C4BB5"/>
    <w:rsid w:val="002C5593"/>
    <w:rsid w:val="002C58E0"/>
    <w:rsid w:val="002C6B01"/>
    <w:rsid w:val="002C6E15"/>
    <w:rsid w:val="002C770F"/>
    <w:rsid w:val="002D0C0F"/>
    <w:rsid w:val="002D0F93"/>
    <w:rsid w:val="002D1614"/>
    <w:rsid w:val="002D2F60"/>
    <w:rsid w:val="002D3786"/>
    <w:rsid w:val="002D4BEC"/>
    <w:rsid w:val="002D55D6"/>
    <w:rsid w:val="002D5888"/>
    <w:rsid w:val="002D5EF2"/>
    <w:rsid w:val="002E1CD1"/>
    <w:rsid w:val="002E29DC"/>
    <w:rsid w:val="002E3D66"/>
    <w:rsid w:val="002E41E7"/>
    <w:rsid w:val="002E4628"/>
    <w:rsid w:val="002E4630"/>
    <w:rsid w:val="002E4E97"/>
    <w:rsid w:val="002E4F88"/>
    <w:rsid w:val="002E6E19"/>
    <w:rsid w:val="002E735A"/>
    <w:rsid w:val="002F115F"/>
    <w:rsid w:val="002F21D7"/>
    <w:rsid w:val="002F5562"/>
    <w:rsid w:val="002F59F6"/>
    <w:rsid w:val="002F62C5"/>
    <w:rsid w:val="002F63E8"/>
    <w:rsid w:val="002F660A"/>
    <w:rsid w:val="002F686A"/>
    <w:rsid w:val="002F6B47"/>
    <w:rsid w:val="002F7C18"/>
    <w:rsid w:val="0030079E"/>
    <w:rsid w:val="00300F4C"/>
    <w:rsid w:val="00301B08"/>
    <w:rsid w:val="00301D17"/>
    <w:rsid w:val="00303968"/>
    <w:rsid w:val="00304651"/>
    <w:rsid w:val="003046ED"/>
    <w:rsid w:val="00304DC6"/>
    <w:rsid w:val="00305E28"/>
    <w:rsid w:val="0030717C"/>
    <w:rsid w:val="0031067E"/>
    <w:rsid w:val="00311561"/>
    <w:rsid w:val="003130F2"/>
    <w:rsid w:val="0031312C"/>
    <w:rsid w:val="003152BB"/>
    <w:rsid w:val="00320520"/>
    <w:rsid w:val="00320853"/>
    <w:rsid w:val="003208D8"/>
    <w:rsid w:val="00321096"/>
    <w:rsid w:val="00321304"/>
    <w:rsid w:val="00325AB7"/>
    <w:rsid w:val="0032756A"/>
    <w:rsid w:val="00331439"/>
    <w:rsid w:val="00331C88"/>
    <w:rsid w:val="00331C8E"/>
    <w:rsid w:val="00332BCB"/>
    <w:rsid w:val="00332D76"/>
    <w:rsid w:val="00334DF2"/>
    <w:rsid w:val="00335C13"/>
    <w:rsid w:val="00335C58"/>
    <w:rsid w:val="00337DD4"/>
    <w:rsid w:val="00342003"/>
    <w:rsid w:val="0034251A"/>
    <w:rsid w:val="003428D2"/>
    <w:rsid w:val="0034376A"/>
    <w:rsid w:val="00344EBA"/>
    <w:rsid w:val="00347B0C"/>
    <w:rsid w:val="00350384"/>
    <w:rsid w:val="00352A96"/>
    <w:rsid w:val="00355194"/>
    <w:rsid w:val="00355488"/>
    <w:rsid w:val="003554CB"/>
    <w:rsid w:val="00355ADC"/>
    <w:rsid w:val="003571E5"/>
    <w:rsid w:val="00362D04"/>
    <w:rsid w:val="00363096"/>
    <w:rsid w:val="0036383F"/>
    <w:rsid w:val="00363BAB"/>
    <w:rsid w:val="00363E1A"/>
    <w:rsid w:val="003644F5"/>
    <w:rsid w:val="00364903"/>
    <w:rsid w:val="00364F10"/>
    <w:rsid w:val="00366740"/>
    <w:rsid w:val="003668EE"/>
    <w:rsid w:val="00367237"/>
    <w:rsid w:val="003672EB"/>
    <w:rsid w:val="003677BC"/>
    <w:rsid w:val="003710D3"/>
    <w:rsid w:val="00371D98"/>
    <w:rsid w:val="0037239C"/>
    <w:rsid w:val="003724B8"/>
    <w:rsid w:val="0037350C"/>
    <w:rsid w:val="0037380D"/>
    <w:rsid w:val="00373B29"/>
    <w:rsid w:val="00375C58"/>
    <w:rsid w:val="00376163"/>
    <w:rsid w:val="00377C9B"/>
    <w:rsid w:val="00380C17"/>
    <w:rsid w:val="00381043"/>
    <w:rsid w:val="0038129D"/>
    <w:rsid w:val="00383D3A"/>
    <w:rsid w:val="00384A9D"/>
    <w:rsid w:val="003859A6"/>
    <w:rsid w:val="00385C4F"/>
    <w:rsid w:val="0038647E"/>
    <w:rsid w:val="00386D25"/>
    <w:rsid w:val="00390E4D"/>
    <w:rsid w:val="00391126"/>
    <w:rsid w:val="00392F27"/>
    <w:rsid w:val="00395B68"/>
    <w:rsid w:val="00396426"/>
    <w:rsid w:val="003974ED"/>
    <w:rsid w:val="003A2F56"/>
    <w:rsid w:val="003A3197"/>
    <w:rsid w:val="003A4451"/>
    <w:rsid w:val="003A5068"/>
    <w:rsid w:val="003A5AA8"/>
    <w:rsid w:val="003A5F61"/>
    <w:rsid w:val="003A6D58"/>
    <w:rsid w:val="003B0922"/>
    <w:rsid w:val="003B0C06"/>
    <w:rsid w:val="003B48FF"/>
    <w:rsid w:val="003B570F"/>
    <w:rsid w:val="003B62C0"/>
    <w:rsid w:val="003C1010"/>
    <w:rsid w:val="003C23E1"/>
    <w:rsid w:val="003C474F"/>
    <w:rsid w:val="003C79E7"/>
    <w:rsid w:val="003D0AB8"/>
    <w:rsid w:val="003D21B2"/>
    <w:rsid w:val="003D252F"/>
    <w:rsid w:val="003D49A1"/>
    <w:rsid w:val="003D56DD"/>
    <w:rsid w:val="003D5BA4"/>
    <w:rsid w:val="003D6614"/>
    <w:rsid w:val="003D7962"/>
    <w:rsid w:val="003E00E8"/>
    <w:rsid w:val="003E0E64"/>
    <w:rsid w:val="003E1D61"/>
    <w:rsid w:val="003E1EC2"/>
    <w:rsid w:val="003E2838"/>
    <w:rsid w:val="003E6A02"/>
    <w:rsid w:val="003F0B9F"/>
    <w:rsid w:val="003F122B"/>
    <w:rsid w:val="003F174D"/>
    <w:rsid w:val="003F2902"/>
    <w:rsid w:val="003F500B"/>
    <w:rsid w:val="003F55CB"/>
    <w:rsid w:val="003F6AC4"/>
    <w:rsid w:val="003F6D52"/>
    <w:rsid w:val="003F7282"/>
    <w:rsid w:val="003F7708"/>
    <w:rsid w:val="00401591"/>
    <w:rsid w:val="00402D21"/>
    <w:rsid w:val="00403652"/>
    <w:rsid w:val="00403DC9"/>
    <w:rsid w:val="004041E2"/>
    <w:rsid w:val="004045B1"/>
    <w:rsid w:val="00404EBA"/>
    <w:rsid w:val="00410095"/>
    <w:rsid w:val="004111AF"/>
    <w:rsid w:val="004123B8"/>
    <w:rsid w:val="004142CC"/>
    <w:rsid w:val="00414F06"/>
    <w:rsid w:val="00416746"/>
    <w:rsid w:val="00416C6F"/>
    <w:rsid w:val="00417CDA"/>
    <w:rsid w:val="00421009"/>
    <w:rsid w:val="004214E8"/>
    <w:rsid w:val="004219F0"/>
    <w:rsid w:val="00421E31"/>
    <w:rsid w:val="00421F3E"/>
    <w:rsid w:val="00422B69"/>
    <w:rsid w:val="00422FA3"/>
    <w:rsid w:val="004239D6"/>
    <w:rsid w:val="004255BE"/>
    <w:rsid w:val="00425A1B"/>
    <w:rsid w:val="00426950"/>
    <w:rsid w:val="00427D8D"/>
    <w:rsid w:val="004310EC"/>
    <w:rsid w:val="0043185D"/>
    <w:rsid w:val="00431AA0"/>
    <w:rsid w:val="00436A4B"/>
    <w:rsid w:val="004377E5"/>
    <w:rsid w:val="00441BD2"/>
    <w:rsid w:val="00442714"/>
    <w:rsid w:val="00442723"/>
    <w:rsid w:val="00443233"/>
    <w:rsid w:val="0044372B"/>
    <w:rsid w:val="004449B6"/>
    <w:rsid w:val="00445858"/>
    <w:rsid w:val="00445935"/>
    <w:rsid w:val="00446E30"/>
    <w:rsid w:val="00450D17"/>
    <w:rsid w:val="00451ED1"/>
    <w:rsid w:val="00452107"/>
    <w:rsid w:val="004521FF"/>
    <w:rsid w:val="00452A79"/>
    <w:rsid w:val="0045382E"/>
    <w:rsid w:val="00454540"/>
    <w:rsid w:val="004546AF"/>
    <w:rsid w:val="004569A6"/>
    <w:rsid w:val="00457BBD"/>
    <w:rsid w:val="004602EA"/>
    <w:rsid w:val="00462D45"/>
    <w:rsid w:val="00462D85"/>
    <w:rsid w:val="00462E0B"/>
    <w:rsid w:val="00464370"/>
    <w:rsid w:val="00466DAD"/>
    <w:rsid w:val="00467098"/>
    <w:rsid w:val="00467969"/>
    <w:rsid w:val="00470190"/>
    <w:rsid w:val="00470DE2"/>
    <w:rsid w:val="00470EB3"/>
    <w:rsid w:val="00470F88"/>
    <w:rsid w:val="004710DB"/>
    <w:rsid w:val="004712C4"/>
    <w:rsid w:val="00471A7F"/>
    <w:rsid w:val="00471EDC"/>
    <w:rsid w:val="0047207B"/>
    <w:rsid w:val="00472AE0"/>
    <w:rsid w:val="00472C06"/>
    <w:rsid w:val="004740B7"/>
    <w:rsid w:val="00475A2E"/>
    <w:rsid w:val="00475C6D"/>
    <w:rsid w:val="0047711E"/>
    <w:rsid w:val="0048069B"/>
    <w:rsid w:val="0048091E"/>
    <w:rsid w:val="00480F11"/>
    <w:rsid w:val="004810B2"/>
    <w:rsid w:val="004814FD"/>
    <w:rsid w:val="004819BC"/>
    <w:rsid w:val="00482282"/>
    <w:rsid w:val="004842CB"/>
    <w:rsid w:val="00484A4F"/>
    <w:rsid w:val="004863CC"/>
    <w:rsid w:val="00487B11"/>
    <w:rsid w:val="004900BA"/>
    <w:rsid w:val="00491350"/>
    <w:rsid w:val="00492BB2"/>
    <w:rsid w:val="004930F3"/>
    <w:rsid w:val="00494FE5"/>
    <w:rsid w:val="004A026C"/>
    <w:rsid w:val="004A0620"/>
    <w:rsid w:val="004A1182"/>
    <w:rsid w:val="004A1451"/>
    <w:rsid w:val="004A1900"/>
    <w:rsid w:val="004A20BF"/>
    <w:rsid w:val="004A23E2"/>
    <w:rsid w:val="004A2782"/>
    <w:rsid w:val="004A3F0E"/>
    <w:rsid w:val="004A5008"/>
    <w:rsid w:val="004A7653"/>
    <w:rsid w:val="004A79F3"/>
    <w:rsid w:val="004A7D32"/>
    <w:rsid w:val="004B1D86"/>
    <w:rsid w:val="004B36FD"/>
    <w:rsid w:val="004B416E"/>
    <w:rsid w:val="004B4D6E"/>
    <w:rsid w:val="004B5049"/>
    <w:rsid w:val="004B7145"/>
    <w:rsid w:val="004B7510"/>
    <w:rsid w:val="004B7620"/>
    <w:rsid w:val="004C1B6D"/>
    <w:rsid w:val="004C24E1"/>
    <w:rsid w:val="004C293C"/>
    <w:rsid w:val="004C3C23"/>
    <w:rsid w:val="004C5A02"/>
    <w:rsid w:val="004C5F04"/>
    <w:rsid w:val="004C618E"/>
    <w:rsid w:val="004C6362"/>
    <w:rsid w:val="004C6575"/>
    <w:rsid w:val="004C7334"/>
    <w:rsid w:val="004C77CA"/>
    <w:rsid w:val="004D029B"/>
    <w:rsid w:val="004D0502"/>
    <w:rsid w:val="004D090B"/>
    <w:rsid w:val="004D0BD6"/>
    <w:rsid w:val="004D501D"/>
    <w:rsid w:val="004D5E70"/>
    <w:rsid w:val="004D5FFB"/>
    <w:rsid w:val="004D662E"/>
    <w:rsid w:val="004D7218"/>
    <w:rsid w:val="004D7598"/>
    <w:rsid w:val="004D75A9"/>
    <w:rsid w:val="004E0666"/>
    <w:rsid w:val="004E14F5"/>
    <w:rsid w:val="004E177D"/>
    <w:rsid w:val="004E1844"/>
    <w:rsid w:val="004E1F61"/>
    <w:rsid w:val="004E2116"/>
    <w:rsid w:val="004E22A3"/>
    <w:rsid w:val="004E2D0A"/>
    <w:rsid w:val="004E31D8"/>
    <w:rsid w:val="004E37A0"/>
    <w:rsid w:val="004E43A7"/>
    <w:rsid w:val="004E6669"/>
    <w:rsid w:val="004E6E9D"/>
    <w:rsid w:val="004E707B"/>
    <w:rsid w:val="004E7D9D"/>
    <w:rsid w:val="004F0C46"/>
    <w:rsid w:val="004F11D7"/>
    <w:rsid w:val="004F424F"/>
    <w:rsid w:val="004F4DD6"/>
    <w:rsid w:val="004F4FED"/>
    <w:rsid w:val="004F5294"/>
    <w:rsid w:val="004F5527"/>
    <w:rsid w:val="004F69D2"/>
    <w:rsid w:val="004F7532"/>
    <w:rsid w:val="004F7663"/>
    <w:rsid w:val="0050275E"/>
    <w:rsid w:val="005029CF"/>
    <w:rsid w:val="00502D6E"/>
    <w:rsid w:val="00503EC3"/>
    <w:rsid w:val="00504A5E"/>
    <w:rsid w:val="00505BB7"/>
    <w:rsid w:val="00506816"/>
    <w:rsid w:val="00507EBD"/>
    <w:rsid w:val="00510846"/>
    <w:rsid w:val="005109A2"/>
    <w:rsid w:val="005109B8"/>
    <w:rsid w:val="00511DAA"/>
    <w:rsid w:val="0051375C"/>
    <w:rsid w:val="00514114"/>
    <w:rsid w:val="0052088E"/>
    <w:rsid w:val="00522B18"/>
    <w:rsid w:val="00522E8C"/>
    <w:rsid w:val="00523645"/>
    <w:rsid w:val="00523D20"/>
    <w:rsid w:val="005242C6"/>
    <w:rsid w:val="00524DEE"/>
    <w:rsid w:val="005251AC"/>
    <w:rsid w:val="00526686"/>
    <w:rsid w:val="00526B35"/>
    <w:rsid w:val="005276DB"/>
    <w:rsid w:val="005307D0"/>
    <w:rsid w:val="00530D1A"/>
    <w:rsid w:val="005312EE"/>
    <w:rsid w:val="00531577"/>
    <w:rsid w:val="0053167F"/>
    <w:rsid w:val="00532CFD"/>
    <w:rsid w:val="0053547A"/>
    <w:rsid w:val="00540D31"/>
    <w:rsid w:val="0054205B"/>
    <w:rsid w:val="00542CFE"/>
    <w:rsid w:val="005437A2"/>
    <w:rsid w:val="00543DE9"/>
    <w:rsid w:val="00544326"/>
    <w:rsid w:val="00545484"/>
    <w:rsid w:val="00546377"/>
    <w:rsid w:val="00546490"/>
    <w:rsid w:val="00546F57"/>
    <w:rsid w:val="005473F7"/>
    <w:rsid w:val="0055236C"/>
    <w:rsid w:val="00555191"/>
    <w:rsid w:val="005560BE"/>
    <w:rsid w:val="0055639C"/>
    <w:rsid w:val="005570A2"/>
    <w:rsid w:val="005573CE"/>
    <w:rsid w:val="00561703"/>
    <w:rsid w:val="00561C1D"/>
    <w:rsid w:val="00562716"/>
    <w:rsid w:val="0056284C"/>
    <w:rsid w:val="00562DDA"/>
    <w:rsid w:val="0056362B"/>
    <w:rsid w:val="00563812"/>
    <w:rsid w:val="00564AB7"/>
    <w:rsid w:val="00566D1A"/>
    <w:rsid w:val="00571DBB"/>
    <w:rsid w:val="0057261F"/>
    <w:rsid w:val="005731A2"/>
    <w:rsid w:val="005738E1"/>
    <w:rsid w:val="00573FA0"/>
    <w:rsid w:val="005750AE"/>
    <w:rsid w:val="005764D2"/>
    <w:rsid w:val="00577DBD"/>
    <w:rsid w:val="00580926"/>
    <w:rsid w:val="005826CA"/>
    <w:rsid w:val="00582800"/>
    <w:rsid w:val="00583E67"/>
    <w:rsid w:val="00584B24"/>
    <w:rsid w:val="00586E49"/>
    <w:rsid w:val="0058708C"/>
    <w:rsid w:val="00587261"/>
    <w:rsid w:val="0059070E"/>
    <w:rsid w:val="00591AE7"/>
    <w:rsid w:val="00591D73"/>
    <w:rsid w:val="0059282C"/>
    <w:rsid w:val="00593781"/>
    <w:rsid w:val="00594372"/>
    <w:rsid w:val="00594D9B"/>
    <w:rsid w:val="00595250"/>
    <w:rsid w:val="00595EEE"/>
    <w:rsid w:val="0059638A"/>
    <w:rsid w:val="00596811"/>
    <w:rsid w:val="00596BD6"/>
    <w:rsid w:val="00596F85"/>
    <w:rsid w:val="0059745A"/>
    <w:rsid w:val="005A074B"/>
    <w:rsid w:val="005A0FB6"/>
    <w:rsid w:val="005A1639"/>
    <w:rsid w:val="005A1D5B"/>
    <w:rsid w:val="005A2A07"/>
    <w:rsid w:val="005A2FC3"/>
    <w:rsid w:val="005A3080"/>
    <w:rsid w:val="005A453B"/>
    <w:rsid w:val="005B030F"/>
    <w:rsid w:val="005B0C6D"/>
    <w:rsid w:val="005B0D19"/>
    <w:rsid w:val="005B1757"/>
    <w:rsid w:val="005B29F7"/>
    <w:rsid w:val="005B2C43"/>
    <w:rsid w:val="005B39A4"/>
    <w:rsid w:val="005B4054"/>
    <w:rsid w:val="005B6158"/>
    <w:rsid w:val="005B678F"/>
    <w:rsid w:val="005B78EF"/>
    <w:rsid w:val="005C1B92"/>
    <w:rsid w:val="005C1C9A"/>
    <w:rsid w:val="005C2AE6"/>
    <w:rsid w:val="005C2DC9"/>
    <w:rsid w:val="005C362B"/>
    <w:rsid w:val="005C36CE"/>
    <w:rsid w:val="005C59C8"/>
    <w:rsid w:val="005C5F51"/>
    <w:rsid w:val="005D109C"/>
    <w:rsid w:val="005D17EB"/>
    <w:rsid w:val="005D19E5"/>
    <w:rsid w:val="005D2194"/>
    <w:rsid w:val="005D3638"/>
    <w:rsid w:val="005D6723"/>
    <w:rsid w:val="005E29E2"/>
    <w:rsid w:val="005E44BD"/>
    <w:rsid w:val="005E4BF8"/>
    <w:rsid w:val="005E6457"/>
    <w:rsid w:val="005E70EE"/>
    <w:rsid w:val="005E7D24"/>
    <w:rsid w:val="005F018F"/>
    <w:rsid w:val="005F0548"/>
    <w:rsid w:val="005F06CB"/>
    <w:rsid w:val="005F0FAC"/>
    <w:rsid w:val="005F1F44"/>
    <w:rsid w:val="005F2050"/>
    <w:rsid w:val="005F2B4B"/>
    <w:rsid w:val="005F4C09"/>
    <w:rsid w:val="006002E5"/>
    <w:rsid w:val="00600B5F"/>
    <w:rsid w:val="0060198C"/>
    <w:rsid w:val="00601ABA"/>
    <w:rsid w:val="006036BA"/>
    <w:rsid w:val="0060506B"/>
    <w:rsid w:val="00607D8C"/>
    <w:rsid w:val="00610920"/>
    <w:rsid w:val="006114AD"/>
    <w:rsid w:val="00611DB4"/>
    <w:rsid w:val="00612F79"/>
    <w:rsid w:val="006138DD"/>
    <w:rsid w:val="0061498C"/>
    <w:rsid w:val="00615E19"/>
    <w:rsid w:val="00620553"/>
    <w:rsid w:val="00620BED"/>
    <w:rsid w:val="00622A90"/>
    <w:rsid w:val="00625284"/>
    <w:rsid w:val="006263E8"/>
    <w:rsid w:val="006265CD"/>
    <w:rsid w:val="0062737D"/>
    <w:rsid w:val="00630634"/>
    <w:rsid w:val="00632397"/>
    <w:rsid w:val="00632D31"/>
    <w:rsid w:val="00635E3E"/>
    <w:rsid w:val="00636C97"/>
    <w:rsid w:val="00637D34"/>
    <w:rsid w:val="00640AB6"/>
    <w:rsid w:val="00641102"/>
    <w:rsid w:val="00641C3F"/>
    <w:rsid w:val="00641D69"/>
    <w:rsid w:val="006424DB"/>
    <w:rsid w:val="006430C2"/>
    <w:rsid w:val="00643575"/>
    <w:rsid w:val="00643DE1"/>
    <w:rsid w:val="00645EFF"/>
    <w:rsid w:val="0064672F"/>
    <w:rsid w:val="006502A5"/>
    <w:rsid w:val="00650C79"/>
    <w:rsid w:val="0065157A"/>
    <w:rsid w:val="00651FB9"/>
    <w:rsid w:val="00652624"/>
    <w:rsid w:val="00653129"/>
    <w:rsid w:val="00654C8D"/>
    <w:rsid w:val="0065564D"/>
    <w:rsid w:val="00655679"/>
    <w:rsid w:val="006557E9"/>
    <w:rsid w:val="00661D74"/>
    <w:rsid w:val="006626C9"/>
    <w:rsid w:val="00662AF6"/>
    <w:rsid w:val="00662D96"/>
    <w:rsid w:val="00663418"/>
    <w:rsid w:val="00663454"/>
    <w:rsid w:val="006638DB"/>
    <w:rsid w:val="006646EB"/>
    <w:rsid w:val="00665AF0"/>
    <w:rsid w:val="00667601"/>
    <w:rsid w:val="00670457"/>
    <w:rsid w:val="00670D2A"/>
    <w:rsid w:val="006711F4"/>
    <w:rsid w:val="00671ECD"/>
    <w:rsid w:val="006730EA"/>
    <w:rsid w:val="00673293"/>
    <w:rsid w:val="00674361"/>
    <w:rsid w:val="00674427"/>
    <w:rsid w:val="00674BA0"/>
    <w:rsid w:val="00675F09"/>
    <w:rsid w:val="006807C2"/>
    <w:rsid w:val="00680880"/>
    <w:rsid w:val="00680E8E"/>
    <w:rsid w:val="0068241C"/>
    <w:rsid w:val="006836D3"/>
    <w:rsid w:val="006838BF"/>
    <w:rsid w:val="00685870"/>
    <w:rsid w:val="00685B12"/>
    <w:rsid w:val="00687AF3"/>
    <w:rsid w:val="0069203C"/>
    <w:rsid w:val="00693178"/>
    <w:rsid w:val="00693BE6"/>
    <w:rsid w:val="00696D14"/>
    <w:rsid w:val="006A0B58"/>
    <w:rsid w:val="006A10D4"/>
    <w:rsid w:val="006A2022"/>
    <w:rsid w:val="006A21FA"/>
    <w:rsid w:val="006A354D"/>
    <w:rsid w:val="006A381F"/>
    <w:rsid w:val="006A4646"/>
    <w:rsid w:val="006A49CA"/>
    <w:rsid w:val="006B0167"/>
    <w:rsid w:val="006B029D"/>
    <w:rsid w:val="006B16F1"/>
    <w:rsid w:val="006B3FCC"/>
    <w:rsid w:val="006B4187"/>
    <w:rsid w:val="006B5441"/>
    <w:rsid w:val="006B556F"/>
    <w:rsid w:val="006B58F6"/>
    <w:rsid w:val="006B755F"/>
    <w:rsid w:val="006C0215"/>
    <w:rsid w:val="006C1374"/>
    <w:rsid w:val="006C3454"/>
    <w:rsid w:val="006C375B"/>
    <w:rsid w:val="006C37CE"/>
    <w:rsid w:val="006C38CF"/>
    <w:rsid w:val="006C3A80"/>
    <w:rsid w:val="006C3C7E"/>
    <w:rsid w:val="006C5A1B"/>
    <w:rsid w:val="006C68A0"/>
    <w:rsid w:val="006C7417"/>
    <w:rsid w:val="006C7744"/>
    <w:rsid w:val="006D09BC"/>
    <w:rsid w:val="006D1343"/>
    <w:rsid w:val="006D2C2E"/>
    <w:rsid w:val="006D3E50"/>
    <w:rsid w:val="006D459E"/>
    <w:rsid w:val="006D5263"/>
    <w:rsid w:val="006D73D2"/>
    <w:rsid w:val="006E162A"/>
    <w:rsid w:val="006E3CF7"/>
    <w:rsid w:val="006E3D9B"/>
    <w:rsid w:val="006E5C47"/>
    <w:rsid w:val="006E5F9E"/>
    <w:rsid w:val="006E6F8C"/>
    <w:rsid w:val="006E7360"/>
    <w:rsid w:val="006F1A30"/>
    <w:rsid w:val="006F2169"/>
    <w:rsid w:val="006F2E00"/>
    <w:rsid w:val="006F4044"/>
    <w:rsid w:val="006F55D8"/>
    <w:rsid w:val="006F5B08"/>
    <w:rsid w:val="006F7A22"/>
    <w:rsid w:val="0070059A"/>
    <w:rsid w:val="007006B4"/>
    <w:rsid w:val="007007DA"/>
    <w:rsid w:val="0070365D"/>
    <w:rsid w:val="007040F7"/>
    <w:rsid w:val="00707222"/>
    <w:rsid w:val="007076F5"/>
    <w:rsid w:val="007100A1"/>
    <w:rsid w:val="0071082C"/>
    <w:rsid w:val="00710BDA"/>
    <w:rsid w:val="00710EFF"/>
    <w:rsid w:val="00713C9B"/>
    <w:rsid w:val="00714DAC"/>
    <w:rsid w:val="007152BA"/>
    <w:rsid w:val="00715C24"/>
    <w:rsid w:val="00716DF4"/>
    <w:rsid w:val="00717200"/>
    <w:rsid w:val="0071729E"/>
    <w:rsid w:val="007251EE"/>
    <w:rsid w:val="00725532"/>
    <w:rsid w:val="00725FCD"/>
    <w:rsid w:val="00732F0C"/>
    <w:rsid w:val="00733414"/>
    <w:rsid w:val="0073580B"/>
    <w:rsid w:val="0073597F"/>
    <w:rsid w:val="00735F46"/>
    <w:rsid w:val="00737AD4"/>
    <w:rsid w:val="007421A9"/>
    <w:rsid w:val="00744AA9"/>
    <w:rsid w:val="007479F0"/>
    <w:rsid w:val="00751666"/>
    <w:rsid w:val="00752866"/>
    <w:rsid w:val="00753E26"/>
    <w:rsid w:val="007552DD"/>
    <w:rsid w:val="00755A4F"/>
    <w:rsid w:val="00755EB3"/>
    <w:rsid w:val="00756194"/>
    <w:rsid w:val="007566A1"/>
    <w:rsid w:val="00756A5C"/>
    <w:rsid w:val="007577D2"/>
    <w:rsid w:val="00757943"/>
    <w:rsid w:val="00760353"/>
    <w:rsid w:val="00761BC5"/>
    <w:rsid w:val="00763C30"/>
    <w:rsid w:val="00764E19"/>
    <w:rsid w:val="00764F55"/>
    <w:rsid w:val="00765C24"/>
    <w:rsid w:val="00770957"/>
    <w:rsid w:val="00770FEA"/>
    <w:rsid w:val="00773832"/>
    <w:rsid w:val="00773B9D"/>
    <w:rsid w:val="00773ED5"/>
    <w:rsid w:val="00775E92"/>
    <w:rsid w:val="00775F1F"/>
    <w:rsid w:val="00776C83"/>
    <w:rsid w:val="00776DEC"/>
    <w:rsid w:val="007807D1"/>
    <w:rsid w:val="007819BA"/>
    <w:rsid w:val="00781DFF"/>
    <w:rsid w:val="00784391"/>
    <w:rsid w:val="00785A5A"/>
    <w:rsid w:val="00785AFE"/>
    <w:rsid w:val="0078720E"/>
    <w:rsid w:val="00787B52"/>
    <w:rsid w:val="00791B1F"/>
    <w:rsid w:val="00792008"/>
    <w:rsid w:val="007936D8"/>
    <w:rsid w:val="00793D7A"/>
    <w:rsid w:val="00794C26"/>
    <w:rsid w:val="00794DE7"/>
    <w:rsid w:val="00795883"/>
    <w:rsid w:val="00795D04"/>
    <w:rsid w:val="00796779"/>
    <w:rsid w:val="007A0850"/>
    <w:rsid w:val="007A2135"/>
    <w:rsid w:val="007A228A"/>
    <w:rsid w:val="007A29ED"/>
    <w:rsid w:val="007A3388"/>
    <w:rsid w:val="007A3B96"/>
    <w:rsid w:val="007A4813"/>
    <w:rsid w:val="007A6235"/>
    <w:rsid w:val="007A6363"/>
    <w:rsid w:val="007A6CBB"/>
    <w:rsid w:val="007A7BA5"/>
    <w:rsid w:val="007A7DF8"/>
    <w:rsid w:val="007B23FA"/>
    <w:rsid w:val="007B25A9"/>
    <w:rsid w:val="007B2B13"/>
    <w:rsid w:val="007B32A0"/>
    <w:rsid w:val="007B4297"/>
    <w:rsid w:val="007B4747"/>
    <w:rsid w:val="007B49DB"/>
    <w:rsid w:val="007B5BDE"/>
    <w:rsid w:val="007B615E"/>
    <w:rsid w:val="007B7674"/>
    <w:rsid w:val="007C0000"/>
    <w:rsid w:val="007C0D95"/>
    <w:rsid w:val="007C0E0A"/>
    <w:rsid w:val="007C0E72"/>
    <w:rsid w:val="007C299F"/>
    <w:rsid w:val="007C6A09"/>
    <w:rsid w:val="007D0717"/>
    <w:rsid w:val="007D0BA9"/>
    <w:rsid w:val="007D2BAC"/>
    <w:rsid w:val="007D324D"/>
    <w:rsid w:val="007D3527"/>
    <w:rsid w:val="007D3D00"/>
    <w:rsid w:val="007D4CBC"/>
    <w:rsid w:val="007D51E9"/>
    <w:rsid w:val="007D5F99"/>
    <w:rsid w:val="007D71EE"/>
    <w:rsid w:val="007D7A7D"/>
    <w:rsid w:val="007D7A85"/>
    <w:rsid w:val="007E0984"/>
    <w:rsid w:val="007E16FC"/>
    <w:rsid w:val="007E171F"/>
    <w:rsid w:val="007E1B37"/>
    <w:rsid w:val="007E2DBB"/>
    <w:rsid w:val="007E3E1D"/>
    <w:rsid w:val="007E4ED8"/>
    <w:rsid w:val="007F14BD"/>
    <w:rsid w:val="007F1FB2"/>
    <w:rsid w:val="007F2095"/>
    <w:rsid w:val="007F3573"/>
    <w:rsid w:val="007F3B8F"/>
    <w:rsid w:val="007F3D78"/>
    <w:rsid w:val="007F5852"/>
    <w:rsid w:val="007F685F"/>
    <w:rsid w:val="007F6D4D"/>
    <w:rsid w:val="00801F53"/>
    <w:rsid w:val="00804809"/>
    <w:rsid w:val="008109A1"/>
    <w:rsid w:val="00810E6B"/>
    <w:rsid w:val="00810F81"/>
    <w:rsid w:val="00810FE9"/>
    <w:rsid w:val="00811649"/>
    <w:rsid w:val="00812E92"/>
    <w:rsid w:val="0081334C"/>
    <w:rsid w:val="008133D0"/>
    <w:rsid w:val="00813DFD"/>
    <w:rsid w:val="00816D7C"/>
    <w:rsid w:val="00816DE4"/>
    <w:rsid w:val="00821CCD"/>
    <w:rsid w:val="00822323"/>
    <w:rsid w:val="00822A14"/>
    <w:rsid w:val="00822F9B"/>
    <w:rsid w:val="0082436B"/>
    <w:rsid w:val="008262EC"/>
    <w:rsid w:val="008266FC"/>
    <w:rsid w:val="00827668"/>
    <w:rsid w:val="00831F4C"/>
    <w:rsid w:val="00832792"/>
    <w:rsid w:val="00833079"/>
    <w:rsid w:val="0083403B"/>
    <w:rsid w:val="00834815"/>
    <w:rsid w:val="00834EB2"/>
    <w:rsid w:val="0084073D"/>
    <w:rsid w:val="00842F12"/>
    <w:rsid w:val="008455E2"/>
    <w:rsid w:val="00846345"/>
    <w:rsid w:val="00847F51"/>
    <w:rsid w:val="008515A2"/>
    <w:rsid w:val="00852A99"/>
    <w:rsid w:val="00853A30"/>
    <w:rsid w:val="00854F82"/>
    <w:rsid w:val="008554C8"/>
    <w:rsid w:val="0085552C"/>
    <w:rsid w:val="00855ABA"/>
    <w:rsid w:val="00855AD9"/>
    <w:rsid w:val="0085615B"/>
    <w:rsid w:val="00857BCD"/>
    <w:rsid w:val="008600BB"/>
    <w:rsid w:val="00860C21"/>
    <w:rsid w:val="00860E57"/>
    <w:rsid w:val="00860F04"/>
    <w:rsid w:val="0086193B"/>
    <w:rsid w:val="0086399D"/>
    <w:rsid w:val="00863AF0"/>
    <w:rsid w:val="0086568D"/>
    <w:rsid w:val="00865718"/>
    <w:rsid w:val="00866A6C"/>
    <w:rsid w:val="0086745F"/>
    <w:rsid w:val="008678C9"/>
    <w:rsid w:val="00870193"/>
    <w:rsid w:val="00870EF3"/>
    <w:rsid w:val="008711BA"/>
    <w:rsid w:val="00871CAF"/>
    <w:rsid w:val="0087345B"/>
    <w:rsid w:val="00874639"/>
    <w:rsid w:val="0087564E"/>
    <w:rsid w:val="00875D51"/>
    <w:rsid w:val="00876709"/>
    <w:rsid w:val="008776C1"/>
    <w:rsid w:val="00880E4E"/>
    <w:rsid w:val="00881F77"/>
    <w:rsid w:val="00883D1F"/>
    <w:rsid w:val="00884927"/>
    <w:rsid w:val="00885B3A"/>
    <w:rsid w:val="00887078"/>
    <w:rsid w:val="00890B95"/>
    <w:rsid w:val="00892613"/>
    <w:rsid w:val="00892EC5"/>
    <w:rsid w:val="00895579"/>
    <w:rsid w:val="008A1260"/>
    <w:rsid w:val="008A2C5C"/>
    <w:rsid w:val="008A5E4E"/>
    <w:rsid w:val="008A66A7"/>
    <w:rsid w:val="008A6F87"/>
    <w:rsid w:val="008B0159"/>
    <w:rsid w:val="008B08F9"/>
    <w:rsid w:val="008B0BE5"/>
    <w:rsid w:val="008B1471"/>
    <w:rsid w:val="008B2AB0"/>
    <w:rsid w:val="008B32DB"/>
    <w:rsid w:val="008B472E"/>
    <w:rsid w:val="008B49E3"/>
    <w:rsid w:val="008B7EE3"/>
    <w:rsid w:val="008C0A53"/>
    <w:rsid w:val="008C1C83"/>
    <w:rsid w:val="008C278E"/>
    <w:rsid w:val="008C3656"/>
    <w:rsid w:val="008C3D98"/>
    <w:rsid w:val="008C4C3F"/>
    <w:rsid w:val="008C5E1C"/>
    <w:rsid w:val="008C655C"/>
    <w:rsid w:val="008C699A"/>
    <w:rsid w:val="008C72DA"/>
    <w:rsid w:val="008C7A60"/>
    <w:rsid w:val="008D1509"/>
    <w:rsid w:val="008D1F8E"/>
    <w:rsid w:val="008D2230"/>
    <w:rsid w:val="008D246D"/>
    <w:rsid w:val="008D2E84"/>
    <w:rsid w:val="008D5936"/>
    <w:rsid w:val="008E114F"/>
    <w:rsid w:val="008E3359"/>
    <w:rsid w:val="008E391A"/>
    <w:rsid w:val="008E5A2E"/>
    <w:rsid w:val="008E754F"/>
    <w:rsid w:val="008E7849"/>
    <w:rsid w:val="008F043D"/>
    <w:rsid w:val="008F1613"/>
    <w:rsid w:val="008F2B0D"/>
    <w:rsid w:val="008F2B96"/>
    <w:rsid w:val="008F4180"/>
    <w:rsid w:val="008F471D"/>
    <w:rsid w:val="008F622A"/>
    <w:rsid w:val="008F6E8E"/>
    <w:rsid w:val="008F73EF"/>
    <w:rsid w:val="008F78AF"/>
    <w:rsid w:val="009003F5"/>
    <w:rsid w:val="0090049D"/>
    <w:rsid w:val="00901701"/>
    <w:rsid w:val="009049B8"/>
    <w:rsid w:val="00904D97"/>
    <w:rsid w:val="009054B9"/>
    <w:rsid w:val="009059E2"/>
    <w:rsid w:val="00911286"/>
    <w:rsid w:val="00912FC4"/>
    <w:rsid w:val="00913B4D"/>
    <w:rsid w:val="00913DB8"/>
    <w:rsid w:val="00916742"/>
    <w:rsid w:val="00916866"/>
    <w:rsid w:val="0091700D"/>
    <w:rsid w:val="009171A8"/>
    <w:rsid w:val="00921AF8"/>
    <w:rsid w:val="00921B48"/>
    <w:rsid w:val="00921DE7"/>
    <w:rsid w:val="00922E19"/>
    <w:rsid w:val="009233CB"/>
    <w:rsid w:val="00923858"/>
    <w:rsid w:val="009244C9"/>
    <w:rsid w:val="009247A8"/>
    <w:rsid w:val="009248A0"/>
    <w:rsid w:val="00924AD6"/>
    <w:rsid w:val="009268EF"/>
    <w:rsid w:val="0092703B"/>
    <w:rsid w:val="00927451"/>
    <w:rsid w:val="009278FD"/>
    <w:rsid w:val="0092793B"/>
    <w:rsid w:val="0092795E"/>
    <w:rsid w:val="00927DE0"/>
    <w:rsid w:val="009316C6"/>
    <w:rsid w:val="00932310"/>
    <w:rsid w:val="00932561"/>
    <w:rsid w:val="00933BFD"/>
    <w:rsid w:val="00933CF5"/>
    <w:rsid w:val="0093404B"/>
    <w:rsid w:val="0093438B"/>
    <w:rsid w:val="00936752"/>
    <w:rsid w:val="009373D8"/>
    <w:rsid w:val="00937504"/>
    <w:rsid w:val="00944E20"/>
    <w:rsid w:val="00944E82"/>
    <w:rsid w:val="00952D3E"/>
    <w:rsid w:val="00953F67"/>
    <w:rsid w:val="00954233"/>
    <w:rsid w:val="00954878"/>
    <w:rsid w:val="009555F8"/>
    <w:rsid w:val="00955B40"/>
    <w:rsid w:val="0095671A"/>
    <w:rsid w:val="009606A8"/>
    <w:rsid w:val="00961B7B"/>
    <w:rsid w:val="00961F64"/>
    <w:rsid w:val="009624B0"/>
    <w:rsid w:val="00962801"/>
    <w:rsid w:val="00962D9C"/>
    <w:rsid w:val="009637B4"/>
    <w:rsid w:val="00963935"/>
    <w:rsid w:val="00963D08"/>
    <w:rsid w:val="00964510"/>
    <w:rsid w:val="00965C81"/>
    <w:rsid w:val="00966184"/>
    <w:rsid w:val="009664C6"/>
    <w:rsid w:val="00971469"/>
    <w:rsid w:val="00972C60"/>
    <w:rsid w:val="00973030"/>
    <w:rsid w:val="009730CD"/>
    <w:rsid w:val="00974401"/>
    <w:rsid w:val="00975072"/>
    <w:rsid w:val="009754F2"/>
    <w:rsid w:val="00976447"/>
    <w:rsid w:val="00976B9D"/>
    <w:rsid w:val="00981DBE"/>
    <w:rsid w:val="0098262C"/>
    <w:rsid w:val="009829A0"/>
    <w:rsid w:val="00983922"/>
    <w:rsid w:val="009857A2"/>
    <w:rsid w:val="00990DBE"/>
    <w:rsid w:val="0099131D"/>
    <w:rsid w:val="009939AD"/>
    <w:rsid w:val="009939DF"/>
    <w:rsid w:val="00993D78"/>
    <w:rsid w:val="00994F97"/>
    <w:rsid w:val="00997B65"/>
    <w:rsid w:val="00997CA4"/>
    <w:rsid w:val="009A1409"/>
    <w:rsid w:val="009A27EF"/>
    <w:rsid w:val="009A3F77"/>
    <w:rsid w:val="009A4401"/>
    <w:rsid w:val="009A4B1A"/>
    <w:rsid w:val="009A5A5F"/>
    <w:rsid w:val="009A70EF"/>
    <w:rsid w:val="009B0745"/>
    <w:rsid w:val="009B195F"/>
    <w:rsid w:val="009B1C13"/>
    <w:rsid w:val="009B25CB"/>
    <w:rsid w:val="009B28F6"/>
    <w:rsid w:val="009B3370"/>
    <w:rsid w:val="009B3610"/>
    <w:rsid w:val="009B4869"/>
    <w:rsid w:val="009B5E52"/>
    <w:rsid w:val="009B6234"/>
    <w:rsid w:val="009B689B"/>
    <w:rsid w:val="009B68A4"/>
    <w:rsid w:val="009B7CCD"/>
    <w:rsid w:val="009B7EA4"/>
    <w:rsid w:val="009C043F"/>
    <w:rsid w:val="009C099D"/>
    <w:rsid w:val="009C0CF7"/>
    <w:rsid w:val="009C2025"/>
    <w:rsid w:val="009C3029"/>
    <w:rsid w:val="009C3810"/>
    <w:rsid w:val="009C4FA9"/>
    <w:rsid w:val="009C5CC8"/>
    <w:rsid w:val="009C5F1D"/>
    <w:rsid w:val="009C70DE"/>
    <w:rsid w:val="009C79DE"/>
    <w:rsid w:val="009C7C21"/>
    <w:rsid w:val="009D043D"/>
    <w:rsid w:val="009D0478"/>
    <w:rsid w:val="009D3AAE"/>
    <w:rsid w:val="009D449E"/>
    <w:rsid w:val="009D6688"/>
    <w:rsid w:val="009E082F"/>
    <w:rsid w:val="009E0975"/>
    <w:rsid w:val="009E2421"/>
    <w:rsid w:val="009E34DB"/>
    <w:rsid w:val="009E35A3"/>
    <w:rsid w:val="009E4F5B"/>
    <w:rsid w:val="009E55CB"/>
    <w:rsid w:val="009E616B"/>
    <w:rsid w:val="009E661B"/>
    <w:rsid w:val="009F0080"/>
    <w:rsid w:val="009F0A74"/>
    <w:rsid w:val="009F3D26"/>
    <w:rsid w:val="009F44DC"/>
    <w:rsid w:val="009F604F"/>
    <w:rsid w:val="009F7BA6"/>
    <w:rsid w:val="009F7D3C"/>
    <w:rsid w:val="00A005CA"/>
    <w:rsid w:val="00A01E45"/>
    <w:rsid w:val="00A01E49"/>
    <w:rsid w:val="00A02393"/>
    <w:rsid w:val="00A026A7"/>
    <w:rsid w:val="00A02E0B"/>
    <w:rsid w:val="00A04BF4"/>
    <w:rsid w:val="00A05E00"/>
    <w:rsid w:val="00A104C3"/>
    <w:rsid w:val="00A10A22"/>
    <w:rsid w:val="00A10E2B"/>
    <w:rsid w:val="00A122C3"/>
    <w:rsid w:val="00A12435"/>
    <w:rsid w:val="00A127B2"/>
    <w:rsid w:val="00A20B5E"/>
    <w:rsid w:val="00A21144"/>
    <w:rsid w:val="00A23006"/>
    <w:rsid w:val="00A23246"/>
    <w:rsid w:val="00A261B0"/>
    <w:rsid w:val="00A26B71"/>
    <w:rsid w:val="00A271A6"/>
    <w:rsid w:val="00A27AC5"/>
    <w:rsid w:val="00A32FEA"/>
    <w:rsid w:val="00A33D50"/>
    <w:rsid w:val="00A35114"/>
    <w:rsid w:val="00A35A2E"/>
    <w:rsid w:val="00A367C4"/>
    <w:rsid w:val="00A400A1"/>
    <w:rsid w:val="00A42A85"/>
    <w:rsid w:val="00A45789"/>
    <w:rsid w:val="00A46089"/>
    <w:rsid w:val="00A47126"/>
    <w:rsid w:val="00A475D3"/>
    <w:rsid w:val="00A5002C"/>
    <w:rsid w:val="00A50B9A"/>
    <w:rsid w:val="00A512C7"/>
    <w:rsid w:val="00A51EA7"/>
    <w:rsid w:val="00A53A35"/>
    <w:rsid w:val="00A55497"/>
    <w:rsid w:val="00A5593E"/>
    <w:rsid w:val="00A55CE5"/>
    <w:rsid w:val="00A56257"/>
    <w:rsid w:val="00A56F49"/>
    <w:rsid w:val="00A61447"/>
    <w:rsid w:val="00A61F2F"/>
    <w:rsid w:val="00A6210C"/>
    <w:rsid w:val="00A63C56"/>
    <w:rsid w:val="00A63E64"/>
    <w:rsid w:val="00A6460A"/>
    <w:rsid w:val="00A66EA8"/>
    <w:rsid w:val="00A6711E"/>
    <w:rsid w:val="00A67CA2"/>
    <w:rsid w:val="00A707A9"/>
    <w:rsid w:val="00A71086"/>
    <w:rsid w:val="00A7435C"/>
    <w:rsid w:val="00A7439B"/>
    <w:rsid w:val="00A74BC2"/>
    <w:rsid w:val="00A74C6C"/>
    <w:rsid w:val="00A77657"/>
    <w:rsid w:val="00A77ED3"/>
    <w:rsid w:val="00A80687"/>
    <w:rsid w:val="00A80716"/>
    <w:rsid w:val="00A82985"/>
    <w:rsid w:val="00A83D61"/>
    <w:rsid w:val="00A84206"/>
    <w:rsid w:val="00A845D3"/>
    <w:rsid w:val="00A845E3"/>
    <w:rsid w:val="00A847CC"/>
    <w:rsid w:val="00A8536A"/>
    <w:rsid w:val="00A86290"/>
    <w:rsid w:val="00A866E7"/>
    <w:rsid w:val="00A86D09"/>
    <w:rsid w:val="00A86DF3"/>
    <w:rsid w:val="00A91A64"/>
    <w:rsid w:val="00A93AF3"/>
    <w:rsid w:val="00A9446E"/>
    <w:rsid w:val="00A966A7"/>
    <w:rsid w:val="00A96892"/>
    <w:rsid w:val="00AA046D"/>
    <w:rsid w:val="00AA0CBA"/>
    <w:rsid w:val="00AA0FD3"/>
    <w:rsid w:val="00AA18C9"/>
    <w:rsid w:val="00AA21F8"/>
    <w:rsid w:val="00AA4DA1"/>
    <w:rsid w:val="00AA575F"/>
    <w:rsid w:val="00AA5C06"/>
    <w:rsid w:val="00AA6FF6"/>
    <w:rsid w:val="00AA75D2"/>
    <w:rsid w:val="00AB11F2"/>
    <w:rsid w:val="00AB44AE"/>
    <w:rsid w:val="00AB464F"/>
    <w:rsid w:val="00AB4BA5"/>
    <w:rsid w:val="00AB524D"/>
    <w:rsid w:val="00AB547D"/>
    <w:rsid w:val="00AB6E28"/>
    <w:rsid w:val="00AB7F32"/>
    <w:rsid w:val="00AC0114"/>
    <w:rsid w:val="00AC0E4C"/>
    <w:rsid w:val="00AC1BEF"/>
    <w:rsid w:val="00AC204A"/>
    <w:rsid w:val="00AC28A4"/>
    <w:rsid w:val="00AC3FD5"/>
    <w:rsid w:val="00AC5396"/>
    <w:rsid w:val="00AC7C88"/>
    <w:rsid w:val="00AD0D61"/>
    <w:rsid w:val="00AD2EC0"/>
    <w:rsid w:val="00AD34A7"/>
    <w:rsid w:val="00AD35DC"/>
    <w:rsid w:val="00AD3E69"/>
    <w:rsid w:val="00AD4AB9"/>
    <w:rsid w:val="00AD4DE6"/>
    <w:rsid w:val="00AD521C"/>
    <w:rsid w:val="00AD71CA"/>
    <w:rsid w:val="00AE054E"/>
    <w:rsid w:val="00AE2F48"/>
    <w:rsid w:val="00AE3B6B"/>
    <w:rsid w:val="00AE4657"/>
    <w:rsid w:val="00AE551E"/>
    <w:rsid w:val="00AE5B27"/>
    <w:rsid w:val="00AE6173"/>
    <w:rsid w:val="00AE66E9"/>
    <w:rsid w:val="00AE69DE"/>
    <w:rsid w:val="00AF00AC"/>
    <w:rsid w:val="00AF1937"/>
    <w:rsid w:val="00AF498C"/>
    <w:rsid w:val="00AF603A"/>
    <w:rsid w:val="00B00B4F"/>
    <w:rsid w:val="00B01330"/>
    <w:rsid w:val="00B01D5C"/>
    <w:rsid w:val="00B02881"/>
    <w:rsid w:val="00B02DB1"/>
    <w:rsid w:val="00B054E4"/>
    <w:rsid w:val="00B056B3"/>
    <w:rsid w:val="00B05BD5"/>
    <w:rsid w:val="00B0765E"/>
    <w:rsid w:val="00B07848"/>
    <w:rsid w:val="00B078B1"/>
    <w:rsid w:val="00B109AA"/>
    <w:rsid w:val="00B1117B"/>
    <w:rsid w:val="00B13E1B"/>
    <w:rsid w:val="00B14BFA"/>
    <w:rsid w:val="00B14E52"/>
    <w:rsid w:val="00B161FB"/>
    <w:rsid w:val="00B16946"/>
    <w:rsid w:val="00B17239"/>
    <w:rsid w:val="00B20032"/>
    <w:rsid w:val="00B204D5"/>
    <w:rsid w:val="00B21A11"/>
    <w:rsid w:val="00B23C06"/>
    <w:rsid w:val="00B24542"/>
    <w:rsid w:val="00B2542D"/>
    <w:rsid w:val="00B264E5"/>
    <w:rsid w:val="00B27C8D"/>
    <w:rsid w:val="00B30E7F"/>
    <w:rsid w:val="00B32C0F"/>
    <w:rsid w:val="00B33F2D"/>
    <w:rsid w:val="00B346D8"/>
    <w:rsid w:val="00B34CC6"/>
    <w:rsid w:val="00B351A9"/>
    <w:rsid w:val="00B35EC4"/>
    <w:rsid w:val="00B36E8C"/>
    <w:rsid w:val="00B36F42"/>
    <w:rsid w:val="00B41307"/>
    <w:rsid w:val="00B425E2"/>
    <w:rsid w:val="00B43DF8"/>
    <w:rsid w:val="00B43E70"/>
    <w:rsid w:val="00B444A4"/>
    <w:rsid w:val="00B44A0A"/>
    <w:rsid w:val="00B50BF2"/>
    <w:rsid w:val="00B514B6"/>
    <w:rsid w:val="00B51E95"/>
    <w:rsid w:val="00B52901"/>
    <w:rsid w:val="00B5490D"/>
    <w:rsid w:val="00B54A2B"/>
    <w:rsid w:val="00B54D20"/>
    <w:rsid w:val="00B602F4"/>
    <w:rsid w:val="00B60789"/>
    <w:rsid w:val="00B60B30"/>
    <w:rsid w:val="00B61D7F"/>
    <w:rsid w:val="00B6320D"/>
    <w:rsid w:val="00B63BF2"/>
    <w:rsid w:val="00B65AC2"/>
    <w:rsid w:val="00B674A6"/>
    <w:rsid w:val="00B67A4C"/>
    <w:rsid w:val="00B703C3"/>
    <w:rsid w:val="00B71194"/>
    <w:rsid w:val="00B72C62"/>
    <w:rsid w:val="00B73D40"/>
    <w:rsid w:val="00B75489"/>
    <w:rsid w:val="00B76335"/>
    <w:rsid w:val="00B76C83"/>
    <w:rsid w:val="00B77106"/>
    <w:rsid w:val="00B77424"/>
    <w:rsid w:val="00B77FA4"/>
    <w:rsid w:val="00B80CFC"/>
    <w:rsid w:val="00B824E6"/>
    <w:rsid w:val="00B84445"/>
    <w:rsid w:val="00B8621C"/>
    <w:rsid w:val="00B86B3F"/>
    <w:rsid w:val="00B86F01"/>
    <w:rsid w:val="00B8717B"/>
    <w:rsid w:val="00B9065F"/>
    <w:rsid w:val="00B9155D"/>
    <w:rsid w:val="00B915DD"/>
    <w:rsid w:val="00B93006"/>
    <w:rsid w:val="00BA0278"/>
    <w:rsid w:val="00BA03EA"/>
    <w:rsid w:val="00BA0F92"/>
    <w:rsid w:val="00BA1512"/>
    <w:rsid w:val="00BA15DE"/>
    <w:rsid w:val="00BA188E"/>
    <w:rsid w:val="00BA1A75"/>
    <w:rsid w:val="00BA27D2"/>
    <w:rsid w:val="00BA298E"/>
    <w:rsid w:val="00BA2DEC"/>
    <w:rsid w:val="00BA32EF"/>
    <w:rsid w:val="00BA50C2"/>
    <w:rsid w:val="00BA53B3"/>
    <w:rsid w:val="00BA5E9D"/>
    <w:rsid w:val="00BA5FD1"/>
    <w:rsid w:val="00BA6587"/>
    <w:rsid w:val="00BA73B9"/>
    <w:rsid w:val="00BA7CA7"/>
    <w:rsid w:val="00BB0547"/>
    <w:rsid w:val="00BB0C49"/>
    <w:rsid w:val="00BB116A"/>
    <w:rsid w:val="00BB6B94"/>
    <w:rsid w:val="00BB7D94"/>
    <w:rsid w:val="00BC14D2"/>
    <w:rsid w:val="00BC19A6"/>
    <w:rsid w:val="00BC2071"/>
    <w:rsid w:val="00BC2344"/>
    <w:rsid w:val="00BC2DAA"/>
    <w:rsid w:val="00BC6C29"/>
    <w:rsid w:val="00BC7AE9"/>
    <w:rsid w:val="00BC7D79"/>
    <w:rsid w:val="00BD0143"/>
    <w:rsid w:val="00BD0AB1"/>
    <w:rsid w:val="00BD1B35"/>
    <w:rsid w:val="00BD1BB9"/>
    <w:rsid w:val="00BD1E22"/>
    <w:rsid w:val="00BD29BD"/>
    <w:rsid w:val="00BD29EA"/>
    <w:rsid w:val="00BD2B2E"/>
    <w:rsid w:val="00BD5925"/>
    <w:rsid w:val="00BD6681"/>
    <w:rsid w:val="00BD77D9"/>
    <w:rsid w:val="00BE0147"/>
    <w:rsid w:val="00BE06BF"/>
    <w:rsid w:val="00BE0C23"/>
    <w:rsid w:val="00BE1704"/>
    <w:rsid w:val="00BE2608"/>
    <w:rsid w:val="00BE2AE2"/>
    <w:rsid w:val="00BE311D"/>
    <w:rsid w:val="00BE64AC"/>
    <w:rsid w:val="00BF0DBE"/>
    <w:rsid w:val="00BF1392"/>
    <w:rsid w:val="00BF1A97"/>
    <w:rsid w:val="00BF29C2"/>
    <w:rsid w:val="00BF29DB"/>
    <w:rsid w:val="00BF2C73"/>
    <w:rsid w:val="00BF2F9F"/>
    <w:rsid w:val="00BF4AC3"/>
    <w:rsid w:val="00BF5601"/>
    <w:rsid w:val="00BF572B"/>
    <w:rsid w:val="00BF6BBC"/>
    <w:rsid w:val="00BF7728"/>
    <w:rsid w:val="00BF7769"/>
    <w:rsid w:val="00BF79D9"/>
    <w:rsid w:val="00C03158"/>
    <w:rsid w:val="00C03E93"/>
    <w:rsid w:val="00C0547F"/>
    <w:rsid w:val="00C05FBE"/>
    <w:rsid w:val="00C0705D"/>
    <w:rsid w:val="00C07411"/>
    <w:rsid w:val="00C076FE"/>
    <w:rsid w:val="00C1189C"/>
    <w:rsid w:val="00C11A20"/>
    <w:rsid w:val="00C129C4"/>
    <w:rsid w:val="00C14301"/>
    <w:rsid w:val="00C14C04"/>
    <w:rsid w:val="00C15363"/>
    <w:rsid w:val="00C15611"/>
    <w:rsid w:val="00C16FDE"/>
    <w:rsid w:val="00C17D06"/>
    <w:rsid w:val="00C2049D"/>
    <w:rsid w:val="00C217DF"/>
    <w:rsid w:val="00C22C75"/>
    <w:rsid w:val="00C22D30"/>
    <w:rsid w:val="00C2327D"/>
    <w:rsid w:val="00C2442A"/>
    <w:rsid w:val="00C24924"/>
    <w:rsid w:val="00C25478"/>
    <w:rsid w:val="00C25B16"/>
    <w:rsid w:val="00C27E36"/>
    <w:rsid w:val="00C30322"/>
    <w:rsid w:val="00C3293F"/>
    <w:rsid w:val="00C32C18"/>
    <w:rsid w:val="00C330C9"/>
    <w:rsid w:val="00C35083"/>
    <w:rsid w:val="00C35E19"/>
    <w:rsid w:val="00C365D3"/>
    <w:rsid w:val="00C37F6F"/>
    <w:rsid w:val="00C40D78"/>
    <w:rsid w:val="00C420AA"/>
    <w:rsid w:val="00C42D01"/>
    <w:rsid w:val="00C4300C"/>
    <w:rsid w:val="00C4597B"/>
    <w:rsid w:val="00C45E6D"/>
    <w:rsid w:val="00C47312"/>
    <w:rsid w:val="00C47D5F"/>
    <w:rsid w:val="00C47FEB"/>
    <w:rsid w:val="00C50E21"/>
    <w:rsid w:val="00C529B6"/>
    <w:rsid w:val="00C52F11"/>
    <w:rsid w:val="00C55539"/>
    <w:rsid w:val="00C55DB3"/>
    <w:rsid w:val="00C55FF4"/>
    <w:rsid w:val="00C5691C"/>
    <w:rsid w:val="00C60608"/>
    <w:rsid w:val="00C613F2"/>
    <w:rsid w:val="00C618E5"/>
    <w:rsid w:val="00C635BB"/>
    <w:rsid w:val="00C63CA2"/>
    <w:rsid w:val="00C63FB3"/>
    <w:rsid w:val="00C64F54"/>
    <w:rsid w:val="00C65630"/>
    <w:rsid w:val="00C679A2"/>
    <w:rsid w:val="00C67C35"/>
    <w:rsid w:val="00C71366"/>
    <w:rsid w:val="00C72A9F"/>
    <w:rsid w:val="00C75EE6"/>
    <w:rsid w:val="00C8315E"/>
    <w:rsid w:val="00C84066"/>
    <w:rsid w:val="00C8522C"/>
    <w:rsid w:val="00C86B4A"/>
    <w:rsid w:val="00C86D45"/>
    <w:rsid w:val="00C87535"/>
    <w:rsid w:val="00C929CE"/>
    <w:rsid w:val="00C9431C"/>
    <w:rsid w:val="00C94BFC"/>
    <w:rsid w:val="00C94CBF"/>
    <w:rsid w:val="00C94F70"/>
    <w:rsid w:val="00C962CF"/>
    <w:rsid w:val="00C9746E"/>
    <w:rsid w:val="00C979B0"/>
    <w:rsid w:val="00CA0C63"/>
    <w:rsid w:val="00CA2006"/>
    <w:rsid w:val="00CA437B"/>
    <w:rsid w:val="00CA4AE8"/>
    <w:rsid w:val="00CA68E6"/>
    <w:rsid w:val="00CA69BE"/>
    <w:rsid w:val="00CA719A"/>
    <w:rsid w:val="00CA7BAE"/>
    <w:rsid w:val="00CB001F"/>
    <w:rsid w:val="00CB1088"/>
    <w:rsid w:val="00CB2493"/>
    <w:rsid w:val="00CB36C3"/>
    <w:rsid w:val="00CB73CB"/>
    <w:rsid w:val="00CB74FE"/>
    <w:rsid w:val="00CC2729"/>
    <w:rsid w:val="00CC2B2D"/>
    <w:rsid w:val="00CC389B"/>
    <w:rsid w:val="00CC5255"/>
    <w:rsid w:val="00CC5A19"/>
    <w:rsid w:val="00CD106C"/>
    <w:rsid w:val="00CD3D82"/>
    <w:rsid w:val="00CD4F16"/>
    <w:rsid w:val="00CD59C9"/>
    <w:rsid w:val="00CD767C"/>
    <w:rsid w:val="00CE1261"/>
    <w:rsid w:val="00CE14BD"/>
    <w:rsid w:val="00CE1E7B"/>
    <w:rsid w:val="00CE29FB"/>
    <w:rsid w:val="00CE47B2"/>
    <w:rsid w:val="00CE4E30"/>
    <w:rsid w:val="00CE6259"/>
    <w:rsid w:val="00CE67E5"/>
    <w:rsid w:val="00CE793A"/>
    <w:rsid w:val="00CE7BE5"/>
    <w:rsid w:val="00CF0311"/>
    <w:rsid w:val="00CF1A76"/>
    <w:rsid w:val="00CF2C71"/>
    <w:rsid w:val="00CF35D2"/>
    <w:rsid w:val="00CF45D9"/>
    <w:rsid w:val="00CF5EF5"/>
    <w:rsid w:val="00CF6FE4"/>
    <w:rsid w:val="00CF7B96"/>
    <w:rsid w:val="00CF7D5E"/>
    <w:rsid w:val="00D0056C"/>
    <w:rsid w:val="00D00BE0"/>
    <w:rsid w:val="00D0144F"/>
    <w:rsid w:val="00D01F4C"/>
    <w:rsid w:val="00D027CB"/>
    <w:rsid w:val="00D03382"/>
    <w:rsid w:val="00D04BF8"/>
    <w:rsid w:val="00D05A97"/>
    <w:rsid w:val="00D07F9B"/>
    <w:rsid w:val="00D110C0"/>
    <w:rsid w:val="00D125DA"/>
    <w:rsid w:val="00D12BC8"/>
    <w:rsid w:val="00D14BB2"/>
    <w:rsid w:val="00D15B79"/>
    <w:rsid w:val="00D16747"/>
    <w:rsid w:val="00D17DFA"/>
    <w:rsid w:val="00D2006E"/>
    <w:rsid w:val="00D22C92"/>
    <w:rsid w:val="00D236BD"/>
    <w:rsid w:val="00D24061"/>
    <w:rsid w:val="00D24432"/>
    <w:rsid w:val="00D26DCD"/>
    <w:rsid w:val="00D33108"/>
    <w:rsid w:val="00D33198"/>
    <w:rsid w:val="00D335F2"/>
    <w:rsid w:val="00D339F9"/>
    <w:rsid w:val="00D34FB8"/>
    <w:rsid w:val="00D35A5C"/>
    <w:rsid w:val="00D363AA"/>
    <w:rsid w:val="00D36456"/>
    <w:rsid w:val="00D3735F"/>
    <w:rsid w:val="00D37361"/>
    <w:rsid w:val="00D37932"/>
    <w:rsid w:val="00D37C6B"/>
    <w:rsid w:val="00D4012F"/>
    <w:rsid w:val="00D40184"/>
    <w:rsid w:val="00D408A3"/>
    <w:rsid w:val="00D41078"/>
    <w:rsid w:val="00D43A58"/>
    <w:rsid w:val="00D47B42"/>
    <w:rsid w:val="00D513DA"/>
    <w:rsid w:val="00D52881"/>
    <w:rsid w:val="00D531D6"/>
    <w:rsid w:val="00D53793"/>
    <w:rsid w:val="00D54874"/>
    <w:rsid w:val="00D55ECA"/>
    <w:rsid w:val="00D56007"/>
    <w:rsid w:val="00D608BF"/>
    <w:rsid w:val="00D60BC6"/>
    <w:rsid w:val="00D612C8"/>
    <w:rsid w:val="00D6132E"/>
    <w:rsid w:val="00D62D3C"/>
    <w:rsid w:val="00D632C3"/>
    <w:rsid w:val="00D6399E"/>
    <w:rsid w:val="00D64D50"/>
    <w:rsid w:val="00D64DC1"/>
    <w:rsid w:val="00D6552C"/>
    <w:rsid w:val="00D66906"/>
    <w:rsid w:val="00D66CB1"/>
    <w:rsid w:val="00D66DA6"/>
    <w:rsid w:val="00D67187"/>
    <w:rsid w:val="00D706D8"/>
    <w:rsid w:val="00D7285F"/>
    <w:rsid w:val="00D72E3E"/>
    <w:rsid w:val="00D7314B"/>
    <w:rsid w:val="00D74078"/>
    <w:rsid w:val="00D74585"/>
    <w:rsid w:val="00D776FB"/>
    <w:rsid w:val="00D77E0A"/>
    <w:rsid w:val="00D80634"/>
    <w:rsid w:val="00D80C6A"/>
    <w:rsid w:val="00D817D3"/>
    <w:rsid w:val="00D850C9"/>
    <w:rsid w:val="00D858CC"/>
    <w:rsid w:val="00D86243"/>
    <w:rsid w:val="00D862F4"/>
    <w:rsid w:val="00D87922"/>
    <w:rsid w:val="00D91D69"/>
    <w:rsid w:val="00D92A73"/>
    <w:rsid w:val="00D93578"/>
    <w:rsid w:val="00D9511F"/>
    <w:rsid w:val="00D972EA"/>
    <w:rsid w:val="00D975A3"/>
    <w:rsid w:val="00DA053F"/>
    <w:rsid w:val="00DA10DE"/>
    <w:rsid w:val="00DA264F"/>
    <w:rsid w:val="00DA375F"/>
    <w:rsid w:val="00DA4A60"/>
    <w:rsid w:val="00DA74B3"/>
    <w:rsid w:val="00DB27F3"/>
    <w:rsid w:val="00DB2FC1"/>
    <w:rsid w:val="00DB5107"/>
    <w:rsid w:val="00DB51F3"/>
    <w:rsid w:val="00DB5485"/>
    <w:rsid w:val="00DB60BA"/>
    <w:rsid w:val="00DB77F7"/>
    <w:rsid w:val="00DB785D"/>
    <w:rsid w:val="00DC0940"/>
    <w:rsid w:val="00DC27CD"/>
    <w:rsid w:val="00DC29E8"/>
    <w:rsid w:val="00DC2C4C"/>
    <w:rsid w:val="00DC2D5D"/>
    <w:rsid w:val="00DC4665"/>
    <w:rsid w:val="00DC66E8"/>
    <w:rsid w:val="00DC673E"/>
    <w:rsid w:val="00DC7020"/>
    <w:rsid w:val="00DC729D"/>
    <w:rsid w:val="00DD0305"/>
    <w:rsid w:val="00DD1AB2"/>
    <w:rsid w:val="00DD2A1D"/>
    <w:rsid w:val="00DD3BB2"/>
    <w:rsid w:val="00DD4EF3"/>
    <w:rsid w:val="00DD5182"/>
    <w:rsid w:val="00DD6989"/>
    <w:rsid w:val="00DD716D"/>
    <w:rsid w:val="00DE1D1E"/>
    <w:rsid w:val="00DE225F"/>
    <w:rsid w:val="00DE2948"/>
    <w:rsid w:val="00DE3CE8"/>
    <w:rsid w:val="00DE3FB7"/>
    <w:rsid w:val="00DE3FFB"/>
    <w:rsid w:val="00DE5AF2"/>
    <w:rsid w:val="00DE735A"/>
    <w:rsid w:val="00DF0DFE"/>
    <w:rsid w:val="00DF244A"/>
    <w:rsid w:val="00DF3518"/>
    <w:rsid w:val="00DF5ED3"/>
    <w:rsid w:val="00DF6AE1"/>
    <w:rsid w:val="00DF7BFC"/>
    <w:rsid w:val="00E00C7C"/>
    <w:rsid w:val="00E023D2"/>
    <w:rsid w:val="00E03CC3"/>
    <w:rsid w:val="00E059AD"/>
    <w:rsid w:val="00E10DB6"/>
    <w:rsid w:val="00E12058"/>
    <w:rsid w:val="00E12DC9"/>
    <w:rsid w:val="00E131AA"/>
    <w:rsid w:val="00E14139"/>
    <w:rsid w:val="00E14EC6"/>
    <w:rsid w:val="00E15274"/>
    <w:rsid w:val="00E16688"/>
    <w:rsid w:val="00E168FE"/>
    <w:rsid w:val="00E1743B"/>
    <w:rsid w:val="00E20931"/>
    <w:rsid w:val="00E20932"/>
    <w:rsid w:val="00E2120B"/>
    <w:rsid w:val="00E222A9"/>
    <w:rsid w:val="00E22EB8"/>
    <w:rsid w:val="00E22FA4"/>
    <w:rsid w:val="00E2314E"/>
    <w:rsid w:val="00E2370F"/>
    <w:rsid w:val="00E25542"/>
    <w:rsid w:val="00E30937"/>
    <w:rsid w:val="00E311E9"/>
    <w:rsid w:val="00E31701"/>
    <w:rsid w:val="00E31C46"/>
    <w:rsid w:val="00E3277A"/>
    <w:rsid w:val="00E329B2"/>
    <w:rsid w:val="00E34B89"/>
    <w:rsid w:val="00E35299"/>
    <w:rsid w:val="00E367FD"/>
    <w:rsid w:val="00E36B26"/>
    <w:rsid w:val="00E42657"/>
    <w:rsid w:val="00E439F6"/>
    <w:rsid w:val="00E44674"/>
    <w:rsid w:val="00E462DC"/>
    <w:rsid w:val="00E4640C"/>
    <w:rsid w:val="00E46D7C"/>
    <w:rsid w:val="00E50574"/>
    <w:rsid w:val="00E531B3"/>
    <w:rsid w:val="00E5482C"/>
    <w:rsid w:val="00E554C5"/>
    <w:rsid w:val="00E62916"/>
    <w:rsid w:val="00E70634"/>
    <w:rsid w:val="00E71A88"/>
    <w:rsid w:val="00E71A9D"/>
    <w:rsid w:val="00E72C40"/>
    <w:rsid w:val="00E73884"/>
    <w:rsid w:val="00E73A44"/>
    <w:rsid w:val="00E74692"/>
    <w:rsid w:val="00E76BBE"/>
    <w:rsid w:val="00E8145A"/>
    <w:rsid w:val="00E81473"/>
    <w:rsid w:val="00E816A0"/>
    <w:rsid w:val="00E81A6B"/>
    <w:rsid w:val="00E826F1"/>
    <w:rsid w:val="00E836C8"/>
    <w:rsid w:val="00E83EFE"/>
    <w:rsid w:val="00E846EE"/>
    <w:rsid w:val="00E85EAB"/>
    <w:rsid w:val="00E90CC4"/>
    <w:rsid w:val="00E92154"/>
    <w:rsid w:val="00E92B20"/>
    <w:rsid w:val="00E95480"/>
    <w:rsid w:val="00E9575C"/>
    <w:rsid w:val="00E960C9"/>
    <w:rsid w:val="00E9640E"/>
    <w:rsid w:val="00EA1DE9"/>
    <w:rsid w:val="00EA698D"/>
    <w:rsid w:val="00EA6E6F"/>
    <w:rsid w:val="00EA77F7"/>
    <w:rsid w:val="00EB08CF"/>
    <w:rsid w:val="00EB131D"/>
    <w:rsid w:val="00EB1D84"/>
    <w:rsid w:val="00EB3AB0"/>
    <w:rsid w:val="00EB45F2"/>
    <w:rsid w:val="00EB483C"/>
    <w:rsid w:val="00EB7F1F"/>
    <w:rsid w:val="00EC03D2"/>
    <w:rsid w:val="00EC4B78"/>
    <w:rsid w:val="00EC5864"/>
    <w:rsid w:val="00EC6E43"/>
    <w:rsid w:val="00EC72FB"/>
    <w:rsid w:val="00ED0375"/>
    <w:rsid w:val="00ED1ADC"/>
    <w:rsid w:val="00ED1F34"/>
    <w:rsid w:val="00ED6642"/>
    <w:rsid w:val="00ED768E"/>
    <w:rsid w:val="00EE20A4"/>
    <w:rsid w:val="00EE22AF"/>
    <w:rsid w:val="00EE509F"/>
    <w:rsid w:val="00EE51DA"/>
    <w:rsid w:val="00EE55F3"/>
    <w:rsid w:val="00EE674A"/>
    <w:rsid w:val="00EF08A6"/>
    <w:rsid w:val="00EF25DF"/>
    <w:rsid w:val="00EF3A23"/>
    <w:rsid w:val="00EF4F17"/>
    <w:rsid w:val="00EF4F51"/>
    <w:rsid w:val="00EF4F7A"/>
    <w:rsid w:val="00EF5540"/>
    <w:rsid w:val="00EF64E0"/>
    <w:rsid w:val="00F00091"/>
    <w:rsid w:val="00F01257"/>
    <w:rsid w:val="00F01260"/>
    <w:rsid w:val="00F02AAB"/>
    <w:rsid w:val="00F0523C"/>
    <w:rsid w:val="00F06315"/>
    <w:rsid w:val="00F069D3"/>
    <w:rsid w:val="00F0721A"/>
    <w:rsid w:val="00F10826"/>
    <w:rsid w:val="00F11246"/>
    <w:rsid w:val="00F11D6B"/>
    <w:rsid w:val="00F12093"/>
    <w:rsid w:val="00F12254"/>
    <w:rsid w:val="00F16A48"/>
    <w:rsid w:val="00F1706D"/>
    <w:rsid w:val="00F2265D"/>
    <w:rsid w:val="00F2488E"/>
    <w:rsid w:val="00F26073"/>
    <w:rsid w:val="00F276E6"/>
    <w:rsid w:val="00F27799"/>
    <w:rsid w:val="00F31F25"/>
    <w:rsid w:val="00F34171"/>
    <w:rsid w:val="00F3455E"/>
    <w:rsid w:val="00F34E38"/>
    <w:rsid w:val="00F350FE"/>
    <w:rsid w:val="00F351D8"/>
    <w:rsid w:val="00F35CAC"/>
    <w:rsid w:val="00F36239"/>
    <w:rsid w:val="00F3626C"/>
    <w:rsid w:val="00F36DA3"/>
    <w:rsid w:val="00F41960"/>
    <w:rsid w:val="00F41D1F"/>
    <w:rsid w:val="00F42498"/>
    <w:rsid w:val="00F428FD"/>
    <w:rsid w:val="00F4351E"/>
    <w:rsid w:val="00F43649"/>
    <w:rsid w:val="00F4713D"/>
    <w:rsid w:val="00F47599"/>
    <w:rsid w:val="00F4766E"/>
    <w:rsid w:val="00F477AB"/>
    <w:rsid w:val="00F5026A"/>
    <w:rsid w:val="00F50430"/>
    <w:rsid w:val="00F51914"/>
    <w:rsid w:val="00F525CA"/>
    <w:rsid w:val="00F52BC0"/>
    <w:rsid w:val="00F52F2D"/>
    <w:rsid w:val="00F533EC"/>
    <w:rsid w:val="00F53992"/>
    <w:rsid w:val="00F54CB5"/>
    <w:rsid w:val="00F5553A"/>
    <w:rsid w:val="00F555EC"/>
    <w:rsid w:val="00F562BD"/>
    <w:rsid w:val="00F62A50"/>
    <w:rsid w:val="00F6506A"/>
    <w:rsid w:val="00F65CA0"/>
    <w:rsid w:val="00F669ED"/>
    <w:rsid w:val="00F701BA"/>
    <w:rsid w:val="00F70613"/>
    <w:rsid w:val="00F73519"/>
    <w:rsid w:val="00F73649"/>
    <w:rsid w:val="00F740BF"/>
    <w:rsid w:val="00F769E1"/>
    <w:rsid w:val="00F76CA0"/>
    <w:rsid w:val="00F801E2"/>
    <w:rsid w:val="00F80607"/>
    <w:rsid w:val="00F80B25"/>
    <w:rsid w:val="00F822AE"/>
    <w:rsid w:val="00F82AB1"/>
    <w:rsid w:val="00F82FA5"/>
    <w:rsid w:val="00F85A7F"/>
    <w:rsid w:val="00F86D4C"/>
    <w:rsid w:val="00F8788C"/>
    <w:rsid w:val="00F87A62"/>
    <w:rsid w:val="00F90265"/>
    <w:rsid w:val="00F90319"/>
    <w:rsid w:val="00F906F4"/>
    <w:rsid w:val="00F92581"/>
    <w:rsid w:val="00F92F7E"/>
    <w:rsid w:val="00F953B5"/>
    <w:rsid w:val="00F953B9"/>
    <w:rsid w:val="00F9571E"/>
    <w:rsid w:val="00F960F3"/>
    <w:rsid w:val="00F9632B"/>
    <w:rsid w:val="00F96DAB"/>
    <w:rsid w:val="00F97597"/>
    <w:rsid w:val="00FA1525"/>
    <w:rsid w:val="00FA2CF2"/>
    <w:rsid w:val="00FA33C6"/>
    <w:rsid w:val="00FA360E"/>
    <w:rsid w:val="00FA43D3"/>
    <w:rsid w:val="00FA4F61"/>
    <w:rsid w:val="00FA645F"/>
    <w:rsid w:val="00FA7193"/>
    <w:rsid w:val="00FB0155"/>
    <w:rsid w:val="00FB0D5B"/>
    <w:rsid w:val="00FB2528"/>
    <w:rsid w:val="00FB291D"/>
    <w:rsid w:val="00FB2E7F"/>
    <w:rsid w:val="00FB2E9F"/>
    <w:rsid w:val="00FB33C7"/>
    <w:rsid w:val="00FB53EA"/>
    <w:rsid w:val="00FB5D57"/>
    <w:rsid w:val="00FB5D7A"/>
    <w:rsid w:val="00FB6EEA"/>
    <w:rsid w:val="00FB7510"/>
    <w:rsid w:val="00FB791C"/>
    <w:rsid w:val="00FC2042"/>
    <w:rsid w:val="00FC3186"/>
    <w:rsid w:val="00FC33B5"/>
    <w:rsid w:val="00FC37B3"/>
    <w:rsid w:val="00FC3B9B"/>
    <w:rsid w:val="00FC3CE8"/>
    <w:rsid w:val="00FC54C8"/>
    <w:rsid w:val="00FC56F2"/>
    <w:rsid w:val="00FC7801"/>
    <w:rsid w:val="00FD1D7C"/>
    <w:rsid w:val="00FD2688"/>
    <w:rsid w:val="00FD3F2B"/>
    <w:rsid w:val="00FD462C"/>
    <w:rsid w:val="00FD5371"/>
    <w:rsid w:val="00FD5AF8"/>
    <w:rsid w:val="00FE01EE"/>
    <w:rsid w:val="00FE1CBE"/>
    <w:rsid w:val="00FE24C3"/>
    <w:rsid w:val="00FE2EFE"/>
    <w:rsid w:val="00FE3689"/>
    <w:rsid w:val="00FE38CB"/>
    <w:rsid w:val="00FE4082"/>
    <w:rsid w:val="00FE4D58"/>
    <w:rsid w:val="00FE54A0"/>
    <w:rsid w:val="00FE54A3"/>
    <w:rsid w:val="00FE6893"/>
    <w:rsid w:val="00FE7525"/>
    <w:rsid w:val="00FF077E"/>
    <w:rsid w:val="00FF0C33"/>
    <w:rsid w:val="00FF2A28"/>
    <w:rsid w:val="00FF2BB7"/>
    <w:rsid w:val="00FF3374"/>
    <w:rsid w:val="00FF3534"/>
    <w:rsid w:val="00FF5BA1"/>
    <w:rsid w:val="00FF5EC6"/>
    <w:rsid w:val="00FF6149"/>
    <w:rsid w:val="00FF646B"/>
    <w:rsid w:val="00FF7A2C"/>
    <w:rsid w:val="00FF7EC0"/>
    <w:rsid w:val="01170C55"/>
    <w:rsid w:val="01321B07"/>
    <w:rsid w:val="01675739"/>
    <w:rsid w:val="017A36FD"/>
    <w:rsid w:val="01872519"/>
    <w:rsid w:val="018B08DD"/>
    <w:rsid w:val="018C6DE4"/>
    <w:rsid w:val="01916C5A"/>
    <w:rsid w:val="019A2877"/>
    <w:rsid w:val="01A544B3"/>
    <w:rsid w:val="01B841E6"/>
    <w:rsid w:val="01C761D7"/>
    <w:rsid w:val="01CC51B2"/>
    <w:rsid w:val="01D658FA"/>
    <w:rsid w:val="01E47E40"/>
    <w:rsid w:val="01F1594A"/>
    <w:rsid w:val="01F9035B"/>
    <w:rsid w:val="021D2200"/>
    <w:rsid w:val="022360E1"/>
    <w:rsid w:val="022950E4"/>
    <w:rsid w:val="025603E8"/>
    <w:rsid w:val="02584564"/>
    <w:rsid w:val="026659F0"/>
    <w:rsid w:val="0281028A"/>
    <w:rsid w:val="028C21C0"/>
    <w:rsid w:val="028C32D2"/>
    <w:rsid w:val="0299459B"/>
    <w:rsid w:val="029D6C79"/>
    <w:rsid w:val="02C23950"/>
    <w:rsid w:val="02C62933"/>
    <w:rsid w:val="02C74038"/>
    <w:rsid w:val="02CA620D"/>
    <w:rsid w:val="02CB6AEB"/>
    <w:rsid w:val="02E16CA8"/>
    <w:rsid w:val="030A0578"/>
    <w:rsid w:val="03125B78"/>
    <w:rsid w:val="031511C4"/>
    <w:rsid w:val="03204088"/>
    <w:rsid w:val="03231B33"/>
    <w:rsid w:val="032D29B2"/>
    <w:rsid w:val="03385CEF"/>
    <w:rsid w:val="03435D32"/>
    <w:rsid w:val="03AC38D7"/>
    <w:rsid w:val="03C36E72"/>
    <w:rsid w:val="03C476F2"/>
    <w:rsid w:val="03C926DB"/>
    <w:rsid w:val="03CE5F43"/>
    <w:rsid w:val="03D942D2"/>
    <w:rsid w:val="03E84570"/>
    <w:rsid w:val="040556DD"/>
    <w:rsid w:val="040F3E66"/>
    <w:rsid w:val="042711AF"/>
    <w:rsid w:val="04697A1A"/>
    <w:rsid w:val="04951F25"/>
    <w:rsid w:val="04956A61"/>
    <w:rsid w:val="04B36EE7"/>
    <w:rsid w:val="04BC3FEE"/>
    <w:rsid w:val="04BE7650"/>
    <w:rsid w:val="04BF588C"/>
    <w:rsid w:val="04D07007"/>
    <w:rsid w:val="04E96190"/>
    <w:rsid w:val="04F973C6"/>
    <w:rsid w:val="050138D2"/>
    <w:rsid w:val="051A6F66"/>
    <w:rsid w:val="052E2864"/>
    <w:rsid w:val="053A5CE9"/>
    <w:rsid w:val="054008E5"/>
    <w:rsid w:val="05453FE3"/>
    <w:rsid w:val="054B711F"/>
    <w:rsid w:val="0553766A"/>
    <w:rsid w:val="05541716"/>
    <w:rsid w:val="0554383C"/>
    <w:rsid w:val="0559550B"/>
    <w:rsid w:val="05616943"/>
    <w:rsid w:val="05622E1E"/>
    <w:rsid w:val="05630E3A"/>
    <w:rsid w:val="056F49B5"/>
    <w:rsid w:val="05725A3A"/>
    <w:rsid w:val="05834B0B"/>
    <w:rsid w:val="058B29A1"/>
    <w:rsid w:val="059613D3"/>
    <w:rsid w:val="05B9052D"/>
    <w:rsid w:val="05CE2604"/>
    <w:rsid w:val="05F039E1"/>
    <w:rsid w:val="05F60610"/>
    <w:rsid w:val="05F95AE8"/>
    <w:rsid w:val="0616597F"/>
    <w:rsid w:val="06224693"/>
    <w:rsid w:val="062946D4"/>
    <w:rsid w:val="063135CD"/>
    <w:rsid w:val="063302DF"/>
    <w:rsid w:val="06351600"/>
    <w:rsid w:val="06385F8C"/>
    <w:rsid w:val="06414FFA"/>
    <w:rsid w:val="06493526"/>
    <w:rsid w:val="064A2469"/>
    <w:rsid w:val="06501375"/>
    <w:rsid w:val="06554996"/>
    <w:rsid w:val="06652463"/>
    <w:rsid w:val="067173E7"/>
    <w:rsid w:val="06731F35"/>
    <w:rsid w:val="06773E40"/>
    <w:rsid w:val="06A72A7B"/>
    <w:rsid w:val="06AE66F8"/>
    <w:rsid w:val="06C23411"/>
    <w:rsid w:val="06C371B0"/>
    <w:rsid w:val="070B6B66"/>
    <w:rsid w:val="0717375D"/>
    <w:rsid w:val="07197C6D"/>
    <w:rsid w:val="073267E9"/>
    <w:rsid w:val="07336161"/>
    <w:rsid w:val="073C0DC6"/>
    <w:rsid w:val="073F2CB4"/>
    <w:rsid w:val="07481B68"/>
    <w:rsid w:val="07573D64"/>
    <w:rsid w:val="076B1CFB"/>
    <w:rsid w:val="076D5A73"/>
    <w:rsid w:val="078A2181"/>
    <w:rsid w:val="079C3C62"/>
    <w:rsid w:val="079D5911"/>
    <w:rsid w:val="07A82607"/>
    <w:rsid w:val="07C338E5"/>
    <w:rsid w:val="07CA07CF"/>
    <w:rsid w:val="07CD6512"/>
    <w:rsid w:val="07D968AF"/>
    <w:rsid w:val="07E15B19"/>
    <w:rsid w:val="07F27D26"/>
    <w:rsid w:val="07F910B5"/>
    <w:rsid w:val="08047A97"/>
    <w:rsid w:val="081B727D"/>
    <w:rsid w:val="08260CED"/>
    <w:rsid w:val="082B7A28"/>
    <w:rsid w:val="083B347B"/>
    <w:rsid w:val="08626C5A"/>
    <w:rsid w:val="089268BD"/>
    <w:rsid w:val="08983CDE"/>
    <w:rsid w:val="08A64B7F"/>
    <w:rsid w:val="08A76D63"/>
    <w:rsid w:val="08AF79C5"/>
    <w:rsid w:val="08B84797"/>
    <w:rsid w:val="08CA2530"/>
    <w:rsid w:val="08F24595"/>
    <w:rsid w:val="09016473"/>
    <w:rsid w:val="090844F2"/>
    <w:rsid w:val="090D12BC"/>
    <w:rsid w:val="0921337C"/>
    <w:rsid w:val="09304FAA"/>
    <w:rsid w:val="093D1475"/>
    <w:rsid w:val="09740BB5"/>
    <w:rsid w:val="09903C9B"/>
    <w:rsid w:val="09BF715B"/>
    <w:rsid w:val="09FD40C6"/>
    <w:rsid w:val="0A0A6B55"/>
    <w:rsid w:val="0A2C5771"/>
    <w:rsid w:val="0A3463D4"/>
    <w:rsid w:val="0A4E56B3"/>
    <w:rsid w:val="0A55610F"/>
    <w:rsid w:val="0A5C592B"/>
    <w:rsid w:val="0A79028B"/>
    <w:rsid w:val="0A7B2255"/>
    <w:rsid w:val="0A7E5DA1"/>
    <w:rsid w:val="0A851326"/>
    <w:rsid w:val="0ABB6AF5"/>
    <w:rsid w:val="0ACE6829"/>
    <w:rsid w:val="0AEB39F8"/>
    <w:rsid w:val="0B154457"/>
    <w:rsid w:val="0B1E5B80"/>
    <w:rsid w:val="0B3864F3"/>
    <w:rsid w:val="0B4B7E79"/>
    <w:rsid w:val="0B4E7969"/>
    <w:rsid w:val="0B7373D0"/>
    <w:rsid w:val="0B811AED"/>
    <w:rsid w:val="0B8213C1"/>
    <w:rsid w:val="0B826D21"/>
    <w:rsid w:val="0BAD643E"/>
    <w:rsid w:val="0BD22349"/>
    <w:rsid w:val="0BD460C1"/>
    <w:rsid w:val="0BDB744F"/>
    <w:rsid w:val="0BDF6118"/>
    <w:rsid w:val="0BDF77A3"/>
    <w:rsid w:val="0BE05665"/>
    <w:rsid w:val="0BEA7DE9"/>
    <w:rsid w:val="0BF642F0"/>
    <w:rsid w:val="0C220D22"/>
    <w:rsid w:val="0C346B5F"/>
    <w:rsid w:val="0C4274CE"/>
    <w:rsid w:val="0C460641"/>
    <w:rsid w:val="0C4F66A3"/>
    <w:rsid w:val="0C5965C6"/>
    <w:rsid w:val="0C6000AE"/>
    <w:rsid w:val="0C6805B7"/>
    <w:rsid w:val="0C7358DA"/>
    <w:rsid w:val="0C7D1487"/>
    <w:rsid w:val="0C895E65"/>
    <w:rsid w:val="0C8A49D1"/>
    <w:rsid w:val="0C920160"/>
    <w:rsid w:val="0CB10C5B"/>
    <w:rsid w:val="0CB832EC"/>
    <w:rsid w:val="0CD0056A"/>
    <w:rsid w:val="0CEC4054"/>
    <w:rsid w:val="0CF956B3"/>
    <w:rsid w:val="0CFC4294"/>
    <w:rsid w:val="0D0227BA"/>
    <w:rsid w:val="0D042672"/>
    <w:rsid w:val="0D065EF3"/>
    <w:rsid w:val="0D305579"/>
    <w:rsid w:val="0D362046"/>
    <w:rsid w:val="0D3A05F9"/>
    <w:rsid w:val="0D3C1E67"/>
    <w:rsid w:val="0D463DFD"/>
    <w:rsid w:val="0D4B4161"/>
    <w:rsid w:val="0D4E23AE"/>
    <w:rsid w:val="0D576FA9"/>
    <w:rsid w:val="0D5A0848"/>
    <w:rsid w:val="0D815DD4"/>
    <w:rsid w:val="0D8853B5"/>
    <w:rsid w:val="0D9D35C6"/>
    <w:rsid w:val="0DA10224"/>
    <w:rsid w:val="0DA33F9D"/>
    <w:rsid w:val="0DBF065C"/>
    <w:rsid w:val="0DD04955"/>
    <w:rsid w:val="0DDD6D83"/>
    <w:rsid w:val="0DFE6B6C"/>
    <w:rsid w:val="0E065530"/>
    <w:rsid w:val="0E0C50A5"/>
    <w:rsid w:val="0E12464D"/>
    <w:rsid w:val="0E214EC1"/>
    <w:rsid w:val="0E2551A4"/>
    <w:rsid w:val="0E2B11AB"/>
    <w:rsid w:val="0E2B27C0"/>
    <w:rsid w:val="0E2B38A8"/>
    <w:rsid w:val="0E2B5D40"/>
    <w:rsid w:val="0E371035"/>
    <w:rsid w:val="0E611762"/>
    <w:rsid w:val="0E62278E"/>
    <w:rsid w:val="0E721BC1"/>
    <w:rsid w:val="0E792BE7"/>
    <w:rsid w:val="0E7B0A75"/>
    <w:rsid w:val="0E8B14CE"/>
    <w:rsid w:val="0E927B6D"/>
    <w:rsid w:val="0EA03649"/>
    <w:rsid w:val="0EA03BFE"/>
    <w:rsid w:val="0EC35F79"/>
    <w:rsid w:val="0EC66980"/>
    <w:rsid w:val="0EE83C31"/>
    <w:rsid w:val="0F16254C"/>
    <w:rsid w:val="0F2F1860"/>
    <w:rsid w:val="0F331350"/>
    <w:rsid w:val="0F3625F2"/>
    <w:rsid w:val="0F3964C7"/>
    <w:rsid w:val="0F3D3F7D"/>
    <w:rsid w:val="0F566306"/>
    <w:rsid w:val="0F5E00D1"/>
    <w:rsid w:val="0F64775C"/>
    <w:rsid w:val="0F655061"/>
    <w:rsid w:val="0F8B1910"/>
    <w:rsid w:val="0F8C0A60"/>
    <w:rsid w:val="0F8C6CB2"/>
    <w:rsid w:val="0F9A6BA7"/>
    <w:rsid w:val="0FA61B22"/>
    <w:rsid w:val="0FA95A29"/>
    <w:rsid w:val="0FAD1102"/>
    <w:rsid w:val="0FE32719"/>
    <w:rsid w:val="0FEF2D42"/>
    <w:rsid w:val="0FF6066C"/>
    <w:rsid w:val="1010343F"/>
    <w:rsid w:val="10205A46"/>
    <w:rsid w:val="102070BF"/>
    <w:rsid w:val="10347146"/>
    <w:rsid w:val="1041184B"/>
    <w:rsid w:val="1048403F"/>
    <w:rsid w:val="104F7D77"/>
    <w:rsid w:val="10531BB4"/>
    <w:rsid w:val="105C6685"/>
    <w:rsid w:val="105F7F23"/>
    <w:rsid w:val="107463EB"/>
    <w:rsid w:val="108D4A90"/>
    <w:rsid w:val="1097590F"/>
    <w:rsid w:val="10A078A4"/>
    <w:rsid w:val="10B80697"/>
    <w:rsid w:val="10C254A2"/>
    <w:rsid w:val="10CD7582"/>
    <w:rsid w:val="10D4446D"/>
    <w:rsid w:val="10FD3D6D"/>
    <w:rsid w:val="1102722C"/>
    <w:rsid w:val="113413B0"/>
    <w:rsid w:val="11357601"/>
    <w:rsid w:val="1145536B"/>
    <w:rsid w:val="115C5EFE"/>
    <w:rsid w:val="115E6439"/>
    <w:rsid w:val="116A4DD1"/>
    <w:rsid w:val="116A78F3"/>
    <w:rsid w:val="117062F0"/>
    <w:rsid w:val="117362F8"/>
    <w:rsid w:val="11790016"/>
    <w:rsid w:val="11895257"/>
    <w:rsid w:val="118B3399"/>
    <w:rsid w:val="11AB1672"/>
    <w:rsid w:val="11E06E41"/>
    <w:rsid w:val="11E4475A"/>
    <w:rsid w:val="11F12DFD"/>
    <w:rsid w:val="11F46FDD"/>
    <w:rsid w:val="12047627"/>
    <w:rsid w:val="122B49A4"/>
    <w:rsid w:val="124670B3"/>
    <w:rsid w:val="126161D4"/>
    <w:rsid w:val="12704669"/>
    <w:rsid w:val="12747CB6"/>
    <w:rsid w:val="12892D15"/>
    <w:rsid w:val="128B537C"/>
    <w:rsid w:val="12AD6CE2"/>
    <w:rsid w:val="12C64289"/>
    <w:rsid w:val="12EF70B7"/>
    <w:rsid w:val="13093EF6"/>
    <w:rsid w:val="132C29E8"/>
    <w:rsid w:val="1330382D"/>
    <w:rsid w:val="13315BA7"/>
    <w:rsid w:val="13321E27"/>
    <w:rsid w:val="133438E9"/>
    <w:rsid w:val="13482EF0"/>
    <w:rsid w:val="13743CE5"/>
    <w:rsid w:val="1374519C"/>
    <w:rsid w:val="13892699"/>
    <w:rsid w:val="13B16CE2"/>
    <w:rsid w:val="13C63668"/>
    <w:rsid w:val="13D543D3"/>
    <w:rsid w:val="13D84274"/>
    <w:rsid w:val="13DA623E"/>
    <w:rsid w:val="13DD67E7"/>
    <w:rsid w:val="13F01035"/>
    <w:rsid w:val="13FD1F2D"/>
    <w:rsid w:val="14177571"/>
    <w:rsid w:val="141D298C"/>
    <w:rsid w:val="141E745F"/>
    <w:rsid w:val="1424570B"/>
    <w:rsid w:val="144E4536"/>
    <w:rsid w:val="14641FAC"/>
    <w:rsid w:val="14642F05"/>
    <w:rsid w:val="14740441"/>
    <w:rsid w:val="148E60CA"/>
    <w:rsid w:val="149A4CFA"/>
    <w:rsid w:val="149E726C"/>
    <w:rsid w:val="14E07884"/>
    <w:rsid w:val="14E8498B"/>
    <w:rsid w:val="14F00AF3"/>
    <w:rsid w:val="150572EB"/>
    <w:rsid w:val="150C68CB"/>
    <w:rsid w:val="15194B44"/>
    <w:rsid w:val="152118C2"/>
    <w:rsid w:val="152359C3"/>
    <w:rsid w:val="15442DF3"/>
    <w:rsid w:val="15520056"/>
    <w:rsid w:val="156C4A41"/>
    <w:rsid w:val="15753698"/>
    <w:rsid w:val="15882728"/>
    <w:rsid w:val="15966195"/>
    <w:rsid w:val="15B36D47"/>
    <w:rsid w:val="15CD18EA"/>
    <w:rsid w:val="15EA64E1"/>
    <w:rsid w:val="160C6457"/>
    <w:rsid w:val="160D6586"/>
    <w:rsid w:val="16254DD9"/>
    <w:rsid w:val="16353B5E"/>
    <w:rsid w:val="16442095"/>
    <w:rsid w:val="16640041"/>
    <w:rsid w:val="167C538B"/>
    <w:rsid w:val="167F4E7B"/>
    <w:rsid w:val="1681028D"/>
    <w:rsid w:val="16817126"/>
    <w:rsid w:val="168630F3"/>
    <w:rsid w:val="16864329"/>
    <w:rsid w:val="16985F3D"/>
    <w:rsid w:val="16A9014A"/>
    <w:rsid w:val="16AC2D0A"/>
    <w:rsid w:val="16AE42C4"/>
    <w:rsid w:val="16C1574B"/>
    <w:rsid w:val="16D01B7A"/>
    <w:rsid w:val="16D7073B"/>
    <w:rsid w:val="16F271C0"/>
    <w:rsid w:val="170D3B32"/>
    <w:rsid w:val="171E4694"/>
    <w:rsid w:val="173043C7"/>
    <w:rsid w:val="17367C2F"/>
    <w:rsid w:val="17424826"/>
    <w:rsid w:val="17550823"/>
    <w:rsid w:val="175D340E"/>
    <w:rsid w:val="17687CF2"/>
    <w:rsid w:val="176F1809"/>
    <w:rsid w:val="1775209E"/>
    <w:rsid w:val="17836BED"/>
    <w:rsid w:val="17920BDE"/>
    <w:rsid w:val="17A60879"/>
    <w:rsid w:val="17B62114"/>
    <w:rsid w:val="17B62B1E"/>
    <w:rsid w:val="17BD3EAD"/>
    <w:rsid w:val="17BE7C25"/>
    <w:rsid w:val="17D66D1D"/>
    <w:rsid w:val="17E05DED"/>
    <w:rsid w:val="17F46518"/>
    <w:rsid w:val="17F61C3C"/>
    <w:rsid w:val="18041ADC"/>
    <w:rsid w:val="180A2E6A"/>
    <w:rsid w:val="18100480"/>
    <w:rsid w:val="181F0E93"/>
    <w:rsid w:val="1830653D"/>
    <w:rsid w:val="1838619B"/>
    <w:rsid w:val="185A026F"/>
    <w:rsid w:val="186356F4"/>
    <w:rsid w:val="186F06EF"/>
    <w:rsid w:val="18761375"/>
    <w:rsid w:val="187B00D3"/>
    <w:rsid w:val="18B35623"/>
    <w:rsid w:val="18BA4890"/>
    <w:rsid w:val="18BE35FB"/>
    <w:rsid w:val="18D248A0"/>
    <w:rsid w:val="18F572F9"/>
    <w:rsid w:val="18FB768F"/>
    <w:rsid w:val="192A04EA"/>
    <w:rsid w:val="194C2648"/>
    <w:rsid w:val="19755CC8"/>
    <w:rsid w:val="19810F0A"/>
    <w:rsid w:val="19863ACE"/>
    <w:rsid w:val="199926F8"/>
    <w:rsid w:val="199A1864"/>
    <w:rsid w:val="199C5D44"/>
    <w:rsid w:val="19E52375"/>
    <w:rsid w:val="19E64BC2"/>
    <w:rsid w:val="19EF40C6"/>
    <w:rsid w:val="19F85670"/>
    <w:rsid w:val="1A01621D"/>
    <w:rsid w:val="1A4367A7"/>
    <w:rsid w:val="1A4861E6"/>
    <w:rsid w:val="1A4E66DC"/>
    <w:rsid w:val="1A604FC3"/>
    <w:rsid w:val="1A611164"/>
    <w:rsid w:val="1A6E76E0"/>
    <w:rsid w:val="1A743DA3"/>
    <w:rsid w:val="1AA41354"/>
    <w:rsid w:val="1AA9696A"/>
    <w:rsid w:val="1AB5530F"/>
    <w:rsid w:val="1AB93178"/>
    <w:rsid w:val="1AC76DF0"/>
    <w:rsid w:val="1ACB39DC"/>
    <w:rsid w:val="1AD05CA5"/>
    <w:rsid w:val="1AD66FBF"/>
    <w:rsid w:val="1AE8309E"/>
    <w:rsid w:val="1B0F3FD3"/>
    <w:rsid w:val="1B32070E"/>
    <w:rsid w:val="1B3E0227"/>
    <w:rsid w:val="1B3F4D6A"/>
    <w:rsid w:val="1B440441"/>
    <w:rsid w:val="1B4D379A"/>
    <w:rsid w:val="1B7156DA"/>
    <w:rsid w:val="1B7927E1"/>
    <w:rsid w:val="1BA14C8C"/>
    <w:rsid w:val="1BC51582"/>
    <w:rsid w:val="1BCA303C"/>
    <w:rsid w:val="1BCF4E9E"/>
    <w:rsid w:val="1BE0016A"/>
    <w:rsid w:val="1BEA2D5B"/>
    <w:rsid w:val="1BF232E1"/>
    <w:rsid w:val="1BF41E67"/>
    <w:rsid w:val="1C196693"/>
    <w:rsid w:val="1C2269D4"/>
    <w:rsid w:val="1C2831FD"/>
    <w:rsid w:val="1C3B45AA"/>
    <w:rsid w:val="1C3E30E2"/>
    <w:rsid w:val="1C515AE6"/>
    <w:rsid w:val="1C7954E4"/>
    <w:rsid w:val="1C7C2D88"/>
    <w:rsid w:val="1C821247"/>
    <w:rsid w:val="1C8312E0"/>
    <w:rsid w:val="1C856B62"/>
    <w:rsid w:val="1CA90EA4"/>
    <w:rsid w:val="1CAE0268"/>
    <w:rsid w:val="1CC63804"/>
    <w:rsid w:val="1CC712FD"/>
    <w:rsid w:val="1CD608A1"/>
    <w:rsid w:val="1CD75A11"/>
    <w:rsid w:val="1CEB6DC6"/>
    <w:rsid w:val="1CF77AD8"/>
    <w:rsid w:val="1CFF0AC4"/>
    <w:rsid w:val="1D175E0D"/>
    <w:rsid w:val="1D1A58FD"/>
    <w:rsid w:val="1D2F75FB"/>
    <w:rsid w:val="1D437B6B"/>
    <w:rsid w:val="1D5232E9"/>
    <w:rsid w:val="1D6372A4"/>
    <w:rsid w:val="1D672E53"/>
    <w:rsid w:val="1D721907"/>
    <w:rsid w:val="1D941C6B"/>
    <w:rsid w:val="1DA449C0"/>
    <w:rsid w:val="1DA82F09"/>
    <w:rsid w:val="1DAB74C4"/>
    <w:rsid w:val="1DB52C30"/>
    <w:rsid w:val="1DCA2E80"/>
    <w:rsid w:val="1DDD668B"/>
    <w:rsid w:val="1DED3012"/>
    <w:rsid w:val="1DF93765"/>
    <w:rsid w:val="1E065688"/>
    <w:rsid w:val="1E14059F"/>
    <w:rsid w:val="1E1C0EC6"/>
    <w:rsid w:val="1E312196"/>
    <w:rsid w:val="1E3429EF"/>
    <w:rsid w:val="1E360515"/>
    <w:rsid w:val="1E48649A"/>
    <w:rsid w:val="1E4A3FC0"/>
    <w:rsid w:val="1E96405B"/>
    <w:rsid w:val="1E965458"/>
    <w:rsid w:val="1E9C13EE"/>
    <w:rsid w:val="1EAA2CB1"/>
    <w:rsid w:val="1EBA5EFC"/>
    <w:rsid w:val="1EC34EF9"/>
    <w:rsid w:val="1EC6231A"/>
    <w:rsid w:val="1ED70E57"/>
    <w:rsid w:val="1EDB2E6A"/>
    <w:rsid w:val="1EDC59EB"/>
    <w:rsid w:val="1EE5026A"/>
    <w:rsid w:val="1EEE7042"/>
    <w:rsid w:val="1F0A5784"/>
    <w:rsid w:val="1F0E48E3"/>
    <w:rsid w:val="1F1E0443"/>
    <w:rsid w:val="1F2760FE"/>
    <w:rsid w:val="1F282554"/>
    <w:rsid w:val="1F5F4A34"/>
    <w:rsid w:val="1F660CA4"/>
    <w:rsid w:val="1F6966C8"/>
    <w:rsid w:val="1F6D440A"/>
    <w:rsid w:val="1F817EB6"/>
    <w:rsid w:val="1F9459EA"/>
    <w:rsid w:val="1F9D6372"/>
    <w:rsid w:val="1FD666CB"/>
    <w:rsid w:val="201D700C"/>
    <w:rsid w:val="203B1E13"/>
    <w:rsid w:val="205D622D"/>
    <w:rsid w:val="206C2914"/>
    <w:rsid w:val="206E043A"/>
    <w:rsid w:val="20796DDF"/>
    <w:rsid w:val="207D242B"/>
    <w:rsid w:val="208D63E6"/>
    <w:rsid w:val="20CE2C87"/>
    <w:rsid w:val="20D504B9"/>
    <w:rsid w:val="20E27CBB"/>
    <w:rsid w:val="20FF1092"/>
    <w:rsid w:val="210A48F8"/>
    <w:rsid w:val="211A411E"/>
    <w:rsid w:val="21224C43"/>
    <w:rsid w:val="214B42D7"/>
    <w:rsid w:val="214F21B7"/>
    <w:rsid w:val="21747718"/>
    <w:rsid w:val="2181419D"/>
    <w:rsid w:val="21A165ED"/>
    <w:rsid w:val="21A41C3A"/>
    <w:rsid w:val="21AB75A5"/>
    <w:rsid w:val="21B541D2"/>
    <w:rsid w:val="21C81DCC"/>
    <w:rsid w:val="21D50045"/>
    <w:rsid w:val="21D56297"/>
    <w:rsid w:val="21DE15EF"/>
    <w:rsid w:val="21EA7F94"/>
    <w:rsid w:val="21F2012E"/>
    <w:rsid w:val="22001566"/>
    <w:rsid w:val="22170BF7"/>
    <w:rsid w:val="22325497"/>
    <w:rsid w:val="22364F87"/>
    <w:rsid w:val="223B1119"/>
    <w:rsid w:val="22407B3F"/>
    <w:rsid w:val="225D1C77"/>
    <w:rsid w:val="22712FEC"/>
    <w:rsid w:val="22723AE6"/>
    <w:rsid w:val="228A37B1"/>
    <w:rsid w:val="228C745A"/>
    <w:rsid w:val="22A07865"/>
    <w:rsid w:val="22A07909"/>
    <w:rsid w:val="22A85759"/>
    <w:rsid w:val="22B3482A"/>
    <w:rsid w:val="22B8604B"/>
    <w:rsid w:val="22D95913"/>
    <w:rsid w:val="22E4760C"/>
    <w:rsid w:val="22EC1AEA"/>
    <w:rsid w:val="22ED51C3"/>
    <w:rsid w:val="22F64717"/>
    <w:rsid w:val="22FF1006"/>
    <w:rsid w:val="23001681"/>
    <w:rsid w:val="23070BD6"/>
    <w:rsid w:val="2317462C"/>
    <w:rsid w:val="232E3EB1"/>
    <w:rsid w:val="23356FED"/>
    <w:rsid w:val="234004C4"/>
    <w:rsid w:val="236A01BA"/>
    <w:rsid w:val="23762A86"/>
    <w:rsid w:val="23863CED"/>
    <w:rsid w:val="238D182C"/>
    <w:rsid w:val="238E0DF3"/>
    <w:rsid w:val="23911341"/>
    <w:rsid w:val="239E6F3E"/>
    <w:rsid w:val="23BF308D"/>
    <w:rsid w:val="240E783E"/>
    <w:rsid w:val="242F6132"/>
    <w:rsid w:val="24376D95"/>
    <w:rsid w:val="244514B2"/>
    <w:rsid w:val="245060A9"/>
    <w:rsid w:val="245760EA"/>
    <w:rsid w:val="24670BA6"/>
    <w:rsid w:val="246833F2"/>
    <w:rsid w:val="24A44DDD"/>
    <w:rsid w:val="24BD373E"/>
    <w:rsid w:val="24D213BB"/>
    <w:rsid w:val="24D41B53"/>
    <w:rsid w:val="24D67F08"/>
    <w:rsid w:val="24DB5FA8"/>
    <w:rsid w:val="24DD793C"/>
    <w:rsid w:val="2505118F"/>
    <w:rsid w:val="250C239E"/>
    <w:rsid w:val="2511575E"/>
    <w:rsid w:val="252746FE"/>
    <w:rsid w:val="25317C88"/>
    <w:rsid w:val="253440DB"/>
    <w:rsid w:val="25352D9F"/>
    <w:rsid w:val="25407ECB"/>
    <w:rsid w:val="25453733"/>
    <w:rsid w:val="256948C0"/>
    <w:rsid w:val="25711C1B"/>
    <w:rsid w:val="258627D0"/>
    <w:rsid w:val="25AB0CF0"/>
    <w:rsid w:val="25B11530"/>
    <w:rsid w:val="25BA7C7E"/>
    <w:rsid w:val="25C428AA"/>
    <w:rsid w:val="25D32AED"/>
    <w:rsid w:val="25D725DE"/>
    <w:rsid w:val="25DD571A"/>
    <w:rsid w:val="25E87E0C"/>
    <w:rsid w:val="25ED32FE"/>
    <w:rsid w:val="26010755"/>
    <w:rsid w:val="26064C71"/>
    <w:rsid w:val="260D4026"/>
    <w:rsid w:val="261729C5"/>
    <w:rsid w:val="262B46D7"/>
    <w:rsid w:val="262D48F3"/>
    <w:rsid w:val="26422C60"/>
    <w:rsid w:val="265206F9"/>
    <w:rsid w:val="26775B6F"/>
    <w:rsid w:val="267E514F"/>
    <w:rsid w:val="26812549"/>
    <w:rsid w:val="268D630A"/>
    <w:rsid w:val="2691248E"/>
    <w:rsid w:val="26AD6486"/>
    <w:rsid w:val="26B11081"/>
    <w:rsid w:val="26B648E9"/>
    <w:rsid w:val="26C60336"/>
    <w:rsid w:val="26CF59AB"/>
    <w:rsid w:val="26D02A8F"/>
    <w:rsid w:val="26E75FED"/>
    <w:rsid w:val="26EE1E63"/>
    <w:rsid w:val="26FD42C6"/>
    <w:rsid w:val="26FE29ED"/>
    <w:rsid w:val="270311B0"/>
    <w:rsid w:val="270F434A"/>
    <w:rsid w:val="271909D4"/>
    <w:rsid w:val="27194E78"/>
    <w:rsid w:val="2719535F"/>
    <w:rsid w:val="271F318E"/>
    <w:rsid w:val="272D4881"/>
    <w:rsid w:val="27473A50"/>
    <w:rsid w:val="27475221"/>
    <w:rsid w:val="274E3CEC"/>
    <w:rsid w:val="275348A3"/>
    <w:rsid w:val="276205CD"/>
    <w:rsid w:val="278C526B"/>
    <w:rsid w:val="278E3170"/>
    <w:rsid w:val="2790513A"/>
    <w:rsid w:val="279938C3"/>
    <w:rsid w:val="279B19B0"/>
    <w:rsid w:val="27AC48B1"/>
    <w:rsid w:val="27AE3812"/>
    <w:rsid w:val="27B0758A"/>
    <w:rsid w:val="27B5649F"/>
    <w:rsid w:val="27B84691"/>
    <w:rsid w:val="27C25A3A"/>
    <w:rsid w:val="27C86044"/>
    <w:rsid w:val="27CB6000"/>
    <w:rsid w:val="2826784C"/>
    <w:rsid w:val="28292E99"/>
    <w:rsid w:val="2874680A"/>
    <w:rsid w:val="288325A9"/>
    <w:rsid w:val="28956780"/>
    <w:rsid w:val="28972497"/>
    <w:rsid w:val="28996270"/>
    <w:rsid w:val="28B9246E"/>
    <w:rsid w:val="28BE3908"/>
    <w:rsid w:val="28C21DE5"/>
    <w:rsid w:val="28CB771A"/>
    <w:rsid w:val="28D233A8"/>
    <w:rsid w:val="28DE79D3"/>
    <w:rsid w:val="28EA626E"/>
    <w:rsid w:val="28ED3EC6"/>
    <w:rsid w:val="28EE1C21"/>
    <w:rsid w:val="28F214DC"/>
    <w:rsid w:val="28FC7098"/>
    <w:rsid w:val="290E2276"/>
    <w:rsid w:val="2916341D"/>
    <w:rsid w:val="291D6414"/>
    <w:rsid w:val="292A6EC8"/>
    <w:rsid w:val="29310257"/>
    <w:rsid w:val="294066EC"/>
    <w:rsid w:val="29424212"/>
    <w:rsid w:val="295C4D96"/>
    <w:rsid w:val="298631C5"/>
    <w:rsid w:val="298F31CF"/>
    <w:rsid w:val="29953DF8"/>
    <w:rsid w:val="29962BD5"/>
    <w:rsid w:val="29A07C8A"/>
    <w:rsid w:val="29A41545"/>
    <w:rsid w:val="29AE7AF9"/>
    <w:rsid w:val="29C410CB"/>
    <w:rsid w:val="29CA2459"/>
    <w:rsid w:val="29FD282F"/>
    <w:rsid w:val="29FF0355"/>
    <w:rsid w:val="2A261D85"/>
    <w:rsid w:val="2A263B34"/>
    <w:rsid w:val="2A2C6C70"/>
    <w:rsid w:val="2A3111A3"/>
    <w:rsid w:val="2A337C7F"/>
    <w:rsid w:val="2A3450B3"/>
    <w:rsid w:val="2A522B7B"/>
    <w:rsid w:val="2A590C1E"/>
    <w:rsid w:val="2A636B36"/>
    <w:rsid w:val="2A6B1334"/>
    <w:rsid w:val="2A77613D"/>
    <w:rsid w:val="2A864D1F"/>
    <w:rsid w:val="2A9A4646"/>
    <w:rsid w:val="2AA131BA"/>
    <w:rsid w:val="2ABB0720"/>
    <w:rsid w:val="2ACB6489"/>
    <w:rsid w:val="2AD20B95"/>
    <w:rsid w:val="2AEE79DA"/>
    <w:rsid w:val="2AEF2177"/>
    <w:rsid w:val="2AF81B6A"/>
    <w:rsid w:val="2AF92FF6"/>
    <w:rsid w:val="2B320182"/>
    <w:rsid w:val="2B3B716B"/>
    <w:rsid w:val="2B41674B"/>
    <w:rsid w:val="2B522706"/>
    <w:rsid w:val="2B607914"/>
    <w:rsid w:val="2B620B9B"/>
    <w:rsid w:val="2B6C645D"/>
    <w:rsid w:val="2B7E5B63"/>
    <w:rsid w:val="2B8C79C6"/>
    <w:rsid w:val="2B9351F9"/>
    <w:rsid w:val="2B9467D3"/>
    <w:rsid w:val="2B9B5E5B"/>
    <w:rsid w:val="2B9C27A1"/>
    <w:rsid w:val="2BAA7B4D"/>
    <w:rsid w:val="2BAD0DF3"/>
    <w:rsid w:val="2BDA7B5A"/>
    <w:rsid w:val="2BFD3113"/>
    <w:rsid w:val="2C2D16A7"/>
    <w:rsid w:val="2C3850D4"/>
    <w:rsid w:val="2C4464F3"/>
    <w:rsid w:val="2C5002AE"/>
    <w:rsid w:val="2C576226"/>
    <w:rsid w:val="2C5F6577"/>
    <w:rsid w:val="2C602C01"/>
    <w:rsid w:val="2C651D6E"/>
    <w:rsid w:val="2C6D5DF1"/>
    <w:rsid w:val="2C7129CB"/>
    <w:rsid w:val="2C9B2343"/>
    <w:rsid w:val="2CC3566A"/>
    <w:rsid w:val="2CE51650"/>
    <w:rsid w:val="2CEB1296"/>
    <w:rsid w:val="2CF63C91"/>
    <w:rsid w:val="2CFB34A5"/>
    <w:rsid w:val="2D095047"/>
    <w:rsid w:val="2D142369"/>
    <w:rsid w:val="2D161030"/>
    <w:rsid w:val="2D32332C"/>
    <w:rsid w:val="2D536CB5"/>
    <w:rsid w:val="2D60735C"/>
    <w:rsid w:val="2D6D1A79"/>
    <w:rsid w:val="2D76092E"/>
    <w:rsid w:val="2D7D1DFC"/>
    <w:rsid w:val="2D8017AD"/>
    <w:rsid w:val="2D9033D0"/>
    <w:rsid w:val="2DAC25A2"/>
    <w:rsid w:val="2DC84F02"/>
    <w:rsid w:val="2DCA0C7A"/>
    <w:rsid w:val="2E04418C"/>
    <w:rsid w:val="2E0A1476"/>
    <w:rsid w:val="2E112405"/>
    <w:rsid w:val="2E163EBF"/>
    <w:rsid w:val="2E5073D1"/>
    <w:rsid w:val="2E5B7B24"/>
    <w:rsid w:val="2E651ABA"/>
    <w:rsid w:val="2E682BFB"/>
    <w:rsid w:val="2E6E02D1"/>
    <w:rsid w:val="2E6E7857"/>
    <w:rsid w:val="2E7C3CDC"/>
    <w:rsid w:val="2E7E5C3F"/>
    <w:rsid w:val="2E8250B1"/>
    <w:rsid w:val="2E8D7E1A"/>
    <w:rsid w:val="2E8E2F07"/>
    <w:rsid w:val="2E977B82"/>
    <w:rsid w:val="2E980D78"/>
    <w:rsid w:val="2EAE1275"/>
    <w:rsid w:val="2ECE479A"/>
    <w:rsid w:val="2EF925F1"/>
    <w:rsid w:val="2EFC30B5"/>
    <w:rsid w:val="2EFF4953"/>
    <w:rsid w:val="2F012E91"/>
    <w:rsid w:val="2F083808"/>
    <w:rsid w:val="2F0A6357"/>
    <w:rsid w:val="2F185C91"/>
    <w:rsid w:val="2F560A17"/>
    <w:rsid w:val="2F6534D3"/>
    <w:rsid w:val="2F674FE6"/>
    <w:rsid w:val="2F68074A"/>
    <w:rsid w:val="2F85584D"/>
    <w:rsid w:val="2F861B0B"/>
    <w:rsid w:val="2FA554FB"/>
    <w:rsid w:val="2FAB0637"/>
    <w:rsid w:val="2FD1123F"/>
    <w:rsid w:val="2FDD3ED2"/>
    <w:rsid w:val="2FF87D20"/>
    <w:rsid w:val="300264A9"/>
    <w:rsid w:val="301523E8"/>
    <w:rsid w:val="302570F9"/>
    <w:rsid w:val="30542A7D"/>
    <w:rsid w:val="30564A47"/>
    <w:rsid w:val="30655C24"/>
    <w:rsid w:val="30707F39"/>
    <w:rsid w:val="307D6477"/>
    <w:rsid w:val="307E39A9"/>
    <w:rsid w:val="30800C21"/>
    <w:rsid w:val="30890898"/>
    <w:rsid w:val="308C2216"/>
    <w:rsid w:val="309D61D2"/>
    <w:rsid w:val="30A6777C"/>
    <w:rsid w:val="30AB56BE"/>
    <w:rsid w:val="30C3032E"/>
    <w:rsid w:val="30E70E02"/>
    <w:rsid w:val="30E87D95"/>
    <w:rsid w:val="30E958BB"/>
    <w:rsid w:val="30F5600E"/>
    <w:rsid w:val="31083F93"/>
    <w:rsid w:val="3159659D"/>
    <w:rsid w:val="315C42DF"/>
    <w:rsid w:val="31604C92"/>
    <w:rsid w:val="317A26ED"/>
    <w:rsid w:val="318D45FB"/>
    <w:rsid w:val="3199610A"/>
    <w:rsid w:val="319D2FE6"/>
    <w:rsid w:val="31B203C2"/>
    <w:rsid w:val="31BE0F3A"/>
    <w:rsid w:val="31BE4652"/>
    <w:rsid w:val="31C003CA"/>
    <w:rsid w:val="31C14142"/>
    <w:rsid w:val="31CB0749"/>
    <w:rsid w:val="31E85B72"/>
    <w:rsid w:val="31F37304"/>
    <w:rsid w:val="31F918E4"/>
    <w:rsid w:val="31FC4CAA"/>
    <w:rsid w:val="320A5AE9"/>
    <w:rsid w:val="320C1DA3"/>
    <w:rsid w:val="32144986"/>
    <w:rsid w:val="321E3342"/>
    <w:rsid w:val="321E4920"/>
    <w:rsid w:val="323D5CF9"/>
    <w:rsid w:val="32425AE2"/>
    <w:rsid w:val="324A2389"/>
    <w:rsid w:val="325D20BC"/>
    <w:rsid w:val="32734AB3"/>
    <w:rsid w:val="3284589B"/>
    <w:rsid w:val="32935F79"/>
    <w:rsid w:val="32A0644D"/>
    <w:rsid w:val="32A71C1F"/>
    <w:rsid w:val="32B0147C"/>
    <w:rsid w:val="32CA0A70"/>
    <w:rsid w:val="32D3237F"/>
    <w:rsid w:val="32FA3DAF"/>
    <w:rsid w:val="32FE389F"/>
    <w:rsid w:val="3301513E"/>
    <w:rsid w:val="330B38C7"/>
    <w:rsid w:val="330E1609"/>
    <w:rsid w:val="33266952"/>
    <w:rsid w:val="3341378C"/>
    <w:rsid w:val="334218E4"/>
    <w:rsid w:val="335036D0"/>
    <w:rsid w:val="33615BDC"/>
    <w:rsid w:val="336E667D"/>
    <w:rsid w:val="33723946"/>
    <w:rsid w:val="33727DEA"/>
    <w:rsid w:val="338B12B3"/>
    <w:rsid w:val="338D077F"/>
    <w:rsid w:val="33A930DF"/>
    <w:rsid w:val="33B43F5E"/>
    <w:rsid w:val="33C33FF4"/>
    <w:rsid w:val="33D07853"/>
    <w:rsid w:val="33E13288"/>
    <w:rsid w:val="34120C85"/>
    <w:rsid w:val="34256C0A"/>
    <w:rsid w:val="343C00C8"/>
    <w:rsid w:val="344C23E9"/>
    <w:rsid w:val="34605E94"/>
    <w:rsid w:val="34612173"/>
    <w:rsid w:val="346223EA"/>
    <w:rsid w:val="346E6803"/>
    <w:rsid w:val="348953EB"/>
    <w:rsid w:val="348F4919"/>
    <w:rsid w:val="3498562E"/>
    <w:rsid w:val="349873DC"/>
    <w:rsid w:val="34A46383"/>
    <w:rsid w:val="34E16FD5"/>
    <w:rsid w:val="34E3175C"/>
    <w:rsid w:val="34F342A4"/>
    <w:rsid w:val="34F82570"/>
    <w:rsid w:val="35092088"/>
    <w:rsid w:val="350B5E00"/>
    <w:rsid w:val="351E6603"/>
    <w:rsid w:val="352020A6"/>
    <w:rsid w:val="3547350E"/>
    <w:rsid w:val="35660394"/>
    <w:rsid w:val="356C6CCC"/>
    <w:rsid w:val="357168FD"/>
    <w:rsid w:val="357939E6"/>
    <w:rsid w:val="357A4D33"/>
    <w:rsid w:val="35AD47D9"/>
    <w:rsid w:val="35C81F43"/>
    <w:rsid w:val="35F102E2"/>
    <w:rsid w:val="35F72828"/>
    <w:rsid w:val="36011F8C"/>
    <w:rsid w:val="36176A26"/>
    <w:rsid w:val="361A2073"/>
    <w:rsid w:val="36483084"/>
    <w:rsid w:val="36484924"/>
    <w:rsid w:val="365732C7"/>
    <w:rsid w:val="365F3778"/>
    <w:rsid w:val="36716136"/>
    <w:rsid w:val="36770DF5"/>
    <w:rsid w:val="367F42B4"/>
    <w:rsid w:val="368A71F8"/>
    <w:rsid w:val="36B44275"/>
    <w:rsid w:val="36C15097"/>
    <w:rsid w:val="371B42F4"/>
    <w:rsid w:val="37270EEB"/>
    <w:rsid w:val="37393D27"/>
    <w:rsid w:val="375724DD"/>
    <w:rsid w:val="375E0EBB"/>
    <w:rsid w:val="37607F59"/>
    <w:rsid w:val="37AB37BE"/>
    <w:rsid w:val="37E971EF"/>
    <w:rsid w:val="37F1241D"/>
    <w:rsid w:val="37FE39FA"/>
    <w:rsid w:val="38080241"/>
    <w:rsid w:val="380931AF"/>
    <w:rsid w:val="380D7BCA"/>
    <w:rsid w:val="38302F73"/>
    <w:rsid w:val="38404012"/>
    <w:rsid w:val="384358B1"/>
    <w:rsid w:val="38545B1B"/>
    <w:rsid w:val="38673C95"/>
    <w:rsid w:val="389D76B7"/>
    <w:rsid w:val="38B30C88"/>
    <w:rsid w:val="38C227DF"/>
    <w:rsid w:val="38CE1273"/>
    <w:rsid w:val="38E05AA2"/>
    <w:rsid w:val="38EB045F"/>
    <w:rsid w:val="38F0636C"/>
    <w:rsid w:val="39097D51"/>
    <w:rsid w:val="391A2CAF"/>
    <w:rsid w:val="3925145A"/>
    <w:rsid w:val="394B63B3"/>
    <w:rsid w:val="395A7356"/>
    <w:rsid w:val="395E7CCD"/>
    <w:rsid w:val="39616936"/>
    <w:rsid w:val="396E1413"/>
    <w:rsid w:val="39A1425E"/>
    <w:rsid w:val="39A37F2B"/>
    <w:rsid w:val="39BB4E72"/>
    <w:rsid w:val="39CD5B41"/>
    <w:rsid w:val="39D30EB6"/>
    <w:rsid w:val="39E53CFF"/>
    <w:rsid w:val="39E71596"/>
    <w:rsid w:val="3A033549"/>
    <w:rsid w:val="3A0E6217"/>
    <w:rsid w:val="3A117587"/>
    <w:rsid w:val="3A1C0AAF"/>
    <w:rsid w:val="3A2F07E2"/>
    <w:rsid w:val="3A356FBB"/>
    <w:rsid w:val="3A4A561C"/>
    <w:rsid w:val="3A5B2912"/>
    <w:rsid w:val="3A5F176A"/>
    <w:rsid w:val="3A606BEE"/>
    <w:rsid w:val="3A6F6E31"/>
    <w:rsid w:val="3A744A88"/>
    <w:rsid w:val="3A762385"/>
    <w:rsid w:val="3A7C32FC"/>
    <w:rsid w:val="3AB745A1"/>
    <w:rsid w:val="3ACA4067"/>
    <w:rsid w:val="3ACE0877"/>
    <w:rsid w:val="3AD91C84"/>
    <w:rsid w:val="3AF75A42"/>
    <w:rsid w:val="3B40257B"/>
    <w:rsid w:val="3B554279"/>
    <w:rsid w:val="3B677B08"/>
    <w:rsid w:val="3B762441"/>
    <w:rsid w:val="3B8561E0"/>
    <w:rsid w:val="3BA53C6C"/>
    <w:rsid w:val="3BB846DF"/>
    <w:rsid w:val="3BBC60A6"/>
    <w:rsid w:val="3BC60CD2"/>
    <w:rsid w:val="3BC65BCF"/>
    <w:rsid w:val="3BE2484A"/>
    <w:rsid w:val="3BFF1830"/>
    <w:rsid w:val="3C3420E0"/>
    <w:rsid w:val="3C3C2D43"/>
    <w:rsid w:val="3C44609B"/>
    <w:rsid w:val="3C5B6581"/>
    <w:rsid w:val="3C5E715D"/>
    <w:rsid w:val="3C641CA7"/>
    <w:rsid w:val="3C666012"/>
    <w:rsid w:val="3C687FDC"/>
    <w:rsid w:val="3C797AF3"/>
    <w:rsid w:val="3C9012E0"/>
    <w:rsid w:val="3C9C14B6"/>
    <w:rsid w:val="3CA0498D"/>
    <w:rsid w:val="3CC176EC"/>
    <w:rsid w:val="3CC64D02"/>
    <w:rsid w:val="3CCD6091"/>
    <w:rsid w:val="3CE21B3C"/>
    <w:rsid w:val="3D121548"/>
    <w:rsid w:val="3D2023C2"/>
    <w:rsid w:val="3D202664"/>
    <w:rsid w:val="3D332398"/>
    <w:rsid w:val="3D347EBE"/>
    <w:rsid w:val="3D386A6A"/>
    <w:rsid w:val="3D3954D4"/>
    <w:rsid w:val="3D4A2BD7"/>
    <w:rsid w:val="3D54230E"/>
    <w:rsid w:val="3D7824A0"/>
    <w:rsid w:val="3D830197"/>
    <w:rsid w:val="3D863719"/>
    <w:rsid w:val="3D96730C"/>
    <w:rsid w:val="3D980690"/>
    <w:rsid w:val="3D9F180A"/>
    <w:rsid w:val="3DA94A83"/>
    <w:rsid w:val="3DAD6E92"/>
    <w:rsid w:val="3DC2371B"/>
    <w:rsid w:val="3DC952D6"/>
    <w:rsid w:val="3DF14525"/>
    <w:rsid w:val="3DF552D7"/>
    <w:rsid w:val="3DFB6EA2"/>
    <w:rsid w:val="3DFC1B15"/>
    <w:rsid w:val="3E063484"/>
    <w:rsid w:val="3E305B4F"/>
    <w:rsid w:val="3E380143"/>
    <w:rsid w:val="3E3F2623"/>
    <w:rsid w:val="3EC05EAD"/>
    <w:rsid w:val="3ED14335"/>
    <w:rsid w:val="3ED150A9"/>
    <w:rsid w:val="3EDC7F63"/>
    <w:rsid w:val="3EF5367D"/>
    <w:rsid w:val="3F0A537A"/>
    <w:rsid w:val="3F0E49D1"/>
    <w:rsid w:val="3F1A33BE"/>
    <w:rsid w:val="3F2301EA"/>
    <w:rsid w:val="3F512FA9"/>
    <w:rsid w:val="3F554084"/>
    <w:rsid w:val="3F634A8A"/>
    <w:rsid w:val="3F6A2229"/>
    <w:rsid w:val="3F7D78FA"/>
    <w:rsid w:val="3F80388E"/>
    <w:rsid w:val="3F8A0269"/>
    <w:rsid w:val="3FA139B0"/>
    <w:rsid w:val="3FAC6431"/>
    <w:rsid w:val="3FB13A48"/>
    <w:rsid w:val="3FB84DD6"/>
    <w:rsid w:val="3FCB64A5"/>
    <w:rsid w:val="3FD67424"/>
    <w:rsid w:val="3FEB51AC"/>
    <w:rsid w:val="400718BA"/>
    <w:rsid w:val="401304EE"/>
    <w:rsid w:val="401F7A87"/>
    <w:rsid w:val="40317FF2"/>
    <w:rsid w:val="40490124"/>
    <w:rsid w:val="40550877"/>
    <w:rsid w:val="4061546E"/>
    <w:rsid w:val="40687B29"/>
    <w:rsid w:val="40844CB8"/>
    <w:rsid w:val="40914F37"/>
    <w:rsid w:val="40955B47"/>
    <w:rsid w:val="40955F5A"/>
    <w:rsid w:val="409969B6"/>
    <w:rsid w:val="40AA2CEE"/>
    <w:rsid w:val="40C477AB"/>
    <w:rsid w:val="40CF411C"/>
    <w:rsid w:val="40D74543"/>
    <w:rsid w:val="40F60EFF"/>
    <w:rsid w:val="40FE0F0E"/>
    <w:rsid w:val="41061B71"/>
    <w:rsid w:val="41232723"/>
    <w:rsid w:val="41263FC1"/>
    <w:rsid w:val="412D49ED"/>
    <w:rsid w:val="413C6E16"/>
    <w:rsid w:val="41432DC5"/>
    <w:rsid w:val="41436921"/>
    <w:rsid w:val="415014CE"/>
    <w:rsid w:val="41517290"/>
    <w:rsid w:val="41635215"/>
    <w:rsid w:val="41645F6B"/>
    <w:rsid w:val="416746E0"/>
    <w:rsid w:val="416C6101"/>
    <w:rsid w:val="417E3DFD"/>
    <w:rsid w:val="41A845D0"/>
    <w:rsid w:val="41B63597"/>
    <w:rsid w:val="41CF4659"/>
    <w:rsid w:val="41E20DF7"/>
    <w:rsid w:val="42010CB6"/>
    <w:rsid w:val="4225565D"/>
    <w:rsid w:val="422624CB"/>
    <w:rsid w:val="42312C1E"/>
    <w:rsid w:val="42472441"/>
    <w:rsid w:val="425D1C65"/>
    <w:rsid w:val="42642FF3"/>
    <w:rsid w:val="42702AF1"/>
    <w:rsid w:val="427F31E9"/>
    <w:rsid w:val="4281129F"/>
    <w:rsid w:val="428445A6"/>
    <w:rsid w:val="4286740D"/>
    <w:rsid w:val="42997141"/>
    <w:rsid w:val="429E219E"/>
    <w:rsid w:val="42B775C7"/>
    <w:rsid w:val="42BB5773"/>
    <w:rsid w:val="42CA4218"/>
    <w:rsid w:val="42D40473"/>
    <w:rsid w:val="42D71A94"/>
    <w:rsid w:val="42DF08CC"/>
    <w:rsid w:val="42E34AE3"/>
    <w:rsid w:val="42F51E9D"/>
    <w:rsid w:val="43046BE3"/>
    <w:rsid w:val="431B400F"/>
    <w:rsid w:val="432509D4"/>
    <w:rsid w:val="43291B47"/>
    <w:rsid w:val="432A7D99"/>
    <w:rsid w:val="432B281E"/>
    <w:rsid w:val="438576C5"/>
    <w:rsid w:val="438C067F"/>
    <w:rsid w:val="43AF029E"/>
    <w:rsid w:val="43B35FE0"/>
    <w:rsid w:val="43B64433"/>
    <w:rsid w:val="43B6787E"/>
    <w:rsid w:val="43D16466"/>
    <w:rsid w:val="44093E52"/>
    <w:rsid w:val="44221D30"/>
    <w:rsid w:val="444C2814"/>
    <w:rsid w:val="4475503B"/>
    <w:rsid w:val="448E2C1F"/>
    <w:rsid w:val="449307AF"/>
    <w:rsid w:val="449E4360"/>
    <w:rsid w:val="44AD6ED3"/>
    <w:rsid w:val="44D501D8"/>
    <w:rsid w:val="44FA4DBE"/>
    <w:rsid w:val="45060392"/>
    <w:rsid w:val="450C604D"/>
    <w:rsid w:val="450E4DA7"/>
    <w:rsid w:val="45227231"/>
    <w:rsid w:val="452627E2"/>
    <w:rsid w:val="45443C6D"/>
    <w:rsid w:val="454964D0"/>
    <w:rsid w:val="454A4722"/>
    <w:rsid w:val="457C68A6"/>
    <w:rsid w:val="45863281"/>
    <w:rsid w:val="458D6BED"/>
    <w:rsid w:val="45980190"/>
    <w:rsid w:val="45C71816"/>
    <w:rsid w:val="45CC15DB"/>
    <w:rsid w:val="45D72D66"/>
    <w:rsid w:val="45D87F80"/>
    <w:rsid w:val="45DF4FC8"/>
    <w:rsid w:val="45EA380F"/>
    <w:rsid w:val="45FE5E77"/>
    <w:rsid w:val="4603181D"/>
    <w:rsid w:val="460A2104"/>
    <w:rsid w:val="46147F10"/>
    <w:rsid w:val="4622744D"/>
    <w:rsid w:val="46250E74"/>
    <w:rsid w:val="46387A74"/>
    <w:rsid w:val="463B22BD"/>
    <w:rsid w:val="465370CE"/>
    <w:rsid w:val="46630C8E"/>
    <w:rsid w:val="46705B6E"/>
    <w:rsid w:val="46710C9E"/>
    <w:rsid w:val="467557CF"/>
    <w:rsid w:val="46935C55"/>
    <w:rsid w:val="46995F95"/>
    <w:rsid w:val="46A51D94"/>
    <w:rsid w:val="46B560DC"/>
    <w:rsid w:val="46C40504"/>
    <w:rsid w:val="46D85D5E"/>
    <w:rsid w:val="46DD5122"/>
    <w:rsid w:val="46E40508"/>
    <w:rsid w:val="46EE37D3"/>
    <w:rsid w:val="46FB2624"/>
    <w:rsid w:val="47251333"/>
    <w:rsid w:val="474B7AB9"/>
    <w:rsid w:val="477041E8"/>
    <w:rsid w:val="477A083D"/>
    <w:rsid w:val="47981340"/>
    <w:rsid w:val="47A1697D"/>
    <w:rsid w:val="47E524E0"/>
    <w:rsid w:val="47EC0DCD"/>
    <w:rsid w:val="47F308F3"/>
    <w:rsid w:val="47F44E1B"/>
    <w:rsid w:val="47FB61A8"/>
    <w:rsid w:val="47FC782A"/>
    <w:rsid w:val="480A1F47"/>
    <w:rsid w:val="482A6164"/>
    <w:rsid w:val="483F42E6"/>
    <w:rsid w:val="48492B7D"/>
    <w:rsid w:val="48541414"/>
    <w:rsid w:val="488241D3"/>
    <w:rsid w:val="4884619D"/>
    <w:rsid w:val="489F65FE"/>
    <w:rsid w:val="48AE2203"/>
    <w:rsid w:val="48C20A74"/>
    <w:rsid w:val="48C97E2E"/>
    <w:rsid w:val="48FC26D5"/>
    <w:rsid w:val="491750B6"/>
    <w:rsid w:val="491A265E"/>
    <w:rsid w:val="49291E48"/>
    <w:rsid w:val="495A5150"/>
    <w:rsid w:val="49697072"/>
    <w:rsid w:val="4981092F"/>
    <w:rsid w:val="49837F59"/>
    <w:rsid w:val="49935F6C"/>
    <w:rsid w:val="49B540C7"/>
    <w:rsid w:val="49BD36E3"/>
    <w:rsid w:val="49C64593"/>
    <w:rsid w:val="49CC5ABE"/>
    <w:rsid w:val="49CC7DFC"/>
    <w:rsid w:val="49D06554"/>
    <w:rsid w:val="49D340E4"/>
    <w:rsid w:val="49D722FD"/>
    <w:rsid w:val="49DB10AB"/>
    <w:rsid w:val="49E50EBD"/>
    <w:rsid w:val="4A0D5612"/>
    <w:rsid w:val="4A242735"/>
    <w:rsid w:val="4A282B58"/>
    <w:rsid w:val="4A5D14ED"/>
    <w:rsid w:val="4A6F69D9"/>
    <w:rsid w:val="4A8204BA"/>
    <w:rsid w:val="4A8C758B"/>
    <w:rsid w:val="4A965D14"/>
    <w:rsid w:val="4A981A8C"/>
    <w:rsid w:val="4A9A59CB"/>
    <w:rsid w:val="4AAE4E32"/>
    <w:rsid w:val="4AAE7501"/>
    <w:rsid w:val="4ACE54AE"/>
    <w:rsid w:val="4AEA6060"/>
    <w:rsid w:val="4AEC002A"/>
    <w:rsid w:val="4AF24698"/>
    <w:rsid w:val="4AFE7CC2"/>
    <w:rsid w:val="4B1B446B"/>
    <w:rsid w:val="4B1D1F17"/>
    <w:rsid w:val="4B2F569F"/>
    <w:rsid w:val="4B443D76"/>
    <w:rsid w:val="4B49547C"/>
    <w:rsid w:val="4B4A6254"/>
    <w:rsid w:val="4B5160DF"/>
    <w:rsid w:val="4B6D78EC"/>
    <w:rsid w:val="4B80524A"/>
    <w:rsid w:val="4B8B339F"/>
    <w:rsid w:val="4B904E59"/>
    <w:rsid w:val="4BA640FF"/>
    <w:rsid w:val="4BBB5E95"/>
    <w:rsid w:val="4BBE19EF"/>
    <w:rsid w:val="4BC468B1"/>
    <w:rsid w:val="4BC863A1"/>
    <w:rsid w:val="4BCA036B"/>
    <w:rsid w:val="4BCE1693"/>
    <w:rsid w:val="4BDA31C7"/>
    <w:rsid w:val="4BF00A96"/>
    <w:rsid w:val="4C194388"/>
    <w:rsid w:val="4C2C2DD4"/>
    <w:rsid w:val="4C427A77"/>
    <w:rsid w:val="4C4D2D4A"/>
    <w:rsid w:val="4C4D4AF8"/>
    <w:rsid w:val="4C5B7215"/>
    <w:rsid w:val="4C6C1422"/>
    <w:rsid w:val="4C6F0D76"/>
    <w:rsid w:val="4C7A029A"/>
    <w:rsid w:val="4C7B78B7"/>
    <w:rsid w:val="4C8524E4"/>
    <w:rsid w:val="4C8708C3"/>
    <w:rsid w:val="4C910E89"/>
    <w:rsid w:val="4CAD332D"/>
    <w:rsid w:val="4CB15087"/>
    <w:rsid w:val="4CD9638C"/>
    <w:rsid w:val="4CEF5BAF"/>
    <w:rsid w:val="4D0E072B"/>
    <w:rsid w:val="4D267823"/>
    <w:rsid w:val="4D491763"/>
    <w:rsid w:val="4D5325E2"/>
    <w:rsid w:val="4D550108"/>
    <w:rsid w:val="4D597AF9"/>
    <w:rsid w:val="4D6554F3"/>
    <w:rsid w:val="4D6B16DA"/>
    <w:rsid w:val="4DA219B1"/>
    <w:rsid w:val="4DA30961"/>
    <w:rsid w:val="4DAE5A6A"/>
    <w:rsid w:val="4DB50BA7"/>
    <w:rsid w:val="4DC4161C"/>
    <w:rsid w:val="4DCB01B8"/>
    <w:rsid w:val="4DD94C11"/>
    <w:rsid w:val="4DFA2A5E"/>
    <w:rsid w:val="4E021BEB"/>
    <w:rsid w:val="4E0A0EF3"/>
    <w:rsid w:val="4E102761"/>
    <w:rsid w:val="4E336509"/>
    <w:rsid w:val="4E3E6DEE"/>
    <w:rsid w:val="4E4D7031"/>
    <w:rsid w:val="4E524648"/>
    <w:rsid w:val="4E8B1908"/>
    <w:rsid w:val="4E994E15"/>
    <w:rsid w:val="4EB52C70"/>
    <w:rsid w:val="4EBC44CE"/>
    <w:rsid w:val="4ECE2A61"/>
    <w:rsid w:val="4ED80FF1"/>
    <w:rsid w:val="4F063322"/>
    <w:rsid w:val="4F0A1BA9"/>
    <w:rsid w:val="4F204751"/>
    <w:rsid w:val="4F22226C"/>
    <w:rsid w:val="4F4C553B"/>
    <w:rsid w:val="4F5551E3"/>
    <w:rsid w:val="4F732AC8"/>
    <w:rsid w:val="4F7F146C"/>
    <w:rsid w:val="4F9847FC"/>
    <w:rsid w:val="4FA47F89"/>
    <w:rsid w:val="4FAC346E"/>
    <w:rsid w:val="4FC17732"/>
    <w:rsid w:val="4FEE214E"/>
    <w:rsid w:val="50086443"/>
    <w:rsid w:val="50151678"/>
    <w:rsid w:val="502344EE"/>
    <w:rsid w:val="502C40C6"/>
    <w:rsid w:val="50593A6B"/>
    <w:rsid w:val="506D1F6D"/>
    <w:rsid w:val="50733381"/>
    <w:rsid w:val="507B30FC"/>
    <w:rsid w:val="508F03E9"/>
    <w:rsid w:val="50BD624C"/>
    <w:rsid w:val="50C730CB"/>
    <w:rsid w:val="50C85D2B"/>
    <w:rsid w:val="50C86E43"/>
    <w:rsid w:val="50E21CB3"/>
    <w:rsid w:val="50E6372A"/>
    <w:rsid w:val="50E83EC0"/>
    <w:rsid w:val="511F2F07"/>
    <w:rsid w:val="51267463"/>
    <w:rsid w:val="51394A8D"/>
    <w:rsid w:val="51446AC1"/>
    <w:rsid w:val="515E50B1"/>
    <w:rsid w:val="51722DB7"/>
    <w:rsid w:val="51850890"/>
    <w:rsid w:val="51864D34"/>
    <w:rsid w:val="51871D52"/>
    <w:rsid w:val="518B234A"/>
    <w:rsid w:val="518D0954"/>
    <w:rsid w:val="51917235"/>
    <w:rsid w:val="519805C3"/>
    <w:rsid w:val="51AB7075"/>
    <w:rsid w:val="51E8779D"/>
    <w:rsid w:val="51E922C7"/>
    <w:rsid w:val="51EF7C55"/>
    <w:rsid w:val="51F24178"/>
    <w:rsid w:val="521D6D1B"/>
    <w:rsid w:val="52386D52"/>
    <w:rsid w:val="52412A09"/>
    <w:rsid w:val="52483AE2"/>
    <w:rsid w:val="525210BA"/>
    <w:rsid w:val="525A7F6F"/>
    <w:rsid w:val="52711175"/>
    <w:rsid w:val="527B23BF"/>
    <w:rsid w:val="52817DDA"/>
    <w:rsid w:val="52831274"/>
    <w:rsid w:val="52B458D1"/>
    <w:rsid w:val="52E777F5"/>
    <w:rsid w:val="52EA6319"/>
    <w:rsid w:val="52FC0750"/>
    <w:rsid w:val="53057EDB"/>
    <w:rsid w:val="530D4FE1"/>
    <w:rsid w:val="530E0C3F"/>
    <w:rsid w:val="53130849"/>
    <w:rsid w:val="53277E51"/>
    <w:rsid w:val="532E124E"/>
    <w:rsid w:val="53420646"/>
    <w:rsid w:val="534D028C"/>
    <w:rsid w:val="53576635"/>
    <w:rsid w:val="538E7ED0"/>
    <w:rsid w:val="539C2670"/>
    <w:rsid w:val="539D6365"/>
    <w:rsid w:val="53AC0356"/>
    <w:rsid w:val="53B01CF2"/>
    <w:rsid w:val="53C51418"/>
    <w:rsid w:val="53D86EF5"/>
    <w:rsid w:val="53EA0E7E"/>
    <w:rsid w:val="53F21C3B"/>
    <w:rsid w:val="53FC12DE"/>
    <w:rsid w:val="54093C95"/>
    <w:rsid w:val="54104D89"/>
    <w:rsid w:val="5426635A"/>
    <w:rsid w:val="543B49E1"/>
    <w:rsid w:val="543C2C3E"/>
    <w:rsid w:val="545B570D"/>
    <w:rsid w:val="545C3B2A"/>
    <w:rsid w:val="54624EB9"/>
    <w:rsid w:val="54947768"/>
    <w:rsid w:val="54996B2C"/>
    <w:rsid w:val="54A86D6F"/>
    <w:rsid w:val="54B5148C"/>
    <w:rsid w:val="54C55252"/>
    <w:rsid w:val="54CB65A0"/>
    <w:rsid w:val="54D76D57"/>
    <w:rsid w:val="54DE1F99"/>
    <w:rsid w:val="54FD721A"/>
    <w:rsid w:val="54FE4BE1"/>
    <w:rsid w:val="550C37A2"/>
    <w:rsid w:val="550D097C"/>
    <w:rsid w:val="551C150B"/>
    <w:rsid w:val="552479BD"/>
    <w:rsid w:val="55284354"/>
    <w:rsid w:val="554D5B69"/>
    <w:rsid w:val="555D3FFE"/>
    <w:rsid w:val="556A04C9"/>
    <w:rsid w:val="556A671B"/>
    <w:rsid w:val="557355CF"/>
    <w:rsid w:val="5579388F"/>
    <w:rsid w:val="55A05AC2"/>
    <w:rsid w:val="55A75279"/>
    <w:rsid w:val="55B31E70"/>
    <w:rsid w:val="55BE25C3"/>
    <w:rsid w:val="55BF4F43"/>
    <w:rsid w:val="55D12E2D"/>
    <w:rsid w:val="55D1679A"/>
    <w:rsid w:val="55EE5599"/>
    <w:rsid w:val="55F4331D"/>
    <w:rsid w:val="55F45FE4"/>
    <w:rsid w:val="56143945"/>
    <w:rsid w:val="562341D8"/>
    <w:rsid w:val="5627460C"/>
    <w:rsid w:val="56303327"/>
    <w:rsid w:val="564D0FC3"/>
    <w:rsid w:val="5652158B"/>
    <w:rsid w:val="566F2001"/>
    <w:rsid w:val="56755377"/>
    <w:rsid w:val="56875FA1"/>
    <w:rsid w:val="56941F2B"/>
    <w:rsid w:val="569F4B5F"/>
    <w:rsid w:val="56A812A9"/>
    <w:rsid w:val="56B533DB"/>
    <w:rsid w:val="56D213AC"/>
    <w:rsid w:val="56EF6ED8"/>
    <w:rsid w:val="56F049FE"/>
    <w:rsid w:val="57154464"/>
    <w:rsid w:val="571701DC"/>
    <w:rsid w:val="572648C3"/>
    <w:rsid w:val="572720E0"/>
    <w:rsid w:val="57734F1B"/>
    <w:rsid w:val="5780716F"/>
    <w:rsid w:val="57807F95"/>
    <w:rsid w:val="579023D9"/>
    <w:rsid w:val="57925AB5"/>
    <w:rsid w:val="57A2219C"/>
    <w:rsid w:val="57E00F16"/>
    <w:rsid w:val="57EC78BB"/>
    <w:rsid w:val="57EE5E6E"/>
    <w:rsid w:val="57F14ED1"/>
    <w:rsid w:val="58022C3B"/>
    <w:rsid w:val="58070251"/>
    <w:rsid w:val="58095D77"/>
    <w:rsid w:val="580B2DFE"/>
    <w:rsid w:val="5825405C"/>
    <w:rsid w:val="58397BAA"/>
    <w:rsid w:val="583B6E66"/>
    <w:rsid w:val="58403763"/>
    <w:rsid w:val="5847689F"/>
    <w:rsid w:val="584B45E2"/>
    <w:rsid w:val="58607961"/>
    <w:rsid w:val="58773629"/>
    <w:rsid w:val="58AC2D2C"/>
    <w:rsid w:val="58B6571C"/>
    <w:rsid w:val="58BD47CB"/>
    <w:rsid w:val="58C148A4"/>
    <w:rsid w:val="58C47EF0"/>
    <w:rsid w:val="58D565A1"/>
    <w:rsid w:val="58E97957"/>
    <w:rsid w:val="58F00CE5"/>
    <w:rsid w:val="58F24A5D"/>
    <w:rsid w:val="59034EBC"/>
    <w:rsid w:val="59411541"/>
    <w:rsid w:val="59434887"/>
    <w:rsid w:val="5947124D"/>
    <w:rsid w:val="596D4A2C"/>
    <w:rsid w:val="597B118A"/>
    <w:rsid w:val="5980650D"/>
    <w:rsid w:val="59965D30"/>
    <w:rsid w:val="59A00451"/>
    <w:rsid w:val="59A3044D"/>
    <w:rsid w:val="59AA5B76"/>
    <w:rsid w:val="59C53F20"/>
    <w:rsid w:val="59E332DF"/>
    <w:rsid w:val="59EE791A"/>
    <w:rsid w:val="59FB5B93"/>
    <w:rsid w:val="5A060497"/>
    <w:rsid w:val="5A0C69EA"/>
    <w:rsid w:val="5A1037AC"/>
    <w:rsid w:val="5A132EDD"/>
    <w:rsid w:val="5A1924BD"/>
    <w:rsid w:val="5A1E7FA3"/>
    <w:rsid w:val="5A2E20E1"/>
    <w:rsid w:val="5A4E2167"/>
    <w:rsid w:val="5A504131"/>
    <w:rsid w:val="5A5406DD"/>
    <w:rsid w:val="5A5F4374"/>
    <w:rsid w:val="5A97796D"/>
    <w:rsid w:val="5ACA735B"/>
    <w:rsid w:val="5AD657C6"/>
    <w:rsid w:val="5AF076C2"/>
    <w:rsid w:val="5AF34ABD"/>
    <w:rsid w:val="5AFC6067"/>
    <w:rsid w:val="5B030320"/>
    <w:rsid w:val="5B03601F"/>
    <w:rsid w:val="5B0E7B48"/>
    <w:rsid w:val="5B142FF8"/>
    <w:rsid w:val="5B21787C"/>
    <w:rsid w:val="5B2B06FA"/>
    <w:rsid w:val="5B2C37D5"/>
    <w:rsid w:val="5B392E17"/>
    <w:rsid w:val="5B3A6973"/>
    <w:rsid w:val="5B4E6197"/>
    <w:rsid w:val="5B6D0D13"/>
    <w:rsid w:val="5B705164"/>
    <w:rsid w:val="5B8D4F11"/>
    <w:rsid w:val="5B9831DF"/>
    <w:rsid w:val="5BD24802"/>
    <w:rsid w:val="5BE4795C"/>
    <w:rsid w:val="5BFC46F4"/>
    <w:rsid w:val="5C076A71"/>
    <w:rsid w:val="5C1E64FE"/>
    <w:rsid w:val="5C2A2760"/>
    <w:rsid w:val="5C4A5889"/>
    <w:rsid w:val="5C500F7C"/>
    <w:rsid w:val="5C5619FC"/>
    <w:rsid w:val="5C5B25F2"/>
    <w:rsid w:val="5C645190"/>
    <w:rsid w:val="5C6C4B26"/>
    <w:rsid w:val="5C927B40"/>
    <w:rsid w:val="5C9C18B0"/>
    <w:rsid w:val="5C9F314E"/>
    <w:rsid w:val="5C9F6CAA"/>
    <w:rsid w:val="5CC17135"/>
    <w:rsid w:val="5CCF4F23"/>
    <w:rsid w:val="5CE172C2"/>
    <w:rsid w:val="5CEA0F53"/>
    <w:rsid w:val="5CF54B1C"/>
    <w:rsid w:val="5D094A6B"/>
    <w:rsid w:val="5D302478"/>
    <w:rsid w:val="5D3A654F"/>
    <w:rsid w:val="5D4B7C35"/>
    <w:rsid w:val="5D4D1427"/>
    <w:rsid w:val="5D624B0A"/>
    <w:rsid w:val="5D722610"/>
    <w:rsid w:val="5D755C5D"/>
    <w:rsid w:val="5D7C15C3"/>
    <w:rsid w:val="5DB744C7"/>
    <w:rsid w:val="5DBE7B6A"/>
    <w:rsid w:val="5DCD7847"/>
    <w:rsid w:val="5DD502D7"/>
    <w:rsid w:val="5DE132F2"/>
    <w:rsid w:val="5DE72293"/>
    <w:rsid w:val="5DEB6D0D"/>
    <w:rsid w:val="5DF425D5"/>
    <w:rsid w:val="5E127529"/>
    <w:rsid w:val="5E8C325E"/>
    <w:rsid w:val="5E9138EE"/>
    <w:rsid w:val="5EA30A04"/>
    <w:rsid w:val="5EBB7FE7"/>
    <w:rsid w:val="5EC0115A"/>
    <w:rsid w:val="5EC20387"/>
    <w:rsid w:val="5EC7674F"/>
    <w:rsid w:val="5ECD7DED"/>
    <w:rsid w:val="5ED321A6"/>
    <w:rsid w:val="5EDC2437"/>
    <w:rsid w:val="5EDD3D75"/>
    <w:rsid w:val="5EEB4428"/>
    <w:rsid w:val="5EF07BF3"/>
    <w:rsid w:val="5EFB67C2"/>
    <w:rsid w:val="5EFD0600"/>
    <w:rsid w:val="5F067F69"/>
    <w:rsid w:val="5F0A6827"/>
    <w:rsid w:val="5F1F2324"/>
    <w:rsid w:val="5F201DD7"/>
    <w:rsid w:val="5F2519AD"/>
    <w:rsid w:val="5F2C67EF"/>
    <w:rsid w:val="5F367055"/>
    <w:rsid w:val="5F473629"/>
    <w:rsid w:val="5F5B6038"/>
    <w:rsid w:val="5F65748F"/>
    <w:rsid w:val="5F685504"/>
    <w:rsid w:val="5F7A1FEB"/>
    <w:rsid w:val="5F8119D4"/>
    <w:rsid w:val="5F830B05"/>
    <w:rsid w:val="5F864151"/>
    <w:rsid w:val="5F942D09"/>
    <w:rsid w:val="5F9745B0"/>
    <w:rsid w:val="5F98228B"/>
    <w:rsid w:val="5FB32A6C"/>
    <w:rsid w:val="5FC46A29"/>
    <w:rsid w:val="5FD70FCC"/>
    <w:rsid w:val="60161979"/>
    <w:rsid w:val="601F0B2B"/>
    <w:rsid w:val="60206354"/>
    <w:rsid w:val="60241FDC"/>
    <w:rsid w:val="604364E6"/>
    <w:rsid w:val="604F09E7"/>
    <w:rsid w:val="60635B81"/>
    <w:rsid w:val="606F72DB"/>
    <w:rsid w:val="607246D5"/>
    <w:rsid w:val="60780475"/>
    <w:rsid w:val="607D37A6"/>
    <w:rsid w:val="608F7035"/>
    <w:rsid w:val="60AC77A4"/>
    <w:rsid w:val="60B0436F"/>
    <w:rsid w:val="60BD1DF5"/>
    <w:rsid w:val="60C74A21"/>
    <w:rsid w:val="61016185"/>
    <w:rsid w:val="61151C31"/>
    <w:rsid w:val="612C6F7A"/>
    <w:rsid w:val="613A6330"/>
    <w:rsid w:val="61446072"/>
    <w:rsid w:val="61447E20"/>
    <w:rsid w:val="61532759"/>
    <w:rsid w:val="61642270"/>
    <w:rsid w:val="6167287F"/>
    <w:rsid w:val="61776447"/>
    <w:rsid w:val="61820B0B"/>
    <w:rsid w:val="619554B6"/>
    <w:rsid w:val="619927F4"/>
    <w:rsid w:val="619D3007"/>
    <w:rsid w:val="61B84B2C"/>
    <w:rsid w:val="61C65C9C"/>
    <w:rsid w:val="61C90282"/>
    <w:rsid w:val="61D92C5E"/>
    <w:rsid w:val="61E13261"/>
    <w:rsid w:val="61E33ADD"/>
    <w:rsid w:val="61F202E4"/>
    <w:rsid w:val="62121325"/>
    <w:rsid w:val="621237CD"/>
    <w:rsid w:val="621A680A"/>
    <w:rsid w:val="621B3277"/>
    <w:rsid w:val="621E6078"/>
    <w:rsid w:val="621F5D7F"/>
    <w:rsid w:val="62276328"/>
    <w:rsid w:val="623C4F9B"/>
    <w:rsid w:val="627B3D15"/>
    <w:rsid w:val="62946E63"/>
    <w:rsid w:val="62960B4F"/>
    <w:rsid w:val="629A0EA3"/>
    <w:rsid w:val="62B2525D"/>
    <w:rsid w:val="62B73732"/>
    <w:rsid w:val="62D97739"/>
    <w:rsid w:val="62DC341C"/>
    <w:rsid w:val="62E832E1"/>
    <w:rsid w:val="62EC418F"/>
    <w:rsid w:val="62EF200D"/>
    <w:rsid w:val="62F50760"/>
    <w:rsid w:val="630A5099"/>
    <w:rsid w:val="630E06E5"/>
    <w:rsid w:val="631303F2"/>
    <w:rsid w:val="631E2B63"/>
    <w:rsid w:val="632C5010"/>
    <w:rsid w:val="63310878"/>
    <w:rsid w:val="633E40B5"/>
    <w:rsid w:val="63462575"/>
    <w:rsid w:val="634F2055"/>
    <w:rsid w:val="635602DE"/>
    <w:rsid w:val="636C2092"/>
    <w:rsid w:val="6388493C"/>
    <w:rsid w:val="639332C6"/>
    <w:rsid w:val="639C3F43"/>
    <w:rsid w:val="63A1155A"/>
    <w:rsid w:val="63B91CAA"/>
    <w:rsid w:val="63C32840"/>
    <w:rsid w:val="63C35E3A"/>
    <w:rsid w:val="63C826F0"/>
    <w:rsid w:val="63D36F67"/>
    <w:rsid w:val="63DA4A6C"/>
    <w:rsid w:val="63E97832"/>
    <w:rsid w:val="63F30FF2"/>
    <w:rsid w:val="63F503D4"/>
    <w:rsid w:val="6401367D"/>
    <w:rsid w:val="640146EE"/>
    <w:rsid w:val="64221954"/>
    <w:rsid w:val="64265F03"/>
    <w:rsid w:val="642D7291"/>
    <w:rsid w:val="643028DD"/>
    <w:rsid w:val="64306D81"/>
    <w:rsid w:val="643C74D4"/>
    <w:rsid w:val="643F0D73"/>
    <w:rsid w:val="64420A47"/>
    <w:rsid w:val="64677B5D"/>
    <w:rsid w:val="64680F0F"/>
    <w:rsid w:val="6468651B"/>
    <w:rsid w:val="646D1D84"/>
    <w:rsid w:val="648B676C"/>
    <w:rsid w:val="64992B79"/>
    <w:rsid w:val="64994927"/>
    <w:rsid w:val="64A62BA0"/>
    <w:rsid w:val="64E72400"/>
    <w:rsid w:val="64F658D5"/>
    <w:rsid w:val="65143FAD"/>
    <w:rsid w:val="65150451"/>
    <w:rsid w:val="65202952"/>
    <w:rsid w:val="652636EB"/>
    <w:rsid w:val="652C1AEC"/>
    <w:rsid w:val="65396B44"/>
    <w:rsid w:val="655D3BA6"/>
    <w:rsid w:val="656E5DB3"/>
    <w:rsid w:val="657B402C"/>
    <w:rsid w:val="658729D1"/>
    <w:rsid w:val="65901886"/>
    <w:rsid w:val="65A74E21"/>
    <w:rsid w:val="65B640A4"/>
    <w:rsid w:val="65BA2DA7"/>
    <w:rsid w:val="65BC08CD"/>
    <w:rsid w:val="65CC4888"/>
    <w:rsid w:val="65DC5B27"/>
    <w:rsid w:val="65FD286B"/>
    <w:rsid w:val="661324B7"/>
    <w:rsid w:val="66140709"/>
    <w:rsid w:val="663012BB"/>
    <w:rsid w:val="663E5786"/>
    <w:rsid w:val="66404FDA"/>
    <w:rsid w:val="66434B4A"/>
    <w:rsid w:val="66495ED8"/>
    <w:rsid w:val="66546D57"/>
    <w:rsid w:val="665B7255"/>
    <w:rsid w:val="66862C89"/>
    <w:rsid w:val="66C3607C"/>
    <w:rsid w:val="66C867F8"/>
    <w:rsid w:val="66DE4873"/>
    <w:rsid w:val="66E94D5F"/>
    <w:rsid w:val="66F52A9F"/>
    <w:rsid w:val="670363F9"/>
    <w:rsid w:val="67277FC8"/>
    <w:rsid w:val="676B0C10"/>
    <w:rsid w:val="676F7BC1"/>
    <w:rsid w:val="67786039"/>
    <w:rsid w:val="677B0314"/>
    <w:rsid w:val="67892A30"/>
    <w:rsid w:val="678A5BED"/>
    <w:rsid w:val="67900672"/>
    <w:rsid w:val="67967466"/>
    <w:rsid w:val="679E78A4"/>
    <w:rsid w:val="67A425AC"/>
    <w:rsid w:val="67B444D0"/>
    <w:rsid w:val="67B5430A"/>
    <w:rsid w:val="67C312B1"/>
    <w:rsid w:val="67C45311"/>
    <w:rsid w:val="67C577E1"/>
    <w:rsid w:val="67FE08ED"/>
    <w:rsid w:val="681317B4"/>
    <w:rsid w:val="68470547"/>
    <w:rsid w:val="684752F7"/>
    <w:rsid w:val="68694610"/>
    <w:rsid w:val="689F6284"/>
    <w:rsid w:val="68AA7102"/>
    <w:rsid w:val="68B47F81"/>
    <w:rsid w:val="68BA4E6C"/>
    <w:rsid w:val="68C301C4"/>
    <w:rsid w:val="68D66149"/>
    <w:rsid w:val="68DC17EC"/>
    <w:rsid w:val="68DE6DAC"/>
    <w:rsid w:val="68EF2D67"/>
    <w:rsid w:val="69076303"/>
    <w:rsid w:val="690D2909"/>
    <w:rsid w:val="691637E2"/>
    <w:rsid w:val="692B4AA2"/>
    <w:rsid w:val="692F49E1"/>
    <w:rsid w:val="693B261A"/>
    <w:rsid w:val="69434E61"/>
    <w:rsid w:val="69533C20"/>
    <w:rsid w:val="69537E01"/>
    <w:rsid w:val="69594684"/>
    <w:rsid w:val="69635503"/>
    <w:rsid w:val="69766FE4"/>
    <w:rsid w:val="698D29DB"/>
    <w:rsid w:val="69B144C0"/>
    <w:rsid w:val="69B1626F"/>
    <w:rsid w:val="69BA093C"/>
    <w:rsid w:val="69C2551A"/>
    <w:rsid w:val="69F36887"/>
    <w:rsid w:val="69FA7C16"/>
    <w:rsid w:val="69FB10EF"/>
    <w:rsid w:val="6A094CE4"/>
    <w:rsid w:val="6A1050DD"/>
    <w:rsid w:val="6A1A2066"/>
    <w:rsid w:val="6A226378"/>
    <w:rsid w:val="6A3D3FA6"/>
    <w:rsid w:val="6A3D7B02"/>
    <w:rsid w:val="6A561D00"/>
    <w:rsid w:val="6A641533"/>
    <w:rsid w:val="6A645C5C"/>
    <w:rsid w:val="6A6E4160"/>
    <w:rsid w:val="6A883473"/>
    <w:rsid w:val="6A89528F"/>
    <w:rsid w:val="6A985C21"/>
    <w:rsid w:val="6AA162E3"/>
    <w:rsid w:val="6AC104F2"/>
    <w:rsid w:val="6AC326FD"/>
    <w:rsid w:val="6AC50223"/>
    <w:rsid w:val="6AC51200"/>
    <w:rsid w:val="6AD06BC8"/>
    <w:rsid w:val="6ADC37BF"/>
    <w:rsid w:val="6AEA7C8A"/>
    <w:rsid w:val="6B0A71F7"/>
    <w:rsid w:val="6B2667E8"/>
    <w:rsid w:val="6B37759E"/>
    <w:rsid w:val="6B4A24D7"/>
    <w:rsid w:val="6B572E46"/>
    <w:rsid w:val="6B7F4B6B"/>
    <w:rsid w:val="6B8208FC"/>
    <w:rsid w:val="6B8656C4"/>
    <w:rsid w:val="6B8E2D0B"/>
    <w:rsid w:val="6BC70EF8"/>
    <w:rsid w:val="6BE02E3B"/>
    <w:rsid w:val="6BE04BE9"/>
    <w:rsid w:val="6BE35B73"/>
    <w:rsid w:val="6BE50451"/>
    <w:rsid w:val="6BE97F42"/>
    <w:rsid w:val="6C0703C8"/>
    <w:rsid w:val="6C094140"/>
    <w:rsid w:val="6C146CA9"/>
    <w:rsid w:val="6C252D67"/>
    <w:rsid w:val="6C2E7A7C"/>
    <w:rsid w:val="6C30177E"/>
    <w:rsid w:val="6C416335"/>
    <w:rsid w:val="6C771558"/>
    <w:rsid w:val="6C78782D"/>
    <w:rsid w:val="6C7C0ADF"/>
    <w:rsid w:val="6C871509"/>
    <w:rsid w:val="6C8C3392"/>
    <w:rsid w:val="6C9E2D67"/>
    <w:rsid w:val="6CA6352E"/>
    <w:rsid w:val="6CAB51F7"/>
    <w:rsid w:val="6CB467A2"/>
    <w:rsid w:val="6CBA4E65"/>
    <w:rsid w:val="6CBF524A"/>
    <w:rsid w:val="6CC133C5"/>
    <w:rsid w:val="6CD75F26"/>
    <w:rsid w:val="6CED1CB3"/>
    <w:rsid w:val="6D0C1C97"/>
    <w:rsid w:val="6D11069A"/>
    <w:rsid w:val="6D12288F"/>
    <w:rsid w:val="6D165740"/>
    <w:rsid w:val="6D3E42BD"/>
    <w:rsid w:val="6D543AE1"/>
    <w:rsid w:val="6D6D4BA2"/>
    <w:rsid w:val="6D765805"/>
    <w:rsid w:val="6D7C3E42"/>
    <w:rsid w:val="6D88378A"/>
    <w:rsid w:val="6D920165"/>
    <w:rsid w:val="6D9F7871"/>
    <w:rsid w:val="6DA22EA3"/>
    <w:rsid w:val="6DB1683D"/>
    <w:rsid w:val="6DB8732C"/>
    <w:rsid w:val="6DCE5641"/>
    <w:rsid w:val="6DEE7A91"/>
    <w:rsid w:val="6DF332FA"/>
    <w:rsid w:val="6E014111"/>
    <w:rsid w:val="6E1804E6"/>
    <w:rsid w:val="6E2B74BD"/>
    <w:rsid w:val="6E2E5F07"/>
    <w:rsid w:val="6E3A3A96"/>
    <w:rsid w:val="6E421B8B"/>
    <w:rsid w:val="6E493391"/>
    <w:rsid w:val="6E6168A9"/>
    <w:rsid w:val="6E731D44"/>
    <w:rsid w:val="6E7E4B48"/>
    <w:rsid w:val="6E8B62CA"/>
    <w:rsid w:val="6EAD16FA"/>
    <w:rsid w:val="6EAF2739"/>
    <w:rsid w:val="6EBF1214"/>
    <w:rsid w:val="6EC86534"/>
    <w:rsid w:val="6EDA0016"/>
    <w:rsid w:val="6EF924D7"/>
    <w:rsid w:val="6EFD1D95"/>
    <w:rsid w:val="6F0B6421"/>
    <w:rsid w:val="6F0C33FE"/>
    <w:rsid w:val="6F370FC4"/>
    <w:rsid w:val="6F6D42C6"/>
    <w:rsid w:val="6F772646"/>
    <w:rsid w:val="6F7915DC"/>
    <w:rsid w:val="6F7D1248"/>
    <w:rsid w:val="6F7E4E45"/>
    <w:rsid w:val="6F80296B"/>
    <w:rsid w:val="6F906186"/>
    <w:rsid w:val="6F9B6203"/>
    <w:rsid w:val="6FAD74D8"/>
    <w:rsid w:val="6FBE53DB"/>
    <w:rsid w:val="6FCA62DC"/>
    <w:rsid w:val="6FCF56A0"/>
    <w:rsid w:val="6FD04332"/>
    <w:rsid w:val="6FD33AC8"/>
    <w:rsid w:val="6FDC5069"/>
    <w:rsid w:val="6FE3114C"/>
    <w:rsid w:val="6FE50A20"/>
    <w:rsid w:val="6FEB722F"/>
    <w:rsid w:val="6FF204E1"/>
    <w:rsid w:val="6FF869A5"/>
    <w:rsid w:val="70090BB2"/>
    <w:rsid w:val="701C6DDB"/>
    <w:rsid w:val="70442B1D"/>
    <w:rsid w:val="704A4D27"/>
    <w:rsid w:val="704C6A65"/>
    <w:rsid w:val="704C6AB3"/>
    <w:rsid w:val="705067E1"/>
    <w:rsid w:val="7064495D"/>
    <w:rsid w:val="706A19EA"/>
    <w:rsid w:val="70741DA4"/>
    <w:rsid w:val="70917461"/>
    <w:rsid w:val="70974410"/>
    <w:rsid w:val="70A1528F"/>
    <w:rsid w:val="70A26911"/>
    <w:rsid w:val="70A95EF1"/>
    <w:rsid w:val="70BC3E77"/>
    <w:rsid w:val="70C32E6D"/>
    <w:rsid w:val="70D867D7"/>
    <w:rsid w:val="70D8699A"/>
    <w:rsid w:val="70E138DD"/>
    <w:rsid w:val="70F772E0"/>
    <w:rsid w:val="70F832A5"/>
    <w:rsid w:val="71026B0F"/>
    <w:rsid w:val="710812D5"/>
    <w:rsid w:val="710D6F7C"/>
    <w:rsid w:val="711A0B9D"/>
    <w:rsid w:val="711A34A8"/>
    <w:rsid w:val="711C4915"/>
    <w:rsid w:val="711F7F62"/>
    <w:rsid w:val="712F6428"/>
    <w:rsid w:val="712F6B34"/>
    <w:rsid w:val="713C4FB8"/>
    <w:rsid w:val="71581D09"/>
    <w:rsid w:val="715E4F2E"/>
    <w:rsid w:val="71652E7D"/>
    <w:rsid w:val="716800E2"/>
    <w:rsid w:val="716A5020"/>
    <w:rsid w:val="71763E02"/>
    <w:rsid w:val="71791D77"/>
    <w:rsid w:val="71815869"/>
    <w:rsid w:val="71836DF7"/>
    <w:rsid w:val="71844269"/>
    <w:rsid w:val="719941B8"/>
    <w:rsid w:val="71A843FB"/>
    <w:rsid w:val="71A876AA"/>
    <w:rsid w:val="71D40D4C"/>
    <w:rsid w:val="71E74F23"/>
    <w:rsid w:val="71EF3DD8"/>
    <w:rsid w:val="71F14816"/>
    <w:rsid w:val="720D551A"/>
    <w:rsid w:val="7224193D"/>
    <w:rsid w:val="72265C7F"/>
    <w:rsid w:val="72266C97"/>
    <w:rsid w:val="7244764E"/>
    <w:rsid w:val="726227FC"/>
    <w:rsid w:val="727B07DE"/>
    <w:rsid w:val="728E35F1"/>
    <w:rsid w:val="729C5C2A"/>
    <w:rsid w:val="72BB76D6"/>
    <w:rsid w:val="72BC5947"/>
    <w:rsid w:val="72C9287B"/>
    <w:rsid w:val="7324088A"/>
    <w:rsid w:val="73326672"/>
    <w:rsid w:val="733F3463"/>
    <w:rsid w:val="734B14E2"/>
    <w:rsid w:val="73504D4A"/>
    <w:rsid w:val="73736634"/>
    <w:rsid w:val="737B2C9C"/>
    <w:rsid w:val="73A7562E"/>
    <w:rsid w:val="73B021B6"/>
    <w:rsid w:val="73C66DBA"/>
    <w:rsid w:val="73CF5C6F"/>
    <w:rsid w:val="740D2C3B"/>
    <w:rsid w:val="741D2E7E"/>
    <w:rsid w:val="742064CB"/>
    <w:rsid w:val="742A4F43"/>
    <w:rsid w:val="74504A30"/>
    <w:rsid w:val="745B011C"/>
    <w:rsid w:val="74820F33"/>
    <w:rsid w:val="74B60BDD"/>
    <w:rsid w:val="74CA6436"/>
    <w:rsid w:val="74CD4FC9"/>
    <w:rsid w:val="74DF1EE2"/>
    <w:rsid w:val="74ED2351"/>
    <w:rsid w:val="74F51705"/>
    <w:rsid w:val="74F55488"/>
    <w:rsid w:val="750556C0"/>
    <w:rsid w:val="75074161"/>
    <w:rsid w:val="750A3855"/>
    <w:rsid w:val="750E6C6B"/>
    <w:rsid w:val="754F62C4"/>
    <w:rsid w:val="757D675A"/>
    <w:rsid w:val="759A095D"/>
    <w:rsid w:val="75B570E6"/>
    <w:rsid w:val="75B82733"/>
    <w:rsid w:val="75BA6752"/>
    <w:rsid w:val="75C17839"/>
    <w:rsid w:val="75C80BC8"/>
    <w:rsid w:val="75C80D52"/>
    <w:rsid w:val="75CD4430"/>
    <w:rsid w:val="75D21A46"/>
    <w:rsid w:val="75DB5D6F"/>
    <w:rsid w:val="75EA6D90"/>
    <w:rsid w:val="75F714AD"/>
    <w:rsid w:val="75FB71EF"/>
    <w:rsid w:val="761262E7"/>
    <w:rsid w:val="761738FD"/>
    <w:rsid w:val="76200A04"/>
    <w:rsid w:val="76255E19"/>
    <w:rsid w:val="763E2DA1"/>
    <w:rsid w:val="76562678"/>
    <w:rsid w:val="765B5EE0"/>
    <w:rsid w:val="765F56E2"/>
    <w:rsid w:val="766F3739"/>
    <w:rsid w:val="76874D1D"/>
    <w:rsid w:val="76891C10"/>
    <w:rsid w:val="768E1E11"/>
    <w:rsid w:val="76B13ECF"/>
    <w:rsid w:val="76B850E0"/>
    <w:rsid w:val="76CA0F9A"/>
    <w:rsid w:val="76D27D21"/>
    <w:rsid w:val="76E421F5"/>
    <w:rsid w:val="76E772DA"/>
    <w:rsid w:val="76EC4D8A"/>
    <w:rsid w:val="76F105F2"/>
    <w:rsid w:val="770B3462"/>
    <w:rsid w:val="770D3C77"/>
    <w:rsid w:val="771043CF"/>
    <w:rsid w:val="77212C85"/>
    <w:rsid w:val="77275DC2"/>
    <w:rsid w:val="772D17FA"/>
    <w:rsid w:val="77324C81"/>
    <w:rsid w:val="77383B2B"/>
    <w:rsid w:val="773B2F22"/>
    <w:rsid w:val="77427C33"/>
    <w:rsid w:val="775008EC"/>
    <w:rsid w:val="775A1CF3"/>
    <w:rsid w:val="77665A77"/>
    <w:rsid w:val="777165B5"/>
    <w:rsid w:val="778C0ADA"/>
    <w:rsid w:val="77BC29AE"/>
    <w:rsid w:val="77D31AA6"/>
    <w:rsid w:val="77F05922"/>
    <w:rsid w:val="77F2017E"/>
    <w:rsid w:val="77FC724F"/>
    <w:rsid w:val="780103C1"/>
    <w:rsid w:val="78061E7B"/>
    <w:rsid w:val="781B7E54"/>
    <w:rsid w:val="782A7918"/>
    <w:rsid w:val="782F4F2E"/>
    <w:rsid w:val="78310FF8"/>
    <w:rsid w:val="786A41B8"/>
    <w:rsid w:val="787C3EEC"/>
    <w:rsid w:val="787F73A0"/>
    <w:rsid w:val="78874D6A"/>
    <w:rsid w:val="78893996"/>
    <w:rsid w:val="78C91878"/>
    <w:rsid w:val="78E21FA1"/>
    <w:rsid w:val="78EC72C3"/>
    <w:rsid w:val="78F73416"/>
    <w:rsid w:val="790E0FE8"/>
    <w:rsid w:val="79235886"/>
    <w:rsid w:val="792C0E9B"/>
    <w:rsid w:val="79490272"/>
    <w:rsid w:val="794E14FB"/>
    <w:rsid w:val="79586707"/>
    <w:rsid w:val="79703A50"/>
    <w:rsid w:val="798E2128"/>
    <w:rsid w:val="79B31B8F"/>
    <w:rsid w:val="79BA4CCB"/>
    <w:rsid w:val="79BC4EE7"/>
    <w:rsid w:val="79BC6C95"/>
    <w:rsid w:val="79C618C2"/>
    <w:rsid w:val="79C63670"/>
    <w:rsid w:val="79EB1329"/>
    <w:rsid w:val="7A155929"/>
    <w:rsid w:val="7A16163D"/>
    <w:rsid w:val="7A17211E"/>
    <w:rsid w:val="7A191501"/>
    <w:rsid w:val="7A1C74FD"/>
    <w:rsid w:val="7A342CD0"/>
    <w:rsid w:val="7A664E53"/>
    <w:rsid w:val="7A67223D"/>
    <w:rsid w:val="7A7B26AD"/>
    <w:rsid w:val="7A8041F6"/>
    <w:rsid w:val="7A8B2FFF"/>
    <w:rsid w:val="7AD562F4"/>
    <w:rsid w:val="7B1D7C08"/>
    <w:rsid w:val="7B220F8F"/>
    <w:rsid w:val="7B331FF5"/>
    <w:rsid w:val="7B511B7A"/>
    <w:rsid w:val="7B603EDE"/>
    <w:rsid w:val="7B6A44CF"/>
    <w:rsid w:val="7B6C3D8E"/>
    <w:rsid w:val="7B762E74"/>
    <w:rsid w:val="7B8F3F36"/>
    <w:rsid w:val="7BBA0FB3"/>
    <w:rsid w:val="7BC77B74"/>
    <w:rsid w:val="7BD478AD"/>
    <w:rsid w:val="7BD83B2F"/>
    <w:rsid w:val="7BE81EF8"/>
    <w:rsid w:val="7BE83265"/>
    <w:rsid w:val="7BF22E42"/>
    <w:rsid w:val="7BF601A6"/>
    <w:rsid w:val="7BF639DF"/>
    <w:rsid w:val="7C0E12FE"/>
    <w:rsid w:val="7C1002B5"/>
    <w:rsid w:val="7C177960"/>
    <w:rsid w:val="7C3402AE"/>
    <w:rsid w:val="7C3F3BAE"/>
    <w:rsid w:val="7C5D0785"/>
    <w:rsid w:val="7C5F1B5A"/>
    <w:rsid w:val="7C611D76"/>
    <w:rsid w:val="7C652CB9"/>
    <w:rsid w:val="7C686CE9"/>
    <w:rsid w:val="7C7071A1"/>
    <w:rsid w:val="7C745605"/>
    <w:rsid w:val="7CAB2FF1"/>
    <w:rsid w:val="7CAD2394"/>
    <w:rsid w:val="7CB25BEB"/>
    <w:rsid w:val="7CB71996"/>
    <w:rsid w:val="7CD03043"/>
    <w:rsid w:val="7CD6006E"/>
    <w:rsid w:val="7CDB5685"/>
    <w:rsid w:val="7CE04A49"/>
    <w:rsid w:val="7CE07E8C"/>
    <w:rsid w:val="7CEC1640"/>
    <w:rsid w:val="7CF6426C"/>
    <w:rsid w:val="7D1F193A"/>
    <w:rsid w:val="7D3F20B7"/>
    <w:rsid w:val="7D3F5645"/>
    <w:rsid w:val="7D617984"/>
    <w:rsid w:val="7D7004C3"/>
    <w:rsid w:val="7D700FAB"/>
    <w:rsid w:val="7D943A85"/>
    <w:rsid w:val="7DAE0FEB"/>
    <w:rsid w:val="7DB303AF"/>
    <w:rsid w:val="7DB52379"/>
    <w:rsid w:val="7DB61C4E"/>
    <w:rsid w:val="7DC73E5B"/>
    <w:rsid w:val="7DCA281E"/>
    <w:rsid w:val="7DCF63DA"/>
    <w:rsid w:val="7DF6475B"/>
    <w:rsid w:val="7DFD5ACF"/>
    <w:rsid w:val="7E024E93"/>
    <w:rsid w:val="7E0E5C00"/>
    <w:rsid w:val="7E2B6198"/>
    <w:rsid w:val="7E3808B5"/>
    <w:rsid w:val="7E71651B"/>
    <w:rsid w:val="7E812B45"/>
    <w:rsid w:val="7E891208"/>
    <w:rsid w:val="7E9D1FC9"/>
    <w:rsid w:val="7EA114AC"/>
    <w:rsid w:val="7EB51F05"/>
    <w:rsid w:val="7EB54116"/>
    <w:rsid w:val="7EBA0D2A"/>
    <w:rsid w:val="7EBA4EFD"/>
    <w:rsid w:val="7ED6414B"/>
    <w:rsid w:val="7EDE145C"/>
    <w:rsid w:val="7F01339C"/>
    <w:rsid w:val="7F0709B3"/>
    <w:rsid w:val="7F1107D4"/>
    <w:rsid w:val="7F1C3DA0"/>
    <w:rsid w:val="7F1C6041"/>
    <w:rsid w:val="7F2311D9"/>
    <w:rsid w:val="7F4D2D24"/>
    <w:rsid w:val="7F511C2E"/>
    <w:rsid w:val="7F596D35"/>
    <w:rsid w:val="7F6F6558"/>
    <w:rsid w:val="7F741DC0"/>
    <w:rsid w:val="7F8C710A"/>
    <w:rsid w:val="7FA03C77"/>
    <w:rsid w:val="7FA06711"/>
    <w:rsid w:val="7FB623D9"/>
    <w:rsid w:val="7FC70142"/>
    <w:rsid w:val="7FD43EA3"/>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0"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jc w:val="center"/>
      <w:outlineLvl w:val="0"/>
    </w:pPr>
    <w:rPr>
      <w:rFonts w:eastAsia="黑体"/>
      <w:b/>
      <w:kern w:val="44"/>
      <w:sz w:val="36"/>
      <w:szCs w:val="20"/>
    </w:rPr>
  </w:style>
  <w:style w:type="paragraph" w:styleId="3">
    <w:name w:val="heading 2"/>
    <w:basedOn w:val="1"/>
    <w:next w:val="1"/>
    <w:qFormat/>
    <w:uiPriority w:val="0"/>
    <w:pPr>
      <w:keepNext/>
      <w:keepLines/>
      <w:numPr>
        <w:ilvl w:val="1"/>
        <w:numId w:val="1"/>
      </w:numPr>
      <w:spacing w:before="260" w:after="260" w:line="413" w:lineRule="auto"/>
      <w:jc w:val="center"/>
      <w:outlineLvl w:val="1"/>
    </w:pPr>
    <w:rPr>
      <w:rFonts w:ascii="CG Times" w:hAnsi="CG Times"/>
      <w:b/>
      <w:sz w:val="30"/>
      <w:szCs w:val="20"/>
    </w:rPr>
  </w:style>
  <w:style w:type="paragraph" w:styleId="4">
    <w:name w:val="heading 3"/>
    <w:basedOn w:val="1"/>
    <w:next w:val="1"/>
    <w:qFormat/>
    <w:uiPriority w:val="0"/>
    <w:pPr>
      <w:keepNext/>
      <w:keepLines/>
      <w:numPr>
        <w:ilvl w:val="0"/>
        <w:numId w:val="2"/>
      </w:numPr>
      <w:tabs>
        <w:tab w:val="left" w:pos="5852"/>
        <w:tab w:val="clear" w:pos="425"/>
      </w:tabs>
      <w:snapToGrid w:val="0"/>
      <w:spacing w:before="360" w:line="240" w:lineRule="exact"/>
      <w:outlineLvl w:val="2"/>
    </w:pPr>
    <w:rPr>
      <w:b/>
      <w:sz w:val="28"/>
      <w:szCs w:val="20"/>
    </w:rPr>
  </w:style>
  <w:style w:type="paragraph" w:styleId="5">
    <w:name w:val="heading 4"/>
    <w:basedOn w:val="1"/>
    <w:next w:val="6"/>
    <w:qFormat/>
    <w:uiPriority w:val="9"/>
    <w:pPr>
      <w:keepNext/>
      <w:keepLines/>
      <w:numPr>
        <w:ilvl w:val="0"/>
        <w:numId w:val="3"/>
      </w:numPr>
      <w:spacing w:before="360" w:line="240" w:lineRule="exact"/>
      <w:outlineLvl w:val="3"/>
    </w:pPr>
    <w:rPr>
      <w:rFonts w:ascii="宋体"/>
      <w:b/>
      <w:sz w:val="28"/>
      <w:szCs w:val="20"/>
    </w:rPr>
  </w:style>
  <w:style w:type="paragraph" w:styleId="7">
    <w:name w:val="heading 5"/>
    <w:basedOn w:val="1"/>
    <w:next w:val="6"/>
    <w:qFormat/>
    <w:uiPriority w:val="1"/>
    <w:pPr>
      <w:keepNext/>
      <w:keepLines/>
      <w:numPr>
        <w:ilvl w:val="4"/>
        <w:numId w:val="1"/>
      </w:numPr>
      <w:spacing w:before="280" w:after="290" w:line="372" w:lineRule="auto"/>
      <w:outlineLvl w:val="4"/>
    </w:pPr>
    <w:rPr>
      <w:b/>
      <w:sz w:val="28"/>
      <w:szCs w:val="20"/>
    </w:rPr>
  </w:style>
  <w:style w:type="paragraph" w:styleId="8">
    <w:name w:val="heading 6"/>
    <w:basedOn w:val="1"/>
    <w:next w:val="6"/>
    <w:qFormat/>
    <w:uiPriority w:val="1"/>
    <w:pPr>
      <w:keepNext/>
      <w:keepLines/>
      <w:numPr>
        <w:ilvl w:val="5"/>
        <w:numId w:val="1"/>
      </w:numPr>
      <w:spacing w:before="240" w:after="64" w:line="317" w:lineRule="auto"/>
      <w:outlineLvl w:val="5"/>
    </w:pPr>
    <w:rPr>
      <w:rFonts w:ascii="Arial" w:hAnsi="Arial" w:eastAsia="黑体"/>
      <w:b/>
      <w:sz w:val="24"/>
      <w:szCs w:val="20"/>
    </w:rPr>
  </w:style>
  <w:style w:type="paragraph" w:styleId="9">
    <w:name w:val="heading 7"/>
    <w:basedOn w:val="1"/>
    <w:next w:val="1"/>
    <w:qFormat/>
    <w:uiPriority w:val="1"/>
    <w:pPr>
      <w:keepNext/>
      <w:keepLines/>
      <w:numPr>
        <w:ilvl w:val="6"/>
        <w:numId w:val="1"/>
      </w:numPr>
      <w:spacing w:before="240" w:after="64" w:line="317"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0"/>
    <w:qFormat/>
    <w:uiPriority w:val="0"/>
    <w:pPr>
      <w:ind w:firstLine="420"/>
    </w:pPr>
    <w:rPr>
      <w:szCs w:val="20"/>
    </w:rPr>
  </w:style>
  <w:style w:type="paragraph" w:styleId="12">
    <w:name w:val="annotation text"/>
    <w:basedOn w:val="1"/>
    <w:link w:val="41"/>
    <w:semiHidden/>
    <w:qFormat/>
    <w:uiPriority w:val="0"/>
    <w:pPr>
      <w:widowControl w:val="0"/>
    </w:pPr>
    <w:rPr>
      <w:rFonts w:ascii="Calibri" w:hAnsi="Calibri"/>
    </w:rPr>
  </w:style>
  <w:style w:type="paragraph" w:styleId="13">
    <w:name w:val="Salutation"/>
    <w:basedOn w:val="1"/>
    <w:next w:val="1"/>
    <w:link w:val="42"/>
    <w:unhideWhenUsed/>
    <w:qFormat/>
    <w:uiPriority w:val="0"/>
  </w:style>
  <w:style w:type="paragraph" w:styleId="14">
    <w:name w:val="Body Text"/>
    <w:basedOn w:val="1"/>
    <w:next w:val="1"/>
    <w:link w:val="43"/>
    <w:qFormat/>
    <w:uiPriority w:val="1"/>
    <w:pPr>
      <w:spacing w:line="380" w:lineRule="exact"/>
    </w:pPr>
    <w:rPr>
      <w:sz w:val="24"/>
    </w:rPr>
  </w:style>
  <w:style w:type="paragraph" w:styleId="15">
    <w:name w:val="Body Text Indent"/>
    <w:basedOn w:val="1"/>
    <w:next w:val="16"/>
    <w:qFormat/>
    <w:uiPriority w:val="0"/>
    <w:pPr>
      <w:spacing w:after="120"/>
      <w:ind w:left="420" w:leftChars="200"/>
    </w:pPr>
  </w:style>
  <w:style w:type="paragraph" w:styleId="16">
    <w:name w:val="Normal (Web)"/>
    <w:basedOn w:val="1"/>
    <w:qFormat/>
    <w:uiPriority w:val="0"/>
    <w:pPr>
      <w:spacing w:before="100" w:beforeAutospacing="1" w:after="100" w:afterAutospacing="1"/>
    </w:pPr>
    <w:rPr>
      <w:rFonts w:ascii="宋体" w:hAnsi="宋体" w:cs="宋体"/>
      <w:kern w:val="0"/>
      <w:sz w:val="24"/>
    </w:rPr>
  </w:style>
  <w:style w:type="paragraph" w:styleId="17">
    <w:name w:val="toc 5"/>
    <w:basedOn w:val="1"/>
    <w:next w:val="1"/>
    <w:qFormat/>
    <w:uiPriority w:val="39"/>
    <w:pPr>
      <w:ind w:left="840"/>
    </w:pPr>
    <w:rPr>
      <w:sz w:val="18"/>
      <w:szCs w:val="18"/>
    </w:rPr>
  </w:style>
  <w:style w:type="paragraph" w:styleId="18">
    <w:name w:val="toc 3"/>
    <w:basedOn w:val="1"/>
    <w:next w:val="1"/>
    <w:qFormat/>
    <w:uiPriority w:val="0"/>
    <w:pPr>
      <w:ind w:left="420"/>
    </w:pPr>
    <w:rPr>
      <w:i/>
      <w:sz w:val="20"/>
    </w:rPr>
  </w:style>
  <w:style w:type="paragraph" w:styleId="19">
    <w:name w:val="Plain Text"/>
    <w:basedOn w:val="1"/>
    <w:link w:val="44"/>
    <w:qFormat/>
    <w:uiPriority w:val="0"/>
    <w:rPr>
      <w:rFonts w:ascii="宋体" w:hAnsi="Courier New"/>
      <w:szCs w:val="20"/>
    </w:rPr>
  </w:style>
  <w:style w:type="paragraph" w:styleId="20">
    <w:name w:val="Date"/>
    <w:basedOn w:val="1"/>
    <w:next w:val="1"/>
    <w:qFormat/>
    <w:uiPriority w:val="0"/>
    <w:pPr>
      <w:ind w:left="100" w:leftChars="2500"/>
    </w:pPr>
  </w:style>
  <w:style w:type="paragraph" w:styleId="21">
    <w:name w:val="Balloon Text"/>
    <w:basedOn w:val="1"/>
    <w:qFormat/>
    <w:uiPriority w:val="0"/>
    <w:rPr>
      <w:sz w:val="18"/>
      <w:szCs w:val="18"/>
    </w:rPr>
  </w:style>
  <w:style w:type="paragraph" w:styleId="22">
    <w:name w:val="footer"/>
    <w:basedOn w:val="1"/>
    <w:link w:val="45"/>
    <w:qFormat/>
    <w:uiPriority w:val="99"/>
    <w:pPr>
      <w:tabs>
        <w:tab w:val="center" w:pos="4153"/>
        <w:tab w:val="right" w:pos="8306"/>
      </w:tabs>
      <w:snapToGrid w:val="0"/>
    </w:pPr>
    <w:rPr>
      <w:sz w:val="18"/>
      <w:szCs w:val="20"/>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46"/>
    <w:qFormat/>
    <w:uiPriority w:val="0"/>
    <w:pPr>
      <w:pBdr>
        <w:bottom w:val="single" w:color="auto" w:sz="6" w:space="1"/>
      </w:pBdr>
      <w:tabs>
        <w:tab w:val="center" w:pos="4153"/>
        <w:tab w:val="right" w:pos="8306"/>
      </w:tabs>
      <w:snapToGrid w:val="0"/>
      <w:jc w:val="center"/>
    </w:pPr>
    <w:rPr>
      <w:sz w:val="18"/>
      <w:szCs w:val="20"/>
    </w:rPr>
  </w:style>
  <w:style w:type="paragraph" w:styleId="25">
    <w:name w:val="toc 1"/>
    <w:basedOn w:val="1"/>
    <w:next w:val="1"/>
    <w:unhideWhenUsed/>
    <w:qFormat/>
    <w:uiPriority w:val="39"/>
  </w:style>
  <w:style w:type="paragraph" w:styleId="26">
    <w:name w:val="footnote text"/>
    <w:basedOn w:val="1"/>
    <w:qFormat/>
    <w:uiPriority w:val="0"/>
    <w:pPr>
      <w:spacing w:line="360" w:lineRule="auto"/>
    </w:pPr>
    <w:rPr>
      <w:sz w:val="18"/>
      <w:szCs w:val="20"/>
    </w:rPr>
  </w:style>
  <w:style w:type="paragraph" w:styleId="27">
    <w:name w:val="Body Text 2"/>
    <w:basedOn w:val="1"/>
    <w:qFormat/>
    <w:uiPriority w:val="0"/>
    <w:pPr>
      <w:snapToGrid w:val="0"/>
      <w:spacing w:before="50" w:afterLines="50" w:line="400" w:lineRule="atLeast"/>
    </w:pPr>
    <w:rPr>
      <w:rFonts w:hint="eastAsia" w:ascii="宋体" w:hAnsi="宋体"/>
      <w:color w:val="000000"/>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29">
    <w:name w:val="Title"/>
    <w:basedOn w:val="1"/>
    <w:next w:val="1"/>
    <w:qFormat/>
    <w:uiPriority w:val="98"/>
    <w:pPr>
      <w:spacing w:before="240" w:after="60"/>
      <w:jc w:val="center"/>
      <w:outlineLvl w:val="0"/>
    </w:pPr>
    <w:rPr>
      <w:rFonts w:ascii="等线 Light" w:hAnsi="等线 Light"/>
      <w:b/>
      <w:bCs/>
      <w:sz w:val="32"/>
      <w:szCs w:val="32"/>
    </w:rPr>
  </w:style>
  <w:style w:type="paragraph" w:styleId="30">
    <w:name w:val="Body Text First Indent"/>
    <w:basedOn w:val="14"/>
    <w:qFormat/>
    <w:uiPriority w:val="99"/>
    <w:pPr>
      <w:tabs>
        <w:tab w:val="left" w:pos="567"/>
      </w:tabs>
      <w:spacing w:line="240" w:lineRule="auto"/>
      <w:ind w:firstLine="420" w:firstLineChars="100"/>
    </w:pPr>
    <w:rPr>
      <w:sz w:val="18"/>
      <w:szCs w:val="18"/>
    </w:rPr>
  </w:style>
  <w:style w:type="paragraph" w:styleId="31">
    <w:name w:val="Body Text First Indent 2"/>
    <w:basedOn w:val="15"/>
    <w:next w:val="15"/>
    <w:qFormat/>
    <w:uiPriority w:val="0"/>
    <w:pPr>
      <w:ind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style>
  <w:style w:type="character" w:styleId="37">
    <w:name w:val="Emphasis"/>
    <w:qFormat/>
    <w:uiPriority w:val="20"/>
    <w:rPr>
      <w:color w:val="CC0000"/>
    </w:rPr>
  </w:style>
  <w:style w:type="character" w:styleId="38">
    <w:name w:val="Hyperlink"/>
    <w:qFormat/>
    <w:uiPriority w:val="0"/>
    <w:rPr>
      <w:color w:val="0000FF"/>
      <w:u w:val="single"/>
    </w:rPr>
  </w:style>
  <w:style w:type="character" w:styleId="39">
    <w:name w:val="annotation reference"/>
    <w:basedOn w:val="34"/>
    <w:qFormat/>
    <w:uiPriority w:val="0"/>
    <w:rPr>
      <w:sz w:val="21"/>
      <w:szCs w:val="21"/>
    </w:rPr>
  </w:style>
  <w:style w:type="character" w:customStyle="1" w:styleId="40">
    <w:name w:val="正文缩进 字符"/>
    <w:link w:val="6"/>
    <w:qFormat/>
    <w:uiPriority w:val="0"/>
    <w:rPr>
      <w:rFonts w:eastAsia="宋体"/>
      <w:kern w:val="2"/>
      <w:sz w:val="21"/>
      <w:lang w:val="en-US" w:eastAsia="zh-CN" w:bidi="ar-SA"/>
    </w:rPr>
  </w:style>
  <w:style w:type="character" w:customStyle="1" w:styleId="41">
    <w:name w:val="批注文字 字符"/>
    <w:link w:val="12"/>
    <w:semiHidden/>
    <w:qFormat/>
    <w:uiPriority w:val="0"/>
    <w:rPr>
      <w:rFonts w:ascii="Calibri" w:hAnsi="Calibri"/>
      <w:kern w:val="2"/>
      <w:sz w:val="21"/>
      <w:szCs w:val="24"/>
    </w:rPr>
  </w:style>
  <w:style w:type="character" w:customStyle="1" w:styleId="42">
    <w:name w:val="称呼 字符"/>
    <w:link w:val="13"/>
    <w:qFormat/>
    <w:uiPriority w:val="0"/>
    <w:rPr>
      <w:kern w:val="2"/>
      <w:sz w:val="21"/>
      <w:szCs w:val="24"/>
    </w:rPr>
  </w:style>
  <w:style w:type="character" w:customStyle="1" w:styleId="43">
    <w:name w:val="正文文本 字符"/>
    <w:link w:val="14"/>
    <w:qFormat/>
    <w:uiPriority w:val="1"/>
    <w:rPr>
      <w:kern w:val="2"/>
      <w:sz w:val="24"/>
      <w:szCs w:val="24"/>
    </w:rPr>
  </w:style>
  <w:style w:type="character" w:customStyle="1" w:styleId="44">
    <w:name w:val="纯文本 字符"/>
    <w:link w:val="19"/>
    <w:qFormat/>
    <w:uiPriority w:val="0"/>
    <w:rPr>
      <w:rFonts w:ascii="宋体" w:hAnsi="Courier New" w:eastAsia="宋体"/>
      <w:kern w:val="2"/>
      <w:sz w:val="21"/>
      <w:lang w:val="en-US" w:eastAsia="zh-CN" w:bidi="ar-SA"/>
    </w:rPr>
  </w:style>
  <w:style w:type="character" w:customStyle="1" w:styleId="45">
    <w:name w:val="页脚 字符"/>
    <w:link w:val="22"/>
    <w:qFormat/>
    <w:uiPriority w:val="99"/>
    <w:rPr>
      <w:kern w:val="2"/>
      <w:sz w:val="18"/>
    </w:rPr>
  </w:style>
  <w:style w:type="character" w:customStyle="1" w:styleId="46">
    <w:name w:val="页眉 字符"/>
    <w:link w:val="24"/>
    <w:qFormat/>
    <w:uiPriority w:val="0"/>
    <w:rPr>
      <w:kern w:val="2"/>
      <w:sz w:val="18"/>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Default"/>
    <w:basedOn w:val="29"/>
    <w:next w:val="2"/>
    <w:qFormat/>
    <w:uiPriority w:val="0"/>
    <w:pPr>
      <w:widowControl w:val="0"/>
      <w:autoSpaceDE w:val="0"/>
      <w:autoSpaceDN w:val="0"/>
      <w:adjustRightInd w:val="0"/>
      <w:spacing w:line="360" w:lineRule="atLeast"/>
      <w:jc w:val="both"/>
      <w:textAlignment w:val="baseline"/>
    </w:pPr>
    <w:rPr>
      <w:rFonts w:ascii="宋体"/>
      <w:color w:val="000000"/>
      <w:sz w:val="24"/>
      <w:szCs w:val="24"/>
    </w:rPr>
  </w:style>
  <w:style w:type="paragraph" w:customStyle="1" w:styleId="49">
    <w:name w:val="大标题"/>
    <w:basedOn w:val="1"/>
    <w:next w:val="31"/>
    <w:qFormat/>
    <w:uiPriority w:val="0"/>
    <w:pPr>
      <w:jc w:val="center"/>
    </w:pPr>
    <w:rPr>
      <w:rFonts w:ascii="Arial" w:hAnsi="Arial"/>
      <w:b/>
      <w:sz w:val="28"/>
    </w:rPr>
  </w:style>
  <w:style w:type="paragraph" w:customStyle="1" w:styleId="50">
    <w:name w:val="正文缩进1"/>
    <w:basedOn w:val="1"/>
    <w:qFormat/>
    <w:uiPriority w:val="0"/>
    <w:pPr>
      <w:ind w:firstLine="420"/>
    </w:pPr>
    <w:rPr>
      <w:szCs w:val="20"/>
    </w:rPr>
  </w:style>
  <w:style w:type="paragraph" w:customStyle="1" w:styleId="51">
    <w:name w:val="样式 正文 + 首行缩进:  2 字符"/>
    <w:basedOn w:val="1"/>
    <w:qFormat/>
    <w:uiPriority w:val="0"/>
    <w:pPr>
      <w:keepNext/>
      <w:keepLines/>
      <w:ind w:firstLine="880"/>
    </w:pPr>
    <w:rPr>
      <w:rFonts w:ascii="宋体" w:hAnsi="宋体" w:eastAsia="仿宋" w:cs="宋体"/>
      <w:kern w:val="0"/>
    </w:rPr>
  </w:style>
  <w:style w:type="paragraph" w:customStyle="1" w:styleId="52">
    <w:name w:val="_Style 2"/>
    <w:basedOn w:val="2"/>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53">
    <w:name w:val="NormalCharacter"/>
    <w:qFormat/>
    <w:uiPriority w:val="0"/>
    <w:rPr>
      <w:kern w:val="2"/>
      <w:sz w:val="21"/>
      <w:szCs w:val="24"/>
      <w:lang w:val="en-US" w:eastAsia="zh-CN" w:bidi="ar-SA"/>
    </w:rPr>
  </w:style>
  <w:style w:type="character" w:customStyle="1" w:styleId="54">
    <w:name w:val="color_huei1"/>
    <w:qFormat/>
    <w:uiPriority w:val="0"/>
    <w:rPr>
      <w:color w:val="666666"/>
    </w:rPr>
  </w:style>
  <w:style w:type="character" w:customStyle="1" w:styleId="55">
    <w:name w:val="question-title2"/>
    <w:qFormat/>
    <w:uiPriority w:val="0"/>
  </w:style>
  <w:style w:type="character" w:customStyle="1" w:styleId="56">
    <w:name w:val="newsfont1"/>
    <w:qFormat/>
    <w:uiPriority w:val="0"/>
    <w:rPr>
      <w:sz w:val="21"/>
      <w:szCs w:val="21"/>
    </w:rPr>
  </w:style>
  <w:style w:type="character" w:customStyle="1" w:styleId="57">
    <w:name w:val="apple-style-span"/>
    <w:qFormat/>
    <w:uiPriority w:val="0"/>
  </w:style>
  <w:style w:type="character" w:customStyle="1" w:styleId="58">
    <w:name w:val="纯文本 Char1"/>
    <w:semiHidden/>
    <w:qFormat/>
    <w:locked/>
    <w:uiPriority w:val="0"/>
    <w:rPr>
      <w:rFonts w:ascii="宋体" w:hAnsi="Courier New"/>
      <w:kern w:val="2"/>
      <w:sz w:val="21"/>
    </w:rPr>
  </w:style>
  <w:style w:type="character" w:customStyle="1" w:styleId="59">
    <w:name w:val="font11"/>
    <w:qFormat/>
    <w:uiPriority w:val="0"/>
    <w:rPr>
      <w:rFonts w:hint="eastAsia" w:ascii="宋体" w:hAnsi="宋体" w:eastAsia="宋体" w:cs="宋体"/>
      <w:color w:val="000000"/>
      <w:sz w:val="22"/>
      <w:szCs w:val="22"/>
      <w:u w:val="none"/>
    </w:rPr>
  </w:style>
  <w:style w:type="character" w:customStyle="1" w:styleId="60">
    <w:name w:val="apple-converted-space"/>
    <w:qFormat/>
    <w:uiPriority w:val="0"/>
  </w:style>
  <w:style w:type="character" w:customStyle="1" w:styleId="61">
    <w:name w:val="breakword"/>
    <w:qFormat/>
    <w:uiPriority w:val="0"/>
  </w:style>
  <w:style w:type="character" w:customStyle="1" w:styleId="62">
    <w:name w:val="font01"/>
    <w:qFormat/>
    <w:uiPriority w:val="0"/>
    <w:rPr>
      <w:rFonts w:hint="eastAsia" w:ascii="宋体" w:hAnsi="宋体" w:eastAsia="宋体" w:cs="宋体"/>
      <w:color w:val="FF0000"/>
      <w:sz w:val="22"/>
      <w:szCs w:val="22"/>
      <w:u w:val="none"/>
    </w:rPr>
  </w:style>
  <w:style w:type="paragraph" w:styleId="6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标3"/>
    <w:basedOn w:val="1"/>
    <w:qFormat/>
    <w:uiPriority w:val="0"/>
    <w:pPr>
      <w:numPr>
        <w:ilvl w:val="2"/>
        <w:numId w:val="4"/>
      </w:numPr>
      <w:snapToGrid w:val="0"/>
      <w:spacing w:before="50"/>
      <w:outlineLvl w:val="2"/>
    </w:pPr>
    <w:rPr>
      <w:rFonts w:ascii="Arial Narrow" w:hAnsi="Arial Narrow" w:eastAsia="仿宋_GB2312"/>
      <w:sz w:val="28"/>
      <w:szCs w:val="20"/>
    </w:rPr>
  </w:style>
  <w:style w:type="paragraph" w:customStyle="1" w:styleId="65">
    <w:name w:val="Heading3"/>
    <w:basedOn w:val="1"/>
    <w:next w:val="1"/>
    <w:qFormat/>
    <w:uiPriority w:val="0"/>
    <w:pPr>
      <w:spacing w:after="50" w:line="360" w:lineRule="auto"/>
      <w:ind w:left="-4"/>
      <w:textAlignment w:val="baseline"/>
    </w:pPr>
    <w:rPr>
      <w:rFonts w:ascii="宋体" w:hAnsi="宋体"/>
      <w:b/>
      <w:color w:val="000000"/>
      <w:kern w:val="0"/>
      <w:sz w:val="30"/>
      <w:szCs w:val="20"/>
      <w:lang w:val="en-GB"/>
    </w:rPr>
  </w:style>
  <w:style w:type="paragraph" w:customStyle="1" w:styleId="6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7">
    <w:name w:val="List Paragraph1"/>
    <w:basedOn w:val="1"/>
    <w:qFormat/>
    <w:uiPriority w:val="0"/>
    <w:pPr>
      <w:ind w:firstLine="420" w:firstLineChars="200"/>
    </w:pPr>
    <w:rPr>
      <w:szCs w:val="20"/>
    </w:rPr>
  </w:style>
  <w:style w:type="paragraph" w:customStyle="1" w:styleId="68">
    <w:name w:val="正文缩进2"/>
    <w:basedOn w:val="1"/>
    <w:qFormat/>
    <w:uiPriority w:val="0"/>
    <w:pPr>
      <w:ind w:firstLine="420" w:firstLineChars="200"/>
    </w:pPr>
    <w:rPr>
      <w:szCs w:val="20"/>
    </w:rPr>
  </w:style>
  <w:style w:type="paragraph" w:customStyle="1" w:styleId="69">
    <w:name w:val="Char"/>
    <w:basedOn w:val="1"/>
    <w:qFormat/>
    <w:uiPriority w:val="0"/>
    <w:pPr>
      <w:spacing w:after="160" w:line="240" w:lineRule="exact"/>
    </w:pPr>
    <w:rPr>
      <w:rFonts w:ascii="Verdana" w:hAnsi="Verdana"/>
      <w:kern w:val="0"/>
      <w:sz w:val="20"/>
      <w:szCs w:val="20"/>
      <w:lang w:eastAsia="en-US"/>
    </w:rPr>
  </w:style>
  <w:style w:type="paragraph" w:customStyle="1" w:styleId="70">
    <w:name w:val="样式 样式 样式 左侧:  2 字符1 + 首行缩进:  2 字符1 + 首行缩进:  2 字符"/>
    <w:basedOn w:val="1"/>
    <w:qFormat/>
    <w:uiPriority w:val="0"/>
    <w:pPr>
      <w:adjustRightInd w:val="0"/>
      <w:spacing w:before="60" w:after="120" w:line="440" w:lineRule="atLeast"/>
      <w:ind w:firstLine="480"/>
      <w:textAlignment w:val="baseline"/>
    </w:pPr>
    <w:rPr>
      <w:sz w:val="24"/>
      <w:szCs w:val="20"/>
    </w:rPr>
  </w:style>
  <w:style w:type="paragraph" w:customStyle="1" w:styleId="71">
    <w:name w:val="p16"/>
    <w:basedOn w:val="1"/>
    <w:qFormat/>
    <w:uiPriority w:val="0"/>
    <w:pPr>
      <w:spacing w:line="360" w:lineRule="auto"/>
      <w:ind w:left="980" w:hanging="420"/>
    </w:pPr>
    <w:rPr>
      <w:kern w:val="0"/>
      <w:sz w:val="24"/>
    </w:rPr>
  </w:style>
  <w:style w:type="paragraph" w:customStyle="1" w:styleId="72">
    <w:name w:val="Õý"/>
    <w:qFormat/>
    <w:uiPriority w:val="0"/>
    <w:pPr>
      <w:widowControl w:val="0"/>
      <w:adjustRightInd w:val="0"/>
      <w:spacing w:line="360" w:lineRule="atLeast"/>
      <w:jc w:val="both"/>
      <w:textAlignment w:val="baseline"/>
    </w:pPr>
    <w:rPr>
      <w:rFonts w:ascii="Times New Roman" w:hAnsi="Times New Roman" w:eastAsia="宋体" w:cs="Times New Roman"/>
      <w:kern w:val="2"/>
      <w:sz w:val="21"/>
      <w:lang w:val="en-US" w:eastAsia="zh-CN" w:bidi="ar-SA"/>
    </w:rPr>
  </w:style>
  <w:style w:type="paragraph" w:customStyle="1" w:styleId="73">
    <w:name w:val="Char Char Char Char Char Char Char Char Char Char"/>
    <w:basedOn w:val="1"/>
    <w:qFormat/>
    <w:uiPriority w:val="0"/>
    <w:pPr>
      <w:spacing w:line="360" w:lineRule="auto"/>
    </w:pPr>
  </w:style>
  <w:style w:type="paragraph" w:customStyle="1" w:styleId="74">
    <w:name w:val="默认段落字体 Para Char Char Char1 Char"/>
    <w:basedOn w:val="1"/>
    <w:qFormat/>
    <w:uiPriority w:val="0"/>
    <w:pPr>
      <w:spacing w:line="240" w:lineRule="atLeast"/>
      <w:ind w:left="420" w:firstLine="420"/>
    </w:pPr>
  </w:style>
  <w:style w:type="paragraph" w:customStyle="1" w:styleId="75">
    <w:name w:val="Char1"/>
    <w:basedOn w:val="1"/>
    <w:qFormat/>
    <w:uiPriority w:val="0"/>
    <w:pPr>
      <w:tabs>
        <w:tab w:val="left" w:pos="360"/>
      </w:tabs>
      <w:ind w:firstLine="420"/>
    </w:pPr>
    <w:rPr>
      <w:rFonts w:ascii="宋体" w:hAnsi="宋体"/>
      <w:b/>
      <w:szCs w:val="21"/>
    </w:rPr>
  </w:style>
  <w:style w:type="paragraph" w:customStyle="1" w:styleId="76">
    <w:name w:val="样式3"/>
    <w:basedOn w:val="19"/>
    <w:qFormat/>
    <w:uiPriority w:val="0"/>
    <w:pPr>
      <w:spacing w:line="0" w:lineRule="atLeast"/>
      <w:outlineLvl w:val="0"/>
    </w:pPr>
    <w:rPr>
      <w:sz w:val="28"/>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p0"/>
    <w:basedOn w:val="1"/>
    <w:qFormat/>
    <w:uiPriority w:val="0"/>
    <w:rPr>
      <w:kern w:val="0"/>
      <w:szCs w:val="21"/>
    </w:rPr>
  </w:style>
  <w:style w:type="paragraph" w:customStyle="1" w:styleId="8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font21"/>
    <w:basedOn w:val="34"/>
    <w:qFormat/>
    <w:uiPriority w:val="0"/>
    <w:rPr>
      <w:rFonts w:hint="eastAsia" w:ascii="宋体" w:hAnsi="宋体" w:eastAsia="宋体" w:cs="宋体"/>
      <w:color w:val="000000"/>
      <w:sz w:val="32"/>
      <w:szCs w:val="32"/>
      <w:u w:val="none"/>
    </w:rPr>
  </w:style>
  <w:style w:type="paragraph" w:customStyle="1" w:styleId="83">
    <w:name w:val="Default Text"/>
    <w:basedOn w:val="1"/>
    <w:qFormat/>
    <w:uiPriority w:val="0"/>
    <w:pPr>
      <w:widowControl w:val="0"/>
      <w:autoSpaceDE w:val="0"/>
      <w:autoSpaceDN w:val="0"/>
      <w:adjustRightInd w:val="0"/>
    </w:pPr>
    <w:rPr>
      <w:color w:val="000000"/>
      <w:kern w:val="0"/>
      <w:sz w:val="24"/>
    </w:rPr>
  </w:style>
  <w:style w:type="character" w:customStyle="1" w:styleId="84">
    <w:name w:val="font41"/>
    <w:qFormat/>
    <w:uiPriority w:val="0"/>
    <w:rPr>
      <w:rFonts w:hint="eastAsia" w:ascii="微软雅黑" w:hAnsi="微软雅黑" w:eastAsia="微软雅黑" w:cs="微软雅黑"/>
      <w:color w:val="000000"/>
      <w:sz w:val="20"/>
      <w:szCs w:val="20"/>
      <w:u w:val="none"/>
    </w:rPr>
  </w:style>
  <w:style w:type="character" w:customStyle="1" w:styleId="85">
    <w:name w:val="font31"/>
    <w:qFormat/>
    <w:uiPriority w:val="0"/>
    <w:rPr>
      <w:rFonts w:hint="eastAsia" w:ascii="微软雅黑" w:hAnsi="微软雅黑" w:eastAsia="微软雅黑" w:cs="微软雅黑"/>
      <w:color w:val="000000"/>
      <w:sz w:val="20"/>
      <w:szCs w:val="20"/>
      <w:u w:val="none"/>
    </w:rPr>
  </w:style>
  <w:style w:type="character" w:customStyle="1" w:styleId="86">
    <w:name w:val="页脚 Char"/>
    <w:qFormat/>
    <w:uiPriority w:val="99"/>
    <w:rPr>
      <w:rFonts w:ascii="Calibri" w:hAnsi="Calibri"/>
      <w:kern w:val="2"/>
      <w:sz w:val="18"/>
      <w:szCs w:val="18"/>
    </w:rPr>
  </w:style>
  <w:style w:type="paragraph" w:customStyle="1" w:styleId="87">
    <w:name w:val="表格文字2"/>
    <w:basedOn w:val="88"/>
    <w:qFormat/>
    <w:uiPriority w:val="99"/>
    <w:pPr>
      <w:spacing w:before="25" w:after="25"/>
      <w:jc w:val="left"/>
    </w:pPr>
    <w:rPr>
      <w:bCs/>
      <w:spacing w:val="10"/>
      <w:kern w:val="0"/>
    </w:rPr>
  </w:style>
  <w:style w:type="paragraph" w:customStyle="1" w:styleId="88">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正文_3_0"/>
    <w:basedOn w:val="90"/>
    <w:next w:val="91"/>
    <w:qFormat/>
    <w:uiPriority w:val="0"/>
    <w:rPr>
      <w:rFonts w:ascii="Calibri" w:hAnsi="Calibri" w:cs="Calibri"/>
      <w:szCs w:val="21"/>
    </w:rPr>
  </w:style>
  <w:style w:type="paragraph" w:customStyle="1" w:styleId="9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页脚_2"/>
    <w:basedOn w:val="81"/>
    <w:unhideWhenUsed/>
    <w:qFormat/>
    <w:uiPriority w:val="0"/>
    <w:pPr>
      <w:tabs>
        <w:tab w:val="center" w:pos="4153"/>
        <w:tab w:val="right" w:pos="8306"/>
      </w:tabs>
      <w:snapToGrid w:val="0"/>
      <w:jc w:val="left"/>
    </w:pPr>
    <w:rPr>
      <w:sz w:val="18"/>
      <w:szCs w:val="18"/>
    </w:rPr>
  </w:style>
  <w:style w:type="paragraph" w:customStyle="1" w:styleId="92">
    <w:name w:val="页脚_0"/>
    <w:basedOn w:val="90"/>
    <w:unhideWhenUsed/>
    <w:qFormat/>
    <w:uiPriority w:val="99"/>
    <w:pPr>
      <w:tabs>
        <w:tab w:val="center" w:pos="4153"/>
        <w:tab w:val="right" w:pos="8306"/>
      </w:tabs>
      <w:snapToGrid w:val="0"/>
      <w:jc w:val="left"/>
    </w:pPr>
    <w:rPr>
      <w:rFonts w:ascii="Calibri" w:hAnsi="Calibri"/>
      <w:sz w:val="18"/>
      <w:szCs w:val="18"/>
    </w:rPr>
  </w:style>
  <w:style w:type="paragraph" w:customStyle="1" w:styleId="9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0_1"/>
    <w:basedOn w:val="95"/>
    <w:next w:val="95"/>
    <w:qFormat/>
    <w:uiPriority w:val="0"/>
    <w:rPr>
      <w:szCs w:val="21"/>
    </w:rPr>
  </w:style>
  <w:style w:type="paragraph" w:customStyle="1" w:styleId="9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Table Paragraph"/>
    <w:basedOn w:val="1"/>
    <w:qFormat/>
    <w:uiPriority w:val="1"/>
    <w:pPr>
      <w:widowControl w:val="0"/>
      <w:jc w:val="both"/>
    </w:pPr>
    <w:rPr>
      <w:rFonts w:ascii="楷体" w:hAnsi="楷体" w:eastAsia="楷体" w:cs="楷体"/>
      <w:lang w:val="zh-CN" w:bidi="zh-CN"/>
    </w:rPr>
  </w:style>
  <w:style w:type="paragraph" w:customStyle="1" w:styleId="97">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_1_0_0"/>
    <w:next w:val="9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页脚_1_0"/>
    <w:basedOn w:val="98"/>
    <w:qFormat/>
    <w:uiPriority w:val="0"/>
    <w:pPr>
      <w:tabs>
        <w:tab w:val="center" w:pos="4153"/>
        <w:tab w:val="right" w:pos="8306"/>
      </w:tabs>
      <w:snapToGrid w:val="0"/>
      <w:jc w:val="left"/>
    </w:pPr>
    <w:rPr>
      <w:rFonts w:ascii="Calibri" w:hAnsi="Calibri"/>
      <w:sz w:val="18"/>
      <w:szCs w:val="18"/>
    </w:rPr>
  </w:style>
  <w:style w:type="paragraph" w:customStyle="1" w:styleId="100">
    <w:name w:val="Table Text"/>
    <w:basedOn w:val="1"/>
    <w:semiHidden/>
    <w:qFormat/>
    <w:uiPriority w:val="0"/>
    <w:rPr>
      <w:rFonts w:ascii="楷体" w:hAnsi="楷体" w:eastAsia="楷体" w:cs="楷体"/>
      <w:sz w:val="20"/>
      <w:szCs w:val="20"/>
      <w:lang w:eastAsia="en-US"/>
    </w:rPr>
  </w:style>
  <w:style w:type="paragraph" w:customStyle="1" w:styleId="101">
    <w:name w:val="样式1"/>
    <w:basedOn w:val="1"/>
    <w:next w:val="102"/>
    <w:qFormat/>
    <w:uiPriority w:val="0"/>
    <w:rPr>
      <w:rFonts w:ascii="Calibri" w:hAnsi="Calibri" w:eastAsia="仿宋_GB2312"/>
      <w:sz w:val="32"/>
    </w:rPr>
  </w:style>
  <w:style w:type="paragraph" w:customStyle="1" w:styleId="102">
    <w:name w:val="样式2"/>
    <w:basedOn w:val="1"/>
    <w:qFormat/>
    <w:uiPriority w:val="0"/>
    <w:pPr>
      <w:ind w:firstLine="200" w:firstLineChars="200"/>
    </w:pPr>
    <w:rPr>
      <w:rFonts w:eastAsia="仿宋_GB2312"/>
      <w:sz w:val="32"/>
    </w:r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NormalIndent"/>
    <w:basedOn w:val="1"/>
    <w:qFormat/>
    <w:uiPriority w:val="0"/>
    <w:pPr>
      <w:ind w:firstLine="420"/>
      <w:jc w:val="both"/>
      <w:textAlignment w:val="baseline"/>
    </w:pPr>
    <w:rPr>
      <w:szCs w:val="20"/>
    </w:rPr>
  </w:style>
  <w:style w:type="paragraph" w:customStyle="1" w:styleId="105">
    <w:name w:val="索引 11"/>
    <w:basedOn w:val="1"/>
    <w:next w:val="1"/>
    <w:qFormat/>
    <w:uiPriority w:val="0"/>
    <w:pPr>
      <w:spacing w:line="360" w:lineRule="auto"/>
    </w:pPr>
    <w:rPr>
      <w:rFonts w:ascii="仿宋_GB2312" w:eastAsia="仿宋_GB2312"/>
      <w:sz w:val="24"/>
      <w:szCs w:val="20"/>
    </w:rPr>
  </w:style>
  <w:style w:type="paragraph" w:customStyle="1" w:styleId="106">
    <w:name w:val="纯文本1"/>
    <w:basedOn w:val="1"/>
    <w:qFormat/>
    <w:uiPriority w:val="0"/>
    <w:rPr>
      <w:rFonts w:ascii="宋体" w:hAnsi="Courier New"/>
      <w:kern w:val="0"/>
      <w:sz w:val="20"/>
      <w:szCs w:val="20"/>
    </w:rPr>
  </w:style>
  <w:style w:type="paragraph" w:customStyle="1" w:styleId="10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08">
    <w:name w:val="font61"/>
    <w:basedOn w:val="34"/>
    <w:qFormat/>
    <w:uiPriority w:val="0"/>
    <w:rPr>
      <w:rFonts w:hint="eastAsia" w:ascii="宋体" w:hAnsi="宋体" w:eastAsia="宋体" w:cs="宋体"/>
      <w:color w:val="000000"/>
      <w:sz w:val="20"/>
      <w:szCs w:val="20"/>
      <w:u w:val="none"/>
    </w:rPr>
  </w:style>
  <w:style w:type="character" w:customStyle="1" w:styleId="109">
    <w:name w:val="font71"/>
    <w:basedOn w:val="34"/>
    <w:qFormat/>
    <w:uiPriority w:val="0"/>
    <w:rPr>
      <w:rFonts w:hint="eastAsia" w:ascii="宋体" w:hAnsi="宋体" w:eastAsia="宋体" w:cs="宋体"/>
      <w:color w:val="000000"/>
      <w:sz w:val="20"/>
      <w:szCs w:val="20"/>
      <w:u w:val="none"/>
    </w:rPr>
  </w:style>
  <w:style w:type="character" w:customStyle="1" w:styleId="110">
    <w:name w:val="font81"/>
    <w:basedOn w:val="34"/>
    <w:qFormat/>
    <w:uiPriority w:val="0"/>
    <w:rPr>
      <w:rFonts w:hint="eastAsia" w:ascii="宋体" w:hAnsi="宋体" w:eastAsia="宋体" w:cs="宋体"/>
      <w:color w:val="000000"/>
      <w:sz w:val="20"/>
      <w:szCs w:val="20"/>
      <w:u w:val="none"/>
    </w:rPr>
  </w:style>
  <w:style w:type="character" w:customStyle="1" w:styleId="111">
    <w:name w:val="font51"/>
    <w:basedOn w:val="3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fyzb</Company>
  <Pages>71</Pages>
  <Words>1251</Words>
  <Characters>1444</Characters>
  <Lines>339</Lines>
  <Paragraphs>95</Paragraphs>
  <TotalTime>24</TotalTime>
  <ScaleCrop>false</ScaleCrop>
  <LinksUpToDate>false</LinksUpToDate>
  <CharactersWithSpaces>1476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2025-07-10T05:57:00Z</dcterms:created>
  <dc:creator>大办公厅</dc:creator>
  <cp:lastModifiedBy>kygs1</cp:lastModifiedBy>
  <cp:lastPrinted>2024-02-19T04:37:00Z</cp:lastPrinted>
  <dcterms:modified xsi:type="dcterms:W3CDTF">2025-07-10T09:54:42Z</dcterms:modified>
  <dc:title>北京市对口支援和田地区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AADA66685C2D40108A6C7DC53E0226AA_13</vt:lpwstr>
  </property>
  <property fmtid="{D5CDD505-2E9C-101B-9397-08002B2CF9AE}" pid="4" name="KSOTemplateDocerSaveRecord">
    <vt:lpwstr>eyJoZGlkIjoiMDY2NDc5NDliMTMyNzE3Y2NhOTg4OTZjMzQ2NWE4NWYifQ==</vt:lpwstr>
  </property>
</Properties>
</file>