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eastAsia="宋体"/>
          <w:b/>
          <w:color w:val="auto"/>
          <w:sz w:val="72"/>
          <w:highlight w:val="none"/>
          <w:lang w:val="en-US" w:eastAsia="zh-CN"/>
        </w:rPr>
      </w:pPr>
      <w:r>
        <w:rPr>
          <w:rFonts w:hint="eastAsia" w:ascii="楷体_GB2312"/>
          <w:b/>
          <w:color w:val="auto"/>
          <w:sz w:val="72"/>
          <w:highlight w:val="none"/>
          <w:lang w:val="en-US" w:eastAsia="zh-CN"/>
        </w:rPr>
        <w:t xml:space="preserve">  </w:t>
      </w:r>
    </w:p>
    <w:p>
      <w:pPr>
        <w:jc w:val="center"/>
        <w:rPr>
          <w:rFonts w:hint="eastAsia" w:ascii="楷体_GB2312"/>
          <w:b/>
          <w:color w:val="auto"/>
          <w:sz w:val="72"/>
          <w:highlight w:val="none"/>
        </w:rPr>
      </w:pPr>
    </w:p>
    <w:p>
      <w:pPr>
        <w:jc w:val="center"/>
        <w:rPr>
          <w:rFonts w:hint="eastAsia" w:ascii="楷体_GB2312"/>
          <w:b/>
          <w:color w:val="auto"/>
          <w:sz w:val="72"/>
          <w:highlight w:val="none"/>
        </w:rPr>
      </w:pPr>
    </w:p>
    <w:p>
      <w:pPr>
        <w:jc w:val="center"/>
        <w:rPr>
          <w:rFonts w:hint="eastAsia" w:ascii="楷体_GB2312"/>
          <w:b/>
          <w:color w:val="auto"/>
          <w:sz w:val="72"/>
          <w:highlight w:val="none"/>
        </w:rPr>
      </w:pPr>
      <w:r>
        <w:rPr>
          <w:rFonts w:hint="eastAsia" w:ascii="楷体_GB2312"/>
          <w:b/>
          <w:color w:val="auto"/>
          <w:sz w:val="72"/>
          <w:highlight w:val="none"/>
        </w:rPr>
        <w:t>政  府  采  购</w:t>
      </w:r>
    </w:p>
    <w:p>
      <w:pPr>
        <w:jc w:val="center"/>
        <w:rPr>
          <w:rFonts w:hint="eastAsia" w:ascii="楷体_GB2312"/>
          <w:b/>
          <w:color w:val="auto"/>
          <w:sz w:val="100"/>
          <w:highlight w:val="none"/>
        </w:rPr>
      </w:pPr>
      <w:r>
        <w:rPr>
          <w:rFonts w:hint="eastAsia" w:ascii="楷体_GB2312"/>
          <w:b/>
          <w:color w:val="auto"/>
          <w:sz w:val="100"/>
          <w:highlight w:val="none"/>
        </w:rPr>
        <w:t>招　标　文　件</w:t>
      </w:r>
    </w:p>
    <w:p>
      <w:pPr>
        <w:rPr>
          <w:rFonts w:hint="eastAsia"/>
          <w:b/>
          <w:bCs/>
          <w:color w:val="auto"/>
          <w:sz w:val="32"/>
          <w:szCs w:val="32"/>
          <w:highlight w:val="none"/>
        </w:rPr>
      </w:pPr>
    </w:p>
    <w:p>
      <w:pPr>
        <w:rPr>
          <w:rFonts w:hint="eastAsia"/>
          <w:b/>
          <w:bCs/>
          <w:color w:val="auto"/>
          <w:sz w:val="32"/>
          <w:szCs w:val="32"/>
          <w:highlight w:val="none"/>
        </w:rPr>
      </w:pPr>
    </w:p>
    <w:p>
      <w:pPr>
        <w:rPr>
          <w:rFonts w:hint="eastAsia"/>
          <w:b/>
          <w:bCs/>
          <w:color w:val="auto"/>
          <w:sz w:val="32"/>
          <w:szCs w:val="32"/>
          <w:highlight w:val="none"/>
        </w:rPr>
      </w:pPr>
    </w:p>
    <w:p>
      <w:pPr>
        <w:pStyle w:val="11"/>
        <w:rPr>
          <w:rFonts w:hint="eastAsia"/>
          <w:color w:val="auto"/>
          <w:highlight w:val="none"/>
        </w:rPr>
      </w:pPr>
    </w:p>
    <w:p>
      <w:pPr>
        <w:ind w:left="2073" w:leftChars="330" w:hanging="1380" w:hangingChars="491"/>
        <w:rPr>
          <w:rFonts w:hint="eastAsia" w:ascii="楷体_GB2312"/>
          <w:b/>
          <w:bCs/>
          <w:color w:val="auto"/>
          <w:sz w:val="28"/>
          <w:szCs w:val="28"/>
          <w:highlight w:val="none"/>
          <w:lang w:val="en-US" w:eastAsia="zh-CN"/>
        </w:rPr>
      </w:pPr>
    </w:p>
    <w:p>
      <w:pPr>
        <w:ind w:left="2073" w:leftChars="330" w:hanging="1380" w:hangingChars="491"/>
        <w:rPr>
          <w:rFonts w:hint="eastAsia" w:ascii="楷体_GB2312"/>
          <w:b/>
          <w:bCs/>
          <w:color w:val="auto"/>
          <w:sz w:val="28"/>
          <w:szCs w:val="28"/>
          <w:highlight w:val="none"/>
          <w:lang w:val="en-US" w:eastAsia="zh-CN"/>
        </w:rPr>
      </w:pPr>
    </w:p>
    <w:p>
      <w:pPr>
        <w:jc w:val="center"/>
        <w:rPr>
          <w:rFonts w:hint="eastAsia" w:ascii="楷体_GB2312"/>
          <w:b/>
          <w:bCs/>
          <w:color w:val="auto"/>
          <w:sz w:val="36"/>
          <w:highlight w:val="none"/>
        </w:rPr>
      </w:pP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rPr>
          <w:rFonts w:hint="eastAsia"/>
          <w:b/>
          <w:color w:val="auto"/>
          <w:sz w:val="30"/>
          <w:szCs w:val="30"/>
          <w:highlight w:val="none"/>
        </w:rPr>
      </w:pPr>
    </w:p>
    <w:p>
      <w:pPr>
        <w:jc w:val="center"/>
        <w:rPr>
          <w:rFonts w:hint="eastAsia"/>
          <w:b/>
          <w:color w:val="auto"/>
          <w:sz w:val="30"/>
          <w:szCs w:val="30"/>
          <w:highlight w:val="none"/>
          <w:lang w:eastAsia="zh-CN"/>
        </w:rPr>
      </w:pPr>
      <w:r>
        <w:rPr>
          <w:rFonts w:hint="eastAsia"/>
          <w:b/>
          <w:color w:val="auto"/>
          <w:sz w:val="30"/>
          <w:szCs w:val="30"/>
          <w:highlight w:val="none"/>
        </w:rPr>
        <w:t>招标代理：</w:t>
      </w:r>
      <w:r>
        <w:rPr>
          <w:rFonts w:hint="eastAsia"/>
          <w:b/>
          <w:color w:val="auto"/>
          <w:sz w:val="30"/>
          <w:szCs w:val="30"/>
          <w:highlight w:val="none"/>
          <w:lang w:eastAsia="zh-CN"/>
        </w:rPr>
        <w:t>新疆楷源工程项目管理有限责任公司</w:t>
      </w:r>
    </w:p>
    <w:p>
      <w:pPr>
        <w:pStyle w:val="6"/>
        <w:rPr>
          <w:rFonts w:hint="eastAsia"/>
          <w:b/>
          <w:color w:val="auto"/>
          <w:sz w:val="30"/>
          <w:szCs w:val="30"/>
          <w:highlight w:val="none"/>
          <w:lang w:val="en-US" w:eastAsia="zh-CN"/>
        </w:rPr>
      </w:pPr>
      <w:r>
        <w:rPr>
          <w:rFonts w:hint="eastAsia"/>
          <w:b/>
          <w:color w:val="auto"/>
          <w:sz w:val="30"/>
          <w:szCs w:val="30"/>
          <w:highlight w:val="none"/>
          <w:lang w:val="en-US" w:eastAsia="zh-CN"/>
        </w:rPr>
        <w:t xml:space="preserve">           采购单位：皮山县教育局</w:t>
      </w:r>
    </w:p>
    <w:p>
      <w:pPr>
        <w:jc w:val="center"/>
        <w:rPr>
          <w:rFonts w:hint="default"/>
          <w:lang w:val="en-US" w:eastAsia="zh-CN"/>
        </w:rPr>
      </w:pPr>
      <w:r>
        <w:rPr>
          <w:rFonts w:hint="eastAsia"/>
          <w:b/>
          <w:color w:val="auto"/>
          <w:sz w:val="30"/>
          <w:szCs w:val="30"/>
          <w:highlight w:val="none"/>
          <w:lang w:val="en-US" w:eastAsia="zh-CN"/>
        </w:rPr>
        <w:t>2020年04月</w:t>
      </w: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bCs/>
          <w:color w:val="auto"/>
          <w:sz w:val="44"/>
          <w:szCs w:val="44"/>
          <w:highlight w:val="none"/>
          <w:lang w:val="zh-CN"/>
        </w:rPr>
      </w:pPr>
      <w:r>
        <w:rPr>
          <w:rFonts w:hint="eastAsia" w:ascii="宋体" w:hAnsi="宋体" w:cs="宋体"/>
          <w:bCs/>
          <w:color w:val="auto"/>
          <w:sz w:val="44"/>
          <w:szCs w:val="44"/>
          <w:highlight w:val="none"/>
          <w:lang w:val="zh-CN"/>
        </w:rPr>
        <w:t>招标文件</w:t>
      </w: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left="1959" w:leftChars="133" w:hanging="1680" w:hangingChars="600"/>
        <w:textAlignment w:val="auto"/>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 xml:space="preserve">项 目 </w:t>
      </w:r>
      <w:r>
        <w:rPr>
          <w:rFonts w:hint="eastAsia" w:ascii="宋体" w:hAnsi="宋体" w:cs="宋体"/>
          <w:bCs/>
          <w:color w:val="auto"/>
          <w:sz w:val="28"/>
          <w:szCs w:val="28"/>
          <w:highlight w:val="none"/>
          <w:lang w:val="zh-CN" w:eastAsia="zh-CN"/>
        </w:rPr>
        <w:t>名</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lang w:val="zh-CN" w:eastAsia="zh-CN"/>
        </w:rPr>
        <w:t>称：2020年皮山县教育系统学校食堂所需食材采购项目（</w:t>
      </w:r>
      <w:r>
        <w:rPr>
          <w:rFonts w:hint="eastAsia" w:ascii="宋体" w:hAnsi="宋体" w:cs="宋体"/>
          <w:bCs/>
          <w:color w:val="auto"/>
          <w:sz w:val="28"/>
          <w:szCs w:val="28"/>
          <w:highlight w:val="none"/>
          <w:lang w:val="en-US" w:eastAsia="zh-CN"/>
        </w:rPr>
        <w:t>包一）</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cs="宋体"/>
          <w:bCs/>
          <w:color w:val="auto"/>
          <w:sz w:val="28"/>
          <w:szCs w:val="28"/>
          <w:highlight w:val="none"/>
          <w:lang w:val="zh-CN"/>
        </w:rPr>
      </w:pPr>
      <w:r>
        <w:rPr>
          <w:rFonts w:hint="eastAsia" w:ascii="宋体" w:hAnsi="宋体" w:cs="宋体"/>
          <w:bCs/>
          <w:color w:val="auto"/>
          <w:sz w:val="28"/>
          <w:szCs w:val="28"/>
          <w:highlight w:val="none"/>
          <w:lang w:val="zh-CN"/>
        </w:rPr>
        <w:t>招 标 人（盖章）：</w:t>
      </w:r>
      <w:r>
        <w:rPr>
          <w:rFonts w:hint="eastAsia" w:ascii="宋体" w:hAnsi="宋体" w:cs="宋体"/>
          <w:bCs/>
          <w:color w:val="auto"/>
          <w:sz w:val="28"/>
          <w:szCs w:val="28"/>
          <w:highlight w:val="none"/>
          <w:lang w:val="en-US" w:eastAsia="zh-CN"/>
        </w:rPr>
        <w:t>皮山县教育局</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zh-CN"/>
        </w:rPr>
        <w:t>联 系 人：</w:t>
      </w:r>
      <w:r>
        <w:rPr>
          <w:rFonts w:hint="eastAsia" w:ascii="宋体" w:hAnsi="宋体" w:cs="宋体"/>
          <w:bCs/>
          <w:color w:val="auto"/>
          <w:sz w:val="28"/>
          <w:szCs w:val="28"/>
          <w:highlight w:val="none"/>
          <w:lang w:val="zh-CN" w:eastAsia="zh-CN"/>
        </w:rPr>
        <w:t>王亚平</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cs="宋体"/>
          <w:bCs/>
          <w:color w:val="auto"/>
          <w:sz w:val="28"/>
          <w:szCs w:val="28"/>
          <w:highlight w:val="none"/>
          <w:lang w:val="en-US"/>
        </w:rPr>
      </w:pPr>
      <w:r>
        <w:rPr>
          <w:rFonts w:hint="eastAsia" w:ascii="宋体" w:hAnsi="宋体" w:cs="宋体"/>
          <w:bCs/>
          <w:color w:val="auto"/>
          <w:sz w:val="28"/>
          <w:szCs w:val="28"/>
          <w:highlight w:val="none"/>
          <w:lang w:val="zh-CN"/>
        </w:rPr>
        <w:t>电    话：0903-6427567</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color w:val="auto"/>
          <w:highlight w:val="none"/>
          <w:lang w:val="zh-CN"/>
        </w:rPr>
      </w:pPr>
      <w:r>
        <w:rPr>
          <w:rFonts w:hint="eastAsia" w:ascii="宋体" w:hAnsi="宋体" w:cs="宋体"/>
          <w:bCs/>
          <w:color w:val="auto"/>
          <w:sz w:val="28"/>
          <w:szCs w:val="28"/>
          <w:highlight w:val="none"/>
          <w:lang w:val="zh-CN"/>
        </w:rPr>
        <w:t>详细地址：皮山县新城区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cs="宋体"/>
          <w:bCs/>
          <w:color w:val="auto"/>
          <w:sz w:val="28"/>
          <w:szCs w:val="28"/>
          <w:highlight w:val="none"/>
          <w:lang w:val="zh-CN"/>
        </w:rPr>
      </w:pP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none"/>
          <w:lang w:val="en-US" w:eastAsia="zh-CN"/>
        </w:rPr>
        <w:t xml:space="preserve">                </w:t>
      </w:r>
      <w:r>
        <w:rPr>
          <w:rFonts w:hint="eastAsia" w:ascii="宋体" w:hAnsi="宋体"/>
          <w:bCs/>
          <w:color w:val="auto"/>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val="zh-CN"/>
        </w:rPr>
        <w:t>招标代理机构</w:t>
      </w:r>
      <w:r>
        <w:rPr>
          <w:rFonts w:hint="eastAsia" w:ascii="宋体" w:hAnsi="宋体" w:cs="宋体"/>
          <w:color w:val="auto"/>
          <w:sz w:val="28"/>
          <w:szCs w:val="28"/>
          <w:highlight w:val="none"/>
          <w:lang w:val="zh-CN"/>
        </w:rPr>
        <w:t>（盖章）</w:t>
      </w:r>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lang w:eastAsia="zh-CN"/>
        </w:rPr>
        <w:t>新疆楷源工程项目管理有限责任公司</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default" w:ascii="宋体" w:hAnsi="宋体" w:eastAsia="宋体"/>
          <w:bCs/>
          <w:color w:val="auto"/>
          <w:sz w:val="28"/>
          <w:szCs w:val="28"/>
          <w:highlight w:val="none"/>
          <w:lang w:val="en-US" w:eastAsia="zh-CN"/>
        </w:rPr>
      </w:pPr>
      <w:r>
        <w:rPr>
          <w:rFonts w:hint="eastAsia" w:ascii="宋体" w:hAnsi="宋体" w:cs="宋体"/>
          <w:bCs/>
          <w:color w:val="auto"/>
          <w:kern w:val="0"/>
          <w:sz w:val="28"/>
          <w:szCs w:val="28"/>
          <w:highlight w:val="none"/>
          <w:lang w:val="zh-CN"/>
        </w:rPr>
        <w:t>项目负责人</w:t>
      </w:r>
      <w:r>
        <w:rPr>
          <w:rFonts w:hint="eastAsia" w:ascii="宋体" w:hAnsi="宋体" w:cs="宋体"/>
          <w:bCs/>
          <w:color w:val="auto"/>
          <w:sz w:val="28"/>
          <w:szCs w:val="28"/>
          <w:highlight w:val="none"/>
          <w:lang w:val="zh-CN"/>
        </w:rPr>
        <w:t>：侯雪萍</w:t>
      </w:r>
    </w:p>
    <w:tbl>
      <w:tblPr>
        <w:tblStyle w:val="32"/>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02" w:type="dxa"/>
          </w:tcPr>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bCs/>
                <w:color w:val="auto"/>
                <w:kern w:val="0"/>
                <w:sz w:val="28"/>
                <w:szCs w:val="28"/>
                <w:highlight w:val="none"/>
                <w:vertAlign w:val="baseline"/>
                <w:lang w:val="zh-CN"/>
              </w:rPr>
            </w:pPr>
          </w:p>
        </w:tc>
      </w:tr>
    </w:tbl>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cs="宋体"/>
          <w:bCs/>
          <w:color w:val="auto"/>
          <w:sz w:val="28"/>
          <w:szCs w:val="28"/>
          <w:highlight w:val="none"/>
          <w:lang w:val="en-US" w:eastAsia="zh-CN"/>
        </w:rPr>
      </w:pPr>
      <w:r>
        <w:rPr>
          <w:rFonts w:hint="eastAsia" w:ascii="宋体" w:hAnsi="宋体" w:cs="宋体"/>
          <w:bCs/>
          <w:color w:val="auto"/>
          <w:kern w:val="0"/>
          <w:sz w:val="28"/>
          <w:szCs w:val="28"/>
          <w:highlight w:val="none"/>
          <w:lang w:val="zh-CN"/>
        </w:rPr>
        <w:t>电    话</w:t>
      </w:r>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lang w:val="en-US" w:eastAsia="zh-CN"/>
        </w:rPr>
        <w:t>0903-2513255</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b/>
          <w:bCs/>
          <w:color w:val="auto"/>
          <w:sz w:val="28"/>
          <w:szCs w:val="28"/>
          <w:highlight w:val="none"/>
        </w:rPr>
      </w:pPr>
      <w:r>
        <w:rPr>
          <w:rFonts w:hint="eastAsia" w:ascii="宋体" w:hAnsi="宋体" w:cs="宋体"/>
          <w:bCs/>
          <w:color w:val="auto"/>
          <w:kern w:val="0"/>
          <w:sz w:val="28"/>
          <w:szCs w:val="28"/>
          <w:highlight w:val="none"/>
          <w:lang w:val="zh-CN"/>
        </w:rPr>
        <w:t>详细地址</w:t>
      </w:r>
      <w:r>
        <w:rPr>
          <w:rFonts w:hint="eastAsia" w:ascii="宋体" w:hAnsi="宋体" w:cs="宋体"/>
          <w:bCs/>
          <w:color w:val="auto"/>
          <w:sz w:val="28"/>
          <w:szCs w:val="28"/>
          <w:highlight w:val="none"/>
          <w:lang w:val="zh-CN"/>
        </w:rPr>
        <w:t>：和田市玉都国际广场玉座11楼</w:t>
      </w:r>
      <w:r>
        <w:rPr>
          <w:rFonts w:hint="eastAsia" w:ascii="宋体" w:hAnsi="宋体" w:cs="宋体"/>
          <w:bCs/>
          <w:color w:val="auto"/>
          <w:sz w:val="28"/>
          <w:szCs w:val="28"/>
          <w:highlight w:val="none"/>
          <w:lang w:val="zh-CN" w:eastAsia="zh-CN"/>
        </w:rPr>
        <w:t> </w:t>
      </w:r>
      <w:r>
        <w:rPr>
          <w:rFonts w:hint="eastAsia" w:ascii="宋体" w:hAnsi="宋体"/>
          <w:b/>
          <w:bCs/>
          <w:color w:val="auto"/>
          <w:sz w:val="28"/>
          <w:szCs w:val="28"/>
          <w:highlight w:val="none"/>
          <w:lang w:val="en-US" w:eastAsia="zh-CN"/>
        </w:rPr>
        <w:br w:type="page"/>
      </w:r>
      <w:r>
        <w:rPr>
          <w:rFonts w:hint="eastAsia" w:ascii="宋体" w:hAnsi="宋体"/>
          <w:b/>
          <w:bCs/>
          <w:color w:val="auto"/>
          <w:sz w:val="28"/>
          <w:szCs w:val="28"/>
          <w:highlight w:val="none"/>
          <w:lang w:val="en-US" w:eastAsia="zh-CN"/>
        </w:rPr>
        <w:t>采购办</w:t>
      </w:r>
      <w:r>
        <w:rPr>
          <w:rFonts w:hint="eastAsia" w:ascii="宋体" w:hAnsi="宋体"/>
          <w:b/>
          <w:bCs/>
          <w:color w:val="auto"/>
          <w:sz w:val="28"/>
          <w:szCs w:val="28"/>
          <w:highlight w:val="none"/>
        </w:rPr>
        <w:t>备案登记栏</w:t>
      </w:r>
    </w:p>
    <w:p>
      <w:pPr>
        <w:jc w:val="left"/>
        <w:rPr>
          <w:rFonts w:hint="eastAsia"/>
          <w:color w:val="auto"/>
          <w:highlight w:val="none"/>
          <w:lang w:val="en-US" w:eastAsia="zh-CN"/>
        </w:rPr>
      </w:pPr>
    </w:p>
    <w:tbl>
      <w:tblPr>
        <w:tblStyle w:val="3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4" w:hRule="atLeast"/>
        </w:trPr>
        <w:tc>
          <w:tcPr>
            <w:tcW w:w="8477"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4"/>
                <w:szCs w:val="32"/>
              </w:rPr>
            </w:pPr>
            <w:r>
              <w:rPr>
                <w:rFonts w:hint="eastAsia"/>
                <w:sz w:val="24"/>
                <w:szCs w:val="32"/>
              </w:rPr>
              <w:t>本招标文件已报备</w:t>
            </w: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pStyle w:val="6"/>
              <w:rPr>
                <w:rFonts w:hint="eastAsia"/>
                <w:sz w:val="40"/>
                <w:szCs w:val="40"/>
              </w:rPr>
            </w:pPr>
          </w:p>
          <w:p>
            <w:pPr>
              <w:rPr>
                <w:rFonts w:hint="eastAsia"/>
                <w:sz w:val="24"/>
                <w:szCs w:val="32"/>
              </w:rPr>
            </w:pPr>
          </w:p>
          <w:p>
            <w:pPr>
              <w:pStyle w:val="6"/>
              <w:rPr>
                <w:rFonts w:hint="eastAsia"/>
                <w:sz w:val="40"/>
                <w:szCs w:val="40"/>
              </w:rPr>
            </w:pPr>
          </w:p>
          <w:p>
            <w:pPr>
              <w:rPr>
                <w:rFonts w:hint="eastAsia"/>
                <w:sz w:val="24"/>
                <w:szCs w:val="32"/>
              </w:rPr>
            </w:pPr>
          </w:p>
          <w:p>
            <w:pPr>
              <w:pStyle w:val="6"/>
              <w:rPr>
                <w:rFonts w:hint="eastAsia"/>
                <w:sz w:val="40"/>
                <w:szCs w:val="40"/>
              </w:rPr>
            </w:pPr>
          </w:p>
          <w:p>
            <w:pPr>
              <w:jc w:val="center"/>
              <w:rPr>
                <w:rFonts w:hint="eastAsia"/>
                <w:sz w:val="24"/>
                <w:szCs w:val="32"/>
              </w:rPr>
            </w:pPr>
          </w:p>
          <w:p>
            <w:pPr>
              <w:rPr>
                <w:rFonts w:hint="eastAsia"/>
                <w:sz w:val="24"/>
                <w:szCs w:val="32"/>
              </w:rPr>
            </w:pPr>
          </w:p>
          <w:p>
            <w:pPr>
              <w:jc w:val="both"/>
              <w:rPr>
                <w:rFonts w:hint="default"/>
                <w:sz w:val="24"/>
                <w:szCs w:val="32"/>
                <w:lang w:val="en-US" w:eastAsia="zh-CN"/>
              </w:rPr>
            </w:pPr>
            <w:r>
              <w:rPr>
                <w:rFonts w:hint="eastAsia"/>
                <w:sz w:val="24"/>
                <w:szCs w:val="32"/>
                <w:lang w:val="en-US" w:eastAsia="zh-CN"/>
              </w:rPr>
              <w:t>项目</w:t>
            </w:r>
            <w:r>
              <w:rPr>
                <w:rFonts w:hint="eastAsia"/>
                <w:sz w:val="24"/>
                <w:szCs w:val="32"/>
              </w:rPr>
              <w:t>名称：</w:t>
            </w:r>
            <w:r>
              <w:rPr>
                <w:rFonts w:hint="eastAsia"/>
                <w:sz w:val="24"/>
                <w:szCs w:val="32"/>
                <w:lang w:val="zh-CN" w:eastAsia="zh-CN"/>
              </w:rPr>
              <w:t>2020年皮山县教育系统学校食堂所需食材采购项目（</w:t>
            </w:r>
            <w:r>
              <w:rPr>
                <w:rFonts w:hint="eastAsia"/>
                <w:sz w:val="24"/>
                <w:szCs w:val="32"/>
                <w:lang w:val="en-US" w:eastAsia="zh-CN"/>
              </w:rPr>
              <w:t>包一）</w:t>
            </w:r>
          </w:p>
          <w:p>
            <w:pPr>
              <w:pStyle w:val="6"/>
              <w:rPr>
                <w:rFonts w:hint="eastAsia"/>
                <w:sz w:val="40"/>
                <w:szCs w:val="40"/>
                <w:lang w:eastAsia="zh-CN"/>
              </w:rPr>
            </w:pPr>
          </w:p>
          <w:p>
            <w:pPr>
              <w:rPr>
                <w:rFonts w:hint="eastAsia"/>
                <w:sz w:val="24"/>
                <w:szCs w:val="32"/>
                <w:lang w:eastAsia="zh-CN"/>
              </w:rPr>
            </w:pPr>
          </w:p>
          <w:p>
            <w:pPr>
              <w:rPr>
                <w:rFonts w:hint="eastAsia"/>
                <w:sz w:val="40"/>
                <w:szCs w:val="40"/>
              </w:rPr>
            </w:pPr>
            <w:r>
              <w:rPr>
                <w:rFonts w:hint="eastAsia"/>
                <w:sz w:val="24"/>
                <w:szCs w:val="32"/>
              </w:rPr>
              <w:t>备案日期：</w:t>
            </w:r>
            <w:r>
              <w:rPr>
                <w:rFonts w:hint="eastAsia"/>
                <w:sz w:val="24"/>
                <w:szCs w:val="32"/>
                <w:lang w:val="en-US" w:eastAsia="zh-CN"/>
              </w:rPr>
              <w:t>2020年4月</w:t>
            </w:r>
          </w:p>
          <w:p>
            <w:pPr>
              <w:rPr>
                <w:rFonts w:hint="eastAsia"/>
              </w:rPr>
            </w:pPr>
          </w:p>
          <w:p>
            <w:pPr>
              <w:pStyle w:val="6"/>
              <w:rPr>
                <w:rFonts w:hint="eastAsia"/>
              </w:rPr>
            </w:pPr>
          </w:p>
        </w:tc>
      </w:tr>
    </w:tbl>
    <w:p>
      <w:pPr>
        <w:ind w:right="4" w:rightChars="2"/>
        <w:jc w:val="center"/>
        <w:rPr>
          <w:rFonts w:hint="eastAsia" w:ascii="宋体" w:hAnsi="宋体"/>
          <w:b/>
          <w:color w:val="auto"/>
          <w:sz w:val="44"/>
          <w:highlight w:val="none"/>
        </w:rPr>
      </w:pPr>
    </w:p>
    <w:p>
      <w:pPr>
        <w:ind w:right="4" w:rightChars="2"/>
        <w:jc w:val="center"/>
        <w:rPr>
          <w:rFonts w:ascii="宋体"/>
          <w:b/>
          <w:color w:val="auto"/>
          <w:sz w:val="44"/>
          <w:highlight w:val="none"/>
        </w:rPr>
      </w:pPr>
      <w:r>
        <w:rPr>
          <w:rFonts w:hint="eastAsia" w:ascii="宋体" w:hAnsi="宋体"/>
          <w:b/>
          <w:color w:val="auto"/>
          <w:sz w:val="44"/>
          <w:highlight w:val="none"/>
        </w:rPr>
        <w:br w:type="page"/>
      </w:r>
      <w:r>
        <w:rPr>
          <w:rFonts w:hint="eastAsia" w:ascii="宋体" w:hAnsi="宋体"/>
          <w:b/>
          <w:color w:val="auto"/>
          <w:sz w:val="44"/>
          <w:highlight w:val="none"/>
        </w:rPr>
        <w:t>目　　录</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第一部分　采购公告</w:t>
      </w:r>
    </w:p>
    <w:p>
      <w:pPr>
        <w:spacing w:line="360" w:lineRule="auto"/>
        <w:rPr>
          <w:rFonts w:ascii="宋体"/>
          <w:color w:val="auto"/>
          <w:sz w:val="24"/>
          <w:highlight w:val="none"/>
        </w:rPr>
      </w:pPr>
      <w:r>
        <w:rPr>
          <w:rFonts w:hint="eastAsia" w:ascii="宋体" w:hAnsi="宋体"/>
          <w:color w:val="auto"/>
          <w:sz w:val="24"/>
          <w:highlight w:val="none"/>
        </w:rPr>
        <w:t>第二部分　投标须知</w:t>
      </w:r>
    </w:p>
    <w:p>
      <w:pPr>
        <w:spacing w:line="360" w:lineRule="auto"/>
        <w:ind w:firstLine="420"/>
        <w:rPr>
          <w:rFonts w:ascii="宋体"/>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　说明及注意事项</w:t>
      </w:r>
    </w:p>
    <w:p>
      <w:pPr>
        <w:spacing w:line="360" w:lineRule="auto"/>
        <w:ind w:firstLine="63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360" w:lineRule="auto"/>
        <w:ind w:firstLine="63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360" w:lineRule="auto"/>
        <w:ind w:firstLine="630"/>
        <w:rPr>
          <w:rFonts w:asci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360" w:lineRule="auto"/>
        <w:ind w:firstLine="630"/>
        <w:rPr>
          <w:rFonts w:asci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．联合体投标</w:t>
      </w:r>
    </w:p>
    <w:p>
      <w:pPr>
        <w:spacing w:line="360" w:lineRule="auto"/>
        <w:ind w:firstLine="63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．投标保证金</w:t>
      </w:r>
    </w:p>
    <w:p>
      <w:pPr>
        <w:spacing w:line="360" w:lineRule="auto"/>
        <w:ind w:firstLine="630"/>
        <w:rPr>
          <w:rFonts w:asci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．投标有效期</w:t>
      </w:r>
    </w:p>
    <w:p>
      <w:pPr>
        <w:spacing w:line="360" w:lineRule="auto"/>
        <w:ind w:firstLine="630"/>
        <w:rPr>
          <w:rFonts w:asci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．投标费用</w:t>
      </w:r>
    </w:p>
    <w:p>
      <w:pPr>
        <w:spacing w:line="360" w:lineRule="auto"/>
        <w:ind w:firstLine="420"/>
        <w:rPr>
          <w:rFonts w:ascii="宋体"/>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　投标文件的编写</w:t>
      </w:r>
    </w:p>
    <w:p>
      <w:pPr>
        <w:spacing w:line="360" w:lineRule="auto"/>
        <w:ind w:firstLine="630"/>
        <w:rPr>
          <w:rFonts w:asci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．一般要求</w:t>
      </w:r>
    </w:p>
    <w:p>
      <w:pPr>
        <w:spacing w:line="360" w:lineRule="auto"/>
        <w:ind w:firstLine="630"/>
        <w:rPr>
          <w:rFonts w:asci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．投标文件由以下部分构成</w:t>
      </w:r>
    </w:p>
    <w:p>
      <w:pPr>
        <w:spacing w:line="360" w:lineRule="auto"/>
        <w:ind w:firstLine="630"/>
        <w:rPr>
          <w:rFonts w:asci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．报价</w:t>
      </w:r>
    </w:p>
    <w:p>
      <w:pPr>
        <w:spacing w:line="360" w:lineRule="auto"/>
        <w:ind w:firstLine="630"/>
        <w:rPr>
          <w:rFonts w:asci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．投标文件的签署及规定</w:t>
      </w:r>
    </w:p>
    <w:p>
      <w:pPr>
        <w:spacing w:line="360" w:lineRule="auto"/>
        <w:ind w:firstLine="420"/>
        <w:rPr>
          <w:rFonts w:ascii="宋体"/>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　投标文件的递交</w:t>
      </w:r>
    </w:p>
    <w:p>
      <w:pPr>
        <w:spacing w:line="360" w:lineRule="auto"/>
        <w:ind w:firstLine="63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．投标文件的密封和标记</w:t>
      </w:r>
    </w:p>
    <w:p>
      <w:pPr>
        <w:spacing w:line="360" w:lineRule="auto"/>
        <w:ind w:firstLine="63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．投标文件的递交</w:t>
      </w:r>
    </w:p>
    <w:p>
      <w:pPr>
        <w:spacing w:line="360" w:lineRule="auto"/>
        <w:ind w:firstLine="630"/>
        <w:rPr>
          <w:rFonts w:asci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．投标文件的修改</w:t>
      </w:r>
    </w:p>
    <w:p>
      <w:pPr>
        <w:spacing w:line="360" w:lineRule="auto"/>
        <w:ind w:firstLine="630"/>
        <w:rPr>
          <w:rFonts w:asci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．投标文件的撤回、修改、补充</w:t>
      </w:r>
    </w:p>
    <w:p>
      <w:pPr>
        <w:spacing w:line="360" w:lineRule="auto"/>
        <w:ind w:firstLine="630"/>
        <w:rPr>
          <w:rFonts w:asci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．迟到的投标文件</w:t>
      </w:r>
    </w:p>
    <w:p>
      <w:pPr>
        <w:spacing w:line="360" w:lineRule="auto"/>
        <w:ind w:firstLine="420"/>
        <w:rPr>
          <w:rFonts w:ascii="宋体"/>
          <w:bCs/>
          <w:color w:val="auto"/>
          <w:sz w:val="24"/>
          <w:highlight w:val="none"/>
        </w:rPr>
      </w:pPr>
      <w:r>
        <w:rPr>
          <w:rFonts w:ascii="宋体" w:hAnsi="宋体"/>
          <w:bCs/>
          <w:color w:val="auto"/>
          <w:sz w:val="24"/>
          <w:highlight w:val="none"/>
        </w:rPr>
        <w:t>D</w:t>
      </w:r>
      <w:r>
        <w:rPr>
          <w:rFonts w:hint="eastAsia" w:ascii="宋体" w:hAnsi="宋体"/>
          <w:bCs/>
          <w:color w:val="auto"/>
          <w:sz w:val="24"/>
          <w:highlight w:val="none"/>
        </w:rPr>
        <w:t>　开标和评标</w:t>
      </w:r>
    </w:p>
    <w:p>
      <w:pPr>
        <w:spacing w:line="360" w:lineRule="auto"/>
        <w:ind w:firstLine="630"/>
        <w:rPr>
          <w:rFonts w:asci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．开标</w:t>
      </w:r>
    </w:p>
    <w:p>
      <w:pPr>
        <w:spacing w:line="360" w:lineRule="auto"/>
        <w:ind w:firstLine="630"/>
        <w:rPr>
          <w:rFonts w:asci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．评标委员会组成及职责</w:t>
      </w:r>
    </w:p>
    <w:p>
      <w:pPr>
        <w:spacing w:line="360" w:lineRule="auto"/>
        <w:ind w:firstLine="63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．评标委员会履行的义务</w:t>
      </w:r>
    </w:p>
    <w:p>
      <w:pPr>
        <w:spacing w:line="360" w:lineRule="auto"/>
        <w:ind w:firstLine="63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．评标工作程序</w:t>
      </w:r>
    </w:p>
    <w:p>
      <w:pPr>
        <w:spacing w:line="360" w:lineRule="auto"/>
        <w:ind w:firstLine="63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．评标过程的保密性</w:t>
      </w:r>
    </w:p>
    <w:p>
      <w:pPr>
        <w:spacing w:line="360" w:lineRule="auto"/>
        <w:ind w:firstLine="420"/>
        <w:rPr>
          <w:rFonts w:ascii="宋体"/>
          <w:bCs/>
          <w:color w:val="auto"/>
          <w:sz w:val="24"/>
          <w:highlight w:val="none"/>
        </w:rPr>
      </w:pPr>
      <w:r>
        <w:rPr>
          <w:rFonts w:ascii="宋体" w:hAnsi="宋体"/>
          <w:bCs/>
          <w:color w:val="auto"/>
          <w:sz w:val="24"/>
          <w:highlight w:val="none"/>
        </w:rPr>
        <w:t>E</w:t>
      </w:r>
      <w:r>
        <w:rPr>
          <w:rFonts w:hint="eastAsia" w:ascii="宋体" w:hAnsi="宋体"/>
          <w:bCs/>
          <w:color w:val="auto"/>
          <w:sz w:val="24"/>
          <w:highlight w:val="none"/>
        </w:rPr>
        <w:t>　评标文件及标准</w:t>
      </w:r>
    </w:p>
    <w:p>
      <w:pPr>
        <w:spacing w:line="360" w:lineRule="auto"/>
        <w:ind w:firstLine="63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．评标方法</w:t>
      </w:r>
    </w:p>
    <w:p>
      <w:pPr>
        <w:spacing w:line="360" w:lineRule="auto"/>
        <w:ind w:firstLine="630"/>
        <w:rPr>
          <w:rFonts w:ascii="宋体"/>
          <w:bCs/>
          <w:color w:val="auto"/>
          <w:sz w:val="24"/>
          <w:highlight w:val="none"/>
        </w:rPr>
      </w:pPr>
      <w:r>
        <w:rPr>
          <w:rFonts w:ascii="宋体" w:hAnsi="宋体"/>
          <w:bCs/>
          <w:color w:val="auto"/>
          <w:sz w:val="24"/>
          <w:highlight w:val="none"/>
        </w:rPr>
        <w:t>25</w:t>
      </w:r>
      <w:r>
        <w:rPr>
          <w:rFonts w:hint="eastAsia" w:ascii="宋体" w:hAnsi="宋体"/>
          <w:bCs/>
          <w:color w:val="auto"/>
          <w:sz w:val="24"/>
          <w:highlight w:val="none"/>
        </w:rPr>
        <w:t>．授受和拒绝任何或所有投标的权力</w:t>
      </w:r>
    </w:p>
    <w:p>
      <w:pPr>
        <w:spacing w:line="360" w:lineRule="auto"/>
        <w:ind w:firstLine="420"/>
        <w:rPr>
          <w:rFonts w:ascii="宋体"/>
          <w:bCs/>
          <w:color w:val="auto"/>
          <w:sz w:val="24"/>
          <w:highlight w:val="none"/>
        </w:rPr>
      </w:pPr>
      <w:r>
        <w:rPr>
          <w:rFonts w:ascii="宋体" w:hAnsi="宋体"/>
          <w:bCs/>
          <w:color w:val="auto"/>
          <w:sz w:val="24"/>
          <w:highlight w:val="none"/>
        </w:rPr>
        <w:t>F</w:t>
      </w:r>
      <w:r>
        <w:rPr>
          <w:rFonts w:hint="eastAsia" w:ascii="宋体" w:hAnsi="宋体"/>
          <w:bCs/>
          <w:color w:val="auto"/>
          <w:sz w:val="24"/>
          <w:highlight w:val="none"/>
        </w:rPr>
        <w:t>　中标及合同签订</w:t>
      </w:r>
    </w:p>
    <w:p>
      <w:pPr>
        <w:spacing w:line="360" w:lineRule="auto"/>
        <w:ind w:firstLine="630"/>
        <w:rPr>
          <w:rFonts w:ascii="宋体"/>
          <w:bCs/>
          <w:color w:val="auto"/>
          <w:sz w:val="24"/>
          <w:highlight w:val="none"/>
        </w:rPr>
      </w:pPr>
      <w:r>
        <w:rPr>
          <w:rFonts w:ascii="宋体" w:hAnsi="宋体"/>
          <w:bCs/>
          <w:color w:val="auto"/>
          <w:sz w:val="24"/>
          <w:highlight w:val="none"/>
        </w:rPr>
        <w:t>26</w:t>
      </w:r>
      <w:r>
        <w:rPr>
          <w:rFonts w:hint="eastAsia" w:ascii="宋体" w:hAnsi="宋体"/>
          <w:bCs/>
          <w:color w:val="auto"/>
          <w:sz w:val="24"/>
          <w:highlight w:val="none"/>
        </w:rPr>
        <w:t>．中标通知</w:t>
      </w:r>
    </w:p>
    <w:p>
      <w:pPr>
        <w:spacing w:line="360" w:lineRule="auto"/>
        <w:ind w:firstLine="630"/>
        <w:rPr>
          <w:rFonts w:ascii="宋体"/>
          <w:bCs/>
          <w:color w:val="auto"/>
          <w:sz w:val="24"/>
          <w:highlight w:val="none"/>
        </w:rPr>
      </w:pPr>
      <w:r>
        <w:rPr>
          <w:rFonts w:ascii="宋体" w:hAnsi="宋体"/>
          <w:bCs/>
          <w:color w:val="auto"/>
          <w:sz w:val="24"/>
          <w:highlight w:val="none"/>
        </w:rPr>
        <w:t>27</w:t>
      </w:r>
      <w:r>
        <w:rPr>
          <w:rFonts w:hint="eastAsia" w:ascii="宋体" w:hAnsi="宋体"/>
          <w:bCs/>
          <w:color w:val="auto"/>
          <w:sz w:val="24"/>
          <w:highlight w:val="none"/>
        </w:rPr>
        <w:t>．合同签订</w:t>
      </w:r>
    </w:p>
    <w:p>
      <w:pPr>
        <w:spacing w:line="360" w:lineRule="auto"/>
        <w:ind w:firstLine="420"/>
        <w:rPr>
          <w:rFonts w:ascii="宋体"/>
          <w:bCs/>
          <w:color w:val="auto"/>
          <w:sz w:val="24"/>
          <w:highlight w:val="none"/>
        </w:rPr>
      </w:pPr>
      <w:r>
        <w:rPr>
          <w:rFonts w:ascii="宋体" w:hAnsi="宋体"/>
          <w:bCs/>
          <w:color w:val="auto"/>
          <w:sz w:val="24"/>
          <w:highlight w:val="none"/>
        </w:rPr>
        <w:t>G</w:t>
      </w:r>
      <w:r>
        <w:rPr>
          <w:rFonts w:hint="eastAsia" w:ascii="宋体" w:hAnsi="宋体"/>
          <w:bCs/>
          <w:color w:val="auto"/>
          <w:sz w:val="24"/>
          <w:highlight w:val="none"/>
        </w:rPr>
        <w:t>　法律责任</w:t>
      </w:r>
    </w:p>
    <w:p>
      <w:pPr>
        <w:spacing w:line="360" w:lineRule="auto"/>
        <w:ind w:firstLine="630"/>
        <w:rPr>
          <w:rFonts w:ascii="宋体"/>
          <w:bCs/>
          <w:color w:val="auto"/>
          <w:sz w:val="24"/>
          <w:highlight w:val="none"/>
        </w:rPr>
      </w:pPr>
      <w:r>
        <w:rPr>
          <w:rFonts w:ascii="宋体" w:hAnsi="宋体"/>
          <w:bCs/>
          <w:color w:val="auto"/>
          <w:sz w:val="24"/>
          <w:highlight w:val="none"/>
        </w:rPr>
        <w:t>28</w:t>
      </w:r>
      <w:r>
        <w:rPr>
          <w:rFonts w:hint="eastAsia" w:ascii="宋体" w:hAnsi="宋体"/>
          <w:bCs/>
          <w:color w:val="auto"/>
          <w:sz w:val="24"/>
          <w:highlight w:val="none"/>
        </w:rPr>
        <w:t>．法律责任</w:t>
      </w:r>
    </w:p>
    <w:p>
      <w:pPr>
        <w:spacing w:line="360" w:lineRule="auto"/>
        <w:ind w:firstLine="420"/>
        <w:rPr>
          <w:rFonts w:ascii="宋体"/>
          <w:bCs/>
          <w:color w:val="auto"/>
          <w:sz w:val="24"/>
          <w:highlight w:val="none"/>
        </w:rPr>
      </w:pPr>
      <w:r>
        <w:rPr>
          <w:rFonts w:ascii="宋体" w:hAnsi="宋体"/>
          <w:bCs/>
          <w:color w:val="auto"/>
          <w:sz w:val="24"/>
          <w:highlight w:val="none"/>
        </w:rPr>
        <w:t>H</w:t>
      </w:r>
      <w:r>
        <w:rPr>
          <w:rFonts w:hint="eastAsia" w:ascii="宋体" w:hAnsi="宋体"/>
          <w:bCs/>
          <w:color w:val="auto"/>
          <w:sz w:val="24"/>
          <w:highlight w:val="none"/>
        </w:rPr>
        <w:t>　验收</w:t>
      </w:r>
    </w:p>
    <w:p>
      <w:pPr>
        <w:spacing w:line="360" w:lineRule="auto"/>
        <w:ind w:firstLine="630"/>
        <w:rPr>
          <w:rFonts w:ascii="宋体"/>
          <w:bCs/>
          <w:color w:val="auto"/>
          <w:sz w:val="24"/>
          <w:highlight w:val="none"/>
        </w:rPr>
      </w:pPr>
      <w:r>
        <w:rPr>
          <w:rFonts w:ascii="宋体" w:hAnsi="宋体"/>
          <w:bCs/>
          <w:color w:val="auto"/>
          <w:sz w:val="24"/>
          <w:highlight w:val="none"/>
        </w:rPr>
        <w:t>29</w:t>
      </w:r>
      <w:r>
        <w:rPr>
          <w:rFonts w:hint="eastAsia" w:ascii="宋体" w:hAnsi="宋体"/>
          <w:bCs/>
          <w:color w:val="auto"/>
          <w:sz w:val="24"/>
          <w:highlight w:val="none"/>
        </w:rPr>
        <w:t>．货物验收</w:t>
      </w:r>
    </w:p>
    <w:p>
      <w:pPr>
        <w:spacing w:line="360" w:lineRule="auto"/>
        <w:ind w:firstLine="420"/>
        <w:rPr>
          <w:rFonts w:ascii="宋体"/>
          <w:bCs/>
          <w:color w:val="auto"/>
          <w:sz w:val="24"/>
          <w:highlight w:val="none"/>
        </w:rPr>
      </w:pPr>
      <w:r>
        <w:rPr>
          <w:rFonts w:ascii="宋体" w:hAnsi="宋体"/>
          <w:bCs/>
          <w:color w:val="auto"/>
          <w:sz w:val="24"/>
          <w:highlight w:val="none"/>
        </w:rPr>
        <w:t>I</w:t>
      </w:r>
      <w:r>
        <w:rPr>
          <w:rFonts w:hint="eastAsia" w:ascii="宋体" w:hAnsi="宋体"/>
          <w:bCs/>
          <w:color w:val="auto"/>
          <w:sz w:val="24"/>
          <w:highlight w:val="none"/>
        </w:rPr>
        <w:t>　质疑与投诉</w:t>
      </w:r>
    </w:p>
    <w:p>
      <w:pPr>
        <w:spacing w:line="360" w:lineRule="auto"/>
        <w:ind w:firstLine="630"/>
        <w:rPr>
          <w:rFonts w:ascii="宋体"/>
          <w:bCs/>
          <w:color w:val="auto"/>
          <w:sz w:val="24"/>
          <w:highlight w:val="none"/>
        </w:rPr>
      </w:pPr>
      <w:r>
        <w:rPr>
          <w:rFonts w:ascii="宋体" w:hAnsi="宋体"/>
          <w:bCs/>
          <w:color w:val="auto"/>
          <w:sz w:val="24"/>
          <w:highlight w:val="none"/>
        </w:rPr>
        <w:t>30</w:t>
      </w:r>
      <w:r>
        <w:rPr>
          <w:rFonts w:hint="eastAsia" w:ascii="宋体" w:hAnsi="宋体"/>
          <w:bCs/>
          <w:color w:val="auto"/>
          <w:sz w:val="24"/>
          <w:highlight w:val="none"/>
        </w:rPr>
        <w:t>．质疑</w:t>
      </w:r>
    </w:p>
    <w:p>
      <w:pPr>
        <w:spacing w:line="360" w:lineRule="auto"/>
        <w:ind w:firstLine="63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．投诉</w:t>
      </w:r>
    </w:p>
    <w:p>
      <w:pPr>
        <w:spacing w:line="360" w:lineRule="auto"/>
        <w:rPr>
          <w:rFonts w:ascii="宋体"/>
          <w:color w:val="auto"/>
          <w:sz w:val="24"/>
          <w:highlight w:val="none"/>
        </w:rPr>
      </w:pPr>
      <w:r>
        <w:rPr>
          <w:rFonts w:hint="eastAsia" w:ascii="宋体" w:hAnsi="宋体"/>
          <w:color w:val="auto"/>
          <w:sz w:val="24"/>
          <w:highlight w:val="none"/>
        </w:rPr>
        <w:t>第三部分　清单及说明</w:t>
      </w:r>
    </w:p>
    <w:p>
      <w:pPr>
        <w:spacing w:line="360" w:lineRule="auto"/>
        <w:rPr>
          <w:rFonts w:ascii="宋体"/>
          <w:color w:val="auto"/>
          <w:sz w:val="24"/>
          <w:highlight w:val="none"/>
        </w:rPr>
      </w:pPr>
      <w:r>
        <w:rPr>
          <w:rFonts w:hint="eastAsia" w:ascii="宋体" w:hAnsi="宋体"/>
          <w:color w:val="auto"/>
          <w:sz w:val="24"/>
          <w:highlight w:val="none"/>
        </w:rPr>
        <w:t>第四部分　采购合同（范本）</w:t>
      </w:r>
    </w:p>
    <w:p>
      <w:pPr>
        <w:spacing w:line="360" w:lineRule="auto"/>
        <w:rPr>
          <w:rFonts w:ascii="宋体"/>
          <w:color w:val="auto"/>
          <w:sz w:val="24"/>
          <w:highlight w:val="none"/>
        </w:rPr>
      </w:pPr>
      <w:r>
        <w:rPr>
          <w:rFonts w:hint="eastAsia" w:ascii="宋体" w:hAnsi="宋体"/>
          <w:color w:val="auto"/>
          <w:sz w:val="24"/>
          <w:highlight w:val="none"/>
        </w:rPr>
        <w:t>第五部分　投标文件内容及格式</w:t>
      </w:r>
    </w:p>
    <w:p>
      <w:pPr>
        <w:spacing w:line="500" w:lineRule="exact"/>
        <w:jc w:val="center"/>
        <w:rPr>
          <w:rFonts w:ascii="宋体"/>
          <w:b/>
          <w:color w:val="auto"/>
          <w:sz w:val="44"/>
          <w:highlight w:val="none"/>
        </w:rPr>
      </w:pPr>
    </w:p>
    <w:p>
      <w:pPr>
        <w:pStyle w:val="2"/>
        <w:numPr>
          <w:ilvl w:val="1"/>
          <w:numId w:val="0"/>
        </w:numPr>
        <w:tabs>
          <w:tab w:val="clear" w:pos="420"/>
        </w:tabs>
        <w:ind w:leftChars="0"/>
        <w:rPr>
          <w:rFonts w:ascii="宋体"/>
          <w:b/>
          <w:color w:val="auto"/>
          <w:sz w:val="44"/>
          <w:highlight w:val="none"/>
        </w:rPr>
      </w:pPr>
    </w:p>
    <w:p>
      <w:pPr>
        <w:pStyle w:val="2"/>
        <w:numPr>
          <w:ilvl w:val="1"/>
          <w:numId w:val="0"/>
        </w:numPr>
        <w:tabs>
          <w:tab w:val="clear" w:pos="420"/>
        </w:tabs>
        <w:ind w:leftChars="0"/>
        <w:rPr>
          <w:rFonts w:ascii="宋体"/>
          <w:b/>
          <w:color w:val="auto"/>
          <w:sz w:val="44"/>
          <w:highlight w:val="none"/>
        </w:rPr>
      </w:pPr>
    </w:p>
    <w:p>
      <w:pPr>
        <w:pStyle w:val="2"/>
        <w:numPr>
          <w:ilvl w:val="1"/>
          <w:numId w:val="0"/>
        </w:numPr>
        <w:tabs>
          <w:tab w:val="clear" w:pos="420"/>
        </w:tabs>
        <w:ind w:leftChars="0"/>
        <w:rPr>
          <w:rFonts w:ascii="宋体"/>
          <w:b/>
          <w:color w:val="auto"/>
          <w:sz w:val="44"/>
          <w:highlight w:val="none"/>
        </w:rPr>
      </w:pPr>
    </w:p>
    <w:p>
      <w:pPr>
        <w:spacing w:line="500" w:lineRule="exact"/>
        <w:jc w:val="center"/>
        <w:rPr>
          <w:rFonts w:hint="eastAsia" w:ascii="宋体" w:hAnsi="宋体"/>
          <w:b/>
          <w:color w:val="auto"/>
          <w:sz w:val="28"/>
          <w:szCs w:val="28"/>
          <w:highlight w:val="none"/>
        </w:rPr>
      </w:pPr>
    </w:p>
    <w:p>
      <w:pPr>
        <w:spacing w:line="500" w:lineRule="exact"/>
        <w:jc w:val="center"/>
        <w:rPr>
          <w:rFonts w:hint="eastAsia" w:ascii="宋体" w:hAnsi="宋体"/>
          <w:b/>
          <w:color w:val="auto"/>
          <w:sz w:val="28"/>
          <w:szCs w:val="28"/>
          <w:highlight w:val="none"/>
        </w:rPr>
        <w:sectPr>
          <w:headerReference r:id="rId5" w:type="default"/>
          <w:footerReference r:id="rId6" w:type="default"/>
          <w:pgSz w:w="11907" w:h="16840"/>
          <w:pgMar w:top="1474" w:right="1814" w:bottom="1474" w:left="1814" w:header="851" w:footer="851" w:gutter="0"/>
          <w:pgNumType w:fmt="decimal"/>
          <w:cols w:space="720" w:num="1"/>
          <w:docGrid w:linePitch="462" w:charSpace="0"/>
        </w:sectPr>
      </w:pPr>
    </w:p>
    <w:p>
      <w:pPr>
        <w:spacing w:line="500" w:lineRule="exact"/>
        <w:jc w:val="center"/>
        <w:rPr>
          <w:rFonts w:hint="eastAsia" w:ascii="宋体" w:hAnsi="宋体" w:cs="宋体"/>
          <w:b/>
          <w:bCs/>
          <w:color w:val="auto"/>
          <w:sz w:val="36"/>
          <w:szCs w:val="36"/>
          <w:highlight w:val="none"/>
          <w:lang w:val="en-US" w:eastAsia="zh-CN"/>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采购公告</w:t>
      </w:r>
    </w:p>
    <w:p>
      <w:pPr>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2020年皮山县教育系统学校食堂所需食材采购项目公开招标公告</w:t>
      </w:r>
    </w:p>
    <w:p>
      <w:pPr>
        <w:widowControl/>
        <w:spacing w:after="75"/>
        <w:jc w:val="left"/>
        <w:rPr>
          <w:rFonts w:ascii="宋体" w:hAnsi="宋体" w:cs="宋体"/>
          <w:color w:val="000000"/>
        </w:rPr>
      </w:pPr>
      <w:r>
        <w:rPr>
          <w:rFonts w:ascii="宋体" w:hAnsi="宋体" w:cs="宋体"/>
          <w:color w:val="000000" w:themeColor="text1"/>
          <w:highlight w:val="none"/>
          <w14:textFill>
            <w14:solidFill>
              <w14:schemeClr w14:val="tx1"/>
            </w14:solidFill>
          </w14:textFill>
        </w:rPr>
        <w:t xml:space="preserve">一、招标项目编号： </w:t>
      </w:r>
      <w:r>
        <w:rPr>
          <w:rFonts w:ascii="宋体" w:hAnsi="宋体" w:cs="宋体"/>
          <w:color w:val="FF0000"/>
          <w:highlight w:val="none"/>
        </w:rPr>
        <w:t>PSXZC20</w:t>
      </w:r>
      <w:r>
        <w:rPr>
          <w:rFonts w:hint="eastAsia" w:ascii="宋体" w:hAnsi="宋体" w:cs="宋体"/>
          <w:color w:val="FF0000"/>
          <w:highlight w:val="none"/>
          <w:lang w:val="en-US" w:eastAsia="zh-CN"/>
        </w:rPr>
        <w:t>20</w:t>
      </w:r>
      <w:r>
        <w:rPr>
          <w:rFonts w:ascii="宋体" w:hAnsi="宋体" w:cs="宋体"/>
          <w:color w:val="FF0000"/>
          <w:highlight w:val="none"/>
        </w:rPr>
        <w:t>-</w:t>
      </w:r>
      <w:r>
        <w:rPr>
          <w:rFonts w:hint="eastAsia" w:ascii="宋体" w:hAnsi="宋体" w:cs="宋体"/>
          <w:color w:val="FF0000"/>
          <w:highlight w:val="none"/>
          <w:lang w:val="en-US" w:eastAsia="zh-CN"/>
        </w:rPr>
        <w:t>016</w:t>
      </w:r>
      <w:r>
        <w:rPr>
          <w:rFonts w:ascii="宋体" w:hAnsi="宋体" w:cs="宋体"/>
          <w:color w:val="FF0000"/>
        </w:rPr>
        <w:t> </w:t>
      </w:r>
    </w:p>
    <w:p>
      <w:pPr>
        <w:widowControl/>
        <w:spacing w:before="75" w:after="75"/>
        <w:jc w:val="left"/>
        <w:rPr>
          <w:rFonts w:ascii="宋体" w:hAnsi="宋体" w:cs="宋体"/>
          <w:color w:val="auto"/>
        </w:rPr>
      </w:pPr>
      <w:r>
        <w:rPr>
          <w:rFonts w:ascii="宋体" w:hAnsi="宋体" w:cs="宋体"/>
          <w:color w:val="000000"/>
        </w:rPr>
        <w:t>二、采购组织类型：分散采购-分散委托</w:t>
      </w:r>
      <w:r>
        <w:rPr>
          <w:rFonts w:ascii="宋体" w:hAnsi="宋体" w:cs="宋体"/>
          <w:color w:val="auto"/>
        </w:rPr>
        <w:t>中介 </w:t>
      </w:r>
    </w:p>
    <w:p>
      <w:pPr>
        <w:widowControl/>
        <w:spacing w:before="75" w:after="75"/>
        <w:jc w:val="left"/>
        <w:rPr>
          <w:rFonts w:ascii="宋体" w:hAnsi="宋体" w:cs="宋体"/>
          <w:color w:val="auto"/>
        </w:rPr>
      </w:pPr>
      <w:r>
        <w:rPr>
          <w:rFonts w:ascii="宋体" w:hAnsi="宋体" w:cs="宋体"/>
          <w:color w:val="auto"/>
        </w:rPr>
        <w:t>三、招标项目概况</w:t>
      </w:r>
    </w:p>
    <w:tbl>
      <w:tblPr>
        <w:tblStyle w:val="31"/>
        <w:tblW w:w="7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1413"/>
        <w:gridCol w:w="712"/>
        <w:gridCol w:w="712"/>
        <w:gridCol w:w="1016"/>
        <w:gridCol w:w="897"/>
        <w:gridCol w:w="107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7" w:hRule="atLeast"/>
          <w:jc w:val="center"/>
        </w:trPr>
        <w:tc>
          <w:tcPr>
            <w:tcW w:w="824"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标项序号</w:t>
            </w:r>
          </w:p>
        </w:tc>
        <w:tc>
          <w:tcPr>
            <w:tcW w:w="1413"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标项名称</w:t>
            </w:r>
          </w:p>
        </w:tc>
        <w:tc>
          <w:tcPr>
            <w:tcW w:w="712"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品名</w:t>
            </w:r>
          </w:p>
        </w:tc>
        <w:tc>
          <w:tcPr>
            <w:tcW w:w="712"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规格</w:t>
            </w:r>
          </w:p>
        </w:tc>
        <w:tc>
          <w:tcPr>
            <w:tcW w:w="1016"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数量</w:t>
            </w:r>
          </w:p>
        </w:tc>
        <w:tc>
          <w:tcPr>
            <w:tcW w:w="897" w:type="dxa"/>
            <w:noWrap w:val="0"/>
            <w:tcMar>
              <w:top w:w="75" w:type="dxa"/>
              <w:left w:w="150" w:type="dxa"/>
              <w:bottom w:w="75" w:type="dxa"/>
              <w:right w:w="150" w:type="dxa"/>
            </w:tcMar>
            <w:vAlign w:val="center"/>
          </w:tcPr>
          <w:p>
            <w:pPr>
              <w:widowControl/>
              <w:spacing w:after="150"/>
              <w:jc w:val="both"/>
              <w:rPr>
                <w:rFonts w:hint="eastAsia" w:ascii="宋体" w:hAnsi="宋体" w:eastAsia="宋体" w:cs="宋体"/>
                <w:color w:val="auto"/>
                <w:lang w:eastAsia="zh-CN"/>
              </w:rPr>
            </w:pPr>
            <w:r>
              <w:rPr>
                <w:rFonts w:hint="eastAsia" w:ascii="宋体" w:hAnsi="宋体" w:cs="宋体"/>
                <w:color w:val="auto"/>
                <w:lang w:eastAsia="zh-CN"/>
              </w:rPr>
              <w:t>预算单价（元）</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eastAsia="zh-CN"/>
              </w:rPr>
            </w:pPr>
            <w:r>
              <w:rPr>
                <w:rFonts w:hint="eastAsia" w:ascii="宋体" w:hAnsi="宋体" w:cs="宋体"/>
                <w:color w:val="auto"/>
                <w:lang w:val="en-US" w:eastAsia="zh-CN"/>
              </w:rPr>
              <w:t>预算金额（万元）</w:t>
            </w:r>
          </w:p>
        </w:tc>
        <w:tc>
          <w:tcPr>
            <w:tcW w:w="1257"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1" w:hRule="atLeast"/>
          <w:jc w:val="center"/>
        </w:trPr>
        <w:tc>
          <w:tcPr>
            <w:tcW w:w="824"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1</w:t>
            </w:r>
          </w:p>
        </w:tc>
        <w:tc>
          <w:tcPr>
            <w:tcW w:w="1413"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zh-CN" w:eastAsia="zh-CN"/>
              </w:rPr>
              <w:t>2020年皮山县教育系统学校食堂所需食材采购项目</w:t>
            </w:r>
            <w:r>
              <w:rPr>
                <w:rFonts w:hint="eastAsia" w:ascii="宋体" w:hAnsi="宋体" w:cs="宋体"/>
                <w:color w:val="000000"/>
                <w:highlight w:val="none"/>
                <w:lang w:val="en-US" w:eastAsia="zh-CN"/>
              </w:rPr>
              <w:t>(包一）</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仿宋_GB2312" w:hAnsi="Tahoma" w:eastAsia="仿宋_GB2312" w:cs="仿宋_GB2312"/>
                <w:i w:val="0"/>
                <w:color w:val="000000"/>
                <w:kern w:val="0"/>
                <w:sz w:val="20"/>
                <w:szCs w:val="20"/>
                <w:u w:val="none"/>
                <w:lang w:val="en-US" w:eastAsia="zh-CN" w:bidi="ar"/>
              </w:rPr>
              <w:t>新鲜苹果</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公斤</w:t>
            </w:r>
          </w:p>
        </w:tc>
        <w:tc>
          <w:tcPr>
            <w:tcW w:w="1016"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122120</w:t>
            </w:r>
          </w:p>
        </w:tc>
        <w:tc>
          <w:tcPr>
            <w:tcW w:w="897"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5</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val="en-US" w:eastAsia="zh-CN"/>
              </w:rPr>
            </w:pPr>
            <w:r>
              <w:rPr>
                <w:rFonts w:hint="eastAsia" w:ascii="宋体" w:hAnsi="宋体" w:cs="宋体"/>
                <w:color w:val="auto"/>
                <w:lang w:val="en-US" w:eastAsia="zh-CN"/>
              </w:rPr>
              <w:t>61.06</w:t>
            </w:r>
          </w:p>
        </w:tc>
        <w:tc>
          <w:tcPr>
            <w:tcW w:w="1257"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具体数量、规格、技术参数详见招标文件。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4" w:hRule="atLeast"/>
          <w:jc w:val="center"/>
        </w:trPr>
        <w:tc>
          <w:tcPr>
            <w:tcW w:w="824"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413" w:type="dxa"/>
            <w:noWrap w:val="0"/>
            <w:tcMar>
              <w:top w:w="75" w:type="dxa"/>
              <w:left w:w="150" w:type="dxa"/>
              <w:bottom w:w="75" w:type="dxa"/>
              <w:right w:w="150" w:type="dxa"/>
            </w:tcMar>
            <w:vAlign w:val="center"/>
          </w:tcPr>
          <w:p>
            <w:pPr>
              <w:widowControl/>
              <w:spacing w:after="150"/>
              <w:jc w:val="center"/>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2020年皮山县教育系统学校食堂所需食材采购项目</w:t>
            </w:r>
            <w:r>
              <w:rPr>
                <w:rFonts w:hint="eastAsia" w:ascii="宋体" w:hAnsi="宋体" w:cs="宋体"/>
                <w:color w:val="000000"/>
                <w:highlight w:val="none"/>
                <w:lang w:val="en-US" w:eastAsia="zh-CN"/>
              </w:rPr>
              <w:t>(包二）</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学生奶</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仿宋_GB2312" w:hAnsi="Tahoma" w:eastAsia="仿宋_GB2312" w:cs="仿宋_GB2312"/>
                <w:i w:val="0"/>
                <w:color w:val="000000"/>
                <w:kern w:val="0"/>
                <w:sz w:val="20"/>
                <w:szCs w:val="20"/>
                <w:u w:val="none"/>
                <w:lang w:val="en-US" w:eastAsia="zh-CN" w:bidi="ar"/>
              </w:rPr>
              <w:t>大于200ml/盒</w:t>
            </w:r>
          </w:p>
        </w:tc>
        <w:tc>
          <w:tcPr>
            <w:tcW w:w="101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cs="宋体"/>
                <w:color w:val="000000"/>
                <w:highlight w:val="none"/>
                <w:lang w:val="en-US" w:eastAsia="zh-CN"/>
              </w:rPr>
            </w:pPr>
            <w:r>
              <w:rPr>
                <w:rFonts w:hint="eastAsia" w:ascii="仿宋_GB2312" w:hAnsi="宋体" w:eastAsia="仿宋_GB2312" w:cs="仿宋_GB2312"/>
                <w:i w:val="0"/>
                <w:color w:val="000000"/>
                <w:kern w:val="0"/>
                <w:sz w:val="20"/>
                <w:szCs w:val="20"/>
                <w:u w:val="none"/>
                <w:lang w:val="en-US" w:eastAsia="zh-CN" w:bidi="ar"/>
              </w:rPr>
              <w:t>4372160</w:t>
            </w:r>
          </w:p>
        </w:tc>
        <w:tc>
          <w:tcPr>
            <w:tcW w:w="897"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2</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val="en-US" w:eastAsia="zh-CN"/>
              </w:rPr>
            </w:pPr>
            <w:r>
              <w:rPr>
                <w:rFonts w:hint="eastAsia" w:ascii="宋体" w:hAnsi="宋体" w:cs="宋体"/>
                <w:color w:val="auto"/>
                <w:lang w:val="en-US" w:eastAsia="zh-CN"/>
              </w:rPr>
              <w:t>874.43</w:t>
            </w:r>
          </w:p>
        </w:tc>
        <w:tc>
          <w:tcPr>
            <w:tcW w:w="1257" w:type="dxa"/>
            <w:noWrap w:val="0"/>
            <w:tcMar>
              <w:top w:w="75" w:type="dxa"/>
              <w:left w:w="150" w:type="dxa"/>
              <w:bottom w:w="75" w:type="dxa"/>
              <w:right w:w="150" w:type="dxa"/>
            </w:tcMar>
            <w:vAlign w:val="center"/>
          </w:tcPr>
          <w:p>
            <w:pPr>
              <w:widowControl/>
              <w:spacing w:after="150"/>
              <w:jc w:val="center"/>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具体数量、规格、技术参数详见招标文件。</w:t>
            </w:r>
          </w:p>
        </w:tc>
      </w:tr>
    </w:tbl>
    <w:p>
      <w:pPr>
        <w:widowControl/>
        <w:spacing w:before="75" w:after="75"/>
        <w:jc w:val="left"/>
        <w:rPr>
          <w:rFonts w:ascii="宋体" w:hAnsi="宋体" w:cs="宋体"/>
          <w:color w:val="auto"/>
        </w:rPr>
      </w:pPr>
      <w:r>
        <w:rPr>
          <w:rFonts w:ascii="宋体" w:hAnsi="宋体" w:cs="宋体"/>
          <w:color w:val="auto"/>
        </w:rPr>
        <w:t>四、投标供应商资格要求:</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2、报名需提供</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（1）经年审合格（五证合一、三证合一）的营业执照（须有相应的经营范围）</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学生奶）投标人必须具备食品经营许可证（原件）“中国学生饮用奶定点生产企业”证书、标牌或具备新疆维吾尔自治区奶业办公室出具给中国奶业协会的推荐函（由新疆维吾尔自治区畜牧厅、教育厅、质量技术监督局联合下发文件中所包含企业）,并具有行业《生产许可证》（不是生产厂家直接投标的，提供复印件加盖公司鲜红公章）；近期产品质量检测报告及相应资质证明文件；</w:t>
      </w:r>
    </w:p>
    <w:p>
      <w:pPr>
        <w:widowControl/>
        <w:spacing w:before="75" w:after="75"/>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驾驶员</w:t>
      </w:r>
      <w:r>
        <w:rPr>
          <w:rFonts w:hint="eastAsia" w:ascii="宋体" w:hAnsi="宋体" w:eastAsia="宋体" w:cs="宋体"/>
          <w:color w:val="auto"/>
          <w:highlight w:val="none"/>
          <w:lang w:val="en-US" w:eastAsia="zh-CN"/>
        </w:rPr>
        <w:t>及配送人员健康证;原件</w:t>
      </w:r>
      <w:bookmarkStart w:id="174" w:name="_GoBack"/>
      <w:bookmarkEnd w:id="174"/>
    </w:p>
    <w:p>
      <w:pPr>
        <w:widowControl/>
        <w:spacing w:before="75" w:after="75"/>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（4）提供配送车辆的机动车辆行驶证；（原件）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5）法定代表人投标需携带法定代表人证明书（原件）及法定代表人身份证（原件）或负责人身份证明书及负责人身份证（原件），委托代理人投标需携带法定代表人授权委托书（原件）及委托代理人身份证（原件）、委托代理人必须是投标单位的正式员工、需提供社保部门出具最少近一个月的缴纳社保证明（社保缴费凭证及个人明细表）；</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widowControl/>
        <w:spacing w:before="75" w:after="75"/>
        <w:jc w:val="left"/>
        <w:rPr>
          <w:rFonts w:hint="eastAsia" w:ascii="宋体" w:hAnsi="宋体" w:cs="宋体"/>
          <w:color w:val="auto"/>
          <w:highlight w:val="none"/>
        </w:rPr>
      </w:pPr>
      <w:r>
        <w:rPr>
          <w:rFonts w:hint="eastAsia" w:ascii="宋体" w:hAnsi="宋体" w:cs="宋体"/>
          <w:color w:val="auto"/>
          <w:highlight w:val="none"/>
          <w:lang w:val="en-US" w:eastAsia="zh-CN"/>
        </w:rPr>
        <w:t>4、企业负责人为同一人或者存在直接控股、管理关系的不同投标人，不得参加同一合同项下的政府采购活</w:t>
      </w:r>
      <w:r>
        <w:rPr>
          <w:rFonts w:hint="eastAsia" w:ascii="宋体" w:hAnsi="宋体" w:cs="宋体"/>
          <w:color w:val="auto"/>
          <w:highlight w:val="none"/>
        </w:rPr>
        <w:t>动。否则，皆取消投标资格；</w:t>
      </w:r>
    </w:p>
    <w:p>
      <w:pPr>
        <w:widowControl/>
        <w:spacing w:before="75" w:after="75"/>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xml:space="preserve">、本项目不接受联合体投标。 </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eastAsia="zh-CN"/>
        </w:rPr>
        <w:t>五、招标文件的报名/发售时间、地址、售价:</w:t>
      </w:r>
      <w:r>
        <w:rPr>
          <w:rFonts w:hint="eastAsia" w:ascii="宋体" w:hAnsi="宋体" w:cs="宋体"/>
          <w:color w:val="auto"/>
          <w:highlight w:val="none"/>
          <w:lang w:val="en-US" w:eastAsia="zh-CN"/>
        </w:rPr>
        <w:t>200元</w:t>
      </w:r>
    </w:p>
    <w:p>
      <w:pPr>
        <w:widowControl/>
        <w:spacing w:before="75" w:after="75"/>
        <w:jc w:val="left"/>
        <w:rPr>
          <w:rFonts w:hint="default" w:ascii="宋体" w:hAnsi="宋体" w:cs="宋体"/>
          <w:color w:val="auto"/>
          <w:highlight w:val="none"/>
          <w:lang w:val="en-US" w:eastAsia="zh-CN"/>
        </w:rPr>
      </w:pPr>
      <w:r>
        <w:rPr>
          <w:rFonts w:hint="eastAsia" w:ascii="宋体" w:hAnsi="宋体" w:cs="宋体"/>
          <w:color w:val="auto"/>
          <w:highlight w:val="none"/>
          <w:lang w:eastAsia="zh-CN"/>
        </w:rPr>
        <w:t>1．报名（发售／获取）时间：</w:t>
      </w:r>
      <w:r>
        <w:rPr>
          <w:rFonts w:hint="eastAsia" w:ascii="宋体" w:hAnsi="宋体" w:cs="宋体"/>
          <w:color w:val="auto"/>
          <w:highlight w:val="none"/>
          <w:lang w:val="en-US" w:eastAsia="zh-CN"/>
        </w:rPr>
        <w:t>2020-4-27至2020-5-17（全天）</w:t>
      </w:r>
    </w:p>
    <w:p>
      <w:pPr>
        <w:widowControl/>
        <w:spacing w:before="75" w:after="75"/>
        <w:jc w:val="left"/>
        <w:rPr>
          <w:rFonts w:hint="eastAsia" w:ascii="宋体" w:hAnsi="宋体" w:cs="宋体"/>
          <w:color w:val="auto"/>
          <w:highlight w:val="none"/>
          <w:lang w:eastAsia="zh-CN"/>
        </w:rPr>
      </w:pPr>
      <w:r>
        <w:rPr>
          <w:rFonts w:hint="eastAsia" w:ascii="宋体" w:hAnsi="宋体" w:cs="宋体"/>
          <w:color w:val="auto"/>
          <w:highlight w:val="none"/>
          <w:lang w:eastAsia="zh-CN"/>
        </w:rPr>
        <w:t>2．</w:t>
      </w:r>
      <w:r>
        <w:rPr>
          <w:rFonts w:hint="eastAsia" w:ascii="宋体" w:hAnsi="宋体" w:cs="宋体"/>
          <w:color w:val="auto"/>
          <w:highlight w:val="none"/>
          <w:lang w:val="en-US" w:eastAsia="zh-CN"/>
        </w:rPr>
        <w:t>报名（发售／获取）地址：在新疆政府采购网该采购公告附件中的招标（采购）文件可直接下载。</w:t>
      </w:r>
    </w:p>
    <w:p>
      <w:pPr>
        <w:widowControl/>
        <w:spacing w:before="75" w:after="75"/>
        <w:jc w:val="left"/>
        <w:rPr>
          <w:rFonts w:hint="eastAsia" w:ascii="宋体" w:hAnsi="宋体" w:cs="宋体"/>
          <w:color w:val="auto"/>
          <w:highlight w:val="none"/>
          <w:lang w:eastAsia="zh-CN"/>
        </w:rPr>
      </w:pPr>
      <w:r>
        <w:rPr>
          <w:rFonts w:hint="eastAsia" w:ascii="宋体" w:hAnsi="宋体" w:cs="宋体"/>
          <w:color w:val="auto"/>
          <w:highlight w:val="none"/>
          <w:lang w:eastAsia="zh-CN"/>
        </w:rPr>
        <w:t>3．标书售价(元)：200</w:t>
      </w:r>
      <w:r>
        <w:rPr>
          <w:rFonts w:hint="eastAsia" w:ascii="宋体" w:hAnsi="宋体" w:cs="宋体"/>
          <w:color w:val="auto"/>
          <w:highlight w:val="none"/>
          <w:lang w:val="en-US" w:eastAsia="zh-CN"/>
        </w:rPr>
        <w:t>/份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开标现场缴纳招标文件费</w:t>
      </w:r>
      <w:r>
        <w:rPr>
          <w:rFonts w:hint="eastAsia" w:ascii="宋体" w:hAnsi="宋体" w:cs="宋体"/>
          <w:color w:val="auto"/>
          <w:highlight w:val="none"/>
          <w:lang w:eastAsia="zh-CN"/>
        </w:rPr>
        <w:t>）。</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4.投标人购买标书时应提交的资料：无，在开标时一并进行资格审核。</w:t>
      </w:r>
    </w:p>
    <w:p>
      <w:pPr>
        <w:widowControl/>
        <w:spacing w:before="75" w:after="75"/>
        <w:jc w:val="left"/>
        <w:rPr>
          <w:rFonts w:hint="eastAsia" w:ascii="宋体" w:hAnsi="宋体" w:cs="宋体"/>
          <w:color w:val="auto"/>
          <w:highlight w:val="none"/>
          <w:lang w:val="en-US" w:eastAsia="zh-CN"/>
        </w:rPr>
      </w:pPr>
      <w:r>
        <w:rPr>
          <w:rFonts w:ascii="宋体" w:hAnsi="宋体" w:cs="宋体"/>
          <w:color w:val="auto"/>
          <w:highlight w:val="none"/>
        </w:rPr>
        <w:t>六、投标截止时间：</w:t>
      </w:r>
      <w:r>
        <w:rPr>
          <w:rFonts w:hint="eastAsia" w:ascii="宋体" w:hAnsi="宋体" w:cs="宋体"/>
          <w:color w:val="auto"/>
          <w:highlight w:val="none"/>
          <w:lang w:eastAsia="zh-CN"/>
        </w:rPr>
        <w:t>2020-5-18 12:00:00</w:t>
      </w:r>
    </w:p>
    <w:p>
      <w:pPr>
        <w:widowControl/>
        <w:spacing w:before="75" w:after="75"/>
        <w:jc w:val="left"/>
        <w:rPr>
          <w:rFonts w:hint="eastAsia" w:ascii="宋体" w:hAnsi="宋体" w:cs="宋体"/>
          <w:color w:val="auto"/>
          <w:highlight w:val="none"/>
          <w:lang w:eastAsia="zh-CN"/>
        </w:rPr>
      </w:pPr>
      <w:r>
        <w:rPr>
          <w:rFonts w:ascii="宋体" w:hAnsi="宋体" w:cs="宋体"/>
          <w:color w:val="auto"/>
          <w:highlight w:val="none"/>
        </w:rPr>
        <w:t>七、投标地址：皮山县政府投资交易中心四楼开标二室（新城区东经2路南端）</w:t>
      </w:r>
      <w:r>
        <w:rPr>
          <w:rFonts w:hint="eastAsia" w:ascii="宋体" w:hAnsi="宋体" w:cs="宋体"/>
          <w:color w:val="auto"/>
          <w:highlight w:val="none"/>
          <w:lang w:eastAsia="zh-CN"/>
        </w:rPr>
        <w:t>。</w:t>
      </w:r>
    </w:p>
    <w:p>
      <w:pPr>
        <w:widowControl/>
        <w:spacing w:before="75" w:after="75"/>
        <w:jc w:val="left"/>
        <w:rPr>
          <w:rFonts w:ascii="宋体" w:hAnsi="宋体" w:cs="宋体"/>
          <w:color w:val="auto"/>
          <w:highlight w:val="none"/>
        </w:rPr>
      </w:pPr>
      <w:r>
        <w:rPr>
          <w:rFonts w:ascii="宋体" w:hAnsi="宋体" w:cs="宋体"/>
          <w:color w:val="auto"/>
          <w:highlight w:val="none"/>
        </w:rPr>
        <w:t>八、开标时间：</w:t>
      </w:r>
      <w:r>
        <w:rPr>
          <w:rFonts w:hint="eastAsia" w:ascii="宋体" w:hAnsi="宋体" w:cs="宋体"/>
          <w:color w:val="auto"/>
          <w:highlight w:val="none"/>
          <w:lang w:eastAsia="zh-CN"/>
        </w:rPr>
        <w:t>2020-5-18 12:00:00</w:t>
      </w:r>
      <w:r>
        <w:rPr>
          <w:rFonts w:ascii="宋体" w:hAnsi="宋体" w:cs="宋体"/>
          <w:color w:val="auto"/>
          <w:highlight w:val="none"/>
        </w:rPr>
        <w:t> </w:t>
      </w:r>
    </w:p>
    <w:p>
      <w:pPr>
        <w:widowControl/>
        <w:spacing w:before="75" w:after="75"/>
        <w:jc w:val="left"/>
        <w:rPr>
          <w:rFonts w:ascii="宋体" w:hAnsi="宋体" w:cs="宋体"/>
          <w:color w:val="auto"/>
          <w:highlight w:val="none"/>
        </w:rPr>
      </w:pPr>
      <w:r>
        <w:rPr>
          <w:rFonts w:ascii="宋体" w:hAnsi="宋体" w:cs="宋体"/>
          <w:color w:val="auto"/>
          <w:highlight w:val="none"/>
        </w:rPr>
        <w:t>九、开标地址：皮山县政府投资交易中心四楼开标二室（新城区东经2路南端） </w:t>
      </w:r>
    </w:p>
    <w:p>
      <w:pPr>
        <w:widowControl/>
        <w:spacing w:before="75" w:after="75"/>
        <w:jc w:val="left"/>
        <w:rPr>
          <w:rFonts w:ascii="宋体" w:hAnsi="宋体" w:cs="宋体"/>
          <w:color w:val="auto"/>
          <w:highlight w:val="none"/>
        </w:rPr>
      </w:pPr>
      <w:r>
        <w:rPr>
          <w:rFonts w:ascii="宋体" w:hAnsi="宋体" w:cs="宋体"/>
          <w:color w:val="auto"/>
          <w:highlight w:val="none"/>
        </w:rPr>
        <w:t>十、投标保证金：</w:t>
      </w:r>
    </w:p>
    <w:tbl>
      <w:tblPr>
        <w:tblStyle w:val="31"/>
        <w:tblpPr w:leftFromText="180" w:rightFromText="180" w:vertAnchor="text" w:horzAnchor="page" w:tblpX="1453" w:tblpY="426"/>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1"/>
        <w:gridCol w:w="1203"/>
        <w:gridCol w:w="1016"/>
        <w:gridCol w:w="906"/>
        <w:gridCol w:w="1652"/>
        <w:gridCol w:w="346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05" w:hRule="atLeast"/>
        </w:trPr>
        <w:tc>
          <w:tcPr>
            <w:tcW w:w="511"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序号</w:t>
            </w:r>
          </w:p>
        </w:tc>
        <w:tc>
          <w:tcPr>
            <w:tcW w:w="1203"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标项名称</w:t>
            </w:r>
          </w:p>
        </w:tc>
        <w:tc>
          <w:tcPr>
            <w:tcW w:w="1016"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投标保证金金额（元）</w:t>
            </w:r>
          </w:p>
        </w:tc>
        <w:tc>
          <w:tcPr>
            <w:tcW w:w="906"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开户银行</w:t>
            </w:r>
          </w:p>
        </w:tc>
        <w:tc>
          <w:tcPr>
            <w:tcW w:w="1652"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收款账号</w:t>
            </w:r>
          </w:p>
        </w:tc>
        <w:tc>
          <w:tcPr>
            <w:tcW w:w="3469"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交付方式</w:t>
            </w:r>
          </w:p>
        </w:tc>
        <w:tc>
          <w:tcPr>
            <w:tcW w:w="1000"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42" w:hRule="atLeast"/>
        </w:trPr>
        <w:tc>
          <w:tcPr>
            <w:tcW w:w="511"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1</w:t>
            </w:r>
          </w:p>
        </w:tc>
        <w:tc>
          <w:tcPr>
            <w:tcW w:w="1203"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r>
              <w:rPr>
                <w:rFonts w:hint="eastAsia" w:ascii="宋体" w:hAnsi="宋体" w:cs="宋体"/>
                <w:color w:val="auto"/>
                <w:lang w:val="zh-CN" w:eastAsia="zh-CN"/>
              </w:rPr>
              <w:t>2020年皮山县教育系统学校食堂所需食材采购项目</w:t>
            </w:r>
            <w:r>
              <w:rPr>
                <w:rFonts w:hint="eastAsia" w:ascii="宋体" w:hAnsi="宋体" w:cs="宋体"/>
                <w:color w:val="auto"/>
                <w:lang w:val="en-US" w:eastAsia="zh-CN"/>
              </w:rPr>
              <w:t>(包一）</w:t>
            </w:r>
          </w:p>
        </w:tc>
        <w:tc>
          <w:tcPr>
            <w:tcW w:w="1016" w:type="dxa"/>
            <w:noWrap w:val="0"/>
            <w:tcMar>
              <w:top w:w="75" w:type="dxa"/>
              <w:left w:w="150" w:type="dxa"/>
              <w:bottom w:w="75" w:type="dxa"/>
              <w:right w:w="150" w:type="dxa"/>
            </w:tcMar>
            <w:vAlign w:val="center"/>
          </w:tcPr>
          <w:p>
            <w:pPr>
              <w:widowControl/>
              <w:spacing w:before="75" w:after="75"/>
              <w:jc w:val="left"/>
              <w:rPr>
                <w:rFonts w:hint="default" w:ascii="宋体" w:hAnsi="宋体" w:cs="宋体"/>
                <w:color w:val="auto"/>
                <w:lang w:val="en-US" w:eastAsia="zh-CN"/>
              </w:rPr>
            </w:pPr>
            <w:r>
              <w:rPr>
                <w:rFonts w:hint="eastAsia" w:ascii="宋体" w:hAnsi="宋体" w:cs="宋体"/>
                <w:color w:val="auto"/>
                <w:lang w:val="en-US" w:eastAsia="zh-CN"/>
              </w:rPr>
              <w:t>12000</w:t>
            </w:r>
          </w:p>
        </w:tc>
        <w:tc>
          <w:tcPr>
            <w:tcW w:w="906" w:type="dxa"/>
            <w:vMerge w:val="restart"/>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hint="eastAsia" w:ascii="宋体" w:hAnsi="宋体" w:cs="宋体"/>
                <w:color w:val="auto"/>
                <w:lang w:eastAsia="zh-CN"/>
              </w:rPr>
              <w:t>新</w:t>
            </w:r>
            <w:r>
              <w:rPr>
                <w:rFonts w:hint="eastAsia" w:ascii="宋体" w:hAnsi="宋体" w:cs="宋体"/>
                <w:color w:val="auto"/>
              </w:rPr>
              <w:t>疆皮山县农村信用合作联社</w:t>
            </w:r>
          </w:p>
        </w:tc>
        <w:tc>
          <w:tcPr>
            <w:tcW w:w="1652" w:type="dxa"/>
            <w:vMerge w:val="restart"/>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ascii="宋体" w:hAnsi="宋体" w:cs="宋体"/>
                <w:color w:val="auto"/>
              </w:rPr>
              <w:t>878010012010101011990</w:t>
            </w:r>
          </w:p>
        </w:tc>
        <w:tc>
          <w:tcPr>
            <w:tcW w:w="3469" w:type="dxa"/>
            <w:vMerge w:val="restart"/>
            <w:noWrap w:val="0"/>
            <w:tcMar>
              <w:top w:w="75" w:type="dxa"/>
              <w:left w:w="150" w:type="dxa"/>
              <w:bottom w:w="75" w:type="dxa"/>
              <w:right w:w="150" w:type="dxa"/>
            </w:tcMar>
            <w:vAlign w:val="center"/>
          </w:tcPr>
          <w:p>
            <w:pPr>
              <w:widowControl/>
              <w:spacing w:before="75" w:after="75"/>
              <w:jc w:val="left"/>
              <w:rPr>
                <w:rFonts w:hint="default" w:ascii="宋体" w:hAnsi="宋体" w:cs="宋体"/>
                <w:color w:val="auto"/>
                <w:lang w:val="en-US" w:eastAsia="zh-CN"/>
              </w:rPr>
            </w:pPr>
            <w:r>
              <w:rPr>
                <w:rFonts w:hint="eastAsia" w:ascii="宋体" w:hAnsi="宋体" w:cs="宋体"/>
                <w:color w:val="auto"/>
                <w:lang w:eastAsia="zh-CN"/>
              </w:rPr>
              <w:t>1、由投标人基本账户汇出，且不得以分公司的名义转账； 2、投标保证金需在2020年5月1</w:t>
            </w:r>
            <w:r>
              <w:rPr>
                <w:rFonts w:hint="eastAsia" w:ascii="宋体" w:hAnsi="宋体" w:cs="宋体"/>
                <w:color w:val="auto"/>
                <w:lang w:val="en-US" w:eastAsia="zh-CN"/>
              </w:rPr>
              <w:t>7</w:t>
            </w:r>
            <w:r>
              <w:rPr>
                <w:rFonts w:hint="eastAsia" w:ascii="宋体" w:hAnsi="宋体" w:cs="宋体"/>
                <w:color w:val="auto"/>
                <w:lang w:eastAsia="zh-CN"/>
              </w:rPr>
              <w:t>日20：00前到账，超过时间则不予认可； 3、投标单位须在汇款单备注栏标明：XXX项目XXX包段（标段）或项目编号； 4、账户名称：皮山县政府投资交易中心，行号：402896400017</w:t>
            </w:r>
          </w:p>
        </w:tc>
        <w:tc>
          <w:tcPr>
            <w:tcW w:w="1000" w:type="dxa"/>
            <w:vMerge w:val="restart"/>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r>
              <w:rPr>
                <w:rFonts w:hint="eastAsia" w:ascii="宋体" w:hAnsi="宋体" w:cs="宋体"/>
                <w:color w:val="auto"/>
                <w:lang w:eastAsia="zh-CN"/>
              </w:rPr>
              <w:t>投标保证金通过基本账户一笔汇出，分笔汇出银行系统将不予统计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47" w:hRule="atLeast"/>
        </w:trPr>
        <w:tc>
          <w:tcPr>
            <w:tcW w:w="511"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w:t>
            </w:r>
          </w:p>
        </w:tc>
        <w:tc>
          <w:tcPr>
            <w:tcW w:w="1203"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zh-CN" w:eastAsia="zh-CN"/>
              </w:rPr>
            </w:pPr>
            <w:r>
              <w:rPr>
                <w:rFonts w:hint="eastAsia" w:ascii="宋体" w:hAnsi="宋体" w:cs="宋体"/>
                <w:color w:val="auto"/>
                <w:lang w:val="zh-CN" w:eastAsia="zh-CN"/>
              </w:rPr>
              <w:t>2020年皮山县教育系统学校食堂所需食材采购项目</w:t>
            </w:r>
            <w:r>
              <w:rPr>
                <w:rFonts w:hint="eastAsia" w:ascii="宋体" w:hAnsi="宋体" w:cs="宋体"/>
                <w:color w:val="auto"/>
                <w:lang w:val="en-US" w:eastAsia="zh-CN"/>
              </w:rPr>
              <w:t>(包二）</w:t>
            </w:r>
          </w:p>
        </w:tc>
        <w:tc>
          <w:tcPr>
            <w:tcW w:w="1016"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170000</w:t>
            </w:r>
          </w:p>
        </w:tc>
        <w:tc>
          <w:tcPr>
            <w:tcW w:w="906"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c>
          <w:tcPr>
            <w:tcW w:w="1652" w:type="dxa"/>
            <w:vMerge w:val="continue"/>
            <w:noWrap w:val="0"/>
            <w:tcMar>
              <w:top w:w="75" w:type="dxa"/>
              <w:left w:w="150" w:type="dxa"/>
              <w:bottom w:w="75" w:type="dxa"/>
              <w:right w:w="150" w:type="dxa"/>
            </w:tcMar>
            <w:vAlign w:val="center"/>
          </w:tcPr>
          <w:p>
            <w:pPr>
              <w:widowControl/>
              <w:spacing w:before="75" w:after="75"/>
              <w:jc w:val="left"/>
              <w:rPr>
                <w:rFonts w:ascii="宋体" w:hAnsi="宋体" w:cs="宋体"/>
                <w:color w:val="auto"/>
              </w:rPr>
            </w:pPr>
          </w:p>
        </w:tc>
        <w:tc>
          <w:tcPr>
            <w:tcW w:w="3469"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c>
          <w:tcPr>
            <w:tcW w:w="1000"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r>
    </w:tbl>
    <w:p>
      <w:pPr>
        <w:widowControl/>
        <w:spacing w:before="75" w:after="75"/>
        <w:jc w:val="left"/>
        <w:rPr>
          <w:rFonts w:ascii="宋体" w:hAnsi="宋体" w:cs="宋体"/>
          <w:color w:val="auto"/>
        </w:rPr>
      </w:pPr>
    </w:p>
    <w:p>
      <w:pPr>
        <w:widowControl/>
        <w:spacing w:before="75" w:after="75"/>
        <w:jc w:val="left"/>
        <w:rPr>
          <w:rFonts w:ascii="宋体" w:hAnsi="宋体" w:cs="宋体"/>
          <w:color w:val="auto"/>
        </w:rPr>
      </w:pPr>
      <w:r>
        <w:rPr>
          <w:rFonts w:ascii="宋体" w:hAnsi="宋体" w:cs="宋体"/>
          <w:color w:val="auto"/>
        </w:rPr>
        <w:t>十一、其他事项：</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2、采购项目需要落实的政府采购政策：</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1、根据财政部、工业和信息化部关于印发《政府采购促进中小企业发展暂行办法》的通知(财库[2011]181号)。</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3、《财政部 发展改革委 生态环境部 市场监管总局 关于调整优化节能产品、环境标志产品政府采购执行机制的通知》（财库〔2019〕9号）。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十二、联系方式</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1、采购代理机构名称：新疆楷源工程项目管理有限责任公司</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联系人：侯雪萍          邮箱：</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"mailto:563093851@qq.com"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563093851@qq.com</w:t>
      </w:r>
      <w:r>
        <w:rPr>
          <w:rFonts w:hint="eastAsia" w:ascii="宋体" w:hAnsi="宋体" w:cs="宋体"/>
          <w:color w:val="auto"/>
          <w:lang w:val="en-US" w:eastAsia="zh-CN"/>
        </w:rPr>
        <w:fldChar w:fldCharType="end"/>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地址：和田市玉都国际广场玉座11楼</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2、采购人名称：皮山县教育局</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联系人：王亚平                     电话：0903-6427567</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3、同级政府采购监督管理部门名称：皮山县政府采购办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联系人：张勇                  监督投诉电话：0903-7864616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皮山县教育局                新疆楷源工程项目管理有限责任公司</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2020年4月27日                               2020年4月27日</w:t>
      </w: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rPr>
          <w:rFonts w:hint="eastAsia"/>
          <w:lang w:val="en-US" w:eastAsia="zh-CN"/>
        </w:rPr>
      </w:pPr>
    </w:p>
    <w:p>
      <w:pPr>
        <w:pStyle w:val="6"/>
        <w:rPr>
          <w:rFonts w:hint="eastAsia"/>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p>
    <w:p>
      <w:pPr>
        <w:rPr>
          <w:rFonts w:hint="eastAsia" w:hAnsi="宋体" w:cs="宋体"/>
          <w:b/>
          <w:bCs/>
          <w:color w:val="FF0000"/>
          <w:sz w:val="32"/>
          <w:szCs w:val="22"/>
          <w:highlight w:val="none"/>
          <w:lang w:val="en-US" w:eastAsia="zh-CN"/>
        </w:rPr>
      </w:pPr>
    </w:p>
    <w:p>
      <w:pPr>
        <w:pStyle w:val="2"/>
        <w:widowControl w:val="0"/>
        <w:numPr>
          <w:ilvl w:val="1"/>
          <w:numId w:val="0"/>
        </w:numPr>
        <w:adjustRightInd w:val="0"/>
        <w:snapToGrid w:val="0"/>
        <w:jc w:val="both"/>
        <w:rPr>
          <w:rFonts w:hint="eastAsia" w:hAnsi="宋体" w:cs="宋体"/>
          <w:b/>
          <w:bCs/>
          <w:color w:val="FF0000"/>
          <w:sz w:val="32"/>
          <w:szCs w:val="22"/>
          <w:highlight w:val="none"/>
          <w:lang w:val="en-US" w:eastAsia="zh-CN"/>
        </w:rPr>
      </w:pPr>
    </w:p>
    <w:p>
      <w:pPr>
        <w:pStyle w:val="2"/>
        <w:widowControl w:val="0"/>
        <w:numPr>
          <w:ilvl w:val="1"/>
          <w:numId w:val="0"/>
        </w:numPr>
        <w:adjustRightInd w:val="0"/>
        <w:snapToGrid w:val="0"/>
        <w:jc w:val="both"/>
        <w:rPr>
          <w:rFonts w:hint="eastAsia" w:hAnsi="宋体" w:cs="宋体"/>
          <w:b/>
          <w:bCs/>
          <w:color w:val="FF0000"/>
          <w:sz w:val="32"/>
          <w:szCs w:val="22"/>
          <w:highlight w:val="none"/>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r>
        <w:rPr>
          <w:rFonts w:hint="eastAsia" w:hAnsi="宋体" w:cs="宋体"/>
          <w:b/>
          <w:bCs/>
          <w:color w:val="FF0000"/>
          <w:sz w:val="32"/>
          <w:szCs w:val="22"/>
          <w:highlight w:val="none"/>
          <w:lang w:val="en-US" w:eastAsia="zh-CN"/>
        </w:rPr>
        <w:t>特别提醒：</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rPr>
        <w:t>1、投标企业请认真核实营业执照经营范围，开标时监督小组将严格按照营业执照经营范围核实，无经营范围的企业一切责任将由贵公司自行承担。</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2、</w:t>
      </w:r>
      <w:r>
        <w:rPr>
          <w:rFonts w:hint="eastAsia" w:ascii="宋体" w:hAnsi="宋体"/>
          <w:b/>
          <w:color w:val="FF0000"/>
          <w:sz w:val="24"/>
          <w:szCs w:val="24"/>
          <w:highlight w:val="none"/>
        </w:rPr>
        <w:t>由投标人基本账户汇出（投标保证金需一笔汇出，分笔汇出银行系统将不予统计），且不得以分公司的名义转账，投标保证金需在</w:t>
      </w:r>
      <w:r>
        <w:rPr>
          <w:rFonts w:hint="eastAsia" w:ascii="宋体" w:hAnsi="宋体"/>
          <w:b/>
          <w:color w:val="FF0000"/>
          <w:sz w:val="24"/>
          <w:szCs w:val="24"/>
          <w:highlight w:val="none"/>
          <w:lang w:eastAsia="zh-CN"/>
        </w:rPr>
        <w:t>2020年05月1</w:t>
      </w:r>
      <w:r>
        <w:rPr>
          <w:rFonts w:hint="eastAsia" w:ascii="宋体" w:hAnsi="宋体"/>
          <w:b/>
          <w:color w:val="FF0000"/>
          <w:sz w:val="24"/>
          <w:szCs w:val="24"/>
          <w:highlight w:val="none"/>
          <w:lang w:val="en-US" w:eastAsia="zh-CN"/>
        </w:rPr>
        <w:t>7</w:t>
      </w:r>
      <w:r>
        <w:rPr>
          <w:rFonts w:hint="eastAsia" w:ascii="宋体" w:hAnsi="宋体"/>
          <w:b/>
          <w:color w:val="FF0000"/>
          <w:sz w:val="24"/>
          <w:szCs w:val="24"/>
          <w:highlight w:val="none"/>
          <w:lang w:eastAsia="zh-CN"/>
        </w:rPr>
        <w:t>日20：00前到账</w:t>
      </w:r>
      <w:r>
        <w:rPr>
          <w:rFonts w:hint="eastAsia" w:ascii="宋体" w:hAnsi="宋体"/>
          <w:b/>
          <w:color w:val="FF0000"/>
          <w:sz w:val="24"/>
          <w:szCs w:val="24"/>
          <w:highlight w:val="none"/>
        </w:rPr>
        <w:t>，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3、</w:t>
      </w:r>
      <w:r>
        <w:rPr>
          <w:rFonts w:hint="eastAsia" w:ascii="宋体" w:hAnsi="宋体"/>
          <w:b/>
          <w:color w:val="FF0000"/>
          <w:sz w:val="24"/>
          <w:szCs w:val="24"/>
          <w:highlight w:val="none"/>
        </w:rPr>
        <w:t>投标企业下载招标文件后请仔细阅读，如对招标文件内容有质疑，投标人应在投标截止10日前按招标文件中载明的邮箱：</w:t>
      </w:r>
      <w:r>
        <w:rPr>
          <w:rFonts w:hint="eastAsia" w:ascii="宋体" w:hAnsi="宋体"/>
          <w:b/>
          <w:color w:val="FF0000"/>
          <w:sz w:val="24"/>
          <w:szCs w:val="24"/>
          <w:highlight w:val="none"/>
          <w:lang w:val="en-US" w:eastAsia="zh-CN"/>
        </w:rPr>
        <w:fldChar w:fldCharType="begin"/>
      </w:r>
      <w:r>
        <w:rPr>
          <w:rFonts w:hint="eastAsia" w:ascii="宋体" w:hAnsi="宋体"/>
          <w:b/>
          <w:color w:val="FF0000"/>
          <w:sz w:val="24"/>
          <w:szCs w:val="24"/>
          <w:highlight w:val="none"/>
          <w:lang w:val="en-US" w:eastAsia="zh-CN"/>
        </w:rPr>
        <w:instrText xml:space="preserve"> HYPERLINK "mailto:563093851@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b/>
          <w:color w:val="FF0000"/>
          <w:sz w:val="24"/>
          <w:szCs w:val="24"/>
          <w:highlight w:val="none"/>
          <w:lang w:val="en-US" w:eastAsia="zh-CN"/>
        </w:rPr>
        <w:fldChar w:fldCharType="separate"/>
      </w:r>
      <w:r>
        <w:rPr>
          <w:rFonts w:hint="eastAsia" w:ascii="宋体" w:hAnsi="宋体"/>
          <w:b/>
          <w:color w:val="FF0000"/>
          <w:sz w:val="24"/>
          <w:szCs w:val="24"/>
          <w:highlight w:val="none"/>
          <w:lang w:val="en-US" w:eastAsia="zh-CN"/>
        </w:rPr>
        <w:t>563093851@qq.com</w:t>
      </w:r>
      <w:r>
        <w:rPr>
          <w:rFonts w:hint="eastAsia" w:ascii="宋体" w:hAnsi="宋体"/>
          <w:b/>
          <w:color w:val="FF0000"/>
          <w:sz w:val="24"/>
          <w:szCs w:val="24"/>
          <w:highlight w:val="none"/>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Fonts w:hint="eastAsia" w:ascii="宋体" w:hAnsi="宋体"/>
          <w:b/>
          <w:color w:val="FF0000"/>
          <w:sz w:val="24"/>
          <w:szCs w:val="24"/>
          <w:highlight w:val="none"/>
          <w:lang w:val="en-US" w:eastAsia="zh-CN"/>
        </w:rPr>
        <w:fldChar w:fldCharType="end"/>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4、</w:t>
      </w:r>
      <w:r>
        <w:rPr>
          <w:rFonts w:hint="eastAsia" w:ascii="宋体" w:hAnsi="宋体"/>
          <w:b/>
          <w:color w:val="FF0000"/>
          <w:sz w:val="24"/>
          <w:szCs w:val="24"/>
          <w:highlight w:val="none"/>
        </w:rPr>
        <w:t>为确保投标保证金的及时退还，评标结束后投标企业需提供保证金汇款凭证、开户许可证复印件、收据并注明开户行行号、联系方式（加盖公司鲜公章）交至皮山县政府投资交易中心财务室办理。（注：废标项目投标保证金在后续项</w:t>
      </w:r>
      <w:r>
        <w:rPr>
          <w:rFonts w:hint="eastAsia" w:ascii="宋体" w:hAnsi="宋体"/>
          <w:b/>
          <w:color w:val="FF0000"/>
          <w:sz w:val="24"/>
          <w:szCs w:val="24"/>
          <w:highlight w:val="none"/>
          <w:lang w:eastAsia="zh-CN"/>
        </w:rPr>
        <w:t>目</w:t>
      </w:r>
      <w:r>
        <w:rPr>
          <w:rFonts w:hint="eastAsia" w:ascii="宋体" w:hAnsi="宋体"/>
          <w:b/>
          <w:color w:val="FF0000"/>
          <w:sz w:val="24"/>
          <w:szCs w:val="24"/>
          <w:highlight w:val="none"/>
        </w:rPr>
        <w:t>再次招标时银行系统不做统计，请投标企业及时办理退款）。</w:t>
      </w:r>
    </w:p>
    <w:p>
      <w:pPr>
        <w:spacing w:line="360" w:lineRule="auto"/>
        <w:jc w:val="center"/>
        <w:rPr>
          <w:rFonts w:hint="eastAsia" w:ascii="宋体" w:hAnsi="宋体"/>
          <w:b/>
          <w:color w:val="FF0000"/>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pStyle w:val="6"/>
        <w:rPr>
          <w:rFonts w:hint="eastAsia" w:ascii="宋体" w:hAnsi="宋体"/>
          <w:b/>
          <w:color w:val="auto"/>
          <w:sz w:val="24"/>
          <w:szCs w:val="24"/>
          <w:highlight w:val="none"/>
        </w:rPr>
      </w:pPr>
    </w:p>
    <w:p>
      <w:pPr>
        <w:spacing w:line="360" w:lineRule="auto"/>
        <w:jc w:val="both"/>
        <w:rPr>
          <w:rFonts w:hint="eastAsia" w:ascii="宋体" w:hAnsi="宋体"/>
          <w:b/>
          <w:color w:val="auto"/>
          <w:sz w:val="28"/>
          <w:szCs w:val="28"/>
          <w:highlight w:val="none"/>
        </w:rPr>
      </w:pPr>
    </w:p>
    <w:p>
      <w:pPr>
        <w:spacing w:line="360" w:lineRule="auto"/>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spacing w:line="360" w:lineRule="auto"/>
        <w:jc w:val="both"/>
        <w:rPr>
          <w:rFonts w:hint="eastAsia" w:ascii="宋体" w:hAnsi="宋体"/>
          <w:b/>
          <w:color w:val="auto"/>
          <w:sz w:val="28"/>
          <w:szCs w:val="28"/>
          <w:highlight w:val="none"/>
        </w:rPr>
      </w:pPr>
    </w:p>
    <w:p>
      <w:pPr>
        <w:spacing w:line="360" w:lineRule="auto"/>
        <w:jc w:val="both"/>
        <w:rPr>
          <w:rFonts w:hint="eastAsia" w:ascii="宋体" w:hAnsi="宋体"/>
          <w:b/>
          <w:color w:val="auto"/>
          <w:sz w:val="28"/>
          <w:szCs w:val="28"/>
          <w:highlight w:val="none"/>
        </w:rPr>
      </w:pPr>
    </w:p>
    <w:p>
      <w:pPr>
        <w:spacing w:line="360" w:lineRule="auto"/>
        <w:ind w:firstLine="1124" w:firstLineChars="400"/>
        <w:jc w:val="both"/>
        <w:rPr>
          <w:rFonts w:ascii="宋体"/>
          <w:b/>
          <w:color w:val="auto"/>
          <w:sz w:val="28"/>
          <w:szCs w:val="28"/>
          <w:highlight w:val="none"/>
        </w:rPr>
      </w:pPr>
      <w:r>
        <w:rPr>
          <w:rFonts w:hint="eastAsia" w:ascii="宋体" w:hAnsi="宋体"/>
          <w:b/>
          <w:color w:val="auto"/>
          <w:sz w:val="28"/>
          <w:szCs w:val="28"/>
          <w:highlight w:val="none"/>
        </w:rPr>
        <w:t>第二部分</w:t>
      </w:r>
      <w:r>
        <w:rPr>
          <w:rFonts w:ascii="宋体" w:hAnsi="宋体"/>
          <w:b/>
          <w:color w:val="auto"/>
          <w:sz w:val="28"/>
          <w:szCs w:val="28"/>
          <w:highlight w:val="none"/>
        </w:rPr>
        <w:t xml:space="preserve">  </w:t>
      </w:r>
      <w:r>
        <w:rPr>
          <w:rFonts w:hint="eastAsia" w:ascii="宋体" w:hAnsi="宋体"/>
          <w:b/>
          <w:color w:val="auto"/>
          <w:sz w:val="28"/>
          <w:szCs w:val="28"/>
          <w:highlight w:val="none"/>
        </w:rPr>
        <w:t>投标须知前附表</w:t>
      </w:r>
    </w:p>
    <w:tbl>
      <w:tblPr>
        <w:tblStyle w:val="31"/>
        <w:tblW w:w="95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序号</w:t>
            </w:r>
          </w:p>
        </w:tc>
        <w:tc>
          <w:tcPr>
            <w:tcW w:w="1497" w:type="dxa"/>
            <w:tcBorders>
              <w:top w:val="single" w:color="auto" w:sz="12" w:space="0"/>
              <w:righ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条款名称</w:t>
            </w:r>
          </w:p>
        </w:tc>
        <w:tc>
          <w:tcPr>
            <w:tcW w:w="7198" w:type="dxa"/>
            <w:tcBorders>
              <w:top w:val="single" w:color="auto" w:sz="12" w:space="0"/>
              <w:lef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7"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1</w:t>
            </w:r>
          </w:p>
        </w:tc>
        <w:tc>
          <w:tcPr>
            <w:tcW w:w="1497" w:type="dxa"/>
            <w:tcBorders>
              <w:right w:val="single" w:color="auto" w:sz="4" w:space="0"/>
            </w:tcBorders>
            <w:vAlign w:val="center"/>
          </w:tcPr>
          <w:p>
            <w:pPr>
              <w:spacing w:beforeLines="10" w:afterLines="10" w:line="360" w:lineRule="exact"/>
              <w:jc w:val="center"/>
              <w:rPr>
                <w:rFonts w:ascii="宋体"/>
                <w:color w:val="auto"/>
                <w:sz w:val="24"/>
                <w:szCs w:val="24"/>
                <w:highlight w:val="none"/>
              </w:rPr>
            </w:pPr>
            <w:r>
              <w:rPr>
                <w:rFonts w:hint="eastAsia" w:ascii="宋体" w:hAnsi="宋体"/>
                <w:color w:val="auto"/>
                <w:sz w:val="24"/>
                <w:szCs w:val="24"/>
                <w:highlight w:val="none"/>
              </w:rPr>
              <w:t>采购人</w:t>
            </w:r>
          </w:p>
        </w:tc>
        <w:tc>
          <w:tcPr>
            <w:tcW w:w="7198" w:type="dxa"/>
            <w:tcBorders>
              <w:left w:val="single" w:color="auto" w:sz="4" w:space="0"/>
            </w:tcBorders>
            <w:vAlign w:val="center"/>
          </w:tcPr>
          <w:p>
            <w:pPr>
              <w:spacing w:beforeLines="10" w:afterLines="10" w:line="360" w:lineRule="exact"/>
              <w:rPr>
                <w:rFonts w:hint="eastAsia"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称：</w:t>
            </w:r>
            <w:r>
              <w:rPr>
                <w:rFonts w:hint="eastAsia" w:ascii="宋体" w:hAnsi="宋体" w:cs="宋体"/>
                <w:color w:val="auto"/>
                <w:kern w:val="0"/>
                <w:sz w:val="24"/>
                <w:szCs w:val="24"/>
                <w:highlight w:val="none"/>
                <w:lang w:val="en-US" w:eastAsia="zh-CN"/>
              </w:rPr>
              <w:t>皮山县教育局</w:t>
            </w:r>
          </w:p>
          <w:p>
            <w:pPr>
              <w:spacing w:beforeLines="10" w:afterLines="10" w:line="3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ascii="宋体" w:hAnsi="宋体" w:cs="宋体"/>
                <w:color w:val="auto"/>
                <w:kern w:val="0"/>
                <w:sz w:val="24"/>
                <w:szCs w:val="24"/>
                <w:highlight w:val="none"/>
              </w:rPr>
              <w:t xml:space="preserve">: </w:t>
            </w:r>
            <w:r>
              <w:rPr>
                <w:rFonts w:hint="eastAsia" w:ascii="宋体" w:hAnsi="宋体" w:cs="宋体"/>
                <w:color w:val="auto"/>
                <w:sz w:val="24"/>
                <w:szCs w:val="24"/>
                <w:lang w:val="en-US" w:eastAsia="zh-CN"/>
              </w:rPr>
              <w:t>王亚平</w:t>
            </w:r>
            <w:r>
              <w:rPr>
                <w:rFonts w:hint="eastAsia" w:ascii="宋体" w:hAnsi="宋体" w:cs="宋体"/>
                <w:color w:val="auto"/>
                <w:kern w:val="0"/>
                <w:sz w:val="24"/>
                <w:szCs w:val="24"/>
                <w:highlight w:val="none"/>
              </w:rPr>
              <w:t xml:space="preserve">      </w:t>
            </w:r>
          </w:p>
          <w:p>
            <w:pPr>
              <w:spacing w:beforeLines="10" w:afterLines="10" w:line="360" w:lineRule="exact"/>
              <w:rPr>
                <w:rFonts w:hint="eastAsia"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联系</w:t>
            </w:r>
            <w:r>
              <w:rPr>
                <w:rFonts w:hint="eastAsia" w:ascii="宋体" w:hAnsi="宋体" w:cs="宋体"/>
                <w:color w:val="auto"/>
                <w:kern w:val="0"/>
                <w:sz w:val="24"/>
                <w:szCs w:val="24"/>
                <w:highlight w:val="none"/>
              </w:rPr>
              <w:t>电话：</w:t>
            </w:r>
            <w:r>
              <w:rPr>
                <w:rFonts w:hint="eastAsia" w:ascii="宋体" w:hAnsi="宋体" w:cs="宋体"/>
                <w:color w:val="auto"/>
                <w:kern w:val="0"/>
                <w:sz w:val="24"/>
                <w:szCs w:val="24"/>
                <w:highlight w:val="none"/>
                <w:lang w:eastAsia="zh-CN"/>
              </w:rPr>
              <w:t>0903-6427567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32"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2</w:t>
            </w:r>
          </w:p>
        </w:tc>
        <w:tc>
          <w:tcPr>
            <w:tcW w:w="1497" w:type="dxa"/>
            <w:tcBorders>
              <w:right w:val="single" w:color="auto" w:sz="4" w:space="0"/>
            </w:tcBorders>
            <w:vAlign w:val="center"/>
          </w:tcPr>
          <w:p>
            <w:pPr>
              <w:spacing w:beforeLines="10" w:afterLines="10" w:line="360" w:lineRule="exact"/>
              <w:jc w:val="center"/>
              <w:rPr>
                <w:rFonts w:ascii="宋体"/>
                <w:color w:val="auto"/>
                <w:sz w:val="24"/>
                <w:szCs w:val="24"/>
                <w:highlight w:val="none"/>
              </w:rPr>
            </w:pPr>
            <w:r>
              <w:rPr>
                <w:rFonts w:hint="eastAsia" w:ascii="宋体" w:hAnsi="宋体"/>
                <w:color w:val="auto"/>
                <w:sz w:val="24"/>
                <w:szCs w:val="24"/>
                <w:highlight w:val="none"/>
              </w:rPr>
              <w:t>代理机构</w:t>
            </w:r>
          </w:p>
        </w:tc>
        <w:tc>
          <w:tcPr>
            <w:tcW w:w="7198" w:type="dxa"/>
            <w:tcBorders>
              <w:left w:val="single" w:color="auto" w:sz="4" w:space="0"/>
            </w:tcBorders>
            <w:vAlign w:val="center"/>
          </w:tcPr>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新疆楷源工程项目管理有限责任公司</w:t>
            </w:r>
          </w:p>
          <w:p>
            <w:pPr>
              <w:spacing w:beforeLines="10" w:afterLines="1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和田市玉都国际广场玉座11楼</w:t>
            </w:r>
          </w:p>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侯雪萍</w:t>
            </w:r>
          </w:p>
          <w:p>
            <w:pPr>
              <w:spacing w:beforeLines="10" w:afterLines="10"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0903-2513255</w:t>
            </w:r>
          </w:p>
          <w:p>
            <w:pPr>
              <w:spacing w:beforeLines="10" w:afterLines="10" w:line="360" w:lineRule="exact"/>
              <w:rPr>
                <w:rFonts w:hint="default" w:eastAsia="宋体"/>
                <w:sz w:val="24"/>
                <w:szCs w:val="24"/>
                <w:lang w:val="en-US" w:eastAsia="zh-CN"/>
              </w:rPr>
            </w:pPr>
            <w:r>
              <w:rPr>
                <w:rFonts w:hint="eastAsia" w:asciiTheme="minorEastAsia" w:hAnsiTheme="minorEastAsia" w:eastAsiaTheme="minorEastAsia" w:cstheme="minorEastAsia"/>
                <w:sz w:val="24"/>
                <w:szCs w:val="24"/>
                <w:lang w:val="en-US" w:eastAsia="zh-CN"/>
              </w:rPr>
              <w:t>邮  箱：563093851@qq.com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5" w:hRule="atLeast"/>
          <w:jc w:val="center"/>
        </w:trPr>
        <w:tc>
          <w:tcPr>
            <w:tcW w:w="823" w:type="dxa"/>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3</w:t>
            </w:r>
          </w:p>
        </w:tc>
        <w:tc>
          <w:tcPr>
            <w:tcW w:w="1497" w:type="dxa"/>
            <w:tcBorders>
              <w:right w:val="single" w:color="auto" w:sz="4" w:space="0"/>
            </w:tcBorders>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采购项目名称</w:t>
            </w:r>
          </w:p>
        </w:tc>
        <w:tc>
          <w:tcPr>
            <w:tcW w:w="7198" w:type="dxa"/>
            <w:tcBorders>
              <w:left w:val="single" w:color="auto" w:sz="4" w:space="0"/>
            </w:tcBorders>
            <w:vAlign w:val="center"/>
          </w:tcPr>
          <w:p>
            <w:pPr>
              <w:spacing w:line="360" w:lineRule="exact"/>
              <w:jc w:val="left"/>
              <w:rPr>
                <w:rFonts w:hint="default" w:ascii="宋体"/>
                <w:color w:val="auto"/>
                <w:sz w:val="24"/>
                <w:highlight w:val="none"/>
                <w:lang w:val="en-US" w:eastAsia="zh-CN"/>
              </w:rPr>
            </w:pPr>
            <w:r>
              <w:rPr>
                <w:rFonts w:hint="eastAsia" w:ascii="宋体"/>
                <w:color w:val="auto"/>
                <w:sz w:val="24"/>
                <w:highlight w:val="none"/>
                <w:lang w:val="en-US" w:eastAsia="zh-CN"/>
              </w:rPr>
              <w:t>2020年皮山县教育系统学校食堂所需食材采购项目（包一）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4</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auto"/>
                <w:sz w:val="24"/>
                <w:highlight w:val="none"/>
              </w:rPr>
            </w:pPr>
            <w:r>
              <w:rPr>
                <w:rFonts w:hint="eastAsia" w:ascii="宋体" w:hAnsi="宋体"/>
                <w:color w:val="auto"/>
                <w:sz w:val="24"/>
                <w:highlight w:val="none"/>
              </w:rPr>
              <w:t>资金来源</w:t>
            </w:r>
          </w:p>
        </w:tc>
        <w:tc>
          <w:tcPr>
            <w:tcW w:w="7198" w:type="dxa"/>
            <w:tcBorders>
              <w:left w:val="single" w:color="auto" w:sz="4" w:space="0"/>
            </w:tcBorders>
            <w:vAlign w:val="center"/>
          </w:tcPr>
          <w:p>
            <w:pPr>
              <w:widowControl/>
              <w:spacing w:line="240" w:lineRule="auto"/>
              <w:jc w:val="left"/>
              <w:rPr>
                <w:rFonts w:hint="default" w:ascii="宋体" w:eastAsia="宋体" w:cs="宋体"/>
                <w:color w:val="auto"/>
                <w:kern w:val="0"/>
                <w:sz w:val="24"/>
                <w:highlight w:val="none"/>
                <w:lang w:val="en-US" w:eastAsia="zh-CN"/>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中央农村义务教育营养改善计划资金、中央、自治区幼儿园伙食补助资金、中央、自治区义务教育寄宿生生活补助资金。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5</w:t>
            </w:r>
          </w:p>
        </w:tc>
        <w:tc>
          <w:tcPr>
            <w:tcW w:w="1497" w:type="dxa"/>
            <w:tcBorders>
              <w:right w:val="single" w:color="auto" w:sz="4" w:space="0"/>
            </w:tcBorders>
            <w:vAlign w:val="center"/>
          </w:tcPr>
          <w:p>
            <w:pPr>
              <w:tabs>
                <w:tab w:val="left" w:pos="900"/>
              </w:tabs>
              <w:spacing w:beforeLines="10" w:afterLines="10" w:line="360" w:lineRule="exact"/>
              <w:jc w:val="center"/>
              <w:rPr>
                <w:rFonts w:hint="eastAsia" w:ascii="宋体" w:hAnsi="宋体"/>
                <w:color w:val="auto"/>
                <w:sz w:val="24"/>
                <w:highlight w:val="none"/>
              </w:rPr>
            </w:pPr>
            <w:r>
              <w:rPr>
                <w:rFonts w:hint="eastAsia" w:ascii="宋体" w:hAnsi="宋体"/>
                <w:color w:val="auto"/>
                <w:sz w:val="24"/>
              </w:rPr>
              <w:t>采购内容</w:t>
            </w:r>
          </w:p>
        </w:tc>
        <w:tc>
          <w:tcPr>
            <w:tcW w:w="7198" w:type="dxa"/>
            <w:tcBorders>
              <w:left w:val="single" w:color="auto" w:sz="4" w:space="0"/>
            </w:tcBorders>
            <w:vAlign w:val="center"/>
          </w:tcPr>
          <w:p>
            <w:pPr>
              <w:widowControl/>
              <w:spacing w:line="240" w:lineRule="auto"/>
              <w:jc w:val="left"/>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新鲜苹果，具体数量、规格、参数详见招标文件。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采购</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控制</w:t>
            </w:r>
            <w:r>
              <w:rPr>
                <w:rFonts w:hint="eastAsia" w:ascii="宋体" w:hAnsi="宋体" w:cs="宋体"/>
                <w:color w:val="000000" w:themeColor="text1"/>
                <w:kern w:val="0"/>
                <w:sz w:val="24"/>
                <w:highlight w:val="none"/>
                <w:shd w:val="clear" w:color="auto" w:fill="auto"/>
                <w14:textFill>
                  <w14:solidFill>
                    <w14:schemeClr w14:val="tx1"/>
                  </w14:solidFill>
                </w14:textFill>
              </w:rPr>
              <w:t>价</w:t>
            </w:r>
          </w:p>
        </w:tc>
        <w:tc>
          <w:tcPr>
            <w:tcW w:w="7198" w:type="dxa"/>
            <w:tcBorders>
              <w:left w:val="single" w:color="auto" w:sz="4" w:space="0"/>
            </w:tcBorders>
            <w:vAlign w:val="center"/>
          </w:tcPr>
          <w:p>
            <w:pPr>
              <w:tabs>
                <w:tab w:val="left" w:pos="900"/>
              </w:tabs>
              <w:spacing w:beforeLines="10" w:afterLines="10" w:line="360" w:lineRule="exact"/>
              <w:rPr>
                <w:rFonts w:hint="default" w:asci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61.06万元（此采购金额为最高限价，如超过预算价的报价为无效报价且每个分项不得超过每项单价的限价，详见采购清单）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3"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tabs>
                <w:tab w:val="left" w:pos="900"/>
              </w:tabs>
              <w:spacing w:beforeLines="10" w:afterLines="10" w:line="360" w:lineRule="exact"/>
              <w:jc w:val="center"/>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付款方式</w:t>
            </w:r>
          </w:p>
        </w:tc>
        <w:tc>
          <w:tcPr>
            <w:tcW w:w="7198" w:type="dxa"/>
            <w:tcBorders>
              <w:left w:val="single" w:color="auto" w:sz="4" w:space="0"/>
            </w:tcBorders>
            <w:vAlign w:val="center"/>
          </w:tcPr>
          <w:p>
            <w:pPr>
              <w:tabs>
                <w:tab w:val="left" w:pos="900"/>
              </w:tabs>
              <w:spacing w:beforeLines="10" w:afterLines="10" w:line="360" w:lineRule="exact"/>
              <w:rPr>
                <w:rFonts w:hint="default" w:asci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bCs/>
                <w:color w:val="000000" w:themeColor="text1"/>
                <w:sz w:val="24"/>
                <w:highlight w:val="none"/>
                <w:shd w:val="clear" w:color="auto" w:fill="auto"/>
                <w:lang w:val="en-US" w:eastAsia="zh-CN"/>
                <w14:textFill>
                  <w14:solidFill>
                    <w14:schemeClr w14:val="tx1"/>
                  </w14:solidFill>
                </w14:textFill>
              </w:rPr>
              <w:t>签订合同约定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8</w:t>
            </w:r>
          </w:p>
        </w:tc>
        <w:tc>
          <w:tcPr>
            <w:tcW w:w="1497" w:type="dxa"/>
            <w:tcBorders>
              <w:right w:val="single" w:color="auto" w:sz="4" w:space="0"/>
            </w:tcBorders>
            <w:vAlign w:val="center"/>
          </w:tcPr>
          <w:p>
            <w:pPr>
              <w:spacing w:line="360" w:lineRule="exact"/>
              <w:jc w:val="center"/>
              <w:rPr>
                <w:rFonts w:ascii="宋体"/>
                <w:color w:val="auto"/>
                <w:sz w:val="24"/>
                <w:highlight w:val="none"/>
                <w:u w:val="single"/>
              </w:rPr>
            </w:pPr>
            <w:r>
              <w:rPr>
                <w:rFonts w:hint="eastAsia" w:ascii="宋体" w:hAnsi="宋体" w:cs="宋体"/>
                <w:color w:val="auto"/>
                <w:kern w:val="0"/>
                <w:sz w:val="24"/>
                <w:highlight w:val="none"/>
              </w:rPr>
              <w:t>采购方式</w:t>
            </w:r>
          </w:p>
        </w:tc>
        <w:tc>
          <w:tcPr>
            <w:tcW w:w="7198" w:type="dxa"/>
            <w:tcBorders>
              <w:left w:val="single" w:color="auto" w:sz="4" w:space="0"/>
            </w:tcBorders>
            <w:vAlign w:val="center"/>
          </w:tcPr>
          <w:p>
            <w:pPr>
              <w:spacing w:line="360" w:lineRule="exact"/>
              <w:jc w:val="left"/>
              <w:rPr>
                <w:rFonts w:ascii="宋体"/>
                <w:color w:val="auto"/>
                <w:sz w:val="24"/>
                <w:highlight w:val="none"/>
                <w:u w:val="single"/>
              </w:rPr>
            </w:pPr>
            <w:r>
              <w:rPr>
                <w:rFonts w:hint="eastAsia" w:ascii="宋体" w:hAnsi="宋体"/>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4"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评标方法</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color w:val="auto"/>
                <w:sz w:val="24"/>
                <w:highlight w:val="none"/>
                <w:lang w:val="en-US" w:eastAsia="zh-CN"/>
              </w:rPr>
              <w:t>最低投标价法即在（“符合采购需求、质量和服务相等”的前提下，以提出最低报价的投标人作为中标投标人）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供货地点</w:t>
            </w:r>
          </w:p>
        </w:tc>
        <w:tc>
          <w:tcPr>
            <w:tcW w:w="7198" w:type="dxa"/>
            <w:tcBorders>
              <w:left w:val="single" w:color="auto" w:sz="4" w:space="0"/>
            </w:tcBorders>
            <w:vAlign w:val="center"/>
          </w:tcPr>
          <w:p>
            <w:pPr>
              <w:spacing w:line="360" w:lineRule="exact"/>
              <w:rPr>
                <w:rFonts w:ascii="宋体"/>
                <w:color w:val="auto"/>
                <w:sz w:val="24"/>
                <w:highlight w:val="none"/>
              </w:rPr>
            </w:pPr>
            <w:r>
              <w:rPr>
                <w:rFonts w:hint="eastAsia" w:ascii="宋体" w:hAnsi="宋体"/>
                <w:color w:val="auto"/>
                <w:sz w:val="24"/>
                <w:highlight w:val="none"/>
                <w:lang w:val="en-US" w:eastAsia="zh-CN"/>
              </w:rPr>
              <w:t>皮山县</w:t>
            </w:r>
            <w:r>
              <w:rPr>
                <w:rFonts w:hint="eastAsia" w:ascii="宋体" w:hAnsi="宋体"/>
                <w:color w:val="auto"/>
                <w:sz w:val="24"/>
                <w:highlight w:val="none"/>
              </w:rPr>
              <w:t>（</w:t>
            </w:r>
            <w:r>
              <w:rPr>
                <w:rFonts w:hint="eastAsia" w:ascii="宋体" w:hAnsi="宋体"/>
                <w:color w:val="auto"/>
                <w:sz w:val="24"/>
                <w:highlight w:val="none"/>
                <w:lang w:val="en-US" w:eastAsia="zh-CN"/>
              </w:rPr>
              <w:t>皮山县教育局指定地点</w:t>
            </w: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供货期</w:t>
            </w:r>
          </w:p>
        </w:tc>
        <w:tc>
          <w:tcPr>
            <w:tcW w:w="7198" w:type="dxa"/>
            <w:tcBorders>
              <w:left w:val="single" w:color="auto" w:sz="4" w:space="0"/>
            </w:tcBorders>
            <w:vAlign w:val="center"/>
          </w:tcPr>
          <w:p>
            <w:pPr>
              <w:spacing w:line="360" w:lineRule="exact"/>
              <w:jc w:val="left"/>
              <w:rPr>
                <w:rFonts w:hint="default" w:ascii="宋体" w:eastAsia="宋体"/>
                <w:color w:val="auto"/>
                <w:sz w:val="24"/>
                <w:highlight w:val="none"/>
                <w:lang w:val="en-US" w:eastAsia="zh-CN"/>
              </w:rPr>
            </w:pPr>
            <w:r>
              <w:rPr>
                <w:rFonts w:hint="eastAsia" w:ascii="宋体"/>
                <w:color w:val="auto"/>
                <w:sz w:val="24"/>
                <w:highlight w:val="none"/>
                <w:lang w:val="en-US" w:eastAsia="zh-CN"/>
              </w:rPr>
              <w:t>（具体供货时间以合同签订为准）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考察现场、标前答疑会</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投标人对招标文件提出质疑的时间</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构成招标文件的其他文件</w:t>
            </w:r>
          </w:p>
        </w:tc>
        <w:tc>
          <w:tcPr>
            <w:tcW w:w="7198" w:type="dxa"/>
            <w:tcBorders>
              <w:left w:val="single" w:color="auto" w:sz="4" w:space="0"/>
            </w:tcBorders>
            <w:vAlign w:val="center"/>
          </w:tcPr>
          <w:p>
            <w:pPr>
              <w:spacing w:line="360" w:lineRule="auto"/>
              <w:rPr>
                <w:rFonts w:ascii="宋体"/>
                <w:color w:val="auto"/>
                <w:sz w:val="24"/>
                <w:highlight w:val="none"/>
              </w:rPr>
            </w:pPr>
            <w:r>
              <w:rPr>
                <w:rFonts w:hint="eastAsia" w:ascii="宋体" w:hAnsi="宋体"/>
                <w:bCs/>
                <w:color w:val="auto"/>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w:t>
            </w:r>
          </w:p>
        </w:tc>
        <w:tc>
          <w:tcPr>
            <w:tcW w:w="7198" w:type="dxa"/>
            <w:tcBorders>
              <w:left w:val="single" w:color="auto" w:sz="4" w:space="0"/>
            </w:tcBorders>
            <w:vAlign w:val="center"/>
          </w:tcPr>
          <w:p>
            <w:pPr>
              <w:spacing w:line="360" w:lineRule="auto"/>
              <w:ind w:left="714" w:leftChars="1" w:hanging="712" w:hangingChars="297"/>
              <w:rPr>
                <w:rFonts w:hint="eastAsia" w:ascii="宋体" w:eastAsia="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2020年05月18日12:00（北京时间）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投标有效期</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000000" w:themeColor="text1"/>
                <w:sz w:val="24"/>
                <w:highlight w:val="none"/>
                <w:lang w:val="en-US" w:eastAsia="zh-CN"/>
                <w14:textFill>
                  <w14:solidFill>
                    <w14:schemeClr w14:val="tx1"/>
                  </w14:solidFill>
                </w14:textFill>
              </w:rPr>
              <w:t>30</w:t>
            </w:r>
            <w:r>
              <w:rPr>
                <w:rFonts w:hint="eastAsia" w:ascii="宋体" w:hAnsi="宋体"/>
                <w:bCs/>
                <w:color w:val="000000" w:themeColor="text1"/>
                <w:sz w:val="24"/>
                <w:highlight w:val="none"/>
                <w14:textFill>
                  <w14:solidFill>
                    <w14:schemeClr w14:val="tx1"/>
                  </w14:solidFill>
                </w14:textFill>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75"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投标保证金</w:t>
            </w:r>
          </w:p>
        </w:tc>
        <w:tc>
          <w:tcPr>
            <w:tcW w:w="7198" w:type="dxa"/>
            <w:tcBorders>
              <w:left w:val="single" w:color="auto" w:sz="4" w:space="0"/>
            </w:tcBorders>
            <w:vAlign w:val="center"/>
          </w:tcPr>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投标保证金的形式：转账、汇款</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投标保证金的金额：12000.00元整（壹万贰仟元整）</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投标保证金缴纳账户：</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账户名称：皮山县政府投资交易中心</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帐号：8780 1001 2010 1010 11990</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开户银行：新疆皮山县农村信用合作联社</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行号：402896400017</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注：1、由投标人基本账户汇出，且不得以分公司的名义转账；</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2、投标保证金需在2020年5月17日20：00前到账，超过时间则不予认可； </w:t>
            </w:r>
          </w:p>
          <w:p>
            <w:pPr>
              <w:spacing w:line="360" w:lineRule="exact"/>
              <w:jc w:val="left"/>
              <w:rPr>
                <w:rFonts w:hint="default"/>
                <w:lang w:val="en-US"/>
              </w:rPr>
            </w:pPr>
            <w:r>
              <w:rPr>
                <w:rFonts w:hint="eastAsia" w:ascii="宋体" w:hAnsi="宋体"/>
                <w:color w:val="auto"/>
                <w:sz w:val="24"/>
                <w:highlight w:val="none"/>
                <w:lang w:val="en-US" w:eastAsia="zh-CN"/>
              </w:rPr>
              <w:t>3、投标单位须在汇款单备注栏标明：XXX项目XXX包段（标段）或项目编号；投标保证金通过基本账户一笔汇出，分笔汇出银行系统将不予统计。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8</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备选投标方案和报价</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3"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19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签字盖章</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投标人必须按照招标文件的规定和要求签字、盖章（法人代表的签字</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ascii="宋体"/>
                <w:color w:val="auto"/>
                <w:sz w:val="24"/>
                <w:highlight w:val="none"/>
              </w:rPr>
              <w:t>资格要求</w:t>
            </w:r>
          </w:p>
        </w:tc>
        <w:tc>
          <w:tcPr>
            <w:tcW w:w="7198" w:type="dxa"/>
            <w:tcBorders>
              <w:left w:val="single" w:color="auto" w:sz="4" w:space="0"/>
            </w:tcBorders>
            <w:vAlign w:val="center"/>
          </w:tcPr>
          <w:p>
            <w:pPr>
              <w:widowControl/>
              <w:numPr>
                <w:ilvl w:val="0"/>
                <w:numId w:val="3"/>
              </w:numPr>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经年审合格（五证合一、三证合一）的营业执照（须有相应的经营范围）</w:t>
            </w:r>
          </w:p>
          <w:p>
            <w:pPr>
              <w:widowControl/>
              <w:numPr>
                <w:ilvl w:val="0"/>
                <w:numId w:val="3"/>
              </w:numPr>
              <w:spacing w:before="75" w:after="75"/>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驾驶员</w:t>
            </w:r>
            <w:r>
              <w:rPr>
                <w:rFonts w:hint="eastAsia" w:ascii="宋体" w:hAnsi="宋体" w:eastAsia="宋体" w:cs="宋体"/>
                <w:color w:val="auto"/>
                <w:highlight w:val="none"/>
                <w:lang w:val="en-US" w:eastAsia="zh-CN"/>
              </w:rPr>
              <w:t>及配送人员健康证;原件</w:t>
            </w:r>
          </w:p>
          <w:p>
            <w:pPr>
              <w:widowControl/>
              <w:spacing w:before="75" w:after="75"/>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）提供配送车辆的机动车辆行驶证；（原件）</w:t>
            </w:r>
          </w:p>
          <w:p>
            <w:pPr>
              <w:widowControl/>
              <w:spacing w:before="75" w:after="75"/>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）法定代表人投标需携带法定代表人证明书（原件）及法定代表人身份证（原件），</w:t>
            </w:r>
            <w:r>
              <w:rPr>
                <w:rFonts w:hint="eastAsia" w:ascii="宋体" w:hAnsi="宋体" w:cs="宋体"/>
                <w:color w:val="auto"/>
                <w:highlight w:val="none"/>
                <w:lang w:val="en-US" w:eastAsia="zh-CN"/>
              </w:rPr>
              <w:t>或负责人身份证明书及负责人身份证（原件）</w:t>
            </w:r>
            <w:r>
              <w:rPr>
                <w:rFonts w:hint="eastAsia" w:ascii="宋体" w:hAnsi="宋体" w:eastAsia="宋体" w:cs="宋体"/>
                <w:color w:val="auto"/>
                <w:highlight w:val="none"/>
                <w:lang w:val="en-US" w:eastAsia="zh-CN"/>
              </w:rPr>
              <w:t>委托代理人投标需携带法定代表人授权委托书（原件）及委托代理人身份证（原件）、委托代理人必须是投标单位的正式员工、需提供社保部门出具最少近一个月的缴纳社保证明（社保缴费凭证及个人明细表）；</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5）、近三年内（本项目投标截止期前）在“信用中（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widowControl/>
              <w:spacing w:before="75" w:after="75"/>
              <w:jc w:val="left"/>
              <w:rPr>
                <w:rFonts w:hint="eastAsia" w:ascii="宋体" w:hAnsi="宋体" w:cs="宋体"/>
                <w:color w:val="auto"/>
                <w:highlight w:val="none"/>
              </w:rPr>
            </w:pPr>
            <w:r>
              <w:rPr>
                <w:rFonts w:hint="eastAsia" w:ascii="宋体" w:hAnsi="宋体" w:cs="宋体"/>
                <w:color w:val="auto"/>
                <w:highlight w:val="none"/>
                <w:lang w:val="en-US" w:eastAsia="zh-CN"/>
              </w:rPr>
              <w:t>（6）企业负责人为同一人或者存在直接控股、管理关系的不同投标人，不得参加同一合同项下的政府采购活</w:t>
            </w:r>
            <w:r>
              <w:rPr>
                <w:rFonts w:hint="eastAsia" w:ascii="宋体" w:hAnsi="宋体" w:cs="宋体"/>
                <w:color w:val="auto"/>
                <w:highlight w:val="none"/>
              </w:rPr>
              <w:t>动。否则，皆取消投标资格；</w:t>
            </w:r>
          </w:p>
          <w:p>
            <w:pPr>
              <w:widowControl/>
              <w:spacing w:before="75" w:after="75"/>
              <w:jc w:val="left"/>
              <w:rPr>
                <w:rFonts w:hint="eastAsia" w:ascii="宋体" w:eastAsia="宋体"/>
                <w:color w:val="auto"/>
                <w:kern w:val="0"/>
                <w:sz w:val="24"/>
                <w:highlight w:val="none"/>
                <w:lang w:val="en-US" w:eastAsia="zh-CN"/>
              </w:rPr>
            </w:pPr>
            <w:r>
              <w:rPr>
                <w:rFonts w:hint="eastAsia" w:ascii="宋体" w:hAnsi="宋体" w:cs="宋体"/>
                <w:color w:val="auto"/>
                <w:highlight w:val="none"/>
                <w:lang w:val="en-US" w:eastAsia="zh-CN"/>
              </w:rPr>
              <w:t>（7）</w:t>
            </w:r>
            <w:r>
              <w:rPr>
                <w:rFonts w:hint="eastAsia" w:ascii="宋体" w:hAnsi="宋体" w:cs="宋体"/>
                <w:color w:val="auto"/>
                <w:highlight w:val="none"/>
              </w:rPr>
              <w:t xml:space="preserve">本项目不接受联合体投标。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21</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ascii="宋体"/>
                <w:color w:val="auto"/>
                <w:sz w:val="24"/>
                <w:highlight w:val="none"/>
              </w:rPr>
              <w:t>投标文件</w:t>
            </w:r>
          </w:p>
        </w:tc>
        <w:tc>
          <w:tcPr>
            <w:tcW w:w="7198" w:type="dxa"/>
            <w:tcBorders>
              <w:left w:val="single" w:color="auto" w:sz="4" w:space="0"/>
            </w:tcBorders>
            <w:vAlign w:val="center"/>
          </w:tcPr>
          <w:p>
            <w:pPr>
              <w:spacing w:line="360" w:lineRule="auto"/>
              <w:jc w:val="both"/>
            </w:pPr>
            <w:r>
              <w:rPr>
                <w:rFonts w:hint="eastAsia"/>
              </w:rPr>
              <w:t>纸质版</w:t>
            </w:r>
            <w:r>
              <w:t>一套（包括资格类文件和投标主要文件）：一式伍份（正本1份、副本</w:t>
            </w:r>
            <w:r>
              <w:rPr>
                <w:rFonts w:hint="eastAsia"/>
                <w:lang w:val="en-US" w:eastAsia="zh-CN"/>
              </w:rPr>
              <w:t>4</w:t>
            </w:r>
            <w:r>
              <w:t>份）</w:t>
            </w:r>
            <w:r>
              <w:rPr>
                <w:rFonts w:hint="eastAsia"/>
              </w:rPr>
              <w:t>电子版一套（与纸质版相一致）：U盘一份。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6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投标文件封面的标注</w:t>
            </w:r>
          </w:p>
        </w:tc>
        <w:tc>
          <w:tcPr>
            <w:tcW w:w="7198" w:type="dxa"/>
            <w:tcBorders>
              <w:left w:val="single" w:color="auto" w:sz="4" w:space="0"/>
            </w:tcBorders>
            <w:vAlign w:val="center"/>
          </w:tcPr>
          <w:p>
            <w:pPr>
              <w:spacing w:line="280" w:lineRule="exact"/>
              <w:rPr>
                <w:rFonts w:ascii="Tahoma" w:hAnsi="Tahoma" w:cs="Tahoma"/>
                <w:szCs w:val="21"/>
              </w:rPr>
            </w:pPr>
            <w:r>
              <w:rPr>
                <w:rFonts w:ascii="Tahoma" w:hAnsi="Tahoma" w:cs="Tahoma"/>
                <w:szCs w:val="21"/>
              </w:rPr>
              <w:t>项目名称：</w:t>
            </w:r>
            <w:r>
              <w:rPr>
                <w:rFonts w:ascii="Tahoma" w:hAnsi="Tahoma" w:cs="Tahoma"/>
                <w:szCs w:val="21"/>
                <w:u w:val="single"/>
              </w:rPr>
              <w:t xml:space="preserve">                   本采购项目、包段全称                         </w:t>
            </w:r>
          </w:p>
          <w:p>
            <w:pPr>
              <w:spacing w:line="280" w:lineRule="exact"/>
              <w:rPr>
                <w:rFonts w:ascii="Tahoma" w:hAnsi="Tahoma" w:cs="Tahoma"/>
                <w:szCs w:val="21"/>
              </w:rPr>
            </w:pPr>
            <w:r>
              <w:rPr>
                <w:rFonts w:ascii="Tahoma" w:hAnsi="Tahoma" w:cs="Tahoma"/>
                <w:szCs w:val="21"/>
              </w:rPr>
              <w:t>项目编号：</w:t>
            </w:r>
            <w:r>
              <w:rPr>
                <w:rFonts w:ascii="Tahoma" w:hAnsi="Tahoma" w:cs="Tahoma"/>
                <w:szCs w:val="21"/>
                <w:u w:val="single"/>
              </w:rPr>
              <w:t xml:space="preserve">                      本采购项目编号                            </w:t>
            </w:r>
          </w:p>
          <w:p>
            <w:pPr>
              <w:snapToGrid w:val="0"/>
              <w:spacing w:line="280" w:lineRule="exact"/>
              <w:rPr>
                <w:rFonts w:ascii="Tahoma" w:hAnsi="Tahoma" w:cs="Tahoma"/>
                <w:szCs w:val="21"/>
              </w:rPr>
            </w:pPr>
            <w:r>
              <w:rPr>
                <w:rFonts w:ascii="Tahoma" w:hAnsi="Tahoma" w:cs="Tahoma"/>
                <w:szCs w:val="21"/>
              </w:rPr>
              <w:t>投标文件：在</w:t>
            </w:r>
            <w:r>
              <w:rPr>
                <w:rFonts w:ascii="Tahoma" w:hAnsi="Tahoma" w:cs="Tahoma"/>
                <w:szCs w:val="21"/>
                <w:u w:val="single"/>
              </w:rPr>
              <w:t xml:space="preserve">            </w:t>
            </w:r>
            <w:r>
              <w:rPr>
                <w:rFonts w:ascii="Tahoma" w:hAnsi="Tahoma" w:cs="Tahoma"/>
                <w:szCs w:val="21"/>
              </w:rPr>
              <w:t>年</w:t>
            </w:r>
            <w:r>
              <w:rPr>
                <w:rFonts w:ascii="Tahoma" w:hAnsi="Tahoma" w:cs="Tahoma"/>
                <w:szCs w:val="21"/>
                <w:u w:val="single"/>
              </w:rPr>
              <w:t xml:space="preserve">      </w:t>
            </w:r>
            <w:r>
              <w:rPr>
                <w:rFonts w:ascii="Tahoma" w:hAnsi="Tahoma" w:cs="Tahoma"/>
                <w:szCs w:val="21"/>
              </w:rPr>
              <w:t>月</w:t>
            </w:r>
            <w:r>
              <w:rPr>
                <w:rFonts w:ascii="Tahoma" w:hAnsi="Tahoma" w:cs="Tahoma"/>
                <w:szCs w:val="21"/>
                <w:u w:val="single"/>
              </w:rPr>
              <w:t xml:space="preserve">     </w:t>
            </w:r>
            <w:r>
              <w:rPr>
                <w:rFonts w:ascii="Tahoma" w:hAnsi="Tahoma" w:cs="Tahoma"/>
                <w:szCs w:val="21"/>
              </w:rPr>
              <w:t>日</w:t>
            </w:r>
            <w:r>
              <w:rPr>
                <w:rFonts w:ascii="Tahoma" w:hAnsi="Tahoma" w:cs="Tahoma"/>
                <w:szCs w:val="21"/>
                <w:u w:val="single"/>
              </w:rPr>
              <w:t xml:space="preserve">      </w:t>
            </w:r>
            <w:r>
              <w:rPr>
                <w:rFonts w:ascii="Tahoma" w:hAnsi="Tahoma" w:cs="Tahoma"/>
                <w:szCs w:val="21"/>
              </w:rPr>
              <w:t>时</w:t>
            </w:r>
            <w:r>
              <w:rPr>
                <w:rFonts w:ascii="Tahoma" w:hAnsi="Tahoma" w:cs="Tahoma"/>
                <w:szCs w:val="21"/>
                <w:u w:val="single"/>
              </w:rPr>
              <w:t xml:space="preserve">       </w:t>
            </w:r>
            <w:r>
              <w:rPr>
                <w:rFonts w:ascii="Tahoma" w:hAnsi="Tahoma" w:cs="Tahoma"/>
                <w:szCs w:val="21"/>
              </w:rPr>
              <w:t>分前不得开启</w:t>
            </w:r>
          </w:p>
          <w:p>
            <w:pPr>
              <w:snapToGrid w:val="0"/>
              <w:spacing w:line="280" w:lineRule="exact"/>
              <w:rPr>
                <w:rFonts w:ascii="Tahoma" w:hAnsi="Tahoma" w:cs="Tahoma"/>
                <w:szCs w:val="21"/>
                <w:u w:val="single"/>
              </w:rPr>
            </w:pPr>
            <w:r>
              <w:rPr>
                <w:rFonts w:ascii="Tahoma" w:hAnsi="Tahoma" w:cs="Tahoma"/>
                <w:szCs w:val="21"/>
              </w:rPr>
              <w:t>投标人名称：</w:t>
            </w:r>
            <w:r>
              <w:rPr>
                <w:rFonts w:ascii="Tahoma" w:hAnsi="Tahoma" w:cs="Tahoma"/>
                <w:szCs w:val="21"/>
                <w:u w:val="single"/>
              </w:rPr>
              <w:t xml:space="preserve">                 供应商全称（加盖公章）                       </w:t>
            </w:r>
          </w:p>
          <w:p>
            <w:pPr>
              <w:snapToGrid w:val="0"/>
              <w:spacing w:line="260" w:lineRule="exact"/>
              <w:rPr>
                <w:rFonts w:ascii="宋体"/>
                <w:bCs/>
                <w:color w:val="auto"/>
                <w:sz w:val="24"/>
                <w:highlight w:val="none"/>
              </w:rPr>
            </w:pPr>
            <w:r>
              <w:rPr>
                <w:rFonts w:ascii="Tahoma" w:hAnsi="Tahoma" w:cs="Tahoma"/>
                <w:szCs w:val="21"/>
              </w:rPr>
              <w:t>日期：</w:t>
            </w:r>
            <w:r>
              <w:rPr>
                <w:rFonts w:ascii="Tahoma" w:hAnsi="Tahoma" w:cs="Tahoma"/>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numPr>
                <w:ilvl w:val="0"/>
                <w:numId w:val="0"/>
              </w:numPr>
              <w:spacing w:line="360" w:lineRule="exact"/>
              <w:ind w:leftChars="0"/>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1497" w:type="dxa"/>
            <w:tcBorders>
              <w:right w:val="single" w:color="auto" w:sz="4" w:space="0"/>
            </w:tcBorders>
            <w:vAlign w:val="center"/>
          </w:tcPr>
          <w:p>
            <w:pPr>
              <w:numPr>
                <w:ilvl w:val="0"/>
                <w:numId w:val="0"/>
              </w:numPr>
              <w:spacing w:line="360" w:lineRule="exact"/>
              <w:ind w:leftChars="0"/>
              <w:jc w:val="center"/>
              <w:rPr>
                <w:rFonts w:ascii="宋体"/>
                <w:color w:val="auto"/>
                <w:sz w:val="24"/>
                <w:highlight w:val="none"/>
              </w:rPr>
            </w:pPr>
            <w:r>
              <w:rPr>
                <w:rFonts w:hint="eastAsia" w:ascii="宋体" w:hAnsi="宋体"/>
                <w:color w:val="000000" w:themeColor="text1"/>
                <w:kern w:val="0"/>
                <w:sz w:val="24"/>
                <w:highlight w:val="none"/>
                <w14:textFill>
                  <w14:solidFill>
                    <w14:schemeClr w14:val="tx1"/>
                  </w14:solidFill>
                </w14:textFill>
              </w:rPr>
              <w:t>投标文件的密封</w:t>
            </w:r>
          </w:p>
        </w:tc>
        <w:tc>
          <w:tcPr>
            <w:tcW w:w="7198" w:type="dxa"/>
            <w:tcBorders>
              <w:left w:val="single" w:color="auto" w:sz="4" w:space="0"/>
            </w:tcBorders>
            <w:vAlign w:val="center"/>
          </w:tcPr>
          <w:p>
            <w:pPr>
              <w:spacing w:line="260" w:lineRule="exact"/>
            </w:pPr>
            <w:r>
              <w:rPr>
                <w:rFonts w:hint="eastAsia"/>
                <w:lang w:val="zh-CN"/>
              </w:rPr>
              <w:t>正本、副本、电子版U盘、各类证书原件分别用非透明文件袋密封。所有投标文件一律采用死页胶装的方式，否则按废标处理。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8" w:hRule="atLeast"/>
          <w:jc w:val="center"/>
        </w:trPr>
        <w:tc>
          <w:tcPr>
            <w:tcW w:w="823" w:type="dxa"/>
            <w:vAlign w:val="center"/>
          </w:tcPr>
          <w:p>
            <w:pPr>
              <w:numPr>
                <w:ilvl w:val="0"/>
                <w:numId w:val="0"/>
              </w:numPr>
              <w:spacing w:line="360" w:lineRule="exact"/>
              <w:ind w:leftChars="0"/>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numPr>
                <w:ilvl w:val="0"/>
                <w:numId w:val="0"/>
              </w:numPr>
              <w:spacing w:line="360" w:lineRule="exact"/>
              <w:ind w:leftChars="0"/>
              <w:jc w:val="center"/>
              <w:rPr>
                <w:rFonts w:hint="eastAsia" w:ascii="宋体" w:eastAsia="宋体"/>
                <w:color w:val="auto"/>
                <w:sz w:val="24"/>
                <w:highlight w:val="none"/>
                <w:lang w:eastAsia="zh-CN"/>
              </w:rPr>
            </w:pPr>
            <w:r>
              <w:rPr>
                <w:rFonts w:hint="eastAsia" w:ascii="宋体"/>
                <w:color w:val="auto"/>
                <w:sz w:val="24"/>
                <w:highlight w:val="none"/>
              </w:rPr>
              <w:t>投标文件</w:t>
            </w:r>
            <w:r>
              <w:rPr>
                <w:rFonts w:hint="eastAsia" w:ascii="宋体"/>
                <w:color w:val="auto"/>
                <w:sz w:val="24"/>
                <w:highlight w:val="none"/>
                <w:lang w:eastAsia="zh-CN"/>
              </w:rPr>
              <w:t>递交</w:t>
            </w:r>
          </w:p>
        </w:tc>
        <w:tc>
          <w:tcPr>
            <w:tcW w:w="7198" w:type="dxa"/>
            <w:tcBorders>
              <w:left w:val="single" w:color="auto" w:sz="4" w:space="0"/>
            </w:tcBorders>
            <w:vAlign w:val="center"/>
          </w:tcPr>
          <w:p>
            <w:pPr>
              <w:numPr>
                <w:ilvl w:val="0"/>
                <w:numId w:val="0"/>
              </w:numPr>
              <w:spacing w:line="360" w:lineRule="auto"/>
              <w:ind w:leftChars="0"/>
              <w:jc w:val="both"/>
              <w:rPr>
                <w:rFonts w:ascii="宋体"/>
                <w:bCs/>
                <w:color w:val="auto"/>
                <w:sz w:val="24"/>
                <w:highlight w:val="none"/>
              </w:rPr>
            </w:pPr>
            <w:r>
              <w:rPr>
                <w:rFonts w:hint="eastAsia" w:ascii="宋体" w:hAnsi="宋体"/>
                <w:color w:val="auto"/>
                <w:sz w:val="24"/>
                <w:highlight w:val="none"/>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评标委员的组建</w:t>
            </w:r>
          </w:p>
        </w:tc>
        <w:tc>
          <w:tcPr>
            <w:tcW w:w="7198" w:type="dxa"/>
            <w:tcBorders>
              <w:left w:val="single" w:color="auto" w:sz="4" w:space="0"/>
            </w:tcBorders>
            <w:vAlign w:val="center"/>
          </w:tcPr>
          <w:p>
            <w:pPr>
              <w:spacing w:line="360" w:lineRule="exact"/>
              <w:jc w:val="left"/>
              <w:rPr>
                <w:rFonts w:hint="eastAsia" w:ascii="宋体" w:hAnsi="宋体"/>
                <w:color w:val="auto"/>
                <w:sz w:val="24"/>
                <w:highlight w:val="none"/>
                <w:lang w:eastAsia="zh-CN"/>
              </w:rPr>
            </w:pPr>
            <w:r>
              <w:rPr>
                <w:rFonts w:hint="eastAsia" w:ascii="宋体" w:hAnsi="宋体"/>
                <w:color w:val="auto"/>
                <w:sz w:val="24"/>
                <w:highlight w:val="none"/>
              </w:rPr>
              <w:t>评标委员会构成：</w:t>
            </w:r>
            <w:r>
              <w:rPr>
                <w:rFonts w:hint="eastAsia" w:ascii="宋体" w:hAnsi="宋体"/>
                <w:color w:val="auto"/>
                <w:sz w:val="24"/>
                <w:highlight w:val="none"/>
                <w:lang w:val="en-US" w:eastAsia="zh-CN"/>
              </w:rPr>
              <w:t>5</w:t>
            </w:r>
            <w:r>
              <w:rPr>
                <w:rFonts w:hint="eastAsia" w:ascii="宋体" w:hAnsi="宋体"/>
                <w:color w:val="auto"/>
                <w:sz w:val="24"/>
                <w:highlight w:val="none"/>
              </w:rPr>
              <w:t>人单数组成，业主专家</w:t>
            </w:r>
            <w:r>
              <w:rPr>
                <w:rFonts w:ascii="宋体" w:hAnsi="宋体"/>
                <w:color w:val="auto"/>
                <w:sz w:val="24"/>
                <w:highlight w:val="none"/>
              </w:rPr>
              <w:t>1</w:t>
            </w:r>
            <w:r>
              <w:rPr>
                <w:rFonts w:hint="eastAsia" w:ascii="宋体" w:hAnsi="宋体"/>
                <w:color w:val="auto"/>
                <w:sz w:val="24"/>
                <w:highlight w:val="none"/>
              </w:rPr>
              <w:t>人；评标</w:t>
            </w:r>
            <w:r>
              <w:rPr>
                <w:rFonts w:hint="eastAsia" w:ascii="宋体" w:hAnsi="宋体"/>
                <w:color w:val="auto"/>
                <w:sz w:val="24"/>
                <w:highlight w:val="none"/>
                <w:lang w:eastAsia="zh-CN"/>
              </w:rPr>
              <w:t>专家</w:t>
            </w:r>
            <w:r>
              <w:rPr>
                <w:rFonts w:hint="eastAsia" w:ascii="宋体" w:hAnsi="宋体"/>
                <w:color w:val="auto"/>
                <w:sz w:val="24"/>
                <w:highlight w:val="none"/>
              </w:rPr>
              <w:t>确定方式：由</w:t>
            </w:r>
            <w:r>
              <w:rPr>
                <w:rFonts w:hint="eastAsia" w:ascii="宋体" w:hAnsi="宋体"/>
                <w:color w:val="auto"/>
                <w:sz w:val="24"/>
                <w:highlight w:val="none"/>
                <w:lang w:val="en-US" w:eastAsia="zh-CN"/>
              </w:rPr>
              <w:t>招标代理在开标前48小时在新疆维吾尔自治区政府采购</w:t>
            </w:r>
            <w:r>
              <w:rPr>
                <w:rFonts w:hint="eastAsia" w:ascii="宋体" w:hAnsi="宋体"/>
                <w:color w:val="auto"/>
                <w:sz w:val="24"/>
                <w:highlight w:val="none"/>
              </w:rPr>
              <w:t>专家库中随机抽取此次评标专家</w:t>
            </w:r>
            <w:r>
              <w:rPr>
                <w:rFonts w:hint="eastAsia" w:ascii="宋体" w:hAnsi="宋体"/>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3"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开标时间和地点</w:t>
            </w:r>
          </w:p>
        </w:tc>
        <w:tc>
          <w:tcPr>
            <w:tcW w:w="7198" w:type="dxa"/>
            <w:tcBorders>
              <w:left w:val="single" w:color="auto" w:sz="4" w:space="0"/>
            </w:tcBorders>
            <w:vAlign w:val="center"/>
          </w:tcPr>
          <w:p>
            <w:pPr>
              <w:spacing w:line="360" w:lineRule="exact"/>
              <w:jc w:val="left"/>
              <w:rPr>
                <w:rFonts w:hint="eastAsia" w:ascii="宋体" w:hAnsi="宋体" w:eastAsia="宋体"/>
                <w:color w:val="FF0000"/>
                <w:sz w:val="24"/>
                <w:highlight w:val="none"/>
                <w:lang w:eastAsia="zh-CN"/>
              </w:rPr>
            </w:pPr>
            <w:r>
              <w:rPr>
                <w:rFonts w:hint="eastAsia" w:ascii="宋体" w:hAnsi="宋体"/>
                <w:color w:val="auto"/>
                <w:sz w:val="24"/>
                <w:highlight w:val="none"/>
              </w:rPr>
              <w:t>开标时间：</w:t>
            </w:r>
            <w:r>
              <w:rPr>
                <w:rFonts w:hint="eastAsia" w:ascii="宋体" w:hAnsi="宋体"/>
                <w:color w:val="000000" w:themeColor="text1"/>
                <w:sz w:val="24"/>
                <w:highlight w:val="none"/>
                <w:lang w:eastAsia="zh-CN"/>
                <w14:textFill>
                  <w14:solidFill>
                    <w14:schemeClr w14:val="tx1"/>
                  </w14:solidFill>
                </w14:textFill>
              </w:rPr>
              <w:t>2020年05月18日12:00（北京时间）</w:t>
            </w:r>
          </w:p>
          <w:p>
            <w:pPr>
              <w:spacing w:line="360" w:lineRule="exact"/>
              <w:jc w:val="left"/>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7"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关于操作说明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投标单位所提供关于</w:t>
            </w:r>
            <w:r>
              <w:rPr>
                <w:rFonts w:hint="eastAsia" w:ascii="宋体" w:hAnsi="宋体"/>
                <w:bCs/>
                <w:color w:val="auto"/>
                <w:sz w:val="24"/>
                <w:highlight w:val="none"/>
                <w:lang w:eastAsia="zh-CN"/>
              </w:rPr>
              <w:t>货物</w:t>
            </w:r>
            <w:r>
              <w:rPr>
                <w:rFonts w:hint="eastAsia" w:ascii="宋体" w:hAnsi="宋体"/>
                <w:bCs/>
                <w:color w:val="auto"/>
                <w:sz w:val="24"/>
                <w:highlight w:val="none"/>
              </w:rPr>
              <w:t>的操作说明如果是英文必须附翻译后中文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3" w:hRule="atLeast"/>
          <w:jc w:val="center"/>
        </w:trPr>
        <w:tc>
          <w:tcPr>
            <w:tcW w:w="823" w:type="dxa"/>
            <w:tcBorders>
              <w:bottom w:val="single" w:color="auto" w:sz="4" w:space="0"/>
            </w:tcBorders>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8</w:t>
            </w:r>
          </w:p>
        </w:tc>
        <w:tc>
          <w:tcPr>
            <w:tcW w:w="1497" w:type="dxa"/>
            <w:tcBorders>
              <w:bottom w:val="single" w:color="auto" w:sz="4" w:space="0"/>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2" w:hRule="atLeast"/>
          <w:jc w:val="center"/>
        </w:trPr>
        <w:tc>
          <w:tcPr>
            <w:tcW w:w="823" w:type="dxa"/>
            <w:tcBorders>
              <w:top w:val="single" w:color="auto" w:sz="4" w:space="0"/>
            </w:tcBorders>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1497" w:type="dxa"/>
            <w:tcBorders>
              <w:top w:val="single" w:color="auto" w:sz="4" w:space="0"/>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履约保证金</w:t>
            </w:r>
          </w:p>
        </w:tc>
        <w:tc>
          <w:tcPr>
            <w:tcW w:w="7198"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eastAsia="宋体"/>
                <w:bCs/>
                <w:color w:val="auto"/>
                <w:sz w:val="24"/>
                <w:highlight w:val="none"/>
                <w:lang w:val="en-US" w:eastAsia="zh-CN"/>
              </w:rPr>
            </w:pPr>
            <w:r>
              <w:rPr>
                <w:rFonts w:hint="eastAsia" w:ascii="宋体" w:hAnsi="宋体"/>
                <w:color w:val="auto"/>
                <w:sz w:val="24"/>
                <w:highlight w:val="none"/>
                <w:lang w:val="en-US" w:eastAsia="zh-CN"/>
              </w:rPr>
              <w:t>合同签订前缴纳不得高于中标价的10%履约保证金（具体缴纳事宜由甲乙双方签订合同约定）。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77"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30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其他说明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特别提醒：</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、所有投标人的报价高于采购预算额度视为无效报价（即作否决投</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标处理）。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、所有投标人的报价明显低于其他投标报价或者在设有标底时明显</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低于标底，使得其投标报价可能低于其个别成本的，应当要求该投标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人作出书面说明并提供相应证明材料。投标人不能合理或者不能提供</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相应证明材料的，由评标委员会认定该投标人以低于成本报价竞标，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105" w:hRule="atLeast"/>
          <w:jc w:val="center"/>
        </w:trPr>
        <w:tc>
          <w:tcPr>
            <w:tcW w:w="823" w:type="dxa"/>
            <w:vAlign w:val="center"/>
          </w:tcPr>
          <w:p>
            <w:pPr>
              <w:spacing w:line="360" w:lineRule="exact"/>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31</w:t>
            </w:r>
          </w:p>
        </w:tc>
        <w:tc>
          <w:tcPr>
            <w:tcW w:w="1497" w:type="dxa"/>
            <w:tcBorders>
              <w:right w:val="single" w:color="auto" w:sz="4" w:space="0"/>
            </w:tcBorders>
            <w:vAlign w:val="center"/>
          </w:tcPr>
          <w:p>
            <w:pPr>
              <w:spacing w:line="360" w:lineRule="exact"/>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补充说明</w:t>
            </w:r>
          </w:p>
        </w:tc>
        <w:tc>
          <w:tcPr>
            <w:tcW w:w="7198" w:type="dxa"/>
            <w:tcBorders>
              <w:left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22" w:firstLineChars="200"/>
              <w:jc w:val="left"/>
              <w:textAlignment w:val="auto"/>
              <w:rPr>
                <w:rFonts w:hint="eastAsia" w:ascii="宋体" w:hAnsi="宋体" w:eastAsia="宋体"/>
                <w:b/>
                <w:bCs/>
                <w:color w:val="auto"/>
                <w:sz w:val="24"/>
                <w:highlight w:val="yellow"/>
                <w:lang w:val="en-US" w:eastAsia="zh-CN"/>
              </w:rPr>
            </w:pPr>
            <w:r>
              <w:rPr>
                <w:rFonts w:hint="eastAsia" w:ascii="宋体" w:hAnsi="宋体" w:cs="宋体"/>
                <w:b/>
                <w:bCs/>
                <w:color w:val="auto"/>
                <w:highlight w:val="none"/>
              </w:rPr>
              <w:t>采购项目需要落实的政府采购政策</w:t>
            </w:r>
            <w:r>
              <w:rPr>
                <w:rFonts w:hint="eastAsia" w:ascii="宋体" w:hAnsi="宋体" w:cs="宋体"/>
                <w:b/>
                <w:bCs/>
                <w:color w:val="auto"/>
                <w:highlight w:val="none"/>
                <w:lang w:eastAsia="zh-CN"/>
              </w:rPr>
              <w:t>：</w:t>
            </w:r>
            <w:r>
              <w:rPr>
                <w:rFonts w:ascii="宋体" w:hAnsi="宋体" w:cs="宋体"/>
                <w:b/>
                <w:bCs/>
                <w:color w:val="auto"/>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bCs/>
                <w:color w:val="auto"/>
                <w:highlight w:val="none"/>
                <w:lang w:val="en-US" w:eastAsia="zh-CN"/>
              </w:rPr>
              <w:t>等政府采购政策</w:t>
            </w:r>
            <w:r>
              <w:rPr>
                <w:rFonts w:ascii="宋体" w:hAnsi="宋体" w:cs="宋体"/>
                <w:b/>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518" w:type="dxa"/>
            <w:gridSpan w:val="3"/>
            <w:tcBorders>
              <w:bottom w:val="single" w:color="auto" w:sz="12"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02" w:firstLineChars="200"/>
              <w:jc w:val="left"/>
              <w:textAlignment w:val="auto"/>
              <w:rPr>
                <w:rFonts w:hint="eastAsia" w:ascii="宋体" w:hAnsi="宋体"/>
                <w:b/>
                <w:bCs/>
                <w:color w:val="auto"/>
                <w:sz w:val="24"/>
                <w:highlight w:val="none"/>
                <w:lang w:val="en-US" w:eastAsia="zh-CN"/>
              </w:rPr>
            </w:pPr>
            <w:r>
              <w:rPr>
                <w:rFonts w:hint="eastAsia" w:ascii="宋体" w:hAnsi="宋体"/>
                <w:b/>
                <w:bCs/>
                <w:color w:val="auto"/>
                <w:sz w:val="20"/>
                <w:szCs w:val="20"/>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rPr>
          <w:rFonts w:ascii="宋体"/>
          <w:b/>
          <w:color w:val="auto"/>
          <w:sz w:val="24"/>
          <w:highlight w:val="none"/>
        </w:rPr>
      </w:pPr>
      <w:r>
        <w:rPr>
          <w:rFonts w:hint="eastAsia" w:ascii="宋体"/>
          <w:color w:val="auto"/>
          <w:sz w:val="24"/>
          <w:highlight w:val="none"/>
        </w:rPr>
        <w:t>备注：本须知前附表的条款号是与后面招标文件的内容相对应，如有矛盾，应以投标须知前附表为准。</w:t>
      </w:r>
    </w:p>
    <w:p>
      <w:pPr>
        <w:spacing w:line="360" w:lineRule="auto"/>
        <w:jc w:val="both"/>
        <w:rPr>
          <w:rFonts w:ascii="宋体" w:hAnsi="宋体"/>
          <w:b/>
          <w:color w:val="auto"/>
          <w:sz w:val="24"/>
          <w:highlight w:val="none"/>
        </w:rPr>
      </w:pPr>
    </w:p>
    <w:p>
      <w:pPr>
        <w:spacing w:line="360" w:lineRule="auto"/>
        <w:jc w:val="both"/>
        <w:rPr>
          <w:rFonts w:ascii="宋体"/>
          <w:b/>
          <w:color w:val="auto"/>
          <w:sz w:val="24"/>
          <w:highlight w:val="none"/>
        </w:rPr>
      </w:pPr>
      <w:r>
        <w:rPr>
          <w:rFonts w:ascii="宋体" w:hAnsi="宋体"/>
          <w:b/>
          <w:color w:val="auto"/>
          <w:sz w:val="24"/>
          <w:highlight w:val="none"/>
        </w:rPr>
        <w:t xml:space="preserve">A   </w:t>
      </w:r>
      <w:r>
        <w:rPr>
          <w:rFonts w:hint="eastAsia" w:ascii="宋体" w:hAnsi="宋体"/>
          <w:b/>
          <w:color w:val="auto"/>
          <w:sz w:val="24"/>
          <w:highlight w:val="none"/>
        </w:rPr>
        <w:t>说明及注意事项</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适用范围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1.1</w:t>
      </w:r>
      <w:r>
        <w:rPr>
          <w:rFonts w:ascii="宋体" w:hAnsi="宋体"/>
          <w:color w:val="auto"/>
          <w:sz w:val="24"/>
          <w:highlight w:val="none"/>
        </w:rPr>
        <w:tab/>
      </w:r>
      <w:r>
        <w:rPr>
          <w:rFonts w:hint="eastAsia" w:ascii="宋体" w:hAnsi="宋体"/>
          <w:color w:val="auto"/>
          <w:sz w:val="24"/>
          <w:highlight w:val="none"/>
        </w:rPr>
        <w:t>本招标文件仅适用于本</w:t>
      </w:r>
      <w:r>
        <w:rPr>
          <w:rFonts w:hint="eastAsia" w:ascii="宋体" w:hAnsi="宋体"/>
          <w:color w:val="auto"/>
          <w:sz w:val="24"/>
          <w:highlight w:val="none"/>
          <w:lang w:val="en-US" w:eastAsia="zh-CN"/>
        </w:rPr>
        <w:t>招标公告</w:t>
      </w:r>
      <w:r>
        <w:rPr>
          <w:rFonts w:hint="eastAsia" w:ascii="宋体" w:hAnsi="宋体"/>
          <w:color w:val="auto"/>
          <w:sz w:val="24"/>
          <w:highlight w:val="none"/>
        </w:rPr>
        <w:t>中所述的招标项目。</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定义</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2.1</w:t>
      </w:r>
      <w:r>
        <w:rPr>
          <w:rFonts w:ascii="宋体" w:hAnsi="宋体"/>
          <w:color w:val="auto"/>
          <w:sz w:val="24"/>
          <w:highlight w:val="none"/>
        </w:rPr>
        <w:tab/>
      </w:r>
      <w:r>
        <w:rPr>
          <w:rFonts w:hint="eastAsia" w:ascii="宋体" w:hAnsi="宋体"/>
          <w:color w:val="auto"/>
          <w:sz w:val="24"/>
          <w:highlight w:val="none"/>
        </w:rPr>
        <w:t>“招标人”系指</w:t>
      </w:r>
      <w:r>
        <w:rPr>
          <w:rFonts w:hint="eastAsia" w:ascii="宋体" w:hAnsi="宋体"/>
          <w:color w:val="auto"/>
          <w:sz w:val="24"/>
          <w:highlight w:val="none"/>
          <w:lang w:val="en-US" w:eastAsia="zh-CN"/>
        </w:rPr>
        <w:t>皮山县教育局</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2.2</w:t>
      </w:r>
      <w:r>
        <w:rPr>
          <w:rFonts w:ascii="宋体" w:hAnsi="宋体"/>
          <w:color w:val="auto"/>
          <w:sz w:val="24"/>
          <w:highlight w:val="none"/>
        </w:rPr>
        <w:tab/>
      </w:r>
      <w:r>
        <w:rPr>
          <w:rFonts w:hint="eastAsia" w:ascii="宋体" w:hAnsi="宋体"/>
          <w:color w:val="auto"/>
          <w:sz w:val="24"/>
          <w:highlight w:val="none"/>
        </w:rPr>
        <w:t>“投标人”系指向招标人提交投标文件的制造商或供应商；</w:t>
      </w:r>
    </w:p>
    <w:p>
      <w:pPr>
        <w:spacing w:line="360" w:lineRule="auto"/>
        <w:ind w:left="714" w:leftChars="1" w:hanging="712" w:hangingChars="297"/>
        <w:jc w:val="left"/>
        <w:rPr>
          <w:rFonts w:hint="eastAsia" w:ascii="宋体" w:eastAsia="宋体"/>
          <w:color w:val="auto"/>
          <w:sz w:val="24"/>
          <w:highlight w:val="none"/>
          <w:lang w:eastAsia="zh-CN"/>
        </w:rPr>
      </w:pPr>
      <w:r>
        <w:rPr>
          <w:rFonts w:ascii="宋体" w:hAnsi="宋体"/>
          <w:color w:val="auto"/>
          <w:sz w:val="24"/>
          <w:highlight w:val="none"/>
        </w:rPr>
        <w:t>2.3</w:t>
      </w:r>
      <w:r>
        <w:rPr>
          <w:rFonts w:ascii="宋体" w:hAnsi="宋体"/>
          <w:color w:val="auto"/>
          <w:sz w:val="24"/>
          <w:highlight w:val="none"/>
        </w:rPr>
        <w:tab/>
      </w:r>
      <w:r>
        <w:rPr>
          <w:rFonts w:hint="eastAsia" w:ascii="宋体" w:hAnsi="宋体"/>
          <w:color w:val="auto"/>
          <w:sz w:val="24"/>
          <w:highlight w:val="none"/>
        </w:rPr>
        <w:t>“采购人”系指实际购买使用标的物的单位即</w:t>
      </w:r>
      <w:r>
        <w:rPr>
          <w:rFonts w:hint="eastAsia" w:ascii="宋体" w:hAnsi="宋体"/>
          <w:color w:val="auto"/>
          <w:sz w:val="24"/>
          <w:highlight w:val="none"/>
          <w:lang w:val="en-US" w:eastAsia="zh-CN"/>
        </w:rPr>
        <w:t>皮山县教育局</w:t>
      </w:r>
    </w:p>
    <w:p>
      <w:pPr>
        <w:spacing w:line="360" w:lineRule="auto"/>
        <w:ind w:left="714" w:leftChars="1" w:hanging="712" w:hangingChars="297"/>
        <w:jc w:val="left"/>
        <w:rPr>
          <w:rFonts w:ascii="宋体" w:cs="宋体"/>
          <w:color w:val="FF0000"/>
          <w:kern w:val="0"/>
          <w:sz w:val="24"/>
          <w:highlight w:val="yellow"/>
        </w:rPr>
      </w:pPr>
      <w:r>
        <w:rPr>
          <w:rFonts w:ascii="宋体" w:hAnsi="宋体"/>
          <w:color w:val="auto"/>
          <w:sz w:val="24"/>
          <w:highlight w:val="none"/>
        </w:rPr>
        <w:t xml:space="preserve">2.4   </w:t>
      </w:r>
      <w:r>
        <w:rPr>
          <w:rFonts w:hint="eastAsia" w:ascii="宋体" w:hAnsi="宋体"/>
          <w:color w:val="auto"/>
          <w:sz w:val="24"/>
          <w:highlight w:val="none"/>
        </w:rPr>
        <w:t>“采购项目”</w:t>
      </w:r>
      <w:r>
        <w:rPr>
          <w:rFonts w:hint="eastAsia" w:ascii="宋体" w:hAnsi="宋体"/>
          <w:color w:val="000000" w:themeColor="text1"/>
          <w:spacing w:val="-18"/>
          <w:sz w:val="24"/>
          <w:highlight w:val="none"/>
          <w14:textFill>
            <w14:solidFill>
              <w14:schemeClr w14:val="tx1"/>
            </w14:solidFill>
          </w14:textFill>
        </w:rPr>
        <w:t>“</w:t>
      </w:r>
      <w:r>
        <w:rPr>
          <w:rFonts w:hint="eastAsia" w:ascii="宋体" w:hAnsi="宋体"/>
          <w:color w:val="000000" w:themeColor="text1"/>
          <w:spacing w:val="-18"/>
          <w:sz w:val="24"/>
          <w:highlight w:val="none"/>
          <w:lang w:val="en-US" w:eastAsia="zh-CN"/>
          <w14:textFill>
            <w14:solidFill>
              <w14:schemeClr w14:val="tx1"/>
            </w14:solidFill>
          </w14:textFill>
        </w:rPr>
        <w:t>2020年皮山县教育系统学校食堂所需食材采购项目（包一）</w:t>
      </w:r>
      <w:r>
        <w:rPr>
          <w:rFonts w:hint="eastAsia" w:ascii="宋体" w:hAnsi="宋体" w:cs="宋体"/>
          <w:bCs/>
          <w:color w:val="000000" w:themeColor="text1"/>
          <w:kern w:val="0"/>
          <w:sz w:val="24"/>
          <w:highlight w:val="none"/>
          <w14:textFill>
            <w14:solidFill>
              <w14:schemeClr w14:val="tx1"/>
            </w14:solidFill>
          </w14:textFill>
        </w:rPr>
        <w:t>”</w:t>
      </w:r>
    </w:p>
    <w:p>
      <w:pPr>
        <w:spacing w:line="360" w:lineRule="auto"/>
        <w:rPr>
          <w:rFonts w:ascii="宋体"/>
          <w:color w:val="auto"/>
          <w:sz w:val="24"/>
          <w:highlight w:val="none"/>
        </w:rPr>
      </w:pPr>
      <w:r>
        <w:rPr>
          <w:rFonts w:ascii="宋体" w:hAnsi="宋体"/>
          <w:color w:val="auto"/>
          <w:sz w:val="24"/>
          <w:highlight w:val="none"/>
        </w:rPr>
        <w:t>2.5</w:t>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“服务”系指招标文件规定投标人须承担的运输、安装、技术服务、售后服务和其它类似的义务。</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合格的投标人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3.1</w:t>
      </w:r>
      <w:r>
        <w:rPr>
          <w:rFonts w:ascii="宋体" w:hAnsi="宋体"/>
          <w:color w:val="auto"/>
          <w:sz w:val="24"/>
          <w:highlight w:val="none"/>
        </w:rPr>
        <w:tab/>
      </w:r>
      <w:r>
        <w:rPr>
          <w:rFonts w:hint="eastAsia" w:ascii="宋体" w:hAnsi="宋体"/>
          <w:color w:val="auto"/>
          <w:sz w:val="24"/>
          <w:highlight w:val="none"/>
        </w:rPr>
        <w:t>具有独立法人资格，且有独立承担民事责任的能力，有相关的经营范围。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3.2</w:t>
      </w:r>
      <w:r>
        <w:rPr>
          <w:rFonts w:ascii="宋体" w:hAnsi="宋体"/>
          <w:color w:val="auto"/>
          <w:sz w:val="24"/>
          <w:highlight w:val="none"/>
        </w:rPr>
        <w:tab/>
      </w:r>
      <w:r>
        <w:rPr>
          <w:rFonts w:hint="eastAsia" w:ascii="宋体" w:hAnsi="宋体"/>
          <w:color w:val="auto"/>
          <w:sz w:val="24"/>
          <w:highlight w:val="none"/>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3.3</w:t>
      </w:r>
      <w:r>
        <w:rPr>
          <w:rFonts w:ascii="宋体" w:hAnsi="宋体"/>
          <w:color w:val="auto"/>
          <w:sz w:val="24"/>
          <w:highlight w:val="none"/>
        </w:rPr>
        <w:tab/>
      </w:r>
      <w:r>
        <w:rPr>
          <w:rFonts w:hint="eastAsia" w:ascii="宋体" w:hAnsi="宋体"/>
          <w:color w:val="auto"/>
          <w:sz w:val="24"/>
          <w:highlight w:val="none"/>
        </w:rPr>
        <w:t>承诺履行中华人民共和国政府采购有关规定；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3.4</w:t>
      </w:r>
      <w:r>
        <w:rPr>
          <w:rFonts w:ascii="宋体" w:hAnsi="宋体"/>
          <w:color w:val="auto"/>
          <w:sz w:val="24"/>
          <w:highlight w:val="none"/>
        </w:rPr>
        <w:tab/>
      </w:r>
      <w:r>
        <w:rPr>
          <w:rFonts w:hint="eastAsia" w:ascii="宋体" w:hAnsi="宋体"/>
          <w:color w:val="auto"/>
          <w:sz w:val="24"/>
          <w:highlight w:val="none"/>
        </w:rPr>
        <w:t>具有履行合同的能力和良好的履行合同的记录，及履行合同所必需的设备和专业技术能力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3.5</w:t>
      </w:r>
      <w:r>
        <w:rPr>
          <w:rFonts w:ascii="宋体" w:hAnsi="宋体"/>
          <w:color w:val="auto"/>
          <w:sz w:val="24"/>
          <w:highlight w:val="none"/>
        </w:rPr>
        <w:tab/>
      </w:r>
      <w:r>
        <w:rPr>
          <w:rFonts w:hint="eastAsia" w:ascii="宋体" w:hAnsi="宋体"/>
          <w:color w:val="auto"/>
          <w:sz w:val="24"/>
          <w:highlight w:val="none"/>
        </w:rPr>
        <w:t>良好的资金、财务状况健全的财务会计制度</w:t>
      </w:r>
    </w:p>
    <w:p>
      <w:pPr>
        <w:spacing w:line="360" w:lineRule="auto"/>
        <w:ind w:left="691" w:leftChars="1" w:hanging="689" w:hangingChars="297"/>
        <w:rPr>
          <w:rFonts w:ascii="宋体"/>
          <w:color w:val="auto"/>
          <w:spacing w:val="-4"/>
          <w:sz w:val="24"/>
          <w:highlight w:val="none"/>
        </w:rPr>
      </w:pPr>
      <w:r>
        <w:rPr>
          <w:rFonts w:ascii="宋体" w:hAnsi="宋体"/>
          <w:color w:val="auto"/>
          <w:spacing w:val="-4"/>
          <w:sz w:val="24"/>
          <w:highlight w:val="none"/>
        </w:rPr>
        <w:t>3.6</w:t>
      </w:r>
      <w:r>
        <w:rPr>
          <w:rFonts w:ascii="宋体" w:hAnsi="宋体"/>
          <w:color w:val="auto"/>
          <w:spacing w:val="-4"/>
          <w:sz w:val="24"/>
          <w:highlight w:val="none"/>
        </w:rPr>
        <w:tab/>
      </w:r>
      <w:r>
        <w:rPr>
          <w:rFonts w:hint="eastAsia" w:ascii="宋体" w:hAnsi="宋体"/>
          <w:color w:val="auto"/>
          <w:spacing w:val="-4"/>
          <w:sz w:val="24"/>
          <w:highlight w:val="none"/>
        </w:rPr>
        <w:t>生产或销售的产品符合中国政府规定的相应技术标准和环保标准；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3.7</w:t>
      </w:r>
      <w:r>
        <w:rPr>
          <w:rFonts w:ascii="宋体" w:hAnsi="宋体"/>
          <w:color w:val="auto"/>
          <w:sz w:val="24"/>
          <w:highlight w:val="none"/>
        </w:rPr>
        <w:tab/>
      </w:r>
      <w:r>
        <w:rPr>
          <w:rFonts w:hint="eastAsia" w:ascii="宋体" w:hAnsi="宋体"/>
          <w:color w:val="auto"/>
          <w:sz w:val="24"/>
          <w:highlight w:val="none"/>
        </w:rPr>
        <w:t>参加政府采购活动</w:t>
      </w:r>
      <w:r>
        <w:rPr>
          <w:rFonts w:hint="eastAsia" w:ascii="宋体" w:hAnsi="宋体"/>
          <w:color w:val="auto"/>
          <w:sz w:val="24"/>
          <w:highlight w:val="none"/>
          <w:lang w:val="en-US" w:eastAsia="zh-CN"/>
        </w:rPr>
        <w:t>近</w:t>
      </w:r>
      <w:r>
        <w:rPr>
          <w:rFonts w:hint="eastAsia" w:ascii="宋体" w:hAnsi="宋体"/>
          <w:color w:val="auto"/>
          <w:sz w:val="24"/>
          <w:highlight w:val="none"/>
        </w:rPr>
        <w:t>三年内，在经营活动中没有重大违法记录。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3.8</w:t>
      </w:r>
      <w:r>
        <w:rPr>
          <w:rFonts w:ascii="宋体" w:hAnsi="宋体"/>
          <w:color w:val="auto"/>
          <w:sz w:val="24"/>
          <w:highlight w:val="none"/>
        </w:rPr>
        <w:tab/>
      </w:r>
      <w:r>
        <w:rPr>
          <w:rFonts w:hint="eastAsia" w:ascii="宋体" w:hAnsi="宋体"/>
          <w:color w:val="auto"/>
          <w:sz w:val="24"/>
          <w:highlight w:val="none"/>
        </w:rPr>
        <w:t>满足本招标文件规定的要求。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9</w:t>
      </w:r>
      <w:r>
        <w:rPr>
          <w:rFonts w:ascii="宋体" w:hAnsi="宋体"/>
          <w:color w:val="auto"/>
          <w:sz w:val="24"/>
          <w:highlight w:val="none"/>
        </w:rPr>
        <w:tab/>
      </w:r>
      <w:r>
        <w:rPr>
          <w:rFonts w:hint="eastAsia" w:ascii="宋体" w:hAnsi="宋体"/>
          <w:color w:val="auto"/>
          <w:sz w:val="24"/>
          <w:highlight w:val="none"/>
        </w:rPr>
        <w:t>财政部及省级人民政府规定的其它条件。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4.</w:t>
      </w:r>
      <w:r>
        <w:rPr>
          <w:rFonts w:ascii="宋体" w:hAnsi="宋体"/>
          <w:b/>
          <w:bCs/>
          <w:color w:val="auto"/>
          <w:sz w:val="24"/>
          <w:highlight w:val="none"/>
        </w:rPr>
        <w:tab/>
      </w:r>
      <w:r>
        <w:rPr>
          <w:rFonts w:hint="eastAsia" w:ascii="宋体" w:hAnsi="宋体"/>
          <w:b/>
          <w:bCs/>
          <w:color w:val="auto"/>
          <w:sz w:val="24"/>
          <w:highlight w:val="none"/>
        </w:rPr>
        <w:t>联合体投标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4.1</w:t>
      </w:r>
      <w:r>
        <w:rPr>
          <w:rFonts w:ascii="宋体" w:hAnsi="宋体"/>
          <w:color w:val="auto"/>
          <w:sz w:val="24"/>
          <w:szCs w:val="20"/>
          <w:highlight w:val="none"/>
        </w:rPr>
        <w:tab/>
      </w:r>
      <w:r>
        <w:rPr>
          <w:rFonts w:hint="eastAsia" w:ascii="宋体" w:hAnsi="宋体"/>
          <w:color w:val="auto"/>
          <w:sz w:val="24"/>
          <w:szCs w:val="20"/>
          <w:highlight w:val="none"/>
        </w:rPr>
        <w:t>两个以上供应商可以组成一个投标联合体，以一个投标人的身份投标。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4.2</w:t>
      </w:r>
      <w:r>
        <w:rPr>
          <w:rFonts w:ascii="宋体" w:hAnsi="宋体"/>
          <w:color w:val="auto"/>
          <w:sz w:val="24"/>
          <w:szCs w:val="20"/>
          <w:highlight w:val="none"/>
        </w:rPr>
        <w:tab/>
      </w:r>
      <w:r>
        <w:rPr>
          <w:rFonts w:hint="eastAsia" w:ascii="宋体" w:hAnsi="宋体"/>
          <w:color w:val="auto"/>
          <w:sz w:val="24"/>
          <w:szCs w:val="20"/>
          <w:highlight w:val="none"/>
        </w:rPr>
        <w:t>以联合体形式参加投标的，联合体各方均应当符合政府采购法第二十三条规定的条件和前面第</w:t>
      </w:r>
      <w:r>
        <w:rPr>
          <w:rFonts w:ascii="宋体" w:hAnsi="宋体"/>
          <w:color w:val="auto"/>
          <w:sz w:val="24"/>
          <w:szCs w:val="20"/>
          <w:highlight w:val="none"/>
        </w:rPr>
        <w:t>3</w:t>
      </w:r>
      <w:r>
        <w:rPr>
          <w:rFonts w:hint="eastAsia" w:ascii="宋体" w:hAnsi="宋体"/>
          <w:color w:val="auto"/>
          <w:sz w:val="24"/>
          <w:szCs w:val="20"/>
          <w:highlight w:val="none"/>
        </w:rPr>
        <w:t>条的内容。根据采购项目的特殊要求规定投标人特定条件的，联合体应符合采购人规定的特定条件。</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4.3</w:t>
      </w:r>
      <w:r>
        <w:rPr>
          <w:rFonts w:ascii="宋体" w:hAnsi="宋体"/>
          <w:color w:val="auto"/>
          <w:sz w:val="24"/>
          <w:szCs w:val="20"/>
          <w:highlight w:val="none"/>
        </w:rPr>
        <w:tab/>
      </w:r>
      <w:r>
        <w:rPr>
          <w:rFonts w:hint="eastAsia" w:ascii="宋体" w:hAnsi="宋体"/>
          <w:color w:val="auto"/>
          <w:sz w:val="24"/>
          <w:szCs w:val="20"/>
          <w:highlight w:val="none"/>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cs="Arial Unicode MS"/>
          <w:color w:val="auto"/>
          <w:sz w:val="24"/>
          <w:highlight w:val="none"/>
        </w:rPr>
      </w:pPr>
      <w:r>
        <w:rPr>
          <w:rFonts w:ascii="宋体" w:hAnsi="宋体" w:cs="Arial Unicode MS"/>
          <w:color w:val="auto"/>
          <w:sz w:val="24"/>
          <w:highlight w:val="none"/>
        </w:rPr>
        <w:t xml:space="preserve">4.4  </w:t>
      </w:r>
      <w:r>
        <w:rPr>
          <w:rFonts w:ascii="宋体" w:hAnsi="宋体" w:cs="Arial Unicode MS"/>
          <w:b/>
          <w:color w:val="auto"/>
          <w:sz w:val="24"/>
          <w:highlight w:val="none"/>
        </w:rPr>
        <w:t xml:space="preserve"> </w:t>
      </w:r>
      <w:r>
        <w:rPr>
          <w:rFonts w:hint="eastAsia" w:ascii="宋体" w:hAnsi="宋体" w:cs="Arial Unicode MS"/>
          <w:b/>
          <w:color w:val="auto"/>
          <w:sz w:val="24"/>
          <w:highlight w:val="none"/>
        </w:rPr>
        <w:t>本项目不接受联合投标体。</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投标保证金</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5.1</w:t>
      </w:r>
      <w:r>
        <w:rPr>
          <w:rFonts w:ascii="宋体" w:hAnsi="宋体"/>
          <w:color w:val="auto"/>
          <w:sz w:val="24"/>
          <w:highlight w:val="none"/>
        </w:rPr>
        <w:tab/>
      </w:r>
      <w:r>
        <w:rPr>
          <w:rFonts w:hint="eastAsia" w:ascii="宋体" w:hAnsi="宋体"/>
          <w:color w:val="auto"/>
          <w:sz w:val="24"/>
          <w:highlight w:val="none"/>
        </w:rPr>
        <w:t>投标保证金的形式：转账</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投标保证金的金额：</w:t>
      </w:r>
      <w:r>
        <w:rPr>
          <w:rFonts w:hint="eastAsia" w:ascii="宋体" w:hAnsi="宋体"/>
          <w:color w:val="auto"/>
          <w:sz w:val="24"/>
          <w:highlight w:val="none"/>
          <w:lang w:val="en-US" w:eastAsia="zh-CN"/>
        </w:rPr>
        <w:t>12000.00</w:t>
      </w:r>
      <w:r>
        <w:rPr>
          <w:rFonts w:hint="eastAsia" w:ascii="宋体" w:hAnsi="宋体"/>
          <w:color w:val="auto"/>
          <w:sz w:val="24"/>
          <w:highlight w:val="none"/>
        </w:rPr>
        <w:t>元(</w:t>
      </w:r>
      <w:r>
        <w:rPr>
          <w:rFonts w:hint="eastAsia" w:ascii="宋体" w:hAnsi="宋体"/>
          <w:color w:val="auto"/>
          <w:sz w:val="24"/>
          <w:highlight w:val="none"/>
          <w:lang w:val="en-US" w:eastAsia="zh-CN"/>
        </w:rPr>
        <w:t>壹万贰仟元整</w:t>
      </w:r>
      <w:r>
        <w:rPr>
          <w:rFonts w:hint="eastAsia" w:ascii="宋体" w:hAnsi="宋体"/>
          <w:color w:val="auto"/>
          <w:sz w:val="24"/>
          <w:highlight w:val="none"/>
        </w:rPr>
        <w:t>)</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投标保证金缴纳账户：</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账户名称：皮山县政府投资交易中心</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帐号：8780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1001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11990</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开户银行：新疆皮山县农村信用合作联社</w:t>
      </w:r>
    </w:p>
    <w:p>
      <w:pPr>
        <w:spacing w:line="360" w:lineRule="auto"/>
        <w:ind w:left="720" w:leftChars="343" w:firstLine="4" w:firstLineChars="2"/>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auto"/>
          <w:sz w:val="24"/>
          <w:highlight w:val="none"/>
        </w:rPr>
        <w:t>注：投标保证金在</w:t>
      </w:r>
      <w:r>
        <w:rPr>
          <w:rFonts w:hint="eastAsia" w:ascii="宋体" w:hAnsi="宋体"/>
          <w:color w:val="auto"/>
          <w:sz w:val="24"/>
          <w:highlight w:val="none"/>
          <w:lang w:val="en-US" w:eastAsia="zh-CN"/>
        </w:rPr>
        <w:t>下载</w:t>
      </w:r>
      <w:r>
        <w:rPr>
          <w:rFonts w:hint="eastAsia" w:ascii="宋体" w:hAnsi="宋体"/>
          <w:color w:val="auto"/>
          <w:sz w:val="24"/>
          <w:highlight w:val="none"/>
        </w:rPr>
        <w:t>招标文件后的第二日，由投标单位的基本账户转至皮山县政府采购办指定账户，保证金截至时</w:t>
      </w:r>
      <w:r>
        <w:rPr>
          <w:rFonts w:hint="eastAsia" w:ascii="宋体" w:hAnsi="宋体"/>
          <w:color w:val="000000" w:themeColor="text1"/>
          <w:sz w:val="24"/>
          <w:highlight w:val="none"/>
          <w14:textFill>
            <w14:solidFill>
              <w14:schemeClr w14:val="tx1"/>
            </w14:solidFill>
          </w14:textFill>
        </w:rPr>
        <w:t>间为</w:t>
      </w:r>
      <w:r>
        <w:rPr>
          <w:rFonts w:hint="eastAsia" w:ascii="宋体" w:hAnsi="宋体"/>
          <w:color w:val="000000" w:themeColor="text1"/>
          <w:sz w:val="24"/>
          <w:highlight w:val="none"/>
          <w:lang w:eastAsia="zh-CN"/>
          <w14:textFill>
            <w14:solidFill>
              <w14:schemeClr w14:val="tx1"/>
            </w14:solidFill>
          </w14:textFill>
        </w:rPr>
        <w:t>2020年05月1</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lang w:eastAsia="zh-CN"/>
          <w14:textFill>
            <w14:solidFill>
              <w14:schemeClr w14:val="tx1"/>
            </w14:solidFill>
          </w14:textFill>
        </w:rPr>
        <w:t>:00（北京时间）</w:t>
      </w:r>
    </w:p>
    <w:p>
      <w:pPr>
        <w:spacing w:line="360" w:lineRule="auto"/>
        <w:rPr>
          <w:rFonts w:ascii="宋体"/>
          <w:color w:val="auto"/>
          <w:sz w:val="24"/>
          <w:highlight w:val="none"/>
        </w:rPr>
      </w:pPr>
      <w:r>
        <w:rPr>
          <w:rFonts w:ascii="宋体" w:hAnsi="宋体"/>
          <w:color w:val="auto"/>
          <w:sz w:val="24"/>
          <w:highlight w:val="none"/>
        </w:rPr>
        <w:t>5.2</w:t>
      </w:r>
      <w:r>
        <w:rPr>
          <w:rFonts w:ascii="宋体" w:hAnsi="宋体"/>
          <w:color w:val="auto"/>
          <w:sz w:val="24"/>
          <w:highlight w:val="none"/>
        </w:rPr>
        <w:tab/>
      </w:r>
      <w:r>
        <w:rPr>
          <w:rFonts w:hint="eastAsia" w:ascii="宋体" w:hAnsi="宋体"/>
          <w:color w:val="auto"/>
          <w:sz w:val="24"/>
          <w:highlight w:val="none"/>
        </w:rPr>
        <w:t>招标人不接受非银行款项以外的有价证券抵押、货物抵押、存单抵押、往来款项抵押等形式作为投标保证金；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5.3</w:t>
      </w:r>
      <w:r>
        <w:rPr>
          <w:rFonts w:ascii="宋体"/>
          <w:color w:val="auto"/>
          <w:sz w:val="24"/>
          <w:highlight w:val="none"/>
        </w:rPr>
        <w:tab/>
      </w:r>
      <w:r>
        <w:rPr>
          <w:rFonts w:hint="eastAsia" w:ascii="宋体" w:hAnsi="宋体"/>
          <w:color w:val="auto"/>
          <w:sz w:val="24"/>
          <w:szCs w:val="20"/>
          <w:highlight w:val="none"/>
        </w:rPr>
        <w:t>联合体投标的，可以由联合体中的一方或者共同提交投标保证金，以一方名义提交投标保证金的，对联合体各方均具有约束力。</w:t>
      </w:r>
      <w:r>
        <w:rPr>
          <w:rFonts w:ascii="宋体" w:hAnsi="宋体"/>
          <w:color w:val="auto"/>
          <w:sz w:val="24"/>
          <w:highlight w:val="none"/>
        </w:rPr>
        <w:t xml:space="preserve"> </w:t>
      </w:r>
    </w:p>
    <w:p>
      <w:pPr>
        <w:spacing w:line="360" w:lineRule="auto"/>
        <w:ind w:left="714" w:leftChars="1" w:hanging="712" w:hangingChars="297"/>
        <w:rPr>
          <w:rFonts w:hint="eastAsia" w:ascii="宋体" w:eastAsia="宋体"/>
          <w:color w:val="auto"/>
          <w:sz w:val="24"/>
          <w:highlight w:val="none"/>
          <w:lang w:eastAsia="zh-CN"/>
        </w:rPr>
      </w:pPr>
      <w:r>
        <w:rPr>
          <w:rFonts w:ascii="宋体" w:hAnsi="宋体"/>
          <w:color w:val="auto"/>
          <w:sz w:val="24"/>
          <w:highlight w:val="none"/>
        </w:rPr>
        <w:t>5.4</w:t>
      </w:r>
      <w:r>
        <w:rPr>
          <w:rFonts w:ascii="宋体"/>
          <w:color w:val="auto"/>
          <w:sz w:val="24"/>
          <w:highlight w:val="none"/>
        </w:rPr>
        <w:tab/>
      </w:r>
      <w:r>
        <w:rPr>
          <w:rFonts w:hint="eastAsia" w:ascii="宋体" w:hAnsi="宋体"/>
          <w:color w:val="auto"/>
          <w:sz w:val="24"/>
          <w:highlight w:val="none"/>
        </w:rPr>
        <w:t>中标人的投标保证金，在签订采购合同后，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个工作日内无息退还</w:t>
      </w:r>
      <w:r>
        <w:rPr>
          <w:rFonts w:hint="eastAsia" w:ascii="宋体" w:hAnsi="宋体"/>
          <w:color w:val="auto"/>
          <w:sz w:val="24"/>
          <w:highlight w:val="none"/>
          <w:lang w:eastAsia="zh-CN"/>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投标有效期</w:t>
      </w:r>
    </w:p>
    <w:p>
      <w:pPr>
        <w:spacing w:line="360" w:lineRule="auto"/>
        <w:ind w:left="714" w:leftChars="1" w:hanging="712" w:hangingChars="297"/>
        <w:rPr>
          <w:rFonts w:ascii="宋体"/>
          <w:color w:val="FF0000"/>
          <w:sz w:val="24"/>
          <w:highlight w:val="none"/>
        </w:rPr>
      </w:pPr>
      <w:r>
        <w:rPr>
          <w:rFonts w:ascii="宋体" w:hAnsi="宋体"/>
          <w:color w:val="auto"/>
          <w:sz w:val="24"/>
          <w:highlight w:val="none"/>
        </w:rPr>
        <w:t>6.1</w:t>
      </w:r>
      <w:r>
        <w:rPr>
          <w:rFonts w:ascii="宋体" w:hAnsi="宋体"/>
          <w:color w:val="auto"/>
          <w:sz w:val="24"/>
          <w:highlight w:val="none"/>
        </w:rPr>
        <w:tab/>
      </w:r>
      <w:r>
        <w:rPr>
          <w:rFonts w:hint="eastAsia" w:ascii="宋体" w:hAnsi="宋体"/>
          <w:color w:val="000000" w:themeColor="text1"/>
          <w:sz w:val="24"/>
          <w:highlight w:val="none"/>
          <w14:textFill>
            <w14:solidFill>
              <w14:schemeClr w14:val="tx1"/>
            </w14:solidFill>
          </w14:textFill>
        </w:rPr>
        <w:t>从投标截止起，投标报价的有效期为</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6.2</w:t>
      </w:r>
      <w:r>
        <w:rPr>
          <w:rFonts w:ascii="宋体" w:hAnsi="宋体"/>
          <w:color w:val="auto"/>
          <w:sz w:val="24"/>
          <w:highlight w:val="none"/>
        </w:rPr>
        <w:tab/>
      </w:r>
      <w:r>
        <w:rPr>
          <w:rFonts w:hint="eastAsia" w:ascii="宋体" w:hAnsi="宋体"/>
          <w:color w:val="auto"/>
          <w:sz w:val="24"/>
          <w:highlight w:val="none"/>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招标文件的澄清</w:t>
      </w:r>
    </w:p>
    <w:p>
      <w:pPr>
        <w:spacing w:line="360" w:lineRule="auto"/>
        <w:ind w:left="714" w:leftChars="1" w:hanging="712" w:hangingChars="297"/>
        <w:rPr>
          <w:rFonts w:ascii="宋体"/>
          <w:b/>
          <w:bCs/>
          <w:color w:val="auto"/>
          <w:sz w:val="24"/>
          <w:highlight w:val="none"/>
        </w:rPr>
      </w:pPr>
      <w:r>
        <w:rPr>
          <w:rFonts w:ascii="宋体" w:hAnsi="宋体"/>
          <w:color w:val="auto"/>
          <w:sz w:val="24"/>
          <w:highlight w:val="none"/>
        </w:rPr>
        <w:t>7.1</w:t>
      </w:r>
      <w:r>
        <w:rPr>
          <w:rFonts w:ascii="宋体" w:hAnsi="宋体"/>
          <w:color w:val="auto"/>
          <w:sz w:val="24"/>
          <w:highlight w:val="none"/>
        </w:rPr>
        <w:tab/>
      </w:r>
      <w:r>
        <w:rPr>
          <w:rFonts w:hint="eastAsia" w:ascii="宋体" w:hAnsi="宋体"/>
          <w:color w:val="auto"/>
          <w:sz w:val="24"/>
          <w:highlight w:val="none"/>
        </w:rPr>
        <w:t>澄清是指招标人对招标文件中的遗漏、词义表述不清或对比较复杂的事项进行说明；</w:t>
      </w:r>
    </w:p>
    <w:p>
      <w:pPr>
        <w:shd w:val="clear" w:fill="FFFFFF" w:themeFill="background1"/>
        <w:spacing w:line="360" w:lineRule="auto"/>
        <w:ind w:left="714" w:leftChars="1" w:hanging="712" w:hangingChars="297"/>
        <w:rPr>
          <w:rFonts w:ascii="宋体"/>
          <w:color w:val="auto"/>
          <w:sz w:val="24"/>
          <w:highlight w:val="none"/>
        </w:rPr>
      </w:pPr>
      <w:r>
        <w:rPr>
          <w:rFonts w:ascii="宋体" w:hAnsi="宋体"/>
          <w:color w:val="auto"/>
          <w:sz w:val="24"/>
          <w:highlight w:val="none"/>
        </w:rPr>
        <w:t>7.2</w:t>
      </w:r>
      <w:r>
        <w:rPr>
          <w:rFonts w:ascii="宋体" w:hAnsi="宋体"/>
          <w:color w:val="auto"/>
          <w:sz w:val="24"/>
          <w:highlight w:val="none"/>
        </w:rPr>
        <w:tab/>
      </w:r>
      <w:r>
        <w:rPr>
          <w:rFonts w:hint="eastAsia" w:ascii="宋体" w:hAnsi="宋体"/>
          <w:color w:val="000000" w:themeColor="text1"/>
          <w:sz w:val="24"/>
          <w:highlight w:val="none"/>
          <w14:textFill>
            <w14:solidFill>
              <w14:schemeClr w14:val="tx1"/>
            </w14:solidFill>
          </w14:textFill>
        </w:rPr>
        <w:t>投标人对招标文件如有疑点，可要求澄清。如对招标文件内容有质疑，投标人应在投标截止10</w:t>
      </w: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前按招标文件中载明的邮箱：</w:t>
      </w:r>
      <w:r>
        <w:rPr>
          <w:rFonts w:hint="eastAsia" w:ascii="宋体" w:hAnsi="宋体"/>
          <w:color w:val="000000" w:themeColor="text1"/>
          <w:sz w:val="24"/>
          <w:highlight w:val="none"/>
          <w:lang w:val="en-US" w:eastAsia="zh-CN"/>
          <w14:textFill>
            <w14:solidFill>
              <w14:schemeClr w14:val="tx1"/>
            </w14:solidFill>
          </w14:textFill>
        </w:rPr>
        <w:t>563093851@qq.com</w:t>
      </w:r>
      <w:r>
        <w:rPr>
          <w:rFonts w:hint="eastAsia" w:ascii="宋体" w:hAnsi="宋体"/>
          <w:color w:val="000000" w:themeColor="text1"/>
          <w:sz w:val="24"/>
          <w:highlight w:val="none"/>
          <w14:textFill>
            <w14:solidFill>
              <w14:schemeClr w14:val="tx1"/>
            </w14:solidFill>
          </w14:textFill>
        </w:rPr>
        <w:t>地址，以</w:t>
      </w:r>
      <w:r>
        <w:rPr>
          <w:rFonts w:hint="eastAsia" w:ascii="宋体" w:hAnsi="宋体"/>
          <w:color w:val="000000" w:themeColor="text1"/>
          <w:sz w:val="24"/>
          <w:highlight w:val="none"/>
          <w:lang w:val="en-US" w:eastAsia="zh-CN"/>
          <w14:textFill>
            <w14:solidFill>
              <w14:schemeClr w14:val="tx1"/>
            </w14:solidFill>
          </w14:textFill>
        </w:rPr>
        <w:t>PDF电子件</w:t>
      </w:r>
      <w:r>
        <w:rPr>
          <w:rFonts w:hint="eastAsia" w:ascii="宋体" w:hAnsi="宋体"/>
          <w:color w:val="000000" w:themeColor="text1"/>
          <w:sz w:val="24"/>
          <w:highlight w:val="none"/>
          <w14:textFill>
            <w14:solidFill>
              <w14:schemeClr w14:val="tx1"/>
            </w14:solidFill>
          </w14:textFill>
        </w:rPr>
        <w:t>形式通知招标人。招标人认为必要时，将（澄清）修改后的公告发布在新疆政府采购网，敬请投标企业及时关注。</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招标文件的修改</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8.1</w:t>
      </w:r>
      <w:r>
        <w:rPr>
          <w:rFonts w:ascii="宋体" w:hAnsi="宋体"/>
          <w:b w:val="0"/>
          <w:bCs w:val="0"/>
          <w:color w:val="auto"/>
          <w:sz w:val="24"/>
          <w:highlight w:val="none"/>
        </w:rPr>
        <w:tab/>
      </w:r>
      <w:r>
        <w:rPr>
          <w:rFonts w:hint="eastAsia" w:ascii="宋体" w:hAnsi="宋体"/>
          <w:b w:val="0"/>
          <w:bCs w:val="0"/>
          <w:color w:val="auto"/>
          <w:sz w:val="24"/>
          <w:highlight w:val="none"/>
        </w:rPr>
        <w:t>在投标截止前，招标人可主动地或在解答投标人提出的澄清问题时对招标文件进行修改；</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8.2</w:t>
      </w:r>
      <w:r>
        <w:rPr>
          <w:rFonts w:ascii="宋体" w:hAnsi="宋体"/>
          <w:b w:val="0"/>
          <w:bCs w:val="0"/>
          <w:color w:val="auto"/>
          <w:sz w:val="24"/>
          <w:highlight w:val="none"/>
        </w:rPr>
        <w:tab/>
      </w:r>
      <w:r>
        <w:rPr>
          <w:rFonts w:hint="eastAsia" w:ascii="宋体" w:hAnsi="宋体"/>
          <w:b w:val="0"/>
          <w:bCs w:val="0"/>
          <w:color w:val="auto"/>
          <w:sz w:val="24"/>
          <w:highlight w:val="none"/>
        </w:rPr>
        <w:t>招标文件的修改内容称为修改文件，是招标文件的组成部分。如有修改文件，招标人应当在提交投标文件截止时间十五日前，在新疆政府采购网</w:t>
      </w:r>
      <w:r>
        <w:rPr>
          <w:rFonts w:hint="eastAsia" w:ascii="宋体" w:hAnsi="宋体"/>
          <w:b w:val="0"/>
          <w:bCs w:val="0"/>
          <w:color w:val="auto"/>
          <w:sz w:val="24"/>
          <w:highlight w:val="none"/>
          <w:lang w:eastAsia="zh-CN"/>
        </w:rPr>
        <w:t>上</w:t>
      </w:r>
      <w:r>
        <w:rPr>
          <w:rFonts w:hint="eastAsia" w:ascii="宋体" w:hAnsi="宋体"/>
          <w:b w:val="0"/>
          <w:bCs w:val="0"/>
          <w:color w:val="auto"/>
          <w:sz w:val="24"/>
          <w:highlight w:val="none"/>
        </w:rPr>
        <w:t>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8.3</w:t>
      </w:r>
      <w:r>
        <w:rPr>
          <w:rFonts w:ascii="宋体" w:hAnsi="宋体"/>
          <w:b w:val="0"/>
          <w:bCs w:val="0"/>
          <w:color w:val="auto"/>
          <w:sz w:val="24"/>
          <w:highlight w:val="none"/>
        </w:rPr>
        <w:tab/>
      </w:r>
      <w:r>
        <w:rPr>
          <w:rFonts w:hint="eastAsia" w:ascii="宋体" w:hAnsi="宋体"/>
          <w:b w:val="0"/>
          <w:bCs w:val="0"/>
          <w:color w:val="auto"/>
          <w:sz w:val="24"/>
          <w:highlight w:val="none"/>
        </w:rPr>
        <w:t>为使投标人有充分时间对招标文件进行研究，招标人可酌情延长投标截止日期，但至少应当在提交投标文件的截止时间三日前，将变更时间书面通知所有招标文件收受人，并在新疆政府采购网</w:t>
      </w:r>
      <w:r>
        <w:rPr>
          <w:rFonts w:hint="eastAsia" w:ascii="宋体" w:hAnsi="宋体"/>
          <w:b w:val="0"/>
          <w:bCs w:val="0"/>
          <w:color w:val="auto"/>
          <w:sz w:val="24"/>
          <w:highlight w:val="none"/>
          <w:lang w:eastAsia="zh-CN"/>
        </w:rPr>
        <w:t>上</w:t>
      </w:r>
      <w:r>
        <w:rPr>
          <w:rFonts w:hint="eastAsia" w:ascii="宋体" w:hAnsi="宋体"/>
          <w:b w:val="0"/>
          <w:bCs w:val="0"/>
          <w:color w:val="auto"/>
          <w:sz w:val="24"/>
          <w:highlight w:val="none"/>
        </w:rPr>
        <w:t>发布变更公告。</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投标费用</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9.1</w:t>
      </w:r>
      <w:r>
        <w:rPr>
          <w:rFonts w:ascii="宋体" w:hAnsi="宋体"/>
          <w:color w:val="auto"/>
          <w:sz w:val="24"/>
          <w:highlight w:val="none"/>
        </w:rPr>
        <w:tab/>
      </w:r>
      <w:r>
        <w:rPr>
          <w:rFonts w:hint="eastAsia" w:ascii="宋体" w:hAnsi="宋体"/>
          <w:color w:val="auto"/>
          <w:sz w:val="24"/>
          <w:highlight w:val="none"/>
        </w:rPr>
        <w:t>投标人参加投标，无论投标结果如何，投标人自行承担所有与投标有关的全部费用</w:t>
      </w:r>
    </w:p>
    <w:p>
      <w:pPr>
        <w:spacing w:line="360" w:lineRule="auto"/>
        <w:rPr>
          <w:rFonts w:hint="eastAsia"/>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本项目招标文件</w:t>
      </w:r>
      <w:r>
        <w:rPr>
          <w:rFonts w:hint="eastAsia"/>
          <w:color w:val="auto"/>
          <w:sz w:val="24"/>
          <w:highlight w:val="none"/>
        </w:rPr>
        <w:t>每份售价人民币</w:t>
      </w:r>
      <w:r>
        <w:rPr>
          <w:color w:val="auto"/>
          <w:sz w:val="24"/>
          <w:highlight w:val="none"/>
        </w:rPr>
        <w:t>200.00</w:t>
      </w:r>
      <w:r>
        <w:rPr>
          <w:rFonts w:hint="eastAsia"/>
          <w:color w:val="auto"/>
          <w:sz w:val="24"/>
          <w:highlight w:val="none"/>
        </w:rPr>
        <w:t>元</w:t>
      </w:r>
      <w:r>
        <w:rPr>
          <w:rFonts w:hint="eastAsia"/>
          <w:color w:val="auto"/>
          <w:sz w:val="24"/>
          <w:highlight w:val="none"/>
          <w:lang w:val="en-US" w:eastAsia="zh-CN"/>
        </w:rPr>
        <w:t xml:space="preserve">/份 </w:t>
      </w:r>
      <w:r>
        <w:rPr>
          <w:rFonts w:hint="eastAsia"/>
          <w:color w:val="auto"/>
          <w:sz w:val="24"/>
          <w:highlight w:val="none"/>
        </w:rPr>
        <w:t>（贰佰元整）</w:t>
      </w:r>
      <w:r>
        <w:rPr>
          <w:rFonts w:hint="eastAsia"/>
          <w:color w:val="auto"/>
          <w:sz w:val="24"/>
          <w:highlight w:val="none"/>
          <w:lang w:eastAsia="zh-CN"/>
        </w:rPr>
        <w:t>（</w:t>
      </w:r>
      <w:r>
        <w:rPr>
          <w:rFonts w:hint="eastAsia"/>
          <w:color w:val="auto"/>
          <w:sz w:val="24"/>
          <w:highlight w:val="none"/>
          <w:lang w:val="en-US" w:eastAsia="zh-CN"/>
        </w:rPr>
        <w:t>开标现场缴纳招标文件费</w:t>
      </w:r>
      <w:r>
        <w:rPr>
          <w:rFonts w:hint="eastAsia"/>
          <w:color w:val="auto"/>
          <w:sz w:val="24"/>
          <w:highlight w:val="none"/>
          <w:lang w:eastAsia="zh-CN"/>
        </w:rPr>
        <w:t>）</w:t>
      </w:r>
      <w:r>
        <w:rPr>
          <w:rFonts w:hint="eastAsia"/>
          <w:color w:val="auto"/>
          <w:sz w:val="24"/>
          <w:highlight w:val="none"/>
        </w:rPr>
        <w:t>。</w:t>
      </w:r>
    </w:p>
    <w:p>
      <w:pPr>
        <w:spacing w:line="360" w:lineRule="auto"/>
        <w:rPr>
          <w:rFonts w:asci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rPr>
        <w:t>本项目招标代理费</w:t>
      </w:r>
      <w:r>
        <w:rPr>
          <w:rFonts w:hint="eastAsia" w:ascii="宋体" w:hAnsi="宋体"/>
          <w:color w:val="auto"/>
          <w:sz w:val="24"/>
          <w:highlight w:val="none"/>
          <w:lang w:val="en-US" w:eastAsia="zh-CN"/>
        </w:rPr>
        <w:t>与采购人签订合同约定</w:t>
      </w:r>
      <w:r>
        <w:rPr>
          <w:rFonts w:hint="eastAsia" w:ascii="宋体" w:hAnsi="宋体"/>
          <w:color w:val="auto"/>
          <w:sz w:val="24"/>
          <w:highlight w:val="none"/>
        </w:rPr>
        <w:t>。</w:t>
      </w:r>
    </w:p>
    <w:p>
      <w:pPr>
        <w:spacing w:line="360" w:lineRule="auto"/>
        <w:ind w:left="482" w:leftChars="1" w:hanging="480" w:hanging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应</w:t>
      </w:r>
      <w:r>
        <w:rPr>
          <w:rFonts w:hint="eastAsia" w:ascii="宋体" w:hAnsi="宋体"/>
          <w:color w:val="auto"/>
          <w:sz w:val="24"/>
          <w:highlight w:val="none"/>
          <w:lang w:val="en-US" w:eastAsia="zh-CN"/>
        </w:rPr>
        <w:t>招</w:t>
      </w:r>
      <w:r>
        <w:rPr>
          <w:rFonts w:hint="eastAsia" w:ascii="宋体" w:hAnsi="宋体"/>
          <w:color w:val="auto"/>
          <w:sz w:val="24"/>
          <w:highlight w:val="none"/>
        </w:rPr>
        <w:t>标人要求不组织踏勘项目现场。</w:t>
      </w:r>
    </w:p>
    <w:p>
      <w:pPr>
        <w:numPr>
          <w:ilvl w:val="0"/>
          <w:numId w:val="0"/>
        </w:numPr>
        <w:spacing w:line="360" w:lineRule="auto"/>
        <w:ind w:left="723" w:leftChars="0" w:hanging="723" w:hangingChars="300"/>
        <w:jc w:val="left"/>
        <w:rPr>
          <w:rFonts w:asci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lang w:val="en-US" w:eastAsia="zh-CN"/>
        </w:rPr>
        <w:t xml:space="preserve">5  </w:t>
      </w:r>
      <w:r>
        <w:rPr>
          <w:rFonts w:hint="eastAsia" w:ascii="宋体" w:hAnsi="宋体"/>
          <w:b/>
          <w:color w:val="auto"/>
          <w:sz w:val="24"/>
          <w:highlight w:val="none"/>
        </w:rPr>
        <w:t>本项目采购概算价为：</w:t>
      </w:r>
      <w:r>
        <w:rPr>
          <w:rFonts w:hint="eastAsia" w:ascii="宋体" w:hAnsi="宋体"/>
          <w:b/>
          <w:color w:val="auto"/>
          <w:sz w:val="24"/>
          <w:highlight w:val="none"/>
          <w:lang w:val="en-US" w:eastAsia="zh-CN"/>
        </w:rPr>
        <w:t>61.06万元</w:t>
      </w:r>
      <w:r>
        <w:rPr>
          <w:rFonts w:hint="eastAsia" w:ascii="宋体" w:hAnsi="宋体"/>
          <w:b/>
          <w:color w:val="auto"/>
          <w:sz w:val="24"/>
          <w:highlight w:val="none"/>
          <w:lang w:eastAsia="zh-CN"/>
        </w:rPr>
        <w:t>，</w:t>
      </w:r>
      <w:r>
        <w:rPr>
          <w:rFonts w:hint="eastAsia" w:ascii="宋体" w:hAnsi="宋体"/>
          <w:b/>
          <w:color w:val="auto"/>
          <w:sz w:val="24"/>
          <w:highlight w:val="none"/>
        </w:rPr>
        <w:t>投标人投标报价超出此采购概算价废标处理。</w:t>
      </w:r>
      <w:r>
        <w:rPr>
          <w:rFonts w:ascii="宋体" w:hAnsi="宋体"/>
          <w:b/>
          <w:color w:val="auto"/>
          <w:sz w:val="24"/>
          <w:highlight w:val="none"/>
        </w:rPr>
        <w:br w:type="page"/>
      </w:r>
      <w:r>
        <w:rPr>
          <w:rFonts w:hint="eastAsia" w:ascii="宋体" w:hAnsi="宋体"/>
          <w:b/>
          <w:color w:val="auto"/>
          <w:sz w:val="24"/>
          <w:highlight w:val="none"/>
          <w:lang w:val="en-US" w:eastAsia="zh-CN"/>
        </w:rPr>
        <w:t xml:space="preserve">               </w:t>
      </w:r>
      <w:r>
        <w:rPr>
          <w:rFonts w:ascii="宋体" w:hAnsi="宋体"/>
          <w:b/>
          <w:color w:val="auto"/>
          <w:sz w:val="24"/>
          <w:highlight w:val="none"/>
        </w:rPr>
        <w:t xml:space="preserve">B   </w:t>
      </w:r>
      <w:r>
        <w:rPr>
          <w:rFonts w:hint="eastAsia" w:ascii="宋体" w:hAnsi="宋体"/>
          <w:b/>
          <w:color w:val="auto"/>
          <w:sz w:val="24"/>
          <w:highlight w:val="none"/>
        </w:rPr>
        <w:t>投标文件的编写</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一般要求</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10.1</w:t>
      </w:r>
      <w:r>
        <w:rPr>
          <w:rFonts w:ascii="宋体" w:hAnsi="宋体"/>
          <w:b w:val="0"/>
          <w:bCs w:val="0"/>
          <w:color w:val="auto"/>
          <w:sz w:val="24"/>
          <w:highlight w:val="none"/>
        </w:rPr>
        <w:tab/>
      </w:r>
      <w:r>
        <w:rPr>
          <w:rFonts w:hint="eastAsia" w:ascii="宋体" w:hAnsi="宋体"/>
          <w:b w:val="0"/>
          <w:bCs w:val="0"/>
          <w:color w:val="auto"/>
          <w:sz w:val="24"/>
          <w:highlight w:val="none"/>
        </w:rPr>
        <w:t>投标人应仔细阅读招标文件的所有内容，按招标文件的要求提供投标文件，并保证所提供的全部资料真实有效；</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10.2</w:t>
      </w:r>
      <w:r>
        <w:rPr>
          <w:rFonts w:ascii="宋体" w:hAnsi="宋体"/>
          <w:b w:val="0"/>
          <w:bCs w:val="0"/>
          <w:color w:val="auto"/>
          <w:sz w:val="24"/>
          <w:highlight w:val="none"/>
        </w:rPr>
        <w:tab/>
      </w:r>
      <w:r>
        <w:rPr>
          <w:rFonts w:hint="eastAsia" w:ascii="宋体" w:hAnsi="宋体"/>
          <w:b w:val="0"/>
          <w:bCs w:val="0"/>
          <w:color w:val="auto"/>
          <w:sz w:val="24"/>
          <w:highlight w:val="none"/>
        </w:rPr>
        <w:t>投标文件的语言文字为中文汉字，外语或少数民族文字，必须译成中文汉字；</w:t>
      </w:r>
    </w:p>
    <w:p>
      <w:pPr>
        <w:spacing w:line="360" w:lineRule="auto"/>
        <w:ind w:left="714" w:leftChars="1" w:hanging="712" w:hangingChars="297"/>
        <w:rPr>
          <w:rFonts w:hint="eastAsia" w:ascii="宋体" w:hAnsi="宋体"/>
          <w:b w:val="0"/>
          <w:bCs w:val="0"/>
          <w:color w:val="auto"/>
          <w:sz w:val="24"/>
          <w:highlight w:val="none"/>
        </w:rPr>
      </w:pPr>
      <w:r>
        <w:rPr>
          <w:rFonts w:ascii="宋体" w:hAnsi="宋体"/>
          <w:b w:val="0"/>
          <w:bCs w:val="0"/>
          <w:color w:val="auto"/>
          <w:sz w:val="24"/>
          <w:highlight w:val="none"/>
        </w:rPr>
        <w:t>10.3</w:t>
      </w:r>
      <w:r>
        <w:rPr>
          <w:rFonts w:ascii="宋体" w:hAnsi="宋体"/>
          <w:b w:val="0"/>
          <w:bCs w:val="0"/>
          <w:color w:val="auto"/>
          <w:sz w:val="24"/>
          <w:highlight w:val="none"/>
        </w:rPr>
        <w:tab/>
      </w:r>
      <w:r>
        <w:rPr>
          <w:rFonts w:hint="eastAsia" w:ascii="宋体" w:hAnsi="宋体"/>
          <w:b w:val="0"/>
          <w:bCs w:val="0"/>
          <w:color w:val="auto"/>
          <w:sz w:val="24"/>
          <w:highlight w:val="none"/>
        </w:rPr>
        <w:t>投标文件的书面内容不得有模糊不清、加行、涂抹或改写；</w:t>
      </w:r>
    </w:p>
    <w:p>
      <w:pPr>
        <w:spacing w:line="360" w:lineRule="auto"/>
        <w:ind w:left="714" w:leftChars="1" w:hanging="712" w:hangingChars="297"/>
        <w:rPr>
          <w:rFonts w:hint="eastAsia" w:ascii="宋体" w:hAnsi="宋体"/>
          <w:b w:val="0"/>
          <w:bCs w:val="0"/>
          <w:color w:val="auto"/>
          <w:sz w:val="24"/>
          <w:highlight w:val="none"/>
        </w:rPr>
      </w:pPr>
      <w:r>
        <w:rPr>
          <w:rFonts w:hint="eastAsia" w:ascii="宋体" w:hAnsi="宋体"/>
          <w:b w:val="0"/>
          <w:bCs w:val="0"/>
          <w:color w:val="auto"/>
          <w:sz w:val="24"/>
          <w:highlight w:val="none"/>
        </w:rPr>
        <w:t>10.4</w:t>
      </w:r>
      <w:r>
        <w:rPr>
          <w:rFonts w:hint="eastAsia" w:ascii="宋体" w:hAnsi="宋体"/>
          <w:b w:val="0"/>
          <w:bCs w:val="0"/>
          <w:color w:val="auto"/>
          <w:sz w:val="24"/>
          <w:highlight w:val="none"/>
        </w:rPr>
        <w:tab/>
      </w:r>
      <w:r>
        <w:rPr>
          <w:rFonts w:hint="eastAsia" w:ascii="宋体" w:hAnsi="宋体"/>
          <w:b w:val="0"/>
          <w:bCs w:val="0"/>
          <w:color w:val="auto"/>
          <w:sz w:val="24"/>
          <w:highlight w:val="none"/>
        </w:rPr>
        <w:t>投标文件纸质版一套（包括资格类文件和投标主要文件）：一式伍份（正本1份、副本</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份）电子版一套（与纸质版相一致）：U盘一份。</w:t>
      </w:r>
    </w:p>
    <w:p>
      <w:pPr>
        <w:spacing w:line="360" w:lineRule="auto"/>
        <w:ind w:left="714" w:leftChars="1" w:hanging="712" w:hangingChars="297"/>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rPr>
        <w:t>11．</w:t>
      </w:r>
      <w:r>
        <w:rPr>
          <w:rFonts w:hint="eastAsia" w:ascii="宋体" w:hAnsi="宋体"/>
          <w:b w:val="0"/>
          <w:bCs w:val="0"/>
          <w:color w:val="auto"/>
          <w:sz w:val="24"/>
          <w:highlight w:val="none"/>
        </w:rPr>
        <w:tab/>
      </w:r>
      <w:r>
        <w:rPr>
          <w:rFonts w:hint="eastAsia" w:ascii="宋体" w:hAnsi="宋体"/>
          <w:b w:val="0"/>
          <w:bCs w:val="0"/>
          <w:color w:val="auto"/>
          <w:sz w:val="24"/>
          <w:highlight w:val="none"/>
          <w:lang w:val="en-US" w:eastAsia="zh-CN"/>
        </w:rPr>
        <w:t>投标文件由以下部分构成</w:t>
      </w:r>
    </w:p>
    <w:p>
      <w:pPr>
        <w:spacing w:line="360" w:lineRule="auto"/>
        <w:ind w:left="714" w:leftChars="1" w:hanging="712" w:hangingChars="297"/>
        <w:rPr>
          <w:rFonts w:ascii="宋体"/>
          <w:b/>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rPr>
        <w:tab/>
      </w:r>
      <w:r>
        <w:rPr>
          <w:rFonts w:hint="eastAsia" w:ascii="宋体" w:hAnsi="宋体"/>
          <w:color w:val="auto"/>
          <w:sz w:val="24"/>
          <w:highlight w:val="none"/>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签字盖章后</w:t>
      </w:r>
      <w:r>
        <w:rPr>
          <w:rFonts w:hint="eastAsia" w:ascii="宋体" w:hAnsi="宋体"/>
          <w:b/>
          <w:color w:val="auto"/>
          <w:sz w:val="24"/>
          <w:highlight w:val="none"/>
        </w:rPr>
        <w:t>，将投标文件采用</w:t>
      </w:r>
      <w:r>
        <w:rPr>
          <w:rFonts w:hint="eastAsia" w:ascii="宋体" w:hAnsi="宋体"/>
          <w:b/>
          <w:color w:val="auto"/>
          <w:sz w:val="24"/>
          <w:highlight w:val="none"/>
          <w:u w:val="single"/>
        </w:rPr>
        <w:t>死页胶装方式</w:t>
      </w:r>
      <w:r>
        <w:rPr>
          <w:rFonts w:hint="eastAsia" w:ascii="宋体" w:hAnsi="宋体"/>
          <w:b/>
          <w:color w:val="auto"/>
          <w:sz w:val="24"/>
          <w:highlight w:val="none"/>
        </w:rPr>
        <w:t>装订成册</w:t>
      </w:r>
      <w:r>
        <w:rPr>
          <w:rFonts w:ascii="宋体"/>
          <w:b/>
          <w:color w:val="auto"/>
          <w:sz w:val="24"/>
          <w:highlight w:val="none"/>
        </w:rPr>
        <w:t>,</w:t>
      </w:r>
      <w:r>
        <w:rPr>
          <w:rFonts w:hint="eastAsia" w:ascii="宋体" w:hAnsi="宋体"/>
          <w:b/>
          <w:color w:val="auto"/>
          <w:sz w:val="24"/>
          <w:highlight w:val="none"/>
        </w:rPr>
        <w:t>装订应牢固、不易拆散和换页，不得采用活页装订，否则按无效标处理。</w:t>
      </w:r>
    </w:p>
    <w:p>
      <w:pPr>
        <w:spacing w:line="360" w:lineRule="auto"/>
        <w:ind w:left="718" w:leftChars="1" w:hanging="716" w:hangingChars="297"/>
        <w:rPr>
          <w:rFonts w:ascii="宋体"/>
          <w:b/>
          <w:color w:val="auto"/>
          <w:sz w:val="24"/>
          <w:highlight w:val="none"/>
        </w:rPr>
      </w:pP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报价</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12.1</w:t>
      </w:r>
      <w:r>
        <w:rPr>
          <w:rFonts w:ascii="宋体" w:hAnsi="宋体"/>
          <w:color w:val="auto"/>
          <w:sz w:val="24"/>
          <w:highlight w:val="none"/>
        </w:rPr>
        <w:tab/>
      </w:r>
      <w:r>
        <w:rPr>
          <w:rFonts w:hint="eastAsia" w:ascii="宋体" w:hAnsi="宋体"/>
          <w:color w:val="auto"/>
          <w:sz w:val="24"/>
          <w:highlight w:val="none"/>
        </w:rPr>
        <w:t>除招标文件中另有规定外，计量单位为我国法定计量单位；</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12.2</w:t>
      </w:r>
      <w:r>
        <w:rPr>
          <w:rFonts w:ascii="宋体" w:hAnsi="宋体"/>
          <w:color w:val="auto"/>
          <w:sz w:val="24"/>
          <w:highlight w:val="none"/>
        </w:rPr>
        <w:tab/>
      </w:r>
      <w:r>
        <w:rPr>
          <w:rFonts w:hint="eastAsia" w:ascii="宋体" w:hAnsi="宋体"/>
          <w:color w:val="auto"/>
          <w:sz w:val="24"/>
          <w:highlight w:val="none"/>
        </w:rPr>
        <w:t>投标报价、货款一律使用人民币，以“元”为单位；</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auto"/>
          <w:sz w:val="24"/>
          <w:highlight w:val="none"/>
        </w:rPr>
        <w:t>12.3</w:t>
      </w:r>
      <w:r>
        <w:rPr>
          <w:rFonts w:ascii="宋体" w:hAnsi="宋体"/>
          <w:color w:val="auto"/>
          <w:sz w:val="24"/>
          <w:highlight w:val="none"/>
        </w:rPr>
        <w:tab/>
      </w:r>
      <w:r>
        <w:rPr>
          <w:rFonts w:hint="eastAsia" w:ascii="宋体" w:hAnsi="宋体"/>
          <w:b/>
          <w:color w:val="auto"/>
          <w:sz w:val="24"/>
          <w:highlight w:val="none"/>
        </w:rPr>
        <w:t>投标报价</w:t>
      </w:r>
      <w:r>
        <w:rPr>
          <w:rFonts w:hint="eastAsia" w:ascii="宋体" w:hAnsi="宋体"/>
          <w:color w:val="000000" w:themeColor="text1"/>
          <w:sz w:val="24"/>
          <w:highlight w:val="none"/>
          <w14:textFill>
            <w14:solidFill>
              <w14:schemeClr w14:val="tx1"/>
            </w14:solidFill>
          </w14:textFill>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12.4</w:t>
      </w:r>
      <w:r>
        <w:rPr>
          <w:rFonts w:ascii="宋体" w:hAnsi="宋体"/>
          <w:color w:val="auto"/>
          <w:sz w:val="24"/>
          <w:highlight w:val="none"/>
        </w:rPr>
        <w:tab/>
      </w:r>
      <w:r>
        <w:rPr>
          <w:rFonts w:hint="eastAsia" w:ascii="宋体" w:hAnsi="宋体"/>
          <w:b/>
          <w:bCs/>
          <w:color w:val="auto"/>
          <w:sz w:val="24"/>
          <w:highlight w:val="none"/>
        </w:rPr>
        <w:t>投标人对每一标的只允许有一个报价</w:t>
      </w:r>
      <w:r>
        <w:rPr>
          <w:rFonts w:hint="eastAsia" w:ascii="宋体" w:hAnsi="宋体"/>
          <w:color w:val="auto"/>
          <w:sz w:val="24"/>
          <w:highlight w:val="none"/>
        </w:rPr>
        <w:t>，如有优惠折扣等，即在投标承诺书中注明，并做到投标承诺书的总价与投标报价表中的总价一致；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12.5</w:t>
      </w:r>
      <w:r>
        <w:rPr>
          <w:rFonts w:ascii="宋体" w:hAnsi="宋体"/>
          <w:color w:val="auto"/>
          <w:sz w:val="24"/>
          <w:highlight w:val="none"/>
        </w:rPr>
        <w:tab/>
      </w:r>
      <w:r>
        <w:rPr>
          <w:rFonts w:hint="eastAsia" w:ascii="宋体" w:hAnsi="宋体"/>
          <w:color w:val="auto"/>
          <w:sz w:val="24"/>
          <w:highlight w:val="none"/>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投标文件的签署及规定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13.1</w:t>
      </w:r>
      <w:r>
        <w:rPr>
          <w:rFonts w:ascii="宋体" w:hAnsi="宋体"/>
          <w:color w:val="auto"/>
          <w:sz w:val="24"/>
          <w:highlight w:val="none"/>
        </w:rPr>
        <w:tab/>
      </w:r>
      <w:r>
        <w:rPr>
          <w:rFonts w:hint="eastAsia" w:ascii="宋体" w:hAnsi="宋体"/>
          <w:color w:val="auto"/>
          <w:sz w:val="24"/>
          <w:highlight w:val="none"/>
        </w:rPr>
        <w:t>投标人应印制投标文件</w:t>
      </w:r>
      <w:r>
        <w:rPr>
          <w:rFonts w:hint="eastAsia" w:ascii="宋体" w:hAnsi="宋体"/>
          <w:b/>
          <w:color w:val="auto"/>
          <w:sz w:val="24"/>
          <w:highlight w:val="none"/>
        </w:rPr>
        <w:t>正本壹份、副本肆份</w:t>
      </w:r>
      <w:r>
        <w:rPr>
          <w:rFonts w:hint="eastAsia" w:ascii="宋体" w:hAnsi="宋体"/>
          <w:color w:val="auto"/>
          <w:sz w:val="24"/>
          <w:highlight w:val="none"/>
        </w:rPr>
        <w:t>。每一份投标文件注明“正本”或“副本”字样。一旦正本与副本有差异，以正本为准。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13.2</w:t>
      </w:r>
      <w:r>
        <w:rPr>
          <w:rFonts w:ascii="宋体" w:hAnsi="宋体"/>
          <w:color w:val="auto"/>
          <w:sz w:val="24"/>
          <w:highlight w:val="none"/>
        </w:rPr>
        <w:tab/>
      </w:r>
      <w:r>
        <w:rPr>
          <w:rFonts w:hint="eastAsia" w:ascii="宋体" w:hAnsi="宋体"/>
          <w:color w:val="auto"/>
          <w:sz w:val="24"/>
          <w:highlight w:val="none"/>
        </w:rPr>
        <w:t>投标人如在招标文件提供的格式样本上或格式样本复印件上填写数据和文字作为投标书的，其投标将被拒绝。</w:t>
      </w:r>
    </w:p>
    <w:p>
      <w:pPr>
        <w:spacing w:line="360" w:lineRule="auto"/>
        <w:ind w:left="714" w:leftChars="1" w:hanging="712" w:hangingChars="297"/>
        <w:jc w:val="center"/>
        <w:rPr>
          <w:rFonts w:hint="eastAsia" w:ascii="宋体" w:hAnsi="宋体"/>
          <w:color w:val="auto"/>
          <w:sz w:val="24"/>
          <w:highlight w:val="none"/>
        </w:rPr>
      </w:pPr>
      <w:r>
        <w:rPr>
          <w:rFonts w:ascii="宋体" w:hAnsi="宋体"/>
          <w:color w:val="auto"/>
          <w:sz w:val="24"/>
          <w:highlight w:val="none"/>
        </w:rPr>
        <w:t>13.3</w:t>
      </w:r>
      <w:r>
        <w:rPr>
          <w:rFonts w:ascii="宋体" w:hAnsi="宋体"/>
          <w:color w:val="auto"/>
          <w:sz w:val="24"/>
          <w:highlight w:val="none"/>
        </w:rPr>
        <w:tab/>
      </w:r>
      <w:r>
        <w:rPr>
          <w:rFonts w:hint="eastAsia" w:ascii="宋体" w:hAnsi="宋体"/>
          <w:color w:val="auto"/>
          <w:sz w:val="24"/>
          <w:highlight w:val="none"/>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C   </w:t>
      </w:r>
      <w:r>
        <w:rPr>
          <w:rFonts w:hint="eastAsia" w:ascii="宋体" w:hAnsi="宋体"/>
          <w:b/>
          <w:color w:val="auto"/>
          <w:sz w:val="24"/>
          <w:highlight w:val="none"/>
        </w:rPr>
        <w:t>投标文件的递交</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投标文件的密封和标记</w:t>
      </w:r>
    </w:p>
    <w:p>
      <w:pPr>
        <w:spacing w:line="360" w:lineRule="auto"/>
        <w:ind w:left="714" w:leftChars="1" w:hanging="712" w:hangingChars="297"/>
        <w:jc w:val="left"/>
        <w:rPr>
          <w:rFonts w:hint="eastAsia" w:ascii="宋体" w:hAnsi="宋体"/>
          <w:color w:val="auto"/>
          <w:sz w:val="24"/>
          <w:highlight w:val="none"/>
        </w:rPr>
      </w:pPr>
      <w:r>
        <w:rPr>
          <w:rFonts w:hint="eastAsia" w:ascii="宋体" w:hAnsi="宋体"/>
          <w:color w:val="auto"/>
          <w:sz w:val="24"/>
          <w:highlight w:val="none"/>
        </w:rPr>
        <w:t>14.1</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投标人应将投标文件“正本”、” 副本”、</w:t>
      </w:r>
      <w:r>
        <w:rPr>
          <w:rFonts w:hint="eastAsia" w:ascii="宋体" w:hAnsi="宋体"/>
          <w:color w:val="auto"/>
          <w:sz w:val="24"/>
          <w:highlight w:val="none"/>
          <w:lang w:eastAsia="zh-CN"/>
        </w:rPr>
        <w:t>“各类证件</w:t>
      </w:r>
      <w:r>
        <w:rPr>
          <w:rFonts w:hint="eastAsia" w:ascii="宋体" w:hAnsi="宋体"/>
          <w:color w:val="auto"/>
          <w:sz w:val="24"/>
          <w:highlight w:val="none"/>
          <w:lang w:val="en-US" w:eastAsia="zh-CN"/>
        </w:rPr>
        <w:t>原件及复印件</w:t>
      </w:r>
      <w:r>
        <w:rPr>
          <w:rFonts w:hint="eastAsia" w:ascii="宋体" w:hAnsi="宋体"/>
          <w:color w:val="auto"/>
          <w:sz w:val="24"/>
          <w:highlight w:val="none"/>
          <w:lang w:eastAsia="zh-CN"/>
        </w:rPr>
        <w:t>”</w:t>
      </w:r>
      <w:r>
        <w:rPr>
          <w:rFonts w:hint="eastAsia" w:ascii="宋体" w:hAnsi="宋体"/>
          <w:color w:val="auto"/>
          <w:sz w:val="24"/>
          <w:highlight w:val="none"/>
        </w:rPr>
        <w:t>分别密封，在密封袋上注明项目名称、单位名称、地址、邮政编码、联系人、联系电话及正本”、” 副本”、</w:t>
      </w:r>
      <w:r>
        <w:rPr>
          <w:rFonts w:hint="eastAsia" w:ascii="宋体" w:hAnsi="宋体"/>
          <w:color w:val="auto"/>
          <w:sz w:val="24"/>
          <w:highlight w:val="none"/>
          <w:lang w:eastAsia="zh-CN"/>
        </w:rPr>
        <w:t>“各类证件</w:t>
      </w:r>
      <w:r>
        <w:rPr>
          <w:rFonts w:hint="eastAsia" w:ascii="宋体" w:hAnsi="宋体"/>
          <w:color w:val="auto"/>
          <w:sz w:val="24"/>
          <w:highlight w:val="none"/>
          <w:lang w:val="en-US" w:eastAsia="zh-CN"/>
        </w:rPr>
        <w:t>原件及复印件</w:t>
      </w:r>
      <w:r>
        <w:rPr>
          <w:rFonts w:hint="eastAsia" w:ascii="宋体" w:hAnsi="宋体"/>
          <w:color w:val="auto"/>
          <w:sz w:val="24"/>
          <w:highlight w:val="none"/>
          <w:lang w:eastAsia="zh-CN"/>
        </w:rPr>
        <w:t>”</w:t>
      </w:r>
      <w:r>
        <w:rPr>
          <w:rFonts w:hint="eastAsia" w:ascii="宋体" w:hAnsi="宋体"/>
          <w:color w:val="auto"/>
          <w:sz w:val="24"/>
          <w:highlight w:val="none"/>
        </w:rPr>
        <w:t>等字样，密封袋须加盖法人公章或投标专用章以及法定代表人或委托代理人印章，并应确保密封完好，加盖骑缝章。</w:t>
      </w:r>
      <w:r>
        <w:rPr>
          <w:rFonts w:hint="eastAsia" w:ascii="宋体" w:hAnsi="宋体"/>
          <w:color w:val="auto"/>
          <w:sz w:val="24"/>
          <w:highlight w:val="none"/>
          <w:lang w:val="en-US" w:eastAsia="zh-CN"/>
        </w:rPr>
        <w:t xml:space="preserve">                                           </w:t>
      </w:r>
    </w:p>
    <w:p>
      <w:pPr>
        <w:spacing w:line="360" w:lineRule="auto"/>
        <w:ind w:left="714" w:leftChars="1" w:hanging="712" w:hangingChars="297"/>
        <w:jc w:val="lef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2</w:t>
      </w:r>
      <w:r>
        <w:rPr>
          <w:rFonts w:hint="eastAsia" w:ascii="宋体" w:hAnsi="宋体"/>
          <w:color w:val="auto"/>
          <w:sz w:val="24"/>
          <w:highlight w:val="none"/>
        </w:rPr>
        <w:tab/>
      </w:r>
      <w:r>
        <w:rPr>
          <w:rFonts w:hint="eastAsia" w:ascii="宋体" w:hAnsi="宋体"/>
          <w:color w:val="auto"/>
          <w:sz w:val="24"/>
          <w:highlight w:val="none"/>
        </w:rPr>
        <w:t>每一密封袋上注明“于</w:t>
      </w:r>
      <w:r>
        <w:rPr>
          <w:rFonts w:hint="eastAsia" w:ascii="宋体" w:hAnsi="宋体"/>
          <w:color w:val="auto"/>
          <w:sz w:val="24"/>
          <w:highlight w:val="none"/>
          <w:lang w:eastAsia="zh-CN"/>
        </w:rPr>
        <w:t>2020年05月18日12:00</w:t>
      </w:r>
      <w:r>
        <w:rPr>
          <w:rFonts w:hint="eastAsia" w:ascii="宋体" w:hAnsi="宋体"/>
          <w:color w:val="auto"/>
          <w:sz w:val="24"/>
          <w:highlight w:val="none"/>
        </w:rPr>
        <w:t>开标之前不准启封”字样。</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16.1</w:t>
      </w:r>
      <w:r>
        <w:rPr>
          <w:rFonts w:ascii="宋体" w:hAnsi="宋体"/>
          <w:color w:val="auto"/>
          <w:sz w:val="24"/>
          <w:highlight w:val="none"/>
        </w:rPr>
        <w:tab/>
      </w:r>
      <w:r>
        <w:rPr>
          <w:rFonts w:hint="eastAsia" w:ascii="宋体" w:hAnsi="宋体"/>
          <w:color w:val="auto"/>
          <w:sz w:val="24"/>
          <w:highlight w:val="none"/>
        </w:rPr>
        <w:t>投标人递交投标文件后，可以修改投标文件，但必须在规定的投标截止时间前，用书面形式将修改文本送交招标人。修改文本同样用密封袋密封，注明“修改文件”字样，并按第</w:t>
      </w:r>
      <w:r>
        <w:rPr>
          <w:rFonts w:ascii="宋体" w:hAnsi="宋体"/>
          <w:color w:val="auto"/>
          <w:sz w:val="24"/>
          <w:highlight w:val="none"/>
        </w:rPr>
        <w:t>13.3</w:t>
      </w:r>
      <w:r>
        <w:rPr>
          <w:rFonts w:hint="eastAsia" w:ascii="宋体" w:hAnsi="宋体"/>
          <w:color w:val="auto"/>
          <w:sz w:val="24"/>
          <w:highlight w:val="none"/>
        </w:rPr>
        <w:t>条和第</w:t>
      </w:r>
      <w:r>
        <w:rPr>
          <w:rFonts w:ascii="宋体" w:hAnsi="宋体"/>
          <w:color w:val="auto"/>
          <w:sz w:val="24"/>
          <w:highlight w:val="none"/>
        </w:rPr>
        <w:t>14.1</w:t>
      </w:r>
      <w:r>
        <w:rPr>
          <w:rFonts w:hint="eastAsia" w:ascii="宋体" w:hAnsi="宋体"/>
          <w:color w:val="auto"/>
          <w:sz w:val="24"/>
          <w:highlight w:val="none"/>
        </w:rPr>
        <w:t>条以及第</w:t>
      </w:r>
      <w:r>
        <w:rPr>
          <w:rFonts w:ascii="宋体" w:hAnsi="宋体"/>
          <w:color w:val="auto"/>
          <w:sz w:val="24"/>
          <w:highlight w:val="none"/>
        </w:rPr>
        <w:t>14.3</w:t>
      </w:r>
      <w:r>
        <w:rPr>
          <w:rFonts w:hint="eastAsia" w:ascii="宋体" w:hAnsi="宋体"/>
          <w:color w:val="auto"/>
          <w:sz w:val="24"/>
          <w:highlight w:val="none"/>
        </w:rPr>
        <w:t>条要求签署盖章。修改文件是投标文件的组成部分。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17.1</w:t>
      </w:r>
      <w:r>
        <w:rPr>
          <w:rFonts w:ascii="宋体" w:hAnsi="宋体"/>
          <w:color w:val="auto"/>
          <w:sz w:val="24"/>
          <w:highlight w:val="none"/>
        </w:rPr>
        <w:tab/>
      </w:r>
      <w:r>
        <w:rPr>
          <w:rFonts w:hint="eastAsia" w:ascii="宋体" w:hAnsi="宋体"/>
          <w:color w:val="auto"/>
          <w:sz w:val="24"/>
          <w:highlight w:val="none"/>
        </w:rPr>
        <w:t>投标人递交投标文件后，可以撤回、修改、补充投标文件，但必须在投标截止时间之前撤回、修改、补充；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17.2</w:t>
      </w:r>
      <w:r>
        <w:rPr>
          <w:rFonts w:ascii="宋体" w:hAnsi="宋体"/>
          <w:color w:val="auto"/>
          <w:sz w:val="24"/>
          <w:highlight w:val="none"/>
        </w:rPr>
        <w:tab/>
      </w:r>
      <w:r>
        <w:rPr>
          <w:rFonts w:hint="eastAsia" w:ascii="宋体" w:hAnsi="宋体"/>
          <w:color w:val="auto"/>
          <w:sz w:val="24"/>
          <w:highlight w:val="none"/>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17.3</w:t>
      </w:r>
      <w:r>
        <w:rPr>
          <w:rFonts w:ascii="宋体" w:hAnsi="宋体"/>
          <w:color w:val="auto"/>
          <w:sz w:val="24"/>
          <w:highlight w:val="none"/>
        </w:rPr>
        <w:tab/>
      </w:r>
      <w:r>
        <w:rPr>
          <w:rFonts w:hint="eastAsia" w:ascii="宋体" w:hAnsi="宋体"/>
          <w:color w:val="auto"/>
          <w:sz w:val="24"/>
          <w:highlight w:val="none"/>
        </w:rPr>
        <w:t>投标截止后，开标前投标人不得撤回和修改补充投标文件。开标后的投标文件不得撤回。但开标前，书面通行知放弃投标的投标文件除外。</w:t>
      </w:r>
    </w:p>
    <w:p>
      <w:pPr>
        <w:spacing w:line="360" w:lineRule="auto"/>
        <w:ind w:left="714" w:leftChars="1" w:hanging="712" w:hangingChars="297"/>
        <w:rPr>
          <w:rFonts w:ascii="宋体" w:hAnsi="宋体"/>
          <w:b w:val="0"/>
          <w:bCs w:val="0"/>
          <w:color w:val="auto"/>
          <w:sz w:val="24"/>
          <w:highlight w:val="none"/>
        </w:rPr>
      </w:pPr>
      <w:r>
        <w:rPr>
          <w:rFonts w:hint="eastAsia" w:ascii="宋体" w:hAnsi="宋体"/>
          <w:b w:val="0"/>
          <w:bCs w:val="0"/>
          <w:color w:val="auto"/>
          <w:sz w:val="24"/>
          <w:highlight w:val="none"/>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迟到的投标文件</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18.1</w:t>
      </w:r>
      <w:r>
        <w:rPr>
          <w:rFonts w:ascii="宋体" w:hAnsi="宋体"/>
          <w:color w:val="auto"/>
          <w:sz w:val="24"/>
          <w:highlight w:val="none"/>
        </w:rPr>
        <w:tab/>
      </w:r>
      <w:r>
        <w:rPr>
          <w:rFonts w:hint="eastAsia" w:ascii="宋体" w:hAnsi="宋体"/>
          <w:color w:val="auto"/>
          <w:sz w:val="24"/>
          <w:highlight w:val="none"/>
        </w:rPr>
        <w:t>招标人将拒绝接收在投标截止时间后送到的投标文件。</w:t>
      </w:r>
    </w:p>
    <w:p>
      <w:pPr>
        <w:spacing w:line="360" w:lineRule="auto"/>
        <w:ind w:left="718" w:leftChars="1" w:hanging="716" w:hangingChars="297"/>
        <w:jc w:val="center"/>
        <w:rPr>
          <w:rFonts w:ascii="宋体"/>
          <w:b/>
          <w:color w:val="auto"/>
          <w:sz w:val="24"/>
          <w:highlight w:val="none"/>
        </w:rPr>
      </w:pP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D   </w:t>
      </w:r>
      <w:r>
        <w:rPr>
          <w:rFonts w:hint="eastAsia" w:ascii="宋体" w:hAnsi="宋体"/>
          <w:b/>
          <w:color w:val="auto"/>
          <w:sz w:val="24"/>
          <w:highlight w:val="none"/>
        </w:rPr>
        <w:t>开标和评标</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开标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19.1</w:t>
      </w:r>
      <w:r>
        <w:rPr>
          <w:rFonts w:ascii="宋体" w:hAnsi="宋体"/>
          <w:color w:val="auto"/>
          <w:sz w:val="24"/>
          <w:highlight w:val="none"/>
        </w:rPr>
        <w:tab/>
      </w:r>
      <w:r>
        <w:rPr>
          <w:rFonts w:hint="eastAsia" w:ascii="宋体" w:hAnsi="宋体"/>
          <w:color w:val="auto"/>
          <w:sz w:val="24"/>
          <w:highlight w:val="none"/>
        </w:rPr>
        <w:t>招标人按采购公告中规定的时间和地点公开开标。投标人必须由法人代表或法人代表授权人、技术代表</w:t>
      </w:r>
      <w:r>
        <w:rPr>
          <w:rFonts w:ascii="宋体" w:hAnsi="宋体"/>
          <w:color w:val="auto"/>
          <w:sz w:val="24"/>
          <w:highlight w:val="none"/>
        </w:rPr>
        <w:t>1</w:t>
      </w:r>
      <w:r>
        <w:rPr>
          <w:rFonts w:asci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名参加开标会。</w:t>
      </w:r>
    </w:p>
    <w:p>
      <w:pPr>
        <w:spacing w:line="360" w:lineRule="auto"/>
        <w:jc w:val="left"/>
        <w:rPr>
          <w:rFonts w:hint="eastAsia" w:ascii="宋体" w:hAns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投标人当众查验投标文件的密封状况，经监委、投标人确认无误后，由</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招标工作人员根据递交标书的正顺序依次当众拆封，宣读投标人名称，</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投标价格、招标文件允许提供的备选投标方案</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以及投标文件的其他</w:t>
      </w:r>
    </w:p>
    <w:p>
      <w:pPr>
        <w:spacing w:line="360" w:lineRule="auto"/>
        <w:ind w:left="239" w:leftChars="114" w:firstLine="480" w:firstLineChars="200"/>
        <w:jc w:val="left"/>
        <w:rPr>
          <w:rFonts w:ascii="宋体"/>
          <w:color w:val="auto"/>
          <w:sz w:val="24"/>
          <w:highlight w:val="none"/>
        </w:rPr>
      </w:pPr>
      <w:r>
        <w:rPr>
          <w:rFonts w:hint="eastAsia" w:ascii="宋体" w:hAnsi="宋体"/>
          <w:color w:val="auto"/>
          <w:sz w:val="24"/>
          <w:highlight w:val="none"/>
        </w:rPr>
        <w:t>主要内容。</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19.3</w:t>
      </w:r>
      <w:r>
        <w:rPr>
          <w:rFonts w:ascii="宋体" w:hAnsi="宋体"/>
          <w:color w:val="auto"/>
          <w:sz w:val="24"/>
          <w:szCs w:val="20"/>
          <w:highlight w:val="none"/>
        </w:rPr>
        <w:tab/>
      </w:r>
      <w:r>
        <w:rPr>
          <w:rFonts w:hint="eastAsia" w:ascii="宋体" w:hAnsi="宋体"/>
          <w:color w:val="auto"/>
          <w:sz w:val="24"/>
          <w:szCs w:val="20"/>
          <w:highlight w:val="none"/>
        </w:rPr>
        <w:t>未宣读的投标价格、招标文件允许提供的备选投标方案</w:t>
      </w:r>
      <w:r>
        <w:rPr>
          <w:rFonts w:ascii="宋体" w:hAnsi="宋体"/>
          <w:color w:val="auto"/>
          <w:sz w:val="24"/>
          <w:szCs w:val="20"/>
          <w:highlight w:val="none"/>
        </w:rPr>
        <w:t>(</w:t>
      </w:r>
      <w:r>
        <w:rPr>
          <w:rFonts w:hint="eastAsia" w:ascii="宋体" w:hAnsi="宋体"/>
          <w:color w:val="auto"/>
          <w:sz w:val="24"/>
          <w:szCs w:val="20"/>
          <w:highlight w:val="none"/>
        </w:rPr>
        <w:t>如有的话</w:t>
      </w:r>
      <w:r>
        <w:rPr>
          <w:rFonts w:ascii="宋体" w:hAnsi="宋体"/>
          <w:color w:val="auto"/>
          <w:sz w:val="24"/>
          <w:szCs w:val="20"/>
          <w:highlight w:val="none"/>
        </w:rPr>
        <w:t>)</w:t>
      </w:r>
      <w:r>
        <w:rPr>
          <w:rFonts w:hint="eastAsia" w:ascii="宋体" w:hAnsi="宋体"/>
          <w:color w:val="auto"/>
          <w:sz w:val="24"/>
          <w:szCs w:val="20"/>
          <w:highlight w:val="none"/>
        </w:rPr>
        <w:t>等实质内容，评标时不予承认。</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19.4</w:t>
      </w:r>
      <w:r>
        <w:rPr>
          <w:rFonts w:ascii="宋体" w:hAnsi="宋体"/>
          <w:color w:val="auto"/>
          <w:sz w:val="24"/>
          <w:szCs w:val="20"/>
          <w:highlight w:val="none"/>
        </w:rPr>
        <w:tab/>
      </w:r>
      <w:r>
        <w:rPr>
          <w:rFonts w:hint="eastAsia" w:ascii="宋体" w:hAnsi="宋体"/>
          <w:color w:val="000000" w:themeColor="text1"/>
          <w:sz w:val="24"/>
          <w:szCs w:val="20"/>
          <w:highlight w:val="none"/>
          <w14:textFill>
            <w14:solidFill>
              <w14:schemeClr w14:val="tx1"/>
            </w14:solidFill>
          </w14:textFill>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19.5</w:t>
      </w:r>
      <w:r>
        <w:rPr>
          <w:rFonts w:ascii="宋体" w:hAnsi="宋体"/>
          <w:color w:val="auto"/>
          <w:sz w:val="24"/>
          <w:szCs w:val="20"/>
          <w:highlight w:val="none"/>
        </w:rPr>
        <w:tab/>
      </w:r>
      <w:r>
        <w:rPr>
          <w:rFonts w:hint="eastAsia" w:ascii="宋体" w:hAnsi="宋体"/>
          <w:color w:val="auto"/>
          <w:sz w:val="24"/>
          <w:szCs w:val="20"/>
          <w:highlight w:val="none"/>
        </w:rPr>
        <w:t>开标过程由招标人指定专人负责记录，并存档备查。</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19.6</w:t>
      </w:r>
      <w:r>
        <w:rPr>
          <w:rFonts w:ascii="宋体" w:hAnsi="宋体"/>
          <w:color w:val="auto"/>
          <w:sz w:val="24"/>
          <w:szCs w:val="20"/>
          <w:highlight w:val="none"/>
        </w:rPr>
        <w:tab/>
      </w:r>
      <w:r>
        <w:rPr>
          <w:rFonts w:hint="eastAsia" w:ascii="宋体" w:hAnsi="宋体"/>
          <w:color w:val="auto"/>
          <w:sz w:val="24"/>
          <w:szCs w:val="20"/>
          <w:highlight w:val="none"/>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（二）招标文件存在不合理条款的，招标公告时间及程序不符合规定的，应予废标，并由招标人依法重新招标。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19.7</w:t>
      </w:r>
      <w:r>
        <w:rPr>
          <w:rFonts w:ascii="宋体" w:hAnsi="宋体"/>
          <w:color w:val="auto"/>
          <w:sz w:val="24"/>
          <w:highlight w:val="none"/>
        </w:rPr>
        <w:tab/>
      </w:r>
      <w:r>
        <w:rPr>
          <w:rFonts w:hint="eastAsia" w:ascii="宋体" w:hAnsi="宋体"/>
          <w:color w:val="auto"/>
          <w:sz w:val="24"/>
          <w:highlight w:val="none"/>
        </w:rPr>
        <w:t>有下列情形之一的，视为无效投标处理：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（一）应交未交投标保证金的；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w:t>
      </w:r>
      <w:r>
        <w:rPr>
          <w:rFonts w:hint="eastAsia" w:ascii="宋体" w:hAnsi="宋体"/>
          <w:color w:val="000000" w:themeColor="text1"/>
          <w:sz w:val="24"/>
          <w:szCs w:val="20"/>
          <w:highlight w:val="none"/>
          <w14:textFill>
            <w14:solidFill>
              <w14:schemeClr w14:val="tx1"/>
            </w14:solidFill>
          </w14:textFill>
        </w:rPr>
        <w:t>未按照招标文件规定要求</w:t>
      </w:r>
      <w:r>
        <w:rPr>
          <w:rFonts w:hint="eastAsia" w:ascii="宋体" w:hAnsi="宋体"/>
          <w:color w:val="000000" w:themeColor="text1"/>
          <w:sz w:val="24"/>
          <w:szCs w:val="20"/>
          <w:highlight w:val="none"/>
          <w:lang w:eastAsia="zh-CN"/>
          <w14:textFill>
            <w14:solidFill>
              <w14:schemeClr w14:val="tx1"/>
            </w14:solidFill>
          </w14:textFill>
        </w:rPr>
        <w:t>以</w:t>
      </w:r>
      <w:r>
        <w:rPr>
          <w:rFonts w:hint="eastAsia" w:ascii="宋体" w:hAnsi="宋体"/>
          <w:color w:val="000000" w:themeColor="text1"/>
          <w:sz w:val="24"/>
          <w:szCs w:val="20"/>
          <w:highlight w:val="none"/>
          <w:lang w:val="en-US" w:eastAsia="zh-CN"/>
          <w14:textFill>
            <w14:solidFill>
              <w14:schemeClr w14:val="tx1"/>
            </w14:solidFill>
          </w14:textFill>
        </w:rPr>
        <w:t>PDF格式并加密</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并注明项目名称及项目编号</w:t>
      </w:r>
      <w:r>
        <w:rPr>
          <w:rFonts w:hint="eastAsia" w:ascii="宋体" w:hAnsi="宋体"/>
          <w:color w:val="000000" w:themeColor="text1"/>
          <w:sz w:val="24"/>
          <w:szCs w:val="20"/>
          <w:highlight w:val="none"/>
          <w14:textFill>
            <w14:solidFill>
              <w14:schemeClr w14:val="tx1"/>
            </w14:solidFill>
          </w14:textFill>
        </w:rPr>
        <w:t>、签署、盖章的</w:t>
      </w:r>
      <w:r>
        <w:rPr>
          <w:rFonts w:hint="eastAsia" w:ascii="宋体" w:hAnsi="宋体"/>
          <w:color w:val="auto"/>
          <w:sz w:val="24"/>
          <w:szCs w:val="20"/>
          <w:highlight w:val="none"/>
        </w:rPr>
        <w:t>；</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（三）不具备招标文件中规定资格要求的；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（四）不符合法律、法规和招标文件中规定的其他实质性要求的。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19.8</w:t>
      </w:r>
      <w:r>
        <w:rPr>
          <w:rFonts w:ascii="宋体" w:hAnsi="宋体"/>
          <w:color w:val="auto"/>
          <w:sz w:val="24"/>
          <w:szCs w:val="20"/>
          <w:highlight w:val="none"/>
        </w:rPr>
        <w:tab/>
      </w:r>
      <w:r>
        <w:rPr>
          <w:rFonts w:hint="eastAsia" w:ascii="宋体" w:hAnsi="宋体"/>
          <w:color w:val="auto"/>
          <w:sz w:val="24"/>
          <w:szCs w:val="20"/>
          <w:highlight w:val="none"/>
        </w:rPr>
        <w:t>有下列情形之一的，作废标处理：</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一</w:t>
      </w:r>
      <w:r>
        <w:rPr>
          <w:rFonts w:ascii="宋体" w:hAnsi="宋体"/>
          <w:color w:val="auto"/>
          <w:sz w:val="24"/>
          <w:szCs w:val="20"/>
          <w:highlight w:val="none"/>
        </w:rPr>
        <w:t xml:space="preserve">) </w:t>
      </w:r>
      <w:r>
        <w:rPr>
          <w:rFonts w:hint="eastAsia" w:ascii="宋体" w:hAnsi="宋体"/>
          <w:color w:val="auto"/>
          <w:sz w:val="24"/>
          <w:szCs w:val="20"/>
          <w:highlight w:val="none"/>
        </w:rPr>
        <w:t>出现</w:t>
      </w:r>
      <w:r>
        <w:rPr>
          <w:rFonts w:ascii="宋体" w:hAnsi="宋体"/>
          <w:color w:val="auto"/>
          <w:sz w:val="24"/>
          <w:szCs w:val="20"/>
          <w:highlight w:val="none"/>
        </w:rPr>
        <w:t>10</w:t>
      </w:r>
      <w:r>
        <w:rPr>
          <w:rFonts w:hint="eastAsia" w:ascii="宋体" w:hAnsi="宋体"/>
          <w:color w:val="auto"/>
          <w:sz w:val="24"/>
          <w:szCs w:val="20"/>
          <w:highlight w:val="none"/>
        </w:rPr>
        <w:t>条、</w:t>
      </w:r>
      <w:r>
        <w:rPr>
          <w:rFonts w:ascii="宋体" w:hAnsi="宋体"/>
          <w:color w:val="auto"/>
          <w:sz w:val="24"/>
          <w:szCs w:val="20"/>
          <w:highlight w:val="none"/>
        </w:rPr>
        <w:t>11.2</w:t>
      </w:r>
      <w:r>
        <w:rPr>
          <w:rFonts w:hint="eastAsia" w:ascii="宋体" w:hAnsi="宋体"/>
          <w:color w:val="auto"/>
          <w:sz w:val="24"/>
          <w:szCs w:val="20"/>
          <w:highlight w:val="none"/>
        </w:rPr>
        <w:t>、</w:t>
      </w:r>
      <w:r>
        <w:rPr>
          <w:rFonts w:ascii="宋体" w:hAnsi="宋体"/>
          <w:color w:val="auto"/>
          <w:sz w:val="24"/>
          <w:szCs w:val="20"/>
          <w:highlight w:val="none"/>
        </w:rPr>
        <w:t>13.3</w:t>
      </w:r>
      <w:r>
        <w:rPr>
          <w:rFonts w:hint="eastAsia" w:ascii="宋体" w:hAnsi="宋体"/>
          <w:color w:val="auto"/>
          <w:sz w:val="24"/>
          <w:szCs w:val="20"/>
          <w:highlight w:val="none"/>
        </w:rPr>
        <w:t>、</w:t>
      </w:r>
      <w:r>
        <w:rPr>
          <w:rFonts w:ascii="宋体" w:hAnsi="宋体"/>
          <w:color w:val="auto"/>
          <w:sz w:val="24"/>
          <w:szCs w:val="20"/>
          <w:highlight w:val="none"/>
        </w:rPr>
        <w:t>19.6</w:t>
      </w:r>
      <w:r>
        <w:rPr>
          <w:rFonts w:hint="eastAsia" w:ascii="宋体" w:hAnsi="宋体"/>
          <w:color w:val="auto"/>
          <w:sz w:val="24"/>
          <w:szCs w:val="20"/>
          <w:highlight w:val="none"/>
        </w:rPr>
        <w:t>条第</w:t>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款情形的；；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出现影响采购公正的违法、违规行为的；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三</w:t>
      </w:r>
      <w:r>
        <w:rPr>
          <w:rFonts w:ascii="宋体" w:hAnsi="宋体"/>
          <w:color w:val="auto"/>
          <w:sz w:val="24"/>
          <w:szCs w:val="20"/>
          <w:highlight w:val="none"/>
        </w:rPr>
        <w:t>)</w:t>
      </w:r>
      <w:r>
        <w:rPr>
          <w:rFonts w:hint="eastAsia" w:ascii="宋体" w:hAnsi="宋体"/>
          <w:color w:val="auto"/>
          <w:sz w:val="24"/>
          <w:szCs w:val="20"/>
          <w:highlight w:val="none"/>
        </w:rPr>
        <w:t>投标人的报价均超过了采购预算，采购人不能支付的；</w:t>
      </w:r>
    </w:p>
    <w:p>
      <w:pPr>
        <w:spacing w:line="360" w:lineRule="auto"/>
        <w:ind w:left="714" w:leftChars="340"/>
        <w:rPr>
          <w:rFonts w:ascii="宋体"/>
          <w:color w:val="auto"/>
          <w:sz w:val="24"/>
          <w:szCs w:val="20"/>
          <w:highlight w:val="none"/>
        </w:rPr>
      </w:pPr>
      <w:r>
        <w:rPr>
          <w:rFonts w:ascii="宋体" w:hAnsi="宋体"/>
          <w:color w:val="auto"/>
          <w:sz w:val="24"/>
          <w:szCs w:val="20"/>
          <w:highlight w:val="none"/>
        </w:rPr>
        <w:t>(</w:t>
      </w:r>
      <w:r>
        <w:rPr>
          <w:rFonts w:hint="eastAsia" w:ascii="宋体" w:hAnsi="宋体"/>
          <w:color w:val="auto"/>
          <w:sz w:val="24"/>
          <w:szCs w:val="20"/>
          <w:highlight w:val="none"/>
        </w:rPr>
        <w:t>四</w:t>
      </w:r>
      <w:r>
        <w:rPr>
          <w:rFonts w:ascii="宋体" w:hAnsi="宋体"/>
          <w:color w:val="auto"/>
          <w:sz w:val="24"/>
          <w:szCs w:val="20"/>
          <w:highlight w:val="none"/>
        </w:rPr>
        <w:t>)</w:t>
      </w:r>
      <w:r>
        <w:rPr>
          <w:rFonts w:hint="eastAsia" w:ascii="宋体" w:hAnsi="宋体"/>
          <w:color w:val="auto"/>
          <w:sz w:val="24"/>
          <w:szCs w:val="20"/>
          <w:highlight w:val="none"/>
        </w:rPr>
        <w:t>因重大变故，采购任务取消的。</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评标委员会组成及职责</w:t>
      </w:r>
    </w:p>
    <w:p>
      <w:pPr>
        <w:spacing w:line="448" w:lineRule="atLeast"/>
        <w:ind w:left="714" w:leftChars="1" w:hanging="712" w:hangingChars="297"/>
        <w:rPr>
          <w:rFonts w:ascii="宋体"/>
          <w:color w:val="auto"/>
          <w:sz w:val="24"/>
          <w:szCs w:val="20"/>
          <w:highlight w:val="none"/>
        </w:rPr>
      </w:pPr>
      <w:r>
        <w:rPr>
          <w:rFonts w:ascii="宋体" w:hAnsi="宋体"/>
          <w:color w:val="auto"/>
          <w:sz w:val="24"/>
          <w:highlight w:val="none"/>
        </w:rPr>
        <w:t>20.1</w:t>
      </w:r>
      <w:r>
        <w:rPr>
          <w:rFonts w:ascii="宋体" w:hAnsi="宋体"/>
          <w:color w:val="auto"/>
          <w:sz w:val="24"/>
          <w:highlight w:val="none"/>
        </w:rPr>
        <w:tab/>
      </w:r>
      <w:r>
        <w:rPr>
          <w:rFonts w:hint="eastAsia" w:ascii="宋体" w:hAnsi="宋体"/>
          <w:color w:val="auto"/>
          <w:sz w:val="24"/>
          <w:szCs w:val="20"/>
          <w:highlight w:val="none"/>
        </w:rPr>
        <w:t>评标工作由招标人负责组织组成评标委员会。评标委员会由采购人代表和有关技术、经济等方面的专家组成，成员人数应当为</w:t>
      </w:r>
      <w:r>
        <w:rPr>
          <w:rFonts w:hint="eastAsia" w:ascii="宋体" w:hAnsi="宋体"/>
          <w:color w:val="auto"/>
          <w:sz w:val="24"/>
          <w:szCs w:val="20"/>
          <w:highlight w:val="none"/>
          <w:lang w:val="en-US" w:eastAsia="zh-CN"/>
        </w:rPr>
        <w:t>五</w:t>
      </w:r>
      <w:r>
        <w:rPr>
          <w:rFonts w:hint="eastAsia" w:ascii="宋体" w:hAnsi="宋体"/>
          <w:color w:val="auto"/>
          <w:sz w:val="24"/>
          <w:szCs w:val="20"/>
          <w:highlight w:val="none"/>
        </w:rPr>
        <w:t>人以上</w:t>
      </w:r>
      <w:r>
        <w:rPr>
          <w:rFonts w:hint="eastAsia" w:ascii="宋体" w:hAnsi="宋体"/>
          <w:color w:val="auto"/>
          <w:sz w:val="24"/>
          <w:szCs w:val="20"/>
          <w:highlight w:val="none"/>
          <w:lang w:eastAsia="zh-CN"/>
        </w:rPr>
        <w:t>（含</w:t>
      </w:r>
      <w:r>
        <w:rPr>
          <w:rFonts w:hint="eastAsia" w:ascii="宋体" w:hAnsi="宋体"/>
          <w:color w:val="auto"/>
          <w:sz w:val="24"/>
          <w:szCs w:val="20"/>
          <w:highlight w:val="none"/>
          <w:lang w:val="en-US" w:eastAsia="zh-CN"/>
        </w:rPr>
        <w:t>5人</w:t>
      </w:r>
      <w:r>
        <w:rPr>
          <w:rFonts w:hint="eastAsia" w:ascii="宋体" w:hAnsi="宋体"/>
          <w:color w:val="auto"/>
          <w:sz w:val="24"/>
          <w:szCs w:val="20"/>
          <w:highlight w:val="none"/>
          <w:lang w:eastAsia="zh-CN"/>
        </w:rPr>
        <w:t>）单数</w:t>
      </w:r>
      <w:r>
        <w:rPr>
          <w:rFonts w:hint="eastAsia" w:ascii="宋体" w:hAnsi="宋体"/>
          <w:color w:val="auto"/>
          <w:sz w:val="24"/>
          <w:szCs w:val="20"/>
          <w:highlight w:val="none"/>
        </w:rPr>
        <w:t>。其中，技术、经济等方面的专家不得少于成员总数的三分之二。开标前随机抽取确定，并在招标结果确定前保密。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20.2</w:t>
      </w:r>
      <w:r>
        <w:rPr>
          <w:rFonts w:ascii="宋体" w:hAnsi="宋体"/>
          <w:color w:val="auto"/>
          <w:sz w:val="24"/>
          <w:szCs w:val="20"/>
          <w:highlight w:val="none"/>
        </w:rPr>
        <w:tab/>
      </w:r>
      <w:r>
        <w:rPr>
          <w:rFonts w:hint="eastAsia" w:ascii="宋体" w:hAnsi="宋体"/>
          <w:color w:val="auto"/>
          <w:sz w:val="24"/>
          <w:szCs w:val="20"/>
          <w:highlight w:val="none"/>
        </w:rPr>
        <w:t>评标事务由评标委员会负责，并独立履行下列职责：</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（一）审查投标文件是否符合招标文件要求，并作出评价；</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（二）要求投标人对投标文件有关事项作出解释或者澄清；</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（三）推荐中标候选供应商名单，或者受招标人委托按照事先确定的办法直接确定中标人；</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（四）向招标人或者有关部门报告非法干预评标工作的行为。</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评标委员会履行的义务</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（一）遵纪守法，客观、公正、廉洁地履行职责；</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（二）按照招标文件规定的评标方法和评标标准进行评标，对评审意见承担个人责任；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（三）对评标过程和结果，以及供应商的商业秘密保密；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（四）参与评标报告的起草；</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（五）配合财政部门的投诉处理工作；</w:t>
      </w:r>
    </w:p>
    <w:p>
      <w:pPr>
        <w:spacing w:line="360" w:lineRule="auto"/>
        <w:ind w:left="714" w:leftChars="1" w:hanging="712" w:hangingChars="297"/>
        <w:rPr>
          <w:rFonts w:ascii="宋体"/>
          <w:b/>
          <w:bC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（六）配合招标采购单位答复投标供应商提出的质疑。</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评标应当遵循下列工作程序：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（一）投标文件初审。初审分为资格性检查和响应性检查。</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、资格性检查。依据法律法规和招标文件的规定，对投标人提供的资格证明文件、投标保证金等进行审查，以确定投标人是否具备投标资格</w:t>
      </w:r>
      <w:r>
        <w:rPr>
          <w:rFonts w:hint="eastAsia" w:ascii="宋体" w:hAnsi="宋体"/>
          <w:b/>
          <w:color w:val="auto"/>
          <w:sz w:val="24"/>
          <w:szCs w:val="20"/>
          <w:highlight w:val="none"/>
        </w:rPr>
        <w:t>（不接受二次提交证明文件资料）</w:t>
      </w:r>
      <w:r>
        <w:rPr>
          <w:rFonts w:hint="eastAsia" w:ascii="宋体" w:hAnsi="宋体"/>
          <w:color w:val="auto"/>
          <w:sz w:val="24"/>
          <w:szCs w:val="20"/>
          <w:highlight w:val="none"/>
        </w:rPr>
        <w:t>。如果确定投标人无资格或无能力履行合同，其投标将被拒绝。</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招标人将拒绝被确定为非实质性响应的投标人。</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（四）推荐中标候选供应商名单。中标候选供应商数量根据采购需要确定，并按顺序排列。</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五</w:t>
      </w:r>
      <w:r>
        <w:rPr>
          <w:rFonts w:ascii="宋体" w:hAnsi="宋体"/>
          <w:color w:val="auto"/>
          <w:sz w:val="24"/>
          <w:szCs w:val="20"/>
          <w:highlight w:val="none"/>
        </w:rPr>
        <w:t>)</w:t>
      </w:r>
      <w:r>
        <w:rPr>
          <w:rFonts w:hint="eastAsia" w:ascii="宋体" w:hAnsi="宋体"/>
          <w:color w:val="auto"/>
          <w:sz w:val="24"/>
          <w:szCs w:val="20"/>
          <w:highlight w:val="none"/>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、招标公告刊登的媒体名称、开标日期和地点；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、购买招标文件的投标人名单和评标委员会成员名单；</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3</w:t>
      </w:r>
      <w:r>
        <w:rPr>
          <w:rFonts w:hint="eastAsia" w:ascii="宋体" w:hAnsi="宋体"/>
          <w:color w:val="auto"/>
          <w:sz w:val="24"/>
          <w:szCs w:val="20"/>
          <w:highlight w:val="none"/>
        </w:rPr>
        <w:t>、评标方法和标准；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4</w:t>
      </w:r>
      <w:r>
        <w:rPr>
          <w:rFonts w:hint="eastAsia" w:ascii="宋体" w:hAnsi="宋体"/>
          <w:color w:val="auto"/>
          <w:sz w:val="24"/>
          <w:szCs w:val="20"/>
          <w:highlight w:val="none"/>
        </w:rPr>
        <w:t>、开标记录和评标情况及说明，包括投标无效投标人名单及原因；</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5</w:t>
      </w:r>
      <w:r>
        <w:rPr>
          <w:rFonts w:hint="eastAsia" w:ascii="宋体" w:hAnsi="宋体"/>
          <w:color w:val="auto"/>
          <w:sz w:val="24"/>
          <w:szCs w:val="20"/>
          <w:highlight w:val="none"/>
        </w:rPr>
        <w:t>、评标结果和中标候选供应商排序表；</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6</w:t>
      </w:r>
      <w:r>
        <w:rPr>
          <w:rFonts w:hint="eastAsia" w:ascii="宋体" w:hAnsi="宋体"/>
          <w:color w:val="auto"/>
          <w:sz w:val="24"/>
          <w:szCs w:val="20"/>
          <w:highlight w:val="none"/>
        </w:rPr>
        <w:t>、评标委员会的授标建议。</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在评标中，不得改变已规定的评标标准、方法和中标条件。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23.</w:t>
      </w:r>
      <w:r>
        <w:rPr>
          <w:rFonts w:ascii="宋体" w:hAnsi="宋体"/>
          <w:b/>
          <w:bCs/>
          <w:color w:val="auto"/>
          <w:sz w:val="24"/>
          <w:highlight w:val="none"/>
        </w:rPr>
        <w:tab/>
      </w:r>
      <w:r>
        <w:rPr>
          <w:rFonts w:hint="eastAsia" w:ascii="宋体" w:hAnsi="宋体"/>
          <w:b/>
          <w:bCs/>
          <w:color w:val="auto"/>
          <w:sz w:val="24"/>
          <w:highlight w:val="none"/>
        </w:rPr>
        <w:t>评标过程的保密性</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23.1</w:t>
      </w:r>
      <w:r>
        <w:rPr>
          <w:rFonts w:ascii="宋体" w:hAnsi="宋体"/>
          <w:color w:val="auto"/>
          <w:sz w:val="24"/>
          <w:highlight w:val="none"/>
        </w:rPr>
        <w:tab/>
      </w:r>
      <w:r>
        <w:rPr>
          <w:rFonts w:hint="eastAsia" w:ascii="宋体" w:hAnsi="宋体"/>
          <w:color w:val="auto"/>
          <w:sz w:val="24"/>
          <w:highlight w:val="none"/>
        </w:rPr>
        <w:t>在评标过程中和评标结束后，评委会的研究情况和所有投标人的商业秘密都属于保密内容；</w:t>
      </w:r>
    </w:p>
    <w:p>
      <w:pPr>
        <w:spacing w:line="360" w:lineRule="auto"/>
        <w:ind w:left="714" w:leftChars="1" w:hanging="712" w:hangingChars="297"/>
        <w:rPr>
          <w:rFonts w:ascii="宋体"/>
          <w:color w:val="auto"/>
          <w:spacing w:val="-2"/>
          <w:sz w:val="24"/>
          <w:highlight w:val="none"/>
        </w:rPr>
      </w:pPr>
      <w:r>
        <w:rPr>
          <w:rFonts w:ascii="宋体" w:hAnsi="宋体"/>
          <w:color w:val="auto"/>
          <w:sz w:val="24"/>
          <w:highlight w:val="none"/>
        </w:rPr>
        <w:t>23.2</w:t>
      </w:r>
      <w:r>
        <w:rPr>
          <w:rFonts w:ascii="宋体" w:hAnsi="宋体"/>
          <w:color w:val="auto"/>
          <w:sz w:val="24"/>
          <w:highlight w:val="none"/>
        </w:rPr>
        <w:tab/>
      </w:r>
      <w:r>
        <w:rPr>
          <w:rFonts w:hint="eastAsia" w:ascii="宋体" w:hAnsi="宋体"/>
          <w:color w:val="auto"/>
          <w:spacing w:val="-2"/>
          <w:sz w:val="24"/>
          <w:highlight w:val="none"/>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hAnsi="宋体"/>
          <w:b/>
          <w:color w:val="auto"/>
          <w:sz w:val="24"/>
          <w:highlight w:val="none"/>
        </w:rPr>
      </w:pPr>
      <w:r>
        <w:rPr>
          <w:rFonts w:ascii="宋体" w:hAnsi="宋体"/>
          <w:color w:val="auto"/>
          <w:sz w:val="24"/>
          <w:highlight w:val="none"/>
        </w:rPr>
        <w:t>23.3</w:t>
      </w:r>
      <w:r>
        <w:rPr>
          <w:rFonts w:ascii="宋体" w:hAnsi="宋体"/>
          <w:color w:val="auto"/>
          <w:sz w:val="24"/>
          <w:highlight w:val="none"/>
        </w:rPr>
        <w:tab/>
      </w:r>
      <w:r>
        <w:rPr>
          <w:rFonts w:hint="eastAsia" w:ascii="宋体" w:hAnsi="宋体"/>
          <w:color w:val="auto"/>
          <w:sz w:val="24"/>
          <w:highlight w:val="none"/>
        </w:rPr>
        <w:t>投标人不得干扰招标人的评标活动，否则将撤消其投标资格，并没收其投标保证金。</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 xml:space="preserve">E   </w:t>
      </w:r>
      <w:r>
        <w:rPr>
          <w:rFonts w:hint="eastAsia" w:ascii="宋体" w:hAnsi="宋体"/>
          <w:b/>
          <w:color w:val="auto"/>
          <w:sz w:val="24"/>
          <w:highlight w:val="none"/>
        </w:rPr>
        <w:t>评标方法及标准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w:t>
      </w:r>
      <w:r>
        <w:rPr>
          <w:rFonts w:ascii="宋体"/>
          <w:bCs/>
          <w:color w:val="auto"/>
          <w:sz w:val="24"/>
          <w:highlight w:val="none"/>
        </w:rPr>
        <w:tab/>
      </w:r>
      <w:r>
        <w:rPr>
          <w:rFonts w:hint="eastAsia" w:ascii="宋体" w:hAnsi="宋体"/>
          <w:bCs/>
          <w:color w:val="auto"/>
          <w:sz w:val="24"/>
          <w:highlight w:val="none"/>
        </w:rPr>
        <w:t>评标方法（</w:t>
      </w:r>
      <w:r>
        <w:rPr>
          <w:rFonts w:hint="eastAsia" w:ascii="宋体" w:hAnsi="宋体"/>
          <w:bCs/>
          <w:color w:val="auto"/>
          <w:sz w:val="24"/>
          <w:highlight w:val="none"/>
          <w:lang w:val="en-US" w:eastAsia="zh-CN"/>
        </w:rPr>
        <w:t>最低评标价法</w:t>
      </w:r>
      <w:r>
        <w:rPr>
          <w:rFonts w:hint="eastAsia" w:ascii="宋体" w:hAnsi="宋体"/>
          <w:bCs/>
          <w:color w:val="auto"/>
          <w:sz w:val="24"/>
          <w:highlight w:val="none"/>
        </w:rPr>
        <w:t>）</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24.1</w:t>
      </w:r>
      <w:r>
        <w:rPr>
          <w:rFonts w:ascii="宋体" w:hAnsi="宋体"/>
          <w:color w:val="auto"/>
          <w:sz w:val="24"/>
          <w:highlight w:val="none"/>
        </w:rPr>
        <w:tab/>
      </w:r>
      <w:r>
        <w:rPr>
          <w:rFonts w:hint="eastAsia" w:ascii="宋体" w:hAnsi="宋体"/>
          <w:color w:val="auto"/>
          <w:sz w:val="24"/>
          <w:highlight w:val="none"/>
          <w:lang w:val="en-US" w:eastAsia="zh-CN"/>
        </w:rPr>
        <w:t>最低投标价法</w:t>
      </w:r>
      <w:r>
        <w:rPr>
          <w:rFonts w:hint="eastAsia" w:ascii="宋体" w:hAnsi="宋体"/>
          <w:color w:val="auto"/>
          <w:sz w:val="24"/>
          <w:highlight w:val="none"/>
        </w:rPr>
        <w:t>，评标委员会按照招标文件中规定的各项因素进行综合评审后，在全部满足招标文件实质性要求前提下，依据统一的价格要素评定最低报价，按投标报价由低到高顺序排列，以提出最低报价的投标人作为中标候选供应商或者中标供应商。报价相同的，由采购人或者采购人委托评标委员会按照招标文件规定的方式确定一个参加评标的投标人，招标文件未规定的采取随机抽取方式确定，其他投标无效。</w:t>
      </w:r>
    </w:p>
    <w:p>
      <w:pPr>
        <w:spacing w:line="360" w:lineRule="auto"/>
        <w:ind w:left="714" w:leftChars="1" w:hanging="712" w:hangingChars="297"/>
        <w:rPr>
          <w:rFonts w:ascii="宋体"/>
          <w:color w:val="auto"/>
          <w:sz w:val="24"/>
          <w:highlight w:val="none"/>
        </w:rPr>
      </w:pPr>
    </w:p>
    <w:p>
      <w:pPr>
        <w:spacing w:line="360" w:lineRule="auto"/>
        <w:rPr>
          <w:rFonts w:ascii="宋体"/>
          <w:color w:val="auto"/>
          <w:sz w:val="24"/>
          <w:szCs w:val="20"/>
          <w:highlight w:val="none"/>
        </w:rPr>
      </w:pPr>
      <w:r>
        <w:rPr>
          <w:rFonts w:ascii="宋体" w:hAnsi="宋体"/>
          <w:color w:val="auto"/>
          <w:sz w:val="24"/>
          <w:szCs w:val="20"/>
          <w:highlight w:val="none"/>
        </w:rPr>
        <w:t>24.2</w:t>
      </w:r>
      <w:r>
        <w:rPr>
          <w:rFonts w:ascii="宋体" w:hAnsi="宋体"/>
          <w:color w:val="auto"/>
          <w:sz w:val="24"/>
          <w:szCs w:val="20"/>
          <w:highlight w:val="none"/>
        </w:rPr>
        <w:tab/>
      </w:r>
      <w:r>
        <w:rPr>
          <w:rFonts w:hint="eastAsia" w:ascii="宋体" w:hAnsi="宋体"/>
          <w:color w:val="auto"/>
          <w:sz w:val="24"/>
          <w:szCs w:val="20"/>
          <w:highlight w:val="none"/>
        </w:rPr>
        <w:t>评标标准</w:t>
      </w:r>
    </w:p>
    <w:tbl>
      <w:tblPr>
        <w:tblStyle w:val="31"/>
        <w:tblW w:w="9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6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项目</w:t>
            </w:r>
          </w:p>
        </w:tc>
        <w:tc>
          <w:tcPr>
            <w:tcW w:w="652"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序号</w:t>
            </w:r>
          </w:p>
        </w:tc>
        <w:tc>
          <w:tcPr>
            <w:tcW w:w="6644"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评审内容</w:t>
            </w:r>
          </w:p>
        </w:tc>
        <w:tc>
          <w:tcPr>
            <w:tcW w:w="1397" w:type="dxa"/>
            <w:gridSpan w:val="2"/>
            <w:vAlign w:val="center"/>
          </w:tcPr>
          <w:p>
            <w:pPr>
              <w:autoSpaceDE w:val="0"/>
              <w:autoSpaceDN w:val="0"/>
              <w:spacing w:line="0" w:lineRule="atLeast"/>
              <w:jc w:val="center"/>
              <w:rPr>
                <w:color w:val="FF0000"/>
                <w:sz w:val="18"/>
                <w:szCs w:val="18"/>
                <w:highlight w:val="none"/>
              </w:rPr>
            </w:pPr>
            <w:r>
              <w:rPr>
                <w:color w:val="FF0000"/>
                <w:sz w:val="18"/>
                <w:szCs w:val="18"/>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restart"/>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资格审查</w:t>
            </w:r>
          </w:p>
        </w:tc>
        <w:tc>
          <w:tcPr>
            <w:tcW w:w="652" w:type="dxa"/>
            <w:vAlign w:val="center"/>
          </w:tcPr>
          <w:p>
            <w:pPr>
              <w:autoSpaceDE w:val="0"/>
              <w:autoSpaceDN w:val="0"/>
              <w:spacing w:line="0" w:lineRule="atLeast"/>
              <w:jc w:val="center"/>
              <w:rPr>
                <w:color w:val="FF0000"/>
                <w:sz w:val="18"/>
                <w:szCs w:val="18"/>
                <w:highlight w:val="none"/>
              </w:rPr>
            </w:pPr>
          </w:p>
        </w:tc>
        <w:tc>
          <w:tcPr>
            <w:tcW w:w="6644" w:type="dxa"/>
            <w:vAlign w:val="center"/>
          </w:tcPr>
          <w:p>
            <w:pPr>
              <w:autoSpaceDE w:val="0"/>
              <w:autoSpaceDN w:val="0"/>
              <w:spacing w:line="0" w:lineRule="atLeast"/>
              <w:rPr>
                <w:color w:val="FF0000"/>
                <w:sz w:val="18"/>
                <w:szCs w:val="18"/>
                <w:highlight w:val="none"/>
              </w:rPr>
            </w:pPr>
          </w:p>
        </w:tc>
        <w:tc>
          <w:tcPr>
            <w:tcW w:w="612" w:type="dxa"/>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通过</w:t>
            </w:r>
          </w:p>
        </w:tc>
        <w:tc>
          <w:tcPr>
            <w:tcW w:w="785" w:type="dxa"/>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autoSpaceDE w:val="0"/>
              <w:autoSpaceDN w:val="0"/>
              <w:spacing w:line="0" w:lineRule="atLeast"/>
              <w:jc w:val="center"/>
              <w:rPr>
                <w:rFonts w:hint="eastAsia"/>
                <w:color w:val="FF0000"/>
                <w:sz w:val="18"/>
                <w:szCs w:val="18"/>
                <w:highlight w:val="none"/>
              </w:rPr>
            </w:pPr>
          </w:p>
        </w:tc>
        <w:tc>
          <w:tcPr>
            <w:tcW w:w="652"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1</w:t>
            </w:r>
          </w:p>
        </w:tc>
        <w:tc>
          <w:tcPr>
            <w:tcW w:w="6644" w:type="dxa"/>
            <w:vAlign w:val="center"/>
          </w:tcPr>
          <w:p>
            <w:pPr>
              <w:widowControl/>
              <w:rPr>
                <w:rFonts w:ascii="宋体" w:hAnsi="宋体" w:cs="宋体"/>
                <w:color w:val="FF0000"/>
                <w:kern w:val="0"/>
                <w:sz w:val="18"/>
                <w:szCs w:val="18"/>
                <w:highlight w:val="none"/>
              </w:rPr>
            </w:pPr>
            <w:r>
              <w:rPr>
                <w:rFonts w:hint="eastAsia" w:ascii="宋体" w:hAnsi="宋体" w:cs="宋体"/>
                <w:color w:val="FF0000"/>
                <w:kern w:val="0"/>
                <w:sz w:val="18"/>
                <w:szCs w:val="18"/>
                <w:highlight w:val="none"/>
              </w:rPr>
              <w:t>是否提供合格的企业营业执照（或三证合一</w:t>
            </w:r>
            <w:r>
              <w:rPr>
                <w:rFonts w:hint="eastAsia" w:ascii="宋体" w:hAnsi="宋体" w:cs="宋体"/>
                <w:color w:val="FF0000"/>
                <w:kern w:val="0"/>
                <w:sz w:val="18"/>
                <w:szCs w:val="18"/>
                <w:highlight w:val="none"/>
                <w:lang w:eastAsia="zh-CN"/>
              </w:rPr>
              <w:t>、五证合一、</w:t>
            </w:r>
            <w:r>
              <w:rPr>
                <w:rFonts w:hint="eastAsia" w:ascii="宋体" w:hAnsi="宋体" w:cs="宋体"/>
                <w:color w:val="FF0000"/>
                <w:kern w:val="0"/>
                <w:sz w:val="18"/>
                <w:szCs w:val="18"/>
                <w:highlight w:val="none"/>
              </w:rPr>
              <w:t>须有相应经营范围）；</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2</w:t>
            </w:r>
          </w:p>
        </w:tc>
        <w:tc>
          <w:tcPr>
            <w:tcW w:w="6644" w:type="dxa"/>
            <w:vAlign w:val="center"/>
          </w:tcPr>
          <w:p>
            <w:pPr>
              <w:widowControl/>
              <w:rPr>
                <w:rFonts w:ascii="宋体" w:hAnsi="宋体" w:cs="宋体"/>
                <w:color w:val="FF0000"/>
                <w:kern w:val="0"/>
                <w:sz w:val="18"/>
                <w:szCs w:val="18"/>
                <w:highlight w:val="none"/>
              </w:rPr>
            </w:pPr>
            <w:r>
              <w:rPr>
                <w:rFonts w:hint="eastAsia" w:ascii="宋体" w:hAnsi="宋体" w:cs="宋体"/>
                <w:color w:val="FF0000"/>
                <w:kern w:val="0"/>
                <w:sz w:val="18"/>
                <w:szCs w:val="18"/>
                <w:highlight w:val="none"/>
                <w:lang w:eastAsia="zh-CN"/>
              </w:rPr>
              <w:t>投标文件是否按照规定进行胶装、标记的；</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default"/>
                <w:color w:val="FF0000"/>
                <w:sz w:val="18"/>
                <w:szCs w:val="18"/>
                <w:highlight w:val="none"/>
                <w:lang w:val="en-US" w:eastAsia="zh-CN"/>
              </w:rPr>
            </w:pPr>
            <w:r>
              <w:rPr>
                <w:rFonts w:hint="eastAsia"/>
                <w:color w:val="FF0000"/>
                <w:sz w:val="18"/>
                <w:szCs w:val="18"/>
                <w:highlight w:val="none"/>
                <w:lang w:val="en-US" w:eastAsia="zh-CN"/>
              </w:rPr>
              <w:t>3</w:t>
            </w:r>
          </w:p>
        </w:tc>
        <w:tc>
          <w:tcPr>
            <w:tcW w:w="6644" w:type="dxa"/>
            <w:vAlign w:val="center"/>
          </w:tcPr>
          <w:p>
            <w:pPr>
              <w:widowControl/>
              <w:rPr>
                <w:rFonts w:hint="eastAsia" w:ascii="宋体" w:hAnsi="宋体" w:cs="宋体"/>
                <w:color w:val="FF0000"/>
                <w:kern w:val="0"/>
                <w:sz w:val="18"/>
                <w:szCs w:val="18"/>
                <w:highlight w:val="none"/>
                <w:lang w:val="en-US" w:eastAsia="zh-CN"/>
              </w:rPr>
            </w:pPr>
            <w:r>
              <w:rPr>
                <w:rFonts w:hint="eastAsia" w:ascii="宋体" w:hAnsi="宋体" w:cs="宋体"/>
                <w:color w:val="FF0000"/>
                <w:kern w:val="0"/>
                <w:sz w:val="18"/>
                <w:szCs w:val="18"/>
                <w:highlight w:val="none"/>
                <w:lang w:val="en-US" w:eastAsia="zh-CN"/>
              </w:rPr>
              <w:t>提供配送车辆的机动车辆行驶证，驾驶员及配送人员健康证</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Merge w:val="restart"/>
            <w:vAlign w:val="center"/>
          </w:tcPr>
          <w:p>
            <w:pPr>
              <w:autoSpaceDE w:val="0"/>
              <w:autoSpaceDN w:val="0"/>
              <w:spacing w:line="0" w:lineRule="atLeast"/>
              <w:jc w:val="center"/>
              <w:rPr>
                <w:rFonts w:hint="default"/>
                <w:color w:val="FF0000"/>
                <w:sz w:val="18"/>
                <w:szCs w:val="18"/>
                <w:highlight w:val="none"/>
                <w:lang w:val="en-US" w:eastAsia="zh-CN"/>
              </w:rPr>
            </w:pPr>
            <w:r>
              <w:rPr>
                <w:rFonts w:hint="eastAsia"/>
                <w:color w:val="FF0000"/>
                <w:sz w:val="18"/>
                <w:szCs w:val="18"/>
                <w:highlight w:val="none"/>
                <w:lang w:val="en-US" w:eastAsia="zh-CN"/>
              </w:rPr>
              <w:t>4</w:t>
            </w:r>
          </w:p>
        </w:tc>
        <w:tc>
          <w:tcPr>
            <w:tcW w:w="6644" w:type="dxa"/>
            <w:vAlign w:val="center"/>
          </w:tcPr>
          <w:p>
            <w:pPr>
              <w:autoSpaceDE w:val="0"/>
              <w:autoSpaceDN w:val="0"/>
              <w:spacing w:line="240" w:lineRule="atLeast"/>
              <w:rPr>
                <w:color w:val="FF0000"/>
                <w:sz w:val="18"/>
                <w:szCs w:val="18"/>
                <w:highlight w:val="none"/>
              </w:rPr>
            </w:pPr>
            <w:r>
              <w:rPr>
                <w:rFonts w:hint="eastAsia"/>
                <w:color w:val="FF0000"/>
                <w:sz w:val="18"/>
                <w:szCs w:val="18"/>
                <w:highlight w:val="none"/>
              </w:rPr>
              <w:t>符合《政府采购法》第二十二条规定的条件</w:t>
            </w:r>
          </w:p>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（一）具有独立承担民事责任的能力；</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（二）具有良好的商业信誉和健全的</w:t>
            </w:r>
            <w:r>
              <w:rPr>
                <w:color w:val="FF0000"/>
                <w:highlight w:val="none"/>
              </w:rPr>
              <w:fldChar w:fldCharType="begin"/>
            </w:r>
            <w:r>
              <w:rPr>
                <w:color w:val="FF0000"/>
                <w:highlight w:val="none"/>
              </w:rPr>
              <w:instrText xml:space="preserve"> HYPERLINK "https://www.baidu.com/s?wd=财务会计制度&amp;tn=SE_PcZhidaonwhc_ngpagmjz&amp;rsv_dl=gh_pc_zhidao" </w:instrText>
            </w:r>
            <w:r>
              <w:rPr>
                <w:color w:val="FF0000"/>
                <w:highlight w:val="none"/>
              </w:rPr>
              <w:fldChar w:fldCharType="separate"/>
            </w:r>
            <w:r>
              <w:rPr>
                <w:rFonts w:hint="eastAsia"/>
                <w:color w:val="FF0000"/>
                <w:sz w:val="18"/>
                <w:szCs w:val="18"/>
                <w:highlight w:val="none"/>
              </w:rPr>
              <w:t>财务会计制度</w:t>
            </w:r>
            <w:r>
              <w:rPr>
                <w:rFonts w:hint="eastAsia"/>
                <w:color w:val="FF0000"/>
                <w:sz w:val="18"/>
                <w:szCs w:val="18"/>
                <w:highlight w:val="none"/>
              </w:rPr>
              <w:fldChar w:fldCharType="end"/>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（三）具有履行合同所必需的设备和专业技术能力；</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（四）有依法缴纳税收和</w:t>
            </w:r>
            <w:r>
              <w:rPr>
                <w:color w:val="FF0000"/>
                <w:highlight w:val="none"/>
              </w:rPr>
              <w:fldChar w:fldCharType="begin"/>
            </w:r>
            <w:r>
              <w:rPr>
                <w:color w:val="FF0000"/>
                <w:highlight w:val="none"/>
              </w:rPr>
              <w:instrText xml:space="preserve"> HYPERLINK "https://www.baidu.com/s?wd=社会保障资金&amp;tn=SE_PcZhidaonwhc_ngpagmjz&amp;rsv_dl=gh_pc_zhidao" </w:instrText>
            </w:r>
            <w:r>
              <w:rPr>
                <w:color w:val="FF0000"/>
                <w:highlight w:val="none"/>
              </w:rPr>
              <w:fldChar w:fldCharType="separate"/>
            </w:r>
            <w:r>
              <w:rPr>
                <w:rFonts w:hint="eastAsia"/>
                <w:color w:val="FF0000"/>
                <w:sz w:val="18"/>
                <w:szCs w:val="18"/>
                <w:highlight w:val="none"/>
              </w:rPr>
              <w:t>社会保障资金</w:t>
            </w:r>
            <w:r>
              <w:rPr>
                <w:rFonts w:hint="eastAsia"/>
                <w:color w:val="FF0000"/>
                <w:sz w:val="18"/>
                <w:szCs w:val="18"/>
                <w:highlight w:val="none"/>
              </w:rPr>
              <w:fldChar w:fldCharType="end"/>
            </w:r>
            <w:r>
              <w:rPr>
                <w:rFonts w:hint="eastAsia"/>
                <w:color w:val="FF0000"/>
                <w:sz w:val="18"/>
                <w:szCs w:val="18"/>
                <w:highlight w:val="none"/>
              </w:rPr>
              <w:t>的良好记录；</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（五）参加政府采购活动前三年内，在经营活动中没有重大违法记录；</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default"/>
                <w:color w:val="FF0000"/>
                <w:sz w:val="18"/>
                <w:szCs w:val="18"/>
                <w:highlight w:val="none"/>
                <w:lang w:val="en-US" w:eastAsia="zh-CN"/>
              </w:rPr>
            </w:pPr>
            <w:r>
              <w:rPr>
                <w:rFonts w:hint="eastAsia"/>
                <w:color w:val="FF0000"/>
                <w:sz w:val="18"/>
                <w:szCs w:val="18"/>
                <w:highlight w:val="none"/>
                <w:lang w:val="en-US" w:eastAsia="zh-CN"/>
              </w:rPr>
              <w:t>5</w:t>
            </w:r>
          </w:p>
        </w:tc>
        <w:tc>
          <w:tcPr>
            <w:tcW w:w="6644" w:type="dxa"/>
            <w:vAlign w:val="center"/>
          </w:tcPr>
          <w:p>
            <w:pPr>
              <w:autoSpaceDE w:val="0"/>
              <w:autoSpaceDN w:val="0"/>
              <w:spacing w:line="240" w:lineRule="atLeast"/>
              <w:rPr>
                <w:rFonts w:hint="default" w:eastAsia="宋体"/>
                <w:color w:val="FF0000"/>
                <w:sz w:val="18"/>
                <w:szCs w:val="18"/>
                <w:highlight w:val="none"/>
                <w:lang w:val="en-US" w:eastAsia="zh-CN"/>
              </w:rPr>
            </w:pPr>
            <w:r>
              <w:rPr>
                <w:rFonts w:hint="eastAsia"/>
                <w:color w:val="FF0000"/>
                <w:sz w:val="18"/>
                <w:szCs w:val="18"/>
                <w:highlight w:val="none"/>
                <w:lang w:val="en-US" w:eastAsia="zh-CN"/>
              </w:rPr>
              <w:t>是否在规定日期内缴纳投标保证金</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restart"/>
            <w:vAlign w:val="center"/>
          </w:tcPr>
          <w:p>
            <w:pPr>
              <w:autoSpaceDE w:val="0"/>
              <w:autoSpaceDN w:val="0"/>
              <w:spacing w:line="0" w:lineRule="atLeast"/>
              <w:jc w:val="center"/>
              <w:rPr>
                <w:color w:val="FF0000"/>
                <w:sz w:val="18"/>
                <w:szCs w:val="18"/>
                <w:highlight w:val="none"/>
              </w:rPr>
            </w:pPr>
            <w:r>
              <w:rPr>
                <w:color w:val="FF0000"/>
                <w:sz w:val="18"/>
                <w:szCs w:val="18"/>
                <w:highlight w:val="none"/>
              </w:rPr>
              <w:t>响应性</w:t>
            </w:r>
          </w:p>
          <w:p>
            <w:pPr>
              <w:autoSpaceDE w:val="0"/>
              <w:autoSpaceDN w:val="0"/>
              <w:spacing w:line="0" w:lineRule="atLeast"/>
              <w:jc w:val="center"/>
              <w:rPr>
                <w:color w:val="FF0000"/>
                <w:sz w:val="18"/>
                <w:szCs w:val="18"/>
                <w:highlight w:val="none"/>
              </w:rPr>
            </w:pPr>
            <w:r>
              <w:rPr>
                <w:color w:val="FF0000"/>
                <w:sz w:val="18"/>
                <w:szCs w:val="18"/>
                <w:highlight w:val="none"/>
              </w:rPr>
              <w:t>评审</w:t>
            </w:r>
          </w:p>
        </w:tc>
        <w:tc>
          <w:tcPr>
            <w:tcW w:w="652"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1</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投标文件是否有投标单位法定代表人或其</w:t>
            </w:r>
            <w:r>
              <w:rPr>
                <w:rFonts w:hint="eastAsia"/>
                <w:color w:val="FF0000"/>
                <w:sz w:val="18"/>
                <w:szCs w:val="18"/>
                <w:highlight w:val="none"/>
              </w:rPr>
              <w:t>委托代理人（签字或签章）</w:t>
            </w:r>
            <w:r>
              <w:rPr>
                <w:color w:val="FF0000"/>
                <w:sz w:val="18"/>
                <w:szCs w:val="18"/>
                <w:highlight w:val="none"/>
              </w:rPr>
              <w:t>和加盖了投标单位的</w:t>
            </w:r>
            <w:r>
              <w:rPr>
                <w:rFonts w:hint="eastAsia"/>
                <w:color w:val="FF0000"/>
                <w:sz w:val="18"/>
                <w:szCs w:val="18"/>
                <w:highlight w:val="none"/>
              </w:rPr>
              <w:t>盖章，投标文件的装订是否符合招标文件要求；</w:t>
            </w:r>
          </w:p>
        </w:tc>
        <w:tc>
          <w:tcPr>
            <w:tcW w:w="612" w:type="dxa"/>
            <w:vAlign w:val="top"/>
          </w:tcPr>
          <w:p>
            <w:pPr>
              <w:autoSpaceDE w:val="0"/>
              <w:autoSpaceDN w:val="0"/>
              <w:spacing w:line="0" w:lineRule="atLeast"/>
              <w:jc w:val="left"/>
            </w:pPr>
          </w:p>
          <w:p>
            <w:pPr>
              <w:pStyle w:val="11"/>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autoSpaceDE w:val="0"/>
              <w:autoSpaceDN w:val="0"/>
              <w:spacing w:line="0" w:lineRule="atLeast"/>
              <w:jc w:val="center"/>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2</w:t>
            </w:r>
          </w:p>
        </w:tc>
        <w:tc>
          <w:tcPr>
            <w:tcW w:w="6644" w:type="dxa"/>
            <w:vAlign w:val="center"/>
          </w:tcPr>
          <w:p>
            <w:pPr>
              <w:autoSpaceDE w:val="0"/>
              <w:autoSpaceDN w:val="0"/>
              <w:spacing w:line="0" w:lineRule="atLeast"/>
              <w:rPr>
                <w:color w:val="FF0000"/>
                <w:sz w:val="18"/>
                <w:szCs w:val="18"/>
                <w:highlight w:val="none"/>
              </w:rPr>
            </w:pPr>
            <w:r>
              <w:rPr>
                <w:rFonts w:hint="eastAsia"/>
                <w:color w:val="FF0000"/>
                <w:sz w:val="18"/>
                <w:szCs w:val="18"/>
                <w:highlight w:val="none"/>
              </w:rPr>
              <w:t>投标文件组成是否完整</w:t>
            </w:r>
          </w:p>
        </w:tc>
        <w:tc>
          <w:tcPr>
            <w:tcW w:w="612" w:type="dxa"/>
            <w:vAlign w:val="top"/>
          </w:tcPr>
          <w:p>
            <w:pPr>
              <w:pStyle w:val="11"/>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3</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投标人是否对同一招标项目做出两个以上报价而未明确效力</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4</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技术性能、技术参数是否满足招标文件要求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5</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货物到货地点是否符合招标文件要求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6</w:t>
            </w:r>
          </w:p>
        </w:tc>
        <w:tc>
          <w:tcPr>
            <w:tcW w:w="6644" w:type="dxa"/>
            <w:vAlign w:val="center"/>
          </w:tcPr>
          <w:p>
            <w:pPr>
              <w:autoSpaceDE w:val="0"/>
              <w:autoSpaceDN w:val="0"/>
              <w:spacing w:line="0" w:lineRule="atLeast"/>
              <w:rPr>
                <w:color w:val="FF0000"/>
                <w:sz w:val="18"/>
                <w:szCs w:val="18"/>
                <w:highlight w:val="none"/>
              </w:rPr>
            </w:pPr>
            <w:r>
              <w:rPr>
                <w:rFonts w:hint="eastAsia"/>
                <w:color w:val="FF0000"/>
                <w:sz w:val="18"/>
                <w:szCs w:val="18"/>
                <w:highlight w:val="none"/>
                <w:lang w:val="en-US" w:eastAsia="zh-CN"/>
              </w:rPr>
              <w:t>项目实施计划、运输方案的编制是否具体详细</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7</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售后服务最是否满足招标文件要求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652"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8</w:t>
            </w:r>
          </w:p>
        </w:tc>
        <w:tc>
          <w:tcPr>
            <w:tcW w:w="6644" w:type="dxa"/>
            <w:vAlign w:val="center"/>
          </w:tcPr>
          <w:p>
            <w:pPr>
              <w:autoSpaceDE w:val="0"/>
              <w:autoSpaceDN w:val="0"/>
              <w:spacing w:line="0" w:lineRule="atLeast"/>
              <w:rPr>
                <w:color w:val="FF0000"/>
                <w:sz w:val="18"/>
                <w:szCs w:val="18"/>
                <w:highlight w:val="none"/>
              </w:rPr>
            </w:pPr>
            <w:r>
              <w:rPr>
                <w:color w:val="FF0000"/>
                <w:sz w:val="18"/>
                <w:szCs w:val="18"/>
                <w:highlight w:val="none"/>
              </w:rPr>
              <w:t>投标文件是否附有招标人不能接受的条件</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bl>
    <w:p>
      <w:pPr>
        <w:spacing w:line="360" w:lineRule="auto"/>
        <w:rPr>
          <w:rFonts w:ascii="宋体" w:hAnsi="宋体"/>
          <w:b/>
          <w:bCs/>
          <w:color w:val="FF0000"/>
          <w:sz w:val="24"/>
          <w:highlight w:val="none"/>
        </w:rPr>
      </w:pPr>
    </w:p>
    <w:p>
      <w:pPr>
        <w:spacing w:line="360" w:lineRule="auto"/>
        <w:rPr>
          <w:rFonts w:ascii="宋体"/>
          <w:b/>
          <w:bCs/>
          <w:color w:val="auto"/>
          <w:sz w:val="24"/>
          <w:highlight w:val="none"/>
        </w:rPr>
      </w:pPr>
      <w:r>
        <w:rPr>
          <w:rFonts w:ascii="宋体" w:hAnsi="宋体"/>
          <w:b/>
          <w:bCs/>
          <w:color w:val="auto"/>
          <w:sz w:val="24"/>
          <w:highlight w:val="none"/>
        </w:rPr>
        <w:t>25.</w:t>
      </w:r>
      <w:r>
        <w:rPr>
          <w:rFonts w:ascii="宋体" w:hAnsi="宋体"/>
          <w:b/>
          <w:bCs/>
          <w:color w:val="auto"/>
          <w:sz w:val="24"/>
          <w:highlight w:val="none"/>
        </w:rPr>
        <w:tab/>
      </w:r>
      <w:r>
        <w:rPr>
          <w:rFonts w:hint="eastAsia" w:ascii="宋体" w:hAnsi="宋体"/>
          <w:b/>
          <w:bCs/>
          <w:color w:val="auto"/>
          <w:sz w:val="24"/>
          <w:highlight w:val="none"/>
        </w:rPr>
        <w:t>接受和拒绝任何或所有投标的权力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25.1</w:t>
      </w:r>
      <w:r>
        <w:rPr>
          <w:rFonts w:ascii="宋体" w:hAnsi="宋体"/>
          <w:color w:val="auto"/>
          <w:sz w:val="24"/>
          <w:highlight w:val="none"/>
        </w:rPr>
        <w:tab/>
      </w:r>
      <w:r>
        <w:rPr>
          <w:rFonts w:hint="eastAsia" w:ascii="宋体" w:hAnsi="宋体"/>
          <w:color w:val="auto"/>
          <w:sz w:val="24"/>
          <w:highlight w:val="none"/>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color w:val="auto"/>
          <w:sz w:val="24"/>
          <w:highlight w:val="none"/>
        </w:rPr>
        <w:t>25.2</w:t>
      </w:r>
      <w:r>
        <w:rPr>
          <w:rFonts w:ascii="宋体" w:hAnsi="宋体"/>
          <w:color w:val="auto"/>
          <w:sz w:val="24"/>
          <w:highlight w:val="none"/>
        </w:rPr>
        <w:tab/>
      </w:r>
      <w:r>
        <w:rPr>
          <w:rFonts w:hint="eastAsia" w:ascii="宋体" w:hAnsi="宋体"/>
          <w:color w:val="auto"/>
          <w:sz w:val="24"/>
          <w:highlight w:val="none"/>
        </w:rPr>
        <w:t>招标人有权根据评标情况决定接受其全部或部分的投标。</w:t>
      </w:r>
    </w:p>
    <w:p>
      <w:pPr>
        <w:spacing w:line="360" w:lineRule="auto"/>
        <w:ind w:left="718" w:leftChars="1" w:hanging="716" w:hangingChars="297"/>
        <w:jc w:val="center"/>
        <w:rPr>
          <w:rFonts w:ascii="宋体" w:hAnsi="宋体"/>
          <w:b/>
          <w:color w:val="auto"/>
          <w:sz w:val="24"/>
          <w:highlight w:val="none"/>
        </w:rPr>
      </w:pPr>
    </w:p>
    <w:p>
      <w:pPr>
        <w:spacing w:line="360" w:lineRule="auto"/>
        <w:ind w:left="718" w:leftChars="1" w:hanging="716" w:hangingChars="297"/>
        <w:jc w:val="center"/>
        <w:rPr>
          <w:rFonts w:ascii="宋体" w:hAnsi="宋体"/>
          <w:b/>
          <w:color w:val="auto"/>
          <w:sz w:val="24"/>
          <w:highlight w:val="none"/>
        </w:rPr>
      </w:pPr>
    </w:p>
    <w:p>
      <w:pPr>
        <w:spacing w:line="360" w:lineRule="auto"/>
        <w:ind w:left="718" w:leftChars="1" w:hanging="716" w:hangingChars="297"/>
        <w:jc w:val="center"/>
        <w:rPr>
          <w:rFonts w:ascii="宋体"/>
          <w:color w:val="auto"/>
          <w:sz w:val="24"/>
          <w:highlight w:val="none"/>
        </w:rPr>
      </w:pPr>
      <w:r>
        <w:rPr>
          <w:rFonts w:ascii="宋体" w:hAnsi="宋体"/>
          <w:b/>
          <w:color w:val="auto"/>
          <w:sz w:val="24"/>
          <w:highlight w:val="none"/>
        </w:rPr>
        <w:t xml:space="preserve">F   </w:t>
      </w:r>
      <w:r>
        <w:rPr>
          <w:rFonts w:hint="eastAsia" w:ascii="宋体" w:hAnsi="宋体"/>
          <w:b/>
          <w:color w:val="auto"/>
          <w:sz w:val="24"/>
          <w:highlight w:val="none"/>
        </w:rPr>
        <w:t>中标及合同签订</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中标通知</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auto"/>
          <w:sz w:val="24"/>
          <w:highlight w:val="none"/>
        </w:rPr>
        <w:t>26.1</w:t>
      </w:r>
      <w:r>
        <w:rPr>
          <w:rFonts w:ascii="宋体" w:hAnsi="宋体"/>
          <w:color w:val="auto"/>
          <w:sz w:val="24"/>
          <w:highlight w:val="none"/>
        </w:rPr>
        <w:tab/>
      </w:r>
      <w:r>
        <w:rPr>
          <w:rFonts w:hint="eastAsia" w:ascii="宋体" w:hAnsi="宋体"/>
          <w:color w:val="000000" w:themeColor="text1"/>
          <w:sz w:val="24"/>
          <w:highlight w:val="none"/>
          <w14:textFill>
            <w14:solidFill>
              <w14:schemeClr w14:val="tx1"/>
            </w14:solidFill>
          </w14:textFill>
        </w:rPr>
        <w:t>评标结束后，招标人将当众宣布评标结果，并在“新疆维吾尔自治区政府采购网”（网址：http://www.ccgp-xinjiang.gov.cn/）上予以公告。公告有效期1个</w:t>
      </w:r>
      <w:r>
        <w:rPr>
          <w:rFonts w:hint="eastAsia" w:ascii="宋体" w:hAnsi="宋体"/>
          <w:color w:val="000000" w:themeColor="text1"/>
          <w:sz w:val="24"/>
          <w:highlight w:val="none"/>
          <w:lang w:val="en-US" w:eastAsia="zh-CN"/>
          <w14:textFill>
            <w14:solidFill>
              <w14:schemeClr w14:val="tx1"/>
            </w14:solidFill>
          </w14:textFill>
        </w:rPr>
        <w:t>工作日</w:t>
      </w:r>
      <w:r>
        <w:rPr>
          <w:rFonts w:hint="eastAsia" w:ascii="宋体" w:hAnsi="宋体"/>
          <w:color w:val="000000" w:themeColor="text1"/>
          <w:sz w:val="24"/>
          <w:highlight w:val="none"/>
          <w14:textFill>
            <w14:solidFill>
              <w14:schemeClr w14:val="tx1"/>
            </w14:solidFill>
          </w14:textFill>
        </w:rPr>
        <w:t>；</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26.2</w:t>
      </w:r>
      <w:r>
        <w:rPr>
          <w:rFonts w:ascii="宋体" w:hAnsi="宋体"/>
          <w:color w:val="auto"/>
          <w:sz w:val="24"/>
          <w:highlight w:val="none"/>
        </w:rPr>
        <w:tab/>
      </w:r>
      <w:r>
        <w:rPr>
          <w:rFonts w:hint="eastAsia" w:ascii="宋体" w:hAnsi="宋体"/>
          <w:color w:val="auto"/>
          <w:sz w:val="24"/>
          <w:highlight w:val="none"/>
        </w:rPr>
        <w:t>公告期满后，招标人将签发《中标通知书》给中标人；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26.3</w:t>
      </w:r>
      <w:r>
        <w:rPr>
          <w:rFonts w:ascii="宋体" w:hAnsi="宋体"/>
          <w:color w:val="auto"/>
          <w:sz w:val="24"/>
          <w:highlight w:val="none"/>
        </w:rPr>
        <w:tab/>
      </w:r>
      <w:r>
        <w:rPr>
          <w:rFonts w:hint="eastAsia" w:ascii="宋体" w:hAnsi="宋体"/>
          <w:color w:val="auto"/>
          <w:sz w:val="24"/>
          <w:highlight w:val="none"/>
        </w:rPr>
        <w:t>招标人不向落标的投标人解释落标原因，不退还投标文件；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26.4</w:t>
      </w:r>
      <w:r>
        <w:rPr>
          <w:rFonts w:ascii="宋体" w:hAnsi="宋体"/>
          <w:color w:val="auto"/>
          <w:sz w:val="24"/>
          <w:highlight w:val="none"/>
        </w:rPr>
        <w:tab/>
      </w:r>
      <w:r>
        <w:rPr>
          <w:rFonts w:hint="eastAsia" w:ascii="宋体" w:hAnsi="宋体"/>
          <w:color w:val="auto"/>
          <w:sz w:val="24"/>
          <w:highlight w:val="none"/>
        </w:rPr>
        <w:t>投标人对评标结果有异议的，按本招标文件第</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31</w:t>
      </w:r>
      <w:r>
        <w:rPr>
          <w:rFonts w:hint="eastAsia" w:ascii="宋体" w:hAnsi="宋体"/>
          <w:color w:val="auto"/>
          <w:sz w:val="24"/>
          <w:highlight w:val="none"/>
        </w:rPr>
        <w:t>条办理。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合同签订</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27.1</w:t>
      </w:r>
      <w:r>
        <w:rPr>
          <w:rFonts w:ascii="宋体" w:hAnsi="宋体"/>
          <w:color w:val="auto"/>
          <w:sz w:val="24"/>
          <w:highlight w:val="none"/>
        </w:rPr>
        <w:tab/>
      </w:r>
      <w:r>
        <w:rPr>
          <w:rFonts w:hint="eastAsia" w:ascii="宋体" w:hAnsi="宋体"/>
          <w:color w:val="auto"/>
          <w:sz w:val="24"/>
          <w:highlight w:val="none"/>
        </w:rPr>
        <w:t>中标人依据《中标通知书》与采购人签订采购合同，签订时间为《中标通知书》发出之日起</w:t>
      </w:r>
      <w:r>
        <w:rPr>
          <w:rFonts w:hint="eastAsia" w:ascii="宋体" w:hAnsi="宋体"/>
          <w:color w:val="auto"/>
          <w:sz w:val="24"/>
          <w:highlight w:val="none"/>
          <w:lang w:val="en-US" w:eastAsia="zh-CN"/>
        </w:rPr>
        <w:t>7个工作</w:t>
      </w:r>
      <w:r>
        <w:rPr>
          <w:rFonts w:hint="eastAsia" w:ascii="宋体" w:hAnsi="宋体"/>
          <w:color w:val="auto"/>
          <w:sz w:val="24"/>
          <w:highlight w:val="none"/>
        </w:rPr>
        <w:t>日内；</w:t>
      </w:r>
    </w:p>
    <w:p>
      <w:pPr>
        <w:spacing w:line="360" w:lineRule="auto"/>
        <w:ind w:left="714" w:leftChars="1" w:hanging="712" w:hangingChars="297"/>
        <w:rPr>
          <w:rFonts w:ascii="宋体"/>
          <w:color w:val="auto"/>
          <w:sz w:val="24"/>
          <w:highlight w:val="none"/>
        </w:rPr>
      </w:pPr>
      <w:r>
        <w:rPr>
          <w:rFonts w:ascii="宋体" w:hAnsi="宋体"/>
          <w:color w:val="auto"/>
          <w:sz w:val="24"/>
          <w:szCs w:val="20"/>
          <w:highlight w:val="none"/>
        </w:rPr>
        <w:t>27.2</w:t>
      </w:r>
      <w:r>
        <w:rPr>
          <w:rFonts w:ascii="宋体" w:hAnsi="宋体"/>
          <w:color w:val="auto"/>
          <w:sz w:val="24"/>
          <w:szCs w:val="20"/>
          <w:highlight w:val="none"/>
        </w:rPr>
        <w:tab/>
      </w:r>
      <w:r>
        <w:rPr>
          <w:rFonts w:hint="eastAsia" w:ascii="宋体" w:hAnsi="宋体"/>
          <w:color w:val="auto"/>
          <w:sz w:val="24"/>
          <w:szCs w:val="20"/>
          <w:highlight w:val="none"/>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27.3</w:t>
      </w:r>
      <w:r>
        <w:rPr>
          <w:rFonts w:ascii="宋体" w:hAnsi="宋体"/>
          <w:color w:val="auto"/>
          <w:sz w:val="24"/>
          <w:highlight w:val="none"/>
        </w:rPr>
        <w:tab/>
      </w:r>
      <w:r>
        <w:rPr>
          <w:rFonts w:hint="eastAsia" w:ascii="宋体" w:hAnsi="宋体"/>
          <w:color w:val="auto"/>
          <w:sz w:val="24"/>
          <w:highlight w:val="none"/>
        </w:rPr>
        <w:t>招标文件（含修改文件）、中标人的投标文件（含书面答疑文件）均为签订采购合同的依据；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27.4</w:t>
      </w:r>
      <w:r>
        <w:rPr>
          <w:rFonts w:ascii="宋体" w:hAnsi="宋体"/>
          <w:color w:val="auto"/>
          <w:sz w:val="24"/>
          <w:highlight w:val="none"/>
        </w:rPr>
        <w:tab/>
      </w:r>
      <w:r>
        <w:rPr>
          <w:rFonts w:hint="eastAsia" w:ascii="宋体" w:hAnsi="宋体"/>
          <w:color w:val="auto"/>
          <w:sz w:val="24"/>
          <w:highlight w:val="none"/>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27.5</w:t>
      </w:r>
      <w:r>
        <w:rPr>
          <w:rFonts w:ascii="宋体" w:hAnsi="宋体"/>
          <w:color w:val="auto"/>
          <w:sz w:val="24"/>
          <w:highlight w:val="none"/>
        </w:rPr>
        <w:tab/>
      </w:r>
      <w:r>
        <w:rPr>
          <w:rFonts w:hint="eastAsia" w:ascii="宋体" w:hAnsi="宋体"/>
          <w:color w:val="auto"/>
          <w:sz w:val="24"/>
          <w:highlight w:val="none"/>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27.6</w:t>
      </w:r>
      <w:r>
        <w:rPr>
          <w:rFonts w:ascii="宋体" w:hAnsi="宋体"/>
          <w:color w:val="auto"/>
          <w:sz w:val="24"/>
          <w:highlight w:val="none"/>
        </w:rPr>
        <w:tab/>
      </w:r>
      <w:r>
        <w:rPr>
          <w:rFonts w:hint="eastAsia" w:ascii="宋体" w:hAnsi="宋体"/>
          <w:color w:val="auto"/>
          <w:sz w:val="24"/>
          <w:highlight w:val="none"/>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color w:val="auto"/>
          <w:sz w:val="24"/>
          <w:highlight w:val="none"/>
        </w:rPr>
      </w:pPr>
      <w:r>
        <w:rPr>
          <w:rFonts w:ascii="宋体" w:hAnsi="宋体"/>
          <w:b/>
          <w:bCs/>
          <w:color w:val="auto"/>
          <w:sz w:val="24"/>
          <w:highlight w:val="none"/>
        </w:rPr>
        <w:t xml:space="preserve">G   </w:t>
      </w:r>
      <w:r>
        <w:rPr>
          <w:rFonts w:hint="eastAsia" w:ascii="宋体" w:hAnsi="宋体"/>
          <w:b/>
          <w:bCs/>
          <w:color w:val="auto"/>
          <w:sz w:val="24"/>
          <w:highlight w:val="none"/>
        </w:rPr>
        <w:t>法律责任</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28</w:t>
      </w:r>
      <w:r>
        <w:rPr>
          <w:rFonts w:hint="eastAsia" w:ascii="宋体" w:hAnsi="宋体"/>
          <w:b/>
          <w:color w:val="auto"/>
          <w:sz w:val="24"/>
          <w:highlight w:val="none"/>
        </w:rPr>
        <w:t>．</w:t>
      </w:r>
      <w:r>
        <w:rPr>
          <w:rFonts w:ascii="宋体"/>
          <w:b/>
          <w:color w:val="auto"/>
          <w:sz w:val="24"/>
          <w:highlight w:val="none"/>
        </w:rPr>
        <w:tab/>
      </w:r>
      <w:r>
        <w:rPr>
          <w:rFonts w:hint="eastAsia" w:ascii="宋体" w:hAnsi="宋体"/>
          <w:b/>
          <w:color w:val="auto"/>
          <w:sz w:val="24"/>
          <w:highlight w:val="none"/>
        </w:rPr>
        <w:t>法律责任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28.1</w:t>
      </w:r>
      <w:r>
        <w:rPr>
          <w:rFonts w:ascii="宋体" w:hAnsi="宋体"/>
          <w:color w:val="auto"/>
          <w:sz w:val="24"/>
          <w:szCs w:val="20"/>
          <w:highlight w:val="none"/>
        </w:rPr>
        <w:tab/>
      </w:r>
      <w:r>
        <w:rPr>
          <w:rFonts w:hint="eastAsia" w:ascii="宋体" w:hAnsi="宋体"/>
          <w:color w:val="auto"/>
          <w:sz w:val="24"/>
          <w:szCs w:val="20"/>
          <w:highlight w:val="none"/>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（一）提供虚假材料谋取中标的；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（二）采取不正当手段诋毁、排挤其他投标人的；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（三）与招标人、采购人、其他投标人恶意串通的；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（四）向招标人、采购人行贿或者提供其他不正当利益的；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（五）在招标过程中与招标人、采购人进行协商谈判、不按照招标文件、投标文件订立合同，或者与采购人另行订立背离合同实质性内容的协议的；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（六）拒绝有关部门监督检查或者提供虚假情况的。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投标人有前款第（一）至（五）项情形之一的，中标无效。</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28.2</w:t>
      </w:r>
      <w:r>
        <w:rPr>
          <w:rFonts w:ascii="宋体" w:hAnsi="宋体"/>
          <w:color w:val="auto"/>
          <w:sz w:val="24"/>
          <w:szCs w:val="20"/>
          <w:highlight w:val="none"/>
        </w:rPr>
        <w:tab/>
      </w:r>
      <w:r>
        <w:rPr>
          <w:rFonts w:hint="eastAsia" w:ascii="宋体" w:hAnsi="宋体"/>
          <w:color w:val="auto"/>
          <w:sz w:val="24"/>
          <w:szCs w:val="20"/>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（一）中标后无正当理由不与采购人签订合同的；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（二）将中标项目转让给他人，或者在投标文件中未说明，且未经招标人同意，将中标项目分包给他人的；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（三）拒绝履行合同义务的。</w:t>
      </w:r>
    </w:p>
    <w:p>
      <w:pPr>
        <w:spacing w:line="360" w:lineRule="auto"/>
        <w:jc w:val="center"/>
        <w:rPr>
          <w:rFonts w:ascii="宋体"/>
          <w:b/>
          <w:color w:val="auto"/>
          <w:sz w:val="24"/>
          <w:highlight w:val="none"/>
        </w:rPr>
      </w:pPr>
      <w:r>
        <w:rPr>
          <w:rFonts w:ascii="宋体" w:hAnsi="宋体"/>
          <w:b/>
          <w:color w:val="auto"/>
          <w:sz w:val="24"/>
          <w:highlight w:val="none"/>
        </w:rPr>
        <w:t xml:space="preserve">H   </w:t>
      </w:r>
      <w:r>
        <w:rPr>
          <w:rFonts w:hint="eastAsia" w:ascii="宋体" w:hAnsi="宋体"/>
          <w:b/>
          <w:color w:val="auto"/>
          <w:sz w:val="24"/>
          <w:highlight w:val="none"/>
        </w:rPr>
        <w:t>验收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货物验收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29.1</w:t>
      </w:r>
      <w:r>
        <w:rPr>
          <w:rFonts w:ascii="宋体" w:hAnsi="宋体"/>
          <w:color w:val="auto"/>
          <w:sz w:val="24"/>
          <w:highlight w:val="none"/>
        </w:rPr>
        <w:tab/>
      </w:r>
      <w:r>
        <w:rPr>
          <w:rFonts w:hint="eastAsia" w:ascii="宋体" w:hAnsi="宋体"/>
          <w:color w:val="auto"/>
          <w:sz w:val="24"/>
          <w:highlight w:val="none"/>
        </w:rPr>
        <w:t>验收按本招标文件《采购合同》范本一般条款第七条的规定执行。</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29.2</w:t>
      </w:r>
      <w:r>
        <w:rPr>
          <w:rFonts w:ascii="宋体" w:hAnsi="宋体"/>
          <w:color w:val="auto"/>
          <w:sz w:val="24"/>
          <w:highlight w:val="none"/>
        </w:rPr>
        <w:tab/>
      </w:r>
      <w:r>
        <w:rPr>
          <w:rFonts w:hint="eastAsia" w:ascii="宋体" w:hAnsi="宋体"/>
          <w:color w:val="auto"/>
          <w:sz w:val="24"/>
          <w:highlight w:val="none"/>
        </w:rPr>
        <w:t>验收过程中，采购人将委托专业检测部门对货物本身的性能进行检测验收。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29.3</w:t>
      </w:r>
      <w:r>
        <w:rPr>
          <w:rFonts w:ascii="宋体" w:hAnsi="宋体"/>
          <w:color w:val="auto"/>
          <w:sz w:val="24"/>
          <w:highlight w:val="none"/>
        </w:rPr>
        <w:tab/>
      </w:r>
      <w:r>
        <w:rPr>
          <w:rFonts w:hint="eastAsia" w:ascii="宋体" w:hAnsi="宋体"/>
          <w:color w:val="auto"/>
          <w:sz w:val="24"/>
          <w:highlight w:val="none"/>
        </w:rPr>
        <w:t>一次性验收合格的项目</w:t>
      </w:r>
      <w:r>
        <w:rPr>
          <w:rFonts w:ascii="宋体" w:hAnsi="宋体"/>
          <w:color w:val="auto"/>
          <w:sz w:val="24"/>
          <w:highlight w:val="none"/>
        </w:rPr>
        <w:t>(</w:t>
      </w:r>
      <w:r>
        <w:rPr>
          <w:rFonts w:hint="eastAsia" w:ascii="宋体" w:hAnsi="宋体"/>
          <w:color w:val="auto"/>
          <w:sz w:val="24"/>
          <w:highlight w:val="none"/>
        </w:rPr>
        <w:t>另有规定除外</w:t>
      </w:r>
      <w:r>
        <w:rPr>
          <w:rFonts w:ascii="宋体" w:hAnsi="宋体"/>
          <w:color w:val="auto"/>
          <w:sz w:val="24"/>
          <w:highlight w:val="none"/>
        </w:rPr>
        <w:t>)</w:t>
      </w:r>
      <w:r>
        <w:rPr>
          <w:rFonts w:hint="eastAsia" w:ascii="宋体" w:hAnsi="宋体"/>
          <w:color w:val="auto"/>
          <w:sz w:val="24"/>
          <w:highlight w:val="none"/>
        </w:rPr>
        <w:t>；因为验收不合格而影响《采购合同》的正常履行，由违约方承担违约责任。</w:t>
      </w:r>
    </w:p>
    <w:p>
      <w:pPr>
        <w:spacing w:line="360" w:lineRule="auto"/>
        <w:jc w:val="center"/>
        <w:rPr>
          <w:rFonts w:ascii="宋体"/>
          <w:b/>
          <w:color w:val="auto"/>
          <w:sz w:val="24"/>
          <w:highlight w:val="none"/>
        </w:rPr>
      </w:pPr>
      <w:r>
        <w:rPr>
          <w:rFonts w:ascii="宋体" w:hAnsi="宋体"/>
          <w:b/>
          <w:color w:val="auto"/>
          <w:sz w:val="24"/>
          <w:highlight w:val="none"/>
        </w:rPr>
        <w:t xml:space="preserve">I   </w:t>
      </w:r>
      <w:r>
        <w:rPr>
          <w:rFonts w:hint="eastAsia" w:ascii="宋体" w:hAnsi="宋体"/>
          <w:b/>
          <w:color w:val="auto"/>
          <w:sz w:val="24"/>
          <w:highlight w:val="none"/>
        </w:rPr>
        <w:t>质疑与投诉</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质疑</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30.1</w:t>
      </w:r>
      <w:r>
        <w:rPr>
          <w:rFonts w:ascii="宋体" w:hAnsi="宋体"/>
          <w:color w:val="auto"/>
          <w:sz w:val="24"/>
          <w:szCs w:val="20"/>
          <w:highlight w:val="none"/>
        </w:rPr>
        <w:tab/>
      </w:r>
      <w:r>
        <w:rPr>
          <w:rFonts w:hint="eastAsia" w:ascii="宋体" w:hAnsi="宋体"/>
          <w:color w:val="auto"/>
          <w:sz w:val="24"/>
          <w:szCs w:val="20"/>
          <w:highlight w:val="none"/>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30.2</w:t>
      </w:r>
      <w:r>
        <w:rPr>
          <w:rFonts w:ascii="宋体" w:hAnsi="宋体"/>
          <w:color w:val="auto"/>
          <w:sz w:val="24"/>
          <w:szCs w:val="20"/>
          <w:highlight w:val="none"/>
        </w:rPr>
        <w:tab/>
      </w:r>
      <w:r>
        <w:rPr>
          <w:rFonts w:hint="eastAsia" w:ascii="宋体" w:hAnsi="宋体"/>
          <w:color w:val="auto"/>
          <w:sz w:val="24"/>
          <w:szCs w:val="20"/>
          <w:highlight w:val="none"/>
        </w:rPr>
        <w:t>招标人应当在收到投标人书面质疑后七个工作日内，对质疑内容作出答复，但涉及商业秘密内容的除外；</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30.3</w:t>
      </w:r>
      <w:r>
        <w:rPr>
          <w:rFonts w:ascii="宋体" w:hAnsi="宋体"/>
          <w:color w:val="auto"/>
          <w:sz w:val="24"/>
          <w:szCs w:val="20"/>
          <w:highlight w:val="none"/>
        </w:rPr>
        <w:tab/>
      </w:r>
      <w:r>
        <w:rPr>
          <w:rFonts w:hint="eastAsia" w:ascii="宋体" w:hAnsi="宋体"/>
          <w:color w:val="auto"/>
          <w:sz w:val="24"/>
          <w:szCs w:val="20"/>
          <w:highlight w:val="none"/>
        </w:rPr>
        <w:t>投标人须对质疑内容的真实性承担责任。</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投诉</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31.1</w:t>
      </w:r>
      <w:r>
        <w:rPr>
          <w:rFonts w:ascii="宋体" w:hAnsi="宋体"/>
          <w:color w:val="auto"/>
          <w:sz w:val="24"/>
          <w:szCs w:val="20"/>
          <w:highlight w:val="none"/>
        </w:rPr>
        <w:tab/>
      </w:r>
      <w:r>
        <w:rPr>
          <w:rFonts w:hint="eastAsia" w:ascii="宋体" w:hAnsi="宋体"/>
          <w:color w:val="auto"/>
          <w:sz w:val="24"/>
          <w:szCs w:val="20"/>
          <w:highlight w:val="none"/>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hint="eastAsia" w:ascii="宋体" w:hAnsi="宋体"/>
          <w:color w:val="auto"/>
          <w:sz w:val="24"/>
          <w:szCs w:val="20"/>
          <w:highlight w:val="none"/>
        </w:rPr>
      </w:pPr>
      <w:r>
        <w:rPr>
          <w:rFonts w:ascii="宋体" w:hAnsi="宋体"/>
          <w:color w:val="auto"/>
          <w:sz w:val="24"/>
          <w:szCs w:val="20"/>
          <w:highlight w:val="none"/>
        </w:rPr>
        <w:t>31.2</w:t>
      </w:r>
      <w:r>
        <w:rPr>
          <w:rFonts w:ascii="宋体" w:hAnsi="宋体"/>
          <w:color w:val="auto"/>
          <w:sz w:val="24"/>
          <w:szCs w:val="20"/>
          <w:highlight w:val="none"/>
        </w:rPr>
        <w:tab/>
      </w:r>
      <w:r>
        <w:rPr>
          <w:rFonts w:hint="eastAsia" w:ascii="宋体" w:hAnsi="宋体"/>
          <w:color w:val="auto"/>
          <w:sz w:val="24"/>
          <w:szCs w:val="20"/>
          <w:highlight w:val="none"/>
        </w:rPr>
        <w:t>处理投诉事项期间，财政部门可以视具体情况书面通知招标采购单位暂停签订合同等活动，但暂停时间最长不得超过三十日。</w:t>
      </w:r>
    </w:p>
    <w:p>
      <w:pPr>
        <w:spacing w:line="448" w:lineRule="atLeast"/>
        <w:ind w:left="714" w:leftChars="1" w:hanging="712" w:hangingChars="297"/>
        <w:rPr>
          <w:color w:val="auto"/>
          <w:highlight w:val="none"/>
        </w:rPr>
      </w:pPr>
      <w:r>
        <w:rPr>
          <w:rFonts w:hint="eastAsia" w:ascii="宋体" w:hAnsi="宋体"/>
          <w:color w:val="auto"/>
          <w:sz w:val="24"/>
          <w:szCs w:val="20"/>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ind w:firstLine="2249" w:firstLineChars="700"/>
        <w:jc w:val="left"/>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第三章·清单及说明</w:t>
      </w:r>
    </w:p>
    <w:p>
      <w:pPr>
        <w:spacing w:line="448" w:lineRule="atLeast"/>
        <w:rPr>
          <w:rFonts w:hint="eastAsia" w:ascii="宋体" w:hAnsi="宋体"/>
          <w:b/>
          <w:bCs/>
          <w:color w:val="auto"/>
          <w:sz w:val="24"/>
          <w:szCs w:val="20"/>
          <w:highlight w:val="none"/>
          <w:lang w:val="en-US" w:eastAsia="zh-CN"/>
        </w:rPr>
      </w:pPr>
    </w:p>
    <w:p>
      <w:pPr>
        <w:spacing w:line="448" w:lineRule="atLeast"/>
        <w:rPr>
          <w:rFonts w:hint="eastAsia" w:ascii="宋体" w:hAnsi="宋体"/>
          <w:b/>
          <w:bCs/>
          <w:color w:val="auto"/>
          <w:sz w:val="24"/>
          <w:szCs w:val="20"/>
          <w:highlight w:val="none"/>
          <w:lang w:val="en-US" w:eastAsia="zh-CN"/>
        </w:rPr>
      </w:pPr>
    </w:p>
    <w:tbl>
      <w:tblPr>
        <w:tblStyle w:val="31"/>
        <w:tblW w:w="7290" w:type="dxa"/>
        <w:jc w:val="center"/>
        <w:tblInd w:w="0" w:type="dxa"/>
        <w:shd w:val="clear" w:color="auto" w:fill="auto"/>
        <w:tblLayout w:type="fixed"/>
        <w:tblCellMar>
          <w:top w:w="0" w:type="dxa"/>
          <w:left w:w="0" w:type="dxa"/>
          <w:bottom w:w="0" w:type="dxa"/>
          <w:right w:w="0" w:type="dxa"/>
        </w:tblCellMar>
      </w:tblPr>
      <w:tblGrid>
        <w:gridCol w:w="900"/>
        <w:gridCol w:w="1080"/>
        <w:gridCol w:w="615"/>
        <w:gridCol w:w="1320"/>
        <w:gridCol w:w="1110"/>
        <w:gridCol w:w="1020"/>
        <w:gridCol w:w="1245"/>
      </w:tblGrid>
      <w:tr>
        <w:tblPrEx>
          <w:shd w:val="clear" w:color="auto" w:fill="auto"/>
          <w:tblLayout w:type="fixed"/>
          <w:tblCellMar>
            <w:top w:w="0" w:type="dxa"/>
            <w:left w:w="0" w:type="dxa"/>
            <w:bottom w:w="0" w:type="dxa"/>
            <w:right w:w="0" w:type="dxa"/>
          </w:tblCellMar>
        </w:tblPrEx>
        <w:trPr>
          <w:trHeight w:val="43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包段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原料</w:t>
            </w:r>
            <w:r>
              <w:rPr>
                <w:rFonts w:hint="eastAsia" w:ascii="仿宋_GB2312" w:hAnsi="Tahoma" w:eastAsia="仿宋_GB2312" w:cs="仿宋_GB2312"/>
                <w:b/>
                <w:i w:val="0"/>
                <w:color w:val="000000"/>
                <w:kern w:val="0"/>
                <w:sz w:val="20"/>
                <w:szCs w:val="20"/>
                <w:u w:val="none"/>
                <w:lang w:val="en-US" w:eastAsia="zh-CN" w:bidi="ar"/>
              </w:rPr>
              <w:br w:type="textWrapping"/>
            </w:r>
            <w:r>
              <w:rPr>
                <w:rFonts w:hint="eastAsia" w:ascii="仿宋_GB2312" w:hAnsi="Tahoma" w:eastAsia="仿宋_GB2312" w:cs="仿宋_GB2312"/>
                <w:b/>
                <w:i w:val="0"/>
                <w:color w:val="000000"/>
                <w:kern w:val="0"/>
                <w:sz w:val="20"/>
                <w:szCs w:val="20"/>
                <w:u w:val="none"/>
                <w:lang w:val="en-US" w:eastAsia="zh-CN" w:bidi="ar"/>
              </w:rPr>
              <w:t>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单位</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规格</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用量</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预算单价（元）</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预算金额（万元）</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r>
      <w:tr>
        <w:tblPrEx>
          <w:tblLayout w:type="fixed"/>
          <w:tblCellMar>
            <w:top w:w="0" w:type="dxa"/>
            <w:left w:w="0" w:type="dxa"/>
            <w:bottom w:w="0" w:type="dxa"/>
            <w:right w:w="0" w:type="dxa"/>
          </w:tblCellMar>
        </w:tblPrEx>
        <w:trPr>
          <w:trHeight w:val="10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包一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苹果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公斤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0"/>
                <w:szCs w:val="20"/>
                <w:u w:val="none"/>
                <w:lang w:val="en-US" w:eastAsia="zh-CN" w:bidi="ar"/>
              </w:rPr>
            </w:pPr>
            <w:r>
              <w:rPr>
                <w:rFonts w:hint="eastAsia" w:ascii="仿宋_GB2312" w:hAnsi="Tahoma" w:eastAsia="仿宋_GB2312" w:cs="仿宋_GB2312"/>
                <w:i w:val="0"/>
                <w:color w:val="000000"/>
                <w:kern w:val="0"/>
                <w:sz w:val="20"/>
                <w:szCs w:val="20"/>
                <w:u w:val="none"/>
                <w:lang w:val="en-US" w:eastAsia="zh-CN" w:bidi="ar"/>
              </w:rPr>
              <w:t>新鲜苹果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Tahoma"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122120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Tahoma" w:eastAsia="仿宋_GB2312" w:cs="仿宋_GB2312"/>
                <w:i w:val="0"/>
                <w:color w:val="000000"/>
                <w:sz w:val="20"/>
                <w:szCs w:val="20"/>
                <w:u w:val="none"/>
                <w:lang w:val="en-US" w:eastAsia="zh-CN"/>
              </w:rPr>
            </w:pPr>
            <w:r>
              <w:rPr>
                <w:rFonts w:hint="eastAsia" w:ascii="仿宋_GB2312" w:hAnsi="宋体" w:eastAsia="仿宋_GB2312" w:cs="仿宋_GB2312"/>
                <w:i w:val="0"/>
                <w:color w:val="000000"/>
                <w:kern w:val="0"/>
                <w:sz w:val="20"/>
                <w:szCs w:val="20"/>
                <w:u w:val="none"/>
                <w:lang w:val="en-US" w:eastAsia="zh-CN" w:bidi="ar"/>
              </w:rPr>
              <w:t>61.06</w:t>
            </w:r>
          </w:p>
        </w:tc>
      </w:tr>
    </w:tbl>
    <w:p>
      <w:pPr>
        <w:spacing w:line="448" w:lineRule="atLeast"/>
        <w:rPr>
          <w:rFonts w:hint="eastAsia" w:ascii="宋体" w:hAnsi="宋体"/>
          <w:color w:val="auto"/>
          <w:sz w:val="24"/>
          <w:szCs w:val="20"/>
          <w:highlight w:val="none"/>
        </w:rPr>
      </w:pPr>
      <w:r>
        <w:rPr>
          <w:rFonts w:hint="eastAsia" w:ascii="宋体" w:hAnsi="宋体"/>
          <w:b/>
          <w:bCs/>
          <w:color w:val="auto"/>
          <w:sz w:val="24"/>
          <w:szCs w:val="20"/>
          <w:highlight w:val="none"/>
          <w:lang w:val="en-US" w:eastAsia="zh-CN"/>
        </w:rPr>
        <w:t>苹果</w:t>
      </w:r>
      <w:r>
        <w:rPr>
          <w:rFonts w:hint="eastAsia" w:ascii="宋体" w:hAnsi="宋体"/>
          <w:b/>
          <w:bCs/>
          <w:color w:val="auto"/>
          <w:sz w:val="24"/>
          <w:szCs w:val="20"/>
          <w:highlight w:val="none"/>
        </w:rPr>
        <w:t>规格</w:t>
      </w:r>
      <w:r>
        <w:rPr>
          <w:rFonts w:hint="eastAsia" w:ascii="宋体" w:hAnsi="宋体"/>
          <w:color w:val="auto"/>
          <w:sz w:val="24"/>
          <w:szCs w:val="20"/>
          <w:highlight w:val="none"/>
        </w:rPr>
        <w:t>：直径大于7CM，</w:t>
      </w:r>
      <w:r>
        <w:rPr>
          <w:rFonts w:hint="eastAsia" w:ascii="宋体" w:hAnsi="宋体"/>
          <w:color w:val="auto"/>
          <w:sz w:val="24"/>
          <w:szCs w:val="20"/>
          <w:highlight w:val="none"/>
          <w:lang w:val="en-US" w:eastAsia="zh-CN"/>
        </w:rPr>
        <w:t>大小均匀，果皮光洁、无虫眼、霉斑病及表皮损伤，水果确保新鲜，</w:t>
      </w:r>
      <w:r>
        <w:rPr>
          <w:rFonts w:hint="eastAsia" w:ascii="宋体" w:hAnsi="宋体"/>
          <w:color w:val="auto"/>
          <w:sz w:val="24"/>
          <w:szCs w:val="20"/>
          <w:highlight w:val="none"/>
        </w:rPr>
        <w:t>配送须</w:t>
      </w:r>
      <w:r>
        <w:rPr>
          <w:rFonts w:hint="eastAsia" w:ascii="宋体" w:hAnsi="宋体"/>
          <w:color w:val="auto"/>
          <w:sz w:val="24"/>
          <w:szCs w:val="20"/>
          <w:highlight w:val="none"/>
          <w:lang w:val="en-US" w:eastAsia="zh-CN"/>
        </w:rPr>
        <w:t>用</w:t>
      </w:r>
      <w:r>
        <w:rPr>
          <w:rFonts w:hint="eastAsia" w:ascii="宋体" w:hAnsi="宋体"/>
          <w:color w:val="auto"/>
          <w:sz w:val="24"/>
          <w:szCs w:val="20"/>
          <w:highlight w:val="none"/>
        </w:rPr>
        <w:t>箱装配送，</w:t>
      </w:r>
      <w:r>
        <w:rPr>
          <w:rFonts w:hint="eastAsia" w:ascii="宋体" w:hAnsi="宋体"/>
          <w:color w:val="auto"/>
          <w:sz w:val="24"/>
          <w:szCs w:val="20"/>
          <w:highlight w:val="none"/>
          <w:lang w:val="en-US" w:eastAsia="zh-CN"/>
        </w:rPr>
        <w:t>且</w:t>
      </w:r>
      <w:r>
        <w:rPr>
          <w:rFonts w:hint="eastAsia" w:ascii="宋体" w:hAnsi="宋体"/>
          <w:color w:val="auto"/>
          <w:sz w:val="24"/>
          <w:szCs w:val="20"/>
          <w:highlight w:val="none"/>
        </w:rPr>
        <w:t>包装箱不计入验收重量。</w:t>
      </w:r>
    </w:p>
    <w:p>
      <w:pPr>
        <w:pStyle w:val="2"/>
        <w:widowControl w:val="0"/>
        <w:numPr>
          <w:ilvl w:val="1"/>
          <w:numId w:val="0"/>
        </w:numPr>
        <w:adjustRightInd w:val="0"/>
        <w:snapToGrid w:val="0"/>
        <w:jc w:val="both"/>
        <w:rPr>
          <w:rFonts w:hint="eastAsia" w:ascii="宋体" w:hAnsi="宋体"/>
          <w:color w:val="auto"/>
          <w:sz w:val="24"/>
          <w:szCs w:val="20"/>
          <w:highlight w:val="none"/>
        </w:rPr>
      </w:pPr>
    </w:p>
    <w:p>
      <w:pPr>
        <w:spacing w:line="448" w:lineRule="atLeast"/>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b/>
          <w:color w:val="000000" w:themeColor="text1"/>
          <w:kern w:val="0"/>
          <w:sz w:val="24"/>
          <w:highlight w:val="none"/>
          <w:lang w:eastAsia="zh-CN"/>
          <w14:textFill>
            <w14:solidFill>
              <w14:schemeClr w14:val="tx1"/>
            </w14:solidFill>
          </w14:textFill>
        </w:rPr>
        <w:t>质</w:t>
      </w:r>
      <w:r>
        <w:rPr>
          <w:rFonts w:hint="eastAsia" w:ascii="宋体" w:hAnsi="宋体"/>
          <w:b/>
          <w:color w:val="000000" w:themeColor="text1"/>
          <w:kern w:val="0"/>
          <w:sz w:val="24"/>
          <w:highlight w:val="none"/>
          <w14:textFill>
            <w14:solidFill>
              <w14:schemeClr w14:val="tx1"/>
            </w14:solidFill>
          </w14:textFill>
        </w:rPr>
        <w:t>保服务要求</w:t>
      </w:r>
      <w:r>
        <w:rPr>
          <w:rFonts w:hint="eastAsia" w:ascii="宋体" w:hAnsi="宋体"/>
          <w:b/>
          <w:color w:val="000000" w:themeColor="text1"/>
          <w:kern w:val="0"/>
          <w:sz w:val="24"/>
          <w:highlight w:val="none"/>
          <w:lang w:eastAsia="zh-CN"/>
          <w14:textFill>
            <w14:solidFill>
              <w14:schemeClr w14:val="tx1"/>
            </w14:solidFill>
          </w14:textFill>
        </w:rPr>
        <w:t>：</w:t>
      </w:r>
    </w:p>
    <w:p>
      <w:pPr>
        <w:spacing w:line="448" w:lineRule="atLeast"/>
        <w:rPr>
          <w:rFonts w:hint="eastAsia" w:ascii="宋体" w:hAnsi="宋体"/>
          <w:color w:val="auto"/>
          <w:sz w:val="24"/>
          <w:szCs w:val="20"/>
          <w:highlight w:val="none"/>
        </w:rPr>
      </w:pP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配送地点为</w:t>
      </w:r>
      <w:r>
        <w:rPr>
          <w:rFonts w:hint="eastAsia" w:ascii="宋体" w:hAnsi="宋体"/>
          <w:color w:val="auto"/>
          <w:sz w:val="24"/>
          <w:szCs w:val="20"/>
          <w:highlight w:val="none"/>
          <w:lang w:val="en-US" w:eastAsia="zh-CN"/>
        </w:rPr>
        <w:t>各级各类学校</w:t>
      </w:r>
      <w:r>
        <w:rPr>
          <w:rFonts w:hint="eastAsia" w:ascii="宋体" w:hAnsi="宋体"/>
          <w:color w:val="auto"/>
          <w:sz w:val="24"/>
          <w:szCs w:val="20"/>
          <w:highlight w:val="none"/>
        </w:rPr>
        <w:t>，具体学校名单及配送数量，</w:t>
      </w:r>
      <w:r>
        <w:rPr>
          <w:rFonts w:hint="eastAsia" w:ascii="宋体" w:hAnsi="宋体"/>
          <w:color w:val="auto"/>
          <w:sz w:val="24"/>
          <w:szCs w:val="20"/>
          <w:highlight w:val="none"/>
          <w:lang w:val="en-US" w:eastAsia="zh-CN"/>
        </w:rPr>
        <w:t>由学校根据带量菜谱及就餐学生人数确定。</w:t>
      </w:r>
    </w:p>
    <w:p>
      <w:pPr>
        <w:spacing w:line="448" w:lineRule="atLeast"/>
        <w:ind w:left="714" w:leftChars="1" w:hanging="712" w:hangingChars="297"/>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2.苹果提前一天按照所需用量配送到学校食堂。</w:t>
      </w:r>
    </w:p>
    <w:p>
      <w:pPr>
        <w:spacing w:line="448" w:lineRule="atLeast"/>
        <w:jc w:val="lef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3.每学期对所有招标食材组织一次师生满意度问卷调查，满意度低于50%的，甲方有权进行处罚，或者直接终止合同。</w:t>
      </w:r>
    </w:p>
    <w:p>
      <w:pPr>
        <w:spacing w:line="520" w:lineRule="exact"/>
        <w:rPr>
          <w:rFonts w:hint="eastAsia" w:ascii="宋体" w:hAnsi="宋体"/>
          <w:color w:val="000000" w:themeColor="text1"/>
          <w:kern w:val="0"/>
          <w:sz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服务时间承诺：</w:t>
      </w:r>
      <w:r>
        <w:rPr>
          <w:rFonts w:hint="eastAsia" w:ascii="宋体" w:hAnsi="宋体"/>
          <w:color w:val="auto"/>
          <w:sz w:val="24"/>
          <w:szCs w:val="20"/>
          <w:highlight w:val="none"/>
          <w:lang w:val="en-US" w:eastAsia="zh-CN"/>
        </w:rPr>
        <w:t>出现质量问题必须无条件退换</w:t>
      </w:r>
      <w:r>
        <w:rPr>
          <w:rFonts w:hint="eastAsia" w:ascii="宋体" w:hAnsi="宋体"/>
          <w:color w:val="000000" w:themeColor="text1"/>
          <w:kern w:val="0"/>
          <w:sz w:val="24"/>
          <w:highlight w:val="none"/>
          <w:lang w:val="en-US" w:eastAsia="zh-CN"/>
          <w14:textFill>
            <w14:gradFill>
              <w14:gsLst>
                <w14:gs w14:pos="0">
                  <w14:srgbClr w14:val="14CD68"/>
                </w14:gs>
                <w14:gs w14:pos="100000">
                  <w14:srgbClr w14:val="0B6E38"/>
                </w14:gs>
              </w14:gsLst>
              <w14:lin w14:scaled="0"/>
            </w14:gradFill>
          </w14:textFill>
        </w:rPr>
        <w:t>。</w:t>
      </w:r>
    </w:p>
    <w:p>
      <w:pPr>
        <w:spacing w:line="448" w:lineRule="atLeast"/>
        <w:rPr>
          <w:rFonts w:hint="eastAsia" w:ascii="宋体" w:hAnsi="宋体"/>
          <w:b/>
          <w:bCs/>
          <w:color w:val="auto"/>
          <w:sz w:val="24"/>
          <w:szCs w:val="20"/>
          <w:highlight w:val="none"/>
          <w:lang w:val="en-US" w:eastAsia="zh-CN"/>
        </w:rPr>
      </w:pPr>
      <w:r>
        <w:rPr>
          <w:rFonts w:hint="eastAsia" w:ascii="宋体" w:hAnsi="宋体"/>
          <w:b/>
          <w:bCs/>
          <w:color w:val="auto"/>
          <w:sz w:val="24"/>
          <w:szCs w:val="20"/>
          <w:highlight w:val="none"/>
          <w:lang w:val="en-US" w:eastAsia="zh-CN"/>
        </w:rPr>
        <w:t>注：</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1、运输车辆为厢式冷藏货车或厢式货车；</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2、车体内外干净、整洁。</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3、不得人货混装。</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4、驾驶员及配送人员有健康证；</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5、为便于装卸，各个配送点的货物在车内应整齐码放在一起，不得杂乱无章</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6、每个标包的中标单位须向皮山县教育局缴纳货款总价10%履约金，履约金在合同执行期满后、供需双方无争议者如数退还。在合同执行的期限内，中标单位擅自中断配送或配送延迟，造成学校食堂未按时开伙或者出现食品安全等问题者，教育局将联合相关部门严肃追究责任，造成的经济损失，视情节严重程度，从履约金中扣除。</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7、按照招标工作要求，中标后，供需双方签订供货合同，供货合同一年一签，供货费用由教育局核算中心按月进行结算。</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8、供货商按照上月实际的供货数量及中标价格，在本月10号之前为学校提供相应货款的增值税发票，月底前由教育局核算中心统一核算并付款。</w:t>
      </w:r>
    </w:p>
    <w:p>
      <w:pPr>
        <w:spacing w:line="448" w:lineRule="atLeast"/>
        <w:rPr>
          <w:rFonts w:hint="default" w:ascii="宋体" w:hAnsi="宋体"/>
          <w:color w:val="auto"/>
          <w:sz w:val="24"/>
          <w:szCs w:val="20"/>
          <w:highlight w:val="none"/>
          <w:lang w:val="en-US" w:eastAsia="zh-CN"/>
        </w:rPr>
      </w:pPr>
    </w:p>
    <w:p>
      <w:pPr>
        <w:spacing w:line="360" w:lineRule="auto"/>
        <w:ind w:firstLine="562" w:firstLineChars="200"/>
        <w:rPr>
          <w:rFonts w:ascii="宋体"/>
          <w:b/>
          <w:color w:val="auto"/>
          <w:sz w:val="28"/>
          <w:szCs w:val="28"/>
          <w:highlight w:val="none"/>
        </w:rPr>
      </w:pPr>
    </w:p>
    <w:p>
      <w:pPr>
        <w:spacing w:line="448" w:lineRule="atLeast"/>
        <w:ind w:left="625" w:leftChars="1" w:hanging="623" w:hangingChars="297"/>
        <w:jc w:val="left"/>
        <w:rPr>
          <w:rFonts w:hint="eastAsia" w:eastAsia="宋体"/>
          <w:lang w:val="en-US" w:eastAsia="zh-CN"/>
        </w:rPr>
      </w:pPr>
    </w:p>
    <w:p>
      <w:pPr>
        <w:jc w:val="center"/>
        <w:rPr>
          <w:rFonts w:asci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第四部分</w:t>
      </w:r>
      <w:r>
        <w:rPr>
          <w:rFonts w:ascii="宋体" w:hAnsi="宋体"/>
          <w:b/>
          <w:color w:val="auto"/>
          <w:sz w:val="32"/>
          <w:szCs w:val="32"/>
          <w:highlight w:val="none"/>
        </w:rPr>
        <w:t xml:space="preserve">  </w:t>
      </w:r>
      <w:r>
        <w:rPr>
          <w:rFonts w:hint="eastAsia" w:ascii="宋体" w:hAnsi="宋体"/>
          <w:b/>
          <w:color w:val="auto"/>
          <w:sz w:val="32"/>
          <w:szCs w:val="32"/>
          <w:highlight w:val="none"/>
        </w:rPr>
        <w:t>采购合同</w:t>
      </w:r>
      <w:r>
        <w:rPr>
          <w:rFonts w:ascii="宋体" w:hAnsi="宋体"/>
          <w:b/>
          <w:color w:val="auto"/>
          <w:sz w:val="32"/>
          <w:szCs w:val="32"/>
          <w:highlight w:val="none"/>
        </w:rPr>
        <w:t>(</w:t>
      </w:r>
      <w:r>
        <w:rPr>
          <w:rFonts w:hint="eastAsia" w:ascii="宋体" w:hAnsi="宋体"/>
          <w:b/>
          <w:color w:val="auto"/>
          <w:sz w:val="32"/>
          <w:szCs w:val="32"/>
          <w:highlight w:val="none"/>
        </w:rPr>
        <w:t>范本</w:t>
      </w:r>
      <w:r>
        <w:rPr>
          <w:rFonts w:ascii="宋体" w:hAnsi="宋体"/>
          <w:b/>
          <w:color w:val="auto"/>
          <w:sz w:val="32"/>
          <w:szCs w:val="32"/>
          <w:highlight w:val="none"/>
        </w:rPr>
        <w:t>)</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政府采购合同参考范本</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（货物类）</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第一部分 合同书</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乙方：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签订地：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eastAsia" w:ascii="宋体" w:hAnsi="宋体"/>
          <w:color w:val="auto"/>
          <w:sz w:val="24"/>
          <w:highlight w:val="none"/>
        </w:rPr>
      </w:pPr>
      <w:r>
        <w:rPr>
          <w:rFonts w:hint="eastAsia" w:ascii="宋体" w:hAnsi="宋体"/>
          <w:color w:val="auto"/>
          <w:sz w:val="24"/>
          <w:highlight w:val="none"/>
        </w:rPr>
        <w:t>签订日期：               年       月       日</w:t>
      </w:r>
    </w:p>
    <w:p>
      <w:pPr>
        <w:spacing w:line="440" w:lineRule="exact"/>
        <w:jc w:val="center"/>
        <w:rPr>
          <w:rFonts w:hint="eastAsia" w:ascii="宋体" w:hAnsi="宋体"/>
          <w:color w:val="auto"/>
          <w:sz w:val="24"/>
          <w:highlight w:val="none"/>
        </w:rPr>
        <w:sectPr>
          <w:footerReference r:id="rId7" w:type="default"/>
          <w:pgSz w:w="11907" w:h="16840"/>
          <w:pgMar w:top="1474" w:right="1814" w:bottom="1474" w:left="1814" w:header="851" w:footer="851" w:gutter="0"/>
          <w:pgNumType w:fmt="decimal" w:start="25"/>
          <w:cols w:space="720" w:num="1"/>
          <w:docGrid w:linePitch="46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 xml:space="preserve">        年    月    日</w:t>
      </w:r>
      <w:r>
        <w:rPr>
          <w:rFonts w:hint="eastAsia" w:ascii="宋体" w:hAnsi="宋体"/>
          <w:color w:val="auto"/>
          <w:sz w:val="24"/>
          <w:highlight w:val="none"/>
        </w:rPr>
        <w:t>，   （采购人名称）   以   （政府采购方式）  对   （同前页项目名称）   项目进行了采购。经   （相关评定主体名称）   评定，   （中标供应商名称）为该项目中标供应商。现于中标通知书发出之日起</w:t>
      </w:r>
      <w:r>
        <w:rPr>
          <w:rFonts w:hint="eastAsia" w:ascii="宋体" w:hAnsi="宋体"/>
          <w:color w:val="auto"/>
          <w:sz w:val="24"/>
          <w:highlight w:val="none"/>
          <w:lang w:val="en-US" w:eastAsia="zh-CN"/>
        </w:rPr>
        <w:t>7个工作日</w:t>
      </w:r>
      <w:r>
        <w:rPr>
          <w:rFonts w:hint="eastAsia" w:ascii="宋体" w:hAnsi="宋体"/>
          <w:color w:val="auto"/>
          <w:sz w:val="24"/>
          <w:highlight w:val="none"/>
        </w:rPr>
        <w:t>内，按照采购文件确定的事项签订本合同。</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olor w:val="auto"/>
          <w:sz w:val="24"/>
          <w:highlight w:val="none"/>
        </w:rPr>
        <w:t xml:space="preserve">   （采购人名称）   </w:t>
      </w:r>
      <w:r>
        <w:rPr>
          <w:rFonts w:hint="eastAsia" w:ascii="宋体" w:hAnsi="宋体"/>
          <w:color w:val="auto"/>
          <w:sz w:val="24"/>
          <w:highlight w:val="none"/>
          <w:lang w:val="zh-CN"/>
        </w:rPr>
        <w:t>(以下简称：甲方)和</w:t>
      </w:r>
      <w:r>
        <w:rPr>
          <w:rFonts w:hint="eastAsia" w:ascii="宋体" w:hAnsi="宋体"/>
          <w:color w:val="auto"/>
          <w:sz w:val="24"/>
          <w:highlight w:val="none"/>
        </w:rPr>
        <w:t xml:space="preserve">   （中标供应商名称）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440" w:lineRule="exact"/>
        <w:rPr>
          <w:rFonts w:hint="eastAsia" w:ascii="宋体" w:hAnsi="宋体"/>
          <w:color w:val="auto"/>
          <w:sz w:val="24"/>
          <w:highlight w:val="none"/>
        </w:rPr>
      </w:pPr>
      <w:bookmarkStart w:id="0" w:name="_Toc2232"/>
      <w:bookmarkStart w:id="1" w:name="_Toc24059"/>
      <w:bookmarkStart w:id="2" w:name="_Toc3029"/>
      <w:r>
        <w:rPr>
          <w:rFonts w:hint="eastAsia" w:ascii="宋体" w:hAnsi="宋体"/>
          <w:color w:val="auto"/>
          <w:sz w:val="24"/>
          <w:highlight w:val="none"/>
        </w:rPr>
        <w:t>1.1 合同组成部分</w:t>
      </w:r>
      <w:bookmarkEnd w:id="0"/>
      <w:bookmarkEnd w:id="1"/>
      <w:bookmarkEnd w:id="2"/>
    </w:p>
    <w:p>
      <w:pPr>
        <w:spacing w:line="440" w:lineRule="exact"/>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hint="eastAsia" w:ascii="宋体" w:hAnsi="宋体"/>
          <w:color w:val="auto"/>
          <w:sz w:val="24"/>
          <w:highlight w:val="none"/>
        </w:rPr>
      </w:pPr>
      <w:r>
        <w:rPr>
          <w:rFonts w:hint="eastAsia" w:ascii="宋体" w:hAnsi="宋体"/>
          <w:color w:val="auto"/>
          <w:sz w:val="24"/>
          <w:highlight w:val="none"/>
        </w:rPr>
        <w:t>1.1.1 本合同及其补充合同、变更协议；</w:t>
      </w:r>
    </w:p>
    <w:p>
      <w:pPr>
        <w:spacing w:line="440" w:lineRule="exact"/>
        <w:rPr>
          <w:rFonts w:hint="eastAsia" w:ascii="宋体" w:hAnsi="宋体"/>
          <w:color w:val="auto"/>
          <w:sz w:val="24"/>
          <w:highlight w:val="none"/>
        </w:rPr>
      </w:pPr>
      <w:r>
        <w:rPr>
          <w:rFonts w:hint="eastAsia" w:ascii="宋体" w:hAnsi="宋体"/>
          <w:color w:val="auto"/>
          <w:sz w:val="24"/>
          <w:highlight w:val="none"/>
        </w:rPr>
        <w:t>1.1.2 中标通知书；</w:t>
      </w:r>
    </w:p>
    <w:p>
      <w:pPr>
        <w:spacing w:line="440" w:lineRule="exact"/>
        <w:rPr>
          <w:rFonts w:hint="eastAsia" w:ascii="宋体" w:hAnsi="宋体"/>
          <w:color w:val="auto"/>
          <w:sz w:val="24"/>
          <w:highlight w:val="none"/>
        </w:rPr>
      </w:pPr>
      <w:r>
        <w:rPr>
          <w:rFonts w:hint="eastAsia" w:ascii="宋体" w:hAnsi="宋体"/>
          <w:color w:val="auto"/>
          <w:sz w:val="24"/>
          <w:highlight w:val="none"/>
        </w:rPr>
        <w:t>1.1.3 投标文件（含澄清或者说明文件）；</w:t>
      </w:r>
    </w:p>
    <w:p>
      <w:pPr>
        <w:spacing w:line="440" w:lineRule="exact"/>
        <w:rPr>
          <w:rFonts w:hint="eastAsia" w:ascii="宋体" w:hAnsi="宋体"/>
          <w:color w:val="auto"/>
          <w:sz w:val="24"/>
          <w:highlight w:val="none"/>
        </w:rPr>
      </w:pPr>
      <w:r>
        <w:rPr>
          <w:rFonts w:hint="eastAsia" w:ascii="宋体" w:hAnsi="宋体"/>
          <w:color w:val="auto"/>
          <w:sz w:val="24"/>
          <w:highlight w:val="none"/>
        </w:rPr>
        <w:t>1.1.4 招标文件（含澄清或者修改文件）；</w:t>
      </w:r>
    </w:p>
    <w:p>
      <w:pPr>
        <w:spacing w:line="440" w:lineRule="exact"/>
        <w:rPr>
          <w:rFonts w:hint="eastAsia" w:ascii="宋体" w:hAnsi="宋体"/>
          <w:color w:val="auto"/>
          <w:sz w:val="24"/>
          <w:highlight w:val="none"/>
        </w:rPr>
      </w:pPr>
      <w:r>
        <w:rPr>
          <w:rFonts w:hint="eastAsia" w:ascii="宋体" w:hAnsi="宋体"/>
          <w:color w:val="auto"/>
          <w:sz w:val="24"/>
          <w:highlight w:val="none"/>
        </w:rPr>
        <w:t>1.1.5 其他相关采购文件。</w:t>
      </w:r>
    </w:p>
    <w:p>
      <w:pPr>
        <w:spacing w:line="440" w:lineRule="exact"/>
        <w:rPr>
          <w:rFonts w:hint="eastAsia" w:ascii="宋体" w:hAnsi="宋体"/>
          <w:color w:val="auto"/>
          <w:sz w:val="24"/>
          <w:highlight w:val="none"/>
        </w:rPr>
      </w:pPr>
      <w:bookmarkStart w:id="3" w:name="_Toc21295"/>
      <w:bookmarkStart w:id="4" w:name="_Toc27126"/>
      <w:bookmarkStart w:id="5" w:name="_Toc24300"/>
      <w:r>
        <w:rPr>
          <w:rFonts w:hint="eastAsia" w:ascii="宋体" w:hAnsi="宋体"/>
          <w:color w:val="auto"/>
          <w:sz w:val="24"/>
          <w:highlight w:val="none"/>
        </w:rPr>
        <w:t>1.2 货物</w:t>
      </w:r>
      <w:bookmarkEnd w:id="3"/>
      <w:bookmarkEnd w:id="4"/>
      <w:bookmarkEnd w:id="5"/>
    </w:p>
    <w:p>
      <w:pPr>
        <w:spacing w:line="440" w:lineRule="exact"/>
        <w:rPr>
          <w:rFonts w:hint="eastAsia" w:ascii="宋体" w:hAnsi="宋体"/>
          <w:color w:val="auto"/>
          <w:sz w:val="24"/>
          <w:highlight w:val="none"/>
        </w:rPr>
      </w:pPr>
      <w:r>
        <w:rPr>
          <w:rFonts w:hint="eastAsia" w:ascii="宋体" w:hAnsi="宋体"/>
          <w:color w:val="auto"/>
          <w:sz w:val="24"/>
          <w:highlight w:val="none"/>
        </w:rPr>
        <w:t>1.2.1 货物名称：                                                ；</w:t>
      </w:r>
    </w:p>
    <w:p>
      <w:pPr>
        <w:spacing w:line="440" w:lineRule="exact"/>
        <w:rPr>
          <w:rFonts w:hint="eastAsia" w:ascii="宋体" w:hAnsi="宋体"/>
          <w:color w:val="auto"/>
          <w:sz w:val="24"/>
          <w:highlight w:val="none"/>
        </w:rPr>
      </w:pPr>
      <w:r>
        <w:rPr>
          <w:rFonts w:hint="eastAsia" w:ascii="宋体" w:hAnsi="宋体"/>
          <w:color w:val="auto"/>
          <w:sz w:val="24"/>
          <w:highlight w:val="none"/>
        </w:rPr>
        <w:t>1.2.2 货物数量：                                                ；</w:t>
      </w:r>
    </w:p>
    <w:p>
      <w:pPr>
        <w:spacing w:line="440" w:lineRule="exact"/>
        <w:rPr>
          <w:rFonts w:hint="eastAsia" w:ascii="宋体" w:hAnsi="宋体"/>
          <w:color w:val="auto"/>
          <w:sz w:val="24"/>
          <w:highlight w:val="none"/>
        </w:rPr>
      </w:pPr>
      <w:r>
        <w:rPr>
          <w:rFonts w:hint="eastAsia" w:ascii="宋体" w:hAnsi="宋体"/>
          <w:color w:val="auto"/>
          <w:sz w:val="24"/>
          <w:highlight w:val="none"/>
        </w:rPr>
        <w:t>1.2.3 货物质量：　　　　　　　　　                      　      。</w:t>
      </w:r>
    </w:p>
    <w:p>
      <w:pPr>
        <w:spacing w:line="440" w:lineRule="exact"/>
        <w:rPr>
          <w:rFonts w:hint="eastAsia" w:ascii="宋体" w:hAnsi="宋体"/>
          <w:color w:val="auto"/>
          <w:sz w:val="24"/>
          <w:highlight w:val="none"/>
        </w:rPr>
      </w:pPr>
      <w:bookmarkStart w:id="6" w:name="_Toc23292"/>
      <w:bookmarkStart w:id="7" w:name="_Toc21631"/>
      <w:bookmarkStart w:id="8" w:name="_Toc21551"/>
      <w:r>
        <w:rPr>
          <w:rFonts w:hint="eastAsia" w:ascii="宋体" w:hAnsi="宋体"/>
          <w:color w:val="auto"/>
          <w:sz w:val="24"/>
          <w:highlight w:val="none"/>
        </w:rPr>
        <w:t>1.3 价款</w:t>
      </w:r>
      <w:bookmarkEnd w:id="6"/>
      <w:bookmarkEnd w:id="7"/>
      <w:bookmarkEnd w:id="8"/>
    </w:p>
    <w:p>
      <w:pPr>
        <w:spacing w:line="440" w:lineRule="exact"/>
        <w:rPr>
          <w:rFonts w:hint="eastAsia" w:ascii="宋体" w:hAnsi="宋体"/>
          <w:color w:val="auto"/>
          <w:sz w:val="24"/>
          <w:highlight w:val="none"/>
        </w:rPr>
      </w:pPr>
      <w:r>
        <w:rPr>
          <w:rFonts w:hint="eastAsia" w:ascii="宋体" w:hAnsi="宋体"/>
          <w:color w:val="auto"/>
          <w:sz w:val="24"/>
          <w:highlight w:val="none"/>
        </w:rPr>
        <w:t>本合同总价为：￥           元（大写：                 元人民币）。</w:t>
      </w:r>
    </w:p>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r>
        <w:rPr>
          <w:rFonts w:hint="eastAsia" w:ascii="宋体" w:hAnsi="宋体"/>
          <w:color w:val="auto"/>
          <w:sz w:val="24"/>
          <w:highlight w:val="none"/>
          <w:lang w:val="en-US" w:eastAsia="zh-CN"/>
        </w:rPr>
        <w:t>及参数</w:t>
      </w:r>
      <w:r>
        <w:rPr>
          <w:rFonts w:hint="eastAsia" w:ascii="宋体" w:hAnsi="宋体"/>
          <w:color w:val="auto"/>
          <w:sz w:val="24"/>
          <w:highlight w:val="none"/>
        </w:rPr>
        <w:t>：</w:t>
      </w:r>
    </w:p>
    <w:tbl>
      <w:tblPr>
        <w:tblStyle w:val="31"/>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099"/>
        <w:gridCol w:w="232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序号</w:t>
            </w:r>
          </w:p>
        </w:tc>
        <w:tc>
          <w:tcPr>
            <w:tcW w:w="3099"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分项名称</w:t>
            </w:r>
          </w:p>
        </w:tc>
        <w:tc>
          <w:tcPr>
            <w:tcW w:w="2325"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p>
        </w:tc>
        <w:tc>
          <w:tcPr>
            <w:tcW w:w="2314"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193" w:type="dxa"/>
            <w:gridSpan w:val="2"/>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总价</w:t>
            </w:r>
          </w:p>
        </w:tc>
        <w:tc>
          <w:tcPr>
            <w:tcW w:w="4639" w:type="dxa"/>
            <w:gridSpan w:val="2"/>
            <w:noWrap w:val="0"/>
            <w:vAlign w:val="center"/>
          </w:tcPr>
          <w:p>
            <w:pPr>
              <w:spacing w:line="440" w:lineRule="exact"/>
              <w:rPr>
                <w:rFonts w:hint="eastAsia" w:ascii="宋体" w:hAnsi="宋体"/>
                <w:color w:val="auto"/>
                <w:sz w:val="24"/>
                <w:highlight w:val="none"/>
              </w:rPr>
            </w:pPr>
          </w:p>
        </w:tc>
      </w:tr>
    </w:tbl>
    <w:p>
      <w:pPr>
        <w:spacing w:line="440" w:lineRule="exact"/>
        <w:rPr>
          <w:rFonts w:hint="eastAsia" w:ascii="宋体" w:hAnsi="宋体"/>
          <w:color w:val="auto"/>
          <w:sz w:val="24"/>
          <w:highlight w:val="none"/>
        </w:rPr>
      </w:pPr>
      <w:bookmarkStart w:id="9" w:name="_Toc10340"/>
      <w:bookmarkStart w:id="10" w:name="_Toc22618"/>
      <w:bookmarkStart w:id="11" w:name="_Toc1814"/>
      <w:r>
        <w:rPr>
          <w:rFonts w:hint="eastAsia" w:ascii="宋体" w:hAnsi="宋体"/>
          <w:color w:val="auto"/>
          <w:sz w:val="24"/>
          <w:highlight w:val="none"/>
        </w:rPr>
        <w:t>1.4 付款方式和发票开具方式</w:t>
      </w:r>
      <w:bookmarkEnd w:id="9"/>
      <w:bookmarkEnd w:id="10"/>
      <w:bookmarkEnd w:id="11"/>
    </w:p>
    <w:p>
      <w:pPr>
        <w:spacing w:line="440" w:lineRule="exact"/>
        <w:rPr>
          <w:rFonts w:hint="eastAsia" w:ascii="宋体" w:hAnsi="宋体"/>
          <w:color w:val="auto"/>
          <w:sz w:val="24"/>
          <w:highlight w:val="none"/>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fmt="decimal" w:start="26"/>
          <w:cols w:space="720" w:num="1"/>
          <w:titlePg/>
          <w:docGrid w:type="lines" w:linePitch="31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rPr>
        <w:t>1.4.1 付款方式：                                                ；</w:t>
      </w:r>
    </w:p>
    <w:p>
      <w:pPr>
        <w:spacing w:line="440" w:lineRule="exact"/>
        <w:rPr>
          <w:rFonts w:hint="eastAsia" w:ascii="宋体" w:hAnsi="宋体"/>
          <w:color w:val="auto"/>
          <w:sz w:val="24"/>
          <w:highlight w:val="none"/>
        </w:rPr>
      </w:pPr>
      <w:r>
        <w:rPr>
          <w:rFonts w:hint="eastAsia" w:ascii="宋体" w:hAnsi="宋体"/>
          <w:color w:val="auto"/>
          <w:sz w:val="24"/>
          <w:highlight w:val="none"/>
        </w:rPr>
        <w:t>1.4.2 发票开具方式：                                            。</w:t>
      </w:r>
    </w:p>
    <w:p>
      <w:pPr>
        <w:spacing w:line="440" w:lineRule="exact"/>
        <w:rPr>
          <w:rFonts w:hint="eastAsia" w:ascii="宋体" w:hAnsi="宋体"/>
          <w:color w:val="auto"/>
          <w:sz w:val="24"/>
          <w:highlight w:val="none"/>
        </w:rPr>
      </w:pPr>
      <w:bookmarkStart w:id="12" w:name="_Toc32071"/>
      <w:bookmarkStart w:id="13" w:name="_Toc2846"/>
      <w:bookmarkStart w:id="14" w:name="_Toc19304"/>
      <w:r>
        <w:rPr>
          <w:rFonts w:hint="eastAsia" w:ascii="宋体" w:hAnsi="宋体"/>
          <w:color w:val="auto"/>
          <w:sz w:val="24"/>
          <w:highlight w:val="none"/>
        </w:rPr>
        <w:t>1.5 货物交付期限、地点和方式</w:t>
      </w:r>
      <w:bookmarkEnd w:id="12"/>
      <w:bookmarkEnd w:id="13"/>
      <w:bookmarkEnd w:id="14"/>
    </w:p>
    <w:p>
      <w:pPr>
        <w:spacing w:line="440" w:lineRule="exact"/>
        <w:rPr>
          <w:rFonts w:hint="eastAsia" w:ascii="宋体" w:hAnsi="宋体"/>
          <w:color w:val="auto"/>
          <w:sz w:val="24"/>
          <w:highlight w:val="none"/>
        </w:rPr>
      </w:pPr>
      <w:r>
        <w:rPr>
          <w:rFonts w:hint="eastAsia" w:ascii="宋体" w:hAnsi="宋体"/>
          <w:color w:val="auto"/>
          <w:sz w:val="24"/>
          <w:highlight w:val="none"/>
        </w:rPr>
        <w:t>1.5.1 交付期限：                                                ；</w:t>
      </w:r>
    </w:p>
    <w:p>
      <w:pPr>
        <w:spacing w:line="440" w:lineRule="exact"/>
        <w:rPr>
          <w:rFonts w:hint="eastAsia" w:ascii="宋体" w:hAnsi="宋体"/>
          <w:color w:val="auto"/>
          <w:sz w:val="24"/>
          <w:highlight w:val="none"/>
        </w:rPr>
      </w:pPr>
      <w:r>
        <w:rPr>
          <w:rFonts w:hint="eastAsia" w:ascii="宋体" w:hAnsi="宋体"/>
          <w:color w:val="auto"/>
          <w:sz w:val="24"/>
          <w:highlight w:val="none"/>
        </w:rPr>
        <w:t>1.5.2 交付地点：                                                ；</w:t>
      </w:r>
    </w:p>
    <w:p>
      <w:pPr>
        <w:spacing w:line="440" w:lineRule="exact"/>
        <w:rPr>
          <w:rFonts w:hint="eastAsia" w:ascii="宋体" w:hAnsi="宋体"/>
          <w:color w:val="auto"/>
          <w:sz w:val="24"/>
          <w:highlight w:val="none"/>
        </w:rPr>
      </w:pPr>
      <w:r>
        <w:rPr>
          <w:rFonts w:hint="eastAsia" w:ascii="宋体" w:hAnsi="宋体"/>
          <w:color w:val="auto"/>
          <w:sz w:val="24"/>
          <w:highlight w:val="none"/>
        </w:rPr>
        <w:t>1.5.3 交付方式：　　　　　　　　　                      　      。</w:t>
      </w:r>
    </w:p>
    <w:p>
      <w:pPr>
        <w:spacing w:line="440" w:lineRule="exact"/>
        <w:rPr>
          <w:rFonts w:hint="eastAsia" w:ascii="宋体" w:hAnsi="宋体"/>
          <w:color w:val="auto"/>
          <w:sz w:val="24"/>
          <w:highlight w:val="none"/>
        </w:rPr>
      </w:pPr>
      <w:bookmarkStart w:id="15" w:name="_Toc27250"/>
      <w:bookmarkStart w:id="16" w:name="_Toc21423"/>
      <w:bookmarkStart w:id="17" w:name="_Toc19554"/>
      <w:r>
        <w:rPr>
          <w:rFonts w:hint="eastAsia" w:ascii="宋体" w:hAnsi="宋体"/>
          <w:color w:val="auto"/>
          <w:sz w:val="24"/>
          <w:highlight w:val="none"/>
        </w:rPr>
        <w:t>1.6 违约责任</w:t>
      </w:r>
      <w:bookmarkEnd w:id="15"/>
      <w:bookmarkEnd w:id="16"/>
      <w:bookmarkEnd w:id="17"/>
    </w:p>
    <w:p>
      <w:pPr>
        <w:spacing w:line="440" w:lineRule="exact"/>
        <w:rPr>
          <w:rFonts w:hint="eastAsia"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hint="eastAsia" w:ascii="宋体" w:hAnsi="宋体"/>
          <w:color w:val="auto"/>
          <w:sz w:val="24"/>
          <w:highlight w:val="none"/>
        </w:rPr>
      </w:pPr>
      <w:bookmarkStart w:id="18" w:name="_Toc28375"/>
      <w:bookmarkStart w:id="19" w:name="_Toc16021"/>
      <w:bookmarkStart w:id="20" w:name="_Toc15583"/>
      <w:r>
        <w:rPr>
          <w:rFonts w:hint="eastAsia" w:ascii="宋体" w:hAnsi="宋体"/>
          <w:color w:val="auto"/>
          <w:sz w:val="24"/>
          <w:highlight w:val="none"/>
        </w:rPr>
        <w:t>1.7 合同争议的解决</w:t>
      </w:r>
      <w:bookmarkEnd w:id="18"/>
      <w:bookmarkEnd w:id="19"/>
      <w:bookmarkEnd w:id="20"/>
    </w:p>
    <w:p>
      <w:pPr>
        <w:spacing w:line="440" w:lineRule="exact"/>
        <w:rPr>
          <w:rFonts w:hint="eastAsia"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本合同履行过程中发生的任何争议，双方当事人均可通过和解或者调解解决；不愿和解、调解或者和解、调解不成的，可以选择下列第    种方式解决：</w:t>
      </w:r>
    </w:p>
    <w:p>
      <w:pPr>
        <w:spacing w:line="440" w:lineRule="exact"/>
        <w:rPr>
          <w:rFonts w:hint="eastAsia" w:ascii="宋体" w:hAnsi="宋体"/>
          <w:color w:val="auto"/>
          <w:sz w:val="24"/>
          <w:highlight w:val="none"/>
        </w:rPr>
      </w:pPr>
      <w:r>
        <w:rPr>
          <w:rFonts w:hint="eastAsia" w:ascii="宋体" w:hAnsi="宋体"/>
          <w:color w:val="auto"/>
          <w:sz w:val="24"/>
          <w:highlight w:val="none"/>
        </w:rPr>
        <w:t>1.7.1 将争议提交              仲裁委员会依申请仲裁时其现行有效的仲裁规则裁决；</w:t>
      </w:r>
    </w:p>
    <w:p>
      <w:pPr>
        <w:spacing w:line="440" w:lineRule="exact"/>
        <w:rPr>
          <w:rFonts w:hint="eastAsia" w:ascii="宋体" w:hAnsi="宋体"/>
          <w:color w:val="auto"/>
          <w:sz w:val="24"/>
          <w:highlight w:val="none"/>
        </w:rPr>
      </w:pPr>
      <w:r>
        <w:rPr>
          <w:rFonts w:hint="eastAsia" w:ascii="宋体" w:hAnsi="宋体"/>
          <w:color w:val="auto"/>
          <w:sz w:val="24"/>
          <w:highlight w:val="none"/>
        </w:rPr>
        <w:t>1.7.2 向   （被告住所地、合同履行地、合同签订地、原告住所地、标的物所在地等与争议有实际联系的地点中选出的人民法院名称）    人民法院起诉。</w:t>
      </w:r>
    </w:p>
    <w:p>
      <w:pPr>
        <w:spacing w:line="440" w:lineRule="exact"/>
        <w:rPr>
          <w:rFonts w:hint="eastAsia" w:ascii="宋体" w:hAnsi="宋体"/>
          <w:color w:val="auto"/>
          <w:sz w:val="24"/>
          <w:highlight w:val="none"/>
        </w:rPr>
      </w:pPr>
      <w:bookmarkStart w:id="21" w:name="_Toc7245"/>
      <w:bookmarkStart w:id="22" w:name="_Toc15322"/>
      <w:bookmarkStart w:id="23" w:name="_Toc11173"/>
      <w:r>
        <w:rPr>
          <w:rFonts w:hint="eastAsia" w:ascii="宋体" w:hAnsi="宋体"/>
          <w:color w:val="auto"/>
          <w:sz w:val="24"/>
          <w:highlight w:val="none"/>
        </w:rPr>
        <w:t>1.8 合同生效</w:t>
      </w:r>
      <w:bookmarkEnd w:id="21"/>
      <w:bookmarkEnd w:id="22"/>
      <w:bookmarkEnd w:id="23"/>
    </w:p>
    <w:p>
      <w:pPr>
        <w:spacing w:line="440" w:lineRule="exact"/>
        <w:rPr>
          <w:rFonts w:hint="eastAsia" w:ascii="宋体" w:hAnsi="宋体"/>
          <w:color w:val="auto"/>
          <w:sz w:val="24"/>
          <w:highlight w:val="none"/>
        </w:rPr>
      </w:pPr>
      <w:r>
        <w:rPr>
          <w:rFonts w:hint="eastAsia" w:ascii="宋体" w:hAnsi="宋体"/>
          <w:color w:val="auto"/>
          <w:sz w:val="24"/>
          <w:highlight w:val="none"/>
        </w:rPr>
        <w:t>本合同自双方当事人盖章或者签字时生效。</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甲方：                                   乙方：</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住所：                                   住所：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                             法定代表人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授权代表（签字）：                        或授权代表（签字）: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联系人：                                 联系人：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                           约定送达地址：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邮政编码：                               邮政编码：</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电话:                                    电话: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传真:                                    传真:</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电子邮箱：                               电子邮箱：</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开户银行：                               开户银行：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开户名称：                               开户名称： </w:t>
      </w:r>
    </w:p>
    <w:p>
      <w:pPr>
        <w:spacing w:line="440" w:lineRule="exact"/>
        <w:rPr>
          <w:rFonts w:hint="eastAsia"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pPr>
        <w:spacing w:line="440" w:lineRule="exact"/>
        <w:rPr>
          <w:rFonts w:hint="eastAsia" w:ascii="宋体" w:hAnsi="宋体"/>
          <w:color w:val="auto"/>
          <w:sz w:val="24"/>
          <w:highlight w:val="none"/>
        </w:rPr>
      </w:pPr>
      <w:bookmarkStart w:id="24" w:name="_Toc331685783"/>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pStyle w:val="5"/>
        <w:rPr>
          <w:rFonts w:hint="eastAsia"/>
          <w:color w:val="auto"/>
          <w:highlight w:val="none"/>
        </w:rPr>
      </w:pPr>
    </w:p>
    <w:p>
      <w:pPr>
        <w:spacing w:line="440" w:lineRule="exact"/>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第二部分 合同一般条款</w:t>
      </w:r>
      <w:bookmarkEnd w:id="24"/>
    </w:p>
    <w:p>
      <w:pPr>
        <w:spacing w:line="440" w:lineRule="exact"/>
        <w:rPr>
          <w:rFonts w:hint="eastAsia" w:ascii="宋体" w:hAnsi="宋体"/>
          <w:color w:val="auto"/>
          <w:sz w:val="24"/>
          <w:highlight w:val="none"/>
        </w:rPr>
      </w:pPr>
      <w:bookmarkStart w:id="25" w:name="_Toc259093669"/>
      <w:bookmarkStart w:id="26" w:name="_Ref467379195"/>
      <w:bookmarkStart w:id="27" w:name="_Ref467379214"/>
      <w:bookmarkStart w:id="28" w:name="_Ref467379109"/>
      <w:bookmarkStart w:id="29" w:name="_Ref467379101"/>
      <w:bookmarkStart w:id="30" w:name="_Ref467379205"/>
      <w:bookmarkStart w:id="31" w:name="_Ref467378499"/>
      <w:bookmarkStart w:id="32" w:name="_Toc279701240"/>
      <w:bookmarkStart w:id="33" w:name="_Ref467378463"/>
      <w:bookmarkStart w:id="34" w:name="_Toc19614"/>
      <w:bookmarkStart w:id="35" w:name="_Ref467379225"/>
      <w:bookmarkStart w:id="36" w:name="_Toc487900349"/>
      <w:bookmarkStart w:id="37" w:name="_Ref467378404"/>
      <w:bookmarkStart w:id="38" w:name="_Toc28763"/>
      <w:bookmarkStart w:id="39" w:name="_Toc16917"/>
      <w:bookmarkStart w:id="40" w:name="_Ref467379094"/>
      <w:r>
        <w:rPr>
          <w:rFonts w:hint="eastAsia" w:ascii="宋体" w:hAnsi="宋体"/>
          <w:color w:val="auto"/>
          <w:sz w:val="24"/>
          <w:highlight w:val="none"/>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hint="eastAsia" w:ascii="宋体" w:hAnsi="宋体"/>
          <w:color w:val="auto"/>
          <w:sz w:val="24"/>
          <w:highlight w:val="none"/>
        </w:rPr>
      </w:pPr>
      <w:r>
        <w:rPr>
          <w:rFonts w:hint="eastAsia" w:ascii="宋体" w:hAnsi="宋体"/>
          <w:color w:val="auto"/>
          <w:sz w:val="24"/>
          <w:highlight w:val="none"/>
        </w:rPr>
        <w:t>本合同中的下列词语应按以下内容进行解释：</w:t>
      </w:r>
    </w:p>
    <w:p>
      <w:pPr>
        <w:spacing w:line="440" w:lineRule="exact"/>
        <w:rPr>
          <w:rFonts w:hint="eastAsia" w:ascii="宋体" w:hAnsi="宋体"/>
          <w:color w:val="auto"/>
          <w:sz w:val="24"/>
          <w:highlight w:val="none"/>
        </w:rPr>
      </w:pPr>
      <w:r>
        <w:rPr>
          <w:rFonts w:hint="eastAsia" w:ascii="宋体" w:hAnsi="宋体"/>
          <w:color w:val="auto"/>
          <w:sz w:val="24"/>
          <w:highlight w:val="none"/>
        </w:rPr>
        <w:t>2.1.1 “合同”系指采购人和中标供应商签订的载明双方当事人所达成的协议，并包括所有的附件、附录和构成合同的其他文件。</w:t>
      </w:r>
    </w:p>
    <w:p>
      <w:pPr>
        <w:spacing w:line="440" w:lineRule="exact"/>
        <w:rPr>
          <w:rFonts w:hint="eastAsia" w:ascii="宋体" w:hAnsi="宋体"/>
          <w:color w:val="auto"/>
          <w:sz w:val="24"/>
          <w:highlight w:val="none"/>
        </w:rPr>
      </w:pPr>
      <w:r>
        <w:rPr>
          <w:rFonts w:hint="eastAsia" w:ascii="宋体" w:hAnsi="宋体"/>
          <w:color w:val="auto"/>
          <w:sz w:val="24"/>
          <w:highlight w:val="none"/>
        </w:rPr>
        <w:t>2.1.2 “合同价”系指根据合同约定，中标供应商在完全履行合同义务后，采购人应支付给中标供应商的价格。</w:t>
      </w:r>
    </w:p>
    <w:p>
      <w:pPr>
        <w:spacing w:line="440" w:lineRule="exact"/>
        <w:rPr>
          <w:rFonts w:hint="eastAsia" w:ascii="宋体" w:hAnsi="宋体"/>
          <w:color w:val="auto"/>
          <w:sz w:val="24"/>
          <w:highlight w:val="none"/>
        </w:rPr>
      </w:pPr>
      <w:r>
        <w:rPr>
          <w:rFonts w:hint="eastAsia" w:ascii="宋体" w:hAnsi="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hint="eastAsia" w:ascii="宋体" w:hAnsi="宋体"/>
          <w:color w:val="auto"/>
          <w:sz w:val="24"/>
          <w:highlight w:val="none"/>
        </w:rPr>
      </w:pPr>
      <w:bookmarkStart w:id="41" w:name="_Ref467378840"/>
      <w:r>
        <w:rPr>
          <w:rFonts w:hint="eastAsia" w:ascii="宋体" w:hAnsi="宋体"/>
          <w:color w:val="auto"/>
          <w:sz w:val="24"/>
          <w:highlight w:val="none"/>
        </w:rPr>
        <w:t>2.1.4 “甲方”系指与中标供应商签署合同的采购人</w:t>
      </w:r>
      <w:bookmarkEnd w:id="41"/>
      <w:r>
        <w:rPr>
          <w:rFonts w:hint="eastAsia" w:ascii="宋体" w:hAnsi="宋体"/>
          <w:color w:val="auto"/>
          <w:sz w:val="24"/>
          <w:highlight w:val="none"/>
        </w:rPr>
        <w:t>；采购人委托采购代理机构代表其与乙方签订合同的，采购人的授权委托书作为合同附件。</w:t>
      </w:r>
    </w:p>
    <w:p>
      <w:pPr>
        <w:spacing w:line="440" w:lineRule="exact"/>
        <w:rPr>
          <w:rFonts w:hint="eastAsia" w:ascii="宋体" w:hAnsi="宋体"/>
          <w:color w:val="auto"/>
          <w:sz w:val="24"/>
          <w:highlight w:val="none"/>
        </w:rPr>
      </w:pPr>
      <w:bookmarkStart w:id="42" w:name="_Ref467379400"/>
      <w:r>
        <w:rPr>
          <w:rFonts w:hint="eastAsia" w:ascii="宋体" w:hAnsi="宋体"/>
          <w:color w:val="auto"/>
          <w:sz w:val="24"/>
          <w:highlight w:val="none"/>
        </w:rPr>
        <w:t>2.1.5 “乙方”系指根据合同约定交付货物的中标供应商</w:t>
      </w:r>
      <w:bookmarkEnd w:id="42"/>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hint="eastAsia" w:ascii="宋体" w:hAnsi="宋体"/>
          <w:color w:val="auto"/>
          <w:sz w:val="24"/>
          <w:highlight w:val="none"/>
        </w:rPr>
      </w:pPr>
      <w:bookmarkStart w:id="43" w:name="_Ref467379436"/>
      <w:r>
        <w:rPr>
          <w:rFonts w:hint="eastAsia" w:ascii="宋体" w:hAnsi="宋体"/>
          <w:color w:val="auto"/>
          <w:sz w:val="24"/>
          <w:highlight w:val="none"/>
        </w:rPr>
        <w:t>2.1.6 “现场”系指合同约定货物将要运至或者安装的地点。</w:t>
      </w:r>
      <w:bookmarkEnd w:id="43"/>
    </w:p>
    <w:p>
      <w:pPr>
        <w:spacing w:line="440" w:lineRule="exact"/>
        <w:rPr>
          <w:rFonts w:hint="eastAsia" w:ascii="宋体" w:hAnsi="宋体"/>
          <w:color w:val="auto"/>
          <w:sz w:val="24"/>
          <w:highlight w:val="none"/>
        </w:rPr>
      </w:pPr>
      <w:bookmarkStart w:id="44" w:name="_Toc32504"/>
      <w:bookmarkStart w:id="45" w:name="_Toc27635"/>
      <w:bookmarkStart w:id="46" w:name="_Toc487900350"/>
      <w:bookmarkStart w:id="47" w:name="_Toc259093670"/>
      <w:bookmarkStart w:id="48" w:name="_Toc13336"/>
      <w:bookmarkStart w:id="49" w:name="_Toc279701241"/>
      <w:r>
        <w:rPr>
          <w:rFonts w:hint="eastAsia" w:ascii="宋体" w:hAnsi="宋体"/>
          <w:color w:val="auto"/>
          <w:sz w:val="24"/>
          <w:highlight w:val="none"/>
        </w:rPr>
        <w:t>2.2 技术规范</w:t>
      </w:r>
      <w:bookmarkEnd w:id="44"/>
      <w:bookmarkEnd w:id="45"/>
      <w:bookmarkEnd w:id="46"/>
      <w:bookmarkEnd w:id="47"/>
      <w:bookmarkEnd w:id="48"/>
      <w:bookmarkEnd w:id="49"/>
    </w:p>
    <w:p>
      <w:pPr>
        <w:spacing w:line="440" w:lineRule="exact"/>
        <w:rPr>
          <w:rFonts w:hint="eastAsia" w:ascii="宋体" w:hAnsi="宋体"/>
          <w:color w:val="auto"/>
          <w:sz w:val="24"/>
          <w:highlight w:val="none"/>
        </w:rPr>
      </w:pPr>
      <w:r>
        <w:rPr>
          <w:rFonts w:hint="eastAsia" w:ascii="宋体" w:hAnsi="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hint="eastAsia" w:ascii="宋体" w:hAnsi="宋体"/>
          <w:color w:val="auto"/>
          <w:sz w:val="24"/>
          <w:highlight w:val="none"/>
        </w:rPr>
      </w:pPr>
      <w:bookmarkStart w:id="50" w:name="_Toc9829"/>
      <w:bookmarkStart w:id="51" w:name="_Toc279701242"/>
      <w:bookmarkStart w:id="52" w:name="_Toc487900351"/>
      <w:bookmarkStart w:id="53" w:name="_Toc27853"/>
      <w:bookmarkStart w:id="54" w:name="_Toc31634"/>
      <w:bookmarkStart w:id="55" w:name="_Toc259093671"/>
      <w:r>
        <w:rPr>
          <w:rFonts w:hint="eastAsia" w:ascii="宋体" w:hAnsi="宋体"/>
          <w:color w:val="auto"/>
          <w:sz w:val="24"/>
          <w:highlight w:val="none"/>
        </w:rPr>
        <w:t>2.3 知识产权</w:t>
      </w:r>
      <w:bookmarkEnd w:id="50"/>
      <w:bookmarkEnd w:id="51"/>
      <w:bookmarkEnd w:id="52"/>
      <w:bookmarkEnd w:id="53"/>
      <w:bookmarkEnd w:id="54"/>
      <w:bookmarkEnd w:id="55"/>
    </w:p>
    <w:p>
      <w:pPr>
        <w:spacing w:line="440" w:lineRule="exact"/>
        <w:rPr>
          <w:rFonts w:hint="eastAsia" w:ascii="宋体" w:hAnsi="宋体"/>
          <w:color w:val="auto"/>
          <w:sz w:val="24"/>
          <w:highlight w:val="none"/>
        </w:rPr>
      </w:pPr>
      <w:r>
        <w:rPr>
          <w:rFonts w:hint="eastAsia" w:ascii="宋体" w:hAnsi="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hint="eastAsia" w:ascii="宋体" w:hAnsi="宋体"/>
          <w:color w:val="auto"/>
          <w:sz w:val="24"/>
          <w:highlight w:val="none"/>
        </w:rPr>
      </w:pPr>
      <w:r>
        <w:rPr>
          <w:rFonts w:hint="eastAsia" w:ascii="宋体" w:hAnsi="宋体"/>
          <w:color w:val="auto"/>
          <w:sz w:val="24"/>
          <w:highlight w:val="none"/>
        </w:rPr>
        <w:t>2.3.2具有知识产权的计算机软件等货物的知识产权归属，详见合同专用条款。</w:t>
      </w:r>
    </w:p>
    <w:p>
      <w:pPr>
        <w:spacing w:line="440" w:lineRule="exact"/>
        <w:rPr>
          <w:rFonts w:hint="eastAsia" w:ascii="宋体" w:hAnsi="宋体"/>
          <w:color w:val="auto"/>
          <w:sz w:val="24"/>
          <w:highlight w:val="none"/>
        </w:rPr>
      </w:pPr>
      <w:bookmarkStart w:id="56" w:name="_Toc4194"/>
      <w:bookmarkStart w:id="57" w:name="_Toc11932"/>
      <w:bookmarkStart w:id="58" w:name="_Toc29149"/>
      <w:r>
        <w:rPr>
          <w:rFonts w:hint="eastAsia" w:ascii="宋体" w:hAnsi="宋体"/>
          <w:color w:val="auto"/>
          <w:sz w:val="24"/>
          <w:highlight w:val="none"/>
        </w:rPr>
        <w:t>2.4 包装和装运</w:t>
      </w:r>
      <w:bookmarkEnd w:id="56"/>
      <w:bookmarkEnd w:id="57"/>
      <w:bookmarkEnd w:id="58"/>
    </w:p>
    <w:p>
      <w:pPr>
        <w:spacing w:line="440" w:lineRule="exact"/>
        <w:rPr>
          <w:rFonts w:hint="eastAsia" w:ascii="宋体" w:hAnsi="宋体"/>
          <w:color w:val="auto"/>
          <w:sz w:val="24"/>
          <w:highlight w:val="none"/>
        </w:rPr>
      </w:pPr>
      <w:r>
        <w:rPr>
          <w:rFonts w:hint="eastAsia" w:ascii="宋体" w:hAnsi="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hint="eastAsia" w:ascii="宋体" w:hAnsi="宋体"/>
          <w:color w:val="auto"/>
          <w:sz w:val="24"/>
          <w:highlight w:val="none"/>
        </w:rPr>
      </w:pPr>
      <w:r>
        <w:rPr>
          <w:rFonts w:hint="eastAsia" w:ascii="宋体" w:hAnsi="宋体"/>
          <w:color w:val="auto"/>
          <w:sz w:val="24"/>
          <w:highlight w:val="none"/>
        </w:rPr>
        <w:t>2.4.2 装运货物的要求和通知，详见合同专用条款。</w:t>
      </w:r>
    </w:p>
    <w:p>
      <w:pPr>
        <w:spacing w:line="440" w:lineRule="exact"/>
        <w:rPr>
          <w:rFonts w:hint="eastAsia" w:ascii="宋体" w:hAnsi="宋体"/>
          <w:color w:val="auto"/>
          <w:sz w:val="24"/>
          <w:highlight w:val="none"/>
        </w:rPr>
      </w:pPr>
      <w:bookmarkStart w:id="59" w:name="_Ref467379536"/>
      <w:bookmarkStart w:id="60" w:name="_Toc259093674"/>
      <w:bookmarkStart w:id="61" w:name="_Toc279701245"/>
      <w:bookmarkStart w:id="62" w:name="_Ref467379527"/>
      <w:bookmarkStart w:id="63" w:name="_Ref467378591"/>
      <w:bookmarkStart w:id="64" w:name="_Ref467378541"/>
      <w:bookmarkStart w:id="65" w:name="_Toc487900354"/>
      <w:bookmarkStart w:id="66" w:name="_Ref467379542"/>
      <w:bookmarkStart w:id="67" w:name="_Toc19074"/>
      <w:bookmarkStart w:id="68" w:name="_Toc30272"/>
      <w:bookmarkStart w:id="69" w:name="_Toc26182"/>
      <w:r>
        <w:rPr>
          <w:rFonts w:hint="eastAsia" w:ascii="宋体" w:hAnsi="宋体"/>
          <w:color w:val="auto"/>
          <w:sz w:val="24"/>
          <w:highlight w:val="none"/>
        </w:rPr>
        <w:t>2.</w:t>
      </w:r>
      <w:bookmarkEnd w:id="59"/>
      <w:bookmarkEnd w:id="60"/>
      <w:bookmarkEnd w:id="61"/>
      <w:bookmarkEnd w:id="62"/>
      <w:bookmarkEnd w:id="63"/>
      <w:bookmarkEnd w:id="64"/>
      <w:bookmarkEnd w:id="65"/>
      <w:bookmarkEnd w:id="66"/>
      <w:r>
        <w:rPr>
          <w:rFonts w:hint="eastAsia" w:ascii="宋体" w:hAnsi="宋体"/>
          <w:color w:val="auto"/>
          <w:sz w:val="24"/>
          <w:highlight w:val="none"/>
        </w:rPr>
        <w:t>5 履约检查和问题反馈</w:t>
      </w:r>
      <w:bookmarkEnd w:id="67"/>
      <w:bookmarkEnd w:id="68"/>
      <w:bookmarkEnd w:id="69"/>
    </w:p>
    <w:p>
      <w:pPr>
        <w:spacing w:line="440" w:lineRule="exact"/>
        <w:rPr>
          <w:rFonts w:hint="eastAsia" w:ascii="宋体" w:hAnsi="宋体"/>
          <w:color w:val="auto"/>
          <w:sz w:val="24"/>
          <w:highlight w:val="none"/>
        </w:rPr>
      </w:pPr>
      <w:bookmarkStart w:id="70" w:name="_Ref467379657"/>
      <w:r>
        <w:rPr>
          <w:rFonts w:hint="eastAsia" w:ascii="宋体" w:hAnsi="宋体"/>
          <w:color w:val="auto"/>
          <w:sz w:val="24"/>
          <w:highlight w:val="none"/>
        </w:rPr>
        <w:t>2.5.1</w:t>
      </w:r>
      <w:bookmarkEnd w:id="70"/>
      <w:bookmarkStart w:id="71" w:name="_Toc186431854"/>
      <w:bookmarkStart w:id="72" w:name="_Toc487900357"/>
      <w:bookmarkStart w:id="73" w:name="_Toc259093676"/>
      <w:bookmarkStart w:id="74" w:name="_Toc279701247"/>
      <w:bookmarkStart w:id="75" w:name="_Ref467379793"/>
      <w:bookmarkStart w:id="76" w:name="_Ref467379807"/>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color w:val="auto"/>
          <w:sz w:val="24"/>
          <w:highlight w:val="none"/>
        </w:rPr>
        <w:t>。</w:t>
      </w:r>
    </w:p>
    <w:bookmarkEnd w:id="77"/>
    <w:p>
      <w:pPr>
        <w:spacing w:line="440" w:lineRule="exact"/>
        <w:rPr>
          <w:rFonts w:hint="eastAsia" w:ascii="宋体" w:hAnsi="宋体"/>
          <w:color w:val="auto"/>
          <w:sz w:val="24"/>
          <w:highlight w:val="none"/>
        </w:rPr>
      </w:pPr>
      <w:bookmarkStart w:id="78" w:name="_Toc7836"/>
      <w:bookmarkStart w:id="79" w:name="_Toc19219"/>
      <w:bookmarkStart w:id="80" w:name="_Toc28451"/>
      <w:r>
        <w:rPr>
          <w:rFonts w:hint="eastAsia" w:ascii="宋体" w:hAnsi="宋体"/>
          <w:color w:val="auto"/>
          <w:sz w:val="24"/>
          <w:highlight w:val="none"/>
        </w:rPr>
        <w:t>2.6 结算方式和付款条件</w:t>
      </w:r>
      <w:bookmarkEnd w:id="72"/>
      <w:bookmarkEnd w:id="73"/>
      <w:bookmarkEnd w:id="74"/>
      <w:bookmarkEnd w:id="75"/>
      <w:bookmarkEnd w:id="76"/>
      <w:bookmarkEnd w:id="78"/>
      <w:bookmarkEnd w:id="79"/>
      <w:bookmarkEnd w:id="80"/>
    </w:p>
    <w:p>
      <w:pPr>
        <w:spacing w:line="440" w:lineRule="exact"/>
        <w:rPr>
          <w:rFonts w:hint="eastAsia" w:ascii="宋体" w:hAnsi="宋体"/>
          <w:color w:val="auto"/>
          <w:sz w:val="24"/>
          <w:highlight w:val="none"/>
        </w:rPr>
      </w:pPr>
      <w:r>
        <w:rPr>
          <w:rFonts w:hint="eastAsia" w:ascii="宋体" w:hAnsi="宋体"/>
          <w:color w:val="auto"/>
          <w:sz w:val="24"/>
          <w:highlight w:val="none"/>
        </w:rPr>
        <w:t>详见合同专用条款。</w:t>
      </w:r>
    </w:p>
    <w:p>
      <w:pPr>
        <w:spacing w:line="440" w:lineRule="exact"/>
        <w:rPr>
          <w:rFonts w:hint="eastAsia" w:ascii="宋体" w:hAnsi="宋体"/>
          <w:color w:val="auto"/>
          <w:sz w:val="24"/>
          <w:highlight w:val="none"/>
        </w:rPr>
      </w:pPr>
      <w:bookmarkStart w:id="81" w:name="_Toc259093677"/>
      <w:bookmarkStart w:id="82" w:name="_Ref467379923"/>
      <w:bookmarkStart w:id="83" w:name="_Ref467379863"/>
      <w:bookmarkStart w:id="84" w:name="_Ref467379852"/>
      <w:bookmarkStart w:id="85" w:name="_Toc487900358"/>
      <w:bookmarkStart w:id="86" w:name="_Toc279701248"/>
      <w:bookmarkStart w:id="87" w:name="_Toc774"/>
      <w:bookmarkStart w:id="88" w:name="_Toc3225"/>
      <w:bookmarkStart w:id="89" w:name="_Toc16110"/>
      <w:r>
        <w:rPr>
          <w:rFonts w:hint="eastAsia" w:ascii="宋体" w:hAnsi="宋体"/>
          <w:color w:val="auto"/>
          <w:sz w:val="24"/>
          <w:highlight w:val="none"/>
        </w:rPr>
        <w:t>2.7 技术资料</w:t>
      </w:r>
      <w:bookmarkEnd w:id="81"/>
      <w:bookmarkEnd w:id="82"/>
      <w:bookmarkEnd w:id="83"/>
      <w:bookmarkEnd w:id="84"/>
      <w:bookmarkEnd w:id="85"/>
      <w:bookmarkEnd w:id="86"/>
      <w:r>
        <w:rPr>
          <w:rFonts w:hint="eastAsia" w:ascii="宋体" w:hAnsi="宋体"/>
          <w:color w:val="auto"/>
          <w:sz w:val="24"/>
          <w:highlight w:val="none"/>
        </w:rPr>
        <w:t>和保密义务</w:t>
      </w:r>
      <w:bookmarkEnd w:id="87"/>
      <w:bookmarkEnd w:id="88"/>
      <w:bookmarkEnd w:id="89"/>
    </w:p>
    <w:p>
      <w:pPr>
        <w:spacing w:line="440" w:lineRule="exact"/>
        <w:rPr>
          <w:rFonts w:hint="eastAsia"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pPr>
        <w:spacing w:line="440" w:lineRule="exact"/>
        <w:rPr>
          <w:rFonts w:hint="eastAsia"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hint="eastAsia" w:ascii="宋体" w:hAnsi="宋体"/>
          <w:color w:val="auto"/>
          <w:sz w:val="24"/>
          <w:highlight w:val="none"/>
        </w:rPr>
      </w:pPr>
      <w:bookmarkStart w:id="90" w:name="_Toc7860"/>
      <w:r>
        <w:rPr>
          <w:rFonts w:hint="eastAsia" w:ascii="宋体" w:hAnsi="宋体"/>
          <w:color w:val="auto"/>
          <w:sz w:val="24"/>
          <w:highlight w:val="none"/>
        </w:rPr>
        <w:t>2.8 质量保证</w:t>
      </w:r>
      <w:bookmarkEnd w:id="90"/>
    </w:p>
    <w:p>
      <w:pPr>
        <w:spacing w:line="440" w:lineRule="exact"/>
        <w:rPr>
          <w:rFonts w:hint="eastAsia"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pPr>
        <w:spacing w:line="440" w:lineRule="exact"/>
        <w:rPr>
          <w:rFonts w:hint="eastAsia"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pPr>
        <w:spacing w:line="440" w:lineRule="exact"/>
        <w:rPr>
          <w:rFonts w:hint="eastAsia" w:ascii="宋体" w:hAnsi="宋体"/>
          <w:color w:val="auto"/>
          <w:sz w:val="24"/>
          <w:highlight w:val="none"/>
        </w:rPr>
      </w:pPr>
      <w:bookmarkStart w:id="91" w:name="_Toc17244"/>
      <w:bookmarkStart w:id="92" w:name="_Toc487900362"/>
      <w:bookmarkStart w:id="93" w:name="_Toc279701252"/>
      <w:bookmarkStart w:id="94" w:name="_Toc259093681"/>
      <w:r>
        <w:rPr>
          <w:rFonts w:hint="eastAsia" w:ascii="宋体" w:hAnsi="宋体"/>
          <w:color w:val="auto"/>
          <w:sz w:val="24"/>
          <w:highlight w:val="none"/>
        </w:rPr>
        <w:t>2.9 货物的风险负担</w:t>
      </w:r>
      <w:bookmarkEnd w:id="91"/>
    </w:p>
    <w:p>
      <w:pPr>
        <w:spacing w:line="440" w:lineRule="exact"/>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货物或者在途货物或者交付给第一承运人后的货物毁损、灭失的风险负担详见合同专用条款。</w:t>
      </w:r>
    </w:p>
    <w:p>
      <w:pPr>
        <w:spacing w:line="440" w:lineRule="exact"/>
        <w:rPr>
          <w:rFonts w:hint="eastAsia" w:ascii="宋体" w:hAnsi="宋体"/>
          <w:color w:val="auto"/>
          <w:sz w:val="24"/>
          <w:highlight w:val="none"/>
        </w:rPr>
      </w:pPr>
      <w:bookmarkStart w:id="95" w:name="_Toc14055"/>
      <w:r>
        <w:rPr>
          <w:rFonts w:hint="eastAsia" w:ascii="宋体" w:hAnsi="宋体"/>
          <w:color w:val="auto"/>
          <w:sz w:val="24"/>
          <w:highlight w:val="none"/>
        </w:rPr>
        <w:t>2.10 延迟交货</w:t>
      </w:r>
      <w:bookmarkEnd w:id="92"/>
      <w:bookmarkEnd w:id="93"/>
      <w:bookmarkEnd w:id="94"/>
      <w:bookmarkEnd w:id="95"/>
    </w:p>
    <w:p>
      <w:pPr>
        <w:spacing w:line="440" w:lineRule="exact"/>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hint="eastAsia" w:ascii="宋体" w:hAnsi="宋体"/>
          <w:color w:val="auto"/>
          <w:sz w:val="24"/>
          <w:highlight w:val="none"/>
        </w:rPr>
      </w:pPr>
      <w:bookmarkStart w:id="96" w:name="_Toc7502"/>
      <w:bookmarkStart w:id="97" w:name="_Toc259093683"/>
      <w:bookmarkStart w:id="98" w:name="_Ref467378121"/>
      <w:bookmarkStart w:id="99" w:name="_Toc279701254"/>
      <w:bookmarkStart w:id="100" w:name="_Toc487900364"/>
      <w:r>
        <w:rPr>
          <w:rFonts w:hint="eastAsia" w:ascii="宋体" w:hAnsi="宋体"/>
          <w:color w:val="auto"/>
          <w:sz w:val="24"/>
          <w:highlight w:val="none"/>
        </w:rPr>
        <w:t>2.11 合同变更</w:t>
      </w:r>
      <w:bookmarkEnd w:id="96"/>
    </w:p>
    <w:p>
      <w:pPr>
        <w:spacing w:line="440" w:lineRule="exact"/>
        <w:rPr>
          <w:rFonts w:hint="eastAsia"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hint="eastAsia"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01" w:name="_Toc487900369"/>
      <w:bookmarkStart w:id="102" w:name="_Toc259093688"/>
      <w:bookmarkStart w:id="103" w:name="_Toc279701259"/>
    </w:p>
    <w:p>
      <w:pPr>
        <w:spacing w:line="440" w:lineRule="exact"/>
        <w:rPr>
          <w:rFonts w:hint="eastAsia" w:ascii="宋体" w:hAnsi="宋体"/>
          <w:color w:val="auto"/>
          <w:sz w:val="24"/>
          <w:highlight w:val="none"/>
        </w:rPr>
      </w:pPr>
      <w:bookmarkStart w:id="104" w:name="_Toc15237"/>
      <w:bookmarkStart w:id="105" w:name="_Toc10366"/>
      <w:bookmarkStart w:id="106" w:name="_Toc22955"/>
      <w:r>
        <w:rPr>
          <w:rFonts w:hint="eastAsia" w:ascii="宋体" w:hAnsi="宋体"/>
          <w:color w:val="auto"/>
          <w:sz w:val="24"/>
          <w:highlight w:val="none"/>
        </w:rPr>
        <w:t>2.12 合同转让</w:t>
      </w:r>
      <w:bookmarkEnd w:id="101"/>
      <w:bookmarkEnd w:id="102"/>
      <w:bookmarkEnd w:id="103"/>
      <w:r>
        <w:rPr>
          <w:rFonts w:hint="eastAsia" w:ascii="宋体" w:hAnsi="宋体"/>
          <w:color w:val="auto"/>
          <w:sz w:val="24"/>
          <w:highlight w:val="none"/>
        </w:rPr>
        <w:t>和分包</w:t>
      </w:r>
      <w:bookmarkEnd w:id="104"/>
      <w:bookmarkEnd w:id="105"/>
      <w:bookmarkEnd w:id="106"/>
    </w:p>
    <w:p>
      <w:pPr>
        <w:spacing w:line="440" w:lineRule="exact"/>
        <w:rPr>
          <w:rFonts w:hint="eastAsia" w:ascii="宋体" w:hAnsi="宋体"/>
          <w:color w:val="auto"/>
          <w:sz w:val="24"/>
          <w:highlight w:val="none"/>
        </w:rPr>
      </w:pPr>
      <w:r>
        <w:rPr>
          <w:rFonts w:hint="eastAsia" w:ascii="宋体" w:hAnsi="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hint="eastAsia" w:ascii="宋体" w:hAnsi="宋体"/>
          <w:color w:val="auto"/>
          <w:sz w:val="24"/>
          <w:highlight w:val="none"/>
        </w:rPr>
      </w:pPr>
      <w:bookmarkStart w:id="107" w:name="_Toc13566"/>
      <w:bookmarkStart w:id="108" w:name="_Toc16508"/>
      <w:bookmarkStart w:id="109" w:name="_Toc14066"/>
      <w:r>
        <w:rPr>
          <w:rFonts w:hint="eastAsia" w:ascii="宋体" w:hAnsi="宋体"/>
          <w:color w:val="auto"/>
          <w:sz w:val="24"/>
          <w:highlight w:val="none"/>
        </w:rPr>
        <w:t>2.13 不可抗力</w:t>
      </w:r>
      <w:bookmarkEnd w:id="107"/>
      <w:bookmarkEnd w:id="108"/>
      <w:bookmarkEnd w:id="109"/>
    </w:p>
    <w:p>
      <w:pPr>
        <w:spacing w:line="440" w:lineRule="exact"/>
        <w:rPr>
          <w:rFonts w:hint="eastAsia"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pPr>
        <w:spacing w:line="440" w:lineRule="exact"/>
        <w:rPr>
          <w:rFonts w:hint="eastAsia" w:ascii="宋体" w:hAnsi="宋体"/>
          <w:color w:val="auto"/>
          <w:sz w:val="24"/>
          <w:highlight w:val="none"/>
        </w:rPr>
      </w:pPr>
      <w:r>
        <w:rPr>
          <w:rFonts w:hint="eastAsia" w:ascii="宋体" w:hAnsi="宋体"/>
          <w:color w:val="auto"/>
          <w:sz w:val="24"/>
          <w:highlight w:val="none"/>
        </w:rPr>
        <w:t>2.13.2 因不可抗力致使不能实现合同目的的，当事人可以解除合同；</w:t>
      </w:r>
    </w:p>
    <w:p>
      <w:pPr>
        <w:spacing w:line="440" w:lineRule="exact"/>
        <w:rPr>
          <w:rFonts w:hint="eastAsia" w:ascii="宋体" w:hAnsi="宋体"/>
          <w:color w:val="auto"/>
          <w:sz w:val="24"/>
          <w:highlight w:val="none"/>
        </w:rPr>
      </w:pPr>
      <w:r>
        <w:rPr>
          <w:rFonts w:hint="eastAsia" w:ascii="宋体" w:hAnsi="宋体"/>
          <w:color w:val="auto"/>
          <w:sz w:val="24"/>
          <w:highlight w:val="none"/>
        </w:rPr>
        <w:t>2.13.3 因不可抗力致使合同有变更必要的，双方当事人应在合同专用条款约定时间内以书面形式变更合同；</w:t>
      </w:r>
    </w:p>
    <w:p>
      <w:pPr>
        <w:spacing w:line="440" w:lineRule="exact"/>
        <w:rPr>
          <w:rFonts w:hint="eastAsia" w:ascii="宋体" w:hAnsi="宋体"/>
          <w:color w:val="auto"/>
          <w:sz w:val="24"/>
          <w:highlight w:val="none"/>
        </w:rPr>
      </w:pPr>
      <w:r>
        <w:rPr>
          <w:rFonts w:hint="eastAsia" w:ascii="宋体" w:hAnsi="宋体"/>
          <w:color w:val="auto"/>
          <w:sz w:val="24"/>
          <w:highlight w:val="none"/>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hint="eastAsia" w:ascii="宋体" w:hAnsi="宋体"/>
          <w:color w:val="auto"/>
          <w:sz w:val="24"/>
          <w:highlight w:val="none"/>
        </w:rPr>
      </w:pPr>
      <w:bookmarkStart w:id="110" w:name="_Toc6969"/>
      <w:bookmarkStart w:id="111" w:name="_Toc30676"/>
      <w:bookmarkStart w:id="112" w:name="_Toc279701255"/>
      <w:bookmarkStart w:id="113" w:name="_Toc689"/>
      <w:bookmarkStart w:id="114" w:name="_Toc487900365"/>
      <w:bookmarkStart w:id="115" w:name="_Toc259093684"/>
      <w:r>
        <w:rPr>
          <w:rFonts w:hint="eastAsia" w:ascii="宋体" w:hAnsi="宋体"/>
          <w:color w:val="auto"/>
          <w:sz w:val="24"/>
          <w:highlight w:val="none"/>
        </w:rPr>
        <w:t>2.14 税费</w:t>
      </w:r>
      <w:bookmarkEnd w:id="110"/>
      <w:bookmarkEnd w:id="111"/>
      <w:bookmarkEnd w:id="112"/>
      <w:bookmarkEnd w:id="113"/>
      <w:bookmarkEnd w:id="114"/>
      <w:bookmarkEnd w:id="115"/>
    </w:p>
    <w:p>
      <w:pPr>
        <w:spacing w:line="440" w:lineRule="exact"/>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440" w:lineRule="exact"/>
        <w:rPr>
          <w:rFonts w:hint="eastAsia" w:ascii="宋体" w:hAnsi="宋体"/>
          <w:color w:val="auto"/>
          <w:sz w:val="24"/>
          <w:highlight w:val="none"/>
        </w:rPr>
      </w:pPr>
      <w:bookmarkStart w:id="116" w:name="_Toc7102"/>
      <w:bookmarkStart w:id="117" w:name="_Toc279701258"/>
      <w:bookmarkStart w:id="118" w:name="_Toc259093687"/>
      <w:bookmarkStart w:id="119" w:name="_Toc8298"/>
      <w:bookmarkStart w:id="120" w:name="_Toc487900368"/>
      <w:bookmarkStart w:id="121" w:name="_Toc16959"/>
      <w:r>
        <w:rPr>
          <w:rFonts w:hint="eastAsia" w:ascii="宋体" w:hAnsi="宋体"/>
          <w:color w:val="auto"/>
          <w:sz w:val="24"/>
          <w:highlight w:val="none"/>
        </w:rPr>
        <w:t>2.15 乙方破产</w:t>
      </w:r>
      <w:bookmarkEnd w:id="116"/>
      <w:bookmarkEnd w:id="117"/>
      <w:bookmarkEnd w:id="118"/>
      <w:bookmarkEnd w:id="119"/>
      <w:bookmarkEnd w:id="120"/>
      <w:bookmarkEnd w:id="121"/>
    </w:p>
    <w:p>
      <w:pPr>
        <w:spacing w:line="440" w:lineRule="exact"/>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hint="eastAsia" w:ascii="宋体" w:hAnsi="宋体"/>
          <w:color w:val="auto"/>
          <w:sz w:val="24"/>
          <w:highlight w:val="none"/>
        </w:rPr>
      </w:pPr>
      <w:bookmarkStart w:id="122" w:name="_Toc6134"/>
      <w:bookmarkStart w:id="123" w:name="_Toc29333"/>
      <w:bookmarkStart w:id="124" w:name="_Toc15387"/>
      <w:r>
        <w:rPr>
          <w:rFonts w:hint="eastAsia" w:ascii="宋体" w:hAnsi="宋体"/>
          <w:color w:val="auto"/>
          <w:sz w:val="24"/>
          <w:highlight w:val="none"/>
        </w:rPr>
        <w:t>2.16 合同中止、终止</w:t>
      </w:r>
      <w:bookmarkEnd w:id="122"/>
      <w:bookmarkEnd w:id="123"/>
      <w:bookmarkEnd w:id="124"/>
    </w:p>
    <w:p>
      <w:pPr>
        <w:spacing w:line="440" w:lineRule="exact"/>
        <w:rPr>
          <w:rFonts w:hint="eastAsia" w:ascii="宋体" w:hAnsi="宋体"/>
          <w:color w:val="auto"/>
          <w:sz w:val="24"/>
          <w:highlight w:val="none"/>
        </w:rPr>
      </w:pPr>
      <w:r>
        <w:rPr>
          <w:rFonts w:hint="eastAsia" w:ascii="宋体" w:hAnsi="宋体"/>
          <w:color w:val="auto"/>
          <w:sz w:val="24"/>
          <w:highlight w:val="none"/>
        </w:rPr>
        <w:t>2.16.1 双方当事人不得擅自中止或者终止合同；</w:t>
      </w:r>
    </w:p>
    <w:p>
      <w:pPr>
        <w:spacing w:line="440" w:lineRule="exact"/>
        <w:rPr>
          <w:rFonts w:hint="eastAsia"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hint="eastAsia" w:ascii="宋体" w:hAnsi="宋体"/>
          <w:color w:val="auto"/>
          <w:sz w:val="24"/>
          <w:highlight w:val="none"/>
        </w:rPr>
      </w:pPr>
      <w:bookmarkStart w:id="125" w:name="_Toc14563"/>
      <w:bookmarkStart w:id="126" w:name="_Toc1125"/>
      <w:bookmarkStart w:id="127" w:name="_Toc6596"/>
      <w:r>
        <w:rPr>
          <w:rFonts w:hint="eastAsia" w:ascii="宋体" w:hAnsi="宋体"/>
          <w:color w:val="auto"/>
          <w:sz w:val="24"/>
          <w:highlight w:val="none"/>
        </w:rPr>
        <w:t>2.17 检验和验收</w:t>
      </w:r>
      <w:bookmarkEnd w:id="125"/>
      <w:bookmarkEnd w:id="126"/>
      <w:bookmarkEnd w:id="127"/>
    </w:p>
    <w:p>
      <w:pPr>
        <w:spacing w:line="440" w:lineRule="exact"/>
        <w:rPr>
          <w:rFonts w:hint="eastAsia" w:ascii="宋体" w:hAnsi="宋体"/>
          <w:color w:val="auto"/>
          <w:sz w:val="24"/>
          <w:highlight w:val="none"/>
        </w:rPr>
      </w:pPr>
      <w:r>
        <w:rPr>
          <w:rFonts w:hint="eastAsia" w:ascii="宋体" w:hAnsi="宋体"/>
          <w:color w:val="auto"/>
          <w:sz w:val="24"/>
          <w:highlight w:val="none"/>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2.17.3 检验和验收标准、程序等具体内容以及前述验收书的效力详见合同专用条款。</w:t>
      </w:r>
    </w:p>
    <w:bookmarkEnd w:id="97"/>
    <w:bookmarkEnd w:id="98"/>
    <w:bookmarkEnd w:id="99"/>
    <w:bookmarkEnd w:id="100"/>
    <w:p>
      <w:pPr>
        <w:spacing w:line="440" w:lineRule="exact"/>
        <w:rPr>
          <w:rFonts w:hint="eastAsia" w:ascii="宋体" w:hAnsi="宋体"/>
          <w:color w:val="auto"/>
          <w:sz w:val="24"/>
          <w:highlight w:val="none"/>
        </w:rPr>
      </w:pPr>
      <w:bookmarkStart w:id="128" w:name="_Toc279701261"/>
      <w:bookmarkStart w:id="129" w:name="_Toc487900371"/>
      <w:bookmarkStart w:id="130" w:name="_Toc259093690"/>
      <w:bookmarkStart w:id="131" w:name="_Toc25182"/>
      <w:bookmarkStart w:id="132" w:name="_Toc19604"/>
      <w:bookmarkStart w:id="133" w:name="_Toc11284"/>
      <w:r>
        <w:rPr>
          <w:rFonts w:hint="eastAsia" w:ascii="宋体" w:hAnsi="宋体"/>
          <w:color w:val="auto"/>
          <w:sz w:val="24"/>
          <w:highlight w:val="none"/>
        </w:rPr>
        <w:t>2.18 通知</w:t>
      </w:r>
      <w:bookmarkEnd w:id="128"/>
      <w:bookmarkEnd w:id="129"/>
      <w:bookmarkEnd w:id="130"/>
      <w:r>
        <w:rPr>
          <w:rFonts w:hint="eastAsia" w:ascii="宋体" w:hAnsi="宋体"/>
          <w:color w:val="auto"/>
          <w:sz w:val="24"/>
          <w:highlight w:val="none"/>
        </w:rPr>
        <w:t>和送达</w:t>
      </w:r>
      <w:bookmarkEnd w:id="131"/>
      <w:bookmarkEnd w:id="132"/>
      <w:bookmarkEnd w:id="133"/>
    </w:p>
    <w:p>
      <w:pPr>
        <w:spacing w:line="440" w:lineRule="exact"/>
        <w:rPr>
          <w:rFonts w:hint="eastAsia" w:ascii="宋体" w:hAnsi="宋体"/>
          <w:color w:val="auto"/>
          <w:sz w:val="24"/>
          <w:highlight w:val="none"/>
        </w:rPr>
      </w:pPr>
      <w:bookmarkStart w:id="134" w:name="_Toc6698"/>
      <w:bookmarkStart w:id="135" w:name="_Toc3135"/>
      <w:bookmarkStart w:id="136" w:name="_Toc259093691"/>
      <w:bookmarkStart w:id="137" w:name="_Toc279701262"/>
      <w:bookmarkStart w:id="138" w:name="_Toc487900372"/>
      <w:r>
        <w:rPr>
          <w:rFonts w:hint="eastAsia" w:ascii="宋体" w:hAnsi="宋体"/>
          <w:color w:val="auto"/>
          <w:sz w:val="24"/>
          <w:highlight w:val="none"/>
        </w:rPr>
        <w:t>2.18.1 任何一方因履行合同而以合同第一部分尾部所列明的发出的所有通知、文件、材料，均视为已向对方当事人送达；任何一方变更上述送达方式或者地址的，应于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hint="eastAsia" w:ascii="宋体" w:hAnsi="宋体"/>
          <w:color w:val="auto"/>
          <w:sz w:val="24"/>
          <w:highlight w:val="none"/>
        </w:rPr>
      </w:pPr>
      <w:bookmarkStart w:id="139" w:name="_Toc23128"/>
      <w:bookmarkStart w:id="140"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hint="eastAsia" w:ascii="宋体" w:hAnsi="宋体"/>
          <w:color w:val="auto"/>
          <w:sz w:val="24"/>
          <w:highlight w:val="none"/>
        </w:rPr>
      </w:pPr>
      <w:bookmarkStart w:id="141" w:name="_Toc4355"/>
      <w:bookmarkStart w:id="142" w:name="_Toc18540"/>
      <w:bookmarkStart w:id="143" w:name="_Toc30599"/>
      <w:r>
        <w:rPr>
          <w:rFonts w:hint="eastAsia" w:ascii="宋体" w:hAnsi="宋体"/>
          <w:color w:val="auto"/>
          <w:sz w:val="24"/>
          <w:highlight w:val="none"/>
        </w:rPr>
        <w:t>2.19 计量单位</w:t>
      </w:r>
      <w:bookmarkEnd w:id="136"/>
      <w:bookmarkEnd w:id="137"/>
      <w:bookmarkEnd w:id="138"/>
      <w:bookmarkEnd w:id="141"/>
      <w:bookmarkEnd w:id="142"/>
      <w:bookmarkEnd w:id="143"/>
    </w:p>
    <w:p>
      <w:pPr>
        <w:spacing w:line="440" w:lineRule="exact"/>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440" w:lineRule="exact"/>
        <w:rPr>
          <w:rFonts w:hint="eastAsia" w:ascii="宋体" w:hAnsi="宋体"/>
          <w:color w:val="auto"/>
          <w:sz w:val="24"/>
          <w:highlight w:val="none"/>
        </w:rPr>
      </w:pPr>
      <w:bookmarkStart w:id="144" w:name="_Toc279701263"/>
      <w:bookmarkStart w:id="145" w:name="_Toc259093692"/>
      <w:bookmarkStart w:id="146" w:name="_Toc10330"/>
      <w:bookmarkStart w:id="147" w:name="_Toc12773"/>
      <w:bookmarkStart w:id="148" w:name="_Toc487900373"/>
      <w:bookmarkStart w:id="149" w:name="_Toc18567"/>
      <w:r>
        <w:rPr>
          <w:rFonts w:hint="eastAsia" w:ascii="宋体" w:hAnsi="宋体"/>
          <w:color w:val="auto"/>
          <w:sz w:val="24"/>
          <w:highlight w:val="none"/>
        </w:rPr>
        <w:t>2.20 合同使用的文字和适用的法律</w:t>
      </w:r>
      <w:bookmarkEnd w:id="144"/>
      <w:bookmarkEnd w:id="145"/>
      <w:bookmarkEnd w:id="146"/>
      <w:bookmarkEnd w:id="147"/>
      <w:bookmarkEnd w:id="148"/>
      <w:bookmarkEnd w:id="149"/>
    </w:p>
    <w:p>
      <w:pPr>
        <w:spacing w:line="440" w:lineRule="exact"/>
        <w:rPr>
          <w:rFonts w:hint="eastAsia" w:ascii="宋体" w:hAnsi="宋体"/>
          <w:color w:val="auto"/>
          <w:sz w:val="24"/>
          <w:highlight w:val="none"/>
        </w:rPr>
      </w:pPr>
      <w:r>
        <w:rPr>
          <w:rFonts w:hint="eastAsia" w:ascii="宋体" w:hAnsi="宋体"/>
          <w:color w:val="auto"/>
          <w:sz w:val="24"/>
          <w:highlight w:val="none"/>
        </w:rPr>
        <w:t>2.20.1 合同使用汉语书就、变更和解释；</w:t>
      </w:r>
    </w:p>
    <w:p>
      <w:pPr>
        <w:spacing w:line="440" w:lineRule="exact"/>
        <w:rPr>
          <w:rFonts w:hint="eastAsia" w:ascii="宋体" w:hAnsi="宋体"/>
          <w:color w:val="auto"/>
          <w:sz w:val="24"/>
          <w:highlight w:val="none"/>
        </w:rPr>
      </w:pPr>
      <w:r>
        <w:rPr>
          <w:rFonts w:hint="eastAsia" w:ascii="宋体" w:hAnsi="宋体"/>
          <w:color w:val="auto"/>
          <w:sz w:val="24"/>
          <w:highlight w:val="none"/>
        </w:rPr>
        <w:t>2.20.2 合同适用中华人民共和国法律。</w:t>
      </w:r>
    </w:p>
    <w:p>
      <w:pPr>
        <w:spacing w:line="440" w:lineRule="exact"/>
        <w:rPr>
          <w:rFonts w:hint="eastAsia" w:ascii="宋体" w:hAnsi="宋体"/>
          <w:color w:val="auto"/>
          <w:sz w:val="24"/>
          <w:highlight w:val="none"/>
        </w:rPr>
      </w:pPr>
      <w:bookmarkStart w:id="150" w:name="_Toc3148"/>
      <w:bookmarkStart w:id="151" w:name="_Toc259093693"/>
      <w:bookmarkStart w:id="152" w:name="_Toc16673"/>
      <w:bookmarkStart w:id="153" w:name="_Toc12004"/>
      <w:bookmarkStart w:id="154" w:name="_Toc279701264"/>
      <w:bookmarkStart w:id="155" w:name="_Toc487900374"/>
      <w:r>
        <w:rPr>
          <w:rFonts w:hint="eastAsia" w:ascii="宋体" w:hAnsi="宋体"/>
          <w:color w:val="auto"/>
          <w:sz w:val="24"/>
          <w:highlight w:val="none"/>
        </w:rPr>
        <w:t>2.21 履约保证金</w:t>
      </w:r>
      <w:bookmarkEnd w:id="150"/>
      <w:bookmarkEnd w:id="151"/>
      <w:bookmarkEnd w:id="152"/>
      <w:bookmarkEnd w:id="153"/>
      <w:bookmarkEnd w:id="154"/>
    </w:p>
    <w:p>
      <w:pPr>
        <w:spacing w:line="440" w:lineRule="exact"/>
        <w:rPr>
          <w:rFonts w:hint="eastAsia" w:ascii="宋体" w:hAnsi="宋体"/>
          <w:color w:val="auto"/>
          <w:sz w:val="24"/>
          <w:highlight w:val="none"/>
        </w:rPr>
      </w:pPr>
      <w:r>
        <w:rPr>
          <w:rFonts w:hint="eastAsia" w:ascii="宋体" w:hAnsi="宋体"/>
          <w:color w:val="auto"/>
          <w:sz w:val="24"/>
          <w:highlight w:val="none"/>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hint="eastAsia" w:ascii="宋体" w:hAnsi="宋体"/>
          <w:color w:val="auto"/>
          <w:sz w:val="24"/>
          <w:highlight w:val="none"/>
        </w:rPr>
      </w:pPr>
      <w:r>
        <w:rPr>
          <w:rFonts w:hint="eastAsia" w:ascii="宋体" w:hAnsi="宋体"/>
          <w:color w:val="auto"/>
          <w:sz w:val="24"/>
          <w:highlight w:val="none"/>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hint="eastAsia" w:ascii="宋体" w:hAnsi="宋体"/>
          <w:color w:val="auto"/>
          <w:sz w:val="24"/>
          <w:highlight w:val="none"/>
        </w:rPr>
      </w:pPr>
      <w:r>
        <w:rPr>
          <w:rFonts w:hint="eastAsia" w:ascii="宋体" w:hAnsi="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hint="eastAsia" w:ascii="宋体" w:hAnsi="宋体"/>
          <w:color w:val="auto"/>
          <w:sz w:val="24"/>
          <w:highlight w:val="none"/>
        </w:rPr>
      </w:pPr>
      <w:bookmarkStart w:id="156" w:name="_Toc6885"/>
      <w:bookmarkStart w:id="157" w:name="_Toc14001"/>
      <w:bookmarkStart w:id="158" w:name="_Toc19890"/>
      <w:r>
        <w:rPr>
          <w:rFonts w:hint="eastAsia" w:ascii="宋体" w:hAnsi="宋体"/>
          <w:color w:val="auto"/>
          <w:sz w:val="24"/>
          <w:highlight w:val="none"/>
        </w:rPr>
        <w:t>2.22 合同份数</w:t>
      </w:r>
      <w:bookmarkEnd w:id="156"/>
      <w:bookmarkEnd w:id="157"/>
      <w:bookmarkEnd w:id="158"/>
    </w:p>
    <w:p>
      <w:pPr>
        <w:spacing w:line="440" w:lineRule="exact"/>
        <w:rPr>
          <w:rFonts w:hint="eastAsia" w:ascii="宋体" w:hAnsi="宋体"/>
          <w:color w:val="auto"/>
          <w:sz w:val="24"/>
          <w:highlight w:val="none"/>
        </w:rPr>
      </w:pPr>
      <w:r>
        <w:rPr>
          <w:rFonts w:hint="eastAsia" w:ascii="宋体" w:hAnsi="宋体"/>
          <w:color w:val="auto"/>
          <w:sz w:val="24"/>
          <w:highlight w:val="none"/>
        </w:rPr>
        <w:t>合同份数按合同专用条款规定，每份均具有同等法律效力。</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br w:type="page"/>
      </w:r>
      <w:bookmarkStart w:id="159" w:name="_Toc331685784"/>
      <w:r>
        <w:rPr>
          <w:rFonts w:hint="eastAsia" w:ascii="宋体" w:hAnsi="宋体"/>
          <w:color w:val="auto"/>
          <w:sz w:val="24"/>
          <w:highlight w:val="none"/>
        </w:rPr>
        <w:t>第三部分  合同专用条款</w:t>
      </w:r>
      <w:bookmarkEnd w:id="159"/>
    </w:p>
    <w:p>
      <w:pPr>
        <w:spacing w:line="440" w:lineRule="exact"/>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4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条款号</w:t>
            </w:r>
          </w:p>
        </w:tc>
        <w:tc>
          <w:tcPr>
            <w:tcW w:w="7633"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bl>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ascii="宋体"/>
          <w:b/>
          <w:color w:val="auto"/>
          <w:sz w:val="44"/>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第五部分</w:t>
      </w:r>
      <w:r>
        <w:rPr>
          <w:rFonts w:ascii="宋体" w:hAnsi="宋体"/>
          <w:b/>
          <w:color w:val="auto"/>
          <w:sz w:val="32"/>
          <w:szCs w:val="32"/>
          <w:highlight w:val="none"/>
        </w:rPr>
        <w:t xml:space="preserve">  </w:t>
      </w:r>
      <w:r>
        <w:rPr>
          <w:rFonts w:hint="eastAsia" w:ascii="宋体" w:hAnsi="宋体"/>
          <w:b/>
          <w:color w:val="auto"/>
          <w:sz w:val="32"/>
          <w:szCs w:val="32"/>
          <w:highlight w:val="none"/>
        </w:rPr>
        <w:t>投标文件内容及格式</w:t>
      </w:r>
    </w:p>
    <w:p>
      <w:pPr>
        <w:jc w:val="center"/>
        <w:rPr>
          <w:rFonts w:ascii="宋体"/>
          <w:color w:val="auto"/>
          <w:sz w:val="24"/>
          <w:highlight w:val="none"/>
        </w:rPr>
      </w:pPr>
    </w:p>
    <w:p>
      <w:pPr>
        <w:numPr>
          <w:ilvl w:val="0"/>
          <w:numId w:val="4"/>
        </w:numPr>
        <w:jc w:val="center"/>
        <w:rPr>
          <w:rFonts w:hint="eastAsia"/>
        </w:rPr>
      </w:pPr>
      <w:r>
        <w:rPr>
          <w:rFonts w:hint="eastAsia" w:ascii="宋体" w:hAnsi="宋体"/>
          <w:b/>
          <w:color w:val="auto"/>
          <w:sz w:val="30"/>
          <w:szCs w:val="30"/>
          <w:highlight w:val="none"/>
        </w:rPr>
        <w:t>投标书编制顺序</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投标书编制顺序</w:t>
      </w:r>
    </w:p>
    <w:p>
      <w:pPr>
        <w:rPr>
          <w:rFonts w:hint="eastAsia" w:ascii="宋体" w:hAnsi="宋体"/>
          <w:color w:val="auto"/>
          <w:sz w:val="24"/>
          <w:highlight w:val="none"/>
        </w:rPr>
      </w:pPr>
      <w:r>
        <w:rPr>
          <w:rFonts w:hint="eastAsia" w:ascii="宋体" w:hAnsi="宋体"/>
          <w:color w:val="auto"/>
          <w:sz w:val="24"/>
          <w:highlight w:val="none"/>
        </w:rPr>
        <w:t>投标人应按下列顺序排列和装订投标文件：</w:t>
      </w:r>
    </w:p>
    <w:p>
      <w:pPr>
        <w:jc w:val="center"/>
        <w:rPr>
          <w:rFonts w:hint="default" w:eastAsia="宋体"/>
          <w:b/>
          <w:bCs/>
          <w:sz w:val="22"/>
          <w:szCs w:val="28"/>
          <w:lang w:val="en-US" w:eastAsia="zh-CN"/>
        </w:rPr>
      </w:pPr>
      <w:r>
        <w:rPr>
          <w:rFonts w:hint="eastAsia" w:ascii="宋体" w:hAnsi="宋体"/>
          <w:b/>
          <w:bCs/>
          <w:color w:val="auto"/>
          <w:sz w:val="28"/>
          <w:szCs w:val="28"/>
          <w:highlight w:val="none"/>
          <w:lang w:val="en-US" w:eastAsia="zh-CN"/>
        </w:rPr>
        <w:t>目  录</w:t>
      </w:r>
    </w:p>
    <w:p>
      <w:pPr>
        <w:rPr>
          <w:rFonts w:hint="eastAsia" w:ascii="宋体" w:hAnsi="宋体" w:eastAsia="宋体"/>
          <w:color w:val="auto"/>
          <w:sz w:val="24"/>
          <w:highlight w:val="none"/>
          <w:lang w:eastAsia="zh-CN"/>
        </w:rPr>
      </w:pPr>
      <w:r>
        <w:rPr>
          <w:rFonts w:hint="eastAsia" w:ascii="宋体" w:hAnsi="宋体"/>
          <w:color w:val="000000" w:themeColor="text1"/>
          <w:sz w:val="24"/>
          <w14:textFill>
            <w14:solidFill>
              <w14:schemeClr w14:val="tx1"/>
            </w14:solidFill>
          </w14:textFill>
        </w:rPr>
        <w:t>一、</w:t>
      </w:r>
      <w:r>
        <w:rPr>
          <w:rFonts w:hint="eastAsia" w:ascii="宋体" w:hAnsi="宋体"/>
          <w:color w:val="auto"/>
          <w:sz w:val="24"/>
          <w:highlight w:val="none"/>
        </w:rPr>
        <w:t>投标</w:t>
      </w:r>
      <w:r>
        <w:rPr>
          <w:rFonts w:hint="eastAsia" w:ascii="宋体" w:hAnsi="宋体"/>
          <w:color w:val="auto"/>
          <w:sz w:val="24"/>
          <w:highlight w:val="none"/>
          <w:lang w:eastAsia="zh-CN"/>
        </w:rPr>
        <w:t>函</w:t>
      </w:r>
    </w:p>
    <w:p>
      <w:pPr>
        <w:rPr>
          <w:rFonts w:ascii="宋体" w:hAnsi="宋体"/>
          <w:color w:val="auto"/>
          <w:sz w:val="24"/>
          <w:highlight w:val="none"/>
        </w:rPr>
      </w:pPr>
      <w:r>
        <w:rPr>
          <w:rFonts w:hint="eastAsia" w:ascii="宋体" w:hAnsi="宋体"/>
          <w:color w:val="auto"/>
          <w:sz w:val="24"/>
          <w:highlight w:val="none"/>
        </w:rPr>
        <w:t>二、投标一览表</w:t>
      </w:r>
    </w:p>
    <w:p>
      <w:pPr>
        <w:rPr>
          <w:rFonts w:ascii="宋体" w:hAnsi="宋体"/>
          <w:color w:val="auto"/>
          <w:sz w:val="24"/>
          <w:highlight w:val="none"/>
        </w:rPr>
      </w:pPr>
      <w:r>
        <w:rPr>
          <w:rFonts w:hint="eastAsia" w:ascii="宋体" w:hAnsi="宋体"/>
          <w:color w:val="auto"/>
          <w:sz w:val="24"/>
          <w:highlight w:val="none"/>
        </w:rPr>
        <w:t>三、 投标货物报价表</w:t>
      </w:r>
    </w:p>
    <w:p>
      <w:pPr>
        <w:rPr>
          <w:rFonts w:ascii="宋体" w:hAnsi="宋体"/>
          <w:color w:val="auto"/>
          <w:sz w:val="24"/>
          <w:highlight w:val="none"/>
        </w:rPr>
      </w:pPr>
      <w:r>
        <w:rPr>
          <w:rFonts w:hint="eastAsia" w:ascii="宋体" w:hAnsi="宋体"/>
          <w:color w:val="auto"/>
          <w:sz w:val="24"/>
          <w:highlight w:val="none"/>
        </w:rPr>
        <w:t>四、技术规格功能要求偏离表</w:t>
      </w:r>
    </w:p>
    <w:p>
      <w:pPr>
        <w:rPr>
          <w:rFonts w:ascii="宋体" w:hAnsi="宋体"/>
          <w:color w:val="auto"/>
          <w:sz w:val="24"/>
          <w:highlight w:val="none"/>
        </w:rPr>
      </w:pPr>
      <w:r>
        <w:rPr>
          <w:rFonts w:hint="eastAsia" w:ascii="宋体" w:hAnsi="宋体"/>
          <w:color w:val="auto"/>
          <w:sz w:val="24"/>
          <w:highlight w:val="none"/>
        </w:rPr>
        <w:t>五、商务条款偏离表</w:t>
      </w:r>
    </w:p>
    <w:p>
      <w:pPr>
        <w:rPr>
          <w:rFonts w:ascii="宋体" w:hAnsi="宋体"/>
          <w:color w:val="auto"/>
          <w:sz w:val="24"/>
          <w:highlight w:val="none"/>
        </w:rPr>
      </w:pPr>
      <w:r>
        <w:rPr>
          <w:rFonts w:hint="eastAsia" w:ascii="宋体" w:hAnsi="宋体"/>
          <w:color w:val="auto"/>
          <w:sz w:val="24"/>
          <w:highlight w:val="none"/>
        </w:rPr>
        <w:t>六、银行转账单复印件</w:t>
      </w:r>
    </w:p>
    <w:p>
      <w:pPr>
        <w:rPr>
          <w:rFonts w:ascii="宋体" w:hAnsi="宋体"/>
          <w:color w:val="auto"/>
          <w:sz w:val="24"/>
          <w:highlight w:val="none"/>
        </w:rPr>
      </w:pPr>
      <w:r>
        <w:rPr>
          <w:rFonts w:hint="eastAsia" w:ascii="宋体" w:hAnsi="宋体"/>
          <w:color w:val="auto"/>
          <w:sz w:val="24"/>
          <w:highlight w:val="none"/>
        </w:rPr>
        <w:t>七、投标方的资格声明</w:t>
      </w:r>
    </w:p>
    <w:p>
      <w:pPr>
        <w:rPr>
          <w:rFonts w:ascii="宋体" w:hAnsi="宋体"/>
          <w:color w:val="auto"/>
          <w:sz w:val="24"/>
          <w:highlight w:val="none"/>
        </w:rPr>
      </w:pPr>
      <w:r>
        <w:rPr>
          <w:rFonts w:hint="eastAsia" w:ascii="宋体" w:hAnsi="宋体"/>
          <w:color w:val="auto"/>
          <w:sz w:val="24"/>
          <w:highlight w:val="none"/>
        </w:rPr>
        <w:t>八、营业执照</w:t>
      </w:r>
    </w:p>
    <w:p>
      <w:pPr>
        <w:rPr>
          <w:rFonts w:hint="eastAsia" w:ascii="宋体" w:hAnsi="宋体" w:eastAsia="宋体"/>
          <w:color w:val="auto"/>
          <w:sz w:val="24"/>
          <w:highlight w:val="none"/>
          <w:lang w:eastAsia="zh-CN"/>
        </w:rPr>
      </w:pPr>
      <w:r>
        <w:rPr>
          <w:rFonts w:hint="eastAsia" w:ascii="宋体" w:hAnsi="宋体"/>
          <w:color w:val="auto"/>
          <w:sz w:val="24"/>
          <w:highlight w:val="none"/>
        </w:rPr>
        <w:t>九、法定代表人证明书</w:t>
      </w:r>
      <w:r>
        <w:rPr>
          <w:rFonts w:hint="eastAsia" w:ascii="宋体" w:hAnsi="宋体"/>
          <w:color w:val="auto"/>
          <w:sz w:val="24"/>
          <w:highlight w:val="none"/>
          <w:lang w:eastAsia="zh-CN"/>
        </w:rPr>
        <w:t>或负责人身份证明书</w:t>
      </w:r>
    </w:p>
    <w:p>
      <w:pPr>
        <w:rPr>
          <w:rFonts w:hint="eastAsia" w:ascii="宋体" w:hAnsi="宋体"/>
          <w:color w:val="auto"/>
          <w:sz w:val="24"/>
          <w:highlight w:val="none"/>
          <w:lang w:eastAsia="zh-CN"/>
        </w:rPr>
      </w:pPr>
      <w:r>
        <w:rPr>
          <w:rFonts w:hint="eastAsia" w:ascii="宋体" w:hAnsi="宋体"/>
          <w:color w:val="auto"/>
          <w:sz w:val="24"/>
          <w:highlight w:val="none"/>
        </w:rPr>
        <w:t>十、法定代表人授权书，被委托人必须是投标单位正式员工，需提供社保部门出具最少提供近一个月的缴纳社保证明（社保缴费凭证及个人明细表）</w:t>
      </w:r>
      <w:r>
        <w:rPr>
          <w:rFonts w:hint="eastAsia" w:ascii="宋体" w:hAnsi="宋体"/>
          <w:color w:val="auto"/>
          <w:sz w:val="24"/>
          <w:highlight w:val="none"/>
          <w:lang w:eastAsia="zh-CN"/>
        </w:rPr>
        <w:t>；</w:t>
      </w:r>
    </w:p>
    <w:p>
      <w:pPr>
        <w:rPr>
          <w:rFonts w:ascii="宋体" w:hAnsi="宋体"/>
          <w:color w:val="auto"/>
          <w:sz w:val="24"/>
          <w:highlight w:val="none"/>
        </w:rPr>
      </w:pPr>
      <w:r>
        <w:rPr>
          <w:rFonts w:hint="eastAsia" w:ascii="宋体" w:hAnsi="宋体"/>
          <w:color w:val="auto"/>
          <w:sz w:val="24"/>
          <w:highlight w:val="none"/>
        </w:rPr>
        <w:t>十一、质量保证书</w:t>
      </w:r>
    </w:p>
    <w:p>
      <w:pPr>
        <w:rPr>
          <w:rFonts w:ascii="宋体" w:hAnsi="宋体"/>
          <w:color w:val="auto"/>
          <w:sz w:val="24"/>
          <w:highlight w:val="none"/>
        </w:rPr>
      </w:pPr>
      <w:r>
        <w:rPr>
          <w:rFonts w:hint="eastAsia" w:ascii="宋体" w:hAnsi="宋体"/>
          <w:color w:val="auto"/>
          <w:sz w:val="24"/>
          <w:highlight w:val="none"/>
        </w:rPr>
        <w:t>十二、售后服务承诺书</w:t>
      </w:r>
    </w:p>
    <w:p>
      <w:pPr>
        <w:rPr>
          <w:rFonts w:ascii="宋体" w:hAnsi="宋体"/>
          <w:color w:val="auto"/>
          <w:sz w:val="24"/>
          <w:highlight w:val="none"/>
        </w:rPr>
      </w:pPr>
      <w:r>
        <w:rPr>
          <w:rFonts w:hint="eastAsia" w:ascii="宋体" w:hAnsi="宋体"/>
          <w:color w:val="auto"/>
          <w:sz w:val="24"/>
          <w:highlight w:val="none"/>
        </w:rPr>
        <w:t>十三、投标人证明投标资格合格的相关证件证明的复印件</w:t>
      </w:r>
    </w:p>
    <w:p>
      <w:pPr>
        <w:rPr>
          <w:rFonts w:ascii="宋体" w:hAnsi="宋体"/>
          <w:color w:val="auto"/>
          <w:sz w:val="24"/>
          <w:highlight w:val="none"/>
        </w:rPr>
      </w:pPr>
      <w:r>
        <w:rPr>
          <w:rFonts w:hint="eastAsia" w:ascii="宋体" w:hAnsi="宋体"/>
          <w:color w:val="auto"/>
          <w:sz w:val="24"/>
          <w:highlight w:val="none"/>
        </w:rPr>
        <w:t>十四、投标人证明货物合格的相关证件证明复印件</w:t>
      </w:r>
    </w:p>
    <w:p>
      <w:pPr>
        <w:rPr>
          <w:rFonts w:ascii="宋体" w:hAnsi="宋体"/>
          <w:color w:val="auto"/>
          <w:sz w:val="24"/>
          <w:highlight w:val="none"/>
        </w:rPr>
      </w:pPr>
      <w:r>
        <w:rPr>
          <w:rFonts w:hint="eastAsia" w:ascii="宋体" w:hAnsi="宋体"/>
          <w:color w:val="auto"/>
          <w:sz w:val="24"/>
          <w:highlight w:val="none"/>
        </w:rPr>
        <w:t>十五、投标单位（供应商）反商业贿赂承诺书</w:t>
      </w:r>
    </w:p>
    <w:p>
      <w:pPr>
        <w:rPr>
          <w:rFonts w:hint="eastAsia" w:ascii="宋体" w:hAnsi="宋体"/>
          <w:color w:val="auto"/>
          <w:sz w:val="24"/>
          <w:highlight w:val="none"/>
        </w:rPr>
      </w:pPr>
      <w:r>
        <w:rPr>
          <w:rFonts w:hint="eastAsia" w:ascii="宋体" w:hAnsi="宋体"/>
          <w:color w:val="auto"/>
          <w:sz w:val="24"/>
          <w:highlight w:val="none"/>
        </w:rPr>
        <w:t>十六、</w:t>
      </w:r>
      <w:r>
        <w:rPr>
          <w:rFonts w:hint="eastAsia" w:ascii="宋体" w:hAnsi="宋体" w:eastAsia="宋体"/>
          <w:color w:val="auto"/>
          <w:sz w:val="24"/>
          <w:highlight w:val="none"/>
          <w:lang w:val="en-US" w:eastAsia="zh-CN"/>
        </w:rPr>
        <w:t>项目实施计划、方案</w:t>
      </w:r>
    </w:p>
    <w:p>
      <w:pP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十七、中小企业声明函（符合本声明函填写</w:t>
      </w:r>
    </w:p>
    <w:p>
      <w:pPr>
        <w:rPr>
          <w:rFonts w:hint="eastAsia" w:ascii="宋体" w:hAnsi="宋体"/>
          <w:color w:val="auto"/>
          <w:sz w:val="24"/>
          <w:highlight w:val="none"/>
        </w:rPr>
      </w:pPr>
      <w:r>
        <w:rPr>
          <w:rFonts w:hint="eastAsia" w:ascii="宋体" w:hAnsi="宋体" w:eastAsia="宋体"/>
          <w:color w:val="auto"/>
          <w:sz w:val="24"/>
          <w:highlight w:val="none"/>
          <w:lang w:val="en-US" w:eastAsia="zh-CN"/>
        </w:rPr>
        <w:t>十</w:t>
      </w:r>
      <w:r>
        <w:rPr>
          <w:rFonts w:hint="eastAsia" w:ascii="宋体" w:hAnsi="宋体"/>
          <w:color w:val="auto"/>
          <w:sz w:val="24"/>
          <w:highlight w:val="none"/>
          <w:lang w:val="en-US" w:eastAsia="zh-CN"/>
        </w:rPr>
        <w:t>八、</w:t>
      </w:r>
      <w:r>
        <w:rPr>
          <w:rFonts w:hint="eastAsia" w:ascii="宋体" w:hAnsi="宋体"/>
          <w:color w:val="auto"/>
          <w:sz w:val="24"/>
          <w:highlight w:val="none"/>
        </w:rPr>
        <w:t>经年审计的上年度会计报表</w:t>
      </w:r>
    </w:p>
    <w:p>
      <w:pPr>
        <w:rPr>
          <w:rFonts w:hint="default" w:ascii="宋体" w:hAnsi="宋体"/>
          <w:color w:val="auto"/>
          <w:sz w:val="24"/>
          <w:highlight w:val="none"/>
          <w:lang w:val="en-US"/>
        </w:rPr>
      </w:pPr>
      <w:r>
        <w:rPr>
          <w:rFonts w:hint="eastAsia" w:ascii="宋体" w:hAnsi="宋体"/>
          <w:color w:val="auto"/>
          <w:sz w:val="24"/>
          <w:highlight w:val="none"/>
          <w:lang w:eastAsia="zh-CN"/>
        </w:rPr>
        <w:t>十九、</w:t>
      </w:r>
      <w:r>
        <w:rPr>
          <w:rFonts w:hint="default" w:ascii="宋体" w:hAnsi="宋体"/>
          <w:color w:val="auto"/>
          <w:sz w:val="24"/>
          <w:highlight w:val="none"/>
          <w:lang w:val="en-US"/>
        </w:rPr>
        <w:t>健全的</w:t>
      </w:r>
      <w:r>
        <w:rPr>
          <w:rFonts w:hint="default" w:ascii="宋体" w:hAnsi="宋体"/>
          <w:color w:val="auto"/>
          <w:sz w:val="24"/>
          <w:highlight w:val="none"/>
          <w:lang w:val="en-US"/>
        </w:rPr>
        <w:fldChar w:fldCharType="begin"/>
      </w:r>
      <w:r>
        <w:rPr>
          <w:rFonts w:hint="default" w:ascii="宋体" w:hAnsi="宋体"/>
          <w:color w:val="auto"/>
          <w:sz w:val="24"/>
          <w:highlight w:val="none"/>
          <w:lang w:val="en-US"/>
        </w:rPr>
        <w:instrText xml:space="preserve"> HYPERLINK "https://www.baidu.com/s?wd=财务会计制度&amp;tn=SE_PcZhidaonwhc_ngpagmjz&amp;rsv_dl=gh_pc_zhidao" </w:instrText>
      </w:r>
      <w:r>
        <w:rPr>
          <w:rFonts w:hint="default" w:ascii="宋体" w:hAnsi="宋体"/>
          <w:color w:val="auto"/>
          <w:sz w:val="24"/>
          <w:highlight w:val="none"/>
          <w:lang w:val="en-US"/>
        </w:rPr>
        <w:fldChar w:fldCharType="separate"/>
      </w:r>
      <w:r>
        <w:rPr>
          <w:rFonts w:hint="default" w:ascii="宋体" w:hAnsi="宋体"/>
          <w:color w:val="auto"/>
          <w:sz w:val="24"/>
          <w:highlight w:val="none"/>
          <w:lang w:val="en-US"/>
        </w:rPr>
        <w:t>财务会计制度</w:t>
      </w:r>
      <w:r>
        <w:rPr>
          <w:rFonts w:hint="default" w:ascii="宋体" w:hAnsi="宋体"/>
          <w:color w:val="auto"/>
          <w:sz w:val="24"/>
          <w:highlight w:val="none"/>
          <w:lang w:val="en-US"/>
        </w:rPr>
        <w:fldChar w:fldCharType="end"/>
      </w:r>
    </w:p>
    <w:p>
      <w:pPr>
        <w:rPr>
          <w:rFonts w:hint="eastAsia" w:ascii="宋体" w:hAnsi="宋体" w:eastAsia="宋体"/>
          <w:color w:val="auto"/>
          <w:sz w:val="24"/>
          <w:highlight w:val="none"/>
        </w:rPr>
      </w:pPr>
      <w:r>
        <w:rPr>
          <w:rFonts w:hint="eastAsia" w:ascii="宋体" w:hAnsi="宋体"/>
          <w:color w:val="auto"/>
          <w:sz w:val="24"/>
          <w:highlight w:val="none"/>
          <w:lang w:eastAsia="zh-CN"/>
        </w:rPr>
        <w:t>二十</w:t>
      </w:r>
      <w:r>
        <w:rPr>
          <w:rFonts w:hint="eastAsia" w:ascii="宋体" w:hAnsi="宋体" w:eastAsia="宋体"/>
          <w:color w:val="auto"/>
          <w:sz w:val="24"/>
          <w:highlight w:val="none"/>
        </w:rPr>
        <w:t>、其它必须的资料及有利于投标的资料</w:t>
      </w:r>
    </w:p>
    <w:p>
      <w:pPr>
        <w:rPr>
          <w:rFonts w:ascii="宋体"/>
          <w:color w:val="auto"/>
          <w:sz w:val="24"/>
          <w:highlight w:val="none"/>
        </w:rPr>
      </w:pPr>
      <w:r>
        <w:rPr>
          <w:rFonts w:hint="eastAsia" w:ascii="宋体" w:hAnsi="宋体"/>
          <w:b/>
          <w:color w:val="auto"/>
          <w:sz w:val="28"/>
          <w:szCs w:val="28"/>
          <w:highlight w:val="none"/>
        </w:rPr>
        <w:t>注：</w:t>
      </w:r>
      <w:r>
        <w:rPr>
          <w:rFonts w:ascii="宋体" w:hAnsi="宋体"/>
          <w:bCs/>
          <w:color w:val="auto"/>
          <w:sz w:val="24"/>
          <w:highlight w:val="none"/>
        </w:rPr>
        <w:t>1</w:t>
      </w:r>
      <w:r>
        <w:rPr>
          <w:rFonts w:hint="eastAsia" w:ascii="宋体" w:hAnsi="宋体"/>
          <w:bCs/>
          <w:color w:val="auto"/>
          <w:sz w:val="24"/>
          <w:highlight w:val="none"/>
        </w:rPr>
        <w:t>、</w:t>
      </w:r>
      <w:r>
        <w:rPr>
          <w:rFonts w:hint="eastAsia" w:ascii="宋体" w:hAnsi="宋体"/>
          <w:color w:val="auto"/>
          <w:sz w:val="24"/>
          <w:highlight w:val="none"/>
        </w:rPr>
        <w:t>投标文件必须制作有目录和页码</w:t>
      </w:r>
    </w:p>
    <w:p>
      <w:pPr>
        <w:ind w:firstLine="600" w:firstLineChars="2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、只接受</w:t>
      </w:r>
      <w:r>
        <w:rPr>
          <w:rFonts w:ascii="宋体" w:hAnsi="宋体"/>
          <w:color w:val="auto"/>
          <w:sz w:val="24"/>
          <w:highlight w:val="none"/>
        </w:rPr>
        <w:t>A4</w:t>
      </w:r>
      <w:r>
        <w:rPr>
          <w:rFonts w:hint="eastAsia" w:ascii="宋体" w:hAnsi="宋体"/>
          <w:color w:val="auto"/>
          <w:sz w:val="24"/>
          <w:highlight w:val="none"/>
        </w:rPr>
        <w:t>纸张大小的投标文件</w:t>
      </w:r>
    </w:p>
    <w:p>
      <w:pPr>
        <w:rPr>
          <w:rFonts w:ascii="宋体"/>
          <w:color w:val="auto"/>
          <w:sz w:val="24"/>
          <w:highlight w:val="none"/>
        </w:rPr>
      </w:pPr>
      <w:r>
        <w:rPr>
          <w:rFonts w:hint="eastAsia" w:ascii="宋体" w:hAnsi="宋体"/>
          <w:b/>
          <w:color w:val="auto"/>
          <w:sz w:val="28"/>
          <w:szCs w:val="28"/>
          <w:highlight w:val="none"/>
        </w:rPr>
        <w:t>投标文件</w:t>
      </w:r>
      <w:r>
        <w:rPr>
          <w:rFonts w:hint="eastAsia" w:ascii="宋体" w:hAnsi="宋体"/>
          <w:b/>
          <w:color w:val="auto"/>
          <w:sz w:val="28"/>
          <w:szCs w:val="28"/>
          <w:highlight w:val="none"/>
          <w:lang w:eastAsia="zh-CN"/>
        </w:rPr>
        <w:t>严格</w:t>
      </w:r>
      <w:r>
        <w:rPr>
          <w:rFonts w:hint="eastAsia" w:ascii="宋体" w:hAnsi="宋体"/>
          <w:b/>
          <w:color w:val="auto"/>
          <w:sz w:val="28"/>
          <w:szCs w:val="28"/>
          <w:highlight w:val="none"/>
        </w:rPr>
        <w:t>按要求制作</w:t>
      </w: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pStyle w:val="17"/>
        <w:ind w:left="0" w:leftChars="0" w:firstLine="0" w:firstLineChars="0"/>
        <w:rPr>
          <w:rFonts w:ascii="宋体"/>
          <w:color w:val="auto"/>
          <w:sz w:val="24"/>
          <w:highlight w:val="none"/>
        </w:rPr>
      </w:pPr>
    </w:p>
    <w:p>
      <w:pPr>
        <w:ind w:right="980" w:firstLine="753" w:firstLineChars="250"/>
        <w:rPr>
          <w:rFonts w:hAnsi="宋体" w:cs="宋体"/>
          <w:color w:val="000000"/>
          <w:sz w:val="28"/>
          <w:szCs w:val="28"/>
          <w:u w:val="single"/>
        </w:rPr>
      </w:pPr>
      <w:r>
        <w:rPr>
          <w:rFonts w:ascii="宋体"/>
          <w:b/>
          <w:color w:val="auto"/>
          <w:sz w:val="30"/>
          <w:highlight w:val="none"/>
        </w:rPr>
        <w:br w:type="page"/>
      </w:r>
      <w:r>
        <mc:AlternateContent>
          <mc:Choice Requires="wps">
            <w:drawing>
              <wp:anchor distT="0" distB="0" distL="114300" distR="114300" simplePos="0" relativeHeight="251668480" behindDoc="0" locked="0" layoutInCell="1" allowOverlap="1">
                <wp:simplePos x="0" y="0"/>
                <wp:positionH relativeFrom="column">
                  <wp:posOffset>4665345</wp:posOffset>
                </wp:positionH>
                <wp:positionV relativeFrom="paragraph">
                  <wp:posOffset>-6350</wp:posOffset>
                </wp:positionV>
                <wp:extent cx="825500" cy="404495"/>
                <wp:effectExtent l="5080" t="4445" r="7620" b="10160"/>
                <wp:wrapNone/>
                <wp:docPr id="5" name="文本框 68"/>
                <wp:cNvGraphicFramePr/>
                <a:graphic xmlns:a="http://schemas.openxmlformats.org/drawingml/2006/main">
                  <a:graphicData uri="http://schemas.microsoft.com/office/word/2010/wordprocessingShape">
                    <wps:wsp>
                      <wps:cNvSpPr txBox="1"/>
                      <wps:spPr bwMode="auto">
                        <a:xfrm>
                          <a:off x="0" y="0"/>
                          <a:ext cx="825500" cy="404495"/>
                        </a:xfrm>
                        <a:prstGeom prst="rect">
                          <a:avLst/>
                        </a:prstGeom>
                        <a:noFill/>
                        <a:ln w="9525">
                          <a:solidFill>
                            <a:srgbClr val="000000"/>
                          </a:solidFill>
                          <a:miter lim="800000"/>
                        </a:ln>
                        <a:effectLst/>
                      </wps:spPr>
                      <wps:txbx>
                        <w:txbxContent>
                          <w:p>
                            <w:pPr>
                              <w:jc w:val="center"/>
                              <w:rPr>
                                <w:sz w:val="36"/>
                                <w:szCs w:val="36"/>
                              </w:rPr>
                            </w:pPr>
                            <w:r>
                              <w:rPr>
                                <w:rFonts w:hint="eastAsia" w:ascii="Calibri" w:hAnsi="Calibri"/>
                                <w:sz w:val="36"/>
                                <w:szCs w:val="36"/>
                              </w:rPr>
                              <w:t>正本</w:t>
                            </w:r>
                          </w:p>
                        </w:txbxContent>
                      </wps:txbx>
                      <wps:bodyPr rot="0" vert="horz" wrap="square" lIns="91439" tIns="45720" rIns="91439" bIns="45720" anchor="t" anchorCtr="0" upright="1">
                        <a:noAutofit/>
                      </wps:bodyPr>
                    </wps:wsp>
                  </a:graphicData>
                </a:graphic>
              </wp:anchor>
            </w:drawing>
          </mc:Choice>
          <mc:Fallback>
            <w:pict>
              <v:shape id="文本框 68" o:spid="_x0000_s1026" o:spt="202" type="#_x0000_t202" style="position:absolute;left:0pt;margin-left:367.35pt;margin-top:-0.5pt;height:31.85pt;width:65pt;z-index:251668480;mso-width-relative:page;mso-height-relative:page;" filled="f" stroked="t" coordsize="21600,21600" o:gfxdata="UEsDBAoAAAAAAIdO4kAAAAAAAAAAAAAAAAAEAAAAZHJzL1BLAwQUAAAACACHTuJAOPIJU9YAAAAJ&#10;AQAADwAAAGRycy9kb3ducmV2LnhtbE2PwU6DQBCG7ya+w2ZMvLULtYGWsjTGxOBVtDHeBnYEIjtL&#10;2IXWt3d70uPMfPnn+/PjxQxiocn1lhXE6wgEcWN1z62C97fn1Q6E88gaB8uk4IccHIvbmxwzbc/8&#10;SkvlWxFC2GWooPN+zKR0TUcG3dqOxOH2ZSeDPoxTK/WE5xBuBrmJokQa7Dl86HCkp46a72o2Cqj+&#10;eCxx2W/L+WReMK7K0/TJSt3fxdEBhKeL/4Phqh/UoQhOtZ1ZOzEoSB+2aUAVrOLQKQC75LqoFSSb&#10;FGSRy/8Nil9QSwMEFAAAAAgAh07iQKkxWnoNAgAA7gMAAA4AAABkcnMvZTJvRG9jLnhtbK1TTY7T&#10;MBTeI3EHy3uatDRDGzUdwYwGIfEnDRzAcZzGku1nbLdJOQDcYFZs2HOunoNnpy0FdggvLNvv8+f3&#10;vvd5dT1oRXbCeQmmotNJTokwHBppNhX9+OHuyYISH5hpmAIjKroXnl6vHz9a9bYUM+hANcIRJDG+&#10;7G1FuxBsmWWed0IzPwErDAZbcJoF3LpN1jjWI7tW2SzPr7IeXGMdcOE9nt6OQbpO/G0reHjXtl4E&#10;oiqKuYU0uzTXcc7WK1ZuHLOd5Mc02D9koZk0+OiZ6pYFRrZO/kWlJXfgoQ0TDjqDtpVcpBqwmmn+&#10;RzX3HbMi1YLieHuWyf8/Wv52994R2VS0oMQwjS06PHw9fPtx+P6FXC2iPr31JcLuLQLD8AIG7PPp&#10;3MfDun8DDV5k2wBJhKF1OoqB5RFEo+77s9ZiCITj4WJWFDlGOIbm+Xy+LCJnxsrTZet8eClAk7io&#10;qMNWJnK2e+3DCD1B4lsG7qRSqZ3KkL6iy2JWpAselGxiMMK829Q3ypEdi4ZI4/jubzAtA9pSSY2J&#10;XoKUiSQiGeuYRpQnyjAKFYZ6OGpWQ7NHdRyMpsNPgosO3GdKejRcRf2nLXOCEvXKYEeX0/nTJTo0&#10;bebFsxmK4y4j9WWEGY5UFQ2UjMubMLp6a53cdPjSNBVv4Dl2pZVJsZjqmBUqHTdoqqT58QNE117u&#10;E+rXN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yCVPWAAAACQEAAA8AAAAAAAAAAQAgAAAA&#10;IgAAAGRycy9kb3ducmV2LnhtbFBLAQIUABQAAAAIAIdO4kCpMVp6DQIAAO4DAAAOAAAAAAAAAAEA&#10;IAAAACUBAABkcnMvZTJvRG9jLnhtbFBLBQYAAAAABgAGAFkBAACkBQAAAAA=&#10;">
                <v:fill on="f" focussize="0,0"/>
                <v:stroke color="#000000" miterlimit="8" joinstyle="miter"/>
                <v:imagedata o:title=""/>
                <o:lock v:ext="edit" aspectratio="f"/>
                <v:textbox inset="7.19992125984252pt,1.27mm,7.19992125984252pt,1.27mm">
                  <w:txbxContent>
                    <w:p>
                      <w:pPr>
                        <w:jc w:val="center"/>
                        <w:rPr>
                          <w:sz w:val="36"/>
                          <w:szCs w:val="36"/>
                        </w:rPr>
                      </w:pPr>
                      <w:r>
                        <w:rPr>
                          <w:rFonts w:hint="eastAsia" w:ascii="Calibri" w:hAnsi="Calibri"/>
                          <w:sz w:val="36"/>
                          <w:szCs w:val="36"/>
                        </w:rPr>
                        <w:t>正本</w:t>
                      </w:r>
                    </w:p>
                  </w:txbxContent>
                </v:textbox>
              </v:shape>
            </w:pict>
          </mc:Fallback>
        </mc:AlternateContent>
      </w: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（项目名称）</w:t>
      </w:r>
    </w:p>
    <w:p>
      <w:pPr>
        <w:ind w:right="980" w:firstLine="700" w:firstLineChars="250"/>
        <w:jc w:val="center"/>
        <w:rPr>
          <w:rFonts w:ascii="宋体" w:hAnsi="宋体" w:cs="宋体"/>
          <w:color w:val="000000"/>
          <w:sz w:val="28"/>
          <w:szCs w:val="28"/>
        </w:rPr>
      </w:pPr>
    </w:p>
    <w:p>
      <w:pPr>
        <w:jc w:val="center"/>
        <w:rPr>
          <w:rFonts w:ascii="宋体" w:hAnsi="宋体" w:cs="宋体"/>
          <w:color w:val="000000"/>
          <w:sz w:val="28"/>
          <w:szCs w:val="28"/>
        </w:rPr>
      </w:pPr>
    </w:p>
    <w:p>
      <w:pPr>
        <w:ind w:firstLine="980" w:firstLineChars="350"/>
        <w:rPr>
          <w:rFonts w:ascii="宋体" w:hAnsi="宋体" w:cs="宋体"/>
          <w:color w:val="000000"/>
          <w:sz w:val="28"/>
          <w:szCs w:val="28"/>
          <w:u w:val="single"/>
        </w:rPr>
      </w:pPr>
      <w:r>
        <w:rPr>
          <w:rFonts w:hint="eastAsia" w:ascii="宋体" w:hAnsi="宋体" w:cs="宋体"/>
          <w:color w:val="000000"/>
          <w:sz w:val="28"/>
          <w:szCs w:val="28"/>
        </w:rPr>
        <w:t xml:space="preserve">招标文件编号：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44"/>
          <w:szCs w:val="44"/>
        </w:rPr>
        <w:t>投</w:t>
      </w:r>
      <w:r>
        <w:rPr>
          <w:rFonts w:ascii="宋体" w:hAnsi="宋体" w:cs="宋体"/>
          <w:b/>
          <w:bCs/>
          <w:color w:val="000000"/>
          <w:sz w:val="44"/>
          <w:szCs w:val="44"/>
        </w:rPr>
        <w:t xml:space="preserve">  </w:t>
      </w:r>
      <w:r>
        <w:rPr>
          <w:rFonts w:hint="eastAsia" w:ascii="宋体" w:hAnsi="宋体" w:cs="宋体"/>
          <w:b/>
          <w:bCs/>
          <w:color w:val="000000"/>
          <w:sz w:val="44"/>
          <w:szCs w:val="44"/>
        </w:rPr>
        <w:t>标</w:t>
      </w:r>
      <w:r>
        <w:rPr>
          <w:rFonts w:ascii="宋体" w:hAnsi="宋体" w:cs="宋体"/>
          <w:b/>
          <w:bCs/>
          <w:color w:val="000000"/>
          <w:sz w:val="44"/>
          <w:szCs w:val="44"/>
        </w:rPr>
        <w:t xml:space="preserve">  </w:t>
      </w:r>
      <w:r>
        <w:rPr>
          <w:rFonts w:hint="eastAsia" w:ascii="宋体" w:hAnsi="宋体" w:cs="宋体"/>
          <w:b/>
          <w:bCs/>
          <w:color w:val="000000"/>
          <w:sz w:val="44"/>
          <w:szCs w:val="44"/>
        </w:rPr>
        <w:t>文</w:t>
      </w:r>
      <w:r>
        <w:rPr>
          <w:rFonts w:ascii="宋体" w:hAnsi="宋体" w:cs="宋体"/>
          <w:b/>
          <w:bCs/>
          <w:color w:val="000000"/>
          <w:sz w:val="44"/>
          <w:szCs w:val="44"/>
        </w:rPr>
        <w:t xml:space="preserve">  </w:t>
      </w:r>
      <w:r>
        <w:rPr>
          <w:rFonts w:hint="eastAsia" w:ascii="宋体" w:hAnsi="宋体" w:cs="宋体"/>
          <w:b/>
          <w:bCs/>
          <w:color w:val="000000"/>
          <w:sz w:val="44"/>
          <w:szCs w:val="44"/>
        </w:rPr>
        <w:t>件</w:t>
      </w:r>
    </w:p>
    <w:p>
      <w:pPr>
        <w:jc w:val="center"/>
        <w:rPr>
          <w:rFonts w:ascii="宋体" w:hAnsi="宋体" w:cs="宋体"/>
          <w:color w:val="000000"/>
          <w:sz w:val="28"/>
          <w:szCs w:val="28"/>
        </w:rPr>
      </w:pPr>
    </w:p>
    <w:p>
      <w:pPr>
        <w:ind w:firstLine="840" w:firstLineChars="300"/>
        <w:jc w:val="center"/>
        <w:rPr>
          <w:rFonts w:ascii="宋体" w:hAnsi="宋体" w:cs="宋体"/>
          <w:color w:val="000000"/>
          <w:sz w:val="28"/>
          <w:szCs w:val="28"/>
        </w:rPr>
      </w:pPr>
      <w:r>
        <w:rPr>
          <w:rFonts w:hint="eastAsia" w:ascii="宋体" w:hAnsi="宋体" w:cs="宋体"/>
          <w:color w:val="000000"/>
          <w:sz w:val="28"/>
          <w:szCs w:val="28"/>
        </w:rPr>
        <w:t>投 标 人：</w:t>
      </w:r>
      <w:r>
        <w:rPr>
          <w:rFonts w:ascii="宋体" w:hAnsi="宋体" w:cs="宋体"/>
          <w:color w:val="000000"/>
          <w:sz w:val="28"/>
          <w:szCs w:val="28"/>
          <w:u w:val="single"/>
        </w:rPr>
        <w:t xml:space="preserve">                              </w:t>
      </w:r>
      <w:r>
        <w:rPr>
          <w:rFonts w:hint="eastAsia" w:ascii="宋体" w:hAnsi="宋体" w:cs="宋体"/>
          <w:color w:val="000000"/>
          <w:sz w:val="28"/>
          <w:szCs w:val="28"/>
        </w:rPr>
        <w:t>（盖单位章）</w:t>
      </w:r>
    </w:p>
    <w:p>
      <w:pPr>
        <w:ind w:firstLine="840" w:firstLineChars="300"/>
        <w:jc w:val="center"/>
        <w:rPr>
          <w:rFonts w:ascii="宋体" w:hAnsi="宋体" w:cs="宋体"/>
          <w:color w:val="000000"/>
          <w:sz w:val="28"/>
          <w:szCs w:val="28"/>
          <w:u w:val="single"/>
        </w:rPr>
      </w:pPr>
    </w:p>
    <w:p>
      <w:pPr>
        <w:jc w:val="center"/>
        <w:rPr>
          <w:rFonts w:ascii="宋体" w:hAnsi="宋体" w:cs="宋体"/>
          <w:color w:val="000000"/>
          <w:sz w:val="28"/>
          <w:szCs w:val="28"/>
        </w:rPr>
      </w:pPr>
    </w:p>
    <w:p>
      <w:pPr>
        <w:ind w:firstLine="700" w:firstLineChars="250"/>
        <w:jc w:val="center"/>
        <w:rPr>
          <w:rFonts w:ascii="宋体" w:hAnsi="宋体" w:cs="宋体"/>
          <w:color w:val="000000"/>
          <w:sz w:val="28"/>
          <w:szCs w:val="28"/>
        </w:rPr>
      </w:pPr>
      <w:r>
        <w:rPr>
          <w:rFonts w:hint="eastAsia" w:ascii="宋体" w:hAnsi="宋体" w:cs="宋体"/>
          <w:color w:val="000000"/>
          <w:sz w:val="28"/>
          <w:szCs w:val="28"/>
        </w:rPr>
        <w:t>法定代表人：</w:t>
      </w:r>
      <w:r>
        <w:rPr>
          <w:rFonts w:ascii="宋体" w:hAnsi="宋体" w:cs="宋体"/>
          <w:color w:val="000000"/>
          <w:sz w:val="28"/>
          <w:szCs w:val="28"/>
          <w:u w:val="single"/>
        </w:rPr>
        <w:t xml:space="preserve">                          </w:t>
      </w:r>
      <w:r>
        <w:rPr>
          <w:rFonts w:hint="eastAsia" w:ascii="宋体" w:hAnsi="宋体" w:cs="宋体"/>
          <w:color w:val="000000"/>
          <w:sz w:val="28"/>
          <w:szCs w:val="28"/>
        </w:rPr>
        <w:t>（签字或盖章）</w:t>
      </w:r>
    </w:p>
    <w:p>
      <w:pPr>
        <w:jc w:val="center"/>
        <w:rPr>
          <w:rFonts w:hint="default" w:ascii="宋体" w:hAnsi="宋体" w:eastAsia="宋体" w:cs="宋体"/>
          <w:color w:val="000000"/>
          <w:sz w:val="28"/>
          <w:szCs w:val="28"/>
          <w:lang w:val="en-US" w:eastAsia="zh-CN"/>
        </w:rPr>
      </w:pPr>
    </w:p>
    <w:p>
      <w:pPr>
        <w:jc w:val="center"/>
        <w:rPr>
          <w:rFonts w:ascii="宋体" w:hAnsi="宋体" w:cs="宋体"/>
          <w:color w:val="000000"/>
          <w:sz w:val="28"/>
          <w:szCs w:val="28"/>
        </w:rPr>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360" w:lineRule="atLeast"/>
        <w:rPr>
          <w:rFonts w:ascii="宋体"/>
          <w:b/>
          <w:color w:val="auto"/>
          <w:sz w:val="30"/>
          <w:highlight w:val="none"/>
        </w:rPr>
      </w:pPr>
    </w:p>
    <w:p>
      <w:pPr>
        <w:spacing w:line="360" w:lineRule="atLeast"/>
        <w:rPr>
          <w:rFonts w:ascii="宋体"/>
          <w:b/>
          <w:color w:val="auto"/>
          <w:sz w:val="30"/>
          <w:highlight w:val="none"/>
        </w:rPr>
      </w:pPr>
    </w:p>
    <w:p>
      <w:pPr>
        <w:spacing w:line="360" w:lineRule="atLeast"/>
        <w:rPr>
          <w:rFonts w:hint="eastAsia" w:ascii="宋体" w:eastAsia="宋体"/>
          <w:b/>
          <w:color w:val="auto"/>
          <w:sz w:val="30"/>
          <w:highlight w:val="none"/>
          <w:lang w:eastAsia="zh-CN"/>
        </w:rPr>
      </w:pPr>
    </w:p>
    <w:p>
      <w:pPr>
        <w:spacing w:line="360" w:lineRule="atLeast"/>
        <w:rPr>
          <w:rFonts w:ascii="宋体"/>
          <w:b/>
          <w:color w:val="auto"/>
          <w:sz w:val="30"/>
          <w:highlight w:val="none"/>
        </w:rPr>
      </w:pPr>
    </w:p>
    <w:p>
      <w:pPr>
        <w:pStyle w:val="4"/>
        <w:spacing w:before="0" w:after="0" w:line="240" w:lineRule="auto"/>
        <w:jc w:val="center"/>
        <w:rPr>
          <w:rFonts w:ascii="宋体" w:hAnsi="宋体" w:cs="宋体"/>
          <w:color w:val="auto"/>
          <w:highlight w:val="none"/>
        </w:rPr>
      </w:pPr>
      <w:r>
        <w:rPr>
          <w:rFonts w:hint="eastAsia" w:ascii="宋体" w:hAnsi="宋体"/>
          <w:b/>
          <w:color w:val="auto"/>
          <w:sz w:val="30"/>
          <w:highlight w:val="none"/>
        </w:rPr>
        <w:br w:type="page"/>
      </w:r>
      <w:bookmarkStart w:id="160" w:name="OLE_LINK1"/>
      <w:r>
        <w:rPr>
          <w:rFonts w:hint="eastAsia" w:ascii="宋体" w:hAnsi="宋体" w:cs="宋体"/>
          <w:color w:val="auto"/>
          <w:sz w:val="28"/>
          <w:szCs w:val="28"/>
          <w:highlight w:val="none"/>
        </w:rPr>
        <w:t>投 标 书</w:t>
      </w:r>
    </w:p>
    <w:p>
      <w:pPr>
        <w:spacing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收到你们的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招标文件，经认真研究，我们决定参加投标。</w:t>
      </w:r>
    </w:p>
    <w:p>
      <w:pPr>
        <w:numPr>
          <w:ilvl w:val="0"/>
          <w:numId w:val="5"/>
        </w:numPr>
        <w:spacing w:line="440" w:lineRule="exact"/>
        <w:rPr>
          <w:rFonts w:ascii="宋体" w:hAnsi="宋体" w:cs="宋体"/>
          <w:color w:val="auto"/>
          <w:sz w:val="24"/>
          <w:highlight w:val="none"/>
          <w:u w:val="single"/>
        </w:rPr>
      </w:pPr>
      <w:r>
        <w:rPr>
          <w:rFonts w:hint="eastAsia" w:ascii="宋体" w:hAnsi="宋体" w:cs="宋体"/>
          <w:color w:val="auto"/>
          <w:sz w:val="24"/>
          <w:highlight w:val="none"/>
        </w:rPr>
        <w:t>按照招标文件中的一切要求，提供招标的货物、</w:t>
      </w:r>
      <w:r>
        <w:rPr>
          <w:rFonts w:hint="eastAsia"/>
          <w:color w:val="auto"/>
          <w:sz w:val="24"/>
          <w:highlight w:val="none"/>
        </w:rPr>
        <w:t>运输、装卸、验收、</w:t>
      </w:r>
      <w:r>
        <w:rPr>
          <w:rFonts w:ascii="宋体" w:hAnsi="宋体" w:cs="宋体"/>
          <w:color w:val="auto"/>
          <w:kern w:val="0"/>
          <w:sz w:val="24"/>
          <w:highlight w:val="none"/>
        </w:rPr>
        <w:t>开具发票和相关售后等服务</w:t>
      </w:r>
      <w:r>
        <w:rPr>
          <w:rFonts w:hint="eastAsia" w:ascii="宋体" w:hAnsi="宋体" w:cs="宋体"/>
          <w:color w:val="auto"/>
          <w:sz w:val="24"/>
          <w:highlight w:val="none"/>
        </w:rPr>
        <w:t>。总价为￥：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，明细见投标报价表。</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如果我们的投标书被接受，我们将履行招标文件中规定的每一项义务和要求，按期、按质、按量完成交货。</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我们同意按招标文件的规定，本标书的有效期为开标后</w:t>
      </w:r>
      <w:r>
        <w:rPr>
          <w:rFonts w:hint="eastAsia" w:ascii="宋体" w:hAnsi="宋体" w:cs="宋体"/>
          <w:color w:val="auto"/>
          <w:sz w:val="24"/>
          <w:highlight w:val="none"/>
          <w:lang w:val="en-US" w:eastAsia="zh-CN"/>
        </w:rPr>
        <w:t>3</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天。</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我们愿意提供招标人在招标文件中要求的所有资料。</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我们认为你们有选择或拒绝任何投标者中标的权利。我们理解，最低报价不是中标的唯一条件。</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我们愿意按合同履行自己的全部责任。</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我们愿意遵守国家有关规定和招标文件中规定的收费标准，承付中标服务费。</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该项投标在开标后全过程中保持有效，不做任何更改和变动。</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我们同意按招标文件规定，缴纳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元投标保证金。</w:t>
      </w:r>
    </w:p>
    <w:p>
      <w:pPr>
        <w:spacing w:line="440" w:lineRule="exact"/>
        <w:ind w:left="721" w:leftChars="229" w:hanging="240" w:hangingChars="100"/>
        <w:rPr>
          <w:rFonts w:ascii="宋体" w:hAnsi="宋体" w:cs="宋体"/>
          <w:color w:val="auto"/>
          <w:sz w:val="24"/>
          <w:highlight w:val="none"/>
        </w:rPr>
      </w:pPr>
      <w:r>
        <w:rPr>
          <w:rFonts w:hint="eastAsia" w:ascii="宋体" w:hAnsi="宋体" w:cs="宋体"/>
          <w:color w:val="auto"/>
          <w:sz w:val="24"/>
          <w:highlight w:val="none"/>
        </w:rPr>
        <w:t>10我们保证投标文件中的所有证件和内容真实有效，否则我们愿意承担一切法律责任。</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11、其他说明。</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12、所有有关本标书的函电，请按下列地址联系：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投标单位(盖章) ：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电报挂号：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160"/>
    <w:p>
      <w:pPr>
        <w:pStyle w:val="4"/>
        <w:jc w:val="center"/>
        <w:rPr>
          <w:rFonts w:ascii="宋体" w:hAnsi="宋体" w:cs="宋体"/>
          <w:color w:val="auto"/>
          <w:sz w:val="28"/>
          <w:highlight w:val="none"/>
        </w:rPr>
      </w:pPr>
      <w:bookmarkStart w:id="161" w:name="_Toc7164"/>
      <w:r>
        <w:rPr>
          <w:rFonts w:hint="eastAsia" w:ascii="宋体" w:hAnsi="宋体" w:cs="宋体"/>
          <w:color w:val="auto"/>
          <w:sz w:val="28"/>
          <w:highlight w:val="none"/>
        </w:rPr>
        <w:br w:type="page"/>
      </w:r>
      <w:r>
        <w:rPr>
          <w:rFonts w:hint="eastAsia" w:ascii="宋体" w:hAnsi="宋体" w:cs="宋体"/>
          <w:color w:val="auto"/>
          <w:sz w:val="28"/>
          <w:highlight w:val="none"/>
        </w:rPr>
        <w:t>投标一览表</w:t>
      </w:r>
      <w:bookmarkEnd w:id="161"/>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p>
      <w:pPr>
        <w:spacing w:line="360" w:lineRule="auto"/>
        <w:rPr>
          <w:rFonts w:ascii="宋体" w:hAnsi="宋体" w:cs="宋体"/>
          <w:color w:val="auto"/>
          <w:sz w:val="24"/>
          <w:highlight w:val="none"/>
        </w:rPr>
      </w:pPr>
    </w:p>
    <w:tbl>
      <w:tblPr>
        <w:tblStyle w:val="31"/>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433" w:type="dxa"/>
            <w:vAlign w:val="center"/>
          </w:tcPr>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规格参数</w:t>
            </w:r>
          </w:p>
        </w:tc>
        <w:tc>
          <w:tcPr>
            <w:tcW w:w="1247"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920"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总价</w:t>
            </w:r>
          </w:p>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供货期限</w:t>
            </w:r>
            <w:r>
              <w:rPr>
                <w:rFonts w:hint="eastAsia" w:ascii="宋体" w:hAnsi="宋体" w:cs="宋体"/>
                <w:color w:val="auto"/>
                <w:sz w:val="24"/>
                <w:highlight w:val="none"/>
              </w:rPr>
              <w:t>（日历天）</w:t>
            </w:r>
          </w:p>
        </w:tc>
        <w:tc>
          <w:tcPr>
            <w:tcW w:w="1718"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344" w:type="dxa"/>
            <w:vMerge w:val="restart"/>
            <w:vAlign w:val="center"/>
          </w:tcPr>
          <w:p>
            <w:pPr>
              <w:tabs>
                <w:tab w:val="left" w:pos="0"/>
              </w:tabs>
              <w:spacing w:line="24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总价：</w:t>
            </w: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344" w:type="dxa"/>
            <w:vMerge w:val="continue"/>
            <w:vAlign w:val="center"/>
          </w:tcPr>
          <w:p>
            <w:pPr>
              <w:tabs>
                <w:tab w:val="left" w:pos="0"/>
              </w:tabs>
              <w:spacing w:line="240" w:lineRule="auto"/>
              <w:jc w:val="center"/>
              <w:rPr>
                <w:rFonts w:ascii="宋体" w:hAnsi="宋体" w:cs="宋体"/>
                <w:color w:val="auto"/>
                <w:sz w:val="24"/>
                <w:highlight w:val="none"/>
              </w:rPr>
            </w:pP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（人民币大写）</w:t>
            </w:r>
          </w:p>
        </w:tc>
      </w:tr>
    </w:tbl>
    <w:p>
      <w:pPr>
        <w:spacing w:line="360" w:lineRule="auto"/>
        <w:ind w:firstLine="480" w:firstLineChars="200"/>
        <w:rPr>
          <w:rFonts w:ascii="宋体" w:hAnsi="宋体" w:cs="宋体"/>
          <w:color w:val="auto"/>
          <w:sz w:val="24"/>
          <w:highlight w:val="none"/>
        </w:rPr>
      </w:pPr>
    </w:p>
    <w:p>
      <w:pPr>
        <w:adjustRightInd w:val="0"/>
        <w:snapToGrid w:val="0"/>
        <w:spacing w:line="360" w:lineRule="auto"/>
        <w:ind w:right="24"/>
        <w:rPr>
          <w:rFonts w:hint="default" w:eastAsia="宋体"/>
          <w:b/>
          <w:bCs/>
          <w:sz w:val="24"/>
          <w:szCs w:val="32"/>
          <w:lang w:eastAsia="zh-CN"/>
          <w14:textFill>
            <w14:gradFill>
              <w14:gsLst>
                <w14:gs w14:pos="0">
                  <w14:srgbClr w14:val="14CD68"/>
                </w14:gs>
                <w14:gs w14:pos="100000">
                  <w14:srgbClr w14:val="0B6E38"/>
                </w14:gs>
              </w14:gsLst>
              <w14:lin w14:scaled="0"/>
            </w14:gradFill>
          </w14:textFill>
        </w:rPr>
      </w:pPr>
      <w:r>
        <w:rPr>
          <w:rFonts w:hint="default" w:eastAsia="宋体"/>
          <w:b/>
          <w:bCs/>
          <w:color w:val="auto"/>
          <w:sz w:val="24"/>
          <w:szCs w:val="32"/>
          <w:lang w:eastAsia="zh-CN"/>
        </w:rPr>
        <w:t>注明：</w:t>
      </w:r>
    </w:p>
    <w:p>
      <w:pPr>
        <w:spacing w:line="360" w:lineRule="auto"/>
        <w:rPr>
          <w:rFonts w:hint="default" w:ascii="宋体" w:hAnsi="宋体" w:cs="宋体"/>
          <w:color w:val="auto"/>
          <w:sz w:val="24"/>
          <w:highlight w:val="none"/>
          <w:lang w:eastAsia="zh-CN"/>
        </w:rPr>
      </w:pPr>
      <w:r>
        <w:rPr>
          <w:rFonts w:hint="default" w:ascii="宋体" w:hAnsi="宋体" w:cs="宋体"/>
          <w:color w:val="auto"/>
          <w:sz w:val="24"/>
          <w:highlight w:val="none"/>
          <w:lang w:eastAsia="zh-CN"/>
        </w:rPr>
        <w:t>1、报价如修改，应在修改处加盖单位公章或者由法定代表人或授权委托人签字或盖章，否则其响应文件作无效标处理。</w:t>
      </w:r>
    </w:p>
    <w:p>
      <w:pPr>
        <w:spacing w:line="360" w:lineRule="auto"/>
        <w:rPr>
          <w:rFonts w:hint="default"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eastAsia="zh-CN"/>
        </w:rPr>
        <w:t>项目须附详细的报价明细表，报价明细表中金额和开标一览表金额一致。</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投标人所投标价单价与总价不得超出</w:t>
      </w:r>
      <w:r>
        <w:rPr>
          <w:rFonts w:hint="eastAsia" w:ascii="宋体" w:hAnsi="宋体" w:cs="宋体"/>
          <w:color w:val="auto"/>
          <w:sz w:val="24"/>
          <w:highlight w:val="none"/>
        </w:rPr>
        <w:t>采购清单</w:t>
      </w:r>
      <w:r>
        <w:rPr>
          <w:rFonts w:hint="eastAsia" w:ascii="宋体" w:hAnsi="宋体" w:cs="宋体"/>
          <w:color w:val="auto"/>
          <w:sz w:val="24"/>
          <w:highlight w:val="none"/>
          <w:lang w:val="en-US"/>
        </w:rPr>
        <w:t>各项报价预算价。</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4、后附报价明细表</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投标单位：（单位公章）</w:t>
      </w:r>
    </w:p>
    <w:p>
      <w:pPr>
        <w:spacing w:line="360" w:lineRule="auto"/>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3360" w:firstLineChars="1400"/>
        <w:rPr>
          <w:rFonts w:ascii="宋体" w:hAnsi="宋体" w:cs="宋体"/>
          <w:color w:val="auto"/>
          <w:sz w:val="24"/>
          <w:highlight w:val="none"/>
        </w:rPr>
      </w:pPr>
    </w:p>
    <w:p>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bookmarkStart w:id="162" w:name="_Toc21935"/>
    </w:p>
    <w:p>
      <w:pPr>
        <w:pStyle w:val="4"/>
        <w:jc w:val="center"/>
        <w:rPr>
          <w:rFonts w:ascii="宋体" w:hAnsi="宋体" w:cs="宋体"/>
          <w:color w:val="auto"/>
          <w:sz w:val="28"/>
          <w:highlight w:val="none"/>
        </w:rPr>
      </w:pPr>
      <w:r>
        <w:rPr>
          <w:rFonts w:hint="eastAsia" w:ascii="宋体" w:hAnsi="宋体" w:cs="宋体"/>
          <w:color w:val="auto"/>
          <w:sz w:val="28"/>
          <w:highlight w:val="none"/>
        </w:rPr>
        <w:t>投标货物报价表</w:t>
      </w:r>
      <w:bookmarkEnd w:id="162"/>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9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567"/>
        <w:gridCol w:w="963"/>
        <w:gridCol w:w="917"/>
        <w:gridCol w:w="1070"/>
        <w:gridCol w:w="1763"/>
        <w:gridCol w:w="148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67"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96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重量</w:t>
            </w:r>
          </w:p>
        </w:tc>
        <w:tc>
          <w:tcPr>
            <w:tcW w:w="917"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70"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76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487" w:type="dxa"/>
            <w:vAlign w:val="center"/>
          </w:tcPr>
          <w:p>
            <w:pPr>
              <w:tabs>
                <w:tab w:val="left" w:pos="0"/>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品牌、产地</w:t>
            </w:r>
          </w:p>
        </w:tc>
        <w:tc>
          <w:tcPr>
            <w:tcW w:w="1276"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总计（元） </w:t>
            </w:r>
          </w:p>
        </w:tc>
        <w:tc>
          <w:tcPr>
            <w:tcW w:w="1567" w:type="dxa"/>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c>
          <w:tcPr>
            <w:tcW w:w="7476" w:type="dxa"/>
            <w:gridSpan w:val="6"/>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r>
    </w:tbl>
    <w:p>
      <w:pPr>
        <w:adjustRightInd w:val="0"/>
        <w:snapToGrid w:val="0"/>
        <w:spacing w:line="360" w:lineRule="auto"/>
        <w:ind w:right="24"/>
        <w:rPr>
          <w:color w:val="auto"/>
        </w:rPr>
      </w:pPr>
      <w:r>
        <w:rPr>
          <w:color w:val="auto"/>
        </w:rPr>
        <w:t>1、报价如修改，应在修改处加盖单位公章或者由法定代表人或授权委托人签字或盖章，否则其响应文件作无效标处理。</w:t>
      </w:r>
    </w:p>
    <w:p>
      <w:pPr>
        <w:numPr>
          <w:ilvl w:val="0"/>
          <w:numId w:val="0"/>
        </w:numPr>
        <w:adjustRightInd w:val="0"/>
        <w:snapToGrid w:val="0"/>
        <w:spacing w:line="360" w:lineRule="auto"/>
        <w:ind w:right="24" w:rightChars="0"/>
        <w:rPr>
          <w:color w:val="auto"/>
        </w:rPr>
      </w:pPr>
      <w:r>
        <w:rPr>
          <w:color w:val="auto"/>
        </w:rPr>
        <w:t>2、项目须附详细的报价明细表，报价明细表中金额和开标一览表金额一致。</w:t>
      </w:r>
    </w:p>
    <w:p>
      <w:pPr>
        <w:numPr>
          <w:ilvl w:val="0"/>
          <w:numId w:val="0"/>
        </w:numPr>
        <w:adjustRightInd w:val="0"/>
        <w:snapToGrid w:val="0"/>
        <w:spacing w:line="360" w:lineRule="auto"/>
        <w:ind w:right="24" w:rightChars="0"/>
        <w:rPr>
          <w:bCs/>
          <w:color w:val="auto"/>
          <w:kern w:val="16"/>
          <w:lang w:val="fi-FI" w:eastAsia="zh-Hans"/>
        </w:rPr>
      </w:pPr>
      <w:r>
        <w:rPr>
          <w:rFonts w:hint="eastAsia" w:ascii="宋体" w:hAnsi="宋体"/>
          <w:bCs/>
          <w:color w:val="auto"/>
          <w:lang w:val="el-GR" w:eastAsia="zh-CN"/>
        </w:rPr>
        <w:t>3、</w:t>
      </w:r>
      <w:r>
        <w:rPr>
          <w:rFonts w:hint="eastAsia"/>
          <w:b/>
          <w:bCs/>
          <w:color w:val="auto"/>
          <w:lang w:val="en-US" w:eastAsia="zh-CN"/>
        </w:rPr>
        <w:t>投标人所投标价单价与总价不得超出</w:t>
      </w:r>
      <w:r>
        <w:rPr>
          <w:rFonts w:hint="eastAsia" w:ascii="宋体" w:hAnsi="宋体"/>
          <w:b/>
          <w:color w:val="auto"/>
          <w:kern w:val="0"/>
        </w:rPr>
        <w:t>采购清单</w:t>
      </w:r>
      <w:r>
        <w:rPr>
          <w:rFonts w:hint="eastAsia"/>
          <w:color w:val="auto"/>
          <w:kern w:val="0"/>
          <w:lang w:val="en-US" w:eastAsia="zh-CN"/>
        </w:rPr>
        <w:t>各项报价预算</w:t>
      </w:r>
      <w:r>
        <w:rPr>
          <w:bCs/>
          <w:color w:val="auto"/>
          <w:kern w:val="16"/>
          <w:lang w:val="fi-FI" w:eastAsia="zh-Hans"/>
        </w:rPr>
        <w:t>价。</w:t>
      </w:r>
    </w:p>
    <w:p>
      <w:pPr>
        <w:numPr>
          <w:ilvl w:val="0"/>
          <w:numId w:val="0"/>
        </w:numPr>
        <w:adjustRightInd w:val="0"/>
        <w:snapToGrid w:val="0"/>
        <w:spacing w:line="360" w:lineRule="auto"/>
        <w:ind w:right="24" w:rightChars="0"/>
        <w:rPr>
          <w:bCs/>
          <w:color w:val="auto"/>
          <w:kern w:val="16"/>
          <w:lang w:val="fi-FI" w:eastAsia="zh-Hans"/>
        </w:rPr>
      </w:pPr>
      <w:r>
        <w:rPr>
          <w:bCs/>
          <w:color w:val="auto"/>
          <w:kern w:val="16"/>
          <w:lang w:val="fi-FI" w:eastAsia="zh-Hans"/>
        </w:rPr>
        <w:t>4、本表表格不够时投标人自行添加表格。</w:t>
      </w:r>
    </w:p>
    <w:p>
      <w:pPr>
        <w:numPr>
          <w:ilvl w:val="0"/>
          <w:numId w:val="0"/>
        </w:numPr>
        <w:adjustRightInd w:val="0"/>
        <w:snapToGrid w:val="0"/>
        <w:spacing w:line="360" w:lineRule="auto"/>
        <w:ind w:right="24" w:rightChars="0"/>
        <w:rPr>
          <w:rFonts w:hint="default" w:ascii="宋体" w:hAnsi="宋体"/>
          <w:bCs/>
          <w:color w:val="auto"/>
          <w:lang w:val="en-US" w:eastAsia="zh-CN"/>
        </w:rPr>
      </w:pPr>
      <w:r>
        <w:rPr>
          <w:rFonts w:hint="default" w:ascii="宋体" w:hAnsi="宋体"/>
          <w:bCs/>
          <w:color w:val="auto"/>
          <w:lang w:val="en-US" w:eastAsia="zh-CN"/>
        </w:rPr>
        <w:t>5、投标人所投标应符合验收标准，不允许附偏离。</w:t>
      </w:r>
    </w:p>
    <w:p>
      <w:pPr>
        <w:spacing w:line="360" w:lineRule="auto"/>
        <w:ind w:firstLine="964" w:firstLineChars="400"/>
        <w:rPr>
          <w:rFonts w:ascii="宋体" w:hAnsi="宋体" w:cs="宋体"/>
          <w:b/>
          <w:color w:val="auto"/>
          <w:sz w:val="24"/>
          <w:highlight w:val="none"/>
        </w:rPr>
      </w:pPr>
    </w:p>
    <w:p>
      <w:pPr>
        <w:spacing w:line="360" w:lineRule="auto"/>
        <w:rPr>
          <w:rFonts w:ascii="宋体" w:hAnsi="宋体" w:cs="宋体"/>
          <w:color w:val="auto"/>
          <w:sz w:val="24"/>
          <w:highlight w:val="none"/>
        </w:rPr>
      </w:pP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年   月   日</w:t>
      </w:r>
    </w:p>
    <w:p>
      <w:pPr>
        <w:pStyle w:val="4"/>
        <w:rPr>
          <w:rFonts w:ascii="宋体" w:hAnsi="宋体" w:cs="宋体"/>
          <w:color w:val="auto"/>
          <w:kern w:val="0"/>
          <w:sz w:val="28"/>
          <w:highlight w:val="none"/>
        </w:rPr>
      </w:pPr>
      <w:bookmarkStart w:id="163" w:name="_Toc20452"/>
    </w:p>
    <w:p>
      <w:pPr>
        <w:pStyle w:val="5"/>
        <w:rPr>
          <w:color w:val="auto"/>
          <w:highlight w:val="none"/>
        </w:rPr>
      </w:pPr>
    </w:p>
    <w:p>
      <w:pPr>
        <w:rPr>
          <w:color w:val="auto"/>
          <w:highlight w:val="none"/>
        </w:rPr>
      </w:pPr>
    </w:p>
    <w:p>
      <w:pPr>
        <w:pStyle w:val="4"/>
        <w:jc w:val="center"/>
        <w:rPr>
          <w:rFonts w:ascii="宋体" w:hAnsi="宋体" w:cs="宋体"/>
          <w:color w:val="auto"/>
          <w:highlight w:val="none"/>
        </w:rPr>
      </w:pPr>
      <w:r>
        <w:rPr>
          <w:rFonts w:hint="eastAsia" w:ascii="宋体" w:hAnsi="宋体" w:cs="宋体"/>
          <w:color w:val="auto"/>
          <w:kern w:val="0"/>
          <w:sz w:val="28"/>
          <w:highlight w:val="none"/>
        </w:rPr>
        <w:t>技术规格功能要求偏离表</w:t>
      </w:r>
      <w:bookmarkEnd w:id="16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867"/>
        <w:gridCol w:w="1259"/>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招标文件规格功能要求条目号</w:t>
            </w:r>
          </w:p>
        </w:tc>
        <w:tc>
          <w:tcPr>
            <w:tcW w:w="18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要求服务内容</w:t>
            </w:r>
          </w:p>
        </w:tc>
        <w:tc>
          <w:tcPr>
            <w:tcW w:w="12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投标服务内容</w:t>
            </w:r>
          </w:p>
        </w:tc>
        <w:tc>
          <w:tcPr>
            <w:tcW w:w="183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w:t>
            </w:r>
          </w:p>
        </w:tc>
        <w:tc>
          <w:tcPr>
            <w:tcW w:w="128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：1、应与招标文件要求逐条对应填写。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firstLine="5160" w:firstLineChars="2150"/>
        <w:rPr>
          <w:rFonts w:ascii="宋体" w:hAnsi="宋体" w:cs="宋体"/>
          <w:color w:val="auto"/>
          <w:sz w:val="24"/>
          <w:highlight w:val="none"/>
        </w:rPr>
      </w:pPr>
    </w:p>
    <w:p>
      <w:pPr>
        <w:spacing w:line="360" w:lineRule="auto"/>
        <w:ind w:firstLine="6020" w:firstLineChars="2150"/>
        <w:rPr>
          <w:rFonts w:ascii="宋体" w:hAnsi="宋体" w:cs="宋体"/>
          <w:color w:val="auto"/>
          <w:sz w:val="28"/>
          <w:szCs w:val="28"/>
          <w:highlight w:val="none"/>
        </w:rPr>
      </w:pPr>
    </w:p>
    <w:p>
      <w:pPr>
        <w:pStyle w:val="4"/>
        <w:jc w:val="center"/>
        <w:rPr>
          <w:rFonts w:ascii="宋体" w:hAnsi="宋体" w:cs="宋体"/>
          <w:color w:val="auto"/>
          <w:sz w:val="28"/>
          <w:szCs w:val="28"/>
          <w:highlight w:val="none"/>
        </w:rPr>
      </w:pPr>
      <w:bookmarkStart w:id="164" w:name="_Toc23111"/>
      <w:r>
        <w:rPr>
          <w:rFonts w:hint="eastAsia" w:ascii="宋体" w:hAnsi="宋体" w:cs="宋体"/>
          <w:color w:val="auto"/>
          <w:sz w:val="28"/>
          <w:highlight w:val="none"/>
        </w:rPr>
        <w:t>商务条款偏离表</w:t>
      </w:r>
      <w:bookmarkEnd w:id="164"/>
    </w:p>
    <w:p>
      <w:pPr>
        <w:spacing w:line="360" w:lineRule="auto"/>
        <w:ind w:firstLine="105" w:firstLineChars="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条目号</w:t>
            </w:r>
          </w:p>
        </w:tc>
        <w:tc>
          <w:tcPr>
            <w:tcW w:w="21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22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17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sz w:val="24"/>
          <w:highlight w:val="none"/>
        </w:rPr>
        <w:t>年   月   日</w:t>
      </w:r>
    </w:p>
    <w:p>
      <w:pPr>
        <w:jc w:val="center"/>
        <w:rPr>
          <w:rFonts w:ascii="宋体" w:hAnsi="宋体"/>
          <w:b/>
          <w:color w:val="auto"/>
          <w:sz w:val="30"/>
          <w:szCs w:val="30"/>
          <w:highlight w:val="none"/>
        </w:rPr>
      </w:pPr>
      <w:r>
        <w:rPr>
          <w:rFonts w:hint="eastAsia" w:ascii="宋体" w:hAnsi="宋体"/>
          <w:b/>
          <w:color w:val="auto"/>
          <w:sz w:val="30"/>
          <w:szCs w:val="30"/>
          <w:highlight w:val="none"/>
        </w:rPr>
        <w:t>银行转账单复印件</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9667968"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8" name="文本框 19"/>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rPr>
                                <w:sz w:val="24"/>
                              </w:rPr>
                            </w:pPr>
                          </w:p>
                          <w:p>
                            <w:pPr>
                              <w:jc w:val="center"/>
                              <w:rPr>
                                <w:sz w:val="28"/>
                                <w:szCs w:val="28"/>
                              </w:rPr>
                            </w:pPr>
                            <w:r>
                              <w:rPr>
                                <w:rFonts w:hint="eastAsia" w:ascii="宋体" w:hAnsi="宋体"/>
                                <w:sz w:val="24"/>
                              </w:rPr>
                              <w:t>缴纳投标保证金的银行转账单复印件</w:t>
                            </w:r>
                          </w:p>
                        </w:txbxContent>
                      </wps:txbx>
                      <wps:bodyPr upright="1"/>
                    </wps:wsp>
                  </a:graphicData>
                </a:graphic>
              </wp:anchor>
            </w:drawing>
          </mc:Choice>
          <mc:Fallback>
            <w:pict>
              <v:shape id="文本框 19" o:spid="_x0000_s1026" o:spt="202" type="#_x0000_t202" style="position:absolute;left:0pt;margin-left:42.35pt;margin-top:11.45pt;height:171.6pt;width:369.65pt;z-index:259667968;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KrRUavkBAAD4AwAADgAAAGRycy9lMm9Eb2MueG1srVNL&#10;jhMxEN0jcQfLe9KdMBlIK52RIIQNAqSBA1T86bbkn2xPunMBuAErNuw5V85B2cmEDLBAiF64y67y&#10;86v37OXNaDTZiRCVsy2dTmpKhGWOK9u19OOHzZPnlMQEloN2VrR0LyK9WT1+tBx8I2aud5qLQBDE&#10;xmbwLe1T8k1VRdYLA3HivLCYlC4YSDgNXcUDDIhudDWr6+tqcIH74JiIEVfXxyRdFXwpBUvvpIwi&#10;Ed1S5JbKGMq4zWO1WkLTBfC9Yica8A8sDCiLh56h1pCA3AX1G5RRLLjoZJowZyonpWKi9IDdTOtf&#10;urntwYvSC4oT/Vmm+P9g2dvd+0AUbykaZcGgRYcvnw9fvx++fSLTRdZn8LHBsluPhWl84Ub0+X49&#10;4mJue5TB5D82RDCPSu/P6ooxEYaLV9eLq/l8TgnD3Gz6bPF0VvSvfm73IabXwhmSg5YGtK+oCrs3&#10;MSEVLL0vyadFpxXfKK3LJHTblzqQHaDVm/JllrjlQZm2ZGjpYj7LRABvnNSQMDQeNYi2K+c92BEv&#10;gevy/Qk4E1tD7I8ECkIug8aoJEKJegH8leUk7T3qbPFB0EzGCE6JFvh+clQqEyj9N5XYnbb5EFHu&#10;+kml7NjRmRylcTsiaA63ju/RxTsfVNejwMXHKmfwehWtTk8h39/LOcaXD3b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XPzfYAAAACQEAAA8AAAAAAAAAAQAgAAAAIgAAAGRycy9kb3ducmV2Lnht&#10;bFBLAQIUABQAAAAIAIdO4kAqtFRq+QEAAPgDAAAOAAAAAAAAAAEAIAAAACcBAABkcnMvZTJvRG9j&#10;LnhtbFBLBQYAAAAABgAGAFkBAACSBQAAAAA=&#10;">
                <v:fill on="t" focussize="0,0"/>
                <v:stroke color="#000000" joinstyle="miter"/>
                <v:imagedata o:title=""/>
                <o:lock v:ext="edit" aspectratio="f"/>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mc:Fallback>
        </mc:AlternateConten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pStyle w:val="4"/>
        <w:jc w:val="center"/>
        <w:rPr>
          <w:rFonts w:ascii="宋体" w:hAnsi="宋体" w:cs="宋体"/>
          <w:color w:val="auto"/>
          <w:highlight w:val="none"/>
        </w:rPr>
      </w:pPr>
    </w:p>
    <w:p>
      <w:pPr>
        <w:rPr>
          <w:rFonts w:ascii="宋体" w:hAnsi="宋体" w:cs="宋体"/>
          <w:color w:val="auto"/>
          <w:highlight w:val="none"/>
        </w:rPr>
      </w:pPr>
    </w:p>
    <w:p>
      <w:pPr>
        <w:pStyle w:val="6"/>
        <w:rPr>
          <w:rFonts w:ascii="宋体" w:hAnsi="宋体" w:cs="宋体"/>
          <w:color w:val="auto"/>
          <w:highlight w:val="none"/>
        </w:rPr>
      </w:pPr>
    </w:p>
    <w:p>
      <w:pPr>
        <w:pStyle w:val="6"/>
        <w:rPr>
          <w:color w:val="auto"/>
          <w:highlight w:val="none"/>
        </w:rPr>
      </w:pPr>
    </w:p>
    <w:p>
      <w:pPr>
        <w:rPr>
          <w:color w:val="auto"/>
          <w:highlight w:val="none"/>
        </w:rPr>
      </w:pPr>
    </w:p>
    <w:p>
      <w:pPr>
        <w:pStyle w:val="4"/>
        <w:jc w:val="center"/>
        <w:rPr>
          <w:rFonts w:ascii="宋体" w:hAnsi="宋体" w:cs="宋体"/>
          <w:color w:val="auto"/>
          <w:kern w:val="0"/>
          <w:sz w:val="28"/>
          <w:highlight w:val="none"/>
        </w:rPr>
      </w:pPr>
      <w:r>
        <w:rPr>
          <w:rFonts w:hint="eastAsia" w:ascii="宋体" w:hAnsi="宋体" w:cs="宋体"/>
          <w:color w:val="auto"/>
          <w:highlight w:val="none"/>
        </w:rPr>
        <w:t xml:space="preserve"> </w:t>
      </w:r>
      <w:bookmarkStart w:id="165" w:name="_Toc17222"/>
      <w:r>
        <w:rPr>
          <w:rFonts w:hint="eastAsia" w:ascii="宋体" w:hAnsi="宋体" w:cs="宋体"/>
          <w:color w:val="auto"/>
          <w:kern w:val="0"/>
          <w:sz w:val="28"/>
          <w:highlight w:val="none"/>
        </w:rPr>
        <w:t>投标方的资格声明</w:t>
      </w:r>
      <w:bookmarkEnd w:id="165"/>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法定代表人或其授权委托人（</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4"/>
        <w:jc w:val="center"/>
        <w:rPr>
          <w:rFonts w:ascii="宋体" w:hAnsi="宋体"/>
          <w:color w:val="auto"/>
          <w:sz w:val="24"/>
          <w:highlight w:val="none"/>
        </w:rPr>
      </w:pPr>
      <w:r>
        <w:rPr>
          <w:rFonts w:hint="eastAsia" w:ascii="宋体" w:hAnsi="宋体" w:cs="宋体"/>
          <w:color w:val="auto"/>
          <w:highlight w:val="none"/>
        </w:rPr>
        <w:br w:type="page"/>
      </w:r>
      <w:bookmarkStart w:id="166" w:name="_Toc22085"/>
      <w:r>
        <w:rPr>
          <w:rFonts w:hint="eastAsia" w:ascii="宋体" w:hAnsi="宋体" w:cs="宋体"/>
          <w:color w:val="auto"/>
          <w:kern w:val="0"/>
          <w:sz w:val="28"/>
          <w:highlight w:val="none"/>
        </w:rPr>
        <w:t>《政府采购法》第二十二条规定</w:t>
      </w:r>
    </w:p>
    <w:p>
      <w:pPr>
        <w:pStyle w:val="23"/>
        <w:keepNext w:val="0"/>
        <w:keepLines w:val="0"/>
        <w:widowControl/>
        <w:suppressLineNumbers w:val="0"/>
        <w:ind w:firstLine="480" w:firstLineChars="200"/>
        <w:jc w:val="both"/>
        <w:rPr>
          <w:color w:val="auto"/>
          <w:highlight w:val="none"/>
        </w:rPr>
      </w:pPr>
      <w:r>
        <w:rPr>
          <w:color w:val="auto"/>
          <w:highlight w:val="none"/>
        </w:rPr>
        <w:t>（一）具有独立承担民事责任的能力；</w:t>
      </w:r>
    </w:p>
    <w:p>
      <w:pPr>
        <w:pStyle w:val="23"/>
        <w:keepNext w:val="0"/>
        <w:keepLines w:val="0"/>
        <w:widowControl/>
        <w:suppressLineNumbers w:val="0"/>
        <w:ind w:firstLine="480" w:firstLineChars="200"/>
        <w:jc w:val="both"/>
        <w:rPr>
          <w:color w:val="auto"/>
          <w:highlight w:val="none"/>
        </w:rPr>
      </w:pPr>
      <w:r>
        <w:rPr>
          <w:color w:val="auto"/>
          <w:highlight w:val="none"/>
        </w:rPr>
        <w:t>（二）具有良好的商业信誉和健全的财务会计制度；</w:t>
      </w:r>
    </w:p>
    <w:p>
      <w:pPr>
        <w:pStyle w:val="23"/>
        <w:keepNext w:val="0"/>
        <w:keepLines w:val="0"/>
        <w:widowControl/>
        <w:suppressLineNumbers w:val="0"/>
        <w:ind w:firstLine="480" w:firstLineChars="200"/>
        <w:jc w:val="both"/>
        <w:rPr>
          <w:color w:val="auto"/>
          <w:highlight w:val="none"/>
        </w:rPr>
      </w:pPr>
      <w:r>
        <w:rPr>
          <w:color w:val="auto"/>
          <w:highlight w:val="none"/>
        </w:rPr>
        <w:t>（三）具有履行合同所必需的设备和专业技术能力；</w:t>
      </w:r>
    </w:p>
    <w:p>
      <w:pPr>
        <w:pStyle w:val="23"/>
        <w:keepNext w:val="0"/>
        <w:keepLines w:val="0"/>
        <w:widowControl/>
        <w:suppressLineNumbers w:val="0"/>
        <w:ind w:firstLine="480" w:firstLineChars="200"/>
        <w:jc w:val="both"/>
        <w:rPr>
          <w:color w:val="auto"/>
          <w:highlight w:val="none"/>
        </w:rPr>
      </w:pPr>
      <w:r>
        <w:rPr>
          <w:color w:val="auto"/>
          <w:highlight w:val="none"/>
        </w:rPr>
        <w:t>（四）有依法缴纳税收和社会保障资金的良好记录；</w:t>
      </w:r>
    </w:p>
    <w:p>
      <w:pPr>
        <w:pStyle w:val="23"/>
        <w:keepNext w:val="0"/>
        <w:keepLines w:val="0"/>
        <w:widowControl/>
        <w:suppressLineNumbers w:val="0"/>
        <w:ind w:firstLine="480" w:firstLineChars="200"/>
        <w:jc w:val="both"/>
        <w:rPr>
          <w:color w:val="auto"/>
          <w:highlight w:val="none"/>
        </w:rPr>
      </w:pPr>
      <w:r>
        <w:rPr>
          <w:color w:val="auto"/>
          <w:highlight w:val="none"/>
        </w:rPr>
        <w:t>（五）参加政府采购活动前三年内，在经营活动中没有重大违法记录；</w:t>
      </w:r>
    </w:p>
    <w:p>
      <w:pPr>
        <w:pStyle w:val="23"/>
        <w:keepNext w:val="0"/>
        <w:keepLines w:val="0"/>
        <w:widowControl/>
        <w:suppressLineNumbers w:val="0"/>
        <w:ind w:firstLine="480" w:firstLineChars="200"/>
        <w:jc w:val="both"/>
        <w:rPr>
          <w:color w:val="auto"/>
          <w:highlight w:val="none"/>
        </w:rPr>
      </w:pPr>
      <w:r>
        <w:rPr>
          <w:color w:val="auto"/>
          <w:highlight w:val="none"/>
        </w:rPr>
        <w:t>（六）法律、行政法规规定的其他条件。</w:t>
      </w:r>
    </w:p>
    <w:p>
      <w:pPr>
        <w:pStyle w:val="4"/>
        <w:jc w:val="center"/>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4"/>
        <w:jc w:val="center"/>
        <w:rPr>
          <w:rFonts w:hint="eastAsia" w:ascii="宋体" w:hAnsi="宋体" w:cs="宋体"/>
          <w:color w:val="000000" w:themeColor="text1"/>
          <w:kern w:val="0"/>
          <w:sz w:val="28"/>
          <w14:textFill>
            <w14:solidFill>
              <w14:schemeClr w14:val="tx1"/>
            </w14:solidFill>
          </w14:textFill>
        </w:rPr>
      </w:pPr>
    </w:p>
    <w:p>
      <w:pPr>
        <w:pStyle w:val="4"/>
        <w:jc w:val="center"/>
        <w:rPr>
          <w:rFonts w:hint="eastAsia" w:ascii="宋体" w:hAnsi="宋体" w:cs="宋体"/>
          <w:color w:val="000000" w:themeColor="text1"/>
          <w:kern w:val="0"/>
          <w:sz w:val="28"/>
          <w14:textFill>
            <w14:solidFill>
              <w14:schemeClr w14:val="tx1"/>
            </w14:solidFill>
          </w14:textFill>
        </w:rPr>
      </w:pPr>
    </w:p>
    <w:p>
      <w:pPr>
        <w:pStyle w:val="4"/>
        <w:jc w:val="both"/>
        <w:rPr>
          <w:rFonts w:hint="eastAsia" w:ascii="宋体" w:hAnsi="宋体" w:cs="宋体"/>
          <w:color w:val="000000" w:themeColor="text1"/>
          <w:kern w:val="0"/>
          <w:sz w:val="28"/>
          <w14:textFill>
            <w14:solidFill>
              <w14:schemeClr w14:val="tx1"/>
            </w14:solidFill>
          </w14:textFill>
        </w:rPr>
      </w:pPr>
    </w:p>
    <w:p>
      <w:pPr>
        <w:pStyle w:val="5"/>
        <w:rPr>
          <w:rFonts w:hint="eastAsia"/>
        </w:rPr>
      </w:pP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营业执照函</w:t>
      </w:r>
      <w:bookmarkEnd w:id="166"/>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现附上由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（签发机关名称）签发的我方营业执照复印件，该执照已经年检，真实有效。</w:t>
      </w:r>
    </w:p>
    <w:p>
      <w:pPr>
        <w:spacing w:line="360" w:lineRule="auto"/>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注：在此页附上营业执照</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投标单位名称（单位公章）：                         </w:t>
      </w:r>
    </w:p>
    <w:p>
      <w:pPr>
        <w:spacing w:line="360" w:lineRule="auto"/>
        <w:ind w:firstLine="48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法定代表人或其授权委托人（签字或盖章）：</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法定代表人证明书</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7020928" behindDoc="0" locked="0" layoutInCell="1" allowOverlap="1">
                <wp:simplePos x="0" y="0"/>
                <wp:positionH relativeFrom="column">
                  <wp:posOffset>201930</wp:posOffset>
                </wp:positionH>
                <wp:positionV relativeFrom="paragraph">
                  <wp:posOffset>76200</wp:posOffset>
                </wp:positionV>
                <wp:extent cx="2619375" cy="1704975"/>
                <wp:effectExtent l="7620" t="7620" r="20955" b="20955"/>
                <wp:wrapNone/>
                <wp:docPr id="6"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15.9pt;margin-top:6pt;height:134.25pt;width:206.25pt;z-index:257020928;mso-width-relative:page;mso-height-relative:page;" fillcolor="#FFFFFF" filled="t" stroked="t" coordsize="21600,21600" o:gfxdata="UEsDBAoAAAAAAIdO4kAAAAAAAAAAAAAAAAAEAAAAZHJzL1BLAwQUAAAACACHTuJAsl/+VtcAAAAJ&#10;AQAADwAAAGRycy9kb3ducmV2LnhtbE2PzU7DMBCE70i8g7VIXBC1k6ZQhTgVqsQDUKL26sZLHNU/&#10;ke02hadnOcFxdlYz3zSbq7PsgjGNwUsoFgIY+j7o0Q8Suo+3xzWwlJXXygaPEr4wwaa9vWlUrcPs&#10;3/GyywOjEJ9qJcHkPNWcp96gU2kRJvTkfYboVCYZB66jmincWV4K8cSdGj01GDXh1mB/2p2dhJU9&#10;lEXM22l+MK/dCffd8/67k/L+rhAvwDJe898z/OITOrTEdAxnrxOzEpYFkWe6lzSJ/KqqlsCOEsq1&#10;WAFvG/5/QfsDUEsDBBQAAAAIAIdO4kBV6Ky4MQIAAH8EAAAOAAAAZHJzL2Uyb0RvYy54bWytVM2O&#10;0zAQviPxDpbvNElhu7tR05WglAsCxLLi7MZOYsl/8nib9AXgDThx4c5z9TkYO2m3gIQQIgd37BnP&#10;fPPN5y5vBq3ITniQ1lS0mOWUCFNbLk1b0bsPmydXlEBghjNljajoXgC9WT1+tOxdKea2s4oLTzCJ&#10;gbJ3Fe1CcGWWQd0JzWBmnTDobKzXLODWtxn3rMfsWmXzPF9kvfXceVsLADxdj066SvmbRtThbdOA&#10;CERVFLGFtPq0buOarZasbD1znawnGOwfUGgmDRY9pVqzwMi9l7+l0rL2FmwTZrXVmW0aWYvUA3ZT&#10;5L90c9sxJ1IvSA64E03w/9LWb3bvPJG8ogtKDNM4osOXz4ev3w/fPpEi0tM7KDHq1mFcGJ7bAcd8&#10;PAc8jF0PjdfxF/sh6Eei9ydyxRBIjYfzRXH99PKCkhp9xWX+7Bo3mD97uO48hFfCahKNinqcXiKV&#10;7V5DGEOPIRPXfCOVIt6GjzJ0ia5YNzkB74wGcRYZG4/Bt9sXypMdQ0Fs0jeBaOE8usjjlzL9+QrC&#10;b4+llDSEReFPugpSiffYxAgdVZbgxjLKkB5ZuLhKhDAUfqNYQG60w1GAacfKVsnTlZ9gJHSpCtaH&#10;87BI0JpBN3aYXLFBVmoZhE9WJxh/aTgJe4fjNvguaUSjBadECXzG0UqRgUn1N5EIQplYRKQnN00r&#10;KmdUSLTCsB0waTS3lu9RTffOy7bDQSc9ZdGDKk+KmF5kfEbne7TP/zd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X/5W1wAAAAkBAAAPAAAAAAAAAAEAIAAAACIAAABkcnMvZG93bnJldi54bWxQ&#10;SwECFAAUAAAACACHTuJAVeisuDECAAB/BAAADgAAAAAAAAABACAAAAAm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9666944" behindDoc="1" locked="0" layoutInCell="1" allowOverlap="1">
                <wp:simplePos x="0" y="0"/>
                <wp:positionH relativeFrom="column">
                  <wp:posOffset>3027680</wp:posOffset>
                </wp:positionH>
                <wp:positionV relativeFrom="paragraph">
                  <wp:posOffset>78740</wp:posOffset>
                </wp:positionV>
                <wp:extent cx="2619375" cy="1704975"/>
                <wp:effectExtent l="7620" t="7620" r="20955" b="20955"/>
                <wp:wrapTight wrapText="bothSides">
                  <wp:wrapPolygon>
                    <wp:start x="21592" y="-2"/>
                    <wp:lineTo x="0" y="0"/>
                    <wp:lineTo x="0" y="21600"/>
                    <wp:lineTo x="21592" y="21602"/>
                    <wp:lineTo x="8" y="21602"/>
                    <wp:lineTo x="21600" y="21600"/>
                    <wp:lineTo x="21600" y="0"/>
                    <wp:lineTo x="8" y="-2"/>
                    <wp:lineTo x="21592" y="-2"/>
                  </wp:wrapPolygon>
                </wp:wrapTight>
                <wp:docPr id="7"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right"/>
                            </w:pPr>
                          </w:p>
                        </w:txbxContent>
                      </wps:txbx>
                      <wps:bodyPr upright="1"/>
                    </wps:wsp>
                  </a:graphicData>
                </a:graphic>
              </wp:anchor>
            </w:drawing>
          </mc:Choice>
          <mc:Fallback>
            <w:pict>
              <v:shape id="文本框 2" o:spid="_x0000_s1026" o:spt="202" type="#_x0000_t202" style="position:absolute;left:0pt;margin-left:238.4pt;margin-top:6.2pt;height:134.25pt;width:206.25pt;mso-wrap-distance-left:9pt;mso-wrap-distance-right:9pt;z-index:-243649536;mso-width-relative:page;mso-height-relative:page;" fillcolor="#FFFFFF" filled="t" stroked="t" coordsize="21600,21600" wrapcoords="21592 -2 0 0 0 21600 21592 21602 8 21602 21600 21600 21600 0 8 -2 21592 -2" o:gfxdata="UEsDBAoAAAAAAIdO4kAAAAAAAAAAAAAAAAAEAAAAZHJzL1BLAwQUAAAACACHTuJAEH0eQ9kAAAAK&#10;AQAADwAAAGRycy9kb3ducmV2LnhtbE2PwU7DMBBE70j8g7WVuCBqJ5Q2TeNUqBIfQBuVqxsvcVR7&#10;HcVuU/h6zAmOoxnNvKm2N2fZFcfQe5KQzQUwpNbrnjoJzeHtqQAWoiKtrCeU8IUBtvX9XaVK7Sd6&#10;x+s+diyVUCiVBBPjUHIeWoNOhbkfkJL36UenYpJjx/WoplTuLM+FWHKnekoLRg24M9ie9xcn4cV+&#10;5NkYd8P0aF6bMx6b1fG7kfJhlokNsIi3+BeGX/yEDnViOvkL6cCshMVqmdBjMvIFsBQoivUzsJOE&#10;vBBr4HXF/1+ofwBQSwMEFAAAAAgAh07iQF+JwbUvAgAAfwQAAA4AAABkcnMvZTJvRG9jLnhtbK1U&#10;y67TMBDdI/EPlvc0aeG+oqZXglI2CBAXxNq1ncSSX/L4NukPwB+wYsOe7+p3MHbSUkBCCJGFO/aM&#10;Z86cOe7ydjCa7GQA5WxN57OSEmm5E8q2NX3/bvPomhKIzAqmnZU13Uugt6uHD5a9r+TCdU4LGQgm&#10;sVD1vqZdjL4qCuCdNAxmzkuLzsYFwyJuQ1uIwHrMbnSxKMvLondB+OC4BMDT9eikq5y/aSSPr5sG&#10;ZCS6pogt5jXkdZvWYrVkVRuY7xSfYLB/QGGYslj0lGrNIiP3Qf2WyigeHLgmzrgzhWsaxWXuAbuZ&#10;l790c9cxL3MvSA74E03w/9LyV7s3gShR0ytKLDM4osPnT4cv3w5fP5JFoqf3UGHUnce4ODx1A475&#10;eA54mLoemmDSL/ZD0I9E70/kyiESjoeLy/nN46sLSjj65lflkxvcYP7ix3UfIL6QzpBk1DTg9DKp&#10;bPcS4hh6DJm4FhulNQkuflCxy3SlutkJeGc0iHfI2HgMod0+04HsGApik78JRAvn0fMyfTnTn68g&#10;/PZYSitLWBL+pKuotHyLTYzQUWUZbiqjLemRhYvrTAhD4TeaReTGeBwF2Has7LQ6XfkJRkaXq2B9&#10;OA9LBK0ZdGOH2ZUaZJVRUYZsdZKJ51aQuPc4bovvkiY0RgpKtMRnnKwcGZnSfxOJILRNRWR+ctO0&#10;knJGhSQrDtsBkyZz68Qe1XTvg2o7HHTWU5E8qPKsiOlFpmd0vkf7/H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fR5D2QAAAAoBAAAPAAAAAAAAAAEAIAAAACIAAABkcnMvZG93bnJldi54bWxQ&#10;SwECFAAUAAAACACHTuJAX4nBtS8CAAB/BAAADgAAAAAAAAABACAAAAAo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right"/>
                      </w:pPr>
                    </w:p>
                  </w:txbxContent>
                </v:textbox>
                <w10:wrap type="tight"/>
              </v:shape>
            </w:pict>
          </mc:Fallback>
        </mc:AlternateConten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4"/>
        <w:rPr>
          <w:rFonts w:ascii="宋体" w:hAnsi="宋体" w:cs="宋体"/>
          <w:color w:val="000000" w:themeColor="text1"/>
          <w:sz w:val="24"/>
          <w:szCs w:val="24"/>
          <w14:textFill>
            <w14:solidFill>
              <w14:schemeClr w14:val="tx1"/>
            </w14:solidFill>
          </w14:textFill>
        </w:rPr>
      </w:pPr>
      <w:bookmarkStart w:id="167" w:name="_Toc13439"/>
    </w:p>
    <w:p>
      <w:pPr>
        <w:rPr>
          <w:rFonts w:ascii="宋体" w:hAnsi="宋体" w:cs="宋体"/>
          <w:color w:val="000000" w:themeColor="text1"/>
          <w:sz w:val="24"/>
          <w14:textFill>
            <w14:solidFill>
              <w14:schemeClr w14:val="tx1"/>
            </w14:solidFill>
          </w14:textFill>
        </w:rPr>
      </w:pPr>
    </w:p>
    <w:p>
      <w:pPr>
        <w:pStyle w:val="4"/>
        <w:rPr>
          <w:rFonts w:ascii="宋体" w:hAnsi="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法定代表人授权书格式</w:t>
      </w:r>
      <w:bookmarkEnd w:id="167"/>
    </w:p>
    <w:p>
      <w:pPr>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法定代表人授权书</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(投标单位名称)法定代表人授权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为本公司的合法代理人，参加贵方组织的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项目招标文件采购招标活动，全权代表我方处理招标活动中的一切事宜和签署一切文件，被授权人无转委托权，特此委托。</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法定代表人签字：</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被授权人姓名：</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详细通讯地址：</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105410</wp:posOffset>
                </wp:positionV>
                <wp:extent cx="2619375" cy="1704975"/>
                <wp:effectExtent l="7620" t="7620" r="20955" b="20955"/>
                <wp:wrapNone/>
                <wp:docPr id="1"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14.55pt;margin-top:8.3pt;height:134.25pt;width:206.25pt;z-index:251669504;mso-width-relative:page;mso-height-relative:page;" fillcolor="#FFFFFF" filled="t" stroked="t" coordsize="21600,21600" o:gfxdata="UEsDBAoAAAAAAIdO4kAAAAAAAAAAAAAAAAAEAAAAZHJzL1BLAwQUAAAACACHTuJAzBHC1tYAAAAJ&#10;AQAADwAAAGRycy9kb3ducmV2LnhtbE2PzU7DMBCE70i8g7VIXBB1HLWhhDgVqsQDUKL26sZLHNU/&#10;ke02hadnOcFtd2c0+02zuTrLLhjTGLwEsSiAoe+DHv0goft4e1wDS1l5rWzwKOELE2za25tG1TrM&#10;/h0vuzwwCvGpVhJMzlPNeeoNOpUWYUJP2meITmVa48B1VDOFO8vLoqi4U6OnD0ZNuDXYn3ZnJ2Fl&#10;D6WIeTvND+a1O+G+e9p/d1Le34niBVjGa/4zwy8+oUNLTMdw9joxK6F8FuSke1UBI325FDQcSViv&#10;BPC24f8btD9QSwMEFAAAAAgAh07iQPyW1FEvAgAAfwQAAA4AAABkcnMvZTJvRG9jLnhtbK1UzY7T&#10;MBC+I/EOlu80adnfqOlKUMoFAWJBnF3bSSz5Tx5vk74AvAEnLnvnufocjJ1sKSAhhMjBHXvGM998&#10;87nLm8FospMBlLM1nc9KSqTlTijb1vTD+82TK0ogMiuYdlbWdC+B3qweP1r2vpIL1zktZCCYxELV&#10;+5p2MfqqKIB30jCYOS8tOhsXDIu4DW0hAusxu9HFoiwvit4F4YPjEgBP16OTrnL+ppE8vmkakJHo&#10;miK2mNeQ121ai9WSVW1gvlN8gsH+AYVhymLRY6o1i4zcBfVbKqN4cOCaOOPOFK5pFJe5B+xmXv7S&#10;zW3HvMy9IDngjzTB/0vLX+/eBqIEzo4SywyO6PDl8+Hrt8P9J3KW6Ok9VBh16zEuDs/ckEKnc8DD&#10;1PXQBJN+sR+CfiR6fyRXDpFwPFxczK+fXp5TwtE3vyzPrnGDeYof132A+FI6Q5JR04DTy6Sy3SuI&#10;Y+hDyMS12CitSXDxo4pdpivVzU7AO6NBvEPGxmMI7fa5DmTHUBCb/E0gWjiNnpfpy5n+fAXhtw+l&#10;tLKEJeFPuopKy3fYxAgdVZbhpjLakh5ZOL/KhDAUfqNZRG6Mx1GAbcfKTqvjlZ9gZHS5CtaH07BE&#10;0JpBN3aYXalBVhkVZchWJ5l4YQWJe4/jtvguaUJjpKBES3zGycqRkSn9N5EIQttUROYnN00rKWdU&#10;SLLisB0waTK3TuxRTXc+qLbDQWc9FcmDKs+KmF5kekane7RP/zd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EcLW1gAAAAkBAAAPAAAAAAAAAAEAIAAAACIAAABkcnMvZG93bnJldi54bWxQSwEC&#10;FAAUAAAACACHTuJA/JbUUS8CAAB/BAAADgAAAAAAAAABACAAAAAl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3035300</wp:posOffset>
                </wp:positionH>
                <wp:positionV relativeFrom="paragraph">
                  <wp:posOffset>106680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39pt;margin-top:8.4pt;height:134.25pt;width:206.25pt;z-index:251670528;mso-width-relative:page;mso-height-relative:page;" fillcolor="#FFFFFF" filled="t" stroked="t" coordsize="21600,21600" o:gfxdata="UEsDBAoAAAAAAIdO4kAAAAAAAAAAAAAAAAAEAAAAZHJzL1BLAwQUAAAACACHTuJAp59Ph9gAAAAK&#10;AQAADwAAAGRycy9kb3ducmV2LnhtbE2Py07DMBBF90j8gzVIbBC1E0ibhjgVqsQHUKKydeNpHNWP&#10;KHabwtczrGA5uld3zqk3V2fZBac4BC8hWwhg6LugB99LaD/eHktgMSmvlQ0eJXxhhE1ze1OrSofZ&#10;v+Nll3pGIz5WSoJJaaw4j51Bp+IijOgpO4bJqUTn1HM9qZnGneW5EEvu1ODpg1Ejbg12p93ZSSjs&#10;Z55NaTvOD+a1PeG+Xe2/Wynv7zLxAizhNf2V4Ref0KEhpkM4ex2ZlfC8KsklUbAkBSqUa1EAO0jI&#10;y+IJeFPz/wrND1BLAwQUAAAACACHTuJA27KlbDACAAB/BAAADgAAAGRycy9lMm9Eb2MueG1srVTN&#10;jtMwEL4j8Q6W7zRJ2e5P1HQlKOWCALEgzm7sJJb8J4+3SV8A3oATl73zXH0Oxk5aCkgIIXJwx57x&#10;zDfffO7ydtCK7IQHaU1Fi1lOiTC15dK0Ff3wfvPkmhIIzHCmrBEV3Qugt6vHj5a9K8XcdlZx4Qkm&#10;MVD2rqJdCK7MMqg7oRnMrBMGnY31mgXc+jbjnvWYXatsnueXWW89d97WAgBP16OTrlL+phF1eNM0&#10;IAJRFUVsIa0+rdu4ZqslK1vPXCfrCQb7BxSaSYNFT6nWLDBy7+VvqbSsvQXbhFltdWabRtYi9YDd&#10;FPkv3dx1zInUC5ID7kQT/L+09evdW08kr+gFJYZpHNHhy+fD12+Hh09kEenpHZQYdecwLgzP7IBj&#10;Pp4DHsauh8br+Iv9EPQj0fsTuWIIpMbD+WVx8/RqQUmNvuIqv7jBDebPflx3HsJLYTWJRkU9Ti+R&#10;ynavIIyhx5CJa76RShFvw0cZukRXrJucgHdGgziLjI3H4Nvtc+XJjqEgNumbQLRwHl3k8UuZ/nwF&#10;4bfHUkoawqLwJ10FqcQ7bGKEjipLcGMZZUiPLCyuEyEMhd8oFpAb7XAUYNqxslXydOUnGAldqoL1&#10;4TwsErRm0I0dJldskJVaBuGT1QnGXxhOwt7huA2+SxrRaMEpUQKfcbRSZGBS/U0kglAmFhHpyU3T&#10;isoZFRKtMGwHTBrNreV7VNO987LtcNBJT1n0oMqTIqYXGZ/R+R7t8/+N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0+H2AAAAAoBAAAPAAAAAAAAAAEAIAAAACIAAABkcnMvZG93bnJldi54bWxQ&#10;SwECFAAUAAAACACHTuJA27Klb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186055</wp:posOffset>
                </wp:positionH>
                <wp:positionV relativeFrom="paragraph">
                  <wp:posOffset>219710</wp:posOffset>
                </wp:positionV>
                <wp:extent cx="2619375" cy="1704975"/>
                <wp:effectExtent l="7620" t="7620" r="20955" b="20955"/>
                <wp:wrapTopAndBottom/>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4.65pt;margin-top:17.3pt;height:134.25pt;width:206.25pt;mso-wrap-distance-bottom:0pt;mso-wrap-distance-top:0pt;z-index:251698176;mso-width-relative:page;mso-height-relative:page;" fillcolor="#FFFFFF" filled="t" stroked="t" coordsize="21600,21600" o:gfxdata="UEsDBAoAAAAAAIdO4kAAAAAAAAAAAAAAAAAEAAAAZHJzL1BLAwQUAAAACACHTuJAB7sHqdcAAAAJ&#10;AQAADwAAAGRycy9kb3ducmV2LnhtbE2PzU7DMBCE70i8g7VIXBB1/iglxKlQJR6ANipXN97GUeN1&#10;FLtN4elZTnDcmdHsN9X66gZxwSn0nhSkiwQEUutNT52CZvf+uAIRoiajB0+o4AsDrOvbm0qXxs/0&#10;gZdt7ASXUCi1AhvjWEoZWotOh4Ufkdg7+snpyOfUSTPpmcvdILMkWUqne+IPVo+4sdietmen4Gn4&#10;zNIpbsb5wb41J9w3z/vvRqn7uzR5BRHxGv/C8IvP6FAz08GfyQQxKMheck4qyIslCPaLIuUpBxaS&#10;PAVZV/L/gvoHUEsDBBQAAAAIAIdO4kCXArUAMAIAAH8EAAAOAAAAZHJzL2Uyb0RvYy54bWytVMuu&#10;0zAQ3SPxD5b33KSF3kfU9EpQygYB4oJYu7aTWPJLHt8m/QH4A1Zs2PNd/Q7GTloKSAghsnDHnvHM&#10;mTPHXd4ORpOdDKCcrensoqREWu6Esm1N37/bPLqmBCKzgmlnZU33Eujt6uGDZe8rOXed00IGgkks&#10;VL2vaRejr4oCeCcNgwvnpUVn44JhEbehLURgPWY3upiX5WXRuyB8cFwC4Ol6dNJVzt80ksfXTQMy&#10;El1TxBbzGvK6TWuxWrKqDcx3ik8w2D+gMExZLHpKtWaRkfugfktlFA8OXBMvuDOFaxrFZe4Bu5mV&#10;v3Rz1zEvcy9IDvgTTfD/0vJXuzeBKFHTOSWWGRzR4fOnw5dvh68fySLR03uoMOrOY1wcnroBx3w8&#10;BzxMXQ9NMOkX+yHoR6L3J3LlEAnHw/nl7Obx1YISjr7ZVfnkBjeYv/hx3QeIL6QzJBk1DTi9TCrb&#10;vYQ4hh5DJq7FRmlNgosfVOwyXaludgLeGQ3iHTI2HkNot890IDuGgtjkbwLRwnn0rExfzvTnKwi/&#10;PZbSyhKWhD/pKiot32ITI3RUWYabymhLemRhcZ0JYSj8RrOI3BiPowDbjpWdVqcrP8HI6HIVrA/n&#10;YYmgNYNu7DC7UoOsMirKkK1OMvHcChL3Hsdt8V3ShMZIQYmW+IyTlSMjU/pvIhGEtqmIzE9umlZS&#10;zqiQZMVhO2DSZG6d2KOa7n1QbYeDznoqkgdVnhUxvcj0jM73aJ//b6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7B6nXAAAACQEAAA8AAAAAAAAAAQAgAAAAIgAAAGRycy9kb3ducmV2LnhtbFBL&#10;AQIUABQAAAAIAIdO4kCXArUAMAIAAH8EAAAOAAAAAAAAAAEAIAAAACYBAABkcnMvZTJvRG9jLnht&#10;bFBLBQYAAAAABgAGAFkBAADI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3044190</wp:posOffset>
                </wp:positionH>
                <wp:positionV relativeFrom="paragraph">
                  <wp:posOffset>220345</wp:posOffset>
                </wp:positionV>
                <wp:extent cx="2619375" cy="1704975"/>
                <wp:effectExtent l="7620" t="7620" r="20955" b="20955"/>
                <wp:wrapNone/>
                <wp:docPr id="3"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39.7pt;margin-top:17.35pt;height:134.25pt;width:206.25pt;z-index:251700224;mso-width-relative:page;mso-height-relative:page;" fillcolor="#FFFFFF" filled="t" stroked="t" coordsize="21600,21600" o:gfxdata="UEsDBAoAAAAAAIdO4kAAAAAAAAAAAAAAAAAEAAAAZHJzL1BLAwQUAAAACACHTuJAMjTPp9kAAAAK&#10;AQAADwAAAGRycy9kb3ducmV2LnhtbE2Py07DMBBF90j8gzVIbBC1kwbSpHEqVIkPoI3K1o2ncVQ/&#10;ItttCl+PWcFyZo7unNtsbkaTK/owOsshWzAgaHsnRztw6PbvzysgIQorhXYWOXxhgE17f9eIWrrZ&#10;fuB1FweSQmyoBQcV41RTGnqFRoSFm9Cm28l5I2Ia/UClF3MKN5rmjL1SI0abPigx4VZhf95dDIcX&#10;/ZlnPm6n+Um9dWc8dOXhu+P88SFjayARb/EPhl/9pA5tcjq6i5WBaA5FWRUJ5bAsSiAJWFVZBeSY&#10;FmyZA20b+r9C+wNQSwMEFAAAAAgAh07iQEo3YqQwAgAAfwQAAA4AAABkcnMvZTJvRG9jLnhtbK1U&#10;zY7TMBC+I/EOlu80SZfuT9R0JSjlggCxIM5u7CSW/CePt0lfAN6AE5e981x9DsZOWgpICCFycMee&#10;8cw333zu8nbQiuyEB2lNRYtZTokwteXStBX98H7z5JoSCMxwpqwRFd0LoLerx4+WvSvF3HZWceEJ&#10;JjFQ9q6iXQiuzDKoO6EZzKwTBp2N9ZoF3Po24571mF2rbJ7nl1lvPXfe1gIAT9ejk65S/qYRdXjT&#10;NCACURVFbCGtPq3buGarJStbz1wn6wkG+wcUmkmDRU+p1iwwcu/lb6m0rL0F24RZbXVmm0bWIvWA&#10;3RT5L93cdcyJ1AuSA+5EE/y/tPXr3VtPJK/oBSWGaRzR4cvnw9dvh4dPZBHp6R2UGHXnMC4Mz+yA&#10;Yz6eAx7GrofG6/iL/RD0I9H7E7liCKTGw/llcXNxtaCkRl9xlT+9wQ3mz35cdx7CS2E1iUZFPU4v&#10;kcp2ryCMoceQiWu+kUoRb8NHGbpEV6ybnIB3RoM4i4yNx+Db7XPlyY6hIDbpm0C0cB5d5PFLmf58&#10;BeG3x1JKGsKi8CddBanEO2xihI4qS3BjGWVIjywsrhMhDIXfKBaQG+1wFGDasbJV8nTlJxgJXaqC&#10;9eE8LBK0ZtCNHSZXbJCVWgbhk9UJxl8YTsLe4bgNvksa0WjBKVECn3G0UmRgUv1NJIJQJhYR6clN&#10;04rKGRUSrTBsB0waza3le1TTvfOy7XDQSU9Z9KDKkyKmFxmf0fke7fP/jd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jTPp9kAAAAKAQAADwAAAAAAAAABACAAAAAiAAAAZHJzL2Rvd25yZXYueG1s&#10;UEsBAhQAFAAAAAgAh07iQEo3YqQwAgAAfwQAAA4AAAAAAAAAAQAgAAAAKAEAAGRycy9lMm9Eb2Mu&#10;eG1sUEsFBgAAAAAGAAYAWQEAAMo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投标企业（盖章）：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bookmarkStart w:id="168" w:name="_Toc13337"/>
    </w:p>
    <w:p>
      <w:pPr>
        <w:spacing w:line="360" w:lineRule="auto"/>
        <w:rPr>
          <w:rFonts w:hint="default" w:ascii="宋体" w:hAnsi="宋体" w:eastAsia="宋体" w:cs="宋体"/>
          <w:b/>
          <w:color w:val="000000" w:themeColor="text1"/>
          <w:sz w:val="22"/>
          <w:szCs w:val="28"/>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b/>
          <w:color w:val="000000" w:themeColor="text1"/>
          <w:sz w:val="22"/>
          <w:szCs w:val="28"/>
          <w:highlight w:val="none"/>
          <w14:textFill>
            <w14:solidFill>
              <w14:schemeClr w14:val="tx1"/>
            </w14:solidFill>
          </w14:textFill>
        </w:rPr>
        <w:t>被委托人必须是投标单位正式员工，需提供社保部门出具最少提供近一个月的缴纳社保证明（社保缴费凭证及个人明细表）</w:t>
      </w:r>
      <w:r>
        <w:rPr>
          <w:rFonts w:hint="eastAsia" w:ascii="宋体" w:hAnsi="宋体" w:cs="宋体"/>
          <w:b/>
          <w:color w:val="000000" w:themeColor="text1"/>
          <w:sz w:val="22"/>
          <w:szCs w:val="28"/>
          <w:highlight w:val="none"/>
          <w:lang w:eastAsia="zh-CN"/>
          <w14:textFill>
            <w14:solidFill>
              <w14:schemeClr w14:val="tx1"/>
            </w14:solidFill>
          </w14:textFill>
        </w:rPr>
        <w:t>；</w:t>
      </w:r>
    </w:p>
    <w:p>
      <w:pPr>
        <w:pStyle w:val="4"/>
        <w:jc w:val="center"/>
        <w:rPr>
          <w:rFonts w:ascii="宋体" w:hAnsi="宋体" w:cs="宋体"/>
          <w:color w:val="000000" w:themeColor="text1"/>
          <w:sz w:val="28"/>
          <w14:textFill>
            <w14:solidFill>
              <w14:schemeClr w14:val="tx1"/>
            </w14:solidFill>
          </w14:textFill>
        </w:rPr>
      </w:pPr>
    </w:p>
    <w:bookmarkEnd w:id="168"/>
    <w:p>
      <w:pPr>
        <w:pStyle w:val="4"/>
        <w:jc w:val="center"/>
        <w:rPr>
          <w:rFonts w:ascii="宋体" w:hAnsi="宋体" w:cs="宋体"/>
          <w:kern w:val="0"/>
          <w:sz w:val="28"/>
        </w:rPr>
      </w:pPr>
      <w:r>
        <w:rPr>
          <w:rFonts w:hint="eastAsia" w:ascii="宋体" w:hAnsi="宋体" w:cs="宋体"/>
          <w:sz w:val="28"/>
        </w:rPr>
        <w:t>质量保证书</w:t>
      </w:r>
    </w:p>
    <w:p>
      <w:pPr>
        <w:spacing w:line="360" w:lineRule="auto"/>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4"/>
        <w:rPr>
          <w:rStyle w:val="81"/>
          <w:rFonts w:ascii="宋体" w:hAnsi="宋体" w:cs="宋体"/>
          <w:b/>
          <w:bCs w:val="0"/>
          <w:kern w:val="0"/>
          <w:sz w:val="28"/>
          <w:szCs w:val="28"/>
        </w:rPr>
      </w:pPr>
    </w:p>
    <w:p>
      <w:pPr>
        <w:pStyle w:val="4"/>
        <w:rPr>
          <w:rStyle w:val="81"/>
          <w:rFonts w:ascii="宋体" w:hAnsi="宋体" w:cs="宋体"/>
          <w:b/>
          <w:bCs w:val="0"/>
          <w:kern w:val="0"/>
          <w:sz w:val="28"/>
          <w:szCs w:val="28"/>
        </w:rPr>
      </w:pPr>
    </w:p>
    <w:p>
      <w:pPr>
        <w:widowControl/>
        <w:jc w:val="left"/>
        <w:rPr>
          <w:rStyle w:val="81"/>
          <w:rFonts w:ascii="宋体" w:hAnsi="宋体" w:cs="宋体"/>
          <w:bCs w:val="0"/>
          <w:kern w:val="0"/>
          <w:sz w:val="28"/>
          <w:szCs w:val="28"/>
        </w:rPr>
      </w:pPr>
      <w:r>
        <w:rPr>
          <w:rStyle w:val="81"/>
          <w:rFonts w:ascii="宋体" w:hAnsi="宋体" w:cs="宋体"/>
          <w:b w:val="0"/>
          <w:kern w:val="0"/>
          <w:sz w:val="28"/>
          <w:szCs w:val="28"/>
        </w:rPr>
        <w:br w:type="page"/>
      </w:r>
    </w:p>
    <w:p>
      <w:pPr>
        <w:pStyle w:val="4"/>
        <w:jc w:val="center"/>
        <w:rPr>
          <w:rFonts w:ascii="宋体" w:hAnsi="宋体" w:cs="宋体"/>
        </w:rPr>
      </w:pPr>
      <w:r>
        <w:rPr>
          <w:rStyle w:val="81"/>
          <w:rFonts w:hint="eastAsia" w:ascii="宋体" w:hAnsi="宋体" w:cs="宋体"/>
          <w:b/>
          <w:bCs w:val="0"/>
          <w:kern w:val="0"/>
          <w:sz w:val="28"/>
          <w:szCs w:val="28"/>
        </w:rPr>
        <w:t>售后服务承诺书</w:t>
      </w:r>
    </w:p>
    <w:p>
      <w:pPr>
        <w:pStyle w:val="5"/>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5"/>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5"/>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5"/>
        <w:tabs>
          <w:tab w:val="center" w:pos="4358"/>
        </w:tabs>
        <w:spacing w:line="360" w:lineRule="auto"/>
        <w:ind w:firstLine="405" w:firstLineChars="0"/>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Pr>
        <w:rPr>
          <w:rFonts w:ascii="宋体" w:hAnsi="宋体" w:cs="宋体"/>
          <w:sz w:val="24"/>
        </w:rPr>
      </w:pPr>
    </w:p>
    <w:p>
      <w:pPr>
        <w:pStyle w:val="11"/>
        <w:rPr>
          <w:rFonts w:ascii="宋体" w:hAnsi="宋体" w:cs="宋体"/>
          <w:sz w:val="24"/>
        </w:rPr>
      </w:pPr>
    </w:p>
    <w:p/>
    <w:p>
      <w:pPr>
        <w:pStyle w:val="5"/>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5"/>
        <w:tabs>
          <w:tab w:val="center" w:pos="4358"/>
        </w:tabs>
        <w:spacing w:line="360" w:lineRule="auto"/>
        <w:ind w:firstLine="405" w:firstLineChars="0"/>
        <w:rPr>
          <w:rFonts w:ascii="宋体" w:hAnsi="宋体" w:cs="宋体"/>
          <w:sz w:val="24"/>
        </w:rPr>
      </w:pPr>
    </w:p>
    <w:p>
      <w:pPr>
        <w:pStyle w:val="5"/>
        <w:tabs>
          <w:tab w:val="center" w:pos="4358"/>
        </w:tabs>
        <w:spacing w:line="360" w:lineRule="auto"/>
        <w:ind w:firstLine="405" w:firstLineChars="0"/>
        <w:rPr>
          <w:rFonts w:ascii="宋体" w:hAnsi="宋体" w:cs="宋体"/>
          <w:sz w:val="24"/>
        </w:rPr>
      </w:pPr>
    </w:p>
    <w:p>
      <w:pPr>
        <w:pStyle w:val="5"/>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5"/>
        <w:tabs>
          <w:tab w:val="center" w:pos="4358"/>
        </w:tabs>
        <w:spacing w:line="360" w:lineRule="auto"/>
        <w:ind w:left="0" w:leftChars="0" w:firstLine="0"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投标人证明投标资格合格的相关证件证明的复印件</w:t>
      </w: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360" w:lineRule="auto"/>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投标人证明货物合格的相关证件证明复印件</w:t>
      </w: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9" w:name="_Toc6627"/>
      <w:r>
        <w:rPr>
          <w:rStyle w:val="81"/>
          <w:rFonts w:hint="eastAsia" w:ascii="宋体" w:hAnsi="宋体" w:cs="宋体"/>
          <w:bCs w:val="0"/>
          <w:color w:val="000000" w:themeColor="text1"/>
          <w:sz w:val="28"/>
          <w:szCs w:val="28"/>
          <w14:textFill>
            <w14:solidFill>
              <w14:schemeClr w14:val="tx1"/>
            </w14:solidFill>
          </w14:textFill>
        </w:rPr>
        <w:t>投标单位（供应商）反商业贿赂承诺书</w:t>
      </w:r>
      <w:bookmarkEnd w:id="169"/>
    </w:p>
    <w:p>
      <w:pPr>
        <w:pStyle w:val="21"/>
        <w:spacing w:before="1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rPr>
          <w:rFonts w:ascii="宋体" w:hAnsi="宋体" w:cs="宋体"/>
          <w:color w:val="000000" w:themeColor="text1"/>
          <w:sz w:val="24"/>
          <w:szCs w:val="24"/>
          <w14:textFill>
            <w14:solidFill>
              <w14:schemeClr w14:val="tx1"/>
            </w14:solidFill>
          </w14:textFill>
        </w:rPr>
      </w:pPr>
    </w:p>
    <w:p>
      <w:pPr>
        <w:pStyle w:val="21"/>
        <w:spacing w:before="120" w:line="360" w:lineRule="auto"/>
        <w:ind w:left="120" w:leftChars="57" w:firstLine="520" w:firstLineChars="21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我单位承诺在</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szCs w:val="24"/>
          <w14:textFill>
            <w14:solidFill>
              <w14:schemeClr w14:val="tx1"/>
            </w14:solidFill>
          </w14:textFill>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项目经办人：</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  期：   年   月   日</w:t>
      </w: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hint="eastAsia" w:ascii="宋体" w:hAnsi="宋体" w:cs="宋体"/>
          <w:color w:val="000000" w:themeColor="text1"/>
          <w:sz w:val="24"/>
          <w:szCs w:val="24"/>
          <w14:textFill>
            <w14:solidFill>
              <w14:schemeClr w14:val="tx1"/>
            </w14:solidFill>
          </w14:textFill>
        </w:rPr>
      </w:pPr>
    </w:p>
    <w:p>
      <w:pPr>
        <w:pStyle w:val="21"/>
        <w:spacing w:before="120" w:line="360" w:lineRule="auto"/>
        <w:ind w:firstLine="405"/>
        <w:jc w:val="center"/>
        <w:rPr>
          <w:rFonts w:hint="default" w:ascii="宋体" w:hAnsi="宋体" w:cs="宋体"/>
          <w:b/>
          <w:bCs/>
          <w:color w:val="000000" w:themeColor="text1"/>
          <w:sz w:val="48"/>
          <w:szCs w:val="48"/>
          <w:lang w:val="en-US"/>
          <w14:textFill>
            <w14:solidFill>
              <w14:schemeClr w14:val="tx1"/>
            </w14:solidFill>
          </w14:textFill>
        </w:rPr>
      </w:pPr>
      <w:r>
        <w:rPr>
          <w:rFonts w:hint="eastAsia"/>
          <w:b/>
          <w:bCs/>
          <w:sz w:val="32"/>
          <w:szCs w:val="36"/>
          <w:lang w:val="en-US" w:eastAsia="zh-CN"/>
        </w:rPr>
        <w:t>项目实施计划、运输方案（自拟）</w:t>
      </w:r>
    </w:p>
    <w:p>
      <w:pPr>
        <w:pStyle w:val="21"/>
        <w:spacing w:before="120" w:line="360" w:lineRule="auto"/>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11"/>
        <w:kinsoku w:val="0"/>
        <w:overflowPunct w:val="0"/>
        <w:spacing w:before="34" w:line="357" w:lineRule="auto"/>
        <w:ind w:right="126" w:firstLine="480"/>
        <w:jc w:val="center"/>
        <w:outlineLvl w:val="0"/>
        <w:rPr>
          <w:b/>
          <w:bCs/>
          <w:sz w:val="32"/>
          <w:szCs w:val="32"/>
        </w:rPr>
      </w:pPr>
      <w:bookmarkStart w:id="170" w:name="_Toc26203"/>
      <w:bookmarkStart w:id="171" w:name="_Toc19298"/>
      <w:bookmarkStart w:id="172" w:name="_Toc13017"/>
      <w:bookmarkStart w:id="173" w:name="_Toc5425"/>
      <w:r>
        <w:rPr>
          <w:rFonts w:hint="eastAsia"/>
          <w:b/>
          <w:bCs/>
          <w:sz w:val="36"/>
          <w:szCs w:val="36"/>
        </w:rPr>
        <w:t>中小企业声明函（符合本声明函填写）</w:t>
      </w:r>
      <w:bookmarkEnd w:id="170"/>
      <w:bookmarkEnd w:id="171"/>
      <w:bookmarkEnd w:id="172"/>
      <w:bookmarkEnd w:id="173"/>
    </w:p>
    <w:p>
      <w:pPr>
        <w:pStyle w:val="11"/>
        <w:keepNext w:val="0"/>
        <w:keepLines w:val="0"/>
        <w:pageBreakBefore w:val="0"/>
        <w:widowControl w:val="0"/>
        <w:tabs>
          <w:tab w:val="left" w:pos="3943"/>
          <w:tab w:val="clear" w:pos="9214"/>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11"/>
        <w:keepNext w:val="0"/>
        <w:keepLines w:val="0"/>
        <w:pageBreakBefore w:val="0"/>
        <w:widowControl w:val="0"/>
        <w:tabs>
          <w:tab w:val="left" w:pos="1558"/>
          <w:tab w:val="clear" w:pos="9214"/>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11"/>
        <w:keepNext w:val="0"/>
        <w:keepLines w:val="0"/>
        <w:pageBreakBefore w:val="0"/>
        <w:widowControl w:val="0"/>
        <w:tabs>
          <w:tab w:val="left" w:pos="3919"/>
          <w:tab w:val="left" w:pos="6264"/>
          <w:tab w:val="left" w:pos="7399"/>
          <w:tab w:val="clear" w:pos="9214"/>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11"/>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11"/>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11"/>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11"/>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11"/>
        <w:keepNext w:val="0"/>
        <w:keepLines w:val="0"/>
        <w:pageBreakBefore w:val="0"/>
        <w:widowControl w:val="0"/>
        <w:tabs>
          <w:tab w:val="left" w:pos="6187"/>
          <w:tab w:val="left" w:pos="7147"/>
          <w:tab w:val="left" w:pos="7747"/>
          <w:tab w:val="left" w:pos="8347"/>
          <w:tab w:val="clear" w:pos="9214"/>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11"/>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11"/>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11"/>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经年审计的上年度会计报表</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新成立公司可不提供</w:t>
      </w:r>
      <w:r>
        <w:rPr>
          <w:rFonts w:hint="eastAsia" w:ascii="宋体" w:hAnsi="宋体"/>
          <w:b/>
          <w:bCs/>
          <w:color w:val="000000" w:themeColor="text1"/>
          <w:sz w:val="28"/>
          <w:szCs w:val="28"/>
          <w:lang w:eastAsia="zh-CN"/>
          <w14:textFill>
            <w14:solidFill>
              <w14:schemeClr w14:val="tx1"/>
            </w14:solidFill>
          </w14:textFill>
        </w:rPr>
        <w:t>）</w:t>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其它必须的资料及有利于投标的资料</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pStyle w:val="21"/>
        <w:spacing w:before="12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pPr>
    </w:p>
    <w:p>
      <w:pPr>
        <w:pStyle w:val="21"/>
        <w:spacing w:before="120" w:line="360" w:lineRule="auto"/>
        <w:rPr>
          <w:rFonts w:ascii="宋体" w:hAnsi="宋体" w:cs="宋体"/>
          <w:color w:val="auto"/>
          <w:sz w:val="24"/>
          <w:szCs w:val="24"/>
          <w:highlight w:val="none"/>
        </w:rPr>
        <w:sectPr>
          <w:headerReference r:id="rId13" w:type="default"/>
          <w:footerReference r:id="rId14" w:type="default"/>
          <w:pgSz w:w="11907" w:h="16840"/>
          <w:pgMar w:top="1020" w:right="1287" w:bottom="566"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4"/>
        <w:jc w:val="center"/>
        <w:rPr>
          <w:rFonts w:hint="eastAsia" w:ascii="宋体" w:hAnsi="宋体" w:eastAsia="宋体"/>
          <w:b/>
          <w:bCs/>
          <w:color w:val="auto"/>
          <w:spacing w:val="60"/>
          <w:sz w:val="32"/>
          <w:szCs w:val="32"/>
          <w:highlight w:val="none"/>
        </w:rPr>
      </w:pPr>
      <w:r>
        <w:rPr>
          <w:rFonts w:hint="eastAsia" w:ascii="宋体" w:hAnsi="宋体" w:eastAsia="宋体"/>
          <w:b/>
          <w:bCs/>
          <w:color w:val="auto"/>
          <w:spacing w:val="60"/>
          <w:sz w:val="32"/>
          <w:szCs w:val="32"/>
          <w:highlight w:val="none"/>
          <w:lang w:val="en-US"/>
        </w:rPr>
        <w:t>健全的</w:t>
      </w:r>
      <w:r>
        <w:rPr>
          <w:rFonts w:hint="eastAsia" w:ascii="宋体" w:hAnsi="宋体" w:eastAsia="宋体"/>
          <w:b/>
          <w:bCs/>
          <w:color w:val="auto"/>
          <w:spacing w:val="60"/>
          <w:sz w:val="32"/>
          <w:szCs w:val="32"/>
          <w:highlight w:val="none"/>
          <w:lang w:val="en-US"/>
        </w:rPr>
        <w:fldChar w:fldCharType="begin"/>
      </w:r>
      <w:r>
        <w:rPr>
          <w:rFonts w:hint="eastAsia" w:ascii="宋体" w:hAnsi="宋体" w:eastAsia="宋体"/>
          <w:b/>
          <w:bCs/>
          <w:color w:val="auto"/>
          <w:spacing w:val="60"/>
          <w:sz w:val="32"/>
          <w:szCs w:val="32"/>
          <w:highlight w:val="none"/>
          <w:lang w:val="en-US"/>
        </w:rPr>
        <w:instrText xml:space="preserve"> HYPERLINK "https://www.baidu.com/s?wd=财务会计制度&amp;tn=SE_PcZhidaonwhc_ngpagmjz&amp;rsv_dl=gh_pc_zhidao" </w:instrText>
      </w:r>
      <w:r>
        <w:rPr>
          <w:rFonts w:hint="eastAsia" w:ascii="宋体" w:hAnsi="宋体" w:eastAsia="宋体"/>
          <w:b/>
          <w:bCs/>
          <w:color w:val="auto"/>
          <w:spacing w:val="60"/>
          <w:sz w:val="32"/>
          <w:szCs w:val="32"/>
          <w:highlight w:val="none"/>
          <w:lang w:val="en-US"/>
        </w:rPr>
        <w:fldChar w:fldCharType="separate"/>
      </w:r>
      <w:r>
        <w:rPr>
          <w:rFonts w:hint="eastAsia" w:ascii="宋体" w:hAnsi="宋体" w:eastAsia="宋体"/>
          <w:b/>
          <w:bCs/>
          <w:color w:val="auto"/>
          <w:spacing w:val="60"/>
          <w:sz w:val="32"/>
          <w:szCs w:val="32"/>
          <w:highlight w:val="none"/>
          <w:lang w:val="en-US"/>
        </w:rPr>
        <w:t>财务会计制度</w:t>
      </w:r>
      <w:r>
        <w:rPr>
          <w:rFonts w:hint="eastAsia" w:ascii="宋体" w:hAnsi="宋体" w:eastAsia="宋体"/>
          <w:b/>
          <w:bCs/>
          <w:color w:val="auto"/>
          <w:spacing w:val="60"/>
          <w:sz w:val="32"/>
          <w:szCs w:val="32"/>
          <w:highlight w:val="none"/>
          <w:lang w:val="en-US"/>
        </w:rPr>
        <w:fldChar w:fldCharType="end"/>
      </w:r>
    </w:p>
    <w:p>
      <w:pPr>
        <w:pStyle w:val="14"/>
        <w:jc w:val="center"/>
        <w:rPr>
          <w:rFonts w:hint="eastAsia" w:ascii="宋体" w:hAnsi="宋体" w:eastAsia="宋体"/>
          <w:b/>
          <w:bCs/>
          <w:color w:val="auto"/>
          <w:spacing w:val="60"/>
          <w:sz w:val="32"/>
          <w:szCs w:val="32"/>
          <w:highlight w:val="none"/>
        </w:rPr>
      </w:pPr>
    </w:p>
    <w:p>
      <w:pPr>
        <w:pStyle w:val="14"/>
        <w:jc w:val="center"/>
        <w:rPr>
          <w:rFonts w:hint="eastAsia" w:ascii="宋体" w:hAnsi="宋体" w:eastAsia="宋体"/>
          <w:b/>
          <w:bCs/>
          <w:color w:val="auto"/>
          <w:spacing w:val="60"/>
          <w:sz w:val="32"/>
          <w:szCs w:val="32"/>
          <w:highlight w:val="none"/>
        </w:rPr>
      </w:pPr>
    </w:p>
    <w:p>
      <w:pPr>
        <w:pStyle w:val="14"/>
        <w:jc w:val="center"/>
        <w:rPr>
          <w:rFonts w:hint="eastAsia" w:ascii="宋体" w:hAnsi="宋体" w:eastAsia="宋体"/>
          <w:b/>
          <w:bCs/>
          <w:color w:val="auto"/>
          <w:spacing w:val="60"/>
          <w:sz w:val="32"/>
          <w:szCs w:val="32"/>
          <w:highlight w:val="none"/>
        </w:rPr>
      </w:pPr>
    </w:p>
    <w:p>
      <w:pPr>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2"/>
        <w:widowControl w:val="0"/>
        <w:numPr>
          <w:ilvl w:val="1"/>
          <w:numId w:val="0"/>
        </w:numPr>
        <w:adjustRightInd w:val="0"/>
        <w:snapToGrid w:val="0"/>
        <w:jc w:val="both"/>
        <w:rPr>
          <w:rFonts w:hint="eastAsia" w:ascii="宋体" w:hAnsi="宋体" w:eastAsia="宋体"/>
          <w:b/>
          <w:bCs/>
          <w:color w:val="auto"/>
          <w:spacing w:val="60"/>
          <w:sz w:val="32"/>
          <w:szCs w:val="32"/>
          <w:highlight w:val="none"/>
        </w:rPr>
      </w:pPr>
    </w:p>
    <w:p>
      <w:pPr>
        <w:pStyle w:val="14"/>
        <w:ind w:firstLine="441" w:firstLineChars="100"/>
        <w:jc w:val="center"/>
        <w:rPr>
          <w:rFonts w:hint="eastAsia" w:ascii="宋体" w:hAnsi="宋体" w:eastAsia="宋体"/>
          <w:b/>
          <w:bCs/>
          <w:color w:val="auto"/>
          <w:spacing w:val="60"/>
          <w:sz w:val="32"/>
          <w:szCs w:val="32"/>
          <w:highlight w:val="none"/>
        </w:rPr>
      </w:pPr>
      <w:r>
        <w:rPr>
          <w:rFonts w:hint="eastAsia" w:ascii="宋体" w:hAnsi="宋体" w:eastAsia="宋体"/>
          <w:b/>
          <w:bCs/>
          <w:color w:val="auto"/>
          <w:spacing w:val="60"/>
          <w:sz w:val="32"/>
          <w:szCs w:val="32"/>
          <w:highlight w:val="none"/>
        </w:rPr>
        <w:t>注意事项</w:t>
      </w:r>
    </w:p>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hint="eastAsia" w:ascii="宋体" w:eastAsia="宋体"/>
          <w:color w:val="auto"/>
          <w:highlight w:val="none"/>
          <w:lang w:eastAsia="zh-CN"/>
        </w:rPr>
      </w:pPr>
      <w:r>
        <w:rPr>
          <w:rFonts w:ascii="宋体" w:hAnsi="宋体"/>
          <w:color w:val="auto"/>
          <w:sz w:val="24"/>
          <w:highlight w:val="none"/>
        </w:rPr>
        <w:t>4</w:t>
      </w:r>
      <w:r>
        <w:rPr>
          <w:rFonts w:hint="eastAsia" w:ascii="宋体" w:hAnsi="宋体"/>
          <w:color w:val="auto"/>
          <w:sz w:val="24"/>
          <w:highlight w:val="none"/>
        </w:rPr>
        <w:t>、投标人提交的文件将给予保密，但不退</w:t>
      </w:r>
      <w:r>
        <w:rPr>
          <w:rFonts w:hint="eastAsia" w:ascii="宋体" w:hAnsi="宋体"/>
          <w:color w:val="auto"/>
          <w:sz w:val="24"/>
          <w:highlight w:val="none"/>
          <w:lang w:val="en-US" w:eastAsia="zh-CN"/>
        </w:rPr>
        <w:t>还</w:t>
      </w:r>
      <w:r>
        <w:rPr>
          <w:rFonts w:hint="eastAsia" w:ascii="宋体" w:hAnsi="宋体"/>
          <w:color w:val="auto"/>
          <w:sz w:val="24"/>
          <w:highlight w:val="none"/>
          <w:lang w:eastAsia="zh-CN"/>
        </w:rPr>
        <w:t>。</w:t>
      </w:r>
    </w:p>
    <w:sectPr>
      <w:footerReference r:id="rId16" w:type="first"/>
      <w:footerReference r:id="rId15" w:type="default"/>
      <w:pgSz w:w="11906" w:h="16838"/>
      <w:pgMar w:top="1361" w:right="1489" w:bottom="1361" w:left="1797" w:header="851" w:footer="992" w:gutter="0"/>
      <w:pgNumType w:fmt="decimal" w:start="47"/>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hQDa8BAABM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DPlDhucUT7n8/7X3/2v5/I9CL3pw+xxrT7gIlpuPYDznn0R3Rm2YMCm78o&#10;iGAcO707dVcOiYj8aD6bzysMCYyNF8Rnr88DxPRFekuy0VDA8ZWu8u3XmA6pY0qu5vytNqaM0Lh3&#10;DsTMHpa5HzhmKw2r4Sho5dsd6ulx8g11uJqUmDuHjc1LMhowGqvR2ATQ665sUa4Xw9UmIYnCLVc4&#10;wB4L48iKuuN65Z14ey9Zrz/B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1hQDa8BAABM&#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qXq4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u7JGuR6Eq01CEoVbrnCA&#10;PRbGmRV1x/3KS/H3vWS9/gX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H7GpergEAAE0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MRzK4BAABNAwAADgAAAGRycy9lMm9Eb2MueG1srVNLbtswEN0HyB0I&#10;7mvKXhSGYDloEaQoELQBkhyApkiLAH8Y0pZ8gfYGWXXTfc7lc2RIW3Y+u6IbajgzfDPvzWhxNVhD&#10;thKi9q6h00lFiXTCt9qtG/r4cPNpTklM3LXceCcbupORXi0vLxZ9qOXMd960EgiCuFj3oaFdSqFm&#10;LIpOWh4nPkiHQeXB8oRXWLMWeI/o1rBZVX1mvYc2gBcyRvReH4J0WfCVkiL9VCrKRExDsbdUTijn&#10;Kp9sueD1GnjotDi2wf+hC8u1w6InqGueONmA/gBltQAfvUoT4S3zSmkhCwdkM63esbnveJCFC4oT&#10;w0mm+P9gxY/tHRDd4uymlDhucUb7p9/7P8/7v7/IrAjUh1hj3n3AzDR89QMmZ+GyP6Iz8x4U2PxF&#10;RgTjKPXuJK8cEhH50Xw2n1cYEhgbL4jDzs8DxPRNekuy0VDA+RVZ+fY2pkPqmJKrOX+jjSkzNO6N&#10;AzGzh517zFYaVsOx8ZVvd8inx9E31OFuUmK+O1Q2b8lowGisRmMTQK+7ska5XgxfNgmbKL3lCgfY&#10;Y2GcWWF33K+8FK/vJev8Fyx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SAxHMrgEAAE0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uJU68BAABN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w9nVlDhucUaH7y+HH78OP7+Rep4bNITYYN5jwMw03vgRkyd/RGfWPSqw+YuK&#10;CMax1ftze+WYiMiPFvViUWFIYGy6ID57ex4gpk/SW5KNlgLOr7SV7+5jOqZOKbma83famDJD435z&#10;IGb2sMz9yDFbaVyPJ0Fr3+1Rz4Cjb6nD3aTEfHbY2bwlkwGTsZ6MbQC96csa5XoxXG8TkijccoUj&#10;7KkwzqyoO+1XXor395L19hesX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SuJU68BAABN&#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LK4rMBAABbAwAADgAAAGRycy9lMm9Eb2MueG1srVPNjtMwEL4j8Q6W&#10;7zRpJVZV1HQFWi1CQoC08ACuYzeW/KcZt0lfAN6AExfuPFefg7HTdBe4IS7O/Pnz981MNrejs+yo&#10;AE3wLV8uas6Ul6Ezft/yz5/uX6w5wyR8J2zwquUnhfx2+/zZZoiNWoU+2E4BIxCPzRBb3qcUm6pC&#10;2SsncBGi8pTUAZxI5MK+6kAMhO5starrm2oI0EUIUiFS9G5K8m3B11rJ9EFrVInZlhO3VE4o5y6f&#10;1XYjmj2I2Bt5oSH+gYUTxtOjV6g7kQQ7gPkLyhkJAYNOCxlcFbQ2UhUNpGZZ/6HmoRdRFS3UHIzX&#10;NuH/g5Xvjx+BmY5m95IzLxzN6Pzt6/n7z/OPL2x5kxs0RGyo7iFSZRpfh5GK5zhSMOseNbj8JUWM&#10;8tTq07W9akxM5kvr1XpdU0pSbnYIv3q8HgHTGxUcy0bLgeZX2iqO7zBNpXNJfs2He2NtmaH1vwUI&#10;c4qosgSX21nJxDhbadyNF3m70J1I3UCL0HJPm8qZfeupz3lnZgNmYzcbhwhm3xPRZWGJ8dUhEaXC&#10;NL8wwZLC7NAEi9bLtuUVeeqXqsd/Y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lCyuKz&#10;AQAAWwMAAA4AAAAAAAAAAQAgAAAAHgEAAGRycy9lMm9Eb2MueG1sUEsFBgAAAAAGAAYAWQEAAEMF&#10;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DWWK8BAABN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Dmd3RYnjFme0//6y//Fr//OZzOvcoCFAg3mPATPT+MmPmDz5AZ1Z96iizV9U&#10;RDCOrd6d2ivHRER+VM/rusKQwNh0QXz2+jxESJ+ltyQbLY04v9JWvv0C6ZA6peRqzt9qY8oMjfvL&#10;gZjZwzL3A8dspXE1HgWtfLdDPQOOvqUOd5MSc+ews3lLJiNOxmoyNiHqdV/WKNeD8HGTkEThlisc&#10;YI+FcWZF3XG/8lL8eS9Zr3/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WDWWK8BAABN&#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70W7ABAABNAwAADgAAAGRycy9lMm9Eb2MueG1srVNLbtswEN0H6B0I&#10;7msqRlA4guUgQZCiQNEESHIAmiItAvxhSFvyBdobdNVN9z2Xz9EhbdlNswuyoYYzwzfvzYzmV4M1&#10;ZCMhau8aej6pKJFO+Fa7VUOfn+4+ziiJibuWG+9kQ7cy0qvFh7N5H2o59Z03rQSCIC7WfWhol1Ko&#10;GYuik5bHiQ/SYVB5sDzhFVasBd4jujVsWlWfWO+hDeCFjBG9t/sgXRR8paRI90pFmYhpKHJL5YRy&#10;LvPJFnNer4CHTosDDf4GFpZrh0WPULc8cbIG/QrKagE+epUmwlvmldJCFg2o5rz6T81jx4MsWrA5&#10;MRzbFN8PVnzbPADRLc7ughLHLc5o9/PH7tef3e/vZHqZG9SHWGPeY8DMNNz4AZNHf0Rn1j0osPmL&#10;igjGsdXbY3vlkIjIj2bT2azCkMDYeEF8dnoeIKbP0luSjYYCzq+0lW++xrRPHVNyNefvtDFlhsa9&#10;cCBm9rDMfc8xW2lYDgdBS99uUU+Po2+ow92kxHxx2Nm8JaMBo7EcjXUAverKGuV6MVyvE5Io3HKF&#10;PeyhMM6sqDvsV16Kf+8l6/QX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Te9FuwAQAA&#10;TQMAAA4AAAAAAAAAAQAgAAAAHgEAAGRycy9lMm9Eb2MueG1sUEsFBgAAAAAGAAYAWQEAAEAFAAAA&#10;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554C7"/>
    <w:multiLevelType w:val="singleLevel"/>
    <w:tmpl w:val="899554C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1EF2B0F"/>
    <w:multiLevelType w:val="singleLevel"/>
    <w:tmpl w:val="11EF2B0F"/>
    <w:lvl w:ilvl="0" w:tentative="0">
      <w:start w:val="1"/>
      <w:numFmt w:val="decimal"/>
      <w:suff w:val="nothing"/>
      <w:lvlText w:val="（%1）"/>
      <w:lvlJc w:val="left"/>
    </w:lvl>
  </w:abstractNum>
  <w:abstractNum w:abstractNumId="3">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2"/>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7452"/>
    <w:rsid w:val="00097819"/>
    <w:rsid w:val="00097C5A"/>
    <w:rsid w:val="000A1F15"/>
    <w:rsid w:val="000A53F8"/>
    <w:rsid w:val="000A5497"/>
    <w:rsid w:val="000A7265"/>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EB3"/>
    <w:rsid w:val="00143299"/>
    <w:rsid w:val="001516EE"/>
    <w:rsid w:val="00152047"/>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1679"/>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6208"/>
    <w:rsid w:val="002D7006"/>
    <w:rsid w:val="002E5A3D"/>
    <w:rsid w:val="002E6B1A"/>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619"/>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73A7"/>
    <w:rsid w:val="006B052E"/>
    <w:rsid w:val="006B38DA"/>
    <w:rsid w:val="006B4AF6"/>
    <w:rsid w:val="006B5B36"/>
    <w:rsid w:val="006C13CB"/>
    <w:rsid w:val="006C1BB1"/>
    <w:rsid w:val="006C1E34"/>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61AA"/>
    <w:rsid w:val="0076694A"/>
    <w:rsid w:val="00770AC6"/>
    <w:rsid w:val="007810D1"/>
    <w:rsid w:val="00785799"/>
    <w:rsid w:val="00785F1D"/>
    <w:rsid w:val="007901A2"/>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C3C57"/>
    <w:rsid w:val="008C75C8"/>
    <w:rsid w:val="008D1176"/>
    <w:rsid w:val="008D5EEE"/>
    <w:rsid w:val="008E0587"/>
    <w:rsid w:val="008E1AFA"/>
    <w:rsid w:val="008E4AD2"/>
    <w:rsid w:val="008E6C3F"/>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5662"/>
    <w:rsid w:val="009A7B94"/>
    <w:rsid w:val="009B074F"/>
    <w:rsid w:val="009B3747"/>
    <w:rsid w:val="009B65E2"/>
    <w:rsid w:val="009C109D"/>
    <w:rsid w:val="009C1A1D"/>
    <w:rsid w:val="009C6011"/>
    <w:rsid w:val="009D1EAF"/>
    <w:rsid w:val="009D74BC"/>
    <w:rsid w:val="009E05FC"/>
    <w:rsid w:val="009E35A0"/>
    <w:rsid w:val="009E4388"/>
    <w:rsid w:val="009E5B45"/>
    <w:rsid w:val="009F1C42"/>
    <w:rsid w:val="009F376F"/>
    <w:rsid w:val="009F4B4C"/>
    <w:rsid w:val="009F700D"/>
    <w:rsid w:val="009F79F6"/>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F8A"/>
    <w:rsid w:val="00AB53FF"/>
    <w:rsid w:val="00AB578F"/>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71BD"/>
    <w:rsid w:val="00DE0FA4"/>
    <w:rsid w:val="00DE13A9"/>
    <w:rsid w:val="00DE2BFC"/>
    <w:rsid w:val="00DE50FC"/>
    <w:rsid w:val="00DE57E7"/>
    <w:rsid w:val="00DF01F6"/>
    <w:rsid w:val="00DF0860"/>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5C38"/>
    <w:rsid w:val="00F76ED7"/>
    <w:rsid w:val="00F80704"/>
    <w:rsid w:val="00F90C1A"/>
    <w:rsid w:val="00F92957"/>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006864"/>
    <w:rsid w:val="010E7209"/>
    <w:rsid w:val="011B5DDA"/>
    <w:rsid w:val="01211A39"/>
    <w:rsid w:val="01472A9F"/>
    <w:rsid w:val="01A75288"/>
    <w:rsid w:val="01CE5644"/>
    <w:rsid w:val="01FA3230"/>
    <w:rsid w:val="01FD2170"/>
    <w:rsid w:val="0209490D"/>
    <w:rsid w:val="0223230E"/>
    <w:rsid w:val="02570C1E"/>
    <w:rsid w:val="02B46B5F"/>
    <w:rsid w:val="02F1025F"/>
    <w:rsid w:val="035317B7"/>
    <w:rsid w:val="03841DEB"/>
    <w:rsid w:val="038C4E31"/>
    <w:rsid w:val="039B6731"/>
    <w:rsid w:val="03B24ED6"/>
    <w:rsid w:val="03C874C4"/>
    <w:rsid w:val="03D4332E"/>
    <w:rsid w:val="03D86806"/>
    <w:rsid w:val="03E7732E"/>
    <w:rsid w:val="03F624D0"/>
    <w:rsid w:val="03FD6967"/>
    <w:rsid w:val="03FF2EED"/>
    <w:rsid w:val="04115210"/>
    <w:rsid w:val="044C08AF"/>
    <w:rsid w:val="0455550C"/>
    <w:rsid w:val="045949C9"/>
    <w:rsid w:val="045A62DF"/>
    <w:rsid w:val="0470557E"/>
    <w:rsid w:val="04963373"/>
    <w:rsid w:val="049878B3"/>
    <w:rsid w:val="04B457C9"/>
    <w:rsid w:val="04C20F03"/>
    <w:rsid w:val="04CD6BE8"/>
    <w:rsid w:val="04D04858"/>
    <w:rsid w:val="04D30A9F"/>
    <w:rsid w:val="04E8795F"/>
    <w:rsid w:val="04EE232D"/>
    <w:rsid w:val="050B6DA2"/>
    <w:rsid w:val="051F38D1"/>
    <w:rsid w:val="052B0FAC"/>
    <w:rsid w:val="053924C5"/>
    <w:rsid w:val="056529D6"/>
    <w:rsid w:val="057A02A7"/>
    <w:rsid w:val="0582255B"/>
    <w:rsid w:val="05936989"/>
    <w:rsid w:val="05956680"/>
    <w:rsid w:val="05B22835"/>
    <w:rsid w:val="05B55DCC"/>
    <w:rsid w:val="05B94C7A"/>
    <w:rsid w:val="060202C6"/>
    <w:rsid w:val="06125882"/>
    <w:rsid w:val="064A50F0"/>
    <w:rsid w:val="064D1C2F"/>
    <w:rsid w:val="065740BE"/>
    <w:rsid w:val="06574BDD"/>
    <w:rsid w:val="068D6F42"/>
    <w:rsid w:val="06A01A1D"/>
    <w:rsid w:val="06A57702"/>
    <w:rsid w:val="06B157FF"/>
    <w:rsid w:val="06B65116"/>
    <w:rsid w:val="06B86FC6"/>
    <w:rsid w:val="06C62DBD"/>
    <w:rsid w:val="06CC049D"/>
    <w:rsid w:val="06CC182E"/>
    <w:rsid w:val="06E04FA1"/>
    <w:rsid w:val="06E24864"/>
    <w:rsid w:val="06E85A77"/>
    <w:rsid w:val="06F54339"/>
    <w:rsid w:val="07245A93"/>
    <w:rsid w:val="0729090D"/>
    <w:rsid w:val="0734697B"/>
    <w:rsid w:val="07593CDF"/>
    <w:rsid w:val="079322C1"/>
    <w:rsid w:val="07965B00"/>
    <w:rsid w:val="079E3FAE"/>
    <w:rsid w:val="07B00753"/>
    <w:rsid w:val="07B61CB8"/>
    <w:rsid w:val="07B86A18"/>
    <w:rsid w:val="07BD6B14"/>
    <w:rsid w:val="07CB6F20"/>
    <w:rsid w:val="07D66955"/>
    <w:rsid w:val="07D93957"/>
    <w:rsid w:val="07E36908"/>
    <w:rsid w:val="07FC7CFE"/>
    <w:rsid w:val="080216A5"/>
    <w:rsid w:val="08351F6A"/>
    <w:rsid w:val="086B0658"/>
    <w:rsid w:val="08745BB7"/>
    <w:rsid w:val="087D5760"/>
    <w:rsid w:val="08B6302F"/>
    <w:rsid w:val="08D73C03"/>
    <w:rsid w:val="08FA7E92"/>
    <w:rsid w:val="09061B04"/>
    <w:rsid w:val="0915310C"/>
    <w:rsid w:val="09233469"/>
    <w:rsid w:val="09252A2B"/>
    <w:rsid w:val="094248AA"/>
    <w:rsid w:val="096B3852"/>
    <w:rsid w:val="09902C6B"/>
    <w:rsid w:val="09A94657"/>
    <w:rsid w:val="09D71A87"/>
    <w:rsid w:val="09E632B5"/>
    <w:rsid w:val="09F337E1"/>
    <w:rsid w:val="09FC4C46"/>
    <w:rsid w:val="0A04296A"/>
    <w:rsid w:val="0A5D231B"/>
    <w:rsid w:val="0AAA3F3D"/>
    <w:rsid w:val="0AF67172"/>
    <w:rsid w:val="0AFD4DA4"/>
    <w:rsid w:val="0B225CDD"/>
    <w:rsid w:val="0B6418A3"/>
    <w:rsid w:val="0BA910DE"/>
    <w:rsid w:val="0BB857F8"/>
    <w:rsid w:val="0BBB5588"/>
    <w:rsid w:val="0C10036A"/>
    <w:rsid w:val="0C18449D"/>
    <w:rsid w:val="0C2A20A1"/>
    <w:rsid w:val="0C3F71A2"/>
    <w:rsid w:val="0C46167C"/>
    <w:rsid w:val="0C4F0FDF"/>
    <w:rsid w:val="0C5924E3"/>
    <w:rsid w:val="0C6626CC"/>
    <w:rsid w:val="0C6844C8"/>
    <w:rsid w:val="0C8811FA"/>
    <w:rsid w:val="0C8A590C"/>
    <w:rsid w:val="0C8B2D0D"/>
    <w:rsid w:val="0C9325A6"/>
    <w:rsid w:val="0CDA3920"/>
    <w:rsid w:val="0CDC2EE6"/>
    <w:rsid w:val="0CE936E7"/>
    <w:rsid w:val="0CEC7FA1"/>
    <w:rsid w:val="0D610709"/>
    <w:rsid w:val="0D616F91"/>
    <w:rsid w:val="0D911490"/>
    <w:rsid w:val="0D9D1C5D"/>
    <w:rsid w:val="0DA80E7B"/>
    <w:rsid w:val="0DB14C21"/>
    <w:rsid w:val="0DB71587"/>
    <w:rsid w:val="0DBB4F87"/>
    <w:rsid w:val="0DFB7AB8"/>
    <w:rsid w:val="0E06573B"/>
    <w:rsid w:val="0E36000D"/>
    <w:rsid w:val="0E475276"/>
    <w:rsid w:val="0E7549BF"/>
    <w:rsid w:val="0E7F79F0"/>
    <w:rsid w:val="0E9A556F"/>
    <w:rsid w:val="0EA24ECB"/>
    <w:rsid w:val="0ED31AA0"/>
    <w:rsid w:val="0EF37C53"/>
    <w:rsid w:val="0F02596B"/>
    <w:rsid w:val="0F137E85"/>
    <w:rsid w:val="0F770DF1"/>
    <w:rsid w:val="0F926EC2"/>
    <w:rsid w:val="0F997136"/>
    <w:rsid w:val="0FC11775"/>
    <w:rsid w:val="0FD83C80"/>
    <w:rsid w:val="0FF0443C"/>
    <w:rsid w:val="0FF46924"/>
    <w:rsid w:val="10026C11"/>
    <w:rsid w:val="10140836"/>
    <w:rsid w:val="104027D5"/>
    <w:rsid w:val="105C02B0"/>
    <w:rsid w:val="105E62C6"/>
    <w:rsid w:val="10602A89"/>
    <w:rsid w:val="10693071"/>
    <w:rsid w:val="107E3774"/>
    <w:rsid w:val="10A4355C"/>
    <w:rsid w:val="10AD5F1C"/>
    <w:rsid w:val="10BF6D65"/>
    <w:rsid w:val="10C41590"/>
    <w:rsid w:val="10CD2934"/>
    <w:rsid w:val="10EF1311"/>
    <w:rsid w:val="10FE53CE"/>
    <w:rsid w:val="1101612D"/>
    <w:rsid w:val="11065B66"/>
    <w:rsid w:val="11194440"/>
    <w:rsid w:val="11393560"/>
    <w:rsid w:val="11424053"/>
    <w:rsid w:val="116225F0"/>
    <w:rsid w:val="117B5958"/>
    <w:rsid w:val="11A02D46"/>
    <w:rsid w:val="11B41F3C"/>
    <w:rsid w:val="11DD2FBC"/>
    <w:rsid w:val="11DE4C26"/>
    <w:rsid w:val="11FE1417"/>
    <w:rsid w:val="120D3D54"/>
    <w:rsid w:val="12236091"/>
    <w:rsid w:val="12606F77"/>
    <w:rsid w:val="12862094"/>
    <w:rsid w:val="12A73823"/>
    <w:rsid w:val="12AB5868"/>
    <w:rsid w:val="12AC2865"/>
    <w:rsid w:val="12BE0638"/>
    <w:rsid w:val="12C47926"/>
    <w:rsid w:val="12EF4148"/>
    <w:rsid w:val="130376BC"/>
    <w:rsid w:val="132E6920"/>
    <w:rsid w:val="13686026"/>
    <w:rsid w:val="1388098A"/>
    <w:rsid w:val="138D7A06"/>
    <w:rsid w:val="139A484C"/>
    <w:rsid w:val="13AA3191"/>
    <w:rsid w:val="13E27192"/>
    <w:rsid w:val="1412039A"/>
    <w:rsid w:val="142A6526"/>
    <w:rsid w:val="144C2AAE"/>
    <w:rsid w:val="144F47C9"/>
    <w:rsid w:val="144F7D64"/>
    <w:rsid w:val="149B6774"/>
    <w:rsid w:val="14C76F5B"/>
    <w:rsid w:val="14DF1AC8"/>
    <w:rsid w:val="150C2B29"/>
    <w:rsid w:val="151B20EC"/>
    <w:rsid w:val="151E06C7"/>
    <w:rsid w:val="152F2067"/>
    <w:rsid w:val="15561902"/>
    <w:rsid w:val="156134F5"/>
    <w:rsid w:val="15664BFA"/>
    <w:rsid w:val="156C2740"/>
    <w:rsid w:val="1585146D"/>
    <w:rsid w:val="15CD4DF6"/>
    <w:rsid w:val="15E66BD7"/>
    <w:rsid w:val="15E67710"/>
    <w:rsid w:val="15F70B8B"/>
    <w:rsid w:val="16016F15"/>
    <w:rsid w:val="16036576"/>
    <w:rsid w:val="16371423"/>
    <w:rsid w:val="163D31EC"/>
    <w:rsid w:val="167C46E0"/>
    <w:rsid w:val="168D7C94"/>
    <w:rsid w:val="16BB7B71"/>
    <w:rsid w:val="16D31800"/>
    <w:rsid w:val="16E07B38"/>
    <w:rsid w:val="170A4214"/>
    <w:rsid w:val="1711488F"/>
    <w:rsid w:val="171715C0"/>
    <w:rsid w:val="171A2478"/>
    <w:rsid w:val="17230DEC"/>
    <w:rsid w:val="174A0545"/>
    <w:rsid w:val="174D367B"/>
    <w:rsid w:val="17714DE9"/>
    <w:rsid w:val="178A5389"/>
    <w:rsid w:val="1790048F"/>
    <w:rsid w:val="179A62E8"/>
    <w:rsid w:val="179F6666"/>
    <w:rsid w:val="17CD3155"/>
    <w:rsid w:val="17D60854"/>
    <w:rsid w:val="17E12475"/>
    <w:rsid w:val="17EC179B"/>
    <w:rsid w:val="17EF1804"/>
    <w:rsid w:val="18126843"/>
    <w:rsid w:val="18384996"/>
    <w:rsid w:val="18404715"/>
    <w:rsid w:val="18831393"/>
    <w:rsid w:val="18897022"/>
    <w:rsid w:val="18BD3432"/>
    <w:rsid w:val="18E715AA"/>
    <w:rsid w:val="18E74C47"/>
    <w:rsid w:val="18EA2C67"/>
    <w:rsid w:val="18F31E73"/>
    <w:rsid w:val="1912484B"/>
    <w:rsid w:val="191E51E1"/>
    <w:rsid w:val="195C6A5B"/>
    <w:rsid w:val="196067BC"/>
    <w:rsid w:val="196937EA"/>
    <w:rsid w:val="196F3A5B"/>
    <w:rsid w:val="198A2097"/>
    <w:rsid w:val="199B5654"/>
    <w:rsid w:val="199B6CE0"/>
    <w:rsid w:val="19AC35E0"/>
    <w:rsid w:val="19DA006F"/>
    <w:rsid w:val="19DC5F06"/>
    <w:rsid w:val="1A016CC7"/>
    <w:rsid w:val="1A042B9E"/>
    <w:rsid w:val="1A044DC3"/>
    <w:rsid w:val="1A06589B"/>
    <w:rsid w:val="1A071480"/>
    <w:rsid w:val="1A092901"/>
    <w:rsid w:val="1A0B7329"/>
    <w:rsid w:val="1A29188C"/>
    <w:rsid w:val="1A3101D1"/>
    <w:rsid w:val="1A327DE7"/>
    <w:rsid w:val="1A330F6A"/>
    <w:rsid w:val="1A5A26B3"/>
    <w:rsid w:val="1A7144D1"/>
    <w:rsid w:val="1AA25FDA"/>
    <w:rsid w:val="1AAE0F52"/>
    <w:rsid w:val="1ABA0E22"/>
    <w:rsid w:val="1ADD5092"/>
    <w:rsid w:val="1AFE1FD6"/>
    <w:rsid w:val="1B1336A0"/>
    <w:rsid w:val="1B302CEC"/>
    <w:rsid w:val="1B356690"/>
    <w:rsid w:val="1B4518A1"/>
    <w:rsid w:val="1B6C13EB"/>
    <w:rsid w:val="1B7A73CE"/>
    <w:rsid w:val="1B934836"/>
    <w:rsid w:val="1B9626E7"/>
    <w:rsid w:val="1BA813B3"/>
    <w:rsid w:val="1BB04867"/>
    <w:rsid w:val="1BBD46DD"/>
    <w:rsid w:val="1BC41566"/>
    <w:rsid w:val="1BF36727"/>
    <w:rsid w:val="1C365C11"/>
    <w:rsid w:val="1C3846D2"/>
    <w:rsid w:val="1C407FF5"/>
    <w:rsid w:val="1C4249D9"/>
    <w:rsid w:val="1C5910FA"/>
    <w:rsid w:val="1C95108A"/>
    <w:rsid w:val="1C964D52"/>
    <w:rsid w:val="1CC72D5A"/>
    <w:rsid w:val="1CCF5AD2"/>
    <w:rsid w:val="1CD04E00"/>
    <w:rsid w:val="1CF33FE4"/>
    <w:rsid w:val="1D0110A6"/>
    <w:rsid w:val="1D214F85"/>
    <w:rsid w:val="1D2E668C"/>
    <w:rsid w:val="1D4C2B5E"/>
    <w:rsid w:val="1D786523"/>
    <w:rsid w:val="1D827512"/>
    <w:rsid w:val="1D944700"/>
    <w:rsid w:val="1DAC5F84"/>
    <w:rsid w:val="1DB21ADF"/>
    <w:rsid w:val="1DCA11D8"/>
    <w:rsid w:val="1DCF3DBC"/>
    <w:rsid w:val="1DD71083"/>
    <w:rsid w:val="1DF41948"/>
    <w:rsid w:val="1E001F14"/>
    <w:rsid w:val="1E1015A7"/>
    <w:rsid w:val="1E1B3D64"/>
    <w:rsid w:val="1E2623F7"/>
    <w:rsid w:val="1E324F13"/>
    <w:rsid w:val="1E407B49"/>
    <w:rsid w:val="1E511447"/>
    <w:rsid w:val="1E5F7850"/>
    <w:rsid w:val="1E732A26"/>
    <w:rsid w:val="1E8A078A"/>
    <w:rsid w:val="1E966A7B"/>
    <w:rsid w:val="1E966C68"/>
    <w:rsid w:val="1ED01435"/>
    <w:rsid w:val="1ED848E3"/>
    <w:rsid w:val="1EF85555"/>
    <w:rsid w:val="1F03583F"/>
    <w:rsid w:val="1F1C0725"/>
    <w:rsid w:val="1F341677"/>
    <w:rsid w:val="1F4C3284"/>
    <w:rsid w:val="1F4D5E27"/>
    <w:rsid w:val="1F5C1A5C"/>
    <w:rsid w:val="1F8B14BF"/>
    <w:rsid w:val="1FA11EA9"/>
    <w:rsid w:val="1FA66F14"/>
    <w:rsid w:val="1FB3515E"/>
    <w:rsid w:val="1FB7134F"/>
    <w:rsid w:val="1FE635BD"/>
    <w:rsid w:val="1FFE2CBB"/>
    <w:rsid w:val="201B0D43"/>
    <w:rsid w:val="201B40F3"/>
    <w:rsid w:val="20312457"/>
    <w:rsid w:val="206A02E7"/>
    <w:rsid w:val="20777B58"/>
    <w:rsid w:val="20A531B4"/>
    <w:rsid w:val="20AD76A7"/>
    <w:rsid w:val="20B941D6"/>
    <w:rsid w:val="20BA6609"/>
    <w:rsid w:val="20D44ED3"/>
    <w:rsid w:val="20F47319"/>
    <w:rsid w:val="20F4746E"/>
    <w:rsid w:val="21290489"/>
    <w:rsid w:val="212C2E66"/>
    <w:rsid w:val="2133463D"/>
    <w:rsid w:val="213A5A53"/>
    <w:rsid w:val="214467A1"/>
    <w:rsid w:val="21720A54"/>
    <w:rsid w:val="2185192C"/>
    <w:rsid w:val="218A3318"/>
    <w:rsid w:val="218E0D57"/>
    <w:rsid w:val="219E0135"/>
    <w:rsid w:val="21AE78D3"/>
    <w:rsid w:val="21BD4029"/>
    <w:rsid w:val="21D62158"/>
    <w:rsid w:val="21D67ABF"/>
    <w:rsid w:val="21FB7527"/>
    <w:rsid w:val="22204AFE"/>
    <w:rsid w:val="22401299"/>
    <w:rsid w:val="22414F39"/>
    <w:rsid w:val="224308C2"/>
    <w:rsid w:val="227B61A2"/>
    <w:rsid w:val="22824F78"/>
    <w:rsid w:val="228C74BB"/>
    <w:rsid w:val="228F1C88"/>
    <w:rsid w:val="228F539C"/>
    <w:rsid w:val="22BD4458"/>
    <w:rsid w:val="22E31F7B"/>
    <w:rsid w:val="22F33F3B"/>
    <w:rsid w:val="22F86654"/>
    <w:rsid w:val="230439A5"/>
    <w:rsid w:val="23115CC6"/>
    <w:rsid w:val="23146489"/>
    <w:rsid w:val="232A3068"/>
    <w:rsid w:val="23834B80"/>
    <w:rsid w:val="239074F5"/>
    <w:rsid w:val="23B25EAF"/>
    <w:rsid w:val="23CF5D5A"/>
    <w:rsid w:val="23DE339C"/>
    <w:rsid w:val="23F24306"/>
    <w:rsid w:val="23F41152"/>
    <w:rsid w:val="240E6ED0"/>
    <w:rsid w:val="247135BF"/>
    <w:rsid w:val="24925BC2"/>
    <w:rsid w:val="24C716E7"/>
    <w:rsid w:val="24D61B67"/>
    <w:rsid w:val="24DC3E0A"/>
    <w:rsid w:val="24F8104B"/>
    <w:rsid w:val="25276429"/>
    <w:rsid w:val="253551C5"/>
    <w:rsid w:val="253A525E"/>
    <w:rsid w:val="25427213"/>
    <w:rsid w:val="25463C61"/>
    <w:rsid w:val="254C7941"/>
    <w:rsid w:val="25560E8B"/>
    <w:rsid w:val="259963ED"/>
    <w:rsid w:val="259E7913"/>
    <w:rsid w:val="25E25436"/>
    <w:rsid w:val="25E640A9"/>
    <w:rsid w:val="262E0B64"/>
    <w:rsid w:val="262E3A70"/>
    <w:rsid w:val="263D053D"/>
    <w:rsid w:val="263F30D4"/>
    <w:rsid w:val="264B17FB"/>
    <w:rsid w:val="267F6AF9"/>
    <w:rsid w:val="26A36EF7"/>
    <w:rsid w:val="26B166D1"/>
    <w:rsid w:val="27156440"/>
    <w:rsid w:val="271654B1"/>
    <w:rsid w:val="273977D4"/>
    <w:rsid w:val="27567CD1"/>
    <w:rsid w:val="2775227B"/>
    <w:rsid w:val="27820816"/>
    <w:rsid w:val="27842C96"/>
    <w:rsid w:val="278964D8"/>
    <w:rsid w:val="27B616F4"/>
    <w:rsid w:val="27DD00AE"/>
    <w:rsid w:val="27E55AAC"/>
    <w:rsid w:val="28067BC8"/>
    <w:rsid w:val="28434E5A"/>
    <w:rsid w:val="284A4DE8"/>
    <w:rsid w:val="284B041B"/>
    <w:rsid w:val="284B0433"/>
    <w:rsid w:val="287870EF"/>
    <w:rsid w:val="28806413"/>
    <w:rsid w:val="288E742C"/>
    <w:rsid w:val="28965BEA"/>
    <w:rsid w:val="28A93C43"/>
    <w:rsid w:val="28AF098E"/>
    <w:rsid w:val="28BA254B"/>
    <w:rsid w:val="28BF4074"/>
    <w:rsid w:val="28EE1DCC"/>
    <w:rsid w:val="29401278"/>
    <w:rsid w:val="2A061898"/>
    <w:rsid w:val="2A100A97"/>
    <w:rsid w:val="2A58151E"/>
    <w:rsid w:val="2A940CDD"/>
    <w:rsid w:val="2AA0777D"/>
    <w:rsid w:val="2AA55EE0"/>
    <w:rsid w:val="2AC074C0"/>
    <w:rsid w:val="2AC25E6A"/>
    <w:rsid w:val="2ACC3AC4"/>
    <w:rsid w:val="2AE91170"/>
    <w:rsid w:val="2B2E4DBD"/>
    <w:rsid w:val="2B4D0E32"/>
    <w:rsid w:val="2B8E7402"/>
    <w:rsid w:val="2BBA00BE"/>
    <w:rsid w:val="2BBF78D5"/>
    <w:rsid w:val="2C35018B"/>
    <w:rsid w:val="2CA026F4"/>
    <w:rsid w:val="2CA26816"/>
    <w:rsid w:val="2CCD6948"/>
    <w:rsid w:val="2CD73A4B"/>
    <w:rsid w:val="2D5F2B4D"/>
    <w:rsid w:val="2D6C6EEC"/>
    <w:rsid w:val="2D823A7E"/>
    <w:rsid w:val="2DA64657"/>
    <w:rsid w:val="2DDC6253"/>
    <w:rsid w:val="2DDE3469"/>
    <w:rsid w:val="2DE761E1"/>
    <w:rsid w:val="2DED3A7C"/>
    <w:rsid w:val="2DFB15AA"/>
    <w:rsid w:val="2E352848"/>
    <w:rsid w:val="2E697AF6"/>
    <w:rsid w:val="2E761875"/>
    <w:rsid w:val="2E844E1E"/>
    <w:rsid w:val="2E8A2CE9"/>
    <w:rsid w:val="2E8C2431"/>
    <w:rsid w:val="2E8C7513"/>
    <w:rsid w:val="2EA60F76"/>
    <w:rsid w:val="2EB40A29"/>
    <w:rsid w:val="2EC90ED8"/>
    <w:rsid w:val="2EFD52DD"/>
    <w:rsid w:val="2F07742D"/>
    <w:rsid w:val="2F136509"/>
    <w:rsid w:val="2F576B46"/>
    <w:rsid w:val="2F69137B"/>
    <w:rsid w:val="2F7D3494"/>
    <w:rsid w:val="2F9A752D"/>
    <w:rsid w:val="2F9E4CC6"/>
    <w:rsid w:val="2FA85F9C"/>
    <w:rsid w:val="2FB45E0B"/>
    <w:rsid w:val="2FDE19DB"/>
    <w:rsid w:val="2FE8220C"/>
    <w:rsid w:val="30127732"/>
    <w:rsid w:val="30210EF6"/>
    <w:rsid w:val="305470BC"/>
    <w:rsid w:val="30844189"/>
    <w:rsid w:val="30940EA1"/>
    <w:rsid w:val="30BD2BCF"/>
    <w:rsid w:val="30CC6537"/>
    <w:rsid w:val="30CF6CA9"/>
    <w:rsid w:val="30FC582C"/>
    <w:rsid w:val="31152766"/>
    <w:rsid w:val="31235D8D"/>
    <w:rsid w:val="31261CEA"/>
    <w:rsid w:val="312F5774"/>
    <w:rsid w:val="316564B3"/>
    <w:rsid w:val="316909F6"/>
    <w:rsid w:val="317A7731"/>
    <w:rsid w:val="31897FC0"/>
    <w:rsid w:val="318B362D"/>
    <w:rsid w:val="318E19EF"/>
    <w:rsid w:val="319A7BEC"/>
    <w:rsid w:val="319D00F4"/>
    <w:rsid w:val="31A961BB"/>
    <w:rsid w:val="31B353D2"/>
    <w:rsid w:val="31C91797"/>
    <w:rsid w:val="31D96869"/>
    <w:rsid w:val="3239113E"/>
    <w:rsid w:val="325F246F"/>
    <w:rsid w:val="328E0302"/>
    <w:rsid w:val="329111A2"/>
    <w:rsid w:val="32BE2E4B"/>
    <w:rsid w:val="32D63C42"/>
    <w:rsid w:val="332E0EAD"/>
    <w:rsid w:val="33310D44"/>
    <w:rsid w:val="33326C5C"/>
    <w:rsid w:val="334677C4"/>
    <w:rsid w:val="33507893"/>
    <w:rsid w:val="33535044"/>
    <w:rsid w:val="33AA72F4"/>
    <w:rsid w:val="33BE4E27"/>
    <w:rsid w:val="33D64A4A"/>
    <w:rsid w:val="33F22327"/>
    <w:rsid w:val="34226B1D"/>
    <w:rsid w:val="34584E9A"/>
    <w:rsid w:val="34721607"/>
    <w:rsid w:val="3486178D"/>
    <w:rsid w:val="34867345"/>
    <w:rsid w:val="348A1CAB"/>
    <w:rsid w:val="34956DA5"/>
    <w:rsid w:val="349B6585"/>
    <w:rsid w:val="349C4875"/>
    <w:rsid w:val="34D05989"/>
    <w:rsid w:val="34D40BAF"/>
    <w:rsid w:val="34D83195"/>
    <w:rsid w:val="34E775F4"/>
    <w:rsid w:val="35096962"/>
    <w:rsid w:val="35313A4B"/>
    <w:rsid w:val="354E2ED7"/>
    <w:rsid w:val="35543A8F"/>
    <w:rsid w:val="3565288A"/>
    <w:rsid w:val="358C2310"/>
    <w:rsid w:val="35994E80"/>
    <w:rsid w:val="35C8032F"/>
    <w:rsid w:val="35D74DF7"/>
    <w:rsid w:val="35E12272"/>
    <w:rsid w:val="35EA67D6"/>
    <w:rsid w:val="361847CA"/>
    <w:rsid w:val="36412B08"/>
    <w:rsid w:val="364E5F50"/>
    <w:rsid w:val="366C6328"/>
    <w:rsid w:val="36761264"/>
    <w:rsid w:val="36890362"/>
    <w:rsid w:val="36A35AAF"/>
    <w:rsid w:val="36BE0A30"/>
    <w:rsid w:val="36C333B9"/>
    <w:rsid w:val="36EA1CBA"/>
    <w:rsid w:val="36EE3A02"/>
    <w:rsid w:val="37193246"/>
    <w:rsid w:val="37242C4D"/>
    <w:rsid w:val="3757410B"/>
    <w:rsid w:val="37674754"/>
    <w:rsid w:val="37743E97"/>
    <w:rsid w:val="377B070D"/>
    <w:rsid w:val="377F0029"/>
    <w:rsid w:val="379A429F"/>
    <w:rsid w:val="37B54666"/>
    <w:rsid w:val="37C62C52"/>
    <w:rsid w:val="37C6790E"/>
    <w:rsid w:val="380D5526"/>
    <w:rsid w:val="380E4215"/>
    <w:rsid w:val="38324155"/>
    <w:rsid w:val="3850145C"/>
    <w:rsid w:val="385A12DC"/>
    <w:rsid w:val="386B17D1"/>
    <w:rsid w:val="38792FE9"/>
    <w:rsid w:val="388018D1"/>
    <w:rsid w:val="388C35E6"/>
    <w:rsid w:val="38972389"/>
    <w:rsid w:val="389C0AFC"/>
    <w:rsid w:val="38B95952"/>
    <w:rsid w:val="38D13E16"/>
    <w:rsid w:val="38E416B4"/>
    <w:rsid w:val="38F54FFF"/>
    <w:rsid w:val="390907B1"/>
    <w:rsid w:val="390C518A"/>
    <w:rsid w:val="394C729E"/>
    <w:rsid w:val="39513B1E"/>
    <w:rsid w:val="395B3C5F"/>
    <w:rsid w:val="39D03A2E"/>
    <w:rsid w:val="3A1621BB"/>
    <w:rsid w:val="3A4912A4"/>
    <w:rsid w:val="3A853FAF"/>
    <w:rsid w:val="3A8E10BD"/>
    <w:rsid w:val="3A983270"/>
    <w:rsid w:val="3AB36CDA"/>
    <w:rsid w:val="3ABC0DFE"/>
    <w:rsid w:val="3AD86393"/>
    <w:rsid w:val="3ADC114B"/>
    <w:rsid w:val="3AF86DF6"/>
    <w:rsid w:val="3AF91D42"/>
    <w:rsid w:val="3B140595"/>
    <w:rsid w:val="3B2C58F1"/>
    <w:rsid w:val="3B315EDC"/>
    <w:rsid w:val="3B384197"/>
    <w:rsid w:val="3B604DC0"/>
    <w:rsid w:val="3B696CB2"/>
    <w:rsid w:val="3B7005B5"/>
    <w:rsid w:val="3BE46593"/>
    <w:rsid w:val="3C0578D1"/>
    <w:rsid w:val="3C3F6512"/>
    <w:rsid w:val="3C8911E8"/>
    <w:rsid w:val="3C8C6C16"/>
    <w:rsid w:val="3C995986"/>
    <w:rsid w:val="3CC470CC"/>
    <w:rsid w:val="3CD351E8"/>
    <w:rsid w:val="3CD64C8C"/>
    <w:rsid w:val="3CD80107"/>
    <w:rsid w:val="3CE50F03"/>
    <w:rsid w:val="3CFF57E4"/>
    <w:rsid w:val="3D22533A"/>
    <w:rsid w:val="3D2E5EBD"/>
    <w:rsid w:val="3D31477E"/>
    <w:rsid w:val="3D4F55CB"/>
    <w:rsid w:val="3D6267B7"/>
    <w:rsid w:val="3D7622F3"/>
    <w:rsid w:val="3D815D1C"/>
    <w:rsid w:val="3D8559A8"/>
    <w:rsid w:val="3D876E6A"/>
    <w:rsid w:val="3DD72A90"/>
    <w:rsid w:val="3DF612CF"/>
    <w:rsid w:val="3DF662D0"/>
    <w:rsid w:val="3E237C20"/>
    <w:rsid w:val="3E2E00D0"/>
    <w:rsid w:val="3E5464E9"/>
    <w:rsid w:val="3E657D92"/>
    <w:rsid w:val="3EA94C51"/>
    <w:rsid w:val="3EC41A31"/>
    <w:rsid w:val="3EC80F53"/>
    <w:rsid w:val="3ECC1633"/>
    <w:rsid w:val="3EDB042D"/>
    <w:rsid w:val="3EF57BDD"/>
    <w:rsid w:val="3EFF75A0"/>
    <w:rsid w:val="3F241F77"/>
    <w:rsid w:val="3F2A2445"/>
    <w:rsid w:val="3F301884"/>
    <w:rsid w:val="3F4770A6"/>
    <w:rsid w:val="3F744629"/>
    <w:rsid w:val="3F84674C"/>
    <w:rsid w:val="3F940E03"/>
    <w:rsid w:val="3FAA4B86"/>
    <w:rsid w:val="3FBA5E75"/>
    <w:rsid w:val="3FBC3F7A"/>
    <w:rsid w:val="3FC211BC"/>
    <w:rsid w:val="3FC578AB"/>
    <w:rsid w:val="3FDC5B89"/>
    <w:rsid w:val="3FFA628E"/>
    <w:rsid w:val="3FFE5364"/>
    <w:rsid w:val="400321C1"/>
    <w:rsid w:val="403927F9"/>
    <w:rsid w:val="4062668F"/>
    <w:rsid w:val="408273C9"/>
    <w:rsid w:val="40843452"/>
    <w:rsid w:val="408C7659"/>
    <w:rsid w:val="40A053EF"/>
    <w:rsid w:val="40A81548"/>
    <w:rsid w:val="40AB6C60"/>
    <w:rsid w:val="40B0258D"/>
    <w:rsid w:val="40C01A27"/>
    <w:rsid w:val="40D12FFE"/>
    <w:rsid w:val="40E703D9"/>
    <w:rsid w:val="41171490"/>
    <w:rsid w:val="414174D9"/>
    <w:rsid w:val="414E4433"/>
    <w:rsid w:val="415C2E56"/>
    <w:rsid w:val="41771AC9"/>
    <w:rsid w:val="417C10E2"/>
    <w:rsid w:val="41934ECA"/>
    <w:rsid w:val="41EE782B"/>
    <w:rsid w:val="4224252B"/>
    <w:rsid w:val="424A54BD"/>
    <w:rsid w:val="42682AB6"/>
    <w:rsid w:val="427575E2"/>
    <w:rsid w:val="42870E3A"/>
    <w:rsid w:val="42976274"/>
    <w:rsid w:val="42CD3136"/>
    <w:rsid w:val="42FB38B2"/>
    <w:rsid w:val="42FC6174"/>
    <w:rsid w:val="430A045F"/>
    <w:rsid w:val="4328748F"/>
    <w:rsid w:val="432D1498"/>
    <w:rsid w:val="43394178"/>
    <w:rsid w:val="43782B86"/>
    <w:rsid w:val="438842CE"/>
    <w:rsid w:val="438A5574"/>
    <w:rsid w:val="438D2D00"/>
    <w:rsid w:val="43931AB1"/>
    <w:rsid w:val="43A7026F"/>
    <w:rsid w:val="43AE1A75"/>
    <w:rsid w:val="43EF7BE4"/>
    <w:rsid w:val="43FB0ED6"/>
    <w:rsid w:val="44197BFC"/>
    <w:rsid w:val="44330714"/>
    <w:rsid w:val="443C74EB"/>
    <w:rsid w:val="44494ED0"/>
    <w:rsid w:val="444F3D54"/>
    <w:rsid w:val="445211EA"/>
    <w:rsid w:val="445B3FE0"/>
    <w:rsid w:val="44C17DB6"/>
    <w:rsid w:val="44E16936"/>
    <w:rsid w:val="45190AA8"/>
    <w:rsid w:val="45300AB7"/>
    <w:rsid w:val="45321617"/>
    <w:rsid w:val="45381D18"/>
    <w:rsid w:val="45497578"/>
    <w:rsid w:val="456B1751"/>
    <w:rsid w:val="459E753A"/>
    <w:rsid w:val="45C045F1"/>
    <w:rsid w:val="45C568C5"/>
    <w:rsid w:val="45E1593D"/>
    <w:rsid w:val="45E214BB"/>
    <w:rsid w:val="4600785E"/>
    <w:rsid w:val="460728F4"/>
    <w:rsid w:val="461475DC"/>
    <w:rsid w:val="462F4263"/>
    <w:rsid w:val="463771E5"/>
    <w:rsid w:val="466852B1"/>
    <w:rsid w:val="46700834"/>
    <w:rsid w:val="46862D8A"/>
    <w:rsid w:val="469A527A"/>
    <w:rsid w:val="469C3027"/>
    <w:rsid w:val="46D4282C"/>
    <w:rsid w:val="46EE175B"/>
    <w:rsid w:val="473B169C"/>
    <w:rsid w:val="474B5885"/>
    <w:rsid w:val="47651E56"/>
    <w:rsid w:val="478308D7"/>
    <w:rsid w:val="47990963"/>
    <w:rsid w:val="47B36FC5"/>
    <w:rsid w:val="47CA38FB"/>
    <w:rsid w:val="47CB6B58"/>
    <w:rsid w:val="47DD6534"/>
    <w:rsid w:val="47EB2CCC"/>
    <w:rsid w:val="47ED1E81"/>
    <w:rsid w:val="480B6E94"/>
    <w:rsid w:val="481D6FEB"/>
    <w:rsid w:val="48263D5B"/>
    <w:rsid w:val="483E22EC"/>
    <w:rsid w:val="485B09FC"/>
    <w:rsid w:val="48770F65"/>
    <w:rsid w:val="488C2E3C"/>
    <w:rsid w:val="48DF429B"/>
    <w:rsid w:val="48F67CBB"/>
    <w:rsid w:val="4946716E"/>
    <w:rsid w:val="4970592A"/>
    <w:rsid w:val="497F4FA2"/>
    <w:rsid w:val="499401D5"/>
    <w:rsid w:val="49C56DCF"/>
    <w:rsid w:val="49CB1615"/>
    <w:rsid w:val="49CC38DC"/>
    <w:rsid w:val="49F879FD"/>
    <w:rsid w:val="4A0D0300"/>
    <w:rsid w:val="4A1659D3"/>
    <w:rsid w:val="4A221F1E"/>
    <w:rsid w:val="4A7A449D"/>
    <w:rsid w:val="4A9D554A"/>
    <w:rsid w:val="4A9F158E"/>
    <w:rsid w:val="4AAA5D18"/>
    <w:rsid w:val="4AB045B8"/>
    <w:rsid w:val="4AB12231"/>
    <w:rsid w:val="4AC02B8E"/>
    <w:rsid w:val="4AD13E94"/>
    <w:rsid w:val="4B2335E5"/>
    <w:rsid w:val="4B29030D"/>
    <w:rsid w:val="4B38582D"/>
    <w:rsid w:val="4B5C1170"/>
    <w:rsid w:val="4B6B5023"/>
    <w:rsid w:val="4B6D5C91"/>
    <w:rsid w:val="4B7A483E"/>
    <w:rsid w:val="4BA4512E"/>
    <w:rsid w:val="4BB82720"/>
    <w:rsid w:val="4BEC1C76"/>
    <w:rsid w:val="4BF31E5B"/>
    <w:rsid w:val="4C00752A"/>
    <w:rsid w:val="4C16045B"/>
    <w:rsid w:val="4C441805"/>
    <w:rsid w:val="4C5F1CBC"/>
    <w:rsid w:val="4C697EEC"/>
    <w:rsid w:val="4CFA644D"/>
    <w:rsid w:val="4D3D4CE2"/>
    <w:rsid w:val="4D653FA0"/>
    <w:rsid w:val="4D7B0A5F"/>
    <w:rsid w:val="4DB25D89"/>
    <w:rsid w:val="4DCA7CDF"/>
    <w:rsid w:val="4DE37D66"/>
    <w:rsid w:val="4DFB148F"/>
    <w:rsid w:val="4E00279B"/>
    <w:rsid w:val="4E19318C"/>
    <w:rsid w:val="4E325885"/>
    <w:rsid w:val="4E326ED3"/>
    <w:rsid w:val="4E4213FC"/>
    <w:rsid w:val="4E4967E5"/>
    <w:rsid w:val="4E64113D"/>
    <w:rsid w:val="4EB4010A"/>
    <w:rsid w:val="4ECD5B10"/>
    <w:rsid w:val="4ED265A4"/>
    <w:rsid w:val="4ED5121A"/>
    <w:rsid w:val="4EED5BEF"/>
    <w:rsid w:val="4EF063E8"/>
    <w:rsid w:val="4F1A1756"/>
    <w:rsid w:val="4F2D1A80"/>
    <w:rsid w:val="4F4C214E"/>
    <w:rsid w:val="4F82396F"/>
    <w:rsid w:val="4F8735C2"/>
    <w:rsid w:val="4F882E51"/>
    <w:rsid w:val="4FB35FEB"/>
    <w:rsid w:val="4FB92E4A"/>
    <w:rsid w:val="4FED55C5"/>
    <w:rsid w:val="501320EF"/>
    <w:rsid w:val="501645FA"/>
    <w:rsid w:val="50252009"/>
    <w:rsid w:val="50410B59"/>
    <w:rsid w:val="504316EA"/>
    <w:rsid w:val="50626EF4"/>
    <w:rsid w:val="506506F6"/>
    <w:rsid w:val="507D1101"/>
    <w:rsid w:val="508316BD"/>
    <w:rsid w:val="50B85D7D"/>
    <w:rsid w:val="50B90847"/>
    <w:rsid w:val="50D00896"/>
    <w:rsid w:val="511B0423"/>
    <w:rsid w:val="512854FB"/>
    <w:rsid w:val="513004CD"/>
    <w:rsid w:val="513B0B69"/>
    <w:rsid w:val="51747FFB"/>
    <w:rsid w:val="517816CC"/>
    <w:rsid w:val="517A472D"/>
    <w:rsid w:val="517C619C"/>
    <w:rsid w:val="5181402E"/>
    <w:rsid w:val="51864806"/>
    <w:rsid w:val="51BD5275"/>
    <w:rsid w:val="51E97A93"/>
    <w:rsid w:val="51F91CC7"/>
    <w:rsid w:val="51FE3481"/>
    <w:rsid w:val="520F3869"/>
    <w:rsid w:val="522370B3"/>
    <w:rsid w:val="523334D8"/>
    <w:rsid w:val="52490367"/>
    <w:rsid w:val="52532671"/>
    <w:rsid w:val="526C3548"/>
    <w:rsid w:val="527B075D"/>
    <w:rsid w:val="52C656A8"/>
    <w:rsid w:val="52E30E29"/>
    <w:rsid w:val="52FD1BE3"/>
    <w:rsid w:val="530C57B6"/>
    <w:rsid w:val="53115263"/>
    <w:rsid w:val="532C52BA"/>
    <w:rsid w:val="534166E3"/>
    <w:rsid w:val="53437CB9"/>
    <w:rsid w:val="534D11A7"/>
    <w:rsid w:val="5351464F"/>
    <w:rsid w:val="53525BC9"/>
    <w:rsid w:val="535578E9"/>
    <w:rsid w:val="535C7ACD"/>
    <w:rsid w:val="53614A58"/>
    <w:rsid w:val="537138AF"/>
    <w:rsid w:val="53720590"/>
    <w:rsid w:val="53914EBB"/>
    <w:rsid w:val="539602F9"/>
    <w:rsid w:val="53A85D01"/>
    <w:rsid w:val="53BC300D"/>
    <w:rsid w:val="53C46109"/>
    <w:rsid w:val="53D347B4"/>
    <w:rsid w:val="53EA6DA5"/>
    <w:rsid w:val="540D133A"/>
    <w:rsid w:val="54264CCF"/>
    <w:rsid w:val="54782E46"/>
    <w:rsid w:val="54784B7E"/>
    <w:rsid w:val="547921A1"/>
    <w:rsid w:val="547E6A02"/>
    <w:rsid w:val="548E4AD5"/>
    <w:rsid w:val="54AE4908"/>
    <w:rsid w:val="54B53F9B"/>
    <w:rsid w:val="54D412C6"/>
    <w:rsid w:val="54E0787A"/>
    <w:rsid w:val="54E57517"/>
    <w:rsid w:val="551D11AD"/>
    <w:rsid w:val="553B00EA"/>
    <w:rsid w:val="555919B6"/>
    <w:rsid w:val="555D4E3A"/>
    <w:rsid w:val="55704312"/>
    <w:rsid w:val="557315B8"/>
    <w:rsid w:val="559308FC"/>
    <w:rsid w:val="55934F26"/>
    <w:rsid w:val="55AB271C"/>
    <w:rsid w:val="55AF28AC"/>
    <w:rsid w:val="55D37B53"/>
    <w:rsid w:val="55E2324A"/>
    <w:rsid w:val="55F32C39"/>
    <w:rsid w:val="5652258B"/>
    <w:rsid w:val="56585504"/>
    <w:rsid w:val="567A75A1"/>
    <w:rsid w:val="56823DC0"/>
    <w:rsid w:val="56940341"/>
    <w:rsid w:val="56D75447"/>
    <w:rsid w:val="572E265B"/>
    <w:rsid w:val="57566464"/>
    <w:rsid w:val="57630B0D"/>
    <w:rsid w:val="57675A50"/>
    <w:rsid w:val="577A655A"/>
    <w:rsid w:val="578261E8"/>
    <w:rsid w:val="57871772"/>
    <w:rsid w:val="578D67BA"/>
    <w:rsid w:val="578F77BD"/>
    <w:rsid w:val="57C12C15"/>
    <w:rsid w:val="57C31A8B"/>
    <w:rsid w:val="57C86142"/>
    <w:rsid w:val="57D743F5"/>
    <w:rsid w:val="57DA5B37"/>
    <w:rsid w:val="57E366C6"/>
    <w:rsid w:val="57EE1340"/>
    <w:rsid w:val="57FF744B"/>
    <w:rsid w:val="580D13A2"/>
    <w:rsid w:val="580E06C7"/>
    <w:rsid w:val="583332B1"/>
    <w:rsid w:val="58C03A1C"/>
    <w:rsid w:val="58EE5032"/>
    <w:rsid w:val="58FB06F0"/>
    <w:rsid w:val="59104E1C"/>
    <w:rsid w:val="5919670A"/>
    <w:rsid w:val="59284E77"/>
    <w:rsid w:val="59386304"/>
    <w:rsid w:val="59B267EA"/>
    <w:rsid w:val="59B555E4"/>
    <w:rsid w:val="59BC2661"/>
    <w:rsid w:val="59CE07E7"/>
    <w:rsid w:val="59D85514"/>
    <w:rsid w:val="5A24365C"/>
    <w:rsid w:val="5A3025AC"/>
    <w:rsid w:val="5A370803"/>
    <w:rsid w:val="5A3E10B6"/>
    <w:rsid w:val="5A4C30CB"/>
    <w:rsid w:val="5A746D3E"/>
    <w:rsid w:val="5A7677C8"/>
    <w:rsid w:val="5A9A6232"/>
    <w:rsid w:val="5AAC6E07"/>
    <w:rsid w:val="5AC6377C"/>
    <w:rsid w:val="5AD70760"/>
    <w:rsid w:val="5AE13A4D"/>
    <w:rsid w:val="5AEE3CCA"/>
    <w:rsid w:val="5B06297F"/>
    <w:rsid w:val="5B0B500F"/>
    <w:rsid w:val="5B245F1F"/>
    <w:rsid w:val="5B4C46EB"/>
    <w:rsid w:val="5B5413DE"/>
    <w:rsid w:val="5B6E7BB1"/>
    <w:rsid w:val="5B840780"/>
    <w:rsid w:val="5C300360"/>
    <w:rsid w:val="5C496888"/>
    <w:rsid w:val="5C6D3106"/>
    <w:rsid w:val="5C961448"/>
    <w:rsid w:val="5D0E4914"/>
    <w:rsid w:val="5D1F3DD5"/>
    <w:rsid w:val="5D387ED9"/>
    <w:rsid w:val="5D5F4972"/>
    <w:rsid w:val="5D871D24"/>
    <w:rsid w:val="5D987CFD"/>
    <w:rsid w:val="5D9F30EF"/>
    <w:rsid w:val="5DA3645B"/>
    <w:rsid w:val="5DA95AF1"/>
    <w:rsid w:val="5DB066AA"/>
    <w:rsid w:val="5DBB08EE"/>
    <w:rsid w:val="5DC11E68"/>
    <w:rsid w:val="5DC5338D"/>
    <w:rsid w:val="5E0E3D70"/>
    <w:rsid w:val="5E184CF6"/>
    <w:rsid w:val="5E3F0D14"/>
    <w:rsid w:val="5E4B00E3"/>
    <w:rsid w:val="5E4C7D8F"/>
    <w:rsid w:val="5E661A50"/>
    <w:rsid w:val="5E72691E"/>
    <w:rsid w:val="5EA2491B"/>
    <w:rsid w:val="5EC61F84"/>
    <w:rsid w:val="5EDA1012"/>
    <w:rsid w:val="5EE479BB"/>
    <w:rsid w:val="5F010E0A"/>
    <w:rsid w:val="5F0C114D"/>
    <w:rsid w:val="5F177E45"/>
    <w:rsid w:val="5F647B03"/>
    <w:rsid w:val="5F761661"/>
    <w:rsid w:val="5F834450"/>
    <w:rsid w:val="5FC15C48"/>
    <w:rsid w:val="5FCF46BE"/>
    <w:rsid w:val="5FCF5D65"/>
    <w:rsid w:val="5FDE5DAF"/>
    <w:rsid w:val="5FE42E05"/>
    <w:rsid w:val="602D2B97"/>
    <w:rsid w:val="604B7D48"/>
    <w:rsid w:val="604F04EF"/>
    <w:rsid w:val="60533DEC"/>
    <w:rsid w:val="606E2E19"/>
    <w:rsid w:val="60783B03"/>
    <w:rsid w:val="607E4963"/>
    <w:rsid w:val="608A6335"/>
    <w:rsid w:val="609D7A40"/>
    <w:rsid w:val="60B037F4"/>
    <w:rsid w:val="60E36761"/>
    <w:rsid w:val="60F34550"/>
    <w:rsid w:val="60FF586B"/>
    <w:rsid w:val="61317097"/>
    <w:rsid w:val="613530F4"/>
    <w:rsid w:val="61416BD9"/>
    <w:rsid w:val="61477B5F"/>
    <w:rsid w:val="61594A02"/>
    <w:rsid w:val="615F4FCC"/>
    <w:rsid w:val="61840677"/>
    <w:rsid w:val="618C2ECB"/>
    <w:rsid w:val="61C74D39"/>
    <w:rsid w:val="61CF12CA"/>
    <w:rsid w:val="61D1174B"/>
    <w:rsid w:val="61FB1D47"/>
    <w:rsid w:val="621A6DB3"/>
    <w:rsid w:val="62276CE8"/>
    <w:rsid w:val="62480D8B"/>
    <w:rsid w:val="624E3CE2"/>
    <w:rsid w:val="62512C19"/>
    <w:rsid w:val="62721934"/>
    <w:rsid w:val="62996565"/>
    <w:rsid w:val="62C2235C"/>
    <w:rsid w:val="62DB4F6D"/>
    <w:rsid w:val="62FB421C"/>
    <w:rsid w:val="63020EC3"/>
    <w:rsid w:val="630613DC"/>
    <w:rsid w:val="63066386"/>
    <w:rsid w:val="636962F4"/>
    <w:rsid w:val="63CF0EB7"/>
    <w:rsid w:val="63E72BF4"/>
    <w:rsid w:val="63F03D4E"/>
    <w:rsid w:val="64333F3C"/>
    <w:rsid w:val="645327CF"/>
    <w:rsid w:val="647E4A98"/>
    <w:rsid w:val="648213DC"/>
    <w:rsid w:val="648E4A0F"/>
    <w:rsid w:val="64A6718C"/>
    <w:rsid w:val="64AC33A3"/>
    <w:rsid w:val="64AD2C4B"/>
    <w:rsid w:val="64BB4503"/>
    <w:rsid w:val="64C90586"/>
    <w:rsid w:val="64FA7D5A"/>
    <w:rsid w:val="65036242"/>
    <w:rsid w:val="654400E2"/>
    <w:rsid w:val="654C7E54"/>
    <w:rsid w:val="65541E4C"/>
    <w:rsid w:val="65665074"/>
    <w:rsid w:val="657A0559"/>
    <w:rsid w:val="658F5201"/>
    <w:rsid w:val="659B4B16"/>
    <w:rsid w:val="65A37DD9"/>
    <w:rsid w:val="65B63647"/>
    <w:rsid w:val="65BC6B55"/>
    <w:rsid w:val="65E345F6"/>
    <w:rsid w:val="65E361C7"/>
    <w:rsid w:val="65E4538A"/>
    <w:rsid w:val="65F411FC"/>
    <w:rsid w:val="661C1FF9"/>
    <w:rsid w:val="662228C1"/>
    <w:rsid w:val="664D396B"/>
    <w:rsid w:val="665A6B57"/>
    <w:rsid w:val="668072AB"/>
    <w:rsid w:val="66905FD9"/>
    <w:rsid w:val="66CA77A5"/>
    <w:rsid w:val="66DD2DD5"/>
    <w:rsid w:val="66EE1056"/>
    <w:rsid w:val="66F95A78"/>
    <w:rsid w:val="67295261"/>
    <w:rsid w:val="673B44C6"/>
    <w:rsid w:val="673E6D1D"/>
    <w:rsid w:val="67414351"/>
    <w:rsid w:val="674956D0"/>
    <w:rsid w:val="674A4BDA"/>
    <w:rsid w:val="6767669B"/>
    <w:rsid w:val="676B030E"/>
    <w:rsid w:val="677637F2"/>
    <w:rsid w:val="6784691F"/>
    <w:rsid w:val="678B3DC0"/>
    <w:rsid w:val="67AA33AC"/>
    <w:rsid w:val="67B27396"/>
    <w:rsid w:val="67C51351"/>
    <w:rsid w:val="67D34569"/>
    <w:rsid w:val="67FB7BC5"/>
    <w:rsid w:val="680C7E20"/>
    <w:rsid w:val="6820419A"/>
    <w:rsid w:val="682F723B"/>
    <w:rsid w:val="684E1A88"/>
    <w:rsid w:val="685F7E19"/>
    <w:rsid w:val="68897F3F"/>
    <w:rsid w:val="689914FA"/>
    <w:rsid w:val="68BC7B38"/>
    <w:rsid w:val="68CE6D9F"/>
    <w:rsid w:val="68D06B15"/>
    <w:rsid w:val="68D20DDA"/>
    <w:rsid w:val="68DF5B8E"/>
    <w:rsid w:val="69003E9A"/>
    <w:rsid w:val="690A4480"/>
    <w:rsid w:val="69140279"/>
    <w:rsid w:val="691A79B2"/>
    <w:rsid w:val="69314C8B"/>
    <w:rsid w:val="69472AA3"/>
    <w:rsid w:val="695520C2"/>
    <w:rsid w:val="69694454"/>
    <w:rsid w:val="6977591A"/>
    <w:rsid w:val="69C61FCC"/>
    <w:rsid w:val="69C70D4F"/>
    <w:rsid w:val="69F447B4"/>
    <w:rsid w:val="69F70CA2"/>
    <w:rsid w:val="6A0A7110"/>
    <w:rsid w:val="6A0C7B33"/>
    <w:rsid w:val="6A215F04"/>
    <w:rsid w:val="6A2C5CE6"/>
    <w:rsid w:val="6A541EFF"/>
    <w:rsid w:val="6A591DEF"/>
    <w:rsid w:val="6A662409"/>
    <w:rsid w:val="6ABA7700"/>
    <w:rsid w:val="6ACE30B8"/>
    <w:rsid w:val="6AF01D64"/>
    <w:rsid w:val="6B003B92"/>
    <w:rsid w:val="6B135739"/>
    <w:rsid w:val="6B19076D"/>
    <w:rsid w:val="6B206FCF"/>
    <w:rsid w:val="6B236898"/>
    <w:rsid w:val="6B277116"/>
    <w:rsid w:val="6B324042"/>
    <w:rsid w:val="6B4B544C"/>
    <w:rsid w:val="6B711D47"/>
    <w:rsid w:val="6BF23693"/>
    <w:rsid w:val="6C0066DD"/>
    <w:rsid w:val="6C0F2105"/>
    <w:rsid w:val="6C1E1895"/>
    <w:rsid w:val="6C2B7B1F"/>
    <w:rsid w:val="6C3C79AF"/>
    <w:rsid w:val="6C65474A"/>
    <w:rsid w:val="6C974D27"/>
    <w:rsid w:val="6CC44942"/>
    <w:rsid w:val="6CD02FC4"/>
    <w:rsid w:val="6CEB0CDE"/>
    <w:rsid w:val="6D0E4A73"/>
    <w:rsid w:val="6D321F15"/>
    <w:rsid w:val="6D515939"/>
    <w:rsid w:val="6D6C0554"/>
    <w:rsid w:val="6D6D4689"/>
    <w:rsid w:val="6D9E5153"/>
    <w:rsid w:val="6DD34D48"/>
    <w:rsid w:val="6DEA67A6"/>
    <w:rsid w:val="6E1B0738"/>
    <w:rsid w:val="6E6F2B2F"/>
    <w:rsid w:val="6E6F75FC"/>
    <w:rsid w:val="6E9024EA"/>
    <w:rsid w:val="6EB85E07"/>
    <w:rsid w:val="6EC24CB7"/>
    <w:rsid w:val="6ECD5432"/>
    <w:rsid w:val="6EE50476"/>
    <w:rsid w:val="6EED6E52"/>
    <w:rsid w:val="6EF06640"/>
    <w:rsid w:val="6F05643C"/>
    <w:rsid w:val="6F141136"/>
    <w:rsid w:val="6F216F80"/>
    <w:rsid w:val="6F2A1A37"/>
    <w:rsid w:val="6F3A44CC"/>
    <w:rsid w:val="6F507723"/>
    <w:rsid w:val="6F636ED2"/>
    <w:rsid w:val="6F643FD0"/>
    <w:rsid w:val="6F7168F6"/>
    <w:rsid w:val="6FA61BCB"/>
    <w:rsid w:val="6FBB3997"/>
    <w:rsid w:val="6FF109F1"/>
    <w:rsid w:val="70032703"/>
    <w:rsid w:val="70104CD7"/>
    <w:rsid w:val="701D7778"/>
    <w:rsid w:val="704A64B7"/>
    <w:rsid w:val="706872CA"/>
    <w:rsid w:val="708E3862"/>
    <w:rsid w:val="709B5E21"/>
    <w:rsid w:val="70BA2DDC"/>
    <w:rsid w:val="70FA79C8"/>
    <w:rsid w:val="70FB13E9"/>
    <w:rsid w:val="710A4032"/>
    <w:rsid w:val="71337492"/>
    <w:rsid w:val="715C22A2"/>
    <w:rsid w:val="716C0F69"/>
    <w:rsid w:val="717A7E22"/>
    <w:rsid w:val="717F021E"/>
    <w:rsid w:val="71820E22"/>
    <w:rsid w:val="71A600E3"/>
    <w:rsid w:val="71C620CF"/>
    <w:rsid w:val="71FB5DAC"/>
    <w:rsid w:val="720638AD"/>
    <w:rsid w:val="72172200"/>
    <w:rsid w:val="72361E7E"/>
    <w:rsid w:val="723A7BCA"/>
    <w:rsid w:val="72814BAE"/>
    <w:rsid w:val="7286380F"/>
    <w:rsid w:val="728E46C5"/>
    <w:rsid w:val="729A5D7E"/>
    <w:rsid w:val="72B63002"/>
    <w:rsid w:val="72C57511"/>
    <w:rsid w:val="72EE1EB9"/>
    <w:rsid w:val="72FF5FCB"/>
    <w:rsid w:val="73085AED"/>
    <w:rsid w:val="7314182E"/>
    <w:rsid w:val="73434F2C"/>
    <w:rsid w:val="734D6DD6"/>
    <w:rsid w:val="73507382"/>
    <w:rsid w:val="73A7194C"/>
    <w:rsid w:val="73AE04AB"/>
    <w:rsid w:val="73EF43E1"/>
    <w:rsid w:val="73FC6A99"/>
    <w:rsid w:val="740873EB"/>
    <w:rsid w:val="743E71D4"/>
    <w:rsid w:val="74902D3A"/>
    <w:rsid w:val="749E5652"/>
    <w:rsid w:val="74B05CBE"/>
    <w:rsid w:val="74B93644"/>
    <w:rsid w:val="74D51121"/>
    <w:rsid w:val="74D6499B"/>
    <w:rsid w:val="74E16DFE"/>
    <w:rsid w:val="74EA1703"/>
    <w:rsid w:val="74F00D7E"/>
    <w:rsid w:val="750E2783"/>
    <w:rsid w:val="75345D65"/>
    <w:rsid w:val="753A388B"/>
    <w:rsid w:val="753E2542"/>
    <w:rsid w:val="75406E97"/>
    <w:rsid w:val="756928D3"/>
    <w:rsid w:val="75A57037"/>
    <w:rsid w:val="75BA6C27"/>
    <w:rsid w:val="75C85336"/>
    <w:rsid w:val="75D065E3"/>
    <w:rsid w:val="75E057FD"/>
    <w:rsid w:val="763D19B2"/>
    <w:rsid w:val="764853F4"/>
    <w:rsid w:val="764B67AF"/>
    <w:rsid w:val="76593AA6"/>
    <w:rsid w:val="766020D3"/>
    <w:rsid w:val="766C2FFE"/>
    <w:rsid w:val="7676696A"/>
    <w:rsid w:val="76A141BE"/>
    <w:rsid w:val="76A44D96"/>
    <w:rsid w:val="76A90D80"/>
    <w:rsid w:val="76BA4B00"/>
    <w:rsid w:val="76C74169"/>
    <w:rsid w:val="76EB5857"/>
    <w:rsid w:val="770969D1"/>
    <w:rsid w:val="770C4735"/>
    <w:rsid w:val="77241610"/>
    <w:rsid w:val="773B0BCD"/>
    <w:rsid w:val="77577FAA"/>
    <w:rsid w:val="776A06A1"/>
    <w:rsid w:val="77866244"/>
    <w:rsid w:val="77873AF1"/>
    <w:rsid w:val="778B798F"/>
    <w:rsid w:val="78034D6A"/>
    <w:rsid w:val="780E11FE"/>
    <w:rsid w:val="7812672C"/>
    <w:rsid w:val="78256FED"/>
    <w:rsid w:val="782C0B62"/>
    <w:rsid w:val="78312740"/>
    <w:rsid w:val="784768C4"/>
    <w:rsid w:val="784D666F"/>
    <w:rsid w:val="787A5B08"/>
    <w:rsid w:val="787C219F"/>
    <w:rsid w:val="78826B6B"/>
    <w:rsid w:val="78963231"/>
    <w:rsid w:val="78AB42F3"/>
    <w:rsid w:val="78BF4D54"/>
    <w:rsid w:val="78CF5F3C"/>
    <w:rsid w:val="78D502ED"/>
    <w:rsid w:val="78F47B64"/>
    <w:rsid w:val="79044E2C"/>
    <w:rsid w:val="790A3D56"/>
    <w:rsid w:val="794D6390"/>
    <w:rsid w:val="79510E5A"/>
    <w:rsid w:val="796371D3"/>
    <w:rsid w:val="79725801"/>
    <w:rsid w:val="797F63C5"/>
    <w:rsid w:val="7982346D"/>
    <w:rsid w:val="798F4DFD"/>
    <w:rsid w:val="7999250C"/>
    <w:rsid w:val="79B43A49"/>
    <w:rsid w:val="79C306F6"/>
    <w:rsid w:val="79E51A86"/>
    <w:rsid w:val="7A265266"/>
    <w:rsid w:val="7A2C3186"/>
    <w:rsid w:val="7A3B1988"/>
    <w:rsid w:val="7A5B5B09"/>
    <w:rsid w:val="7A6F080F"/>
    <w:rsid w:val="7A743265"/>
    <w:rsid w:val="7A76232D"/>
    <w:rsid w:val="7A7C73BA"/>
    <w:rsid w:val="7A92236B"/>
    <w:rsid w:val="7AA76FDC"/>
    <w:rsid w:val="7AB65029"/>
    <w:rsid w:val="7AF85874"/>
    <w:rsid w:val="7B1A5B35"/>
    <w:rsid w:val="7B2868E5"/>
    <w:rsid w:val="7B4175C0"/>
    <w:rsid w:val="7B486F31"/>
    <w:rsid w:val="7B5275B6"/>
    <w:rsid w:val="7B6B6DBD"/>
    <w:rsid w:val="7B70294A"/>
    <w:rsid w:val="7B775FA0"/>
    <w:rsid w:val="7B807FBA"/>
    <w:rsid w:val="7B875419"/>
    <w:rsid w:val="7B8A5F43"/>
    <w:rsid w:val="7BA57B23"/>
    <w:rsid w:val="7BA87397"/>
    <w:rsid w:val="7BCD0A19"/>
    <w:rsid w:val="7BD760B7"/>
    <w:rsid w:val="7BDA3E61"/>
    <w:rsid w:val="7BEC7DF2"/>
    <w:rsid w:val="7C1428C9"/>
    <w:rsid w:val="7C1A5229"/>
    <w:rsid w:val="7C3B6648"/>
    <w:rsid w:val="7C7229BD"/>
    <w:rsid w:val="7C8E3870"/>
    <w:rsid w:val="7CA21BD9"/>
    <w:rsid w:val="7CEC68D1"/>
    <w:rsid w:val="7D042AA0"/>
    <w:rsid w:val="7D072801"/>
    <w:rsid w:val="7D0C0035"/>
    <w:rsid w:val="7D283BE3"/>
    <w:rsid w:val="7D431B26"/>
    <w:rsid w:val="7D502696"/>
    <w:rsid w:val="7D587147"/>
    <w:rsid w:val="7D8E70FA"/>
    <w:rsid w:val="7D9C44CC"/>
    <w:rsid w:val="7DB17F6E"/>
    <w:rsid w:val="7DB2636B"/>
    <w:rsid w:val="7DB772B9"/>
    <w:rsid w:val="7DBE58DA"/>
    <w:rsid w:val="7DD261C7"/>
    <w:rsid w:val="7DD95510"/>
    <w:rsid w:val="7DE70711"/>
    <w:rsid w:val="7DE94A5F"/>
    <w:rsid w:val="7E077EA1"/>
    <w:rsid w:val="7E185B21"/>
    <w:rsid w:val="7E452A2A"/>
    <w:rsid w:val="7E473CA8"/>
    <w:rsid w:val="7E4A51DB"/>
    <w:rsid w:val="7E70330B"/>
    <w:rsid w:val="7E7C381C"/>
    <w:rsid w:val="7E8A5CD0"/>
    <w:rsid w:val="7EAA455C"/>
    <w:rsid w:val="7EBB7D46"/>
    <w:rsid w:val="7EC26701"/>
    <w:rsid w:val="7F071F96"/>
    <w:rsid w:val="7F2B1B0E"/>
    <w:rsid w:val="7F327CF5"/>
    <w:rsid w:val="7F402290"/>
    <w:rsid w:val="7F504478"/>
    <w:rsid w:val="7F510125"/>
    <w:rsid w:val="7F5C1FAE"/>
    <w:rsid w:val="7F5F6E52"/>
    <w:rsid w:val="7F602C28"/>
    <w:rsid w:val="7F652792"/>
    <w:rsid w:val="7F6B3D4A"/>
    <w:rsid w:val="7FE313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numPr>
        <w:ilvl w:val="0"/>
        <w:numId w:val="1"/>
      </w:numPr>
      <w:outlineLvl w:val="0"/>
    </w:pPr>
    <w:rPr>
      <w:b/>
      <w:szCs w:val="20"/>
    </w:rPr>
  </w:style>
  <w:style w:type="paragraph" w:styleId="4">
    <w:name w:val="heading 2"/>
    <w:basedOn w:val="1"/>
    <w:next w:val="5"/>
    <w:link w:val="34"/>
    <w:qFormat/>
    <w:uiPriority w:val="99"/>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81"/>
    <w:qFormat/>
    <w:uiPriority w:val="99"/>
    <w:pPr>
      <w:keepNext/>
      <w:keepLines/>
      <w:spacing w:before="260" w:after="260" w:line="415" w:lineRule="auto"/>
      <w:outlineLvl w:val="2"/>
    </w:pPr>
    <w:rPr>
      <w:sz w:val="32"/>
      <w:szCs w:val="32"/>
    </w:rPr>
  </w:style>
  <w:style w:type="paragraph" w:styleId="7">
    <w:name w:val="heading 4"/>
    <w:basedOn w:val="1"/>
    <w:next w:val="1"/>
    <w:link w:val="36"/>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szCs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4">
    <w:name w:val="Default Paragraph Font"/>
    <w:semiHidden/>
    <w:qFormat/>
    <w:uiPriority w:val="99"/>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numPr>
        <w:ilvl w:val="1"/>
        <w:numId w:val="2"/>
      </w:numPr>
      <w:adjustRightInd w:val="0"/>
      <w:snapToGrid w:val="0"/>
    </w:pPr>
    <w:rPr>
      <w:rFonts w:ascii="宋体" w:hAnsi="宋体"/>
      <w:kern w:val="0"/>
      <w:szCs w:val="21"/>
    </w:rPr>
  </w:style>
  <w:style w:type="paragraph" w:styleId="5">
    <w:name w:val="Normal Indent"/>
    <w:basedOn w:val="1"/>
    <w:next w:val="1"/>
    <w:qFormat/>
    <w:uiPriority w:val="99"/>
    <w:pPr>
      <w:ind w:firstLine="420" w:firstLineChars="200"/>
    </w:pPr>
  </w:style>
  <w:style w:type="paragraph" w:styleId="11">
    <w:name w:val="Body Text"/>
    <w:basedOn w:val="1"/>
    <w:next w:val="1"/>
    <w:link w:val="37"/>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8"/>
    <w:qFormat/>
    <w:uiPriority w:val="99"/>
    <w:pPr>
      <w:ind w:firstLine="480"/>
    </w:pPr>
    <w:rPr>
      <w:rFonts w:ascii="宋体" w:hAnsi="宋体"/>
      <w:sz w:val="30"/>
    </w:rPr>
  </w:style>
  <w:style w:type="paragraph" w:styleId="13">
    <w:name w:val="Plain Text"/>
    <w:basedOn w:val="1"/>
    <w:link w:val="39"/>
    <w:qFormat/>
    <w:uiPriority w:val="99"/>
    <w:rPr>
      <w:rFonts w:ascii="宋体" w:hAnsi="Courier New"/>
      <w:szCs w:val="20"/>
    </w:rPr>
  </w:style>
  <w:style w:type="paragraph" w:styleId="14">
    <w:name w:val="Date"/>
    <w:basedOn w:val="1"/>
    <w:next w:val="1"/>
    <w:link w:val="40"/>
    <w:qFormat/>
    <w:uiPriority w:val="99"/>
    <w:rPr>
      <w:rFonts w:eastAsia="楷体_GB2312"/>
      <w:sz w:val="24"/>
      <w:szCs w:val="20"/>
    </w:rPr>
  </w:style>
  <w:style w:type="paragraph" w:styleId="15">
    <w:name w:val="Body Text Indent 2"/>
    <w:basedOn w:val="1"/>
    <w:link w:val="41"/>
    <w:qFormat/>
    <w:uiPriority w:val="99"/>
    <w:pPr>
      <w:ind w:firstLine="480"/>
    </w:pPr>
    <w:rPr>
      <w:rFonts w:ascii="宋体" w:hAnsi="宋体"/>
      <w:sz w:val="30"/>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Body Text First Indent 2"/>
    <w:basedOn w:val="1"/>
    <w:qFormat/>
    <w:locked/>
    <w:uiPriority w:val="0"/>
    <w:pPr>
      <w:spacing w:after="120" w:afterLines="0"/>
      <w:ind w:left="420" w:leftChars="200" w:firstLine="420" w:firstLineChars="200"/>
    </w:pPr>
    <w:rPr>
      <w:sz w:val="21"/>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5"/>
    <w:qFormat/>
    <w:uiPriority w:val="99"/>
    <w:pPr>
      <w:snapToGrid w:val="0"/>
      <w:jc w:val="left"/>
    </w:pPr>
    <w:rPr>
      <w:sz w:val="18"/>
      <w:szCs w:val="20"/>
    </w:rPr>
  </w:style>
  <w:style w:type="paragraph" w:styleId="22">
    <w:name w:val="Body Text 2"/>
    <w:basedOn w:val="1"/>
    <w:link w:val="45"/>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99"/>
    <w:rPr>
      <w:rFonts w:cs="Times New Roman"/>
      <w:i/>
    </w:rPr>
  </w:style>
  <w:style w:type="character" w:styleId="29">
    <w:name w:val="Hyperlink"/>
    <w:basedOn w:val="24"/>
    <w:qFormat/>
    <w:uiPriority w:val="99"/>
    <w:rPr>
      <w:rFonts w:cs="Times New Roman"/>
      <w:color w:val="0000FF"/>
      <w:u w:val="single"/>
    </w:rPr>
  </w:style>
  <w:style w:type="character" w:styleId="30">
    <w:name w:val="footnote reference"/>
    <w:basedOn w:val="24"/>
    <w:qFormat/>
    <w:uiPriority w:val="99"/>
    <w:rPr>
      <w:rFonts w:cs="Times New Roman"/>
      <w:vertAlign w:val="superscript"/>
    </w:rPr>
  </w:style>
  <w:style w:type="table" w:styleId="32">
    <w:name w:val="Table Grid"/>
    <w:basedOn w:val="3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Heading 1 Char"/>
    <w:basedOn w:val="24"/>
    <w:link w:val="3"/>
    <w:qFormat/>
    <w:locked/>
    <w:uiPriority w:val="99"/>
    <w:rPr>
      <w:rFonts w:cs="Times New Roman"/>
      <w:b/>
      <w:bCs/>
      <w:kern w:val="44"/>
      <w:sz w:val="44"/>
      <w:szCs w:val="44"/>
    </w:rPr>
  </w:style>
  <w:style w:type="character" w:customStyle="1" w:styleId="34">
    <w:name w:val="Heading 2 Char"/>
    <w:basedOn w:val="24"/>
    <w:link w:val="4"/>
    <w:semiHidden/>
    <w:qFormat/>
    <w:locked/>
    <w:uiPriority w:val="99"/>
    <w:rPr>
      <w:rFonts w:ascii="Cambria" w:hAnsi="Cambria" w:eastAsia="宋体" w:cs="Times New Roman"/>
      <w:b/>
      <w:bCs/>
      <w:sz w:val="32"/>
      <w:szCs w:val="32"/>
    </w:rPr>
  </w:style>
  <w:style w:type="character" w:customStyle="1" w:styleId="35">
    <w:name w:val="Heading 3 Char"/>
    <w:basedOn w:val="24"/>
    <w:link w:val="6"/>
    <w:semiHidden/>
    <w:qFormat/>
    <w:locked/>
    <w:uiPriority w:val="99"/>
    <w:rPr>
      <w:rFonts w:cs="Times New Roman"/>
      <w:b/>
      <w:bCs/>
      <w:sz w:val="32"/>
      <w:szCs w:val="32"/>
    </w:rPr>
  </w:style>
  <w:style w:type="character" w:customStyle="1" w:styleId="36">
    <w:name w:val="Heading 4 Char"/>
    <w:basedOn w:val="24"/>
    <w:link w:val="7"/>
    <w:semiHidden/>
    <w:qFormat/>
    <w:locked/>
    <w:uiPriority w:val="99"/>
    <w:rPr>
      <w:rFonts w:ascii="Cambria" w:hAnsi="Cambria" w:eastAsia="宋体" w:cs="Times New Roman"/>
      <w:b/>
      <w:bCs/>
      <w:sz w:val="28"/>
      <w:szCs w:val="28"/>
    </w:rPr>
  </w:style>
  <w:style w:type="character" w:customStyle="1" w:styleId="37">
    <w:name w:val="Body Text Char"/>
    <w:basedOn w:val="24"/>
    <w:link w:val="11"/>
    <w:semiHidden/>
    <w:qFormat/>
    <w:locked/>
    <w:uiPriority w:val="99"/>
    <w:rPr>
      <w:rFonts w:cs="Times New Roman"/>
      <w:sz w:val="24"/>
      <w:szCs w:val="24"/>
    </w:rPr>
  </w:style>
  <w:style w:type="character" w:customStyle="1" w:styleId="38">
    <w:name w:val="Body Text Indent Char"/>
    <w:basedOn w:val="24"/>
    <w:link w:val="12"/>
    <w:semiHidden/>
    <w:qFormat/>
    <w:locked/>
    <w:uiPriority w:val="99"/>
    <w:rPr>
      <w:rFonts w:cs="Times New Roman"/>
      <w:sz w:val="24"/>
      <w:szCs w:val="24"/>
    </w:rPr>
  </w:style>
  <w:style w:type="character" w:customStyle="1" w:styleId="39">
    <w:name w:val="Plain Text Char"/>
    <w:basedOn w:val="24"/>
    <w:link w:val="13"/>
    <w:semiHidden/>
    <w:qFormat/>
    <w:locked/>
    <w:uiPriority w:val="99"/>
    <w:rPr>
      <w:rFonts w:ascii="宋体" w:hAnsi="Courier New" w:cs="Courier New"/>
      <w:sz w:val="21"/>
      <w:szCs w:val="21"/>
    </w:rPr>
  </w:style>
  <w:style w:type="character" w:customStyle="1" w:styleId="40">
    <w:name w:val="Date Char"/>
    <w:basedOn w:val="24"/>
    <w:link w:val="14"/>
    <w:semiHidden/>
    <w:qFormat/>
    <w:locked/>
    <w:uiPriority w:val="99"/>
    <w:rPr>
      <w:rFonts w:cs="Times New Roman"/>
      <w:sz w:val="24"/>
      <w:szCs w:val="24"/>
    </w:rPr>
  </w:style>
  <w:style w:type="character" w:customStyle="1" w:styleId="41">
    <w:name w:val="Body Text Indent 2 Char"/>
    <w:basedOn w:val="24"/>
    <w:link w:val="15"/>
    <w:semiHidden/>
    <w:qFormat/>
    <w:locked/>
    <w:uiPriority w:val="99"/>
    <w:rPr>
      <w:rFonts w:cs="Times New Roman"/>
      <w:sz w:val="24"/>
      <w:szCs w:val="24"/>
    </w:rPr>
  </w:style>
  <w:style w:type="character" w:customStyle="1" w:styleId="42">
    <w:name w:val="Footer Char"/>
    <w:basedOn w:val="24"/>
    <w:link w:val="16"/>
    <w:semiHidden/>
    <w:qFormat/>
    <w:locked/>
    <w:uiPriority w:val="99"/>
    <w:rPr>
      <w:rFonts w:cs="Times New Roman"/>
      <w:sz w:val="18"/>
      <w:szCs w:val="18"/>
    </w:rPr>
  </w:style>
  <w:style w:type="character" w:customStyle="1" w:styleId="43">
    <w:name w:val="Header Char"/>
    <w:basedOn w:val="24"/>
    <w:link w:val="18"/>
    <w:semiHidden/>
    <w:qFormat/>
    <w:locked/>
    <w:uiPriority w:val="99"/>
    <w:rPr>
      <w:rFonts w:cs="Times New Roman"/>
      <w:sz w:val="18"/>
      <w:szCs w:val="18"/>
    </w:rPr>
  </w:style>
  <w:style w:type="character" w:customStyle="1" w:styleId="44">
    <w:name w:val="Footnote Text Char"/>
    <w:basedOn w:val="24"/>
    <w:link w:val="21"/>
    <w:qFormat/>
    <w:locked/>
    <w:uiPriority w:val="99"/>
    <w:rPr>
      <w:kern w:val="2"/>
      <w:sz w:val="18"/>
    </w:rPr>
  </w:style>
  <w:style w:type="character" w:customStyle="1" w:styleId="45">
    <w:name w:val="Body Text 2 Char"/>
    <w:basedOn w:val="24"/>
    <w:link w:val="22"/>
    <w:semiHidden/>
    <w:qFormat/>
    <w:locked/>
    <w:uiPriority w:val="99"/>
    <w:rPr>
      <w:rFonts w:cs="Times New Roman"/>
      <w:sz w:val="24"/>
      <w:szCs w:val="24"/>
    </w:rPr>
  </w:style>
  <w:style w:type="character" w:customStyle="1" w:styleId="46">
    <w:name w:val="fn11"/>
    <w:qFormat/>
    <w:uiPriority w:val="99"/>
    <w:rPr>
      <w:color w:val="116095"/>
      <w:sz w:val="24"/>
    </w:rPr>
  </w:style>
  <w:style w:type="character" w:customStyle="1" w:styleId="47">
    <w:name w:val="font01"/>
    <w:basedOn w:val="24"/>
    <w:qFormat/>
    <w:uiPriority w:val="99"/>
    <w:rPr>
      <w:rFonts w:ascii="宋体" w:hAnsi="宋体" w:eastAsia="宋体" w:cs="Times New Roman"/>
      <w:b/>
      <w:bCs/>
      <w:color w:val="FF0000"/>
      <w:sz w:val="22"/>
      <w:szCs w:val="22"/>
      <w:u w:val="none"/>
    </w:rPr>
  </w:style>
  <w:style w:type="character" w:customStyle="1" w:styleId="48">
    <w:name w:val="point_normal1"/>
    <w:qFormat/>
    <w:uiPriority w:val="99"/>
    <w:rPr>
      <w:rFonts w:ascii="Arial" w:hAnsi="Arial"/>
      <w:sz w:val="18"/>
    </w:rPr>
  </w:style>
  <w:style w:type="character" w:customStyle="1" w:styleId="49">
    <w:name w:val="title_emph1"/>
    <w:qFormat/>
    <w:uiPriority w:val="99"/>
    <w:rPr>
      <w:rFonts w:ascii="Arial" w:hAnsi="Arial"/>
      <w:b/>
      <w:sz w:val="20"/>
    </w:rPr>
  </w:style>
  <w:style w:type="character" w:customStyle="1" w:styleId="50">
    <w:name w:val="font121"/>
    <w:qFormat/>
    <w:uiPriority w:val="99"/>
    <w:rPr>
      <w:rFonts w:ascii="黑体" w:hAnsi="宋体" w:eastAsia="黑体"/>
      <w:b/>
      <w:color w:val="000000"/>
      <w:sz w:val="20"/>
      <w:u w:val="none"/>
    </w:rPr>
  </w:style>
  <w:style w:type="character" w:customStyle="1" w:styleId="51">
    <w:name w:val="font41"/>
    <w:qFormat/>
    <w:uiPriority w:val="99"/>
    <w:rPr>
      <w:rFonts w:ascii="宋体" w:hAnsi="宋体" w:eastAsia="宋体"/>
      <w:color w:val="000000"/>
      <w:sz w:val="20"/>
      <w:u w:val="none"/>
    </w:rPr>
  </w:style>
  <w:style w:type="character" w:customStyle="1" w:styleId="52">
    <w:name w:val="font21"/>
    <w:qFormat/>
    <w:uiPriority w:val="99"/>
    <w:rPr>
      <w:rFonts w:ascii="宋体" w:hAnsi="宋体" w:eastAsia="宋体"/>
      <w:b/>
      <w:color w:val="000000"/>
      <w:sz w:val="20"/>
      <w:u w:val="none"/>
    </w:rPr>
  </w:style>
  <w:style w:type="character" w:customStyle="1" w:styleId="53">
    <w:name w:val="Default Text Char"/>
    <w:link w:val="54"/>
    <w:qFormat/>
    <w:locked/>
    <w:uiPriority w:val="99"/>
    <w:rPr>
      <w:color w:val="000000"/>
      <w:sz w:val="24"/>
      <w:lang w:val="en-US" w:eastAsia="zh-CN"/>
    </w:rPr>
  </w:style>
  <w:style w:type="paragraph" w:customStyle="1" w:styleId="54">
    <w:name w:val="Default Text"/>
    <w:link w:val="5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5">
    <w:name w:val="font91"/>
    <w:qFormat/>
    <w:uiPriority w:val="99"/>
    <w:rPr>
      <w:rFonts w:ascii="Arial" w:hAnsi="Arial"/>
      <w:b/>
      <w:color w:val="000000"/>
      <w:sz w:val="20"/>
      <w:u w:val="none"/>
    </w:rPr>
  </w:style>
  <w:style w:type="paragraph" w:customStyle="1" w:styleId="56">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9">
    <w:name w:val="正文1"/>
    <w:basedOn w:val="1"/>
    <w:qFormat/>
    <w:uiPriority w:val="99"/>
    <w:pPr>
      <w:spacing w:after="120" w:line="360" w:lineRule="auto"/>
      <w:ind w:firstLine="425"/>
    </w:pPr>
    <w:rPr>
      <w:rFonts w:ascii="Arial" w:hAnsi="Arial"/>
      <w:spacing w:val="8"/>
      <w:sz w:val="24"/>
      <w:szCs w:val="20"/>
    </w:rPr>
  </w:style>
  <w:style w:type="paragraph" w:customStyle="1" w:styleId="60">
    <w:name w:val="xl23"/>
    <w:basedOn w:val="1"/>
    <w:qFormat/>
    <w:uiPriority w:val="99"/>
    <w:pPr>
      <w:widowControl/>
      <w:spacing w:before="100" w:beforeAutospacing="1" w:after="100" w:afterAutospacing="1"/>
      <w:jc w:val="center"/>
    </w:pPr>
    <w:rPr>
      <w:kern w:val="0"/>
      <w:szCs w:val="21"/>
    </w:rPr>
  </w:style>
  <w:style w:type="paragraph" w:customStyle="1" w:styleId="61">
    <w:name w:val="表格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2">
    <w:name w:val="Default"/>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customStyle="1" w:styleId="63">
    <w:name w:val="p0"/>
    <w:basedOn w:val="1"/>
    <w:qFormat/>
    <w:uiPriority w:val="99"/>
    <w:pPr>
      <w:widowControl/>
    </w:pPr>
    <w:rPr>
      <w:b/>
      <w:bCs/>
      <w:kern w:val="0"/>
      <w:sz w:val="52"/>
      <w:szCs w:val="52"/>
    </w:rPr>
  </w:style>
  <w:style w:type="paragraph" w:customStyle="1" w:styleId="64">
    <w:name w:val="Date1"/>
    <w:basedOn w:val="1"/>
    <w:next w:val="1"/>
    <w:qFormat/>
    <w:uiPriority w:val="99"/>
    <w:pPr>
      <w:overflowPunct w:val="0"/>
      <w:autoSpaceDE w:val="0"/>
      <w:autoSpaceDN w:val="0"/>
      <w:adjustRightInd w:val="0"/>
    </w:pPr>
    <w:rPr>
      <w:rFonts w:ascii="宋体"/>
      <w:szCs w:val="20"/>
    </w:rPr>
  </w:style>
  <w:style w:type="character" w:customStyle="1" w:styleId="65">
    <w:name w:val="Footnote Text Char1"/>
    <w:basedOn w:val="24"/>
    <w:link w:val="21"/>
    <w:semiHidden/>
    <w:qFormat/>
    <w:locked/>
    <w:uiPriority w:val="99"/>
    <w:rPr>
      <w:rFonts w:cs="Times New Roman"/>
      <w:sz w:val="18"/>
      <w:szCs w:val="18"/>
    </w:rPr>
  </w:style>
  <w:style w:type="paragraph" w:customStyle="1" w:styleId="66">
    <w:name w:val="WPS Plain"/>
    <w:qFormat/>
    <w:uiPriority w:val="99"/>
    <w:rPr>
      <w:rFonts w:ascii="Times New Roman" w:hAnsi="Times New Roman" w:eastAsia="宋体" w:cs="Times New Roman"/>
      <w:kern w:val="0"/>
      <w:sz w:val="20"/>
      <w:szCs w:val="20"/>
      <w:lang w:val="en-US" w:eastAsia="zh-CN" w:bidi="ar-SA"/>
    </w:rPr>
  </w:style>
  <w:style w:type="paragraph" w:customStyle="1" w:styleId="67">
    <w:name w:val="CM20"/>
    <w:basedOn w:val="62"/>
    <w:next w:val="62"/>
    <w:qFormat/>
    <w:uiPriority w:val="99"/>
    <w:pPr>
      <w:spacing w:after="263"/>
    </w:pPr>
    <w:rPr>
      <w:color w:val="auto"/>
    </w:rPr>
  </w:style>
  <w:style w:type="paragraph" w:customStyle="1" w:styleId="68">
    <w:name w:val="List Paragraph1"/>
    <w:basedOn w:val="1"/>
    <w:qFormat/>
    <w:uiPriority w:val="99"/>
    <w:pPr>
      <w:ind w:firstLine="420" w:firstLineChars="200"/>
    </w:pPr>
    <w:rPr>
      <w:rFonts w:ascii="Calibri" w:hAnsi="Calibri" w:cs="黑体"/>
      <w:szCs w:val="21"/>
    </w:rPr>
  </w:style>
  <w:style w:type="character" w:customStyle="1" w:styleId="69">
    <w:name w:val="font71"/>
    <w:basedOn w:val="24"/>
    <w:qFormat/>
    <w:uiPriority w:val="99"/>
    <w:rPr>
      <w:rFonts w:ascii="宋体" w:hAnsi="宋体" w:eastAsia="宋体" w:cs="宋体"/>
      <w:color w:val="000000"/>
      <w:sz w:val="22"/>
      <w:szCs w:val="22"/>
      <w:u w:val="none"/>
    </w:rPr>
  </w:style>
  <w:style w:type="character" w:customStyle="1" w:styleId="70">
    <w:name w:val="font11"/>
    <w:basedOn w:val="24"/>
    <w:qFormat/>
    <w:uiPriority w:val="99"/>
    <w:rPr>
      <w:rFonts w:ascii="Arial Narrow" w:hAnsi="Arial Narrow" w:eastAsia="Times New Roman" w:cs="Arial Narrow"/>
      <w:color w:val="000000"/>
      <w:sz w:val="22"/>
      <w:szCs w:val="22"/>
      <w:u w:val="none"/>
    </w:rPr>
  </w:style>
  <w:style w:type="character" w:customStyle="1" w:styleId="71">
    <w:name w:val="font31"/>
    <w:basedOn w:val="24"/>
    <w:qFormat/>
    <w:uiPriority w:val="0"/>
    <w:rPr>
      <w:rFonts w:hint="default" w:ascii="Tahoma" w:hAnsi="Tahoma" w:eastAsia="Tahoma" w:cs="Tahoma"/>
      <w:color w:val="000000"/>
      <w:sz w:val="24"/>
      <w:szCs w:val="24"/>
      <w:u w:val="none"/>
    </w:rPr>
  </w:style>
  <w:style w:type="character" w:customStyle="1" w:styleId="72">
    <w:name w:val="font111"/>
    <w:basedOn w:val="24"/>
    <w:qFormat/>
    <w:uiPriority w:val="0"/>
    <w:rPr>
      <w:rFonts w:hint="eastAsia" w:ascii="宋体" w:hAnsi="宋体" w:eastAsia="宋体" w:cs="宋体"/>
      <w:color w:val="000000"/>
      <w:sz w:val="20"/>
      <w:szCs w:val="20"/>
      <w:u w:val="none"/>
    </w:rPr>
  </w:style>
  <w:style w:type="character" w:customStyle="1" w:styleId="73">
    <w:name w:val="font81"/>
    <w:basedOn w:val="24"/>
    <w:qFormat/>
    <w:uiPriority w:val="0"/>
    <w:rPr>
      <w:rFonts w:hint="default" w:ascii="Tahoma" w:hAnsi="Tahoma" w:eastAsia="Tahoma" w:cs="Tahoma"/>
      <w:color w:val="000000"/>
      <w:sz w:val="22"/>
      <w:szCs w:val="22"/>
      <w:u w:val="none"/>
    </w:rPr>
  </w:style>
  <w:style w:type="character" w:customStyle="1" w:styleId="74">
    <w:name w:val="font101"/>
    <w:basedOn w:val="24"/>
    <w:qFormat/>
    <w:uiPriority w:val="0"/>
    <w:rPr>
      <w:rFonts w:hint="eastAsia" w:ascii="宋体" w:hAnsi="宋体" w:eastAsia="宋体" w:cs="宋体"/>
      <w:color w:val="000000"/>
      <w:sz w:val="22"/>
      <w:szCs w:val="22"/>
      <w:u w:val="none"/>
    </w:rPr>
  </w:style>
  <w:style w:type="paragraph" w:customStyle="1" w:styleId="75">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6">
    <w:name w:val="16"/>
    <w:basedOn w:val="24"/>
    <w:qFormat/>
    <w:uiPriority w:val="0"/>
    <w:rPr>
      <w:rFonts w:hint="default" w:ascii="Cambria" w:hAnsi="Cambria"/>
      <w:b/>
      <w:bCs/>
      <w:sz w:val="32"/>
      <w:szCs w:val="32"/>
    </w:rPr>
  </w:style>
  <w:style w:type="character" w:customStyle="1" w:styleId="77">
    <w:name w:val="15"/>
    <w:basedOn w:val="24"/>
    <w:qFormat/>
    <w:uiPriority w:val="0"/>
    <w:rPr>
      <w:rFonts w:hint="default" w:ascii="Times New Roman" w:hAnsi="Times New Roman" w:cs="Times New Roman"/>
    </w:rPr>
  </w:style>
  <w:style w:type="paragraph" w:styleId="78">
    <w:name w:val="List Paragraph"/>
    <w:basedOn w:val="1"/>
    <w:qFormat/>
    <w:uiPriority w:val="34"/>
    <w:pPr>
      <w:ind w:firstLine="420" w:firstLineChars="200"/>
    </w:pPr>
  </w:style>
  <w:style w:type="paragraph" w:customStyle="1" w:styleId="79">
    <w:name w:val="No Spacing"/>
    <w:basedOn w:val="1"/>
    <w:qFormat/>
    <w:uiPriority w:val="0"/>
  </w:style>
  <w:style w:type="paragraph" w:customStyle="1" w:styleId="80">
    <w:name w:val="样式3"/>
    <w:basedOn w:val="13"/>
    <w:qFormat/>
    <w:uiPriority w:val="0"/>
    <w:pPr>
      <w:spacing w:line="0" w:lineRule="atLeast"/>
      <w:outlineLvl w:val="0"/>
    </w:pPr>
    <w:rPr>
      <w:sz w:val="28"/>
    </w:rPr>
  </w:style>
  <w:style w:type="character" w:customStyle="1" w:styleId="81">
    <w:name w:val="标题 3 Char"/>
    <w:basedOn w:val="24"/>
    <w:link w:val="6"/>
    <w:qFormat/>
    <w:uiPriority w:val="0"/>
    <w:rPr>
      <w:rFonts w:ascii="Times New Roman" w:hAnsi="Times New Roman" w:eastAsia="宋体"/>
      <w:b/>
      <w:bCs/>
      <w:sz w:val="24"/>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zfcgzx</Company>
  <Pages>44</Pages>
  <Words>4046</Words>
  <Characters>23067</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KaiYuan</cp:lastModifiedBy>
  <cp:lastPrinted>2019-12-25T10:08:00Z</cp:lastPrinted>
  <dcterms:modified xsi:type="dcterms:W3CDTF">2020-04-27T09:41:04Z</dcterms:modified>
  <dc:title>第一章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