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44" w:lineRule="auto"/>
      </w:pPr>
      <w:bookmarkStart w:id="0" w:name="_Toc523127445"/>
      <w:bookmarkStart w:id="1" w:name="_Toc513029200"/>
      <w:bookmarkStart w:id="2" w:name="_Toc403986986"/>
      <w:bookmarkStart w:id="3" w:name="_Toc16938516"/>
      <w:bookmarkStart w:id="4" w:name="_Toc403987193"/>
      <w:bookmarkStart w:id="5" w:name="_Toc479757206"/>
      <w:bookmarkStart w:id="6" w:name="_Toc120614210"/>
      <w:bookmarkStart w:id="7" w:name="_Toc20823272"/>
      <w:bookmarkStart w:id="8" w:name="_Toc13641"/>
      <w:bookmarkStart w:id="9" w:name="_Toc25446"/>
      <w:bookmarkStart w:id="10" w:name="_Toc144974496"/>
      <w:bookmarkStart w:id="11" w:name="_Toc152042304"/>
      <w:bookmarkStart w:id="12" w:name="_Toc665"/>
      <w:bookmarkStart w:id="13" w:name="_Toc152045528"/>
      <w:bookmarkStart w:id="14" w:name="_Toc179632545"/>
    </w:p>
    <w:p>
      <w:pPr>
        <w:pStyle w:val="7"/>
        <w:spacing w:line="244" w:lineRule="auto"/>
      </w:pPr>
    </w:p>
    <w:p>
      <w:pPr>
        <w:pStyle w:val="7"/>
        <w:spacing w:line="244" w:lineRule="auto"/>
      </w:pPr>
    </w:p>
    <w:p>
      <w:pPr>
        <w:pStyle w:val="7"/>
        <w:spacing w:line="244" w:lineRule="auto"/>
      </w:pPr>
    </w:p>
    <w:p>
      <w:pPr>
        <w:spacing w:before="140" w:line="295" w:lineRule="auto"/>
        <w:ind w:left="2871" w:right="415" w:hanging="2440"/>
        <w:outlineLvl w:val="0"/>
        <w:rPr>
          <w:rFonts w:ascii="宋体" w:hAnsi="宋体" w:eastAsia="宋体" w:cs="宋体"/>
          <w:sz w:val="43"/>
          <w:szCs w:val="43"/>
        </w:rPr>
      </w:pPr>
      <w:r>
        <w:rPr>
          <w:rFonts w:hint="eastAsia" w:ascii="宋体" w:hAnsi="宋体" w:eastAsia="宋体" w:cs="宋体"/>
          <w:spacing w:val="10"/>
          <w:sz w:val="43"/>
          <w:szCs w:val="43"/>
          <w:lang w:eastAsia="zh-CN"/>
          <w14:textOutline w14:w="7972" w14:cap="sq" w14:cmpd="sng">
            <w14:solidFill>
              <w14:srgbClr w14:val="000000"/>
            </w14:solidFill>
            <w14:prstDash w14:val="solid"/>
            <w14:bevel/>
          </w14:textOutline>
        </w:rPr>
        <w:t>尼勒克县基层阵地及公共服务管理设施建设项目</w:t>
      </w:r>
      <w:r>
        <w:rPr>
          <w:rFonts w:ascii="宋体" w:hAnsi="宋体" w:eastAsia="宋体" w:cs="宋体"/>
          <w:spacing w:val="6"/>
          <w:sz w:val="43"/>
          <w:szCs w:val="43"/>
          <w14:textOutline w14:w="7972" w14:cap="sq" w14:cmpd="sng">
            <w14:solidFill>
              <w14:srgbClr w14:val="000000"/>
            </w14:solidFill>
            <w14:prstDash w14:val="solid"/>
            <w14:bevel/>
          </w14:textOutline>
        </w:rPr>
        <w:t>公开招标文件</w:t>
      </w:r>
    </w:p>
    <w:p>
      <w:pPr>
        <w:pStyle w:val="7"/>
        <w:spacing w:line="286" w:lineRule="auto"/>
      </w:pPr>
    </w:p>
    <w:p>
      <w:pPr>
        <w:pStyle w:val="7"/>
        <w:spacing w:line="286" w:lineRule="auto"/>
      </w:pPr>
    </w:p>
    <w:p>
      <w:pPr>
        <w:pStyle w:val="7"/>
        <w:spacing w:line="287" w:lineRule="auto"/>
      </w:pPr>
    </w:p>
    <w:p>
      <w:pPr>
        <w:pStyle w:val="7"/>
        <w:spacing w:line="287" w:lineRule="auto"/>
      </w:pPr>
    </w:p>
    <w:p>
      <w:pPr>
        <w:spacing w:before="101" w:line="225" w:lineRule="auto"/>
        <w:ind w:left="3068"/>
        <w:rPr>
          <w:rFonts w:ascii="宋体" w:hAnsi="宋体" w:eastAsia="宋体" w:cs="宋体"/>
          <w:sz w:val="31"/>
          <w:szCs w:val="31"/>
        </w:rPr>
      </w:pPr>
      <w:r>
        <w:rPr>
          <w:rFonts w:ascii="宋体" w:hAnsi="宋体" w:eastAsia="宋体" w:cs="宋体"/>
          <w:spacing w:val="5"/>
          <w:sz w:val="31"/>
          <w:szCs w:val="31"/>
          <w14:textOutline w14:w="5793" w14:cap="sq" w14:cmpd="sng">
            <w14:solidFill>
              <w14:srgbClr w14:val="000000"/>
            </w14:solidFill>
            <w14:prstDash w14:val="solid"/>
            <w14:bevel/>
          </w14:textOutline>
        </w:rPr>
        <w:t>（电子招投标）</w:t>
      </w:r>
    </w:p>
    <w:p>
      <w:pPr>
        <w:pStyle w:val="7"/>
        <w:spacing w:line="241" w:lineRule="auto"/>
      </w:pPr>
    </w:p>
    <w:p>
      <w:pPr>
        <w:pStyle w:val="7"/>
        <w:spacing w:line="241" w:lineRule="auto"/>
      </w:pPr>
    </w:p>
    <w:p>
      <w:pPr>
        <w:pStyle w:val="7"/>
        <w:spacing w:line="241"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pStyle w:val="7"/>
        <w:spacing w:line="242" w:lineRule="auto"/>
      </w:pPr>
    </w:p>
    <w:p>
      <w:pPr>
        <w:spacing w:before="101" w:line="224" w:lineRule="auto"/>
        <w:ind w:left="25"/>
        <w:rPr>
          <w:rFonts w:hint="eastAsia" w:ascii="宋体" w:hAnsi="宋体" w:eastAsia="宋体" w:cs="宋体"/>
          <w:sz w:val="31"/>
          <w:szCs w:val="31"/>
          <w:lang w:eastAsia="zh-CN"/>
        </w:rPr>
      </w:pPr>
      <w:r>
        <w:rPr>
          <w:rFonts w:ascii="宋体" w:hAnsi="宋体" w:eastAsia="宋体" w:cs="宋体"/>
          <w:spacing w:val="9"/>
          <w:sz w:val="31"/>
          <w:szCs w:val="31"/>
          <w14:textOutline w14:w="5793" w14:cap="sq" w14:cmpd="sng">
            <w14:solidFill>
              <w14:srgbClr w14:val="000000"/>
            </w14:solidFill>
            <w14:prstDash w14:val="solid"/>
            <w14:bevel/>
          </w14:textOutline>
        </w:rPr>
        <w:t>采购人：</w:t>
      </w:r>
      <w:r>
        <w:rPr>
          <w:rFonts w:hint="eastAsia" w:ascii="宋体" w:hAnsi="宋体" w:eastAsia="宋体" w:cs="宋体"/>
          <w:spacing w:val="9"/>
          <w:sz w:val="31"/>
          <w:szCs w:val="31"/>
          <w:lang w:eastAsia="zh-CN"/>
          <w14:textOutline w14:w="5793" w14:cap="sq" w14:cmpd="sng">
            <w14:solidFill>
              <w14:srgbClr w14:val="000000"/>
            </w14:solidFill>
            <w14:prstDash w14:val="solid"/>
            <w14:bevel/>
          </w14:textOutline>
        </w:rPr>
        <w:t>中共尼勒克县委员会政法委员会</w:t>
      </w:r>
    </w:p>
    <w:p>
      <w:pPr>
        <w:spacing w:before="245" w:line="223" w:lineRule="auto"/>
        <w:ind w:left="31"/>
        <w:rPr>
          <w:rFonts w:hint="default" w:ascii="宋体" w:hAnsi="宋体" w:eastAsia="宋体" w:cs="宋体"/>
          <w:sz w:val="31"/>
          <w:szCs w:val="31"/>
          <w:lang w:val="en-US" w:eastAsia="zh-CN"/>
        </w:rPr>
      </w:pPr>
      <w:r>
        <w:rPr>
          <w:rFonts w:ascii="宋体" w:hAnsi="宋体" w:eastAsia="宋体" w:cs="宋体"/>
          <w:spacing w:val="10"/>
          <w:sz w:val="31"/>
          <w:szCs w:val="31"/>
          <w14:textOutline w14:w="5793" w14:cap="sq" w14:cmpd="sng">
            <w14:solidFill>
              <w14:srgbClr w14:val="000000"/>
            </w14:solidFill>
            <w14:prstDash w14:val="solid"/>
            <w14:bevel/>
          </w14:textOutline>
        </w:rPr>
        <w:t>项目编号：</w:t>
      </w:r>
      <w:r>
        <w:rPr>
          <w:rFonts w:hint="eastAsia" w:ascii="宋体" w:hAnsi="宋体" w:eastAsia="宋体" w:cs="宋体"/>
          <w:spacing w:val="10"/>
          <w:sz w:val="31"/>
          <w:szCs w:val="31"/>
          <w:lang w:eastAsia="zh-CN"/>
          <w14:textOutline w14:w="5793" w14:cap="sq" w14:cmpd="sng">
            <w14:solidFill>
              <w14:srgbClr w14:val="000000"/>
            </w14:solidFill>
            <w14:prstDash w14:val="solid"/>
            <w14:bevel/>
          </w14:textOutline>
        </w:rPr>
        <w:t>2023XJDG-NLKX-11</w:t>
      </w:r>
    </w:p>
    <w:p>
      <w:pPr>
        <w:spacing w:before="249" w:line="224" w:lineRule="auto"/>
        <w:ind w:left="25"/>
        <w:rPr>
          <w:rFonts w:hint="eastAsia" w:ascii="宋体" w:hAnsi="宋体" w:eastAsia="宋体" w:cs="宋体"/>
          <w:sz w:val="31"/>
          <w:szCs w:val="31"/>
          <w:lang w:eastAsia="zh-CN"/>
        </w:rPr>
      </w:pPr>
      <w:r>
        <w:rPr>
          <w:rFonts w:ascii="宋体" w:hAnsi="宋体" w:eastAsia="宋体" w:cs="宋体"/>
          <w:spacing w:val="10"/>
          <w:sz w:val="31"/>
          <w:szCs w:val="31"/>
          <w14:textOutline w14:w="5793" w14:cap="sq" w14:cmpd="sng">
            <w14:solidFill>
              <w14:srgbClr w14:val="000000"/>
            </w14:solidFill>
            <w14:prstDash w14:val="solid"/>
            <w14:bevel/>
          </w14:textOutline>
        </w:rPr>
        <w:t>采购代理机构：</w:t>
      </w:r>
      <w:r>
        <w:rPr>
          <w:rFonts w:hint="eastAsia" w:ascii="宋体" w:hAnsi="宋体" w:eastAsia="宋体" w:cs="宋体"/>
          <w:spacing w:val="10"/>
          <w:sz w:val="31"/>
          <w:szCs w:val="31"/>
          <w:lang w:eastAsia="zh-CN"/>
          <w14:textOutline w14:w="5793" w14:cap="sq" w14:cmpd="sng">
            <w14:solidFill>
              <w14:srgbClr w14:val="000000"/>
            </w14:solidFill>
            <w14:prstDash w14:val="solid"/>
            <w14:bevel/>
          </w14:textOutline>
        </w:rPr>
        <w:t>尼勒克县政府采购中心</w:t>
      </w:r>
    </w:p>
    <w:p>
      <w:pPr>
        <w:spacing w:before="244" w:line="225" w:lineRule="auto"/>
        <w:ind w:left="81"/>
        <w:rPr>
          <w:rFonts w:ascii="宋体" w:hAnsi="宋体" w:eastAsia="宋体" w:cs="宋体"/>
          <w:sz w:val="31"/>
          <w:szCs w:val="31"/>
        </w:rPr>
      </w:pPr>
      <w:r>
        <w:rPr>
          <w:rFonts w:ascii="宋体" w:hAnsi="宋体" w:eastAsia="宋体" w:cs="宋体"/>
          <w:spacing w:val="-3"/>
          <w:sz w:val="31"/>
          <w:szCs w:val="31"/>
          <w14:textOutline w14:w="5793" w14:cap="sq" w14:cmpd="sng">
            <w14:solidFill>
              <w14:srgbClr w14:val="000000"/>
            </w14:solidFill>
            <w14:prstDash w14:val="solid"/>
            <w14:bevel/>
          </w14:textOutline>
        </w:rPr>
        <w:t>日期：2023</w:t>
      </w:r>
      <w:r>
        <w:rPr>
          <w:rFonts w:ascii="宋体" w:hAnsi="宋体" w:eastAsia="宋体" w:cs="宋体"/>
          <w:spacing w:val="-58"/>
          <w:sz w:val="31"/>
          <w:szCs w:val="31"/>
        </w:rPr>
        <w:t xml:space="preserve"> </w:t>
      </w:r>
      <w:r>
        <w:rPr>
          <w:rFonts w:ascii="宋体" w:hAnsi="宋体" w:eastAsia="宋体" w:cs="宋体"/>
          <w:spacing w:val="-3"/>
          <w:sz w:val="31"/>
          <w:szCs w:val="31"/>
          <w14:textOutline w14:w="5793" w14:cap="sq" w14:cmpd="sng">
            <w14:solidFill>
              <w14:srgbClr w14:val="000000"/>
            </w14:solidFill>
            <w14:prstDash w14:val="solid"/>
            <w14:bevel/>
          </w14:textOutline>
        </w:rPr>
        <w:t>年</w:t>
      </w:r>
      <w:r>
        <w:rPr>
          <w:rFonts w:ascii="宋体" w:hAnsi="宋体" w:eastAsia="宋体" w:cs="宋体"/>
          <w:spacing w:val="-56"/>
          <w:sz w:val="31"/>
          <w:szCs w:val="31"/>
        </w:rPr>
        <w:t xml:space="preserve"> </w:t>
      </w:r>
      <w:r>
        <w:rPr>
          <w:rFonts w:hint="eastAsia" w:ascii="宋体" w:hAnsi="宋体" w:eastAsia="宋体" w:cs="宋体"/>
          <w:spacing w:val="-3"/>
          <w:sz w:val="31"/>
          <w:szCs w:val="31"/>
          <w:lang w:val="en-US" w:eastAsia="zh-CN"/>
          <w14:textOutline w14:w="5793" w14:cap="sq" w14:cmpd="sng">
            <w14:solidFill>
              <w14:srgbClr w14:val="000000"/>
            </w14:solidFill>
            <w14:prstDash w14:val="solid"/>
            <w14:bevel/>
          </w14:textOutline>
        </w:rPr>
        <w:t>8</w:t>
      </w:r>
      <w:r>
        <w:rPr>
          <w:rFonts w:ascii="宋体" w:hAnsi="宋体" w:eastAsia="宋体" w:cs="宋体"/>
          <w:spacing w:val="-3"/>
          <w:sz w:val="31"/>
          <w:szCs w:val="31"/>
          <w14:textOutline w14:w="5793" w14:cap="sq" w14:cmpd="sng">
            <w14:solidFill>
              <w14:srgbClr w14:val="000000"/>
            </w14:solidFill>
            <w14:prstDash w14:val="solid"/>
            <w14:bevel/>
          </w14:textOutline>
        </w:rPr>
        <w:t>月</w:t>
      </w:r>
    </w:p>
    <w:p>
      <w:pPr>
        <w:spacing w:line="225" w:lineRule="auto"/>
        <w:rPr>
          <w:rFonts w:ascii="宋体" w:hAnsi="宋体" w:eastAsia="宋体" w:cs="宋体"/>
          <w:sz w:val="31"/>
          <w:szCs w:val="31"/>
        </w:rPr>
        <w:sectPr>
          <w:footerReference r:id="rId5" w:type="default"/>
          <w:pgSz w:w="11907" w:h="16840"/>
          <w:pgMar w:top="1088" w:right="1344" w:bottom="884" w:left="1786" w:header="0" w:footer="624" w:gutter="0"/>
          <w:pgNumType w:fmt="decimal"/>
          <w:cols w:space="0" w:num="1"/>
          <w:rtlGutter w:val="0"/>
          <w:docGrid w:linePitch="0" w:charSpace="0"/>
        </w:sectPr>
      </w:pPr>
    </w:p>
    <w:p>
      <w:pPr>
        <w:spacing w:line="700" w:lineRule="exact"/>
        <w:ind w:left="1440" w:hanging="1680" w:hangingChars="600"/>
        <w:rPr>
          <w:rFonts w:hint="eastAsia" w:asciiTheme="minorEastAsia" w:hAnsiTheme="minorEastAsia" w:eastAsiaTheme="minorEastAsia" w:cstheme="minorEastAsia"/>
          <w:color w:val="auto"/>
          <w:sz w:val="28"/>
          <w:szCs w:val="28"/>
          <w:highlight w:val="none"/>
        </w:rPr>
      </w:pPr>
    </w:p>
    <w:p>
      <w:pPr>
        <w:spacing w:line="700" w:lineRule="exact"/>
        <w:ind w:left="1440" w:hanging="1680" w:hangingChars="600"/>
        <w:rPr>
          <w:rFonts w:hint="eastAsia" w:asciiTheme="minorEastAsia" w:hAnsiTheme="minorEastAsia" w:eastAsiaTheme="minorEastAsia" w:cstheme="minorEastAsia"/>
          <w:color w:val="auto"/>
          <w:sz w:val="28"/>
          <w:szCs w:val="28"/>
          <w:highlight w:val="none"/>
        </w:rPr>
      </w:pPr>
    </w:p>
    <w:p>
      <w:pPr>
        <w:pStyle w:val="3"/>
        <w:rPr>
          <w:rFonts w:hint="eastAsia" w:asciiTheme="minorEastAsia" w:hAnsiTheme="minorEastAsia" w:eastAsiaTheme="minorEastAsia" w:cstheme="minorEastAsia"/>
          <w:color w:val="auto"/>
          <w:sz w:val="28"/>
          <w:szCs w:val="28"/>
          <w:highlight w:val="none"/>
        </w:rPr>
      </w:pPr>
    </w:p>
    <w:p>
      <w:pPr>
        <w:rPr>
          <w:rFonts w:hint="eastAsia"/>
        </w:rPr>
      </w:pPr>
    </w:p>
    <w:p>
      <w:pPr>
        <w:spacing w:line="700" w:lineRule="exact"/>
        <w:ind w:left="1440" w:hanging="1680" w:hangingChars="6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项 目 名 称：</w:t>
      </w:r>
      <w:r>
        <w:rPr>
          <w:rFonts w:hint="eastAsia" w:asciiTheme="minorEastAsia" w:hAnsiTheme="minorEastAsia" w:eastAsiaTheme="minorEastAsia" w:cstheme="minorEastAsia"/>
          <w:color w:val="auto"/>
          <w:sz w:val="28"/>
          <w:szCs w:val="28"/>
          <w:highlight w:val="none"/>
          <w:lang w:eastAsia="zh-CN"/>
        </w:rPr>
        <w:t>尼勒克县基层阵地及公共服务管理设施建设项目</w:t>
      </w:r>
    </w:p>
    <w:p>
      <w:pPr>
        <w:spacing w:line="70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  购  人（公章）：</w:t>
      </w:r>
      <w:r>
        <w:rPr>
          <w:rFonts w:hint="eastAsia" w:asciiTheme="minorEastAsia" w:hAnsiTheme="minorEastAsia" w:eastAsiaTheme="minorEastAsia" w:cstheme="minorEastAsia"/>
          <w:color w:val="auto"/>
          <w:sz w:val="28"/>
          <w:szCs w:val="28"/>
          <w:highlight w:val="none"/>
          <w:lang w:eastAsia="zh-CN"/>
        </w:rPr>
        <w:t>中共尼勒克县委员会政法委员会</w:t>
      </w:r>
    </w:p>
    <w:p>
      <w:pPr>
        <w:spacing w:line="700" w:lineRule="exact"/>
        <w:rPr>
          <w:rFonts w:hint="eastAsia" w:asciiTheme="minorEastAsia" w:hAnsiTheme="minorEastAsia" w:eastAsiaTheme="minorEastAsia" w:cstheme="minorEastAsia"/>
          <w:color w:val="auto"/>
          <w:sz w:val="28"/>
          <w:szCs w:val="28"/>
          <w:highlight w:val="yellow"/>
          <w:lang w:eastAsia="zh-CN"/>
        </w:rPr>
      </w:pPr>
      <w:r>
        <w:rPr>
          <w:rFonts w:hint="eastAsia" w:asciiTheme="minorEastAsia" w:hAnsiTheme="minorEastAsia" w:eastAsiaTheme="minorEastAsia" w:cstheme="minorEastAsia"/>
          <w:color w:val="auto"/>
          <w:sz w:val="28"/>
          <w:szCs w:val="28"/>
          <w:highlight w:val="none"/>
        </w:rPr>
        <w:t>联  系  人：</w:t>
      </w:r>
      <w:r>
        <w:rPr>
          <w:rFonts w:hint="eastAsia" w:asciiTheme="minorEastAsia" w:hAnsiTheme="minorEastAsia" w:eastAsiaTheme="minorEastAsia" w:cstheme="minorEastAsia"/>
          <w:color w:val="auto"/>
          <w:sz w:val="28"/>
          <w:szCs w:val="28"/>
          <w:highlight w:val="none"/>
          <w:lang w:val="en-US" w:eastAsia="zh-CN"/>
        </w:rPr>
        <w:t>罗红英</w:t>
      </w:r>
    </w:p>
    <w:p>
      <w:pPr>
        <w:spacing w:line="50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电      话：</w:t>
      </w:r>
      <w:r>
        <w:rPr>
          <w:rFonts w:hint="eastAsia" w:asciiTheme="minorEastAsia" w:hAnsiTheme="minorEastAsia" w:eastAsiaTheme="minorEastAsia" w:cstheme="minorEastAsia"/>
          <w:color w:val="auto"/>
          <w:sz w:val="28"/>
          <w:szCs w:val="28"/>
          <w:highlight w:val="none"/>
          <w:lang w:val="en-US" w:eastAsia="zh-CN"/>
        </w:rPr>
        <w:t>18909997357</w:t>
      </w:r>
    </w:p>
    <w:p>
      <w:pPr>
        <w:pStyle w:val="39"/>
        <w:spacing w:line="500" w:lineRule="exact"/>
        <w:rPr>
          <w:rFonts w:hint="eastAsia" w:asciiTheme="minorEastAsia" w:hAnsiTheme="minorEastAsia" w:eastAsiaTheme="minorEastAsia" w:cstheme="minorEastAsia"/>
          <w:color w:val="auto"/>
          <w:sz w:val="28"/>
          <w:szCs w:val="28"/>
          <w:highlight w:val="none"/>
        </w:rPr>
      </w:pPr>
    </w:p>
    <w:p>
      <w:pPr>
        <w:pStyle w:val="40"/>
        <w:spacing w:line="500" w:lineRule="exact"/>
        <w:rPr>
          <w:rFonts w:hint="eastAsia" w:asciiTheme="minorEastAsia" w:hAnsiTheme="minorEastAsia" w:eastAsiaTheme="minorEastAsia" w:cstheme="minorEastAsia"/>
          <w:color w:val="auto"/>
          <w:sz w:val="28"/>
          <w:szCs w:val="28"/>
          <w:highlight w:val="none"/>
        </w:rPr>
      </w:pPr>
    </w:p>
    <w:p>
      <w:pPr>
        <w:spacing w:line="500" w:lineRule="exact"/>
        <w:rPr>
          <w:rFonts w:hint="eastAsia" w:asciiTheme="minorEastAsia" w:hAnsiTheme="minorEastAsia" w:eastAsiaTheme="minorEastAsia" w:cstheme="minorEastAsia"/>
          <w:color w:val="auto"/>
          <w:sz w:val="28"/>
          <w:szCs w:val="28"/>
          <w:highlight w:val="none"/>
        </w:rPr>
      </w:pPr>
    </w:p>
    <w:p>
      <w:pPr>
        <w:spacing w:line="70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采购代理构（公章）：</w:t>
      </w:r>
      <w:r>
        <w:rPr>
          <w:rFonts w:hint="eastAsia" w:asciiTheme="minorEastAsia" w:hAnsiTheme="minorEastAsia" w:eastAsiaTheme="minorEastAsia" w:cstheme="minorEastAsia"/>
          <w:color w:val="auto"/>
          <w:sz w:val="28"/>
          <w:szCs w:val="28"/>
          <w:highlight w:val="none"/>
          <w:lang w:eastAsia="zh-CN"/>
        </w:rPr>
        <w:t>尼勒克县政府采购中心</w:t>
      </w:r>
    </w:p>
    <w:p>
      <w:pPr>
        <w:spacing w:line="700" w:lineRule="exac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电      话：</w:t>
      </w:r>
      <w:r>
        <w:rPr>
          <w:rFonts w:hint="eastAsia" w:asciiTheme="minorEastAsia" w:hAnsiTheme="minorEastAsia" w:eastAsiaTheme="minorEastAsia" w:cstheme="minorEastAsia"/>
          <w:sz w:val="28"/>
          <w:szCs w:val="28"/>
          <w:lang w:val="en-US" w:eastAsia="zh-CN"/>
        </w:rPr>
        <w:t>15559219282</w:t>
      </w:r>
    </w:p>
    <w:p>
      <w:pPr>
        <w:spacing w:line="700" w:lineRule="exact"/>
        <w:ind w:left="1560" w:hanging="1820" w:hangingChars="65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lang w:eastAsia="zh-CN"/>
        </w:rPr>
        <w:t>尼勒克县政府采购中心</w:t>
      </w:r>
    </w:p>
    <w:p>
      <w:pPr>
        <w:rPr>
          <w:rFonts w:cs="仿宋"/>
          <w:color w:val="auto"/>
          <w:sz w:val="28"/>
          <w:szCs w:val="28"/>
          <w:highlight w:val="none"/>
        </w:rPr>
      </w:pPr>
    </w:p>
    <w:p>
      <w:pPr>
        <w:rPr>
          <w:rFonts w:cs="仿宋"/>
          <w:color w:val="auto"/>
          <w:sz w:val="28"/>
          <w:szCs w:val="28"/>
          <w:highlight w:val="none"/>
        </w:rPr>
      </w:pPr>
    </w:p>
    <w:p>
      <w:pPr>
        <w:rPr>
          <w:rFonts w:cs="仿宋"/>
          <w:color w:val="auto"/>
          <w:sz w:val="28"/>
          <w:szCs w:val="28"/>
          <w:highlight w:val="none"/>
        </w:rPr>
      </w:pPr>
    </w:p>
    <w:p>
      <w:pPr>
        <w:pStyle w:val="7"/>
        <w:rPr>
          <w:color w:val="auto"/>
          <w:highlight w:val="none"/>
        </w:rPr>
      </w:pPr>
    </w:p>
    <w:p>
      <w:pPr>
        <w:rPr>
          <w:color w:val="auto"/>
          <w:highlight w:val="none"/>
        </w:rPr>
      </w:pPr>
      <w:r>
        <w:rPr>
          <w:color w:val="auto"/>
          <w:highlight w:val="none"/>
        </w:rPr>
        <w:br w:type="page"/>
      </w:r>
    </w:p>
    <w:p>
      <w:pPr>
        <w:rPr>
          <w:color w:val="auto"/>
          <w:highlight w:val="none"/>
        </w:rPr>
      </w:pPr>
    </w:p>
    <w:p>
      <w:pPr>
        <w:spacing w:line="480" w:lineRule="auto"/>
        <w:jc w:val="center"/>
        <w:outlineLvl w:val="0"/>
        <w:rPr>
          <w:rFonts w:cs="宋体"/>
          <w:b/>
          <w:color w:val="auto"/>
          <w:sz w:val="36"/>
          <w:szCs w:val="36"/>
          <w:highlight w:val="none"/>
        </w:rPr>
      </w:pPr>
      <w:r>
        <w:rPr>
          <w:rFonts w:hint="eastAsia" w:cs="宋体"/>
          <w:b/>
          <w:color w:val="auto"/>
          <w:sz w:val="36"/>
          <w:szCs w:val="36"/>
          <w:highlight w:val="none"/>
        </w:rPr>
        <w:t>总  目  录</w:t>
      </w:r>
      <w:bookmarkEnd w:id="0"/>
      <w:bookmarkEnd w:id="1"/>
      <w:bookmarkEnd w:id="2"/>
      <w:bookmarkEnd w:id="3"/>
      <w:bookmarkEnd w:id="4"/>
      <w:bookmarkEnd w:id="5"/>
      <w:bookmarkEnd w:id="6"/>
      <w:bookmarkEnd w:id="7"/>
    </w:p>
    <w:p>
      <w:pPr>
        <w:pStyle w:val="7"/>
        <w:rPr>
          <w:rFonts w:hAnsi="宋体"/>
          <w:b/>
          <w:color w:val="auto"/>
          <w:highlight w:val="none"/>
        </w:rPr>
      </w:pPr>
      <w:r>
        <w:rPr>
          <w:rFonts w:hint="eastAsia" w:hAnsi="宋体"/>
          <w:b/>
          <w:color w:val="auto"/>
          <w:highlight w:val="none"/>
        </w:rPr>
        <w:t>第一章 公开招标公告</w:t>
      </w:r>
    </w:p>
    <w:p>
      <w:pPr>
        <w:pStyle w:val="7"/>
        <w:rPr>
          <w:rFonts w:hAnsi="宋体"/>
          <w:b/>
          <w:color w:val="auto"/>
          <w:highlight w:val="none"/>
        </w:rPr>
      </w:pPr>
      <w:r>
        <w:rPr>
          <w:rFonts w:hint="eastAsia" w:hAnsi="宋体"/>
          <w:b/>
          <w:color w:val="auto"/>
          <w:highlight w:val="none"/>
        </w:rPr>
        <w:t>第二章 投标人须知</w:t>
      </w:r>
    </w:p>
    <w:p>
      <w:pPr>
        <w:pStyle w:val="7"/>
        <w:rPr>
          <w:rFonts w:hAnsi="宋体"/>
          <w:b/>
          <w:color w:val="auto"/>
          <w:highlight w:val="none"/>
        </w:rPr>
      </w:pPr>
      <w:r>
        <w:rPr>
          <w:rFonts w:hint="eastAsia" w:hAnsi="宋体"/>
          <w:b/>
          <w:color w:val="auto"/>
          <w:highlight w:val="none"/>
        </w:rPr>
        <w:t>第三章 评审标准</w:t>
      </w:r>
    </w:p>
    <w:p>
      <w:pPr>
        <w:pStyle w:val="7"/>
        <w:rPr>
          <w:rFonts w:hAnsi="宋体"/>
          <w:b/>
          <w:color w:val="auto"/>
          <w:highlight w:val="none"/>
        </w:rPr>
      </w:pPr>
      <w:r>
        <w:rPr>
          <w:rFonts w:hint="eastAsia" w:hAnsi="宋体"/>
          <w:b/>
          <w:color w:val="auto"/>
          <w:highlight w:val="none"/>
        </w:rPr>
        <w:t>第四章 合同条款及格式</w:t>
      </w:r>
    </w:p>
    <w:p>
      <w:pPr>
        <w:pStyle w:val="7"/>
        <w:rPr>
          <w:rFonts w:hAnsi="宋体"/>
          <w:b/>
          <w:color w:val="auto"/>
          <w:highlight w:val="none"/>
        </w:rPr>
      </w:pPr>
      <w:r>
        <w:rPr>
          <w:rFonts w:hint="eastAsia" w:hAnsi="宋体"/>
          <w:b/>
          <w:color w:val="auto"/>
          <w:highlight w:val="none"/>
        </w:rPr>
        <w:t>第五章 项目需求</w:t>
      </w:r>
    </w:p>
    <w:p>
      <w:pPr>
        <w:pStyle w:val="7"/>
        <w:rPr>
          <w:rFonts w:hAnsi="宋体"/>
          <w:b/>
          <w:color w:val="auto"/>
          <w:highlight w:val="none"/>
        </w:rPr>
      </w:pPr>
      <w:r>
        <w:rPr>
          <w:rFonts w:hint="eastAsia" w:hAnsi="宋体"/>
          <w:b/>
          <w:color w:val="auto"/>
          <w:highlight w:val="none"/>
        </w:rPr>
        <w:t>第六章 招标代理合同</w:t>
      </w:r>
    </w:p>
    <w:p>
      <w:pPr>
        <w:pStyle w:val="7"/>
        <w:rPr>
          <w:rFonts w:hAnsi="宋体"/>
          <w:b/>
          <w:color w:val="auto"/>
          <w:highlight w:val="none"/>
        </w:rPr>
      </w:pPr>
      <w:r>
        <w:rPr>
          <w:rFonts w:hint="eastAsia" w:hAnsi="宋体"/>
          <w:b/>
          <w:color w:val="auto"/>
          <w:highlight w:val="none"/>
        </w:rPr>
        <w:t>第七章 投标文件格式</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7"/>
        <w:rPr>
          <w:color w:val="auto"/>
          <w:highlight w:val="none"/>
        </w:rPr>
      </w:pPr>
    </w:p>
    <w:p>
      <w:pPr>
        <w:pStyle w:val="41"/>
        <w:ind w:firstLine="618" w:firstLineChars="171"/>
        <w:jc w:val="center"/>
        <w:rPr>
          <w:b/>
          <w:color w:val="auto"/>
          <w:sz w:val="36"/>
          <w:szCs w:val="36"/>
          <w:highlight w:val="none"/>
        </w:rPr>
        <w:sectPr>
          <w:headerReference r:id="rId6" w:type="default"/>
          <w:footerReference r:id="rId7" w:type="default"/>
          <w:footnotePr>
            <w:numFmt w:val="decimalEnclosedCircleChinese"/>
          </w:footnotePr>
          <w:pgSz w:w="11906" w:h="16838"/>
          <w:pgMar w:top="1418" w:right="1418" w:bottom="1418" w:left="1418" w:header="567" w:footer="567" w:gutter="0"/>
          <w:cols w:space="720" w:num="1"/>
          <w:docGrid w:linePitch="312" w:charSpace="0"/>
        </w:sectPr>
      </w:pPr>
      <w:bookmarkStart w:id="15" w:name="_Toc403987202"/>
      <w:bookmarkStart w:id="16" w:name="OLE_LINK3"/>
    </w:p>
    <w:p>
      <w:pPr>
        <w:pStyle w:val="41"/>
        <w:ind w:firstLine="618" w:firstLineChars="171"/>
        <w:jc w:val="center"/>
        <w:rPr>
          <w:rFonts w:hint="eastAsia" w:ascii="宋体" w:hAnsi="宋体" w:cs="宋体"/>
          <w:b/>
          <w:bCs/>
          <w:kern w:val="0"/>
          <w:sz w:val="36"/>
          <w:szCs w:val="36"/>
          <w:lang w:val="en-US" w:eastAsia="zh-CN" w:bidi="ar"/>
        </w:rPr>
      </w:pPr>
      <w:r>
        <w:rPr>
          <w:rFonts w:hint="eastAsia"/>
          <w:b/>
          <w:color w:val="auto"/>
          <w:sz w:val="36"/>
          <w:szCs w:val="36"/>
          <w:highlight w:val="none"/>
        </w:rPr>
        <w:t xml:space="preserve">第一章  </w:t>
      </w:r>
      <w:r>
        <w:rPr>
          <w:rFonts w:hint="eastAsia"/>
          <w:b/>
          <w:color w:val="auto"/>
          <w:sz w:val="36"/>
          <w:szCs w:val="36"/>
          <w:highlight w:val="none"/>
        </w:rPr>
        <w:tab/>
      </w:r>
      <w:r>
        <w:rPr>
          <w:rFonts w:hint="eastAsia"/>
          <w:b/>
          <w:color w:val="auto"/>
          <w:sz w:val="36"/>
          <w:szCs w:val="36"/>
          <w:highlight w:val="none"/>
        </w:rPr>
        <w:t>公开招标公告</w:t>
      </w:r>
      <w:bookmarkEnd w:id="15"/>
      <w:bookmarkEnd w:id="16"/>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sz w:val="36"/>
          <w:szCs w:val="36"/>
          <w:lang w:eastAsia="zh-CN"/>
        </w:rPr>
        <w:t>尼勒克县基层阵地及公共服务管理设施建设项目</w:t>
      </w:r>
      <w:r>
        <w:rPr>
          <w:rFonts w:ascii="微软雅黑" w:hAnsi="微软雅黑" w:eastAsia="微软雅黑" w:cs="微软雅黑"/>
          <w:b/>
          <w:bCs/>
          <w:i w:val="0"/>
          <w:iCs w:val="0"/>
          <w:caps w:val="0"/>
          <w:color w:val="000000"/>
          <w:spacing w:val="0"/>
          <w:sz w:val="36"/>
          <w:szCs w:val="36"/>
        </w:rPr>
        <w:t>的</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微软雅黑" w:hAnsi="微软雅黑" w:eastAsia="微软雅黑" w:cs="微软雅黑"/>
          <w:b/>
          <w:bCs/>
          <w:i w:val="0"/>
          <w:iCs w:val="0"/>
          <w:caps w:val="0"/>
          <w:color w:val="000000"/>
          <w:spacing w:val="0"/>
          <w:sz w:val="36"/>
          <w:szCs w:val="36"/>
        </w:rPr>
      </w:pPr>
      <w:r>
        <w:rPr>
          <w:rFonts w:ascii="微软雅黑" w:hAnsi="微软雅黑" w:eastAsia="微软雅黑" w:cs="微软雅黑"/>
          <w:b/>
          <w:bCs/>
          <w:i w:val="0"/>
          <w:iCs w:val="0"/>
          <w:caps w:val="0"/>
          <w:color w:val="000000"/>
          <w:spacing w:val="0"/>
          <w:sz w:val="36"/>
          <w:szCs w:val="36"/>
        </w:rPr>
        <w:t>公开招标公告</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微软雅黑" w:hAnsi="微软雅黑" w:eastAsia="微软雅黑" w:cs="微软雅黑"/>
          <w:b/>
          <w:bCs/>
          <w:i w:val="0"/>
          <w:iCs w:val="0"/>
          <w:caps w:val="0"/>
          <w:color w:val="000000"/>
          <w:spacing w:val="0"/>
          <w:sz w:val="36"/>
          <w:szCs w:val="36"/>
          <w:lang w:val="en-US" w:eastAsia="zh-CN"/>
        </w:rPr>
      </w:pPr>
      <w:r>
        <w:rPr>
          <w:sz w:val="36"/>
          <w:szCs w:val="28"/>
        </w:rPr>
        <mc:AlternateContent>
          <mc:Choice Requires="wps">
            <w:drawing>
              <wp:anchor distT="0" distB="0" distL="114300" distR="114300" simplePos="0" relativeHeight="251667456" behindDoc="1" locked="0" layoutInCell="1" allowOverlap="1">
                <wp:simplePos x="0" y="0"/>
                <wp:positionH relativeFrom="column">
                  <wp:posOffset>-153670</wp:posOffset>
                </wp:positionH>
                <wp:positionV relativeFrom="paragraph">
                  <wp:posOffset>268605</wp:posOffset>
                </wp:positionV>
                <wp:extent cx="6015355" cy="1083310"/>
                <wp:effectExtent l="6350" t="6350" r="17145" b="15240"/>
                <wp:wrapNone/>
                <wp:docPr id="2" name="矩形 2"/>
                <wp:cNvGraphicFramePr/>
                <a:graphic xmlns:a="http://schemas.openxmlformats.org/drawingml/2006/main">
                  <a:graphicData uri="http://schemas.microsoft.com/office/word/2010/wordprocessingShape">
                    <wps:wsp>
                      <wps:cNvSpPr/>
                      <wps:spPr>
                        <a:xfrm>
                          <a:off x="1013460" y="1610995"/>
                          <a:ext cx="6015355" cy="10833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1pt;margin-top:21.15pt;height:85.3pt;width:473.65pt;z-index:-251649024;v-text-anchor:middle;mso-width-relative:page;mso-height-relative:page;" fillcolor="#FFFFFF [3201]" filled="t" stroked="t" coordsize="21600,21600" o:gfxdata="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9ex5C1wAAAAoBAAAPAAAAAAAAAAEAIAAAACIA&#10;AABkcnMvZG93bnJldi54bWxQSwECFAAUAAAACACHTuJAyVu6eHwCAAABBQAADgAAAAAAAAABACAA&#10;AAAmAQAAZHJzL2Uyb0RvYy54bWxQSwUGAAAAAAYABgBZAQAAFAYAAAAA&#10;">
                <v:fill on="t" focussize="0,0"/>
                <v:stroke weight="1pt" color="#000000 [3213]" miterlimit="8" joinstyle="miter"/>
                <v:imagedata o:title=""/>
                <o:lock v:ext="edit" aspectratio="f"/>
              </v:rect>
            </w:pict>
          </mc:Fallback>
        </mc:AlternateConten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textAlignment w:val="auto"/>
        <w:rPr>
          <w:sz w:val="28"/>
          <w:szCs w:val="28"/>
        </w:rPr>
      </w:pPr>
      <w:r>
        <w:rPr>
          <w:rFonts w:hint="eastAsia" w:ascii="仿宋" w:hAnsi="仿宋" w:eastAsia="仿宋" w:cs="仿宋"/>
          <w:i w:val="0"/>
          <w:iCs w:val="0"/>
          <w:caps w:val="0"/>
          <w:color w:val="000000"/>
          <w:spacing w:val="0"/>
          <w:sz w:val="28"/>
          <w:szCs w:val="28"/>
          <w:lang w:val="en-US" w:eastAsia="zh-CN"/>
        </w:rPr>
        <w:t>项</w:t>
      </w:r>
      <w:r>
        <w:rPr>
          <w:rFonts w:ascii="仿宋" w:hAnsi="仿宋" w:eastAsia="仿宋" w:cs="仿宋"/>
          <w:i w:val="0"/>
          <w:iCs w:val="0"/>
          <w:caps w:val="0"/>
          <w:color w:val="000000"/>
          <w:spacing w:val="0"/>
          <w:sz w:val="28"/>
          <w:szCs w:val="28"/>
        </w:rPr>
        <w:t>目概况</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firstLine="560" w:firstLineChars="200"/>
        <w:textAlignment w:val="auto"/>
        <w:rPr>
          <w:sz w:val="28"/>
          <w:szCs w:val="28"/>
        </w:rPr>
      </w:pPr>
      <w:r>
        <w:rPr>
          <w:rFonts w:hint="eastAsia" w:ascii="仿宋" w:hAnsi="仿宋" w:eastAsia="仿宋" w:cs="仿宋"/>
          <w:i w:val="0"/>
          <w:iCs w:val="0"/>
          <w:caps w:val="0"/>
          <w:color w:val="000000"/>
          <w:spacing w:val="0"/>
          <w:sz w:val="28"/>
          <w:szCs w:val="28"/>
          <w:u w:val="single"/>
          <w:lang w:eastAsia="zh-CN"/>
        </w:rPr>
        <w:t>尼勒克县基层阵地及公共服务管理设施建设项目</w:t>
      </w:r>
      <w:r>
        <w:rPr>
          <w:rFonts w:hint="eastAsia" w:ascii="仿宋" w:hAnsi="仿宋" w:eastAsia="仿宋" w:cs="仿宋"/>
          <w:i w:val="0"/>
          <w:iCs w:val="0"/>
          <w:caps w:val="0"/>
          <w:color w:val="000000"/>
          <w:spacing w:val="0"/>
          <w:sz w:val="28"/>
          <w:szCs w:val="28"/>
        </w:rPr>
        <w:t>招标项目的潜在投标人应在</w:t>
      </w:r>
      <w:r>
        <w:rPr>
          <w:rFonts w:hint="eastAsia" w:ascii="仿宋" w:hAnsi="仿宋" w:eastAsia="仿宋" w:cs="仿宋"/>
          <w:i w:val="0"/>
          <w:iCs w:val="0"/>
          <w:caps w:val="0"/>
          <w:color w:val="000000"/>
          <w:spacing w:val="0"/>
          <w:sz w:val="28"/>
          <w:szCs w:val="28"/>
          <w:u w:val="single"/>
        </w:rPr>
        <w:t>政采云平台</w:t>
      </w:r>
      <w:r>
        <w:rPr>
          <w:rFonts w:hint="eastAsia" w:ascii="仿宋" w:hAnsi="仿宋" w:eastAsia="仿宋" w:cs="仿宋"/>
          <w:i w:val="0"/>
          <w:iCs w:val="0"/>
          <w:caps w:val="0"/>
          <w:color w:val="000000"/>
          <w:spacing w:val="0"/>
          <w:sz w:val="28"/>
          <w:szCs w:val="28"/>
        </w:rPr>
        <w:t>线上获取获取招标文件，并于</w:t>
      </w:r>
      <w:r>
        <w:rPr>
          <w:rFonts w:hint="eastAsia" w:ascii="仿宋" w:hAnsi="仿宋" w:eastAsia="仿宋" w:cs="仿宋"/>
          <w:i w:val="0"/>
          <w:iCs w:val="0"/>
          <w:caps w:val="0"/>
          <w:color w:val="auto"/>
          <w:spacing w:val="0"/>
          <w:sz w:val="28"/>
          <w:szCs w:val="28"/>
        </w:rPr>
        <w:t>2023年0</w:t>
      </w:r>
      <w:r>
        <w:rPr>
          <w:rFonts w:hint="eastAsia" w:ascii="仿宋" w:hAnsi="仿宋" w:eastAsia="仿宋" w:cs="仿宋"/>
          <w:i w:val="0"/>
          <w:iCs w:val="0"/>
          <w:caps w:val="0"/>
          <w:color w:val="auto"/>
          <w:spacing w:val="0"/>
          <w:sz w:val="28"/>
          <w:szCs w:val="28"/>
          <w:lang w:val="en-US" w:eastAsia="zh-CN"/>
        </w:rPr>
        <w:t>9</w:t>
      </w:r>
      <w:r>
        <w:rPr>
          <w:rFonts w:hint="eastAsia" w:ascii="仿宋" w:hAnsi="仿宋" w:eastAsia="仿宋" w:cs="仿宋"/>
          <w:i w:val="0"/>
          <w:iCs w:val="0"/>
          <w:caps w:val="0"/>
          <w:color w:val="auto"/>
          <w:spacing w:val="0"/>
          <w:sz w:val="28"/>
          <w:szCs w:val="28"/>
        </w:rPr>
        <w:t>月</w:t>
      </w:r>
      <w:r>
        <w:rPr>
          <w:rFonts w:hint="eastAsia" w:ascii="仿宋" w:hAnsi="仿宋" w:eastAsia="仿宋" w:cs="仿宋"/>
          <w:i w:val="0"/>
          <w:iCs w:val="0"/>
          <w:caps w:val="0"/>
          <w:color w:val="auto"/>
          <w:spacing w:val="0"/>
          <w:sz w:val="28"/>
          <w:szCs w:val="28"/>
          <w:lang w:val="en-US" w:eastAsia="zh-CN"/>
        </w:rPr>
        <w:t>14</w:t>
      </w:r>
      <w:r>
        <w:rPr>
          <w:rFonts w:hint="eastAsia" w:ascii="仿宋" w:hAnsi="仿宋" w:eastAsia="仿宋" w:cs="仿宋"/>
          <w:i w:val="0"/>
          <w:iCs w:val="0"/>
          <w:caps w:val="0"/>
          <w:color w:val="auto"/>
          <w:spacing w:val="0"/>
          <w:sz w:val="28"/>
          <w:szCs w:val="28"/>
        </w:rPr>
        <w:t>日 1</w:t>
      </w:r>
      <w:r>
        <w:rPr>
          <w:rFonts w:hint="eastAsia" w:ascii="仿宋" w:hAnsi="仿宋" w:eastAsia="仿宋" w:cs="仿宋"/>
          <w:i w:val="0"/>
          <w:iCs w:val="0"/>
          <w:caps w:val="0"/>
          <w:color w:val="auto"/>
          <w:spacing w:val="0"/>
          <w:sz w:val="28"/>
          <w:szCs w:val="28"/>
          <w:lang w:val="en-US" w:eastAsia="zh-CN"/>
        </w:rPr>
        <w:t>6</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0（北京时间）前递交投标文件。</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jc w:val="both"/>
        <w:textAlignment w:val="auto"/>
        <w:rPr>
          <w:rStyle w:val="25"/>
          <w:rFonts w:ascii="黑体" w:hAnsi="宋体" w:eastAsia="黑体" w:cs="黑体"/>
          <w:i w:val="0"/>
          <w:iCs w:val="0"/>
          <w:caps w:val="0"/>
          <w:color w:val="000000"/>
          <w:spacing w:val="0"/>
          <w:sz w:val="28"/>
          <w:szCs w:val="28"/>
        </w:rPr>
      </w:pP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jc w:val="both"/>
        <w:textAlignment w:val="auto"/>
        <w:rPr>
          <w:rFonts w:ascii="黑体" w:hAnsi="宋体" w:eastAsia="黑体" w:cs="黑体"/>
          <w:i w:val="0"/>
          <w:iCs w:val="0"/>
          <w:caps w:val="0"/>
          <w:color w:val="000000"/>
          <w:spacing w:val="0"/>
          <w:sz w:val="28"/>
          <w:szCs w:val="28"/>
        </w:rPr>
      </w:pPr>
      <w:r>
        <w:rPr>
          <w:rStyle w:val="25"/>
          <w:rFonts w:ascii="黑体" w:hAnsi="宋体" w:eastAsia="黑体" w:cs="黑体"/>
          <w:i w:val="0"/>
          <w:iCs w:val="0"/>
          <w:caps w:val="0"/>
          <w:color w:val="000000"/>
          <w:spacing w:val="0"/>
          <w:sz w:val="28"/>
          <w:szCs w:val="28"/>
        </w:rPr>
        <w:t>一、项目基本情况</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textAlignment w:val="auto"/>
        <w:rPr>
          <w:rFonts w:hint="eastAsia" w:eastAsia="仿宋"/>
          <w:sz w:val="28"/>
          <w:szCs w:val="28"/>
          <w:lang w:val="en-US" w:eastAsia="zh-CN"/>
        </w:rPr>
      </w:pPr>
      <w:r>
        <w:rPr>
          <w:rFonts w:hint="eastAsia" w:ascii="仿宋" w:hAnsi="仿宋" w:eastAsia="仿宋" w:cs="仿宋"/>
          <w:i w:val="0"/>
          <w:iCs w:val="0"/>
          <w:caps w:val="0"/>
          <w:color w:val="000000"/>
          <w:spacing w:val="0"/>
          <w:sz w:val="28"/>
          <w:szCs w:val="28"/>
        </w:rPr>
        <w:t>项目编号：</w:t>
      </w:r>
      <w:r>
        <w:rPr>
          <w:rFonts w:hint="eastAsia" w:ascii="仿宋" w:hAnsi="仿宋" w:eastAsia="仿宋" w:cs="仿宋"/>
          <w:i w:val="0"/>
          <w:iCs w:val="0"/>
          <w:caps w:val="0"/>
          <w:color w:val="auto"/>
          <w:spacing w:val="0"/>
          <w:sz w:val="28"/>
          <w:szCs w:val="28"/>
          <w:lang w:eastAsia="zh-CN"/>
        </w:rPr>
        <w:t>2023XJDG-NLKX-11</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textAlignment w:val="auto"/>
        <w:rPr>
          <w:rFonts w:hint="eastAsia" w:eastAsia="仿宋"/>
          <w:sz w:val="28"/>
          <w:szCs w:val="28"/>
          <w:lang w:eastAsia="zh-CN"/>
        </w:rPr>
      </w:pPr>
      <w:r>
        <w:rPr>
          <w:rFonts w:hint="eastAsia" w:ascii="仿宋" w:hAnsi="仿宋" w:eastAsia="仿宋" w:cs="仿宋"/>
          <w:i w:val="0"/>
          <w:iCs w:val="0"/>
          <w:caps w:val="0"/>
          <w:color w:val="000000"/>
          <w:spacing w:val="0"/>
          <w:sz w:val="28"/>
          <w:szCs w:val="28"/>
        </w:rPr>
        <w:t>项目名称：</w:t>
      </w:r>
      <w:r>
        <w:rPr>
          <w:rFonts w:hint="eastAsia" w:ascii="仿宋" w:hAnsi="仿宋" w:eastAsia="仿宋" w:cs="仿宋"/>
          <w:i w:val="0"/>
          <w:iCs w:val="0"/>
          <w:caps w:val="0"/>
          <w:color w:val="000000"/>
          <w:spacing w:val="0"/>
          <w:sz w:val="28"/>
          <w:szCs w:val="28"/>
          <w:lang w:eastAsia="zh-CN"/>
        </w:rPr>
        <w:t>尼勒克县基层阵地及公共服务管理设施建设项目</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textAlignment w:val="auto"/>
        <w:rPr>
          <w:sz w:val="28"/>
          <w:szCs w:val="28"/>
        </w:rPr>
      </w:pPr>
      <w:r>
        <w:rPr>
          <w:rFonts w:hint="eastAsia" w:ascii="仿宋" w:hAnsi="仿宋" w:eastAsia="仿宋" w:cs="仿宋"/>
          <w:i w:val="0"/>
          <w:iCs w:val="0"/>
          <w:caps w:val="0"/>
          <w:color w:val="000000"/>
          <w:spacing w:val="0"/>
          <w:sz w:val="28"/>
          <w:szCs w:val="28"/>
        </w:rPr>
        <w:t>采购方式：公开招标</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textAlignment w:val="auto"/>
        <w:rPr>
          <w:rFonts w:hint="default" w:eastAsia="仿宋"/>
          <w:sz w:val="28"/>
          <w:szCs w:val="28"/>
          <w:lang w:val="en-US" w:eastAsia="zh-CN"/>
        </w:rPr>
      </w:pPr>
      <w:r>
        <w:rPr>
          <w:rFonts w:hint="eastAsia" w:ascii="仿宋" w:hAnsi="仿宋" w:eastAsia="仿宋" w:cs="仿宋"/>
          <w:i w:val="0"/>
          <w:iCs w:val="0"/>
          <w:caps w:val="0"/>
          <w:color w:val="000000"/>
          <w:spacing w:val="0"/>
          <w:sz w:val="28"/>
          <w:szCs w:val="28"/>
        </w:rPr>
        <w:t>预算金额（元）：</w:t>
      </w:r>
      <w:r>
        <w:rPr>
          <w:rFonts w:hint="eastAsia" w:ascii="仿宋" w:hAnsi="仿宋" w:eastAsia="仿宋" w:cs="仿宋"/>
          <w:i w:val="0"/>
          <w:iCs w:val="0"/>
          <w:caps w:val="0"/>
          <w:color w:val="000000"/>
          <w:spacing w:val="0"/>
          <w:sz w:val="28"/>
          <w:szCs w:val="28"/>
          <w:lang w:val="en-US" w:eastAsia="zh-CN"/>
        </w:rPr>
        <w:t>6224804.61</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textAlignment w:val="auto"/>
        <w:rPr>
          <w:color w:val="auto"/>
          <w:sz w:val="28"/>
          <w:szCs w:val="28"/>
          <w:highlight w:val="none"/>
        </w:rPr>
      </w:pPr>
      <w:r>
        <w:rPr>
          <w:rFonts w:hint="eastAsia" w:ascii="仿宋" w:hAnsi="仿宋" w:eastAsia="仿宋" w:cs="仿宋"/>
          <w:i w:val="0"/>
          <w:iCs w:val="0"/>
          <w:caps w:val="0"/>
          <w:color w:val="auto"/>
          <w:spacing w:val="0"/>
          <w:sz w:val="28"/>
          <w:szCs w:val="28"/>
          <w:highlight w:val="none"/>
        </w:rPr>
        <w:t>最高限价（元）：</w:t>
      </w:r>
      <w:r>
        <w:rPr>
          <w:rFonts w:hint="eastAsia" w:ascii="仿宋" w:hAnsi="仿宋" w:eastAsia="仿宋" w:cs="仿宋"/>
          <w:i w:val="0"/>
          <w:iCs w:val="0"/>
          <w:caps w:val="0"/>
          <w:color w:val="auto"/>
          <w:spacing w:val="0"/>
          <w:sz w:val="28"/>
          <w:szCs w:val="28"/>
          <w:highlight w:val="none"/>
          <w:lang w:val="en-US" w:eastAsia="zh-CN"/>
        </w:rPr>
        <w:t>6224804.61</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textAlignment w:val="auto"/>
        <w:rPr>
          <w:color w:val="auto"/>
          <w:sz w:val="28"/>
          <w:szCs w:val="28"/>
          <w:highlight w:val="none"/>
        </w:rPr>
      </w:pPr>
      <w:r>
        <w:rPr>
          <w:rFonts w:hint="eastAsia" w:ascii="仿宋" w:hAnsi="仿宋" w:eastAsia="仿宋" w:cs="仿宋"/>
          <w:i w:val="0"/>
          <w:iCs w:val="0"/>
          <w:caps w:val="0"/>
          <w:color w:val="auto"/>
          <w:spacing w:val="0"/>
          <w:sz w:val="28"/>
          <w:szCs w:val="28"/>
          <w:highlight w:val="none"/>
        </w:rPr>
        <w:t>采购需求：</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textAlignment w:val="auto"/>
        <w:rPr>
          <w:rFonts w:hint="eastAsia" w:ascii="仿宋" w:hAnsi="仿宋" w:eastAsia="仿宋" w:cs="仿宋"/>
          <w:i w:val="0"/>
          <w:iCs w:val="0"/>
          <w:caps w:val="0"/>
          <w:color w:val="auto"/>
          <w:spacing w:val="0"/>
          <w:sz w:val="28"/>
          <w:szCs w:val="28"/>
          <w:highlight w:val="none"/>
          <w:lang w:eastAsia="zh-CN"/>
        </w:rPr>
      </w:pP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textAlignment w:val="auto"/>
        <w:rPr>
          <w:rFonts w:hint="eastAsia" w:ascii="仿宋" w:hAnsi="仿宋" w:eastAsia="仿宋" w:cs="仿宋"/>
          <w:i w:val="0"/>
          <w:iCs w:val="0"/>
          <w:caps w:val="0"/>
          <w:color w:val="auto"/>
          <w:spacing w:val="0"/>
          <w:sz w:val="28"/>
          <w:szCs w:val="28"/>
          <w:highlight w:val="none"/>
          <w:lang w:eastAsia="zh-CN"/>
        </w:rPr>
      </w:pPr>
      <w:r>
        <w:rPr>
          <w:rFonts w:hint="eastAsia" w:ascii="仿宋" w:hAnsi="仿宋" w:eastAsia="仿宋" w:cs="仿宋"/>
          <w:i w:val="0"/>
          <w:iCs w:val="0"/>
          <w:caps w:val="0"/>
          <w:color w:val="auto"/>
          <w:spacing w:val="0"/>
          <w:sz w:val="28"/>
          <w:szCs w:val="28"/>
          <w:highlight w:val="none"/>
        </w:rPr>
        <w:t>标项名称:</w:t>
      </w:r>
      <w:r>
        <w:rPr>
          <w:rFonts w:hint="eastAsia" w:ascii="仿宋" w:hAnsi="仿宋" w:eastAsia="仿宋" w:cs="仿宋"/>
          <w:i w:val="0"/>
          <w:iCs w:val="0"/>
          <w:caps w:val="0"/>
          <w:color w:val="auto"/>
          <w:spacing w:val="0"/>
          <w:sz w:val="28"/>
          <w:szCs w:val="28"/>
          <w:highlight w:val="none"/>
          <w:lang w:eastAsia="zh-CN"/>
        </w:rPr>
        <w:t>尼勒克县基层阵地及公共服务管理设施建设项目</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textAlignment w:val="auto"/>
        <w:rPr>
          <w:rFonts w:hint="eastAsia" w:ascii="仿宋" w:hAnsi="仿宋" w:eastAsia="仿宋" w:cs="仿宋"/>
          <w:i w:val="0"/>
          <w:iCs w:val="0"/>
          <w:caps w:val="0"/>
          <w:color w:val="auto"/>
          <w:spacing w:val="0"/>
          <w:sz w:val="28"/>
          <w:szCs w:val="28"/>
          <w:highlight w:val="none"/>
          <w:lang w:eastAsia="zh-CN"/>
        </w:rPr>
      </w:pPr>
      <w:r>
        <w:rPr>
          <w:rFonts w:hint="eastAsia" w:ascii="仿宋" w:hAnsi="仿宋" w:eastAsia="仿宋" w:cs="仿宋"/>
          <w:i w:val="0"/>
          <w:iCs w:val="0"/>
          <w:caps w:val="0"/>
          <w:color w:val="auto"/>
          <w:spacing w:val="0"/>
          <w:sz w:val="28"/>
          <w:szCs w:val="28"/>
          <w:highlight w:val="none"/>
        </w:rPr>
        <w:t> 数量:不限</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textAlignment w:val="auto"/>
        <w:rPr>
          <w:rFonts w:hint="eastAsia" w:ascii="仿宋" w:hAnsi="仿宋" w:eastAsia="仿宋" w:cs="仿宋"/>
          <w:i w:val="0"/>
          <w:iCs w:val="0"/>
          <w:caps w:val="0"/>
          <w:color w:val="auto"/>
          <w:spacing w:val="0"/>
          <w:sz w:val="28"/>
          <w:szCs w:val="28"/>
          <w:highlight w:val="none"/>
          <w:lang w:val="en-US" w:eastAsia="zh-CN"/>
        </w:rPr>
      </w:pPr>
      <w:r>
        <w:rPr>
          <w:rFonts w:hint="eastAsia" w:ascii="仿宋" w:hAnsi="仿宋" w:eastAsia="仿宋" w:cs="仿宋"/>
          <w:i w:val="0"/>
          <w:iCs w:val="0"/>
          <w:caps w:val="0"/>
          <w:color w:val="auto"/>
          <w:spacing w:val="0"/>
          <w:sz w:val="28"/>
          <w:szCs w:val="28"/>
          <w:highlight w:val="none"/>
        </w:rPr>
        <w:t>预算金额（元）:</w:t>
      </w:r>
      <w:r>
        <w:rPr>
          <w:rFonts w:hint="eastAsia" w:ascii="仿宋" w:hAnsi="仿宋" w:eastAsia="仿宋" w:cs="仿宋"/>
          <w:i w:val="0"/>
          <w:iCs w:val="0"/>
          <w:caps w:val="0"/>
          <w:color w:val="auto"/>
          <w:spacing w:val="0"/>
          <w:sz w:val="28"/>
          <w:szCs w:val="28"/>
          <w:highlight w:val="none"/>
          <w:lang w:val="en-US" w:eastAsia="zh-CN"/>
        </w:rPr>
        <w:t>6224804.61</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textAlignment w:val="auto"/>
        <w:rPr>
          <w:rFonts w:hint="eastAsia" w:ascii="仿宋" w:hAnsi="仿宋" w:eastAsia="仿宋" w:cs="仿宋"/>
          <w:i w:val="0"/>
          <w:iCs w:val="0"/>
          <w:caps w:val="0"/>
          <w:color w:val="auto"/>
          <w:spacing w:val="0"/>
          <w:sz w:val="28"/>
          <w:szCs w:val="28"/>
          <w:highlight w:val="none"/>
          <w:lang w:eastAsia="zh-CN"/>
        </w:rPr>
      </w:pPr>
      <w:r>
        <w:rPr>
          <w:rFonts w:hint="eastAsia" w:ascii="仿宋" w:hAnsi="仿宋" w:eastAsia="仿宋" w:cs="仿宋"/>
          <w:i w:val="0"/>
          <w:iCs w:val="0"/>
          <w:caps w:val="0"/>
          <w:color w:val="auto"/>
          <w:spacing w:val="0"/>
          <w:sz w:val="28"/>
          <w:szCs w:val="28"/>
          <w:highlight w:val="none"/>
        </w:rPr>
        <w:t> 简要规格描述或项目基本概况介绍、用途：以苏布台乡、喀拉苏乡、克令镇、科蒙乡、尼勒克镇等S315沿线13个点位继续打造一站式矛盾纠纷调处中心和法治进万家示范建设，进一步夯实社会基层基础建设。</w:t>
      </w:r>
      <w:r>
        <w:rPr>
          <w:rFonts w:hint="eastAsia" w:ascii="仿宋" w:hAnsi="仿宋" w:eastAsia="仿宋" w:cs="仿宋"/>
          <w:i w:val="0"/>
          <w:iCs w:val="0"/>
          <w:caps w:val="0"/>
          <w:color w:val="auto"/>
          <w:spacing w:val="0"/>
          <w:sz w:val="28"/>
          <w:szCs w:val="28"/>
          <w:highlight w:val="none"/>
          <w:lang w:eastAsia="zh-CN"/>
        </w:rPr>
        <w:t>（</w:t>
      </w:r>
      <w:r>
        <w:rPr>
          <w:rFonts w:hint="eastAsia" w:ascii="仿宋" w:hAnsi="仿宋" w:eastAsia="仿宋" w:cs="仿宋"/>
          <w:i w:val="0"/>
          <w:iCs w:val="0"/>
          <w:caps w:val="0"/>
          <w:color w:val="auto"/>
          <w:spacing w:val="0"/>
          <w:sz w:val="28"/>
          <w:szCs w:val="28"/>
          <w:highlight w:val="none"/>
          <w:lang w:val="en-US" w:eastAsia="zh-CN"/>
        </w:rPr>
        <w:t>详见招标文件</w:t>
      </w:r>
      <w:r>
        <w:rPr>
          <w:rFonts w:hint="eastAsia" w:ascii="仿宋" w:hAnsi="仿宋" w:eastAsia="仿宋" w:cs="仿宋"/>
          <w:i w:val="0"/>
          <w:iCs w:val="0"/>
          <w:caps w:val="0"/>
          <w:color w:val="auto"/>
          <w:spacing w:val="0"/>
          <w:sz w:val="28"/>
          <w:szCs w:val="28"/>
          <w:highlight w:val="none"/>
          <w:lang w:eastAsia="zh-CN"/>
        </w:rPr>
        <w:t>）</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rPr>
        <w:t> 备注：</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textAlignment w:val="auto"/>
        <w:rPr>
          <w:rFonts w:hint="default" w:eastAsia="仿宋"/>
          <w:color w:val="auto"/>
          <w:sz w:val="28"/>
          <w:szCs w:val="28"/>
          <w:highlight w:val="none"/>
          <w:lang w:val="en-US" w:eastAsia="zh-CN"/>
        </w:rPr>
      </w:pPr>
      <w:r>
        <w:rPr>
          <w:rFonts w:hint="eastAsia" w:ascii="仿宋" w:hAnsi="仿宋" w:eastAsia="仿宋" w:cs="仿宋"/>
          <w:i w:val="0"/>
          <w:iCs w:val="0"/>
          <w:caps w:val="0"/>
          <w:color w:val="auto"/>
          <w:spacing w:val="0"/>
          <w:sz w:val="28"/>
          <w:szCs w:val="28"/>
          <w:highlight w:val="none"/>
        </w:rPr>
        <w:t>合同履约期限：以合同约定为准</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textAlignment w:val="auto"/>
        <w:rPr>
          <w:rFonts w:hint="eastAsia" w:eastAsiaTheme="minorEastAsia"/>
          <w:color w:val="auto"/>
          <w:sz w:val="28"/>
          <w:szCs w:val="28"/>
          <w:highlight w:val="none"/>
          <w:lang w:val="en-US" w:eastAsia="zh-CN"/>
        </w:rPr>
      </w:pPr>
      <w:r>
        <w:rPr>
          <w:rFonts w:hint="eastAsia" w:ascii="仿宋" w:hAnsi="仿宋" w:eastAsia="仿宋" w:cs="仿宋"/>
          <w:i w:val="0"/>
          <w:iCs w:val="0"/>
          <w:caps w:val="0"/>
          <w:color w:val="auto"/>
          <w:spacing w:val="0"/>
          <w:sz w:val="28"/>
          <w:szCs w:val="28"/>
          <w:highlight w:val="none"/>
        </w:rPr>
        <w:t>本项目（否）接受联合体投标。</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textAlignment w:val="auto"/>
        <w:rPr>
          <w:sz w:val="28"/>
          <w:szCs w:val="28"/>
        </w:rPr>
      </w:pPr>
      <w:r>
        <w:rPr>
          <w:rStyle w:val="25"/>
          <w:rFonts w:ascii="黑体" w:hAnsi="宋体" w:eastAsia="黑体" w:cs="黑体"/>
          <w:i w:val="0"/>
          <w:iCs w:val="0"/>
          <w:caps w:val="0"/>
          <w:color w:val="000000"/>
          <w:spacing w:val="0"/>
          <w:sz w:val="28"/>
          <w:szCs w:val="28"/>
        </w:rPr>
        <w:t>二、申请人的资格要求：</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sz w:val="28"/>
          <w:szCs w:val="28"/>
        </w:rPr>
      </w:pPr>
      <w:r>
        <w:rPr>
          <w:rFonts w:hint="eastAsia" w:ascii="仿宋" w:hAnsi="仿宋" w:eastAsia="仿宋" w:cs="仿宋"/>
          <w:i w:val="0"/>
          <w:iCs w:val="0"/>
          <w:caps w:val="0"/>
          <w:color w:val="000000"/>
          <w:spacing w:val="0"/>
          <w:sz w:val="28"/>
          <w:szCs w:val="28"/>
        </w:rPr>
        <w:t>1.满足《中华人民共和国政府采购法》第二十二条规定；</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sz w:val="28"/>
          <w:szCs w:val="28"/>
        </w:rPr>
      </w:pPr>
      <w:r>
        <w:rPr>
          <w:rFonts w:hint="eastAsia" w:ascii="仿宋" w:hAnsi="仿宋" w:eastAsia="仿宋" w:cs="仿宋"/>
          <w:i w:val="0"/>
          <w:iCs w:val="0"/>
          <w:caps w:val="0"/>
          <w:color w:val="000000"/>
          <w:spacing w:val="0"/>
          <w:sz w:val="28"/>
          <w:szCs w:val="28"/>
        </w:rPr>
        <w:t>2.落实政府采购政策需满足的资格要求：标项1：1、《财政部国家发展改革委关于印发〈节能产品政府采购实施意见〉的通知》（财库〔2019〕9号）；2、《财政部 环保总局关于环境标志产品政府采购实施的意见》(财库〔2019〕18号)；3、财政部、发展改革委《关于印发节能产品政府采购品目清单的通知》（财库[2019]19号文）；4、市场监管总局《市场监管总局关于发布参与实施政府采购节能产品、环境标志产品认证机构名录的公告》（2019年第16号）；5、《政府采购促进中小企业发展管理办法》（财库〔2020〕46号）； 6、《关于促进残疾人就业政府采购政策的通知》（财库〔2017〕141号）；7、《关于政府采购支持jianyu企业发展有关问题的通知》（财库〔2014〕68号）； </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3.本项目的特定资格要求：</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【标项1】</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sz w:val="28"/>
          <w:szCs w:val="28"/>
        </w:rPr>
      </w:pPr>
      <w:r>
        <w:rPr>
          <w:rFonts w:hint="eastAsia" w:ascii="仿宋" w:hAnsi="仿宋" w:eastAsia="仿宋" w:cs="仿宋"/>
          <w:i w:val="0"/>
          <w:iCs w:val="0"/>
          <w:caps w:val="0"/>
          <w:color w:val="000000"/>
          <w:spacing w:val="0"/>
          <w:sz w:val="28"/>
          <w:szCs w:val="28"/>
          <w:lang w:val="en-US" w:eastAsia="zh-CN"/>
        </w:rPr>
        <w:t>（1）投标人必须是中华人民共和国境内注册的，具有独立法人资格的企业；具有有效的营业执照；</w:t>
      </w:r>
      <w:r>
        <w:rPr>
          <w:rFonts w:hint="eastAsia" w:ascii="仿宋" w:hAnsi="仿宋" w:eastAsia="仿宋" w:cs="仿宋"/>
          <w:i w:val="0"/>
          <w:iCs w:val="0"/>
          <w:caps w:val="0"/>
          <w:color w:val="000000"/>
          <w:spacing w:val="0"/>
          <w:sz w:val="28"/>
          <w:szCs w:val="28"/>
        </w:rPr>
        <w:t>（2）参加政府采购活动前三年内，在经营活动中没有重大违法记录（“信用中国”网站（www.creditchina.gov.cn）、中国政府采购网（www.ccgp.gov.cn）、国家企业信用信息公示系统（www.gsxt.gov.cn）被列入失信被执行人、重大税收违法失信主体、政府采购严重违法失信行为记录名单的（尚在处罚期内的），将拒绝其参本次政府采购活动）。（</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）单位负责人为同一人或者存在直接控股、管理关系的不同供应商，不得参加同一合同项下的政府采购活动。</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jc w:val="both"/>
        <w:textAlignment w:val="auto"/>
        <w:rPr>
          <w:rFonts w:ascii="黑体" w:hAnsi="宋体" w:eastAsia="黑体" w:cs="黑体"/>
          <w:i w:val="0"/>
          <w:iCs w:val="0"/>
          <w:caps w:val="0"/>
          <w:color w:val="000000"/>
          <w:spacing w:val="0"/>
          <w:sz w:val="28"/>
          <w:szCs w:val="28"/>
        </w:rPr>
      </w:pPr>
      <w:r>
        <w:rPr>
          <w:rStyle w:val="25"/>
          <w:rFonts w:ascii="黑体" w:hAnsi="宋体" w:eastAsia="黑体" w:cs="黑体"/>
          <w:i w:val="0"/>
          <w:iCs w:val="0"/>
          <w:caps w:val="0"/>
          <w:color w:val="000000"/>
          <w:spacing w:val="0"/>
          <w:sz w:val="28"/>
          <w:szCs w:val="28"/>
        </w:rPr>
        <w:t>三、获取招标文件</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sz w:val="28"/>
          <w:szCs w:val="28"/>
        </w:rPr>
      </w:pPr>
      <w:r>
        <w:rPr>
          <w:rFonts w:hint="eastAsia" w:ascii="仿宋" w:hAnsi="仿宋" w:eastAsia="仿宋" w:cs="仿宋"/>
          <w:i w:val="0"/>
          <w:iCs w:val="0"/>
          <w:caps w:val="0"/>
          <w:color w:val="000000"/>
          <w:spacing w:val="0"/>
          <w:sz w:val="28"/>
          <w:szCs w:val="28"/>
        </w:rPr>
        <w:t>时间</w:t>
      </w:r>
      <w:r>
        <w:rPr>
          <w:rFonts w:hint="eastAsia" w:ascii="仿宋" w:hAnsi="仿宋" w:eastAsia="仿宋" w:cs="仿宋"/>
          <w:i w:val="0"/>
          <w:iCs w:val="0"/>
          <w:caps w:val="0"/>
          <w:color w:val="auto"/>
          <w:spacing w:val="0"/>
          <w:sz w:val="28"/>
          <w:szCs w:val="28"/>
        </w:rPr>
        <w:t>：2023年0</w:t>
      </w:r>
      <w:r>
        <w:rPr>
          <w:rFonts w:hint="eastAsia" w:ascii="仿宋" w:hAnsi="仿宋" w:eastAsia="仿宋" w:cs="仿宋"/>
          <w:i w:val="0"/>
          <w:iCs w:val="0"/>
          <w:caps w:val="0"/>
          <w:color w:val="auto"/>
          <w:spacing w:val="0"/>
          <w:sz w:val="28"/>
          <w:szCs w:val="28"/>
          <w:lang w:val="en-US" w:eastAsia="zh-CN"/>
        </w:rPr>
        <w:t>8</w:t>
      </w:r>
      <w:r>
        <w:rPr>
          <w:rFonts w:hint="eastAsia" w:ascii="仿宋" w:hAnsi="仿宋" w:eastAsia="仿宋" w:cs="仿宋"/>
          <w:i w:val="0"/>
          <w:iCs w:val="0"/>
          <w:caps w:val="0"/>
          <w:color w:val="auto"/>
          <w:spacing w:val="0"/>
          <w:sz w:val="28"/>
          <w:szCs w:val="28"/>
        </w:rPr>
        <w:t>月</w:t>
      </w:r>
      <w:r>
        <w:rPr>
          <w:rFonts w:hint="eastAsia" w:ascii="仿宋" w:hAnsi="仿宋" w:eastAsia="仿宋" w:cs="仿宋"/>
          <w:i w:val="0"/>
          <w:iCs w:val="0"/>
          <w:caps w:val="0"/>
          <w:color w:val="auto"/>
          <w:spacing w:val="0"/>
          <w:sz w:val="28"/>
          <w:szCs w:val="28"/>
          <w:lang w:val="en-US" w:eastAsia="zh-CN"/>
        </w:rPr>
        <w:t>25</w:t>
      </w:r>
      <w:r>
        <w:rPr>
          <w:rFonts w:hint="eastAsia" w:ascii="仿宋" w:hAnsi="仿宋" w:eastAsia="仿宋" w:cs="仿宋"/>
          <w:i w:val="0"/>
          <w:iCs w:val="0"/>
          <w:caps w:val="0"/>
          <w:color w:val="auto"/>
          <w:spacing w:val="0"/>
          <w:sz w:val="28"/>
          <w:szCs w:val="28"/>
        </w:rPr>
        <w:t>日至2023年0</w:t>
      </w:r>
      <w:r>
        <w:rPr>
          <w:rFonts w:hint="eastAsia" w:ascii="仿宋" w:hAnsi="仿宋" w:eastAsia="仿宋" w:cs="仿宋"/>
          <w:i w:val="0"/>
          <w:iCs w:val="0"/>
          <w:caps w:val="0"/>
          <w:color w:val="auto"/>
          <w:spacing w:val="0"/>
          <w:sz w:val="28"/>
          <w:szCs w:val="28"/>
          <w:lang w:val="en-US" w:eastAsia="zh-CN"/>
        </w:rPr>
        <w:t>8</w:t>
      </w:r>
      <w:r>
        <w:rPr>
          <w:rFonts w:hint="eastAsia" w:ascii="仿宋" w:hAnsi="仿宋" w:eastAsia="仿宋" w:cs="仿宋"/>
          <w:i w:val="0"/>
          <w:iCs w:val="0"/>
          <w:caps w:val="0"/>
          <w:color w:val="auto"/>
          <w:spacing w:val="0"/>
          <w:sz w:val="28"/>
          <w:szCs w:val="28"/>
        </w:rPr>
        <w:t>月</w:t>
      </w:r>
      <w:r>
        <w:rPr>
          <w:rFonts w:hint="eastAsia" w:ascii="仿宋" w:hAnsi="仿宋" w:eastAsia="仿宋" w:cs="仿宋"/>
          <w:i w:val="0"/>
          <w:iCs w:val="0"/>
          <w:caps w:val="0"/>
          <w:color w:val="auto"/>
          <w:spacing w:val="0"/>
          <w:sz w:val="28"/>
          <w:szCs w:val="28"/>
          <w:lang w:val="en-US" w:eastAsia="zh-CN"/>
        </w:rPr>
        <w:t>31</w:t>
      </w:r>
      <w:r>
        <w:rPr>
          <w:rFonts w:hint="eastAsia" w:ascii="仿宋" w:hAnsi="仿宋" w:eastAsia="仿宋" w:cs="仿宋"/>
          <w:i w:val="0"/>
          <w:iCs w:val="0"/>
          <w:caps w:val="0"/>
          <w:color w:val="auto"/>
          <w:spacing w:val="0"/>
          <w:sz w:val="28"/>
          <w:szCs w:val="28"/>
        </w:rPr>
        <w:t>日，每天</w:t>
      </w:r>
      <w:r>
        <w:rPr>
          <w:rFonts w:hint="eastAsia" w:ascii="仿宋" w:hAnsi="仿宋" w:eastAsia="仿宋" w:cs="仿宋"/>
          <w:i w:val="0"/>
          <w:iCs w:val="0"/>
          <w:caps w:val="0"/>
          <w:color w:val="000000"/>
          <w:spacing w:val="0"/>
          <w:sz w:val="28"/>
          <w:szCs w:val="28"/>
        </w:rPr>
        <w:t>上午10:00至14:00，下午16:00至20:00（北京时间，法定节假日除外）</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color w:val="FF0000"/>
          <w:sz w:val="28"/>
          <w:szCs w:val="28"/>
        </w:rPr>
      </w:pPr>
      <w:r>
        <w:rPr>
          <w:rFonts w:hint="eastAsia" w:ascii="仿宋" w:hAnsi="仿宋" w:eastAsia="仿宋" w:cs="仿宋"/>
          <w:i w:val="0"/>
          <w:iCs w:val="0"/>
          <w:caps w:val="0"/>
          <w:color w:val="000000"/>
          <w:spacing w:val="0"/>
          <w:sz w:val="28"/>
          <w:szCs w:val="28"/>
        </w:rPr>
        <w:t>地点：政采云平台线上获取</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sz w:val="28"/>
          <w:szCs w:val="28"/>
        </w:rPr>
      </w:pPr>
      <w:r>
        <w:rPr>
          <w:rFonts w:hint="eastAsia" w:ascii="仿宋" w:hAnsi="仿宋" w:eastAsia="仿宋" w:cs="仿宋"/>
          <w:i w:val="0"/>
          <w:iCs w:val="0"/>
          <w:caps w:val="0"/>
          <w:color w:val="000000"/>
          <w:spacing w:val="0"/>
          <w:sz w:val="28"/>
          <w:szCs w:val="28"/>
        </w:rPr>
        <w:t>方式：供应商登录政采云平台https://www.zcygov.cn/在线申请获取采购文件（进入“项目采购”应用，在获取采购文件菜单中选择项目，申请获取采购文件）</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sz w:val="28"/>
          <w:szCs w:val="28"/>
        </w:rPr>
      </w:pPr>
      <w:r>
        <w:rPr>
          <w:rFonts w:hint="eastAsia" w:ascii="仿宋" w:hAnsi="仿宋" w:eastAsia="仿宋" w:cs="仿宋"/>
          <w:i w:val="0"/>
          <w:iCs w:val="0"/>
          <w:caps w:val="0"/>
          <w:color w:val="000000"/>
          <w:spacing w:val="0"/>
          <w:sz w:val="28"/>
          <w:szCs w:val="28"/>
        </w:rPr>
        <w:t>售价（元）：0</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jc w:val="both"/>
        <w:textAlignment w:val="auto"/>
        <w:rPr>
          <w:rFonts w:ascii="黑体" w:hAnsi="宋体" w:eastAsia="黑体" w:cs="黑体"/>
          <w:i w:val="0"/>
          <w:iCs w:val="0"/>
          <w:caps w:val="0"/>
          <w:color w:val="000000"/>
          <w:spacing w:val="0"/>
          <w:sz w:val="28"/>
          <w:szCs w:val="28"/>
        </w:rPr>
      </w:pPr>
      <w:r>
        <w:rPr>
          <w:rStyle w:val="25"/>
          <w:rFonts w:ascii="黑体" w:hAnsi="宋体" w:eastAsia="黑体" w:cs="黑体"/>
          <w:i w:val="0"/>
          <w:iCs w:val="0"/>
          <w:caps w:val="0"/>
          <w:color w:val="000000"/>
          <w:spacing w:val="0"/>
          <w:sz w:val="28"/>
          <w:szCs w:val="28"/>
        </w:rPr>
        <w:t>四、提交投标文件截止时间、开标时间和地点</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color w:val="auto"/>
          <w:sz w:val="28"/>
          <w:szCs w:val="28"/>
        </w:rPr>
      </w:pPr>
      <w:r>
        <w:rPr>
          <w:rFonts w:hint="eastAsia" w:ascii="仿宋" w:hAnsi="仿宋" w:eastAsia="仿宋" w:cs="仿宋"/>
          <w:i w:val="0"/>
          <w:iCs w:val="0"/>
          <w:caps w:val="0"/>
          <w:color w:val="auto"/>
          <w:spacing w:val="0"/>
          <w:sz w:val="28"/>
          <w:szCs w:val="28"/>
        </w:rPr>
        <w:t>提交投标文件截止时间：2023年0</w:t>
      </w:r>
      <w:r>
        <w:rPr>
          <w:rFonts w:hint="eastAsia" w:ascii="仿宋" w:hAnsi="仿宋" w:eastAsia="仿宋" w:cs="仿宋"/>
          <w:i w:val="0"/>
          <w:iCs w:val="0"/>
          <w:caps w:val="0"/>
          <w:color w:val="auto"/>
          <w:spacing w:val="0"/>
          <w:sz w:val="28"/>
          <w:szCs w:val="28"/>
          <w:lang w:val="en-US" w:eastAsia="zh-CN"/>
        </w:rPr>
        <w:t>9</w:t>
      </w:r>
      <w:r>
        <w:rPr>
          <w:rFonts w:hint="eastAsia" w:ascii="仿宋" w:hAnsi="仿宋" w:eastAsia="仿宋" w:cs="仿宋"/>
          <w:i w:val="0"/>
          <w:iCs w:val="0"/>
          <w:caps w:val="0"/>
          <w:color w:val="auto"/>
          <w:spacing w:val="0"/>
          <w:sz w:val="28"/>
          <w:szCs w:val="28"/>
        </w:rPr>
        <w:t>月</w:t>
      </w:r>
      <w:r>
        <w:rPr>
          <w:rFonts w:hint="eastAsia" w:ascii="仿宋" w:hAnsi="仿宋" w:eastAsia="仿宋" w:cs="仿宋"/>
          <w:i w:val="0"/>
          <w:iCs w:val="0"/>
          <w:caps w:val="0"/>
          <w:color w:val="auto"/>
          <w:spacing w:val="0"/>
          <w:sz w:val="28"/>
          <w:szCs w:val="28"/>
          <w:lang w:val="en-US" w:eastAsia="zh-CN"/>
        </w:rPr>
        <w:t>14</w:t>
      </w:r>
      <w:r>
        <w:rPr>
          <w:rFonts w:hint="eastAsia" w:ascii="仿宋" w:hAnsi="仿宋" w:eastAsia="仿宋" w:cs="仿宋"/>
          <w:i w:val="0"/>
          <w:iCs w:val="0"/>
          <w:caps w:val="0"/>
          <w:color w:val="auto"/>
          <w:spacing w:val="0"/>
          <w:sz w:val="28"/>
          <w:szCs w:val="28"/>
        </w:rPr>
        <w:t>日 1</w:t>
      </w:r>
      <w:r>
        <w:rPr>
          <w:rFonts w:hint="eastAsia" w:ascii="仿宋" w:hAnsi="仿宋" w:eastAsia="仿宋" w:cs="仿宋"/>
          <w:i w:val="0"/>
          <w:iCs w:val="0"/>
          <w:caps w:val="0"/>
          <w:color w:val="auto"/>
          <w:spacing w:val="0"/>
          <w:sz w:val="28"/>
          <w:szCs w:val="28"/>
          <w:lang w:val="en-US" w:eastAsia="zh-CN"/>
        </w:rPr>
        <w:t>6</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30</w:t>
      </w:r>
      <w:r>
        <w:rPr>
          <w:rFonts w:hint="eastAsia" w:ascii="仿宋" w:hAnsi="仿宋" w:eastAsia="仿宋" w:cs="仿宋"/>
          <w:i w:val="0"/>
          <w:iCs w:val="0"/>
          <w:caps w:val="0"/>
          <w:color w:val="auto"/>
          <w:spacing w:val="0"/>
          <w:sz w:val="28"/>
          <w:szCs w:val="28"/>
        </w:rPr>
        <w:t>（北京时间）</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color w:val="auto"/>
          <w:sz w:val="28"/>
          <w:szCs w:val="28"/>
        </w:rPr>
      </w:pPr>
      <w:r>
        <w:rPr>
          <w:rFonts w:hint="eastAsia" w:ascii="仿宋" w:hAnsi="仿宋" w:eastAsia="仿宋" w:cs="仿宋"/>
          <w:i w:val="0"/>
          <w:iCs w:val="0"/>
          <w:caps w:val="0"/>
          <w:color w:val="auto"/>
          <w:spacing w:val="0"/>
          <w:sz w:val="28"/>
          <w:szCs w:val="28"/>
        </w:rPr>
        <w:t>投标地点：请登录政采云投标客户端投标</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color w:val="auto"/>
          <w:sz w:val="28"/>
          <w:szCs w:val="28"/>
        </w:rPr>
      </w:pPr>
      <w:r>
        <w:rPr>
          <w:rFonts w:hint="eastAsia" w:ascii="仿宋" w:hAnsi="仿宋" w:eastAsia="仿宋" w:cs="仿宋"/>
          <w:i w:val="0"/>
          <w:iCs w:val="0"/>
          <w:caps w:val="0"/>
          <w:color w:val="auto"/>
          <w:spacing w:val="0"/>
          <w:sz w:val="28"/>
          <w:szCs w:val="28"/>
        </w:rPr>
        <w:t>开标时间：2023年0</w:t>
      </w:r>
      <w:r>
        <w:rPr>
          <w:rFonts w:hint="eastAsia" w:ascii="仿宋" w:hAnsi="仿宋" w:eastAsia="仿宋" w:cs="仿宋"/>
          <w:i w:val="0"/>
          <w:iCs w:val="0"/>
          <w:caps w:val="0"/>
          <w:color w:val="auto"/>
          <w:spacing w:val="0"/>
          <w:sz w:val="28"/>
          <w:szCs w:val="28"/>
          <w:lang w:val="en-US" w:eastAsia="zh-CN"/>
        </w:rPr>
        <w:t>9</w:t>
      </w:r>
      <w:r>
        <w:rPr>
          <w:rFonts w:hint="eastAsia" w:ascii="仿宋" w:hAnsi="仿宋" w:eastAsia="仿宋" w:cs="仿宋"/>
          <w:i w:val="0"/>
          <w:iCs w:val="0"/>
          <w:caps w:val="0"/>
          <w:color w:val="auto"/>
          <w:spacing w:val="0"/>
          <w:sz w:val="28"/>
          <w:szCs w:val="28"/>
        </w:rPr>
        <w:t>月</w:t>
      </w:r>
      <w:r>
        <w:rPr>
          <w:rFonts w:hint="eastAsia" w:ascii="仿宋" w:hAnsi="仿宋" w:eastAsia="仿宋" w:cs="仿宋"/>
          <w:i w:val="0"/>
          <w:iCs w:val="0"/>
          <w:caps w:val="0"/>
          <w:color w:val="auto"/>
          <w:spacing w:val="0"/>
          <w:sz w:val="28"/>
          <w:szCs w:val="28"/>
          <w:lang w:val="en-US" w:eastAsia="zh-CN"/>
        </w:rPr>
        <w:t>14</w:t>
      </w:r>
      <w:r>
        <w:rPr>
          <w:rFonts w:hint="eastAsia" w:ascii="仿宋" w:hAnsi="仿宋" w:eastAsia="仿宋" w:cs="仿宋"/>
          <w:i w:val="0"/>
          <w:iCs w:val="0"/>
          <w:caps w:val="0"/>
          <w:color w:val="auto"/>
          <w:spacing w:val="0"/>
          <w:sz w:val="28"/>
          <w:szCs w:val="28"/>
        </w:rPr>
        <w:t>日 1</w:t>
      </w:r>
      <w:r>
        <w:rPr>
          <w:rFonts w:hint="eastAsia" w:ascii="仿宋" w:hAnsi="仿宋" w:eastAsia="仿宋" w:cs="仿宋"/>
          <w:i w:val="0"/>
          <w:iCs w:val="0"/>
          <w:caps w:val="0"/>
          <w:color w:val="auto"/>
          <w:spacing w:val="0"/>
          <w:sz w:val="28"/>
          <w:szCs w:val="28"/>
          <w:lang w:val="en-US" w:eastAsia="zh-CN"/>
        </w:rPr>
        <w:t>6</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30</w:t>
      </w:r>
      <w:r>
        <w:rPr>
          <w:rFonts w:hint="eastAsia" w:ascii="仿宋" w:hAnsi="仿宋" w:eastAsia="仿宋" w:cs="仿宋"/>
          <w:i w:val="0"/>
          <w:iCs w:val="0"/>
          <w:caps w:val="0"/>
          <w:color w:val="auto"/>
          <w:spacing w:val="0"/>
          <w:sz w:val="28"/>
          <w:szCs w:val="28"/>
        </w:rPr>
        <w:t>（北京时间）</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sz w:val="28"/>
          <w:szCs w:val="28"/>
        </w:rPr>
      </w:pPr>
      <w:r>
        <w:rPr>
          <w:rFonts w:hint="eastAsia" w:ascii="仿宋" w:hAnsi="仿宋" w:eastAsia="仿宋" w:cs="仿宋"/>
          <w:i w:val="0"/>
          <w:iCs w:val="0"/>
          <w:caps w:val="0"/>
          <w:color w:val="000000"/>
          <w:spacing w:val="0"/>
          <w:sz w:val="28"/>
          <w:szCs w:val="28"/>
        </w:rPr>
        <w:t>开标地点：请登录政采云投标客户端投标</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jc w:val="both"/>
        <w:textAlignment w:val="auto"/>
        <w:rPr>
          <w:rFonts w:ascii="黑体" w:hAnsi="宋体" w:eastAsia="黑体" w:cs="黑体"/>
          <w:i w:val="0"/>
          <w:iCs w:val="0"/>
          <w:caps w:val="0"/>
          <w:color w:val="000000"/>
          <w:spacing w:val="0"/>
          <w:sz w:val="28"/>
          <w:szCs w:val="28"/>
        </w:rPr>
      </w:pPr>
      <w:r>
        <w:rPr>
          <w:rStyle w:val="25"/>
          <w:rFonts w:ascii="黑体" w:hAnsi="宋体" w:eastAsia="黑体" w:cs="黑体"/>
          <w:i w:val="0"/>
          <w:iCs w:val="0"/>
          <w:caps w:val="0"/>
          <w:color w:val="000000"/>
          <w:spacing w:val="0"/>
          <w:sz w:val="28"/>
          <w:szCs w:val="28"/>
        </w:rPr>
        <w:t>五、公告期限</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rFonts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自本公告发布之日起5个工作日。</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jc w:val="both"/>
        <w:textAlignment w:val="auto"/>
        <w:rPr>
          <w:rFonts w:ascii="黑体" w:hAnsi="宋体" w:eastAsia="黑体" w:cs="黑体"/>
          <w:i w:val="0"/>
          <w:iCs w:val="0"/>
          <w:caps w:val="0"/>
          <w:color w:val="000000"/>
          <w:spacing w:val="0"/>
          <w:sz w:val="28"/>
          <w:szCs w:val="28"/>
        </w:rPr>
      </w:pPr>
      <w:r>
        <w:rPr>
          <w:rStyle w:val="25"/>
          <w:rFonts w:ascii="黑体" w:hAnsi="宋体" w:eastAsia="黑体" w:cs="黑体"/>
          <w:i w:val="0"/>
          <w:iCs w:val="0"/>
          <w:caps w:val="0"/>
          <w:color w:val="000000"/>
          <w:spacing w:val="0"/>
          <w:sz w:val="28"/>
          <w:szCs w:val="28"/>
        </w:rPr>
        <w:t>六、其他补充事宜</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rStyle w:val="25"/>
          <w:rFonts w:hint="eastAsia" w:ascii="仿宋" w:hAnsi="仿宋" w:eastAsia="仿宋" w:cs="仿宋"/>
          <w:b w:val="0"/>
          <w:bCs/>
          <w:i w:val="0"/>
          <w:caps w:val="0"/>
          <w:spacing w:val="0"/>
          <w:w w:val="100"/>
          <w:sz w:val="28"/>
          <w:szCs w:val="28"/>
          <w:lang w:eastAsia="zh-CN"/>
        </w:rPr>
      </w:pPr>
      <w:r>
        <w:rPr>
          <w:rStyle w:val="25"/>
          <w:rFonts w:hint="eastAsia" w:ascii="仿宋" w:hAnsi="仿宋" w:eastAsia="仿宋" w:cs="仿宋"/>
          <w:b w:val="0"/>
          <w:bCs/>
          <w:i w:val="0"/>
          <w:caps w:val="0"/>
          <w:spacing w:val="0"/>
          <w:w w:val="100"/>
          <w:sz w:val="28"/>
          <w:szCs w:val="28"/>
        </w:rPr>
        <w:t>1、本次采购采用电子交易方式，电子交易平台为“政府采购云平台（www.zcygov.cn）”。供应商参与本项目电子交易活动前，应注册成为政府采购云平台供应商。编制电子响应文件前还需申领CA证书并绑定帐号，CA申领地址查看网址https://www.xjca.com.cn/article/content/201802/582/1.html，CA服务电话：0991-281-9290。</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rStyle w:val="25"/>
          <w:rFonts w:hint="eastAsia" w:ascii="仿宋" w:hAnsi="仿宋" w:eastAsia="仿宋" w:cs="仿宋"/>
          <w:b w:val="0"/>
          <w:bCs/>
          <w:i w:val="0"/>
          <w:caps w:val="0"/>
          <w:spacing w:val="0"/>
          <w:w w:val="100"/>
          <w:sz w:val="28"/>
          <w:szCs w:val="28"/>
          <w:lang w:eastAsia="zh-CN"/>
        </w:rPr>
      </w:pPr>
      <w:r>
        <w:rPr>
          <w:rStyle w:val="25"/>
          <w:rFonts w:hint="eastAsia" w:ascii="仿宋" w:hAnsi="仿宋" w:eastAsia="仿宋" w:cs="仿宋"/>
          <w:b w:val="0"/>
          <w:bCs/>
          <w:i w:val="0"/>
          <w:caps w:val="0"/>
          <w:spacing w:val="0"/>
          <w:w w:val="100"/>
          <w:sz w:val="28"/>
          <w:szCs w:val="28"/>
        </w:rPr>
        <w:t>2、供应商编制电子响应文件应安装“电子招投标供应商客户端”软件，并按照本采购文件和电子招投标供应商客户端的要求编制并加密响应文件。未按规定加密的响应文件，将被电子招投标供应商客户端拒收。“电子招投标供应商客户端”请供应商自行前往“新疆政府采购网—下载专区—新疆维吾尔自治区全流程电子招投标项目管理系统--电子招投标供应商客户端”版块获取。</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rStyle w:val="25"/>
          <w:rFonts w:hint="eastAsia" w:ascii="仿宋" w:hAnsi="仿宋" w:eastAsia="仿宋" w:cs="仿宋"/>
          <w:b w:val="0"/>
          <w:bCs/>
          <w:i w:val="0"/>
          <w:caps w:val="0"/>
          <w:spacing w:val="0"/>
          <w:w w:val="100"/>
          <w:sz w:val="28"/>
          <w:szCs w:val="28"/>
          <w:lang w:eastAsia="zh-CN"/>
        </w:rPr>
      </w:pPr>
      <w:r>
        <w:rPr>
          <w:rStyle w:val="25"/>
          <w:rFonts w:hint="eastAsia" w:ascii="仿宋" w:hAnsi="仿宋" w:eastAsia="仿宋" w:cs="仿宋"/>
          <w:b w:val="0"/>
          <w:bCs/>
          <w:i w:val="0"/>
          <w:caps w:val="0"/>
          <w:spacing w:val="0"/>
          <w:w w:val="100"/>
          <w:sz w:val="28"/>
          <w:szCs w:val="28"/>
        </w:rPr>
        <w:t>3、供应商应当在投标截止时间前，将“电子招投标供应商客户端”生成的“电子加密响应文件”上传电子交易平台。</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rFonts w:hint="eastAsia" w:ascii="微软雅黑" w:hAnsi="微软雅黑" w:eastAsia="微软雅黑" w:cs="微软雅黑"/>
          <w:i w:val="0"/>
          <w:iCs w:val="0"/>
          <w:caps w:val="0"/>
          <w:color w:val="000000"/>
          <w:spacing w:val="0"/>
          <w:sz w:val="24"/>
          <w:szCs w:val="24"/>
        </w:rPr>
      </w:pPr>
      <w:r>
        <w:rPr>
          <w:rStyle w:val="25"/>
          <w:rFonts w:hint="eastAsia" w:ascii="仿宋" w:hAnsi="仿宋" w:eastAsia="仿宋" w:cs="仿宋"/>
          <w:b w:val="0"/>
          <w:bCs/>
          <w:i w:val="0"/>
          <w:caps w:val="0"/>
          <w:spacing w:val="0"/>
          <w:w w:val="100"/>
          <w:sz w:val="28"/>
          <w:szCs w:val="28"/>
        </w:rPr>
        <w:t>4、服务与支持。各政府采购代理机构（含集采机构）及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政采云热线人工号码：</w:t>
      </w:r>
      <w:r>
        <w:rPr>
          <w:rStyle w:val="25"/>
          <w:rFonts w:hint="eastAsia" w:ascii="仿宋" w:hAnsi="仿宋" w:eastAsia="仿宋" w:cs="仿宋"/>
          <w:b w:val="0"/>
          <w:bCs/>
          <w:i w:val="0"/>
          <w:caps w:val="0"/>
          <w:spacing w:val="0"/>
          <w:w w:val="100"/>
          <w:sz w:val="28"/>
          <w:szCs w:val="28"/>
          <w:lang w:val="en-US" w:eastAsia="zh-CN"/>
        </w:rPr>
        <w:t>95763</w:t>
      </w:r>
      <w:r>
        <w:rPr>
          <w:rStyle w:val="25"/>
          <w:rFonts w:hint="eastAsia" w:ascii="仿宋" w:hAnsi="仿宋" w:eastAsia="仿宋" w:cs="仿宋"/>
          <w:b w:val="0"/>
          <w:bCs/>
          <w:i w:val="0"/>
          <w:caps w:val="0"/>
          <w:spacing w:val="0"/>
          <w:w w:val="100"/>
          <w:sz w:val="28"/>
          <w:szCs w:val="28"/>
        </w:rPr>
        <w:t>（工作时间：工作日08:00~20：00</w:t>
      </w:r>
      <w:r>
        <w:rPr>
          <w:rStyle w:val="25"/>
          <w:rFonts w:hint="eastAsia" w:ascii="仿宋" w:hAnsi="仿宋" w:eastAsia="仿宋" w:cs="仿宋"/>
          <w:b w:val="0"/>
          <w:bCs/>
          <w:i w:val="0"/>
          <w:caps w:val="0"/>
          <w:spacing w:val="0"/>
          <w:w w:val="100"/>
          <w:sz w:val="24"/>
          <w:szCs w:val="24"/>
        </w:rPr>
        <w:t>）。</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textAlignment w:val="auto"/>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rPr>
        <w:t>特别提示：</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textAlignment w:val="auto"/>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rPr>
        <w:t>1、采购限额标准以上，200万元以下的货物和服务采购项目、400万元以下的工程采购项目，适宜由中小企业提供的，采购人应当专门面向中小企业采购。</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textAlignment w:val="auto"/>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rPr>
        <w:t>2、超过200万元的货物和服务采购项目、超过400万元的工程采购项目中适宜由中小企业提供的，预留该部分采购项目预算总额的30%以上专门面向中小企业采购，其中预留给小微企业的比例不低于60%。</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textAlignment w:val="auto"/>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jc w:val="both"/>
        <w:textAlignment w:val="auto"/>
        <w:rPr>
          <w:rFonts w:ascii="黑体" w:hAnsi="宋体" w:eastAsia="黑体" w:cs="黑体"/>
          <w:i w:val="0"/>
          <w:iCs w:val="0"/>
          <w:caps w:val="0"/>
          <w:color w:val="000000"/>
          <w:spacing w:val="0"/>
          <w:sz w:val="24"/>
          <w:szCs w:val="24"/>
        </w:rPr>
      </w:pPr>
      <w:r>
        <w:rPr>
          <w:rStyle w:val="25"/>
          <w:rFonts w:ascii="黑体" w:hAnsi="宋体" w:eastAsia="黑体" w:cs="黑体"/>
          <w:i w:val="0"/>
          <w:iCs w:val="0"/>
          <w:caps w:val="0"/>
          <w:color w:val="000000"/>
          <w:spacing w:val="0"/>
          <w:sz w:val="24"/>
          <w:szCs w:val="24"/>
        </w:rPr>
        <w:t>七、对本次采购提出询问，请按以下方式联系</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1.采购人信息</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名 称：中共尼勒克县委员会政法委员会</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地 址：尼勒克县</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联系方式：</w:t>
      </w:r>
      <w:r>
        <w:rPr>
          <w:rFonts w:hint="eastAsia" w:ascii="仿宋" w:hAnsi="仿宋" w:eastAsia="仿宋" w:cs="仿宋"/>
          <w:i w:val="0"/>
          <w:iCs w:val="0"/>
          <w:caps w:val="0"/>
          <w:color w:val="auto"/>
          <w:spacing w:val="0"/>
          <w:sz w:val="28"/>
          <w:szCs w:val="28"/>
          <w:lang w:val="en-US" w:eastAsia="zh-CN"/>
        </w:rPr>
        <w:t>18909997357</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2.采购代理机构信息</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名称：尼勒克县政府采购中心</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地址：尼勒克县政府采购中心</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联系方式：15559219282</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rFonts w:hint="eastAsia" w:ascii="仿宋" w:hAnsi="仿宋" w:eastAsia="仿宋" w:cs="仿宋"/>
          <w:i w:val="0"/>
          <w:iCs w:val="0"/>
          <w:caps w:val="0"/>
          <w:color w:val="000000"/>
          <w:spacing w:val="0"/>
          <w:sz w:val="28"/>
          <w:szCs w:val="28"/>
          <w:lang w:val="en-US" w:eastAsia="zh-CN"/>
        </w:rPr>
      </w:pPr>
      <w:bookmarkStart w:id="17" w:name="_Toc28359021"/>
      <w:bookmarkStart w:id="18" w:name="_Toc35393639"/>
      <w:bookmarkStart w:id="19" w:name="_Toc35393808"/>
      <w:bookmarkStart w:id="20" w:name="_Toc28359098"/>
      <w:r>
        <w:rPr>
          <w:rFonts w:hint="eastAsia" w:ascii="仿宋" w:hAnsi="仿宋" w:eastAsia="仿宋" w:cs="仿宋"/>
          <w:i w:val="0"/>
          <w:iCs w:val="0"/>
          <w:caps w:val="0"/>
          <w:color w:val="000000"/>
          <w:spacing w:val="0"/>
          <w:sz w:val="28"/>
          <w:szCs w:val="28"/>
          <w:lang w:val="en-US" w:eastAsia="zh-CN"/>
        </w:rPr>
        <w:t>3.项目联系方式</w:t>
      </w:r>
      <w:bookmarkEnd w:id="17"/>
      <w:bookmarkEnd w:id="18"/>
      <w:bookmarkEnd w:id="19"/>
      <w:bookmarkEnd w:id="20"/>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项目联系人：采购中心</w:t>
      </w:r>
    </w:p>
    <w:p>
      <w:pPr>
        <w:pStyle w:val="1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lang w:val="en-US" w:eastAsia="zh-CN"/>
        </w:rPr>
        <w:t>电话：15559219282</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firstLine="420"/>
        <w:textAlignment w:val="auto"/>
      </w:pPr>
    </w:p>
    <w:p>
      <w:pPr>
        <w:pStyle w:val="2"/>
        <w:keepNext w:val="0"/>
        <w:keepLines w:val="0"/>
        <w:snapToGrid w:val="0"/>
        <w:spacing w:before="120" w:after="120"/>
        <w:jc w:val="center"/>
        <w:rPr>
          <w:rFonts w:hint="eastAsia" w:cs="宋体"/>
          <w:color w:val="auto"/>
          <w:sz w:val="28"/>
          <w:szCs w:val="28"/>
          <w:highlight w:val="none"/>
        </w:rPr>
      </w:pPr>
    </w:p>
    <w:p>
      <w:pPr>
        <w:pStyle w:val="2"/>
        <w:keepNext w:val="0"/>
        <w:keepLines w:val="0"/>
        <w:snapToGrid w:val="0"/>
        <w:spacing w:before="120" w:after="120"/>
        <w:jc w:val="center"/>
        <w:rPr>
          <w:rFonts w:hint="eastAsia" w:cs="宋体"/>
          <w:color w:val="auto"/>
          <w:sz w:val="28"/>
          <w:szCs w:val="28"/>
          <w:highlight w:val="none"/>
        </w:rPr>
      </w:pPr>
    </w:p>
    <w:p>
      <w:pPr>
        <w:pStyle w:val="2"/>
        <w:keepNext w:val="0"/>
        <w:keepLines w:val="0"/>
        <w:snapToGrid w:val="0"/>
        <w:spacing w:before="120" w:after="120"/>
        <w:jc w:val="center"/>
        <w:rPr>
          <w:rFonts w:hint="eastAsia" w:cs="宋体"/>
          <w:color w:val="auto"/>
          <w:sz w:val="28"/>
          <w:szCs w:val="28"/>
          <w:highlight w:val="none"/>
        </w:rPr>
      </w:pPr>
    </w:p>
    <w:p>
      <w:pPr>
        <w:pStyle w:val="2"/>
        <w:keepNext w:val="0"/>
        <w:keepLines w:val="0"/>
        <w:snapToGrid w:val="0"/>
        <w:spacing w:before="120" w:after="120"/>
        <w:jc w:val="center"/>
        <w:rPr>
          <w:rFonts w:hint="eastAsia" w:cs="宋体"/>
          <w:color w:val="auto"/>
          <w:sz w:val="28"/>
          <w:szCs w:val="28"/>
          <w:highlight w:val="none"/>
        </w:rPr>
      </w:pPr>
    </w:p>
    <w:p>
      <w:pPr>
        <w:pStyle w:val="2"/>
        <w:keepNext w:val="0"/>
        <w:keepLines w:val="0"/>
        <w:snapToGrid w:val="0"/>
        <w:spacing w:before="120" w:after="120"/>
        <w:jc w:val="center"/>
        <w:rPr>
          <w:rFonts w:hint="eastAsia" w:cs="宋体"/>
          <w:color w:val="auto"/>
          <w:sz w:val="28"/>
          <w:szCs w:val="28"/>
          <w:highlight w:val="none"/>
        </w:rPr>
      </w:pPr>
    </w:p>
    <w:p>
      <w:pPr>
        <w:pStyle w:val="3"/>
        <w:rPr>
          <w:rFonts w:hint="eastAsia"/>
        </w:rPr>
      </w:pPr>
    </w:p>
    <w:p>
      <w:pPr>
        <w:pStyle w:val="2"/>
        <w:keepNext w:val="0"/>
        <w:keepLines w:val="0"/>
        <w:snapToGrid w:val="0"/>
        <w:spacing w:before="120" w:after="120"/>
        <w:jc w:val="center"/>
        <w:rPr>
          <w:rFonts w:hint="eastAsia" w:cs="宋体"/>
          <w:color w:val="auto"/>
          <w:sz w:val="28"/>
          <w:szCs w:val="28"/>
          <w:highlight w:val="none"/>
        </w:rPr>
      </w:pPr>
    </w:p>
    <w:p>
      <w:pPr>
        <w:pStyle w:val="2"/>
        <w:keepNext w:val="0"/>
        <w:keepLines w:val="0"/>
        <w:snapToGrid w:val="0"/>
        <w:spacing w:before="120" w:after="120"/>
        <w:jc w:val="center"/>
        <w:rPr>
          <w:rFonts w:hint="eastAsia" w:cs="宋体"/>
          <w:color w:val="auto"/>
          <w:sz w:val="28"/>
          <w:szCs w:val="28"/>
          <w:highlight w:val="none"/>
        </w:rPr>
      </w:pPr>
    </w:p>
    <w:p>
      <w:pPr>
        <w:pStyle w:val="2"/>
        <w:keepNext w:val="0"/>
        <w:keepLines w:val="0"/>
        <w:snapToGrid w:val="0"/>
        <w:spacing w:before="120" w:after="120"/>
        <w:jc w:val="center"/>
        <w:rPr>
          <w:rFonts w:hint="eastAsia" w:cs="宋体"/>
          <w:color w:val="auto"/>
          <w:sz w:val="28"/>
          <w:szCs w:val="28"/>
          <w:highlight w:val="none"/>
        </w:rPr>
      </w:pPr>
    </w:p>
    <w:p>
      <w:pPr>
        <w:pStyle w:val="2"/>
        <w:keepNext w:val="0"/>
        <w:keepLines w:val="0"/>
        <w:snapToGrid w:val="0"/>
        <w:spacing w:before="120" w:after="120"/>
        <w:jc w:val="center"/>
        <w:rPr>
          <w:rFonts w:hint="eastAsia" w:cs="宋体"/>
          <w:color w:val="auto"/>
          <w:sz w:val="28"/>
          <w:szCs w:val="28"/>
          <w:highlight w:val="none"/>
        </w:rPr>
      </w:pPr>
    </w:p>
    <w:p>
      <w:pPr>
        <w:pStyle w:val="2"/>
        <w:keepNext w:val="0"/>
        <w:keepLines w:val="0"/>
        <w:snapToGrid w:val="0"/>
        <w:spacing w:before="120" w:after="120"/>
        <w:jc w:val="center"/>
        <w:rPr>
          <w:rFonts w:hint="eastAsia" w:cs="宋体"/>
          <w:color w:val="auto"/>
          <w:sz w:val="28"/>
          <w:szCs w:val="28"/>
          <w:highlight w:val="none"/>
        </w:rPr>
      </w:pPr>
    </w:p>
    <w:p>
      <w:pPr>
        <w:pStyle w:val="2"/>
        <w:keepNext w:val="0"/>
        <w:keepLines w:val="0"/>
        <w:snapToGrid w:val="0"/>
        <w:spacing w:before="120" w:after="120"/>
        <w:jc w:val="center"/>
        <w:rPr>
          <w:rFonts w:hint="eastAsia" w:cs="宋体"/>
          <w:color w:val="auto"/>
          <w:sz w:val="28"/>
          <w:szCs w:val="28"/>
          <w:highlight w:val="none"/>
        </w:rPr>
      </w:pPr>
    </w:p>
    <w:p>
      <w:pPr>
        <w:pStyle w:val="2"/>
        <w:keepNext w:val="0"/>
        <w:keepLines w:val="0"/>
        <w:snapToGrid w:val="0"/>
        <w:spacing w:before="120" w:after="120"/>
        <w:jc w:val="center"/>
        <w:rPr>
          <w:rFonts w:hint="eastAsia" w:cs="宋体"/>
          <w:color w:val="auto"/>
          <w:sz w:val="28"/>
          <w:szCs w:val="28"/>
          <w:highlight w:val="none"/>
        </w:rPr>
      </w:pPr>
    </w:p>
    <w:p>
      <w:pPr>
        <w:pStyle w:val="2"/>
        <w:keepNext w:val="0"/>
        <w:keepLines w:val="0"/>
        <w:snapToGrid w:val="0"/>
        <w:spacing w:before="120" w:after="120"/>
        <w:jc w:val="center"/>
        <w:rPr>
          <w:rFonts w:hint="eastAsia" w:cs="宋体"/>
          <w:color w:val="auto"/>
          <w:sz w:val="28"/>
          <w:szCs w:val="28"/>
          <w:highlight w:val="none"/>
        </w:rPr>
      </w:pPr>
    </w:p>
    <w:p>
      <w:pPr>
        <w:pStyle w:val="2"/>
        <w:keepNext w:val="0"/>
        <w:keepLines w:val="0"/>
        <w:snapToGrid w:val="0"/>
        <w:spacing w:before="120" w:after="120"/>
        <w:jc w:val="center"/>
        <w:rPr>
          <w:rFonts w:hint="eastAsia" w:cs="宋体"/>
          <w:color w:val="auto"/>
          <w:sz w:val="28"/>
          <w:szCs w:val="28"/>
          <w:highlight w:val="none"/>
        </w:rPr>
      </w:pPr>
    </w:p>
    <w:p>
      <w:pPr>
        <w:pStyle w:val="2"/>
        <w:keepNext w:val="0"/>
        <w:keepLines w:val="0"/>
        <w:snapToGrid w:val="0"/>
        <w:spacing w:before="120" w:after="120"/>
        <w:jc w:val="center"/>
        <w:rPr>
          <w:rFonts w:hint="eastAsia" w:cs="宋体"/>
          <w:color w:val="auto"/>
          <w:sz w:val="28"/>
          <w:szCs w:val="28"/>
          <w:highlight w:val="none"/>
        </w:rPr>
      </w:pPr>
    </w:p>
    <w:p>
      <w:pPr>
        <w:pStyle w:val="2"/>
        <w:keepNext w:val="0"/>
        <w:keepLines w:val="0"/>
        <w:snapToGrid w:val="0"/>
        <w:spacing w:before="120" w:after="120"/>
        <w:jc w:val="center"/>
        <w:rPr>
          <w:rFonts w:cs="宋体"/>
          <w:color w:val="auto"/>
          <w:sz w:val="28"/>
          <w:szCs w:val="28"/>
          <w:highlight w:val="none"/>
        </w:rPr>
      </w:pPr>
      <w:r>
        <w:rPr>
          <w:rFonts w:hint="eastAsia" w:cs="宋体"/>
          <w:color w:val="auto"/>
          <w:sz w:val="28"/>
          <w:szCs w:val="28"/>
          <w:highlight w:val="none"/>
        </w:rPr>
        <w:t xml:space="preserve">第二章 </w:t>
      </w:r>
      <w:bookmarkStart w:id="21" w:name="_Toc32321"/>
      <w:bookmarkStart w:id="22" w:name="_Toc10132"/>
      <w:bookmarkStart w:id="23" w:name="_Toc5463"/>
      <w:r>
        <w:rPr>
          <w:rFonts w:hint="eastAsia" w:cs="宋体"/>
          <w:color w:val="auto"/>
          <w:sz w:val="28"/>
          <w:szCs w:val="28"/>
          <w:highlight w:val="none"/>
        </w:rPr>
        <w:t>投标人须知</w:t>
      </w:r>
      <w:bookmarkEnd w:id="21"/>
      <w:bookmarkEnd w:id="22"/>
      <w:bookmarkEnd w:id="23"/>
      <w:r>
        <w:rPr>
          <w:rFonts w:hint="eastAsia" w:cs="宋体"/>
          <w:color w:val="auto"/>
          <w:sz w:val="28"/>
          <w:szCs w:val="28"/>
          <w:highlight w:val="none"/>
        </w:rPr>
        <w:t>前附表</w:t>
      </w:r>
      <w:bookmarkEnd w:id="8"/>
      <w:bookmarkEnd w:id="9"/>
      <w:bookmarkEnd w:id="10"/>
      <w:bookmarkEnd w:id="11"/>
      <w:bookmarkEnd w:id="12"/>
      <w:bookmarkEnd w:id="13"/>
      <w:bookmarkEnd w:id="14"/>
    </w:p>
    <w:tbl>
      <w:tblPr>
        <w:tblStyle w:val="22"/>
        <w:tblpPr w:leftFromText="180" w:rightFromText="180" w:vertAnchor="text" w:horzAnchor="page" w:tblpXSpec="center" w:tblpY="73"/>
        <w:tblOverlap w:val="never"/>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20" w:type="dxa"/>
            <w:vAlign w:val="center"/>
          </w:tcPr>
          <w:p>
            <w:pPr>
              <w:jc w:val="center"/>
              <w:rPr>
                <w:rFonts w:cs="宋体"/>
                <w:color w:val="auto"/>
                <w:highlight w:val="none"/>
              </w:rPr>
            </w:pPr>
            <w:r>
              <w:rPr>
                <w:rFonts w:hint="eastAsia" w:cs="宋体"/>
                <w:color w:val="auto"/>
                <w:highlight w:val="none"/>
              </w:rPr>
              <w:t>序号</w:t>
            </w:r>
          </w:p>
        </w:tc>
        <w:tc>
          <w:tcPr>
            <w:tcW w:w="9303" w:type="dxa"/>
            <w:vAlign w:val="center"/>
          </w:tcPr>
          <w:p>
            <w:pPr>
              <w:jc w:val="center"/>
              <w:rPr>
                <w:rFonts w:cs="宋体"/>
                <w:color w:val="auto"/>
                <w:highlight w:val="none"/>
              </w:rPr>
            </w:pPr>
            <w:r>
              <w:rPr>
                <w:rFonts w:hint="eastAsia" w:cs="宋体"/>
                <w:color w:val="auto"/>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cs="宋体"/>
                <w:color w:val="auto"/>
                <w:highlight w:val="none"/>
              </w:rPr>
            </w:pPr>
            <w:r>
              <w:rPr>
                <w:rFonts w:hint="eastAsia" w:cs="宋体"/>
                <w:color w:val="auto"/>
                <w:highlight w:val="none"/>
              </w:rPr>
              <w:t>1</w:t>
            </w:r>
          </w:p>
        </w:tc>
        <w:tc>
          <w:tcPr>
            <w:tcW w:w="9303" w:type="dxa"/>
            <w:vAlign w:val="center"/>
          </w:tcPr>
          <w:p>
            <w:pPr>
              <w:ind w:left="1200" w:hanging="1200" w:hangingChars="500"/>
              <w:rPr>
                <w:rFonts w:hint="eastAsia" w:eastAsia="宋体" w:cs="宋体"/>
                <w:color w:val="auto"/>
                <w:highlight w:val="none"/>
                <w:lang w:eastAsia="zh-CN"/>
              </w:rPr>
            </w:pPr>
            <w:r>
              <w:rPr>
                <w:rFonts w:hint="eastAsia" w:cs="宋体"/>
                <w:color w:val="auto"/>
                <w:highlight w:val="none"/>
              </w:rPr>
              <w:t>项目名称：</w:t>
            </w:r>
            <w:r>
              <w:rPr>
                <w:rFonts w:hint="eastAsia" w:cs="宋体"/>
                <w:color w:val="auto"/>
                <w:highlight w:val="none"/>
                <w:lang w:eastAsia="zh-CN"/>
              </w:rPr>
              <w:t>尼勒克县基层阵地及公共服务管理设施建设项目</w:t>
            </w:r>
          </w:p>
          <w:p>
            <w:pPr>
              <w:rPr>
                <w:rFonts w:cs="宋体"/>
                <w:b/>
                <w:bCs/>
                <w:color w:val="auto"/>
                <w:highlight w:val="none"/>
              </w:rPr>
            </w:pPr>
            <w:r>
              <w:rPr>
                <w:rFonts w:hint="eastAsia" w:cs="宋体"/>
                <w:color w:val="auto"/>
                <w:highlight w:val="none"/>
              </w:rPr>
              <w:t>项目</w:t>
            </w:r>
            <w:r>
              <w:rPr>
                <w:rFonts w:hint="eastAsia" w:cs="宋体"/>
                <w:color w:val="auto"/>
                <w:highlight w:val="none"/>
                <w:lang w:eastAsia="zh-CN"/>
              </w:rPr>
              <w:t>编号：2023XJDG-NLKX-11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cs="宋体"/>
                <w:color w:val="auto"/>
                <w:highlight w:val="none"/>
              </w:rPr>
            </w:pPr>
            <w:r>
              <w:rPr>
                <w:rFonts w:hint="eastAsia" w:cs="宋体"/>
                <w:color w:val="auto"/>
                <w:highlight w:val="none"/>
              </w:rPr>
              <w:t>2</w:t>
            </w:r>
          </w:p>
        </w:tc>
        <w:tc>
          <w:tcPr>
            <w:tcW w:w="9303" w:type="dxa"/>
            <w:vAlign w:val="center"/>
          </w:tcPr>
          <w:p>
            <w:pPr>
              <w:rPr>
                <w:rFonts w:cs="宋体"/>
                <w:color w:val="auto"/>
                <w:highlight w:val="none"/>
              </w:rPr>
            </w:pPr>
            <w:r>
              <w:rPr>
                <w:rFonts w:hint="eastAsia" w:cs="宋体"/>
                <w:color w:val="auto"/>
                <w:highlight w:val="none"/>
              </w:rPr>
              <w:t>采购代理机构：</w:t>
            </w:r>
            <w:r>
              <w:rPr>
                <w:rFonts w:hint="eastAsia" w:cs="宋体"/>
                <w:color w:val="auto"/>
                <w:highlight w:val="none"/>
                <w:lang w:eastAsia="zh-CN"/>
              </w:rPr>
              <w:t>尼勒克县政府采购中心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cs="宋体"/>
                <w:color w:val="auto"/>
                <w:highlight w:val="none"/>
              </w:rPr>
            </w:pPr>
            <w:r>
              <w:rPr>
                <w:rFonts w:hint="eastAsia" w:cs="宋体"/>
                <w:color w:val="auto"/>
                <w:highlight w:val="none"/>
              </w:rPr>
              <w:t>3</w:t>
            </w:r>
          </w:p>
        </w:tc>
        <w:tc>
          <w:tcPr>
            <w:tcW w:w="9303" w:type="dxa"/>
            <w:vAlign w:val="center"/>
          </w:tcPr>
          <w:p>
            <w:pPr>
              <w:widowControl/>
              <w:shd w:val="clear" w:color="auto" w:fill="FFFFFF"/>
              <w:spacing w:line="520" w:lineRule="exact"/>
              <w:jc w:val="left"/>
              <w:rPr>
                <w:rFonts w:hint="default" w:eastAsia="宋体" w:cs="宋体"/>
                <w:color w:val="auto"/>
                <w:highlight w:val="none"/>
                <w:lang w:val="en-US" w:eastAsia="zh-CN"/>
              </w:rPr>
            </w:pPr>
            <w:r>
              <w:rPr>
                <w:rFonts w:hint="eastAsia" w:cs="宋体"/>
                <w:color w:val="auto"/>
                <w:highlight w:val="none"/>
              </w:rPr>
              <w:t>预算金额（元）：</w:t>
            </w:r>
            <w:r>
              <w:rPr>
                <w:rFonts w:hint="eastAsia" w:cs="宋体"/>
                <w:color w:val="auto"/>
                <w:highlight w:val="none"/>
                <w:lang w:val="en-US" w:eastAsia="zh-CN"/>
              </w:rPr>
              <w:t>6224804.61</w:t>
            </w:r>
          </w:p>
          <w:p>
            <w:pPr>
              <w:widowControl/>
              <w:shd w:val="clear" w:color="auto" w:fill="FFFFFF"/>
              <w:spacing w:line="520" w:lineRule="exact"/>
              <w:jc w:val="left"/>
              <w:rPr>
                <w:rFonts w:cs="宋体"/>
                <w:color w:val="auto"/>
                <w:szCs w:val="28"/>
                <w:highlight w:val="none"/>
              </w:rPr>
            </w:pPr>
            <w:r>
              <w:rPr>
                <w:rFonts w:hint="eastAsia" w:cs="宋体"/>
                <w:color w:val="auto"/>
                <w:highlight w:val="none"/>
              </w:rPr>
              <w:t>最高限价（元）：</w:t>
            </w:r>
            <w:r>
              <w:rPr>
                <w:rFonts w:hint="eastAsia" w:cs="宋体"/>
                <w:color w:val="auto"/>
                <w:highlight w:val="none"/>
                <w:lang w:val="en-US" w:eastAsia="zh-CN"/>
              </w:rPr>
              <w:t>6224804.61</w:t>
            </w:r>
            <w:r>
              <w:rPr>
                <w:rFonts w:hint="eastAsia" w:cs="宋体"/>
                <w:color w:val="auto"/>
                <w:highlight w:val="none"/>
              </w:rPr>
              <w:t xml:space="preserve">  (等于或超出预算的报价为无效报价)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cs="宋体"/>
                <w:color w:val="auto"/>
                <w:highlight w:val="none"/>
              </w:rPr>
            </w:pPr>
            <w:r>
              <w:rPr>
                <w:rFonts w:cs="宋体"/>
                <w:color w:val="auto"/>
                <w:highlight w:val="none"/>
              </w:rPr>
              <w:t>4</w:t>
            </w:r>
          </w:p>
        </w:tc>
        <w:tc>
          <w:tcPr>
            <w:tcW w:w="9303" w:type="dxa"/>
            <w:vAlign w:val="center"/>
          </w:tcPr>
          <w:p>
            <w:pPr>
              <w:ind w:left="1200" w:hanging="1200" w:hangingChars="500"/>
              <w:rPr>
                <w:rFonts w:cs="宋体"/>
                <w:color w:val="auto"/>
                <w:highlight w:val="none"/>
              </w:rPr>
            </w:pPr>
            <w:r>
              <w:rPr>
                <w:rFonts w:hint="eastAsia" w:cs="宋体"/>
                <w:color w:val="auto"/>
                <w:highlight w:val="none"/>
              </w:rPr>
              <w:t>采购内容：</w:t>
            </w:r>
            <w:r>
              <w:rPr>
                <w:rFonts w:hint="eastAsia" w:ascii="宋体" w:hAnsi="宋体" w:eastAsia="宋体" w:cs="宋体"/>
                <w:spacing w:val="-3"/>
              </w:rPr>
              <w:t>以苏布台乡、喀拉苏乡、克令镇、科蒙乡、尼勒克镇等S315沿线13个点位继续打造一站式矛盾纠纷调处中心和法治进万家示范建设，进一步夯实社会基层基础建设。</w:t>
            </w:r>
          </w:p>
          <w:p>
            <w:pPr>
              <w:pStyle w:val="7"/>
              <w:rPr>
                <w:rFonts w:hint="eastAsia" w:ascii="宋体" w:hAnsi="宋体" w:eastAsia="宋体" w:cs="宋体"/>
                <w:spacing w:val="-3"/>
                <w:kern w:val="2"/>
                <w:sz w:val="24"/>
                <w:szCs w:val="24"/>
                <w:lang w:val="en-US" w:eastAsia="zh-CN" w:bidi="ar-SA"/>
              </w:rPr>
            </w:pPr>
            <w:r>
              <w:rPr>
                <w:rFonts w:hint="eastAsia"/>
                <w:color w:val="auto"/>
                <w:highlight w:val="none"/>
              </w:rPr>
              <w:t>采购范围：采购</w:t>
            </w:r>
            <w:r>
              <w:rPr>
                <w:rFonts w:hint="eastAsia" w:ascii="宋体" w:hAnsi="宋体" w:eastAsia="宋体" w:cs="宋体"/>
                <w:spacing w:val="-3"/>
                <w:kern w:val="2"/>
                <w:sz w:val="24"/>
                <w:szCs w:val="24"/>
                <w:lang w:val="en-US" w:eastAsia="zh-CN" w:bidi="ar-SA"/>
              </w:rPr>
              <w:t>清单包含的全部内容。</w:t>
            </w:r>
          </w:p>
          <w:p>
            <w:pPr>
              <w:widowControl/>
              <w:shd w:val="clear" w:color="auto" w:fill="FFFFFF"/>
              <w:spacing w:line="520" w:lineRule="exact"/>
              <w:jc w:val="left"/>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项目交付期限：中标公示结束后40日历日内完成。（具体合同中约定）</w:t>
            </w:r>
          </w:p>
          <w:p>
            <w:pPr>
              <w:widowControl/>
              <w:shd w:val="clear" w:color="auto" w:fill="FFFFFF"/>
              <w:spacing w:line="520" w:lineRule="exact"/>
              <w:jc w:val="left"/>
              <w:rPr>
                <w:color w:val="auto"/>
                <w:highlight w:val="none"/>
              </w:rPr>
            </w:pPr>
            <w:r>
              <w:rPr>
                <w:rFonts w:hint="eastAsia" w:ascii="宋体" w:hAnsi="宋体" w:eastAsia="宋体" w:cs="宋体"/>
                <w:spacing w:val="-3"/>
                <w:kern w:val="2"/>
                <w:sz w:val="24"/>
                <w:szCs w:val="24"/>
                <w:lang w:val="en-US" w:eastAsia="zh-CN" w:bidi="ar-SA"/>
              </w:rPr>
              <w:t>付款方式:（具体合同中约定）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0" w:type="dxa"/>
            <w:vAlign w:val="center"/>
          </w:tcPr>
          <w:p>
            <w:pPr>
              <w:jc w:val="center"/>
              <w:rPr>
                <w:rFonts w:cs="宋体"/>
                <w:color w:val="auto"/>
                <w:highlight w:val="none"/>
              </w:rPr>
            </w:pPr>
            <w:r>
              <w:rPr>
                <w:rFonts w:hint="eastAsia" w:cs="宋体"/>
                <w:color w:val="auto"/>
                <w:highlight w:val="none"/>
              </w:rPr>
              <w:t>5</w:t>
            </w:r>
          </w:p>
        </w:tc>
        <w:tc>
          <w:tcPr>
            <w:tcW w:w="9303" w:type="dxa"/>
            <w:vAlign w:val="center"/>
          </w:tcPr>
          <w:p>
            <w:pPr>
              <w:rPr>
                <w:rFonts w:cs="宋体"/>
                <w:color w:val="auto"/>
                <w:highlight w:val="none"/>
              </w:rPr>
            </w:pPr>
            <w:r>
              <w:rPr>
                <w:rFonts w:hint="eastAsia" w:cs="宋体"/>
                <w:color w:val="auto"/>
                <w:highlight w:val="none"/>
              </w:rPr>
              <w:t>投标人资格条件、能力和信誉：</w:t>
            </w:r>
          </w:p>
          <w:p>
            <w:pPr>
              <w:rPr>
                <w:rFonts w:cs="宋体"/>
                <w:color w:val="auto"/>
                <w:highlight w:val="none"/>
              </w:rPr>
            </w:pPr>
            <w:r>
              <w:rPr>
                <w:rFonts w:hint="eastAsia" w:cs="宋体"/>
                <w:color w:val="auto"/>
                <w:highlight w:val="none"/>
              </w:rPr>
              <w:t>资格条件：</w:t>
            </w:r>
          </w:p>
          <w:p>
            <w:pPr>
              <w:rPr>
                <w:rFonts w:cs="宋体"/>
                <w:color w:val="auto"/>
                <w:highlight w:val="none"/>
              </w:rPr>
            </w:pPr>
            <w:r>
              <w:rPr>
                <w:rFonts w:hint="eastAsia" w:cs="宋体"/>
                <w:color w:val="auto"/>
                <w:highlight w:val="none"/>
              </w:rPr>
              <w:t>（一）满足《中华人民共和国政府采购法》第二十二条规定；</w:t>
            </w:r>
          </w:p>
          <w:p>
            <w:pPr>
              <w:rPr>
                <w:rFonts w:cs="宋体"/>
                <w:color w:val="auto"/>
                <w:highlight w:val="none"/>
              </w:rPr>
            </w:pPr>
            <w:r>
              <w:rPr>
                <w:rFonts w:hint="eastAsia" w:cs="宋体"/>
                <w:color w:val="auto"/>
                <w:highlight w:val="none"/>
              </w:rPr>
              <w:t>（1）具有独立承担民事责任的能力；</w:t>
            </w:r>
          </w:p>
          <w:p>
            <w:pPr>
              <w:rPr>
                <w:rFonts w:cs="宋体"/>
                <w:color w:val="auto"/>
                <w:highlight w:val="none"/>
              </w:rPr>
            </w:pPr>
            <w:r>
              <w:rPr>
                <w:rFonts w:hint="eastAsia" w:cs="宋体"/>
                <w:color w:val="auto"/>
                <w:highlight w:val="none"/>
              </w:rPr>
              <w:t>（2）具有良好的商业信誉和健全的财务会计制度；</w:t>
            </w:r>
          </w:p>
          <w:p>
            <w:pPr>
              <w:rPr>
                <w:rFonts w:cs="宋体"/>
                <w:color w:val="auto"/>
                <w:highlight w:val="none"/>
              </w:rPr>
            </w:pPr>
            <w:r>
              <w:rPr>
                <w:rFonts w:hint="eastAsia" w:cs="宋体"/>
                <w:color w:val="auto"/>
                <w:highlight w:val="none"/>
              </w:rPr>
              <w:t>（3）具有履行合同所必需的设备和专业技术能力；</w:t>
            </w:r>
          </w:p>
          <w:p>
            <w:pPr>
              <w:rPr>
                <w:rFonts w:cs="宋体"/>
                <w:color w:val="auto"/>
                <w:highlight w:val="none"/>
              </w:rPr>
            </w:pPr>
            <w:r>
              <w:rPr>
                <w:rFonts w:hint="eastAsia" w:cs="宋体"/>
                <w:color w:val="auto"/>
                <w:highlight w:val="none"/>
              </w:rPr>
              <w:t>（4）有依法缴纳税收和社会保障资金的良好记录；</w:t>
            </w:r>
          </w:p>
          <w:p>
            <w:pPr>
              <w:rPr>
                <w:rFonts w:cs="宋体"/>
                <w:color w:val="auto"/>
                <w:highlight w:val="none"/>
              </w:rPr>
            </w:pPr>
            <w:r>
              <w:rPr>
                <w:rFonts w:hint="eastAsia" w:cs="宋体"/>
                <w:color w:val="auto"/>
                <w:highlight w:val="none"/>
              </w:rPr>
              <w:t>（5）参加政府采购活动前三年内，在经营活动中没有重大违法记录；</w:t>
            </w:r>
          </w:p>
          <w:p>
            <w:pPr>
              <w:rPr>
                <w:rFonts w:cs="宋体"/>
                <w:color w:val="auto"/>
                <w:highlight w:val="none"/>
              </w:rPr>
            </w:pPr>
            <w:r>
              <w:rPr>
                <w:rFonts w:hint="eastAsia" w:cs="宋体"/>
                <w:color w:val="auto"/>
                <w:highlight w:val="none"/>
              </w:rPr>
              <w:t>（6）法律、行政法规规定的其他条件。</w:t>
            </w:r>
          </w:p>
          <w:p>
            <w:pPr>
              <w:rPr>
                <w:rFonts w:cs="宋体"/>
                <w:color w:val="auto"/>
                <w:highlight w:val="none"/>
              </w:rPr>
            </w:pPr>
            <w:r>
              <w:rPr>
                <w:rFonts w:hint="eastAsia" w:cs="宋体"/>
                <w:color w:val="auto"/>
                <w:highlight w:val="none"/>
              </w:rPr>
              <w:t>（二）具备有效经年检的营业执照；</w:t>
            </w:r>
          </w:p>
          <w:p>
            <w:pPr>
              <w:rPr>
                <w:rFonts w:hint="eastAsia" w:cs="宋体"/>
                <w:color w:val="auto"/>
                <w:highlight w:val="none"/>
              </w:rPr>
            </w:pPr>
            <w:r>
              <w:rPr>
                <w:rFonts w:hint="eastAsia" w:hAnsi="宋体" w:cs="宋体"/>
                <w:color w:val="auto"/>
                <w:szCs w:val="28"/>
                <w:highlight w:val="none"/>
              </w:rPr>
              <w:t>（三）“中国政府采购网”及“信用中国”及“</w:t>
            </w:r>
            <w:r>
              <w:rPr>
                <w:rFonts w:hint="eastAsia" w:asciiTheme="minorEastAsia" w:hAnsiTheme="minorEastAsia" w:eastAsiaTheme="minorEastAsia" w:cstheme="minorEastAsia"/>
                <w:color w:val="auto"/>
                <w:highlight w:val="none"/>
              </w:rPr>
              <w:t>国家企业信用信息公示系统”</w:t>
            </w:r>
            <w:r>
              <w:rPr>
                <w:rFonts w:hint="eastAsia" w:hAnsi="宋体" w:cs="宋体"/>
                <w:color w:val="auto"/>
                <w:szCs w:val="28"/>
                <w:highlight w:val="none"/>
              </w:rPr>
              <w:t>中信用信息查询记录</w:t>
            </w:r>
            <w:r>
              <w:rPr>
                <w:rFonts w:hint="eastAsia" w:hAnsi="宋体" w:cs="宋体"/>
                <w:color w:val="auto"/>
                <w:highlight w:val="none"/>
              </w:rPr>
              <w:t>（</w:t>
            </w:r>
            <w:r>
              <w:rPr>
                <w:rFonts w:hint="eastAsia" w:cs="宋体"/>
                <w:color w:val="auto"/>
                <w:highlight w:val="none"/>
              </w:rPr>
              <w:t>尚在处罚期内）将拒绝其参加本次采购活动；</w:t>
            </w:r>
          </w:p>
          <w:p>
            <w:pPr>
              <w:rPr>
                <w:rFonts w:hint="eastAsia" w:cs="宋体"/>
                <w:color w:val="auto"/>
                <w:highlight w:val="none"/>
              </w:rPr>
            </w:pPr>
            <w:r>
              <w:rPr>
                <w:rFonts w:hint="eastAsia" w:cs="宋体"/>
                <w:color w:val="auto"/>
                <w:highlight w:val="none"/>
              </w:rPr>
              <w:t>（四）信用信息查询记录和证据留存的方式：网页截图</w:t>
            </w:r>
          </w:p>
          <w:p>
            <w:pPr>
              <w:rPr>
                <w:rFonts w:hint="eastAsia" w:cs="宋体"/>
                <w:color w:val="auto"/>
                <w:highlight w:val="none"/>
              </w:rPr>
            </w:pPr>
            <w:r>
              <w:rPr>
                <w:rFonts w:hint="eastAsia" w:cs="宋体"/>
                <w:color w:val="auto"/>
                <w:highlight w:val="none"/>
              </w:rPr>
              <w:t>（五）财务要求：财务状况良好。</w:t>
            </w:r>
          </w:p>
          <w:p>
            <w:pPr>
              <w:rPr>
                <w:rFonts w:cs="宋体"/>
                <w:color w:val="auto"/>
                <w:highlight w:val="none"/>
              </w:rPr>
            </w:pPr>
            <w:r>
              <w:rPr>
                <w:rFonts w:hint="eastAsia" w:cs="宋体"/>
                <w:color w:val="auto"/>
                <w:highlight w:val="none"/>
              </w:rPr>
              <w:t>（六）信誉要求：良好，无不良行为记录。</w:t>
            </w:r>
          </w:p>
          <w:p>
            <w:pPr>
              <w:rPr>
                <w:color w:val="auto"/>
                <w:highlight w:val="none"/>
              </w:rPr>
            </w:pPr>
            <w:r>
              <w:rPr>
                <w:rFonts w:hint="eastAsia" w:cs="宋体"/>
                <w:color w:val="auto"/>
                <w:highlight w:val="none"/>
              </w:rPr>
              <w:t>（七）其他要求：无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20" w:type="dxa"/>
            <w:vAlign w:val="center"/>
          </w:tcPr>
          <w:p>
            <w:pPr>
              <w:jc w:val="center"/>
              <w:rPr>
                <w:rFonts w:cs="宋体"/>
                <w:color w:val="auto"/>
                <w:highlight w:val="none"/>
              </w:rPr>
            </w:pPr>
            <w:r>
              <w:rPr>
                <w:rFonts w:hint="eastAsia" w:cs="宋体"/>
                <w:color w:val="auto"/>
                <w:highlight w:val="none"/>
              </w:rPr>
              <w:t>6</w:t>
            </w:r>
          </w:p>
        </w:tc>
        <w:tc>
          <w:tcPr>
            <w:tcW w:w="9303" w:type="dxa"/>
            <w:vAlign w:val="center"/>
          </w:tcPr>
          <w:p>
            <w:pPr>
              <w:spacing w:line="390" w:lineRule="exact"/>
              <w:rPr>
                <w:rFonts w:cs="宋体"/>
                <w:b/>
                <w:bCs/>
                <w:color w:val="auto"/>
                <w:highlight w:val="none"/>
              </w:rPr>
            </w:pPr>
            <w:r>
              <w:rPr>
                <w:rFonts w:hint="eastAsia" w:cs="宋体"/>
                <w:b/>
                <w:bCs/>
                <w:color w:val="auto"/>
                <w:highlight w:val="none"/>
              </w:rPr>
              <w:t>投标保证金的形式:支票</w:t>
            </w:r>
            <w:r>
              <w:rPr>
                <w:rFonts w:hint="eastAsia" w:cs="宋体"/>
                <w:b/>
                <w:bCs/>
                <w:color w:val="auto"/>
                <w:highlight w:val="none"/>
                <w:lang w:eastAsia="zh-CN"/>
              </w:rPr>
              <w:t>、</w:t>
            </w:r>
            <w:r>
              <w:rPr>
                <w:rFonts w:hint="eastAsia" w:cs="宋体"/>
                <w:b/>
                <w:bCs/>
                <w:color w:val="auto"/>
                <w:highlight w:val="none"/>
              </w:rPr>
              <w:t>电汇</w:t>
            </w:r>
            <w:r>
              <w:rPr>
                <w:rFonts w:hint="eastAsia" w:cs="宋体"/>
                <w:b/>
                <w:bCs/>
                <w:color w:val="auto"/>
                <w:highlight w:val="none"/>
                <w:lang w:eastAsia="zh-CN"/>
              </w:rPr>
              <w:t>、</w:t>
            </w:r>
            <w:r>
              <w:rPr>
                <w:rFonts w:hint="eastAsia" w:cs="宋体"/>
                <w:b/>
                <w:bCs/>
                <w:color w:val="auto"/>
                <w:highlight w:val="none"/>
              </w:rPr>
              <w:t>保函</w:t>
            </w:r>
          </w:p>
          <w:p>
            <w:pPr>
              <w:spacing w:line="390" w:lineRule="exact"/>
              <w:rPr>
                <w:rFonts w:cs="宋体"/>
                <w:color w:val="auto"/>
                <w:highlight w:val="none"/>
              </w:rPr>
            </w:pPr>
            <w:r>
              <w:rPr>
                <w:rFonts w:hint="eastAsia" w:cs="宋体"/>
                <w:color w:val="auto"/>
                <w:highlight w:val="none"/>
              </w:rPr>
              <w:t>金额：</w:t>
            </w:r>
            <w:r>
              <w:rPr>
                <w:rFonts w:hint="eastAsia" w:cs="宋体"/>
                <w:color w:val="auto"/>
                <w:highlight w:val="none"/>
                <w:lang w:val="en-US" w:eastAsia="zh-CN"/>
              </w:rPr>
              <w:t>7</w:t>
            </w:r>
            <w:r>
              <w:rPr>
                <w:rFonts w:hint="eastAsia" w:cs="宋体"/>
                <w:color w:val="auto"/>
                <w:highlight w:val="none"/>
              </w:rPr>
              <w:t>0000</w:t>
            </w:r>
            <w:r>
              <w:rPr>
                <w:rFonts w:cs="宋体"/>
                <w:color w:val="auto"/>
                <w:highlight w:val="none"/>
              </w:rPr>
              <w:t>.00</w:t>
            </w:r>
            <w:r>
              <w:rPr>
                <w:rFonts w:hint="eastAsia" w:cs="宋体"/>
                <w:color w:val="auto"/>
                <w:highlight w:val="none"/>
              </w:rPr>
              <w:t>元（大写：</w:t>
            </w:r>
            <w:r>
              <w:rPr>
                <w:rFonts w:hint="eastAsia" w:cs="宋体"/>
                <w:color w:val="auto"/>
                <w:highlight w:val="none"/>
                <w:lang w:val="en-US" w:eastAsia="zh-CN"/>
              </w:rPr>
              <w:t>柒</w:t>
            </w:r>
            <w:r>
              <w:rPr>
                <w:rFonts w:hint="eastAsia" w:cs="宋体"/>
                <w:color w:val="auto"/>
                <w:highlight w:val="none"/>
              </w:rPr>
              <w:t>万元整）</w:t>
            </w:r>
          </w:p>
          <w:p>
            <w:pPr>
              <w:spacing w:line="390" w:lineRule="exact"/>
              <w:rPr>
                <w:rFonts w:cs="宋体"/>
                <w:color w:val="auto"/>
                <w:highlight w:val="none"/>
              </w:rPr>
            </w:pPr>
            <w:r>
              <w:rPr>
                <w:rFonts w:hint="eastAsia" w:cs="宋体"/>
                <w:color w:val="auto"/>
                <w:highlight w:val="none"/>
              </w:rPr>
              <w:t>缴纳方式：应当以金融机构、担保机构出具的保函等非现金形式提交。</w:t>
            </w:r>
          </w:p>
          <w:p>
            <w:pPr>
              <w:spacing w:line="390" w:lineRule="exact"/>
              <w:rPr>
                <w:rFonts w:cs="宋体"/>
                <w:color w:val="auto"/>
                <w:highlight w:val="none"/>
              </w:rPr>
            </w:pPr>
            <w:r>
              <w:rPr>
                <w:rFonts w:hint="eastAsia" w:cs="宋体"/>
                <w:color w:val="auto"/>
                <w:highlight w:val="none"/>
              </w:rPr>
              <w:t>投标保证金截止时间：2023年</w:t>
            </w:r>
            <w:r>
              <w:rPr>
                <w:rFonts w:hint="eastAsia" w:cs="宋体"/>
                <w:color w:val="auto"/>
                <w:highlight w:val="none"/>
                <w:lang w:val="en-US" w:eastAsia="zh-CN"/>
              </w:rPr>
              <w:t>09</w:t>
            </w:r>
            <w:r>
              <w:rPr>
                <w:rFonts w:hint="eastAsia" w:cs="宋体"/>
                <w:color w:val="auto"/>
                <w:highlight w:val="none"/>
              </w:rPr>
              <w:t>月</w:t>
            </w:r>
            <w:r>
              <w:rPr>
                <w:rFonts w:hint="eastAsia" w:cs="宋体"/>
                <w:color w:val="auto"/>
                <w:highlight w:val="none"/>
                <w:lang w:val="en-US" w:eastAsia="zh-CN"/>
              </w:rPr>
              <w:t>14</w:t>
            </w:r>
            <w:r>
              <w:rPr>
                <w:rFonts w:hint="eastAsia" w:cs="宋体"/>
                <w:color w:val="auto"/>
                <w:highlight w:val="none"/>
              </w:rPr>
              <w:t>日</w:t>
            </w:r>
            <w:r>
              <w:rPr>
                <w:rFonts w:hint="eastAsia" w:cs="宋体"/>
                <w:color w:val="auto"/>
                <w:highlight w:val="none"/>
                <w:lang w:val="en-US" w:eastAsia="zh-CN"/>
              </w:rPr>
              <w:t>16</w:t>
            </w:r>
            <w:r>
              <w:rPr>
                <w:rFonts w:hint="eastAsia" w:cs="宋体"/>
                <w:color w:val="auto"/>
                <w:highlight w:val="none"/>
              </w:rPr>
              <w:t>:</w:t>
            </w:r>
            <w:r>
              <w:rPr>
                <w:rFonts w:hint="eastAsia" w:cs="宋体"/>
                <w:color w:val="auto"/>
                <w:highlight w:val="none"/>
                <w:lang w:val="en-US" w:eastAsia="zh-CN"/>
              </w:rPr>
              <w:t>30</w:t>
            </w:r>
            <w:r>
              <w:rPr>
                <w:rFonts w:hint="eastAsia" w:cs="宋体"/>
                <w:color w:val="auto"/>
                <w:highlight w:val="none"/>
              </w:rPr>
              <w:t xml:space="preserve"> </w:t>
            </w:r>
          </w:p>
          <w:p>
            <w:pPr>
              <w:pStyle w:val="89"/>
              <w:spacing w:after="0" w:line="360" w:lineRule="auto"/>
              <w:rPr>
                <w:rFonts w:hint="eastAsia" w:ascii="宋体" w:hAnsi="宋体" w:cs="宋体"/>
                <w:color w:val="000000"/>
                <w:sz w:val="24"/>
                <w:szCs w:val="22"/>
                <w:highlight w:val="none"/>
                <w:lang w:eastAsia="zh-CN"/>
              </w:rPr>
            </w:pPr>
            <w:r>
              <w:rPr>
                <w:rFonts w:hint="eastAsia" w:ascii="宋体" w:hAnsi="宋体" w:cs="宋体"/>
                <w:color w:val="000000"/>
                <w:sz w:val="24"/>
                <w:szCs w:val="22"/>
                <w:highlight w:val="none"/>
              </w:rPr>
              <w:t>单位名称：</w:t>
            </w:r>
            <w:r>
              <w:rPr>
                <w:rFonts w:hint="eastAsia" w:ascii="宋体" w:hAnsi="宋体" w:cs="宋体"/>
                <w:color w:val="000000"/>
                <w:sz w:val="24"/>
                <w:szCs w:val="22"/>
                <w:highlight w:val="none"/>
                <w:lang w:val="zh-CN" w:eastAsia="zh-CN"/>
              </w:rPr>
              <w:t>新疆登冠工程项目管理有限公司</w:t>
            </w:r>
          </w:p>
          <w:p>
            <w:pPr>
              <w:pStyle w:val="89"/>
              <w:spacing w:after="0" w:line="360" w:lineRule="auto"/>
              <w:rPr>
                <w:rFonts w:hint="eastAsia" w:ascii="宋体" w:hAnsi="宋体" w:cs="宋体"/>
                <w:color w:val="000000"/>
                <w:sz w:val="24"/>
                <w:szCs w:val="22"/>
                <w:highlight w:val="none"/>
              </w:rPr>
            </w:pPr>
            <w:r>
              <w:rPr>
                <w:rFonts w:hint="eastAsia" w:ascii="宋体" w:hAnsi="宋体" w:cs="宋体"/>
                <w:color w:val="000000"/>
                <w:sz w:val="24"/>
                <w:szCs w:val="22"/>
                <w:highlight w:val="none"/>
              </w:rPr>
              <w:t>帐    号：3006023809100115839</w:t>
            </w:r>
          </w:p>
          <w:p>
            <w:pPr>
              <w:pStyle w:val="89"/>
              <w:spacing w:after="0" w:line="360" w:lineRule="auto"/>
              <w:rPr>
                <w:rFonts w:hint="eastAsia" w:ascii="宋体" w:hAnsi="宋体" w:cs="宋体"/>
                <w:color w:val="000000"/>
                <w:sz w:val="24"/>
                <w:szCs w:val="22"/>
                <w:highlight w:val="none"/>
              </w:rPr>
            </w:pPr>
            <w:r>
              <w:rPr>
                <w:rFonts w:hint="eastAsia" w:ascii="宋体" w:hAnsi="宋体" w:cs="宋体"/>
                <w:color w:val="000000"/>
                <w:sz w:val="24"/>
                <w:szCs w:val="22"/>
                <w:highlight w:val="none"/>
              </w:rPr>
              <w:t>开</w:t>
            </w:r>
            <w:r>
              <w:rPr>
                <w:rFonts w:hint="eastAsia" w:ascii="宋体" w:hAnsi="宋体" w:cs="宋体"/>
                <w:color w:val="000000"/>
                <w:sz w:val="24"/>
                <w:szCs w:val="22"/>
                <w:highlight w:val="none"/>
                <w:lang w:val="en-US" w:eastAsia="zh-CN"/>
              </w:rPr>
              <w:t xml:space="preserve"> </w:t>
            </w:r>
            <w:r>
              <w:rPr>
                <w:rFonts w:hint="eastAsia" w:ascii="宋体" w:hAnsi="宋体" w:cs="宋体"/>
                <w:color w:val="000000"/>
                <w:sz w:val="24"/>
                <w:szCs w:val="22"/>
                <w:highlight w:val="none"/>
              </w:rPr>
              <w:t>户</w:t>
            </w:r>
            <w:r>
              <w:rPr>
                <w:rFonts w:hint="eastAsia" w:ascii="宋体" w:hAnsi="宋体" w:cs="宋体"/>
                <w:color w:val="000000"/>
                <w:sz w:val="24"/>
                <w:szCs w:val="22"/>
                <w:highlight w:val="none"/>
                <w:lang w:val="en-US" w:eastAsia="zh-CN"/>
              </w:rPr>
              <w:t xml:space="preserve"> </w:t>
            </w:r>
            <w:r>
              <w:rPr>
                <w:rFonts w:hint="eastAsia" w:ascii="宋体" w:hAnsi="宋体" w:cs="宋体"/>
                <w:color w:val="000000"/>
                <w:sz w:val="24"/>
                <w:szCs w:val="22"/>
                <w:highlight w:val="none"/>
              </w:rPr>
              <w:t>行:中国工商银行股份有限公司伊宁新市区支行</w:t>
            </w:r>
          </w:p>
          <w:p>
            <w:pPr>
              <w:pStyle w:val="89"/>
              <w:spacing w:after="0" w:line="360" w:lineRule="auto"/>
              <w:rPr>
                <w:rFonts w:hint="eastAsia" w:ascii="宋体" w:hAnsi="宋体" w:cs="宋体"/>
                <w:color w:val="000000"/>
                <w:sz w:val="24"/>
                <w:szCs w:val="22"/>
                <w:highlight w:val="none"/>
              </w:rPr>
            </w:pPr>
            <w:r>
              <w:rPr>
                <w:rFonts w:hint="eastAsia" w:ascii="宋体" w:hAnsi="宋体" w:cs="宋体"/>
                <w:color w:val="000000"/>
                <w:sz w:val="24"/>
                <w:szCs w:val="22"/>
                <w:highlight w:val="none"/>
              </w:rPr>
              <w:t>行</w:t>
            </w:r>
            <w:r>
              <w:rPr>
                <w:rFonts w:hint="eastAsia" w:ascii="宋体" w:hAnsi="宋体" w:cs="宋体"/>
                <w:color w:val="000000"/>
                <w:sz w:val="24"/>
                <w:szCs w:val="22"/>
                <w:highlight w:val="none"/>
                <w:lang w:val="en-US" w:eastAsia="zh-CN"/>
              </w:rPr>
              <w:t xml:space="preserve">    </w:t>
            </w:r>
            <w:r>
              <w:rPr>
                <w:rFonts w:hint="eastAsia" w:ascii="宋体" w:hAnsi="宋体" w:cs="宋体"/>
                <w:color w:val="000000"/>
                <w:sz w:val="24"/>
                <w:szCs w:val="22"/>
                <w:highlight w:val="none"/>
              </w:rPr>
              <w:t>号</w:t>
            </w:r>
            <w:r>
              <w:rPr>
                <w:rFonts w:hint="eastAsia" w:ascii="宋体" w:hAnsi="宋体" w:cs="宋体"/>
                <w:color w:val="000000"/>
                <w:sz w:val="24"/>
                <w:szCs w:val="22"/>
                <w:highlight w:val="none"/>
                <w:lang w:eastAsia="zh-CN"/>
              </w:rPr>
              <w:t>：</w:t>
            </w:r>
            <w:r>
              <w:rPr>
                <w:rFonts w:hint="eastAsia" w:ascii="宋体" w:hAnsi="宋体" w:cs="宋体"/>
                <w:color w:val="000000"/>
                <w:sz w:val="24"/>
                <w:szCs w:val="22"/>
                <w:highlight w:val="none"/>
              </w:rPr>
              <w:t>102898002385</w:t>
            </w:r>
          </w:p>
          <w:p>
            <w:pPr>
              <w:pStyle w:val="89"/>
              <w:spacing w:after="0" w:line="360" w:lineRule="auto"/>
              <w:rPr>
                <w:rFonts w:hint="eastAsia" w:ascii="宋体" w:hAnsi="宋体" w:cs="宋体"/>
                <w:color w:val="000000"/>
                <w:sz w:val="24"/>
                <w:szCs w:val="22"/>
                <w:highlight w:val="none"/>
                <w:lang w:val="en-US" w:eastAsia="zh-CN"/>
              </w:rPr>
            </w:pPr>
            <w:r>
              <w:rPr>
                <w:rFonts w:hint="eastAsia" w:ascii="宋体" w:hAnsi="宋体" w:cs="宋体"/>
                <w:color w:val="000000"/>
                <w:sz w:val="24"/>
                <w:szCs w:val="22"/>
                <w:highlight w:val="none"/>
                <w:lang w:val="en-US" w:eastAsia="zh-CN"/>
              </w:rPr>
              <w:t>财务</w:t>
            </w:r>
            <w:r>
              <w:rPr>
                <w:rFonts w:hint="eastAsia" w:ascii="宋体" w:hAnsi="宋体" w:cs="宋体"/>
                <w:color w:val="000000"/>
                <w:sz w:val="24"/>
                <w:szCs w:val="22"/>
                <w:highlight w:val="none"/>
              </w:rPr>
              <w:t>联系人：</w:t>
            </w:r>
            <w:r>
              <w:rPr>
                <w:rFonts w:hint="eastAsia" w:ascii="宋体" w:hAnsi="宋体" w:cs="宋体"/>
                <w:color w:val="000000"/>
                <w:sz w:val="24"/>
                <w:szCs w:val="22"/>
                <w:highlight w:val="none"/>
                <w:lang w:val="en-US" w:eastAsia="zh-CN"/>
              </w:rPr>
              <w:t>马艳艳</w:t>
            </w:r>
          </w:p>
          <w:p>
            <w:pPr>
              <w:pStyle w:val="89"/>
              <w:spacing w:after="0" w:line="360" w:lineRule="auto"/>
              <w:rPr>
                <w:rFonts w:hint="eastAsia" w:ascii="宋体" w:hAnsi="宋体" w:cs="宋体"/>
                <w:color w:val="000000"/>
                <w:sz w:val="24"/>
                <w:szCs w:val="22"/>
                <w:highlight w:val="none"/>
                <w:lang w:val="en-US" w:eastAsia="zh-CN"/>
              </w:rPr>
            </w:pPr>
            <w:r>
              <w:rPr>
                <w:rFonts w:hint="eastAsia" w:ascii="宋体" w:hAnsi="宋体" w:cs="宋体"/>
                <w:color w:val="000000"/>
                <w:sz w:val="24"/>
                <w:szCs w:val="22"/>
                <w:highlight w:val="none"/>
              </w:rPr>
              <w:t>联系电话：13179933066</w:t>
            </w:r>
          </w:p>
          <w:p>
            <w:pPr>
              <w:spacing w:line="390" w:lineRule="exact"/>
              <w:rPr>
                <w:rFonts w:cs="宋体"/>
                <w:b/>
                <w:bCs/>
                <w:color w:val="auto"/>
                <w:highlight w:val="none"/>
              </w:rPr>
            </w:pPr>
            <w:r>
              <w:rPr>
                <w:rFonts w:hint="eastAsia" w:cs="宋体"/>
                <w:color w:val="auto"/>
                <w:highlight w:val="none"/>
              </w:rPr>
              <w:t>未按期缴纳的投标保证金的投标文件无效。敬请各投标人注意！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0" w:type="dxa"/>
            <w:vAlign w:val="center"/>
          </w:tcPr>
          <w:p>
            <w:pPr>
              <w:jc w:val="center"/>
              <w:rPr>
                <w:rFonts w:cs="宋体"/>
                <w:color w:val="auto"/>
                <w:highlight w:val="none"/>
              </w:rPr>
            </w:pPr>
            <w:r>
              <w:rPr>
                <w:rFonts w:hint="eastAsia" w:cs="宋体"/>
                <w:color w:val="auto"/>
                <w:highlight w:val="none"/>
              </w:rPr>
              <w:t>7</w:t>
            </w:r>
          </w:p>
        </w:tc>
        <w:tc>
          <w:tcPr>
            <w:tcW w:w="9303" w:type="dxa"/>
            <w:vAlign w:val="center"/>
          </w:tcPr>
          <w:p>
            <w:pPr>
              <w:rPr>
                <w:rFonts w:cs="宋体"/>
                <w:color w:val="auto"/>
                <w:highlight w:val="none"/>
              </w:rPr>
            </w:pPr>
            <w:r>
              <w:rPr>
                <w:rFonts w:hint="eastAsia" w:cs="宋体"/>
                <w:color w:val="auto"/>
                <w:highlight w:val="none"/>
              </w:rPr>
              <w:t>投标文件有效期：60天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20" w:type="dxa"/>
            <w:vAlign w:val="center"/>
          </w:tcPr>
          <w:p>
            <w:pPr>
              <w:jc w:val="center"/>
              <w:rPr>
                <w:rFonts w:cs="宋体"/>
                <w:color w:val="auto"/>
                <w:highlight w:val="none"/>
              </w:rPr>
            </w:pPr>
            <w:r>
              <w:rPr>
                <w:rFonts w:hint="eastAsia" w:cs="宋体"/>
                <w:color w:val="auto"/>
                <w:highlight w:val="none"/>
              </w:rPr>
              <w:t>8</w:t>
            </w:r>
          </w:p>
        </w:tc>
        <w:tc>
          <w:tcPr>
            <w:tcW w:w="9303" w:type="dxa"/>
            <w:vAlign w:val="center"/>
          </w:tcPr>
          <w:p>
            <w:pPr>
              <w:rPr>
                <w:rFonts w:cs="宋体"/>
                <w:color w:val="auto"/>
                <w:highlight w:val="none"/>
              </w:rPr>
            </w:pPr>
            <w:r>
              <w:rPr>
                <w:rFonts w:hint="eastAsia" w:cs="宋体"/>
                <w:color w:val="auto"/>
                <w:highlight w:val="none"/>
              </w:rPr>
              <w:t>投标截止时间：2023年</w:t>
            </w:r>
            <w:r>
              <w:rPr>
                <w:rFonts w:hint="eastAsia" w:cs="宋体"/>
                <w:color w:val="auto"/>
                <w:highlight w:val="none"/>
                <w:lang w:val="en-US" w:eastAsia="zh-CN"/>
              </w:rPr>
              <w:t>09</w:t>
            </w:r>
            <w:r>
              <w:rPr>
                <w:rFonts w:hint="eastAsia" w:cs="宋体"/>
                <w:color w:val="auto"/>
                <w:highlight w:val="none"/>
              </w:rPr>
              <w:t>月</w:t>
            </w:r>
            <w:r>
              <w:rPr>
                <w:rFonts w:hint="eastAsia" w:cs="宋体"/>
                <w:color w:val="auto"/>
                <w:highlight w:val="none"/>
                <w:lang w:val="en-US" w:eastAsia="zh-CN"/>
              </w:rPr>
              <w:t>14</w:t>
            </w:r>
            <w:r>
              <w:rPr>
                <w:rFonts w:hint="eastAsia" w:cs="宋体"/>
                <w:color w:val="auto"/>
                <w:highlight w:val="none"/>
              </w:rPr>
              <w:t>日1</w:t>
            </w:r>
            <w:r>
              <w:rPr>
                <w:rFonts w:hint="eastAsia" w:cs="宋体"/>
                <w:color w:val="auto"/>
                <w:highlight w:val="none"/>
                <w:lang w:val="en-US" w:eastAsia="zh-CN"/>
              </w:rPr>
              <w:t>6</w:t>
            </w:r>
            <w:r>
              <w:rPr>
                <w:rFonts w:hint="eastAsia" w:cs="宋体"/>
                <w:color w:val="auto"/>
                <w:highlight w:val="none"/>
              </w:rPr>
              <w:t>:</w:t>
            </w:r>
            <w:r>
              <w:rPr>
                <w:rFonts w:hint="eastAsia" w:cs="宋体"/>
                <w:color w:val="auto"/>
                <w:highlight w:val="none"/>
                <w:lang w:val="en-US" w:eastAsia="zh-CN"/>
              </w:rPr>
              <w:t>3</w:t>
            </w:r>
            <w:r>
              <w:rPr>
                <w:rFonts w:hint="eastAsia" w:cs="宋体"/>
                <w:color w:val="auto"/>
                <w:highlight w:val="none"/>
              </w:rPr>
              <w:t>0时（北京时间）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0" w:type="dxa"/>
            <w:vAlign w:val="center"/>
          </w:tcPr>
          <w:p>
            <w:pPr>
              <w:jc w:val="center"/>
              <w:rPr>
                <w:rFonts w:cs="宋体"/>
                <w:color w:val="auto"/>
                <w:highlight w:val="none"/>
              </w:rPr>
            </w:pPr>
            <w:r>
              <w:rPr>
                <w:rFonts w:hint="eastAsia" w:cs="宋体"/>
                <w:color w:val="auto"/>
                <w:highlight w:val="none"/>
              </w:rPr>
              <w:t>9</w:t>
            </w:r>
          </w:p>
        </w:tc>
        <w:tc>
          <w:tcPr>
            <w:tcW w:w="9303" w:type="dxa"/>
            <w:vAlign w:val="center"/>
          </w:tcPr>
          <w:p>
            <w:pPr>
              <w:rPr>
                <w:color w:val="auto"/>
                <w:highlight w:val="none"/>
              </w:rPr>
            </w:pPr>
            <w:r>
              <w:rPr>
                <w:rFonts w:hint="eastAsia" w:cs="宋体"/>
                <w:color w:val="auto"/>
                <w:highlight w:val="none"/>
              </w:rPr>
              <w:t>投标文件递交地点：投标人应于2023年</w:t>
            </w:r>
            <w:r>
              <w:rPr>
                <w:rFonts w:hint="eastAsia" w:cs="宋体"/>
                <w:color w:val="auto"/>
                <w:highlight w:val="none"/>
                <w:lang w:val="en-US" w:eastAsia="zh-CN"/>
              </w:rPr>
              <w:t>09</w:t>
            </w:r>
            <w:r>
              <w:rPr>
                <w:rFonts w:hint="eastAsia" w:cs="宋体"/>
                <w:color w:val="auto"/>
                <w:highlight w:val="none"/>
              </w:rPr>
              <w:t>月</w:t>
            </w:r>
            <w:r>
              <w:rPr>
                <w:rFonts w:hint="eastAsia" w:cs="宋体"/>
                <w:color w:val="auto"/>
                <w:highlight w:val="none"/>
                <w:lang w:val="en-US" w:eastAsia="zh-CN"/>
              </w:rPr>
              <w:t>14</w:t>
            </w:r>
            <w:r>
              <w:rPr>
                <w:rFonts w:hint="eastAsia" w:cs="宋体"/>
                <w:color w:val="auto"/>
                <w:highlight w:val="none"/>
              </w:rPr>
              <w:t>日1</w:t>
            </w:r>
            <w:r>
              <w:rPr>
                <w:rFonts w:hint="eastAsia" w:cs="宋体"/>
                <w:color w:val="auto"/>
                <w:highlight w:val="none"/>
                <w:lang w:val="en-US" w:eastAsia="zh-CN"/>
              </w:rPr>
              <w:t>6</w:t>
            </w:r>
            <w:r>
              <w:rPr>
                <w:rFonts w:hint="eastAsia" w:cs="宋体"/>
                <w:color w:val="auto"/>
                <w:highlight w:val="none"/>
              </w:rPr>
              <w:t>:</w:t>
            </w:r>
            <w:r>
              <w:rPr>
                <w:rFonts w:hint="eastAsia" w:cs="宋体"/>
                <w:color w:val="auto"/>
                <w:highlight w:val="none"/>
                <w:lang w:val="en-US" w:eastAsia="zh-CN"/>
              </w:rPr>
              <w:t>3</w:t>
            </w:r>
            <w:bookmarkStart w:id="38" w:name="_GoBack"/>
            <w:bookmarkEnd w:id="38"/>
            <w:r>
              <w:rPr>
                <w:rFonts w:hint="eastAsia" w:cs="宋体"/>
                <w:color w:val="auto"/>
                <w:highlight w:val="none"/>
              </w:rPr>
              <w:t>0时整之前将电子投标文件上传到“政采云”平台。应按照本项目招标文件和政采云平台的要求编制、加密传输投标文件。投标人在使用系统进行投标的过程中遇到涉及平台使用的任何问题，可致电政采云平台技术支持热线咨询，联系方式：95763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20" w:type="dxa"/>
            <w:vAlign w:val="center"/>
          </w:tcPr>
          <w:p>
            <w:pPr>
              <w:jc w:val="center"/>
              <w:rPr>
                <w:rFonts w:cs="宋体"/>
                <w:color w:val="auto"/>
                <w:highlight w:val="none"/>
              </w:rPr>
            </w:pPr>
            <w:r>
              <w:rPr>
                <w:rFonts w:hint="eastAsia" w:cs="宋体"/>
                <w:color w:val="auto"/>
                <w:highlight w:val="none"/>
              </w:rPr>
              <w:t>10</w:t>
            </w:r>
          </w:p>
        </w:tc>
        <w:tc>
          <w:tcPr>
            <w:tcW w:w="9303" w:type="dxa"/>
            <w:vAlign w:val="center"/>
          </w:tcPr>
          <w:p>
            <w:pPr>
              <w:rPr>
                <w:rFonts w:cs="宋体"/>
                <w:color w:val="auto"/>
                <w:highlight w:val="none"/>
              </w:rPr>
            </w:pPr>
            <w:r>
              <w:rPr>
                <w:rFonts w:hint="eastAsia" w:cs="宋体"/>
                <w:color w:val="auto"/>
                <w:highlight w:val="none"/>
              </w:rPr>
              <w:t>开标日期：2023年</w:t>
            </w:r>
            <w:r>
              <w:rPr>
                <w:rFonts w:hint="eastAsia" w:cs="宋体"/>
                <w:color w:val="auto"/>
                <w:highlight w:val="none"/>
                <w:lang w:val="en-US" w:eastAsia="zh-CN"/>
              </w:rPr>
              <w:t>09</w:t>
            </w:r>
            <w:r>
              <w:rPr>
                <w:rFonts w:hint="eastAsia" w:cs="宋体"/>
                <w:color w:val="auto"/>
                <w:highlight w:val="none"/>
              </w:rPr>
              <w:t>月</w:t>
            </w:r>
            <w:r>
              <w:rPr>
                <w:rFonts w:hint="eastAsia" w:cs="宋体"/>
                <w:color w:val="auto"/>
                <w:highlight w:val="none"/>
                <w:lang w:val="en-US" w:eastAsia="zh-CN"/>
              </w:rPr>
              <w:t>14</w:t>
            </w:r>
            <w:r>
              <w:rPr>
                <w:rFonts w:hint="eastAsia" w:cs="宋体"/>
                <w:color w:val="auto"/>
                <w:highlight w:val="none"/>
              </w:rPr>
              <w:t>日1</w:t>
            </w:r>
            <w:r>
              <w:rPr>
                <w:rFonts w:hint="eastAsia" w:cs="宋体"/>
                <w:color w:val="auto"/>
                <w:highlight w:val="none"/>
                <w:lang w:val="en-US" w:eastAsia="zh-CN"/>
              </w:rPr>
              <w:t>6</w:t>
            </w:r>
            <w:r>
              <w:rPr>
                <w:rFonts w:hint="eastAsia" w:cs="宋体"/>
                <w:color w:val="auto"/>
                <w:highlight w:val="none"/>
              </w:rPr>
              <w:t>:</w:t>
            </w:r>
            <w:r>
              <w:rPr>
                <w:rFonts w:hint="eastAsia" w:cs="宋体"/>
                <w:color w:val="auto"/>
                <w:highlight w:val="none"/>
                <w:lang w:val="en-US" w:eastAsia="zh-CN"/>
              </w:rPr>
              <w:t>3</w:t>
            </w:r>
            <w:r>
              <w:rPr>
                <w:rFonts w:hint="eastAsia" w:cs="宋体"/>
                <w:color w:val="auto"/>
                <w:highlight w:val="none"/>
              </w:rPr>
              <w:t>0时（北京时间）</w:t>
            </w:r>
          </w:p>
          <w:p>
            <w:pPr>
              <w:rPr>
                <w:rFonts w:cs="宋体"/>
                <w:color w:val="auto"/>
                <w:highlight w:val="none"/>
              </w:rPr>
            </w:pPr>
            <w:r>
              <w:rPr>
                <w:rFonts w:hint="eastAsia" w:cs="宋体"/>
                <w:color w:val="auto"/>
                <w:highlight w:val="none"/>
              </w:rPr>
              <w:t>开标地点：政采云网上不见面开评标系统</w:t>
            </w:r>
          </w:p>
          <w:p>
            <w:pPr>
              <w:rPr>
                <w:rFonts w:cs="宋体"/>
                <w:color w:val="auto"/>
                <w:highlight w:val="none"/>
              </w:rPr>
            </w:pPr>
            <w:r>
              <w:rPr>
                <w:rFonts w:hint="eastAsia" w:cs="宋体"/>
                <w:color w:val="auto"/>
                <w:highlight w:val="none"/>
              </w:rPr>
              <w:t>注：开标后30分钟内</w:t>
            </w:r>
            <w:r>
              <w:rPr>
                <w:rFonts w:hint="eastAsia" w:cs="宋体"/>
                <w:color w:val="auto"/>
                <w:highlight w:val="none"/>
                <w:lang w:val="en-US" w:eastAsia="zh-CN"/>
              </w:rPr>
              <w:t>,</w:t>
            </w:r>
            <w:r>
              <w:rPr>
                <w:rFonts w:hint="eastAsia" w:cs="宋体"/>
                <w:color w:val="auto"/>
                <w:highlight w:val="none"/>
              </w:rPr>
              <w:t>投标人可以登录“政采云”平台，用“项目采购-开标评标”功能进行解密投标文件。若投标人在规定时间内未按时解密的，视为投标文件撤回。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cs="宋体"/>
                <w:color w:val="auto"/>
                <w:highlight w:val="none"/>
              </w:rPr>
            </w:pPr>
            <w:r>
              <w:rPr>
                <w:rFonts w:hint="eastAsia" w:cs="宋体"/>
                <w:color w:val="auto"/>
                <w:highlight w:val="none"/>
              </w:rPr>
              <w:t>11</w:t>
            </w:r>
          </w:p>
        </w:tc>
        <w:tc>
          <w:tcPr>
            <w:tcW w:w="9303" w:type="dxa"/>
            <w:vAlign w:val="center"/>
          </w:tcPr>
          <w:p>
            <w:pPr>
              <w:rPr>
                <w:rFonts w:cs="宋体"/>
                <w:color w:val="auto"/>
                <w:highlight w:val="none"/>
              </w:rPr>
            </w:pPr>
            <w:r>
              <w:rPr>
                <w:rFonts w:hint="eastAsia" w:cs="宋体"/>
                <w:color w:val="auto"/>
                <w:highlight w:val="none"/>
              </w:rPr>
              <w:t>投标文件的要求：</w:t>
            </w:r>
          </w:p>
          <w:p>
            <w:pPr>
              <w:rPr>
                <w:rFonts w:cs="宋体"/>
                <w:color w:val="auto"/>
                <w:highlight w:val="none"/>
              </w:rPr>
            </w:pPr>
            <w:r>
              <w:rPr>
                <w:rFonts w:hint="eastAsia" w:cs="宋体"/>
                <w:color w:val="auto"/>
                <w:highlight w:val="none"/>
              </w:rPr>
              <w:t>1、份数要求：正本壹份、副本叁份, U盘一份（上传至“政采云”平台的电子投标文件或签字盖章的正本扫描件,若提供签字盖章的正本扫描件，其内容须与上传至“政采云”平台的电子投标文件保持一致），</w:t>
            </w:r>
            <w:r>
              <w:rPr>
                <w:rFonts w:hint="eastAsia" w:cs="宋体"/>
                <w:b/>
                <w:color w:val="auto"/>
                <w:highlight w:val="none"/>
              </w:rPr>
              <w:t>开标后按要求提供纸质版投标文件至招标代理公司处。</w:t>
            </w:r>
          </w:p>
          <w:p>
            <w:pPr>
              <w:rPr>
                <w:rFonts w:cs="宋体"/>
                <w:color w:val="auto"/>
                <w:highlight w:val="none"/>
              </w:rPr>
            </w:pPr>
            <w:r>
              <w:rPr>
                <w:rFonts w:hint="eastAsia" w:cs="宋体"/>
                <w:color w:val="auto"/>
                <w:highlight w:val="none"/>
              </w:rPr>
              <w:t>2、装订要求：分册装订，投标文件装订成一册，投标文件的装订必须采用死页胶粘本，不允许活页形式装订（非胶粘方式装订的投标文件一律视同活页装订），活页方式装订视为投标无效。</w:t>
            </w:r>
          </w:p>
          <w:p>
            <w:pPr>
              <w:rPr>
                <w:rFonts w:cs="宋体"/>
                <w:color w:val="auto"/>
                <w:highlight w:val="none"/>
              </w:rPr>
            </w:pPr>
            <w:r>
              <w:rPr>
                <w:rFonts w:hint="eastAsia" w:cs="宋体"/>
                <w:color w:val="auto"/>
                <w:highlight w:val="none"/>
              </w:rPr>
              <w:t>3、投标文件必须正式打印，并严格按招标文件要求的格式、内容装订成册（死页胶粘本），加带封皮、封底，不能插页漏页。凡投标文件不符合招标文件要求，内容不全，资质不全，投标委托手续不全，身份证明文件不全，装订不符合要求的投标文件一律视为废标</w:t>
            </w:r>
          </w:p>
          <w:p>
            <w:pPr>
              <w:rPr>
                <w:rFonts w:cs="宋体"/>
                <w:color w:val="auto"/>
                <w:highlight w:val="none"/>
              </w:rPr>
            </w:pPr>
            <w:r>
              <w:rPr>
                <w:rFonts w:hint="eastAsia" w:cs="宋体"/>
                <w:color w:val="auto"/>
                <w:highlight w:val="none"/>
              </w:rPr>
              <w:t>4、投标文件基本要求：投标编制必须包括招标文件附件规定的内容，应如实填写及逐页加盖投标单位公章；投标文件必须制作成册，按招标文件要求制作。若正本与副本不符，以正本为准。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cs="宋体"/>
                <w:color w:val="auto"/>
                <w:highlight w:val="none"/>
              </w:rPr>
            </w:pPr>
            <w:r>
              <w:rPr>
                <w:rFonts w:hint="eastAsia" w:cs="宋体"/>
                <w:color w:val="auto"/>
                <w:highlight w:val="none"/>
              </w:rPr>
              <w:t>12</w:t>
            </w:r>
          </w:p>
        </w:tc>
        <w:tc>
          <w:tcPr>
            <w:tcW w:w="9303" w:type="dxa"/>
            <w:vAlign w:val="center"/>
          </w:tcPr>
          <w:p>
            <w:pPr>
              <w:rPr>
                <w:rFonts w:cs="宋体"/>
                <w:color w:val="auto"/>
                <w:highlight w:val="none"/>
              </w:rPr>
            </w:pPr>
            <w:r>
              <w:rPr>
                <w:rFonts w:hint="eastAsia" w:cs="宋体"/>
                <w:color w:val="auto"/>
                <w:highlight w:val="none"/>
              </w:rPr>
              <w:t>踏勘现场：不组织，投标人可自行踏勘现场。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cs="宋体"/>
                <w:color w:val="auto"/>
                <w:highlight w:val="none"/>
              </w:rPr>
            </w:pPr>
            <w:r>
              <w:rPr>
                <w:rFonts w:hint="eastAsia" w:cs="宋体"/>
                <w:color w:val="auto"/>
                <w:highlight w:val="none"/>
              </w:rPr>
              <w:t>13</w:t>
            </w:r>
          </w:p>
        </w:tc>
        <w:tc>
          <w:tcPr>
            <w:tcW w:w="9303" w:type="dxa"/>
            <w:vAlign w:val="center"/>
          </w:tcPr>
          <w:p>
            <w:pPr>
              <w:rPr>
                <w:rFonts w:cs="宋体"/>
                <w:color w:val="auto"/>
                <w:highlight w:val="none"/>
              </w:rPr>
            </w:pPr>
            <w:r>
              <w:rPr>
                <w:rFonts w:hint="eastAsia" w:cs="宋体"/>
                <w:color w:val="auto"/>
                <w:highlight w:val="none"/>
              </w:rPr>
              <w:t>评标委员会的组建：</w:t>
            </w:r>
          </w:p>
          <w:p>
            <w:pPr>
              <w:rPr>
                <w:rFonts w:cs="宋体"/>
                <w:color w:val="auto"/>
                <w:highlight w:val="none"/>
              </w:rPr>
            </w:pPr>
            <w:r>
              <w:rPr>
                <w:rFonts w:hint="eastAsia" w:cs="宋体"/>
                <w:color w:val="auto"/>
                <w:highlight w:val="none"/>
              </w:rPr>
              <w:t>评标委员会5人；</w:t>
            </w:r>
          </w:p>
          <w:p>
            <w:pPr>
              <w:rPr>
                <w:rFonts w:cs="宋体"/>
                <w:color w:val="auto"/>
                <w:highlight w:val="none"/>
              </w:rPr>
            </w:pPr>
            <w:r>
              <w:rPr>
                <w:rFonts w:hint="eastAsia" w:cs="宋体"/>
                <w:color w:val="auto"/>
                <w:highlight w:val="none"/>
              </w:rPr>
              <w:t>评标专家确定方式： 从政府采购专家库随机抽取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cs="宋体"/>
                <w:color w:val="auto"/>
                <w:highlight w:val="none"/>
              </w:rPr>
            </w:pPr>
            <w:r>
              <w:rPr>
                <w:rFonts w:hint="eastAsia" w:cs="宋体"/>
                <w:color w:val="auto"/>
                <w:highlight w:val="none"/>
              </w:rPr>
              <w:t>14</w:t>
            </w:r>
          </w:p>
        </w:tc>
        <w:tc>
          <w:tcPr>
            <w:tcW w:w="9303" w:type="dxa"/>
            <w:vAlign w:val="center"/>
          </w:tcPr>
          <w:p>
            <w:pPr>
              <w:rPr>
                <w:rFonts w:cs="宋体"/>
                <w:color w:val="auto"/>
                <w:highlight w:val="none"/>
              </w:rPr>
            </w:pPr>
            <w:r>
              <w:rPr>
                <w:rFonts w:hint="eastAsia" w:cs="宋体"/>
                <w:color w:val="auto"/>
                <w:highlight w:val="none"/>
              </w:rPr>
              <w:t>评标委员会推荐中标候选人的人数：</w:t>
            </w:r>
            <w:r>
              <w:rPr>
                <w:rFonts w:hint="eastAsia"/>
                <w:color w:val="auto"/>
                <w:highlight w:val="none"/>
              </w:rPr>
              <w:t>按照评审得分由高到低顺序推荐前3成交候选投标人，并编写评审报告。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cs="宋体"/>
                <w:color w:val="auto"/>
                <w:highlight w:val="none"/>
              </w:rPr>
            </w:pPr>
            <w:r>
              <w:rPr>
                <w:rFonts w:hint="eastAsia" w:cs="宋体"/>
                <w:color w:val="auto"/>
                <w:highlight w:val="none"/>
              </w:rPr>
              <w:t>15</w:t>
            </w:r>
          </w:p>
        </w:tc>
        <w:tc>
          <w:tcPr>
            <w:tcW w:w="9303" w:type="dxa"/>
            <w:vAlign w:val="center"/>
          </w:tcPr>
          <w:p>
            <w:pPr>
              <w:rPr>
                <w:rFonts w:cs="宋体"/>
                <w:color w:val="auto"/>
                <w:highlight w:val="none"/>
              </w:rPr>
            </w:pPr>
            <w:r>
              <w:rPr>
                <w:rFonts w:hint="eastAsia" w:cs="宋体"/>
                <w:color w:val="auto"/>
                <w:highlight w:val="none"/>
              </w:rPr>
              <w:t>是否授权评标委员会确定中标人：否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cs="宋体"/>
                <w:color w:val="auto"/>
                <w:highlight w:val="none"/>
              </w:rPr>
            </w:pPr>
            <w:r>
              <w:rPr>
                <w:rFonts w:hint="eastAsia" w:cs="宋体"/>
                <w:color w:val="auto"/>
                <w:highlight w:val="none"/>
              </w:rPr>
              <w:t>16</w:t>
            </w:r>
          </w:p>
        </w:tc>
        <w:tc>
          <w:tcPr>
            <w:tcW w:w="9303" w:type="dxa"/>
            <w:vAlign w:val="center"/>
          </w:tcPr>
          <w:p>
            <w:pPr>
              <w:rPr>
                <w:rFonts w:hint="eastAsia" w:eastAsia="宋体" w:cs="宋体"/>
                <w:color w:val="auto"/>
                <w:highlight w:val="none"/>
                <w:lang w:eastAsia="zh-CN"/>
              </w:rPr>
            </w:pPr>
            <w:r>
              <w:rPr>
                <w:rFonts w:hint="eastAsia" w:cs="宋体"/>
                <w:color w:val="auto"/>
                <w:highlight w:val="none"/>
              </w:rPr>
              <w:t>中标公示及中标（成交）结果公告媒介：新疆政府采购网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cs="宋体"/>
                <w:color w:val="auto"/>
                <w:highlight w:val="none"/>
              </w:rPr>
            </w:pPr>
            <w:r>
              <w:rPr>
                <w:rFonts w:hint="eastAsia" w:cs="宋体"/>
                <w:color w:val="auto"/>
                <w:highlight w:val="none"/>
              </w:rPr>
              <w:t>17</w:t>
            </w:r>
          </w:p>
        </w:tc>
        <w:tc>
          <w:tcPr>
            <w:tcW w:w="9303" w:type="dxa"/>
            <w:vAlign w:val="center"/>
          </w:tcPr>
          <w:p>
            <w:pPr>
              <w:rPr>
                <w:rFonts w:cs="宋体"/>
                <w:color w:val="auto"/>
                <w:highlight w:val="none"/>
              </w:rPr>
            </w:pPr>
            <w:r>
              <w:rPr>
                <w:rFonts w:hint="eastAsia" w:cs="宋体"/>
                <w:color w:val="auto"/>
                <w:highlight w:val="none"/>
              </w:rPr>
              <w:t>构成招标文件的其他资料：答疑、澄清、修改、补充文件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napToGrid w:val="0"/>
              <w:jc w:val="center"/>
              <w:rPr>
                <w:rFonts w:cs="宋体"/>
                <w:color w:val="auto"/>
                <w:highlight w:val="none"/>
              </w:rPr>
            </w:pPr>
            <w:r>
              <w:rPr>
                <w:rFonts w:cs="宋体"/>
                <w:color w:val="auto"/>
                <w:highlight w:val="none"/>
              </w:rPr>
              <w:t>18</w:t>
            </w:r>
          </w:p>
        </w:tc>
        <w:tc>
          <w:tcPr>
            <w:tcW w:w="9303" w:type="dxa"/>
            <w:vAlign w:val="center"/>
          </w:tcPr>
          <w:p>
            <w:pPr>
              <w:rPr>
                <w:rFonts w:cs="宋体"/>
                <w:color w:val="auto"/>
                <w:highlight w:val="none"/>
              </w:rPr>
            </w:pPr>
            <w:r>
              <w:rPr>
                <w:rFonts w:hint="eastAsia" w:cs="宋体"/>
                <w:color w:val="auto"/>
                <w:highlight w:val="none"/>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snapToGrid w:val="0"/>
              <w:jc w:val="center"/>
              <w:rPr>
                <w:rFonts w:cs="宋体"/>
                <w:color w:val="auto"/>
                <w:highlight w:val="none"/>
              </w:rPr>
            </w:pPr>
            <w:r>
              <w:rPr>
                <w:rFonts w:hint="eastAsia" w:cs="宋体"/>
                <w:color w:val="auto"/>
                <w:highlight w:val="none"/>
              </w:rPr>
              <w:t>19</w:t>
            </w:r>
          </w:p>
        </w:tc>
        <w:tc>
          <w:tcPr>
            <w:tcW w:w="9303" w:type="dxa"/>
            <w:vAlign w:val="center"/>
          </w:tcPr>
          <w:p>
            <w:pPr>
              <w:rPr>
                <w:rFonts w:eastAsia="黑体"/>
                <w:color w:val="auto"/>
                <w:highlight w:val="none"/>
              </w:rPr>
            </w:pPr>
            <w:r>
              <w:rPr>
                <w:rFonts w:hint="eastAsia" w:cs="宋体"/>
                <w:color w:val="auto"/>
                <w:highlight w:val="none"/>
              </w:rPr>
              <w:t>付款方式：签订合同时约定。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jc w:val="center"/>
              <w:rPr>
                <w:rFonts w:cs="宋体"/>
                <w:color w:val="auto"/>
                <w:highlight w:val="none"/>
              </w:rPr>
            </w:pPr>
            <w:r>
              <w:rPr>
                <w:rFonts w:hint="eastAsia" w:cs="宋体"/>
                <w:color w:val="auto"/>
                <w:highlight w:val="none"/>
              </w:rPr>
              <w:t>20</w:t>
            </w:r>
          </w:p>
        </w:tc>
        <w:tc>
          <w:tcPr>
            <w:tcW w:w="9303" w:type="dxa"/>
            <w:vAlign w:val="center"/>
          </w:tcPr>
          <w:p>
            <w:pPr>
              <w:snapToGrid w:val="0"/>
              <w:rPr>
                <w:rFonts w:cs="宋体"/>
                <w:color w:val="auto"/>
                <w:highlight w:val="none"/>
              </w:rPr>
            </w:pPr>
            <w:r>
              <w:rPr>
                <w:rFonts w:hint="eastAsia" w:cs="宋体"/>
                <w:color w:val="auto"/>
                <w:highlight w:val="none"/>
              </w:rPr>
              <w:t>落实政府采购政策需满足的资格要求：</w:t>
            </w:r>
          </w:p>
          <w:p>
            <w:pPr>
              <w:snapToGrid w:val="0"/>
              <w:ind w:firstLine="480" w:firstLineChars="200"/>
              <w:rPr>
                <w:rFonts w:cs="宋体"/>
                <w:color w:val="auto"/>
                <w:highlight w:val="none"/>
              </w:rPr>
            </w:pPr>
            <w:r>
              <w:rPr>
                <w:rFonts w:hint="eastAsia" w:cs="宋体"/>
                <w:color w:val="auto"/>
                <w:highlight w:val="none"/>
              </w:rPr>
              <w:t>（1）财政部、国家发展改革委、生态环境部、市场监管总局《关于调整优化节能产品、环境标志产品政府采购执行机制的通知》（财库[2019]9号文）；</w:t>
            </w:r>
          </w:p>
          <w:p>
            <w:pPr>
              <w:snapToGrid w:val="0"/>
              <w:ind w:firstLine="480" w:firstLineChars="200"/>
              <w:rPr>
                <w:rFonts w:cs="宋体"/>
                <w:color w:val="auto"/>
                <w:highlight w:val="none"/>
              </w:rPr>
            </w:pPr>
            <w:r>
              <w:rPr>
                <w:rFonts w:hint="eastAsia" w:cs="宋体"/>
                <w:color w:val="auto"/>
                <w:highlight w:val="none"/>
              </w:rPr>
              <w:t>（2）财政部、生态环境部《关于印发环境标志产品政府采购品目清单的通知》（财库[2019]18号文）；</w:t>
            </w:r>
          </w:p>
          <w:p>
            <w:pPr>
              <w:snapToGrid w:val="0"/>
              <w:ind w:firstLine="480" w:firstLineChars="200"/>
              <w:rPr>
                <w:rFonts w:cs="宋体"/>
                <w:color w:val="auto"/>
                <w:highlight w:val="none"/>
              </w:rPr>
            </w:pPr>
            <w:r>
              <w:rPr>
                <w:rFonts w:hint="eastAsia" w:cs="宋体"/>
                <w:color w:val="auto"/>
                <w:highlight w:val="none"/>
              </w:rPr>
              <w:t>（3）财政部、发展改革委《关于印发节能产品政府采购品目清单的通知》（财库[2019]19号文）；</w:t>
            </w:r>
          </w:p>
          <w:p>
            <w:pPr>
              <w:snapToGrid w:val="0"/>
              <w:ind w:firstLine="480" w:firstLineChars="200"/>
              <w:rPr>
                <w:rFonts w:cs="宋体"/>
                <w:color w:val="auto"/>
                <w:highlight w:val="none"/>
              </w:rPr>
            </w:pPr>
            <w:r>
              <w:rPr>
                <w:rFonts w:hint="eastAsia" w:cs="宋体"/>
                <w:color w:val="auto"/>
                <w:highlight w:val="none"/>
              </w:rPr>
              <w:t>（4）市场监管总局《市场监管总局关于发布参与实施政府采购节能产品、环境标志产品认证机构名录的公告》（2019年第16号）；</w:t>
            </w:r>
          </w:p>
          <w:p>
            <w:pPr>
              <w:snapToGrid w:val="0"/>
              <w:ind w:firstLine="480" w:firstLineChars="200"/>
              <w:rPr>
                <w:rFonts w:cs="宋体"/>
                <w:color w:val="auto"/>
                <w:highlight w:val="none"/>
              </w:rPr>
            </w:pPr>
            <w:r>
              <w:rPr>
                <w:rFonts w:hint="eastAsia" w:cs="宋体"/>
                <w:color w:val="auto"/>
                <w:highlight w:val="none"/>
              </w:rPr>
              <w:t xml:space="preserve">（5）财政部、工业和信息化部《关于印发《政府采购促进中小企业发展管理办法》的通知》（财库[2020]46号文）； </w:t>
            </w:r>
          </w:p>
          <w:p>
            <w:pPr>
              <w:snapToGrid w:val="0"/>
              <w:ind w:firstLine="480" w:firstLineChars="200"/>
              <w:rPr>
                <w:rFonts w:cs="宋体"/>
                <w:color w:val="auto"/>
                <w:highlight w:val="none"/>
              </w:rPr>
            </w:pPr>
            <w:r>
              <w:rPr>
                <w:rFonts w:hint="eastAsia" w:cs="宋体"/>
                <w:color w:val="auto"/>
                <w:highlight w:val="none"/>
              </w:rPr>
              <w:t>（6）财政部、民政部、中国残疾人联合会《关于促进残疾人就业政府采购政策的通知》（财库[2017]141号）；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cs="宋体"/>
                <w:color w:val="auto"/>
                <w:highlight w:val="none"/>
              </w:rPr>
            </w:pPr>
            <w:r>
              <w:rPr>
                <w:rFonts w:hint="eastAsia" w:cs="宋体"/>
                <w:color w:val="auto"/>
                <w:highlight w:val="none"/>
              </w:rPr>
              <w:t>21</w:t>
            </w:r>
          </w:p>
        </w:tc>
        <w:tc>
          <w:tcPr>
            <w:tcW w:w="9303" w:type="dxa"/>
            <w:vAlign w:val="center"/>
          </w:tcPr>
          <w:p>
            <w:pPr>
              <w:snapToGrid w:val="0"/>
              <w:spacing w:line="500" w:lineRule="exact"/>
              <w:rPr>
                <w:rFonts w:ascii="仿宋" w:hAnsi="仿宋" w:cs="仿宋"/>
                <w:color w:val="auto"/>
                <w:highlight w:val="none"/>
              </w:rPr>
            </w:pPr>
            <w:r>
              <w:rPr>
                <w:rFonts w:hint="eastAsia" w:ascii="仿宋" w:hAnsi="仿宋" w:cs="仿宋"/>
                <w:color w:val="auto"/>
                <w:highlight w:val="none"/>
              </w:rPr>
              <w:t>特别提示</w:t>
            </w:r>
          </w:p>
          <w:p>
            <w:pPr>
              <w:snapToGrid w:val="0"/>
              <w:spacing w:line="500" w:lineRule="exact"/>
              <w:rPr>
                <w:rFonts w:hint="eastAsia" w:ascii="仿宋" w:hAnsi="仿宋" w:cs="仿宋"/>
                <w:color w:val="auto"/>
                <w:highlight w:val="none"/>
              </w:rPr>
            </w:pPr>
            <w:r>
              <w:rPr>
                <w:rFonts w:hint="eastAsia" w:ascii="仿宋" w:hAnsi="仿宋" w:cs="仿宋"/>
                <w:color w:val="auto"/>
                <w:highlight w:val="none"/>
              </w:rPr>
              <w:t>1、采购限额标准以上，200万元以下的货物和服务采购项目、400万元以下的工程采购项目，适宜由中小企业提供的，采购人应当专门面向中小企业采购。</w:t>
            </w:r>
          </w:p>
          <w:p>
            <w:pPr>
              <w:snapToGrid w:val="0"/>
              <w:spacing w:line="500" w:lineRule="exact"/>
              <w:rPr>
                <w:rFonts w:hint="eastAsia" w:ascii="仿宋" w:hAnsi="仿宋" w:cs="仿宋"/>
                <w:color w:val="auto"/>
                <w:highlight w:val="none"/>
              </w:rPr>
            </w:pPr>
            <w:r>
              <w:rPr>
                <w:rFonts w:hint="eastAsia" w:ascii="仿宋" w:hAnsi="仿宋" w:cs="仿宋"/>
                <w:color w:val="auto"/>
                <w:highlight w:val="none"/>
              </w:rPr>
              <w:t>2、超过200万元的货物和服务采购项目、超过400万元的工程采购项目中适宜由中小企业提供的，预留该部分采购项目预算总额的30%以上专门面向中小企业采购，其中预留给小微企业的比例不低于60%。</w:t>
            </w:r>
          </w:p>
          <w:p>
            <w:pPr>
              <w:snapToGrid w:val="0"/>
              <w:spacing w:line="500" w:lineRule="exact"/>
              <w:rPr>
                <w:rFonts w:hint="eastAsia" w:ascii="仿宋" w:hAnsi="仿宋" w:cs="仿宋"/>
                <w:color w:val="auto"/>
                <w:highlight w:val="none"/>
              </w:rPr>
            </w:pPr>
            <w:r>
              <w:rPr>
                <w:rFonts w:hint="eastAsia" w:ascii="仿宋" w:hAnsi="仿宋" w:cs="仿宋"/>
                <w:color w:val="auto"/>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napToGrid w:val="0"/>
              <w:spacing w:line="500" w:lineRule="exact"/>
              <w:rPr>
                <w:rFonts w:hint="eastAsia" w:ascii="仿宋" w:hAnsi="仿宋" w:cs="仿宋"/>
                <w:color w:val="auto"/>
                <w:highlight w:val="none"/>
              </w:rPr>
            </w:pPr>
            <w:r>
              <w:rPr>
                <w:rFonts w:hint="eastAsia" w:ascii="仿宋" w:hAnsi="仿宋" w:cs="仿宋"/>
                <w:color w:val="auto"/>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snapToGrid w:val="0"/>
              <w:spacing w:line="500" w:lineRule="exact"/>
              <w:rPr>
                <w:rFonts w:ascii="仿宋" w:hAnsi="仿宋" w:cs="仿宋"/>
                <w:color w:val="auto"/>
                <w:highlight w:val="none"/>
              </w:rPr>
            </w:pPr>
            <w:r>
              <w:rPr>
                <w:rFonts w:hint="eastAsia" w:ascii="仿宋" w:hAnsi="仿宋" w:cs="仿宋"/>
                <w:color w:val="auto"/>
                <w:highlight w:val="none"/>
                <w:lang w:val="en-US" w:eastAsia="zh-CN"/>
              </w:rPr>
              <w:t>5</w:t>
            </w:r>
            <w:r>
              <w:rPr>
                <w:rFonts w:hint="eastAsia" w:ascii="仿宋" w:hAnsi="仿宋" w:cs="仿宋"/>
                <w:color w:val="auto"/>
                <w:highlight w:val="none"/>
              </w:rPr>
              <w:t>、本项目对中小微企业100%预留。</w:t>
            </w:r>
          </w:p>
          <w:p>
            <w:pPr>
              <w:pStyle w:val="5"/>
              <w:spacing w:line="500" w:lineRule="exact"/>
              <w:ind w:firstLine="0" w:firstLineChars="0"/>
              <w:rPr>
                <w:color w:val="auto"/>
                <w:highlight w:val="none"/>
              </w:rPr>
            </w:pPr>
            <w:r>
              <w:rPr>
                <w:rFonts w:hint="eastAsia" w:ascii="仿宋" w:hAnsi="仿宋" w:eastAsia="宋体" w:cs="仿宋"/>
                <w:color w:val="auto"/>
                <w:sz w:val="24"/>
                <w:highlight w:val="none"/>
                <w:lang w:val="en-US" w:eastAsia="zh-CN"/>
              </w:rPr>
              <w:t>6</w:t>
            </w:r>
            <w:r>
              <w:rPr>
                <w:rFonts w:hint="eastAsia" w:ascii="仿宋" w:hAnsi="仿宋" w:eastAsia="宋体" w:cs="仿宋"/>
                <w:color w:val="auto"/>
                <w:sz w:val="24"/>
                <w:highlight w:val="none"/>
              </w:rPr>
              <w:t>、本项目具体扣除比例为</w:t>
            </w:r>
            <w:r>
              <w:rPr>
                <w:rFonts w:ascii="仿宋" w:hAnsi="仿宋" w:eastAsia="宋体" w:cs="仿宋"/>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20" w:type="dxa"/>
            <w:vAlign w:val="center"/>
          </w:tcPr>
          <w:p>
            <w:pPr>
              <w:jc w:val="center"/>
              <w:rPr>
                <w:rFonts w:cs="宋体"/>
                <w:color w:val="auto"/>
                <w:highlight w:val="none"/>
              </w:rPr>
            </w:pPr>
            <w:r>
              <w:rPr>
                <w:rFonts w:hint="eastAsia" w:cs="宋体"/>
                <w:color w:val="auto"/>
                <w:highlight w:val="none"/>
              </w:rPr>
              <w:t>22</w:t>
            </w:r>
          </w:p>
        </w:tc>
        <w:tc>
          <w:tcPr>
            <w:tcW w:w="9303" w:type="dxa"/>
            <w:vAlign w:val="center"/>
          </w:tcPr>
          <w:p>
            <w:pPr>
              <w:snapToGrid w:val="0"/>
              <w:rPr>
                <w:rFonts w:hint="eastAsia" w:eastAsia="宋体" w:cs="宋体"/>
                <w:color w:val="auto"/>
                <w:highlight w:val="none"/>
                <w:lang w:val="en-US" w:eastAsia="zh-CN"/>
              </w:rPr>
            </w:pPr>
            <w:r>
              <w:rPr>
                <w:rFonts w:hint="eastAsia" w:cs="宋体"/>
                <w:color w:val="auto"/>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cs="宋体"/>
                <w:color w:val="auto"/>
                <w:highlight w:val="none"/>
              </w:rPr>
            </w:pPr>
            <w:r>
              <w:rPr>
                <w:rFonts w:hint="eastAsia" w:cs="宋体"/>
                <w:color w:val="auto"/>
                <w:highlight w:val="none"/>
              </w:rPr>
              <w:t>23</w:t>
            </w:r>
          </w:p>
        </w:tc>
        <w:tc>
          <w:tcPr>
            <w:tcW w:w="9303" w:type="dxa"/>
            <w:vAlign w:val="center"/>
          </w:tcPr>
          <w:p>
            <w:pPr>
              <w:snapToGrid w:val="0"/>
              <w:spacing w:line="390" w:lineRule="exact"/>
              <w:rPr>
                <w:rFonts w:cs="宋体"/>
                <w:color w:val="auto"/>
                <w:highlight w:val="none"/>
              </w:rPr>
            </w:pPr>
            <w:r>
              <w:rPr>
                <w:rFonts w:hint="eastAsia" w:cs="宋体"/>
                <w:color w:val="auto"/>
                <w:highlight w:val="none"/>
              </w:rPr>
              <w:t>投标人不得存在下列情形之一：</w:t>
            </w:r>
          </w:p>
          <w:p>
            <w:pPr>
              <w:snapToGrid w:val="0"/>
              <w:spacing w:line="390" w:lineRule="exact"/>
              <w:rPr>
                <w:rFonts w:cs="宋体"/>
                <w:color w:val="auto"/>
                <w:highlight w:val="none"/>
              </w:rPr>
            </w:pPr>
            <w:r>
              <w:rPr>
                <w:rFonts w:hint="eastAsia" w:cs="宋体"/>
                <w:color w:val="auto"/>
                <w:highlight w:val="none"/>
              </w:rPr>
              <w:t>（1）与招标人存在利害关系且可能影响招标公正性；</w:t>
            </w:r>
          </w:p>
          <w:p>
            <w:pPr>
              <w:snapToGrid w:val="0"/>
              <w:spacing w:line="390" w:lineRule="exact"/>
              <w:rPr>
                <w:rFonts w:cs="宋体"/>
                <w:color w:val="auto"/>
                <w:highlight w:val="none"/>
              </w:rPr>
            </w:pPr>
            <w:r>
              <w:rPr>
                <w:rFonts w:hint="eastAsia" w:cs="宋体"/>
                <w:color w:val="auto"/>
                <w:highlight w:val="none"/>
              </w:rPr>
              <w:t>（2）与本招标项目的其他投标人为同一个单位负责人；</w:t>
            </w:r>
          </w:p>
          <w:p>
            <w:pPr>
              <w:snapToGrid w:val="0"/>
              <w:spacing w:line="390" w:lineRule="exact"/>
              <w:rPr>
                <w:rFonts w:cs="宋体"/>
                <w:color w:val="auto"/>
                <w:highlight w:val="none"/>
              </w:rPr>
            </w:pPr>
            <w:r>
              <w:rPr>
                <w:rFonts w:hint="eastAsia" w:cs="宋体"/>
                <w:color w:val="auto"/>
                <w:highlight w:val="none"/>
              </w:rPr>
              <w:t>（3）与本招标项目的其他投标人存在控股、管理关系；</w:t>
            </w:r>
          </w:p>
          <w:p>
            <w:pPr>
              <w:snapToGrid w:val="0"/>
              <w:spacing w:line="390" w:lineRule="exact"/>
              <w:rPr>
                <w:rFonts w:cs="宋体"/>
                <w:color w:val="auto"/>
                <w:highlight w:val="none"/>
              </w:rPr>
            </w:pPr>
            <w:r>
              <w:rPr>
                <w:rFonts w:hint="eastAsia" w:cs="宋体"/>
                <w:color w:val="auto"/>
                <w:highlight w:val="none"/>
              </w:rPr>
              <w:t>（4）被依法暂停或者取消投标资格；</w:t>
            </w:r>
          </w:p>
          <w:p>
            <w:pPr>
              <w:snapToGrid w:val="0"/>
              <w:spacing w:line="390" w:lineRule="exact"/>
              <w:rPr>
                <w:rFonts w:cs="宋体"/>
                <w:color w:val="auto"/>
                <w:highlight w:val="none"/>
              </w:rPr>
            </w:pPr>
            <w:r>
              <w:rPr>
                <w:rFonts w:hint="eastAsia" w:cs="宋体"/>
                <w:color w:val="auto"/>
                <w:highlight w:val="none"/>
              </w:rPr>
              <w:t>（5）被责令停产停业、暂扣或者吊销许可证、暂扣或者吊销执照；</w:t>
            </w:r>
          </w:p>
          <w:p>
            <w:pPr>
              <w:snapToGrid w:val="0"/>
              <w:spacing w:line="390" w:lineRule="exact"/>
              <w:rPr>
                <w:rFonts w:cs="宋体"/>
                <w:color w:val="auto"/>
                <w:highlight w:val="none"/>
              </w:rPr>
            </w:pPr>
            <w:r>
              <w:rPr>
                <w:rFonts w:hint="eastAsia" w:cs="宋体"/>
                <w:color w:val="auto"/>
                <w:highlight w:val="none"/>
              </w:rPr>
              <w:t>（6）进入清算程序，或被宣告破产，或其他丧失履约能力的情形；</w:t>
            </w:r>
          </w:p>
          <w:p>
            <w:pPr>
              <w:snapToGrid w:val="0"/>
              <w:spacing w:line="390" w:lineRule="exact"/>
              <w:rPr>
                <w:rFonts w:cs="宋体"/>
                <w:color w:val="auto"/>
                <w:highlight w:val="none"/>
              </w:rPr>
            </w:pPr>
            <w:r>
              <w:rPr>
                <w:rFonts w:hint="eastAsia" w:cs="宋体"/>
                <w:color w:val="auto"/>
                <w:highlight w:val="none"/>
              </w:rPr>
              <w:t>（</w:t>
            </w:r>
            <w:r>
              <w:rPr>
                <w:rFonts w:cs="宋体"/>
                <w:color w:val="auto"/>
                <w:highlight w:val="none"/>
              </w:rPr>
              <w:t>7</w:t>
            </w:r>
            <w:r>
              <w:rPr>
                <w:rFonts w:hint="eastAsia" w:cs="宋体"/>
                <w:color w:val="auto"/>
                <w:highlight w:val="none"/>
              </w:rPr>
              <w:t>）被列入信用中国网、中国政府采购网中严重违法失信行为记录名单；</w:t>
            </w:r>
          </w:p>
          <w:p>
            <w:pPr>
              <w:snapToGrid w:val="0"/>
              <w:spacing w:line="390" w:lineRule="exact"/>
              <w:rPr>
                <w:rFonts w:cs="宋体"/>
                <w:color w:val="auto"/>
                <w:highlight w:val="none"/>
              </w:rPr>
            </w:pPr>
            <w:r>
              <w:rPr>
                <w:rFonts w:hint="eastAsia" w:cs="宋体"/>
                <w:color w:val="auto"/>
                <w:highlight w:val="none"/>
              </w:rPr>
              <w:t>（</w:t>
            </w:r>
            <w:r>
              <w:rPr>
                <w:rFonts w:cs="宋体"/>
                <w:color w:val="auto"/>
                <w:highlight w:val="none"/>
              </w:rPr>
              <w:t>9</w:t>
            </w:r>
            <w:r>
              <w:rPr>
                <w:rFonts w:hint="eastAsia" w:cs="宋体"/>
                <w:color w:val="auto"/>
                <w:highlight w:val="none"/>
              </w:rPr>
              <w:t>）法律法规或投标人须知前附表规定的其他情形。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jc w:val="center"/>
              <w:rPr>
                <w:rFonts w:cs="宋体"/>
                <w:color w:val="auto"/>
                <w:highlight w:val="none"/>
              </w:rPr>
            </w:pPr>
            <w:r>
              <w:rPr>
                <w:rFonts w:hint="eastAsia" w:cs="宋体"/>
                <w:color w:val="auto"/>
                <w:highlight w:val="none"/>
              </w:rPr>
              <w:t>24</w:t>
            </w:r>
          </w:p>
        </w:tc>
        <w:tc>
          <w:tcPr>
            <w:tcW w:w="9303" w:type="dxa"/>
            <w:vAlign w:val="center"/>
          </w:tcPr>
          <w:p>
            <w:pPr>
              <w:pStyle w:val="18"/>
              <w:spacing w:before="0" w:beforeAutospacing="0" w:after="0" w:afterAutospacing="0" w:line="40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1.具备有效经年检的营业执照、开户许可证（或基本存款账户信息）；</w:t>
            </w:r>
          </w:p>
          <w:p>
            <w:pPr>
              <w:spacing w:line="40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2.法定代表人投标需携带法人身份证明、身份证原件及加盖公章的身份证复印件；被授权人投标需携带本人身份证原件及加盖公章的身份证复印件、法人身份证明、授权委托书原件；</w:t>
            </w:r>
          </w:p>
          <w:p>
            <w:pPr>
              <w:pStyle w:val="42"/>
              <w:numPr>
                <w:ilvl w:val="0"/>
                <w:numId w:val="0"/>
              </w:numPr>
              <w:spacing w:line="400" w:lineRule="exact"/>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3.依法缴纳税收的记录证明（近期完税证明，如未缴税需提供其相关税务部门开具的</w:t>
            </w:r>
          </w:p>
          <w:p>
            <w:pPr>
              <w:pStyle w:val="42"/>
              <w:numPr>
                <w:ilvl w:val="0"/>
                <w:numId w:val="0"/>
              </w:numPr>
              <w:spacing w:line="400" w:lineRule="exact"/>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资料证明）和社会保障资金的良好记录（</w:t>
            </w:r>
            <w:r>
              <w:rPr>
                <w:rFonts w:hint="eastAsia" w:asciiTheme="minorEastAsia" w:hAnsiTheme="minorEastAsia" w:eastAsiaTheme="minorEastAsia" w:cstheme="minorEastAsia"/>
                <w:color w:val="auto"/>
                <w:kern w:val="0"/>
                <w:highlight w:val="none"/>
              </w:rPr>
              <w:t>近期社会保障资金记录</w:t>
            </w:r>
            <w:r>
              <w:rPr>
                <w:rFonts w:asciiTheme="minorEastAsia" w:hAnsiTheme="minorEastAsia" w:eastAsiaTheme="minorEastAsia" w:cstheme="minorEastAsia"/>
                <w:color w:val="auto"/>
                <w:kern w:val="0"/>
                <w:highlight w:val="none"/>
              </w:rPr>
              <w:t>,授权委托人应在内，若授权委托人是退休人员需提供退休证明</w:t>
            </w:r>
            <w:r>
              <w:rPr>
                <w:rFonts w:hint="eastAsia" w:asciiTheme="minorEastAsia" w:hAnsiTheme="minorEastAsia" w:eastAsiaTheme="minorEastAsia" w:cstheme="minorEastAsia"/>
                <w:color w:val="auto"/>
                <w:kern w:val="0"/>
                <w:szCs w:val="24"/>
                <w:highlight w:val="none"/>
              </w:rPr>
              <w:t>）及健全的财务（近</w:t>
            </w:r>
            <w:r>
              <w:rPr>
                <w:rFonts w:asciiTheme="minorEastAsia" w:hAnsiTheme="minorEastAsia" w:eastAsiaTheme="minorEastAsia" w:cstheme="minorEastAsia"/>
                <w:color w:val="auto"/>
                <w:kern w:val="0"/>
                <w:szCs w:val="24"/>
                <w:highlight w:val="none"/>
              </w:rPr>
              <w:t>3年（2020至2022年度财务审计报告或财务报表），如未完成2022年财务审计，可附2022年度财务报表。企业成立不足三年的，需提供企业成立至今的财务报表</w:t>
            </w:r>
            <w:r>
              <w:rPr>
                <w:rFonts w:hint="eastAsia" w:asciiTheme="minorEastAsia" w:hAnsiTheme="minorEastAsia" w:eastAsiaTheme="minorEastAsia" w:cstheme="minorEastAsia"/>
                <w:color w:val="auto"/>
                <w:kern w:val="0"/>
                <w:szCs w:val="24"/>
                <w:highlight w:val="none"/>
              </w:rPr>
              <w:t>；</w:t>
            </w:r>
          </w:p>
          <w:p>
            <w:pPr>
              <w:widowControl/>
              <w:shd w:val="clear" w:color="auto" w:fill="FFFFFF"/>
              <w:spacing w:line="400" w:lineRule="exact"/>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4.信用中国网、中国政府采购网、国家企业信用信息公示系统中未被列入严重违法失信行为记录名单（尚在处罚期内的将拒绝其参加），并提供信用信息查询记录；</w:t>
            </w:r>
          </w:p>
          <w:p>
            <w:pPr>
              <w:pStyle w:val="7"/>
              <w:spacing w:after="0" w:line="40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5.投标保证金缴纳凭证；</w:t>
            </w:r>
          </w:p>
          <w:p>
            <w:pPr>
              <w:pStyle w:val="43"/>
              <w:numPr>
                <w:ilvl w:val="0"/>
                <w:numId w:val="0"/>
              </w:numPr>
              <w:spacing w:line="400" w:lineRule="exact"/>
              <w:ind w:left="-9" w:leftChars="-21" w:hanging="41" w:hangingChars="17"/>
              <w:rPr>
                <w:rFonts w:eastAsia="仿宋" w:cs="宋体"/>
                <w:b/>
                <w:color w:val="auto"/>
                <w:kern w:val="0"/>
                <w:highlight w:val="none"/>
              </w:rPr>
            </w:pPr>
            <w:r>
              <w:rPr>
                <w:rFonts w:hint="eastAsia" w:asciiTheme="minorEastAsia" w:hAnsiTheme="minorEastAsia" w:eastAsiaTheme="minorEastAsia" w:cstheme="minorEastAsia"/>
                <w:b/>
                <w:color w:val="auto"/>
                <w:kern w:val="0"/>
                <w:highlight w:val="none"/>
              </w:rPr>
              <w:t>注：本项目采用“不见面”开标，上述资料扫描至电子标书第七章“投标文件格式”相应位置并加盖电子印章，扫描件为原件扫描件（现场无需携带）。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cs="宋体"/>
                <w:color w:val="auto"/>
                <w:highlight w:val="none"/>
              </w:rPr>
            </w:pPr>
            <w:r>
              <w:rPr>
                <w:rFonts w:hint="eastAsia" w:cs="宋体"/>
                <w:color w:val="auto"/>
                <w:highlight w:val="none"/>
              </w:rPr>
              <w:t>25</w:t>
            </w:r>
          </w:p>
        </w:tc>
        <w:tc>
          <w:tcPr>
            <w:tcW w:w="9303" w:type="dxa"/>
            <w:vAlign w:val="center"/>
          </w:tcPr>
          <w:p>
            <w:pPr>
              <w:spacing w:line="380" w:lineRule="exact"/>
              <w:rPr>
                <w:rFonts w:cs="宋体"/>
                <w:b/>
                <w:bCs/>
                <w:color w:val="auto"/>
                <w:highlight w:val="none"/>
                <w:u w:val="single"/>
              </w:rPr>
            </w:pPr>
            <w:r>
              <w:rPr>
                <w:rFonts w:hint="eastAsia" w:cs="宋体"/>
                <w:b/>
                <w:bCs/>
                <w:color w:val="auto"/>
                <w:highlight w:val="none"/>
                <w:u w:val="single"/>
              </w:rPr>
              <w:t>低于成本价不正当竞争预防措施</w:t>
            </w:r>
            <w:r>
              <w:rPr>
                <w:rFonts w:hint="eastAsia" w:cs="宋体"/>
                <w:b/>
                <w:bCs/>
                <w:color w:val="auto"/>
                <w:highlight w:val="none"/>
              </w:rPr>
              <w:t>：</w:t>
            </w:r>
          </w:p>
          <w:p>
            <w:pPr>
              <w:spacing w:line="380" w:lineRule="exact"/>
              <w:ind w:firstLine="480" w:firstLineChars="200"/>
              <w:rPr>
                <w:rFonts w:hint="eastAsia" w:cs="宋体"/>
                <w:bCs/>
                <w:color w:val="auto"/>
                <w:highlight w:val="none"/>
              </w:rPr>
            </w:pPr>
            <w:r>
              <w:rPr>
                <w:rFonts w:hint="eastAsia" w:cs="宋体"/>
                <w:bCs/>
                <w:color w:val="auto"/>
                <w:highlight w:val="none"/>
              </w:rPr>
              <w:t>根据“财政部87号令《政府采购货物服务招标投标管理办法》”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80" w:lineRule="exact"/>
              <w:ind w:firstLine="480" w:firstLineChars="200"/>
              <w:rPr>
                <w:rFonts w:hint="eastAsia" w:cs="宋体"/>
                <w:bCs/>
                <w:color w:val="auto"/>
                <w:highlight w:val="none"/>
              </w:rPr>
            </w:pPr>
            <w:r>
              <w:rPr>
                <w:rFonts w:hint="eastAsia" w:cs="宋体"/>
                <w:bCs/>
                <w:color w:val="auto"/>
                <w:highlight w:val="none"/>
              </w:rPr>
              <w:t>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spacing w:line="380" w:lineRule="exact"/>
              <w:ind w:firstLine="480" w:firstLineChars="200"/>
              <w:rPr>
                <w:rFonts w:hint="eastAsia" w:cs="宋体"/>
                <w:bCs/>
                <w:color w:val="auto"/>
                <w:highlight w:val="none"/>
              </w:rPr>
            </w:pPr>
            <w:r>
              <w:rPr>
                <w:rFonts w:hint="eastAsia" w:cs="宋体"/>
                <w:bCs/>
                <w:color w:val="auto"/>
                <w:highlight w:val="none"/>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spacing w:line="380" w:lineRule="exact"/>
              <w:ind w:firstLine="480" w:firstLineChars="200"/>
              <w:rPr>
                <w:rFonts w:cs="宋体"/>
                <w:bCs/>
                <w:color w:val="auto"/>
                <w:highlight w:val="none"/>
              </w:rPr>
            </w:pPr>
            <w:r>
              <w:rPr>
                <w:rFonts w:hint="eastAsia" w:cs="宋体"/>
                <w:bCs/>
                <w:color w:val="auto"/>
                <w:highlight w:val="none"/>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hint="default" w:eastAsia="宋体" w:cs="宋体"/>
                <w:color w:val="auto"/>
                <w:highlight w:val="none"/>
                <w:lang w:val="en-US" w:eastAsia="zh-CN"/>
              </w:rPr>
            </w:pPr>
            <w:r>
              <w:rPr>
                <w:rFonts w:hint="eastAsia" w:cs="宋体"/>
                <w:color w:val="auto"/>
                <w:highlight w:val="none"/>
                <w:lang w:val="en-US" w:eastAsia="zh-CN"/>
              </w:rPr>
              <w:t>26</w:t>
            </w:r>
          </w:p>
        </w:tc>
        <w:tc>
          <w:tcPr>
            <w:tcW w:w="9303" w:type="dxa"/>
            <w:vAlign w:val="center"/>
          </w:tcPr>
          <w:p>
            <w:pPr>
              <w:spacing w:line="380" w:lineRule="exact"/>
              <w:rPr>
                <w:rFonts w:hint="eastAsia" w:cs="宋体"/>
                <w:bCs/>
                <w:color w:val="auto"/>
                <w:highlight w:val="none"/>
              </w:rPr>
            </w:pPr>
            <w:r>
              <w:rPr>
                <w:rFonts w:hint="eastAsia" w:cs="宋体"/>
                <w:bCs/>
                <w:color w:val="auto"/>
                <w:highlight w:val="none"/>
                <w:lang w:val="en-US" w:eastAsia="zh-CN"/>
              </w:rPr>
              <w:t>备注：</w:t>
            </w:r>
            <w:r>
              <w:rPr>
                <w:rFonts w:hint="eastAsia" w:cs="宋体"/>
                <w:b/>
                <w:bCs w:val="0"/>
                <w:color w:val="auto"/>
                <w:highlight w:val="none"/>
                <w:lang w:val="en-US" w:eastAsia="zh-CN"/>
              </w:rPr>
              <w:t>中标单位与采购人签订合同后3日内，须向我公司提供一份合同扫描件（PDF格式），备注项目名称及编号，发送至邮箱937390486@qq.com。用于合同备案，逾期未提供，后果自负。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hint="eastAsia" w:eastAsia="宋体" w:cs="宋体"/>
                <w:color w:val="auto"/>
                <w:highlight w:val="none"/>
                <w:lang w:val="en-US" w:eastAsia="zh-CN"/>
              </w:rPr>
            </w:pPr>
            <w:r>
              <w:rPr>
                <w:rFonts w:hint="eastAsia" w:cs="宋体"/>
                <w:color w:val="auto"/>
                <w:highlight w:val="none"/>
              </w:rPr>
              <w:t>2</w:t>
            </w:r>
            <w:r>
              <w:rPr>
                <w:rFonts w:hint="eastAsia" w:cs="宋体"/>
                <w:color w:val="auto"/>
                <w:highlight w:val="none"/>
                <w:lang w:val="en-US" w:eastAsia="zh-CN"/>
              </w:rPr>
              <w:t>7</w:t>
            </w:r>
          </w:p>
        </w:tc>
        <w:tc>
          <w:tcPr>
            <w:tcW w:w="9303" w:type="dxa"/>
            <w:vAlign w:val="center"/>
          </w:tcPr>
          <w:p>
            <w:pPr>
              <w:spacing w:line="380" w:lineRule="exact"/>
              <w:rPr>
                <w:rFonts w:cs="宋体"/>
                <w:bCs/>
                <w:color w:val="auto"/>
                <w:highlight w:val="none"/>
              </w:rPr>
            </w:pPr>
            <w:r>
              <w:rPr>
                <w:rFonts w:hint="eastAsia" w:cs="宋体"/>
                <w:bCs/>
                <w:color w:val="auto"/>
                <w:highlight w:val="none"/>
              </w:rPr>
              <w:t>代理服务费 ：根据国家发展改革委办公厅印发的《关于招标代理服务收费有关问题的通知》（发改办价格【2003】857号）文件的规定，本项目由中标人支付招标代理服务费。收费标准：参照计价格【2002】1980号文计取。</w:t>
            </w:r>
          </w:p>
          <w:p>
            <w:pPr>
              <w:spacing w:line="380" w:lineRule="exact"/>
              <w:rPr>
                <w:rFonts w:hint="eastAsia" w:eastAsia="宋体" w:cs="宋体"/>
                <w:bCs/>
                <w:color w:val="auto"/>
                <w:highlight w:val="none"/>
                <w:lang w:eastAsia="zh-CN"/>
              </w:rPr>
            </w:pPr>
            <w:r>
              <w:rPr>
                <w:rFonts w:hint="eastAsia" w:cs="宋体"/>
                <w:bCs/>
                <w:color w:val="auto"/>
                <w:highlight w:val="none"/>
                <w:lang w:val="en-US" w:eastAsia="zh-CN"/>
              </w:rPr>
              <w:t>交易中心</w:t>
            </w:r>
            <w:r>
              <w:rPr>
                <w:rFonts w:hint="eastAsia" w:cs="宋体"/>
                <w:bCs/>
                <w:color w:val="auto"/>
                <w:highlight w:val="none"/>
              </w:rPr>
              <w:t>场地费</w:t>
            </w:r>
            <w:r>
              <w:rPr>
                <w:rFonts w:hint="eastAsia" w:cs="宋体"/>
                <w:bCs/>
                <w:color w:val="auto"/>
                <w:highlight w:val="none"/>
                <w:lang w:eastAsia="zh-CN"/>
              </w:rPr>
              <w:t>（</w:t>
            </w:r>
            <w:r>
              <w:rPr>
                <w:rFonts w:hint="eastAsia" w:cs="宋体"/>
                <w:bCs/>
                <w:color w:val="auto"/>
                <w:highlight w:val="none"/>
                <w:lang w:val="en-US" w:eastAsia="zh-CN"/>
              </w:rPr>
              <w:t>如有</w:t>
            </w:r>
            <w:r>
              <w:rPr>
                <w:rFonts w:hint="eastAsia" w:cs="宋体"/>
                <w:bCs/>
                <w:color w:val="auto"/>
                <w:highlight w:val="none"/>
                <w:lang w:eastAsia="zh-CN"/>
              </w:rPr>
              <w:t>）</w:t>
            </w:r>
            <w:r>
              <w:rPr>
                <w:rFonts w:hint="eastAsia" w:cs="宋体"/>
                <w:bCs/>
                <w:color w:val="auto"/>
                <w:highlight w:val="none"/>
              </w:rPr>
              <w:t>：每个（包）招投标项目最高不得超过6000元。投标企业少于6家（含6家）的按每个投标企业每次1000元收取；投标企业超过6家的，按单个招投标项目（标段）6000元由投标企业平均分摊。</w:t>
            </w:r>
          </w:p>
        </w:tc>
      </w:tr>
    </w:tbl>
    <w:p>
      <w:pPr>
        <w:pStyle w:val="41"/>
        <w:ind w:firstLine="0" w:firstLineChars="0"/>
        <w:rPr>
          <w:b/>
          <w:color w:val="auto"/>
          <w:szCs w:val="28"/>
          <w:highlight w:val="none"/>
        </w:rPr>
      </w:pPr>
    </w:p>
    <w:p>
      <w:pPr>
        <w:pStyle w:val="41"/>
        <w:ind w:firstLine="0" w:firstLineChars="0"/>
        <w:jc w:val="both"/>
        <w:rPr>
          <w:rFonts w:hint="eastAsia"/>
          <w:b/>
          <w:color w:val="auto"/>
          <w:szCs w:val="28"/>
          <w:highlight w:val="none"/>
        </w:rPr>
      </w:pPr>
    </w:p>
    <w:p>
      <w:pPr>
        <w:pStyle w:val="41"/>
        <w:ind w:firstLine="0" w:firstLineChars="0"/>
        <w:jc w:val="center"/>
        <w:rPr>
          <w:b/>
          <w:color w:val="auto"/>
          <w:szCs w:val="28"/>
          <w:highlight w:val="none"/>
        </w:rPr>
      </w:pPr>
      <w:r>
        <w:rPr>
          <w:rFonts w:hint="eastAsia"/>
          <w:b/>
          <w:color w:val="auto"/>
          <w:szCs w:val="28"/>
          <w:highlight w:val="none"/>
        </w:rPr>
        <w:t>投标人须知正文部分</w:t>
      </w:r>
    </w:p>
    <w:p>
      <w:pPr>
        <w:pStyle w:val="41"/>
        <w:rPr>
          <w:color w:val="auto"/>
          <w:szCs w:val="24"/>
          <w:highlight w:val="none"/>
        </w:rPr>
      </w:pPr>
      <w:r>
        <w:rPr>
          <w:rFonts w:hint="eastAsia"/>
          <w:color w:val="auto"/>
          <w:szCs w:val="24"/>
          <w:highlight w:val="none"/>
        </w:rPr>
        <w:t>1.1</w:t>
      </w:r>
      <w:r>
        <w:rPr>
          <w:rFonts w:hint="eastAsia"/>
          <w:color w:val="auto"/>
          <w:szCs w:val="24"/>
          <w:highlight w:val="none"/>
        </w:rPr>
        <w:tab/>
      </w:r>
      <w:r>
        <w:rPr>
          <w:rFonts w:hint="eastAsia"/>
          <w:color w:val="auto"/>
          <w:szCs w:val="24"/>
          <w:highlight w:val="none"/>
        </w:rPr>
        <w:t>总则</w:t>
      </w:r>
    </w:p>
    <w:p>
      <w:pPr>
        <w:pStyle w:val="41"/>
        <w:rPr>
          <w:color w:val="auto"/>
          <w:szCs w:val="24"/>
          <w:highlight w:val="none"/>
        </w:rPr>
      </w:pPr>
      <w:r>
        <w:rPr>
          <w:rFonts w:hint="eastAsia"/>
          <w:color w:val="auto"/>
          <w:szCs w:val="24"/>
          <w:highlight w:val="none"/>
        </w:rPr>
        <w:t>1.1.1</w:t>
      </w:r>
      <w:r>
        <w:rPr>
          <w:rFonts w:hint="eastAsia"/>
          <w:color w:val="auto"/>
          <w:szCs w:val="24"/>
          <w:highlight w:val="none"/>
        </w:rPr>
        <w:tab/>
      </w:r>
      <w:r>
        <w:rPr>
          <w:rFonts w:hint="eastAsia"/>
          <w:color w:val="auto"/>
          <w:szCs w:val="24"/>
          <w:highlight w:val="none"/>
        </w:rPr>
        <w:t>采购方式及定义</w:t>
      </w:r>
    </w:p>
    <w:p>
      <w:pPr>
        <w:pStyle w:val="41"/>
        <w:rPr>
          <w:color w:val="auto"/>
          <w:szCs w:val="24"/>
          <w:highlight w:val="none"/>
        </w:rPr>
      </w:pPr>
      <w:r>
        <w:rPr>
          <w:rFonts w:hint="eastAsia"/>
          <w:color w:val="auto"/>
          <w:szCs w:val="24"/>
          <w:highlight w:val="none"/>
        </w:rPr>
        <w:t>1.本次采购采用公开招标方式，本招标文件仅适用于公开招标公告中所述项目。</w:t>
      </w:r>
    </w:p>
    <w:p>
      <w:pPr>
        <w:pStyle w:val="41"/>
        <w:rPr>
          <w:color w:val="auto"/>
          <w:szCs w:val="24"/>
          <w:highlight w:val="none"/>
        </w:rPr>
      </w:pPr>
      <w:r>
        <w:rPr>
          <w:rFonts w:hint="eastAsia"/>
          <w:color w:val="auto"/>
          <w:szCs w:val="24"/>
          <w:highlight w:val="none"/>
        </w:rPr>
        <w:t>2.“采购人”系指本项目的需求方</w:t>
      </w:r>
      <w:r>
        <w:rPr>
          <w:rFonts w:hint="eastAsia"/>
          <w:color w:val="auto"/>
          <w:highlight w:val="none"/>
        </w:rPr>
        <w:t>新疆理工学院。</w:t>
      </w:r>
    </w:p>
    <w:p>
      <w:pPr>
        <w:pStyle w:val="41"/>
        <w:rPr>
          <w:rFonts w:ascii="仿宋" w:hAnsi="仿宋"/>
          <w:color w:val="auto"/>
          <w:szCs w:val="24"/>
          <w:highlight w:val="none"/>
        </w:rPr>
      </w:pPr>
      <w:r>
        <w:rPr>
          <w:rFonts w:hint="eastAsia"/>
          <w:color w:val="auto"/>
          <w:szCs w:val="24"/>
          <w:highlight w:val="none"/>
        </w:rPr>
        <w:t>3.“采购代理机构”系指负责组织本次公开招标的</w:t>
      </w:r>
      <w:r>
        <w:rPr>
          <w:rFonts w:hint="eastAsia" w:ascii="仿宋" w:hAnsi="仿宋"/>
          <w:color w:val="auto"/>
          <w:szCs w:val="24"/>
          <w:highlight w:val="none"/>
        </w:rPr>
        <w:t>新疆豪诚项目管理咨询有限公司</w:t>
      </w:r>
      <w:r>
        <w:rPr>
          <w:rFonts w:hint="eastAsia"/>
          <w:color w:val="auto"/>
          <w:szCs w:val="24"/>
          <w:highlight w:val="none"/>
        </w:rPr>
        <w:t>。</w:t>
      </w:r>
    </w:p>
    <w:p>
      <w:pPr>
        <w:pStyle w:val="41"/>
        <w:rPr>
          <w:color w:val="auto"/>
          <w:szCs w:val="24"/>
          <w:highlight w:val="none"/>
        </w:rPr>
      </w:pPr>
      <w:r>
        <w:rPr>
          <w:rFonts w:hint="eastAsia"/>
          <w:color w:val="auto"/>
          <w:szCs w:val="24"/>
          <w:highlight w:val="none"/>
        </w:rPr>
        <w:t>4.“投标人”系指向采购代理机构提交投标文件的货物制造商或代理商。</w:t>
      </w:r>
    </w:p>
    <w:p>
      <w:pPr>
        <w:pStyle w:val="41"/>
        <w:rPr>
          <w:color w:val="auto"/>
          <w:szCs w:val="24"/>
          <w:highlight w:val="none"/>
        </w:rPr>
      </w:pPr>
      <w:r>
        <w:rPr>
          <w:rFonts w:hint="eastAsia"/>
          <w:color w:val="auto"/>
          <w:szCs w:val="24"/>
          <w:highlight w:val="none"/>
        </w:rPr>
        <w:t>5.“货物”系指卖方按合同要求，须向买方提供的设计文件、货物、机械、材料、备品、手册及其他技术资料和材料。</w:t>
      </w:r>
    </w:p>
    <w:p>
      <w:pPr>
        <w:pStyle w:val="41"/>
        <w:rPr>
          <w:color w:val="auto"/>
          <w:szCs w:val="24"/>
          <w:highlight w:val="none"/>
        </w:rPr>
      </w:pPr>
      <w:r>
        <w:rPr>
          <w:rFonts w:hint="eastAsia"/>
          <w:color w:val="auto"/>
          <w:szCs w:val="24"/>
          <w:highlight w:val="none"/>
        </w:rPr>
        <w:t>6.“服务”系指按合同规定卖方须承担的运输、装卸、安装调试、技术协助、培训和交付使用后保修期内应履行的义务及售后服务等其他类似的义务。</w:t>
      </w:r>
    </w:p>
    <w:p>
      <w:pPr>
        <w:pStyle w:val="41"/>
        <w:rPr>
          <w:color w:val="auto"/>
          <w:szCs w:val="24"/>
          <w:highlight w:val="none"/>
        </w:rPr>
      </w:pPr>
      <w:r>
        <w:rPr>
          <w:rFonts w:hint="eastAsia"/>
          <w:color w:val="auto"/>
          <w:szCs w:val="24"/>
          <w:highlight w:val="none"/>
        </w:rPr>
        <w:t>7.“卖方”系指提供合同货物和服务的经济实体。本次招标指中标人。</w:t>
      </w:r>
    </w:p>
    <w:p>
      <w:pPr>
        <w:pStyle w:val="41"/>
        <w:rPr>
          <w:color w:val="auto"/>
          <w:szCs w:val="24"/>
          <w:highlight w:val="none"/>
        </w:rPr>
      </w:pPr>
      <w:r>
        <w:rPr>
          <w:rFonts w:hint="eastAsia"/>
          <w:color w:val="auto"/>
          <w:szCs w:val="24"/>
          <w:highlight w:val="none"/>
        </w:rPr>
        <w:t>8.“买方”系指购买货物和服务的单位，即为本次招标的采购人。</w:t>
      </w:r>
    </w:p>
    <w:p>
      <w:pPr>
        <w:pStyle w:val="41"/>
        <w:rPr>
          <w:color w:val="auto"/>
          <w:szCs w:val="24"/>
          <w:highlight w:val="none"/>
        </w:rPr>
      </w:pPr>
      <w:r>
        <w:rPr>
          <w:rFonts w:hint="eastAsia"/>
          <w:color w:val="auto"/>
          <w:szCs w:val="24"/>
          <w:highlight w:val="none"/>
        </w:rPr>
        <w:t>9.“节能产品”或者“环保产品”是指财政部发布最新一期的《节能产品政府采购清单》或者《环境标志产品政府采购清单》的产品，可在中国政府采购网查询。</w:t>
      </w:r>
    </w:p>
    <w:p>
      <w:pPr>
        <w:pStyle w:val="41"/>
        <w:rPr>
          <w:color w:val="auto"/>
          <w:szCs w:val="24"/>
          <w:highlight w:val="none"/>
        </w:rPr>
      </w:pPr>
      <w:r>
        <w:rPr>
          <w:rFonts w:hint="eastAsia"/>
          <w:color w:val="auto"/>
          <w:szCs w:val="24"/>
          <w:highlight w:val="none"/>
        </w:rPr>
        <w:t>10.“进口产品”是指通过中国海关报关验放进入中国境内且产自关境外的产品，详见《关于政府采购进口产品管理有关问题的通知》(财库[2007]119号)及《关于政府采购进口产品管理有关问题的通知》（财办库（2008）248号）。</w:t>
      </w:r>
    </w:p>
    <w:p>
      <w:pPr>
        <w:pStyle w:val="41"/>
        <w:rPr>
          <w:color w:val="auto"/>
          <w:szCs w:val="24"/>
          <w:highlight w:val="none"/>
        </w:rPr>
      </w:pPr>
      <w:r>
        <w:rPr>
          <w:rFonts w:hint="eastAsia"/>
          <w:color w:val="auto"/>
          <w:szCs w:val="24"/>
          <w:highlight w:val="none"/>
        </w:rPr>
        <w:t>11. “语言文字”招标投标文件使用的语言文字为中文。专用术语使用外文的，应附有中文注释。</w:t>
      </w:r>
    </w:p>
    <w:p>
      <w:pPr>
        <w:pStyle w:val="41"/>
        <w:rPr>
          <w:color w:val="auto"/>
          <w:szCs w:val="24"/>
          <w:highlight w:val="none"/>
        </w:rPr>
      </w:pPr>
      <w:r>
        <w:rPr>
          <w:rFonts w:hint="eastAsia"/>
          <w:color w:val="auto"/>
          <w:szCs w:val="24"/>
          <w:highlight w:val="none"/>
        </w:rPr>
        <w:t>12.“计量单位”所有计量均采用中华人民共和国法定计量单位。</w:t>
      </w:r>
    </w:p>
    <w:p>
      <w:pPr>
        <w:pStyle w:val="41"/>
        <w:rPr>
          <w:color w:val="auto"/>
          <w:szCs w:val="24"/>
          <w:highlight w:val="none"/>
        </w:rPr>
      </w:pPr>
      <w:r>
        <w:rPr>
          <w:rFonts w:hint="eastAsia"/>
          <w:color w:val="auto"/>
          <w:szCs w:val="24"/>
          <w:highlight w:val="none"/>
        </w:rPr>
        <w:t xml:space="preserve">13. 其他要求 </w:t>
      </w:r>
    </w:p>
    <w:p>
      <w:pPr>
        <w:pStyle w:val="41"/>
        <w:rPr>
          <w:color w:val="auto"/>
          <w:szCs w:val="24"/>
          <w:highlight w:val="none"/>
        </w:rPr>
      </w:pPr>
      <w:r>
        <w:rPr>
          <w:rFonts w:hint="eastAsia"/>
          <w:color w:val="auto"/>
          <w:szCs w:val="24"/>
          <w:highlight w:val="none"/>
        </w:rPr>
        <w:t>13.1采购进口产品</w:t>
      </w:r>
    </w:p>
    <w:p>
      <w:pPr>
        <w:pStyle w:val="41"/>
        <w:rPr>
          <w:color w:val="auto"/>
          <w:szCs w:val="24"/>
          <w:highlight w:val="none"/>
        </w:rPr>
      </w:pPr>
      <w:r>
        <w:rPr>
          <w:rFonts w:hint="eastAsia"/>
          <w:color w:val="auto"/>
          <w:szCs w:val="24"/>
          <w:highlight w:val="none"/>
        </w:rPr>
        <w:t>13.1.1 除投标人须知前附表另有规定外，本项目拒绝进口产品参加招标采购活动。</w:t>
      </w:r>
    </w:p>
    <w:p>
      <w:pPr>
        <w:pStyle w:val="41"/>
        <w:rPr>
          <w:color w:val="auto"/>
          <w:szCs w:val="24"/>
          <w:highlight w:val="none"/>
        </w:rPr>
      </w:pPr>
      <w:r>
        <w:rPr>
          <w:rFonts w:hint="eastAsia"/>
          <w:color w:val="auto"/>
          <w:szCs w:val="24"/>
          <w:highlight w:val="none"/>
        </w:rPr>
        <w:t>13.1.2 本章第4.1款规定同意购买进口产品的（如有），本项目采购活动不限制满足招标文件要求的国内产品参与招标。</w:t>
      </w:r>
    </w:p>
    <w:p>
      <w:pPr>
        <w:framePr w:hSpace="180" w:wrap="around" w:vAnchor="text" w:hAnchor="page" w:xAlign="center" w:y="73"/>
        <w:snapToGrid w:val="0"/>
        <w:rPr>
          <w:rFonts w:cs="宋体"/>
          <w:color w:val="auto"/>
          <w:highlight w:val="none"/>
        </w:rPr>
      </w:pPr>
      <w:r>
        <w:rPr>
          <w:rFonts w:hint="eastAsia"/>
          <w:color w:val="auto"/>
          <w:highlight w:val="none"/>
        </w:rPr>
        <w:t>13.2</w:t>
      </w:r>
      <w:r>
        <w:rPr>
          <w:rFonts w:hint="eastAsia" w:cs="宋体"/>
          <w:color w:val="auto"/>
          <w:highlight w:val="none"/>
        </w:rPr>
        <w:t>落实政府采购政策需满足的资格要求：</w:t>
      </w:r>
    </w:p>
    <w:p>
      <w:pPr>
        <w:framePr w:hSpace="180" w:wrap="around" w:vAnchor="text" w:hAnchor="page" w:xAlign="center" w:y="73"/>
        <w:snapToGrid w:val="0"/>
        <w:ind w:firstLine="480" w:firstLineChars="200"/>
        <w:rPr>
          <w:rFonts w:cs="宋体"/>
          <w:color w:val="auto"/>
          <w:highlight w:val="none"/>
        </w:rPr>
      </w:pPr>
      <w:r>
        <w:rPr>
          <w:rFonts w:hint="eastAsia" w:cs="宋体"/>
          <w:color w:val="auto"/>
          <w:highlight w:val="none"/>
        </w:rPr>
        <w:t>（1）财政部、国家发展改革委、生态环境部、市场监管总局《关于调整优化节能产品、环境标志产品政府采购执行机制的通知》（财库[2019]9号文）；</w:t>
      </w:r>
    </w:p>
    <w:p>
      <w:pPr>
        <w:framePr w:hSpace="180" w:wrap="around" w:vAnchor="text" w:hAnchor="page" w:xAlign="center" w:y="73"/>
        <w:snapToGrid w:val="0"/>
        <w:ind w:firstLine="480" w:firstLineChars="200"/>
        <w:rPr>
          <w:rFonts w:cs="宋体"/>
          <w:color w:val="auto"/>
          <w:highlight w:val="none"/>
        </w:rPr>
      </w:pPr>
      <w:r>
        <w:rPr>
          <w:rFonts w:hint="eastAsia" w:cs="宋体"/>
          <w:color w:val="auto"/>
          <w:highlight w:val="none"/>
        </w:rPr>
        <w:t>（2）财政部、生态环境部《关于印发环境标志产品政府采购品目清单的通知》（财库[2019]18号文）；</w:t>
      </w:r>
    </w:p>
    <w:p>
      <w:pPr>
        <w:framePr w:hSpace="180" w:wrap="around" w:vAnchor="text" w:hAnchor="page" w:xAlign="center" w:y="73"/>
        <w:snapToGrid w:val="0"/>
        <w:ind w:firstLine="480" w:firstLineChars="200"/>
        <w:rPr>
          <w:rFonts w:cs="宋体"/>
          <w:color w:val="auto"/>
          <w:highlight w:val="none"/>
        </w:rPr>
      </w:pPr>
      <w:r>
        <w:rPr>
          <w:rFonts w:hint="eastAsia" w:cs="宋体"/>
          <w:color w:val="auto"/>
          <w:highlight w:val="none"/>
        </w:rPr>
        <w:t>（3）财政部、发展改革委《关于印发节能产品政府采购品目清单的通知》（财库[2019]19号文）；</w:t>
      </w:r>
    </w:p>
    <w:p>
      <w:pPr>
        <w:framePr w:hSpace="180" w:wrap="around" w:vAnchor="text" w:hAnchor="page" w:xAlign="center" w:y="73"/>
        <w:snapToGrid w:val="0"/>
        <w:ind w:firstLine="480" w:firstLineChars="200"/>
        <w:rPr>
          <w:rFonts w:cs="宋体"/>
          <w:color w:val="auto"/>
          <w:highlight w:val="none"/>
        </w:rPr>
      </w:pPr>
      <w:r>
        <w:rPr>
          <w:rFonts w:hint="eastAsia" w:cs="宋体"/>
          <w:color w:val="auto"/>
          <w:highlight w:val="none"/>
        </w:rPr>
        <w:t>（4）市场监管总局《市场监管总局关于发布参与实施政府采购节能产品、环境标志产品认证机构名录的公告》（2019年第16号）；</w:t>
      </w:r>
    </w:p>
    <w:p>
      <w:pPr>
        <w:framePr w:hSpace="180" w:wrap="around" w:vAnchor="text" w:hAnchor="page" w:xAlign="center" w:y="73"/>
        <w:snapToGrid w:val="0"/>
        <w:ind w:firstLine="480" w:firstLineChars="200"/>
        <w:rPr>
          <w:rFonts w:cs="宋体"/>
          <w:color w:val="auto"/>
          <w:highlight w:val="none"/>
        </w:rPr>
      </w:pPr>
      <w:r>
        <w:rPr>
          <w:rFonts w:hint="eastAsia" w:cs="宋体"/>
          <w:color w:val="auto"/>
          <w:highlight w:val="none"/>
        </w:rPr>
        <w:t xml:space="preserve">（5）财政部、工业和信息化部《关于印发《政府采购促进中小企业发展管理办法》的通知》（财库[2020]46号文）； </w:t>
      </w:r>
    </w:p>
    <w:p>
      <w:pPr>
        <w:pStyle w:val="41"/>
        <w:rPr>
          <w:color w:val="auto"/>
          <w:highlight w:val="none"/>
        </w:rPr>
      </w:pPr>
      <w:r>
        <w:rPr>
          <w:rFonts w:hint="eastAsia"/>
          <w:color w:val="auto"/>
          <w:highlight w:val="none"/>
        </w:rPr>
        <w:t>（6）财政部、民政部、中国残疾人联合会《关于促进残疾人就业政府采购政策的通知》（财库[2017]141号）；</w:t>
      </w:r>
    </w:p>
    <w:p>
      <w:pPr>
        <w:pStyle w:val="41"/>
        <w:rPr>
          <w:color w:val="auto"/>
          <w:szCs w:val="24"/>
          <w:highlight w:val="none"/>
        </w:rPr>
      </w:pPr>
      <w:r>
        <w:rPr>
          <w:rFonts w:hint="eastAsia"/>
          <w:color w:val="auto"/>
          <w:szCs w:val="24"/>
          <w:highlight w:val="none"/>
        </w:rPr>
        <w:t>13.2.1为推进政府采购诚信体系建设，投标人在签署相关承诺，提供相关信息前，应认真阅读财政部门相关政策规定。</w:t>
      </w:r>
    </w:p>
    <w:p>
      <w:pPr>
        <w:pStyle w:val="41"/>
        <w:rPr>
          <w:color w:val="auto"/>
          <w:szCs w:val="24"/>
          <w:highlight w:val="none"/>
        </w:rPr>
      </w:pPr>
      <w:r>
        <w:rPr>
          <w:rFonts w:hint="eastAsia"/>
          <w:color w:val="auto"/>
          <w:szCs w:val="24"/>
          <w:highlight w:val="none"/>
        </w:rPr>
        <w:t>1.1.2</w:t>
      </w:r>
      <w:r>
        <w:rPr>
          <w:rFonts w:hint="eastAsia"/>
          <w:color w:val="auto"/>
          <w:szCs w:val="24"/>
          <w:highlight w:val="none"/>
        </w:rPr>
        <w:tab/>
      </w:r>
      <w:r>
        <w:rPr>
          <w:rFonts w:hint="eastAsia"/>
          <w:color w:val="auto"/>
          <w:szCs w:val="24"/>
          <w:highlight w:val="none"/>
        </w:rPr>
        <w:t>合格的投标人</w:t>
      </w:r>
    </w:p>
    <w:p>
      <w:pPr>
        <w:pStyle w:val="41"/>
        <w:rPr>
          <w:color w:val="auto"/>
          <w:szCs w:val="24"/>
          <w:highlight w:val="none"/>
        </w:rPr>
      </w:pPr>
      <w:r>
        <w:rPr>
          <w:rFonts w:hint="eastAsia"/>
          <w:color w:val="auto"/>
          <w:szCs w:val="24"/>
          <w:highlight w:val="none"/>
        </w:rPr>
        <w:t>1.</w:t>
      </w:r>
      <w:r>
        <w:rPr>
          <w:rFonts w:hint="eastAsia"/>
          <w:color w:val="auto"/>
          <w:szCs w:val="24"/>
          <w:highlight w:val="none"/>
        </w:rPr>
        <w:tab/>
      </w:r>
      <w:r>
        <w:rPr>
          <w:rFonts w:hint="eastAsia"/>
          <w:color w:val="auto"/>
          <w:szCs w:val="24"/>
          <w:highlight w:val="none"/>
        </w:rPr>
        <w:t>满足公开招标公告中投标人的资格条件的规定。</w:t>
      </w:r>
    </w:p>
    <w:p>
      <w:pPr>
        <w:pStyle w:val="41"/>
        <w:rPr>
          <w:color w:val="auto"/>
          <w:szCs w:val="24"/>
          <w:highlight w:val="none"/>
        </w:rPr>
      </w:pPr>
      <w:r>
        <w:rPr>
          <w:rFonts w:hint="eastAsia"/>
          <w:color w:val="auto"/>
          <w:szCs w:val="24"/>
          <w:highlight w:val="none"/>
        </w:rPr>
        <w:t>2.</w:t>
      </w:r>
      <w:r>
        <w:rPr>
          <w:rFonts w:hint="eastAsia"/>
          <w:color w:val="auto"/>
          <w:szCs w:val="24"/>
          <w:highlight w:val="none"/>
        </w:rPr>
        <w:tab/>
      </w:r>
      <w:r>
        <w:rPr>
          <w:rFonts w:hint="eastAsia"/>
          <w:color w:val="auto"/>
          <w:szCs w:val="24"/>
          <w:highlight w:val="none"/>
        </w:rPr>
        <w:t>满足本文件实质性条款的规定。</w:t>
      </w:r>
    </w:p>
    <w:p>
      <w:pPr>
        <w:pStyle w:val="41"/>
        <w:rPr>
          <w:color w:val="auto"/>
          <w:szCs w:val="24"/>
          <w:highlight w:val="none"/>
        </w:rPr>
      </w:pPr>
      <w:r>
        <w:rPr>
          <w:rFonts w:hint="eastAsia"/>
          <w:color w:val="auto"/>
          <w:szCs w:val="24"/>
          <w:highlight w:val="none"/>
        </w:rPr>
        <w:t>3.</w:t>
      </w:r>
      <w:r>
        <w:rPr>
          <w:rFonts w:hint="eastAsia"/>
          <w:color w:val="auto"/>
          <w:szCs w:val="24"/>
          <w:highlight w:val="none"/>
        </w:rPr>
        <w:tab/>
      </w:r>
      <w:r>
        <w:rPr>
          <w:rFonts w:hint="eastAsia"/>
          <w:color w:val="auto"/>
          <w:szCs w:val="24"/>
          <w:highlight w:val="none"/>
        </w:rPr>
        <w:t>本项目不接受联合体参加投标。</w:t>
      </w:r>
    </w:p>
    <w:p>
      <w:pPr>
        <w:pStyle w:val="41"/>
        <w:rPr>
          <w:color w:val="auto"/>
          <w:szCs w:val="24"/>
          <w:highlight w:val="none"/>
        </w:rPr>
      </w:pPr>
      <w:r>
        <w:rPr>
          <w:rFonts w:hint="eastAsia"/>
          <w:color w:val="auto"/>
          <w:szCs w:val="24"/>
          <w:highlight w:val="none"/>
        </w:rPr>
        <w:t>1.1.3</w:t>
      </w:r>
      <w:r>
        <w:rPr>
          <w:rFonts w:hint="eastAsia"/>
          <w:color w:val="auto"/>
          <w:szCs w:val="24"/>
          <w:highlight w:val="none"/>
        </w:rPr>
        <w:tab/>
      </w:r>
      <w:r>
        <w:rPr>
          <w:rFonts w:hint="eastAsia"/>
          <w:color w:val="auto"/>
          <w:szCs w:val="24"/>
          <w:highlight w:val="none"/>
        </w:rPr>
        <w:t>适用法律</w:t>
      </w:r>
    </w:p>
    <w:p>
      <w:pPr>
        <w:pStyle w:val="41"/>
        <w:rPr>
          <w:color w:val="auto"/>
          <w:szCs w:val="24"/>
          <w:highlight w:val="none"/>
        </w:rPr>
      </w:pPr>
      <w:r>
        <w:rPr>
          <w:rFonts w:hint="eastAsia"/>
          <w:color w:val="auto"/>
          <w:szCs w:val="24"/>
          <w:highlight w:val="none"/>
        </w:rPr>
        <w:t>本次公开招标及由此产生的合同受中华人民共和国有关的法律法规制约和保护。</w:t>
      </w:r>
    </w:p>
    <w:p>
      <w:pPr>
        <w:pStyle w:val="41"/>
        <w:rPr>
          <w:color w:val="auto"/>
          <w:szCs w:val="24"/>
          <w:highlight w:val="none"/>
        </w:rPr>
      </w:pPr>
      <w:r>
        <w:rPr>
          <w:rFonts w:hint="eastAsia"/>
          <w:color w:val="auto"/>
          <w:szCs w:val="24"/>
          <w:highlight w:val="none"/>
        </w:rPr>
        <w:t>1.1.4</w:t>
      </w:r>
      <w:r>
        <w:rPr>
          <w:rFonts w:hint="eastAsia"/>
          <w:color w:val="auto"/>
          <w:szCs w:val="24"/>
          <w:highlight w:val="none"/>
        </w:rPr>
        <w:tab/>
      </w:r>
      <w:r>
        <w:rPr>
          <w:rFonts w:hint="eastAsia"/>
          <w:color w:val="auto"/>
          <w:szCs w:val="24"/>
          <w:highlight w:val="none"/>
        </w:rPr>
        <w:t>投标费用</w:t>
      </w:r>
    </w:p>
    <w:p>
      <w:pPr>
        <w:pStyle w:val="41"/>
        <w:rPr>
          <w:color w:val="auto"/>
          <w:szCs w:val="24"/>
          <w:highlight w:val="none"/>
        </w:rPr>
      </w:pPr>
      <w:r>
        <w:rPr>
          <w:rFonts w:hint="eastAsia"/>
          <w:color w:val="auto"/>
          <w:szCs w:val="24"/>
          <w:highlight w:val="none"/>
        </w:rPr>
        <w:t>1.</w:t>
      </w:r>
      <w:r>
        <w:rPr>
          <w:rFonts w:hint="eastAsia"/>
          <w:color w:val="auto"/>
          <w:szCs w:val="24"/>
          <w:highlight w:val="none"/>
        </w:rPr>
        <w:tab/>
      </w:r>
      <w:r>
        <w:rPr>
          <w:rFonts w:hint="eastAsia"/>
          <w:color w:val="auto"/>
          <w:szCs w:val="24"/>
          <w:highlight w:val="none"/>
        </w:rPr>
        <w:t>投标人应自行承担所有与参加投标有关的费用，无论投标过程中的做法和结果如何，</w:t>
      </w:r>
      <w:r>
        <w:rPr>
          <w:rFonts w:hint="eastAsia" w:ascii="仿宋" w:hAnsi="仿宋"/>
          <w:color w:val="auto"/>
          <w:szCs w:val="24"/>
          <w:highlight w:val="none"/>
        </w:rPr>
        <w:t>采购人、代理机构</w:t>
      </w:r>
      <w:r>
        <w:rPr>
          <w:rFonts w:hint="eastAsia"/>
          <w:color w:val="auto"/>
          <w:szCs w:val="24"/>
          <w:highlight w:val="none"/>
        </w:rPr>
        <w:t>在任何情况下均无义务和责任承担这些费用。</w:t>
      </w:r>
    </w:p>
    <w:p>
      <w:pPr>
        <w:pStyle w:val="41"/>
        <w:rPr>
          <w:color w:val="auto"/>
          <w:szCs w:val="24"/>
          <w:highlight w:val="none"/>
        </w:rPr>
      </w:pPr>
      <w:r>
        <w:rPr>
          <w:rFonts w:hint="eastAsia"/>
          <w:color w:val="auto"/>
          <w:szCs w:val="24"/>
          <w:highlight w:val="none"/>
        </w:rPr>
        <w:t>1.1.5</w:t>
      </w:r>
      <w:r>
        <w:rPr>
          <w:rFonts w:hint="eastAsia"/>
          <w:color w:val="auto"/>
          <w:szCs w:val="24"/>
          <w:highlight w:val="none"/>
        </w:rPr>
        <w:tab/>
      </w:r>
      <w:r>
        <w:rPr>
          <w:rFonts w:hint="eastAsia"/>
          <w:color w:val="auto"/>
          <w:szCs w:val="24"/>
          <w:highlight w:val="none"/>
        </w:rPr>
        <w:t>招标文件的约束力</w:t>
      </w:r>
    </w:p>
    <w:p>
      <w:pPr>
        <w:pStyle w:val="41"/>
        <w:rPr>
          <w:color w:val="auto"/>
          <w:szCs w:val="24"/>
          <w:highlight w:val="none"/>
        </w:rPr>
      </w:pPr>
      <w:r>
        <w:rPr>
          <w:rFonts w:hint="eastAsia"/>
          <w:color w:val="auto"/>
          <w:szCs w:val="24"/>
          <w:highlight w:val="none"/>
        </w:rPr>
        <w:t>投标人一旦购买了本招标文件并决定参加投标，即被认为接受了本招标文件的规定和约束。</w:t>
      </w:r>
    </w:p>
    <w:p>
      <w:pPr>
        <w:pStyle w:val="41"/>
        <w:rPr>
          <w:color w:val="auto"/>
          <w:szCs w:val="24"/>
          <w:highlight w:val="none"/>
        </w:rPr>
      </w:pPr>
      <w:r>
        <w:rPr>
          <w:rFonts w:hint="eastAsia"/>
          <w:color w:val="auto"/>
          <w:szCs w:val="24"/>
          <w:highlight w:val="none"/>
        </w:rPr>
        <w:t>1.2</w:t>
      </w:r>
      <w:r>
        <w:rPr>
          <w:rFonts w:hint="eastAsia"/>
          <w:color w:val="auto"/>
          <w:szCs w:val="24"/>
          <w:highlight w:val="none"/>
        </w:rPr>
        <w:tab/>
      </w:r>
      <w:r>
        <w:rPr>
          <w:rFonts w:hint="eastAsia"/>
          <w:color w:val="auto"/>
          <w:szCs w:val="24"/>
          <w:highlight w:val="none"/>
        </w:rPr>
        <w:t>招标文件</w:t>
      </w:r>
    </w:p>
    <w:p>
      <w:pPr>
        <w:pStyle w:val="41"/>
        <w:rPr>
          <w:color w:val="auto"/>
          <w:szCs w:val="24"/>
          <w:highlight w:val="none"/>
        </w:rPr>
      </w:pPr>
      <w:r>
        <w:rPr>
          <w:rFonts w:hint="eastAsia"/>
          <w:color w:val="auto"/>
          <w:szCs w:val="24"/>
          <w:highlight w:val="none"/>
        </w:rPr>
        <w:t>1.2.1</w:t>
      </w:r>
      <w:r>
        <w:rPr>
          <w:rFonts w:hint="eastAsia"/>
          <w:color w:val="auto"/>
          <w:szCs w:val="24"/>
          <w:highlight w:val="none"/>
        </w:rPr>
        <w:tab/>
      </w:r>
      <w:r>
        <w:rPr>
          <w:rFonts w:hint="eastAsia"/>
          <w:color w:val="auto"/>
          <w:szCs w:val="24"/>
          <w:highlight w:val="none"/>
        </w:rPr>
        <w:t>招标文件构成</w:t>
      </w:r>
    </w:p>
    <w:p>
      <w:pPr>
        <w:pStyle w:val="41"/>
        <w:rPr>
          <w:color w:val="auto"/>
          <w:szCs w:val="24"/>
          <w:highlight w:val="none"/>
        </w:rPr>
      </w:pPr>
      <w:r>
        <w:rPr>
          <w:rFonts w:hint="eastAsia"/>
          <w:color w:val="auto"/>
          <w:szCs w:val="24"/>
          <w:highlight w:val="none"/>
        </w:rPr>
        <w:t>招标文件有以下部分组成：</w:t>
      </w:r>
    </w:p>
    <w:p>
      <w:pPr>
        <w:pStyle w:val="41"/>
        <w:rPr>
          <w:color w:val="auto"/>
          <w:szCs w:val="24"/>
          <w:highlight w:val="none"/>
        </w:rPr>
      </w:pPr>
      <w:r>
        <w:rPr>
          <w:rFonts w:hint="eastAsia"/>
          <w:color w:val="auto"/>
          <w:szCs w:val="24"/>
          <w:highlight w:val="none"/>
        </w:rPr>
        <w:t>1.</w:t>
      </w:r>
      <w:r>
        <w:rPr>
          <w:rFonts w:hint="eastAsia"/>
          <w:color w:val="auto"/>
          <w:szCs w:val="24"/>
          <w:highlight w:val="none"/>
        </w:rPr>
        <w:tab/>
      </w:r>
      <w:r>
        <w:rPr>
          <w:rFonts w:hint="eastAsia"/>
          <w:color w:val="auto"/>
          <w:szCs w:val="24"/>
          <w:highlight w:val="none"/>
        </w:rPr>
        <w:t>公开招标公告</w:t>
      </w:r>
    </w:p>
    <w:p>
      <w:pPr>
        <w:pStyle w:val="41"/>
        <w:rPr>
          <w:color w:val="auto"/>
          <w:szCs w:val="24"/>
          <w:highlight w:val="none"/>
        </w:rPr>
      </w:pPr>
      <w:r>
        <w:rPr>
          <w:rFonts w:hint="eastAsia"/>
          <w:color w:val="auto"/>
          <w:szCs w:val="24"/>
          <w:highlight w:val="none"/>
        </w:rPr>
        <w:t>2.</w:t>
      </w:r>
      <w:r>
        <w:rPr>
          <w:rFonts w:hint="eastAsia"/>
          <w:color w:val="auto"/>
          <w:szCs w:val="24"/>
          <w:highlight w:val="none"/>
        </w:rPr>
        <w:tab/>
      </w:r>
      <w:r>
        <w:rPr>
          <w:rFonts w:hint="eastAsia"/>
          <w:color w:val="auto"/>
          <w:szCs w:val="24"/>
          <w:highlight w:val="none"/>
        </w:rPr>
        <w:t>投标人须知</w:t>
      </w:r>
    </w:p>
    <w:p>
      <w:pPr>
        <w:pStyle w:val="41"/>
        <w:rPr>
          <w:color w:val="auto"/>
          <w:szCs w:val="24"/>
          <w:highlight w:val="none"/>
        </w:rPr>
      </w:pPr>
      <w:r>
        <w:rPr>
          <w:rFonts w:hint="eastAsia"/>
          <w:color w:val="auto"/>
          <w:szCs w:val="24"/>
          <w:highlight w:val="none"/>
        </w:rPr>
        <w:t>3.</w:t>
      </w:r>
      <w:r>
        <w:rPr>
          <w:rFonts w:hint="eastAsia"/>
          <w:color w:val="auto"/>
          <w:szCs w:val="24"/>
          <w:highlight w:val="none"/>
        </w:rPr>
        <w:tab/>
      </w:r>
      <w:r>
        <w:rPr>
          <w:rFonts w:hint="eastAsia"/>
          <w:color w:val="auto"/>
          <w:szCs w:val="24"/>
          <w:highlight w:val="none"/>
        </w:rPr>
        <w:t>合同条款及格式</w:t>
      </w:r>
    </w:p>
    <w:p>
      <w:pPr>
        <w:pStyle w:val="41"/>
        <w:rPr>
          <w:color w:val="auto"/>
          <w:szCs w:val="24"/>
          <w:highlight w:val="none"/>
        </w:rPr>
      </w:pPr>
      <w:r>
        <w:rPr>
          <w:rFonts w:hint="eastAsia"/>
          <w:color w:val="auto"/>
          <w:szCs w:val="24"/>
          <w:highlight w:val="none"/>
        </w:rPr>
        <w:t>4.</w:t>
      </w:r>
      <w:r>
        <w:rPr>
          <w:rFonts w:hint="eastAsia"/>
          <w:color w:val="auto"/>
          <w:szCs w:val="24"/>
          <w:highlight w:val="none"/>
        </w:rPr>
        <w:tab/>
      </w:r>
      <w:r>
        <w:rPr>
          <w:rFonts w:hint="eastAsia"/>
          <w:color w:val="auto"/>
          <w:szCs w:val="24"/>
          <w:highlight w:val="none"/>
        </w:rPr>
        <w:t>项目需求</w:t>
      </w:r>
    </w:p>
    <w:p>
      <w:pPr>
        <w:pStyle w:val="41"/>
        <w:rPr>
          <w:color w:val="auto"/>
          <w:szCs w:val="24"/>
          <w:highlight w:val="none"/>
        </w:rPr>
      </w:pPr>
      <w:r>
        <w:rPr>
          <w:rFonts w:hint="eastAsia"/>
          <w:color w:val="auto"/>
          <w:szCs w:val="24"/>
          <w:highlight w:val="none"/>
        </w:rPr>
        <w:t>5.</w:t>
      </w:r>
      <w:r>
        <w:rPr>
          <w:rFonts w:hint="eastAsia"/>
          <w:color w:val="auto"/>
          <w:szCs w:val="24"/>
          <w:highlight w:val="none"/>
        </w:rPr>
        <w:tab/>
      </w:r>
      <w:r>
        <w:rPr>
          <w:rFonts w:hint="eastAsia"/>
          <w:color w:val="auto"/>
          <w:szCs w:val="24"/>
          <w:highlight w:val="none"/>
        </w:rPr>
        <w:t>评审标准</w:t>
      </w:r>
    </w:p>
    <w:p>
      <w:pPr>
        <w:pStyle w:val="41"/>
        <w:rPr>
          <w:color w:val="auto"/>
          <w:szCs w:val="24"/>
          <w:highlight w:val="none"/>
        </w:rPr>
      </w:pPr>
      <w:r>
        <w:rPr>
          <w:rFonts w:hint="eastAsia"/>
          <w:color w:val="auto"/>
          <w:szCs w:val="24"/>
          <w:highlight w:val="none"/>
        </w:rPr>
        <w:t>6.</w:t>
      </w:r>
      <w:r>
        <w:rPr>
          <w:rFonts w:hint="eastAsia"/>
          <w:color w:val="auto"/>
          <w:szCs w:val="24"/>
          <w:highlight w:val="none"/>
        </w:rPr>
        <w:tab/>
      </w:r>
      <w:r>
        <w:rPr>
          <w:rFonts w:hint="eastAsia"/>
          <w:color w:val="auto"/>
          <w:szCs w:val="24"/>
          <w:highlight w:val="none"/>
        </w:rPr>
        <w:t>投标文件格式</w:t>
      </w:r>
    </w:p>
    <w:p>
      <w:pPr>
        <w:pStyle w:val="41"/>
        <w:rPr>
          <w:color w:val="auto"/>
          <w:szCs w:val="24"/>
          <w:highlight w:val="none"/>
        </w:rPr>
      </w:pPr>
      <w:r>
        <w:rPr>
          <w:rFonts w:hint="eastAsia"/>
          <w:color w:val="auto"/>
          <w:szCs w:val="24"/>
          <w:highlight w:val="none"/>
        </w:rPr>
        <w:t>请仔细检查招标文件是否齐全，如有缺漏请立即与代理机构联系解决。</w:t>
      </w:r>
    </w:p>
    <w:p>
      <w:pPr>
        <w:pStyle w:val="41"/>
        <w:rPr>
          <w:color w:val="auto"/>
          <w:szCs w:val="24"/>
          <w:highlight w:val="none"/>
        </w:rPr>
      </w:pPr>
      <w:r>
        <w:rPr>
          <w:rFonts w:hint="eastAsia"/>
          <w:color w:val="auto"/>
          <w:szCs w:val="24"/>
          <w:highlight w:val="none"/>
        </w:rPr>
        <w:t>1.2.2</w:t>
      </w:r>
      <w:r>
        <w:rPr>
          <w:rFonts w:hint="eastAsia"/>
          <w:color w:val="auto"/>
          <w:szCs w:val="24"/>
          <w:highlight w:val="none"/>
        </w:rPr>
        <w:tab/>
      </w:r>
      <w:r>
        <w:rPr>
          <w:rFonts w:hint="eastAsia"/>
          <w:color w:val="auto"/>
          <w:szCs w:val="24"/>
          <w:highlight w:val="none"/>
        </w:rPr>
        <w:t>招标文件的澄清及修改</w:t>
      </w:r>
    </w:p>
    <w:p>
      <w:pPr>
        <w:pStyle w:val="41"/>
        <w:rPr>
          <w:color w:val="auto"/>
          <w:szCs w:val="24"/>
          <w:highlight w:val="none"/>
        </w:rPr>
      </w:pPr>
      <w:r>
        <w:rPr>
          <w:rFonts w:hint="eastAsia"/>
          <w:color w:val="auto"/>
          <w:szCs w:val="24"/>
          <w:highlight w:val="none"/>
        </w:rPr>
        <w:t>1.</w:t>
      </w:r>
      <w:r>
        <w:rPr>
          <w:rFonts w:hint="eastAsia"/>
          <w:color w:val="auto"/>
          <w:szCs w:val="24"/>
          <w:highlight w:val="none"/>
        </w:rPr>
        <w:tab/>
      </w:r>
      <w:r>
        <w:rPr>
          <w:rFonts w:hint="eastAsia"/>
          <w:color w:val="auto"/>
          <w:szCs w:val="24"/>
          <w:highlight w:val="none"/>
        </w:rPr>
        <w:t>任何要求对招标文件进行澄清的投标人，均应在提交首次投标文件截止时间十日前按公开招标公告中的通讯地址，以书面形式通知采购人、代理机构。提交首次投标文件截止之日前，采购人、代理机构可以对已发出的招标文件进行必要的澄清或者修改，澄清或者修改的内容作为招标文件的组成部分。澄清或者修改的内容可能影响投标文件编制的，采购人、代理机构将在提交首次投标文件截止时间至少15日前，在新疆政府采购网通知所有获取招标文件的投标人。不足15日的，</w:t>
      </w:r>
      <w:r>
        <w:rPr>
          <w:rFonts w:hint="eastAsia" w:ascii="仿宋" w:hAnsi="仿宋"/>
          <w:color w:val="auto"/>
          <w:szCs w:val="24"/>
          <w:highlight w:val="none"/>
        </w:rPr>
        <w:t>采购人、代理机构</w:t>
      </w:r>
      <w:r>
        <w:rPr>
          <w:rFonts w:hint="eastAsia"/>
          <w:color w:val="auto"/>
          <w:szCs w:val="24"/>
          <w:highlight w:val="none"/>
        </w:rPr>
        <w:t>应当顺延提交首次投标文件截止时间。</w:t>
      </w:r>
    </w:p>
    <w:p>
      <w:pPr>
        <w:pStyle w:val="41"/>
        <w:rPr>
          <w:color w:val="auto"/>
          <w:szCs w:val="24"/>
          <w:highlight w:val="none"/>
        </w:rPr>
      </w:pPr>
      <w:r>
        <w:rPr>
          <w:rFonts w:hint="eastAsia"/>
          <w:color w:val="auto"/>
          <w:szCs w:val="24"/>
          <w:highlight w:val="none"/>
        </w:rPr>
        <w:t>1.3</w:t>
      </w:r>
      <w:r>
        <w:rPr>
          <w:rFonts w:hint="eastAsia"/>
          <w:color w:val="auto"/>
          <w:szCs w:val="24"/>
          <w:highlight w:val="none"/>
        </w:rPr>
        <w:tab/>
      </w:r>
      <w:r>
        <w:rPr>
          <w:rFonts w:hint="eastAsia"/>
          <w:color w:val="auto"/>
          <w:szCs w:val="24"/>
          <w:highlight w:val="none"/>
        </w:rPr>
        <w:t>投标文件的递交及编制</w:t>
      </w:r>
    </w:p>
    <w:p>
      <w:pPr>
        <w:pStyle w:val="41"/>
        <w:rPr>
          <w:color w:val="auto"/>
          <w:szCs w:val="24"/>
          <w:highlight w:val="none"/>
        </w:rPr>
      </w:pPr>
      <w:r>
        <w:rPr>
          <w:rFonts w:hint="eastAsia"/>
          <w:color w:val="auto"/>
          <w:szCs w:val="24"/>
          <w:highlight w:val="none"/>
        </w:rPr>
        <w:t>1.3.1</w:t>
      </w:r>
      <w:r>
        <w:rPr>
          <w:rFonts w:hint="eastAsia"/>
          <w:color w:val="auto"/>
          <w:szCs w:val="24"/>
          <w:highlight w:val="none"/>
        </w:rPr>
        <w:tab/>
      </w:r>
      <w:r>
        <w:rPr>
          <w:rFonts w:hint="eastAsia"/>
          <w:color w:val="auto"/>
          <w:szCs w:val="24"/>
          <w:highlight w:val="none"/>
        </w:rPr>
        <w:t>本项目采用不见面开标方式，各投标单位需上传加密投标文件，投标文件内容详见第七章“投标文件格式”</w:t>
      </w:r>
    </w:p>
    <w:p>
      <w:pPr>
        <w:pStyle w:val="41"/>
        <w:rPr>
          <w:color w:val="auto"/>
          <w:szCs w:val="24"/>
          <w:highlight w:val="none"/>
        </w:rPr>
      </w:pPr>
      <w:r>
        <w:rPr>
          <w:rFonts w:hint="eastAsia"/>
          <w:color w:val="auto"/>
          <w:szCs w:val="24"/>
          <w:highlight w:val="none"/>
        </w:rPr>
        <w:t>1.3.2</w:t>
      </w:r>
      <w:r>
        <w:rPr>
          <w:rFonts w:hint="eastAsia"/>
          <w:color w:val="auto"/>
          <w:szCs w:val="24"/>
          <w:highlight w:val="none"/>
        </w:rPr>
        <w:tab/>
      </w:r>
      <w:r>
        <w:rPr>
          <w:rFonts w:hint="eastAsia"/>
          <w:color w:val="auto"/>
          <w:szCs w:val="24"/>
          <w:highlight w:val="none"/>
        </w:rPr>
        <w:t>投标人应当按照招标文件的要求编制投标文件，并对其提交的投标文件的真实性、合法性承担法律责任。</w:t>
      </w:r>
    </w:p>
    <w:p>
      <w:pPr>
        <w:pStyle w:val="41"/>
        <w:rPr>
          <w:color w:val="auto"/>
          <w:szCs w:val="24"/>
          <w:highlight w:val="none"/>
        </w:rPr>
      </w:pPr>
      <w:r>
        <w:rPr>
          <w:rFonts w:hint="eastAsia"/>
          <w:color w:val="auto"/>
          <w:szCs w:val="24"/>
          <w:highlight w:val="none"/>
        </w:rPr>
        <w:t>1.3.3</w:t>
      </w:r>
      <w:r>
        <w:rPr>
          <w:rFonts w:hint="eastAsia"/>
          <w:color w:val="auto"/>
          <w:szCs w:val="24"/>
          <w:highlight w:val="none"/>
        </w:rPr>
        <w:tab/>
      </w:r>
      <w:r>
        <w:rPr>
          <w:rFonts w:hint="eastAsia"/>
          <w:color w:val="auto"/>
          <w:szCs w:val="24"/>
          <w:highlight w:val="none"/>
        </w:rPr>
        <w:t>投标文件的语言及度量衡单位</w:t>
      </w:r>
    </w:p>
    <w:p>
      <w:pPr>
        <w:pStyle w:val="41"/>
        <w:rPr>
          <w:color w:val="auto"/>
          <w:szCs w:val="24"/>
          <w:highlight w:val="none"/>
        </w:rPr>
      </w:pPr>
      <w:r>
        <w:rPr>
          <w:rFonts w:hint="eastAsia"/>
          <w:color w:val="auto"/>
          <w:szCs w:val="24"/>
          <w:highlight w:val="none"/>
        </w:rPr>
        <w:t>1.</w:t>
      </w:r>
      <w:r>
        <w:rPr>
          <w:rFonts w:hint="eastAsia"/>
          <w:color w:val="auto"/>
          <w:szCs w:val="24"/>
          <w:highlight w:val="none"/>
        </w:rPr>
        <w:tab/>
      </w:r>
      <w:r>
        <w:rPr>
          <w:rFonts w:hint="eastAsia"/>
          <w:color w:val="auto"/>
          <w:szCs w:val="24"/>
          <w:highlight w:val="none"/>
        </w:rPr>
        <w:t>投标人提交的投标文件以及投标人与采购人、代理机构就有关招标活动的所有来往通知、函件和文件均应使用简体中文。</w:t>
      </w:r>
    </w:p>
    <w:p>
      <w:pPr>
        <w:pStyle w:val="41"/>
        <w:rPr>
          <w:color w:val="auto"/>
          <w:szCs w:val="24"/>
          <w:highlight w:val="none"/>
        </w:rPr>
      </w:pPr>
      <w:r>
        <w:rPr>
          <w:rFonts w:hint="eastAsia"/>
          <w:color w:val="auto"/>
          <w:szCs w:val="24"/>
          <w:highlight w:val="none"/>
        </w:rPr>
        <w:t>2.</w:t>
      </w:r>
      <w:r>
        <w:rPr>
          <w:rFonts w:hint="eastAsia"/>
          <w:color w:val="auto"/>
          <w:szCs w:val="24"/>
          <w:highlight w:val="none"/>
        </w:rPr>
        <w:tab/>
      </w:r>
      <w:r>
        <w:rPr>
          <w:rFonts w:hint="eastAsia"/>
          <w:color w:val="auto"/>
          <w:szCs w:val="24"/>
          <w:highlight w:val="none"/>
        </w:rPr>
        <w:t>除技术性能另有规定外，投标文件所使用的度量衡单位，均须采用国家法定计量单位。</w:t>
      </w:r>
    </w:p>
    <w:p>
      <w:pPr>
        <w:pStyle w:val="41"/>
        <w:rPr>
          <w:color w:val="auto"/>
          <w:szCs w:val="24"/>
          <w:highlight w:val="none"/>
        </w:rPr>
      </w:pPr>
      <w:r>
        <w:rPr>
          <w:rFonts w:hint="eastAsia"/>
          <w:color w:val="auto"/>
          <w:szCs w:val="24"/>
          <w:highlight w:val="none"/>
        </w:rPr>
        <w:t>1.3.4</w:t>
      </w:r>
      <w:r>
        <w:rPr>
          <w:rFonts w:hint="eastAsia"/>
          <w:color w:val="auto"/>
          <w:szCs w:val="24"/>
          <w:highlight w:val="none"/>
        </w:rPr>
        <w:tab/>
      </w:r>
      <w:r>
        <w:rPr>
          <w:rFonts w:hint="eastAsia"/>
          <w:color w:val="auto"/>
          <w:szCs w:val="24"/>
          <w:highlight w:val="none"/>
        </w:rPr>
        <w:t>投标文件构成</w:t>
      </w:r>
    </w:p>
    <w:p>
      <w:pPr>
        <w:pStyle w:val="41"/>
        <w:rPr>
          <w:color w:val="auto"/>
          <w:szCs w:val="24"/>
          <w:highlight w:val="none"/>
        </w:rPr>
      </w:pPr>
      <w:r>
        <w:rPr>
          <w:rFonts w:hint="eastAsia"/>
          <w:color w:val="auto"/>
          <w:szCs w:val="24"/>
          <w:highlight w:val="none"/>
        </w:rPr>
        <w:t>1.</w:t>
      </w:r>
      <w:r>
        <w:rPr>
          <w:rFonts w:hint="eastAsia"/>
          <w:color w:val="auto"/>
          <w:szCs w:val="24"/>
          <w:highlight w:val="none"/>
        </w:rPr>
        <w:tab/>
      </w:r>
      <w:r>
        <w:rPr>
          <w:rFonts w:hint="eastAsia"/>
          <w:color w:val="auto"/>
          <w:szCs w:val="24"/>
          <w:highlight w:val="none"/>
        </w:rPr>
        <w:t>投标人应该按照招标文件的要求编写投标文件。</w:t>
      </w:r>
    </w:p>
    <w:p>
      <w:pPr>
        <w:pStyle w:val="41"/>
        <w:rPr>
          <w:color w:val="auto"/>
          <w:szCs w:val="24"/>
          <w:highlight w:val="none"/>
        </w:rPr>
      </w:pPr>
      <w:r>
        <w:rPr>
          <w:rFonts w:hint="eastAsia"/>
          <w:color w:val="auto"/>
          <w:szCs w:val="24"/>
          <w:highlight w:val="none"/>
        </w:rPr>
        <w:t>2.</w:t>
      </w:r>
      <w:r>
        <w:rPr>
          <w:rFonts w:hint="eastAsia"/>
          <w:color w:val="auto"/>
          <w:szCs w:val="24"/>
          <w:highlight w:val="none"/>
        </w:rPr>
        <w:tab/>
      </w:r>
      <w:r>
        <w:rPr>
          <w:rFonts w:hint="eastAsia"/>
          <w:color w:val="auto"/>
          <w:szCs w:val="24"/>
          <w:highlight w:val="none"/>
        </w:rPr>
        <w:t>投标人应将投标文件按顺序装订成册，并编制投标文件资料目录。</w:t>
      </w:r>
    </w:p>
    <w:p>
      <w:pPr>
        <w:pStyle w:val="41"/>
        <w:rPr>
          <w:color w:val="auto"/>
          <w:szCs w:val="24"/>
          <w:highlight w:val="none"/>
        </w:rPr>
      </w:pPr>
      <w:r>
        <w:rPr>
          <w:rFonts w:hint="eastAsia"/>
          <w:color w:val="auto"/>
          <w:szCs w:val="24"/>
          <w:highlight w:val="none"/>
        </w:rPr>
        <w:t>1.3.5</w:t>
      </w:r>
      <w:r>
        <w:rPr>
          <w:rFonts w:hint="eastAsia"/>
          <w:color w:val="auto"/>
          <w:szCs w:val="24"/>
          <w:highlight w:val="none"/>
        </w:rPr>
        <w:tab/>
      </w:r>
      <w:r>
        <w:rPr>
          <w:rFonts w:hint="eastAsia"/>
          <w:color w:val="auto"/>
          <w:szCs w:val="24"/>
          <w:highlight w:val="none"/>
        </w:rPr>
        <w:t>证明投标人资格及符合招标文件规定的文件</w:t>
      </w:r>
    </w:p>
    <w:p>
      <w:pPr>
        <w:pStyle w:val="41"/>
        <w:rPr>
          <w:color w:val="auto"/>
          <w:szCs w:val="24"/>
          <w:highlight w:val="none"/>
        </w:rPr>
      </w:pPr>
      <w:r>
        <w:rPr>
          <w:rFonts w:hint="eastAsia"/>
          <w:color w:val="auto"/>
          <w:szCs w:val="24"/>
          <w:highlight w:val="none"/>
        </w:rPr>
        <w:t>1.</w:t>
      </w:r>
      <w:r>
        <w:rPr>
          <w:rFonts w:hint="eastAsia"/>
          <w:color w:val="auto"/>
          <w:szCs w:val="24"/>
          <w:highlight w:val="none"/>
        </w:rPr>
        <w:tab/>
      </w:r>
      <w:r>
        <w:rPr>
          <w:rFonts w:hint="eastAsia"/>
          <w:color w:val="auto"/>
          <w:szCs w:val="24"/>
          <w:highlight w:val="none"/>
        </w:rPr>
        <w:t>投标人应按要求提交资格证明文件及符合招标文件规定的文件。</w:t>
      </w:r>
    </w:p>
    <w:p>
      <w:pPr>
        <w:pStyle w:val="41"/>
        <w:rPr>
          <w:color w:val="auto"/>
          <w:szCs w:val="24"/>
          <w:highlight w:val="none"/>
        </w:rPr>
      </w:pPr>
      <w:r>
        <w:rPr>
          <w:rFonts w:hint="eastAsia"/>
          <w:color w:val="auto"/>
          <w:szCs w:val="24"/>
          <w:highlight w:val="none"/>
        </w:rPr>
        <w:t>2.</w:t>
      </w:r>
      <w:r>
        <w:rPr>
          <w:rFonts w:hint="eastAsia"/>
          <w:color w:val="auto"/>
          <w:szCs w:val="24"/>
          <w:highlight w:val="none"/>
        </w:rPr>
        <w:tab/>
      </w:r>
      <w:r>
        <w:rPr>
          <w:rFonts w:hint="eastAsia"/>
          <w:color w:val="auto"/>
          <w:szCs w:val="24"/>
          <w:highlight w:val="none"/>
        </w:rPr>
        <w:t>投标人除必须具有履行合同所需提供的服务的能力外，还必须具备相应的财务、技术方面的能力。</w:t>
      </w:r>
    </w:p>
    <w:p>
      <w:pPr>
        <w:pStyle w:val="41"/>
        <w:rPr>
          <w:color w:val="auto"/>
          <w:szCs w:val="24"/>
          <w:highlight w:val="none"/>
        </w:rPr>
      </w:pPr>
      <w:r>
        <w:rPr>
          <w:rFonts w:hint="eastAsia"/>
          <w:color w:val="auto"/>
          <w:szCs w:val="24"/>
          <w:highlight w:val="none"/>
        </w:rPr>
        <w:t>3.</w:t>
      </w:r>
      <w:r>
        <w:rPr>
          <w:rFonts w:hint="eastAsia"/>
          <w:color w:val="auto"/>
          <w:szCs w:val="24"/>
          <w:highlight w:val="none"/>
        </w:rPr>
        <w:tab/>
      </w:r>
      <w:r>
        <w:rPr>
          <w:rFonts w:hint="eastAsia"/>
          <w:color w:val="auto"/>
          <w:szCs w:val="24"/>
          <w:highlight w:val="none"/>
        </w:rPr>
        <w:t>投标人应按本招标文件提供的报价表格式进行填报，总体格式不得更改，并逐项写明指定项目的产品报价（单位：元），每一分项只允许有一个报价，任何有选择的报价将不予接受。</w:t>
      </w:r>
    </w:p>
    <w:p>
      <w:pPr>
        <w:pStyle w:val="41"/>
        <w:rPr>
          <w:color w:val="auto"/>
          <w:szCs w:val="24"/>
          <w:highlight w:val="none"/>
        </w:rPr>
      </w:pPr>
      <w:r>
        <w:rPr>
          <w:color w:val="auto"/>
          <w:szCs w:val="24"/>
          <w:highlight w:val="none"/>
        </w:rPr>
        <w:t>4. 开标时，投标文件中《报价一览表》内容与《</w:t>
      </w:r>
      <w:r>
        <w:rPr>
          <w:rFonts w:hint="eastAsia"/>
          <w:color w:val="auto"/>
          <w:szCs w:val="24"/>
          <w:highlight w:val="none"/>
        </w:rPr>
        <w:t>报价清单明细表</w:t>
      </w:r>
      <w:r>
        <w:rPr>
          <w:color w:val="auto"/>
          <w:szCs w:val="24"/>
          <w:highlight w:val="none"/>
        </w:rPr>
        <w:t>》内容不一致的，以《报价一览表》为准。大写金额和小写金额不一致的，以大写金额为准；总价金额与单价汇总金额不一致的，以单价金额计算结果为准；单价金额小数点有明显错位的，应以总价为准，并修改单价；对不同文字文本投标文件的解释发生异议的，以中文文本为准。按照以上原则对错误报价的修正，供应商应签字确认。</w:t>
      </w:r>
    </w:p>
    <w:p>
      <w:pPr>
        <w:pStyle w:val="41"/>
        <w:rPr>
          <w:color w:val="auto"/>
          <w:szCs w:val="24"/>
          <w:highlight w:val="none"/>
        </w:rPr>
      </w:pPr>
      <w:r>
        <w:rPr>
          <w:color w:val="auto"/>
          <w:szCs w:val="24"/>
          <w:highlight w:val="none"/>
        </w:rPr>
        <w:t>5</w:t>
      </w:r>
      <w:r>
        <w:rPr>
          <w:rFonts w:hint="eastAsia"/>
          <w:color w:val="auto"/>
          <w:szCs w:val="24"/>
          <w:highlight w:val="none"/>
        </w:rPr>
        <w:t>.</w:t>
      </w:r>
      <w:r>
        <w:rPr>
          <w:rFonts w:hint="eastAsia"/>
          <w:color w:val="auto"/>
          <w:szCs w:val="24"/>
          <w:highlight w:val="none"/>
        </w:rPr>
        <w:tab/>
      </w:r>
      <w:r>
        <w:rPr>
          <w:rFonts w:hint="eastAsia"/>
          <w:color w:val="auto"/>
          <w:szCs w:val="24"/>
          <w:highlight w:val="none"/>
        </w:rPr>
        <w:t>采购人需求的根据合同规定中标人应承担的服务，如提供技术援助、培训和其他类似的义务。</w:t>
      </w:r>
    </w:p>
    <w:p>
      <w:pPr>
        <w:pStyle w:val="41"/>
        <w:rPr>
          <w:color w:val="auto"/>
          <w:szCs w:val="24"/>
          <w:highlight w:val="none"/>
        </w:rPr>
      </w:pPr>
      <w:r>
        <w:rPr>
          <w:color w:val="auto"/>
          <w:szCs w:val="24"/>
          <w:highlight w:val="none"/>
        </w:rPr>
        <w:t>6</w:t>
      </w:r>
      <w:r>
        <w:rPr>
          <w:rFonts w:hint="eastAsia"/>
          <w:color w:val="auto"/>
          <w:szCs w:val="24"/>
          <w:highlight w:val="none"/>
        </w:rPr>
        <w:t>.</w:t>
      </w:r>
      <w:r>
        <w:rPr>
          <w:rFonts w:hint="eastAsia"/>
          <w:color w:val="auto"/>
          <w:szCs w:val="24"/>
          <w:highlight w:val="none"/>
        </w:rPr>
        <w:tab/>
      </w:r>
      <w:r>
        <w:rPr>
          <w:rFonts w:hint="eastAsia"/>
          <w:color w:val="auto"/>
          <w:szCs w:val="24"/>
          <w:highlight w:val="none"/>
        </w:rPr>
        <w:t>有关费用处理</w:t>
      </w:r>
    </w:p>
    <w:p>
      <w:pPr>
        <w:pStyle w:val="41"/>
        <w:rPr>
          <w:color w:val="auto"/>
          <w:szCs w:val="24"/>
          <w:highlight w:val="none"/>
        </w:rPr>
      </w:pPr>
      <w:r>
        <w:rPr>
          <w:rFonts w:hint="eastAsia"/>
          <w:color w:val="auto"/>
          <w:szCs w:val="24"/>
          <w:highlight w:val="none"/>
        </w:rPr>
        <w:t>本项目预算金额为固定金额，包括投标人所提供货物/服务的运输费、人员费用、设备费用、税费及其他有关的为完成本项目发生的所有费用，招标文件中另有规定的除外。</w:t>
      </w:r>
    </w:p>
    <w:p>
      <w:pPr>
        <w:spacing w:line="400" w:lineRule="exact"/>
        <w:ind w:firstLine="480" w:firstLineChars="200"/>
        <w:rPr>
          <w:b/>
          <w:bCs/>
          <w:color w:val="auto"/>
          <w:highlight w:val="none"/>
        </w:rPr>
      </w:pPr>
      <w:r>
        <w:rPr>
          <w:rFonts w:hint="eastAsia"/>
          <w:color w:val="auto"/>
          <w:highlight w:val="none"/>
        </w:rPr>
        <w:t>本项目的预算金额（元）：</w:t>
      </w:r>
      <w:r>
        <w:rPr>
          <w:rFonts w:hint="eastAsia" w:cs="宋体"/>
          <w:color w:val="auto"/>
          <w:highlight w:val="none"/>
          <w:lang w:val="en-US" w:eastAsia="zh-CN"/>
        </w:rPr>
        <w:t>6224804.61</w:t>
      </w:r>
      <w:r>
        <w:rPr>
          <w:rFonts w:hint="eastAsia"/>
          <w:color w:val="auto"/>
          <w:highlight w:val="none"/>
        </w:rPr>
        <w:t>(等于或超出预算的报价为无效报价)招标文件中另有规定的按规定执行。</w:t>
      </w:r>
    </w:p>
    <w:p>
      <w:pPr>
        <w:pStyle w:val="41"/>
        <w:rPr>
          <w:color w:val="auto"/>
          <w:szCs w:val="24"/>
          <w:highlight w:val="none"/>
        </w:rPr>
      </w:pPr>
      <w:r>
        <w:rPr>
          <w:rFonts w:hint="eastAsia"/>
          <w:color w:val="auto"/>
          <w:szCs w:val="24"/>
          <w:highlight w:val="none"/>
        </w:rPr>
        <w:t>1.3.6</w:t>
      </w:r>
      <w:r>
        <w:rPr>
          <w:rFonts w:hint="eastAsia"/>
          <w:color w:val="auto"/>
          <w:szCs w:val="24"/>
          <w:highlight w:val="none"/>
        </w:rPr>
        <w:tab/>
      </w:r>
      <w:r>
        <w:rPr>
          <w:rFonts w:hint="eastAsia"/>
          <w:color w:val="auto"/>
          <w:szCs w:val="24"/>
          <w:highlight w:val="none"/>
        </w:rPr>
        <w:t>服务承诺及售后服务机构、人员的情况介绍</w:t>
      </w:r>
    </w:p>
    <w:p>
      <w:pPr>
        <w:pStyle w:val="41"/>
        <w:rPr>
          <w:color w:val="auto"/>
          <w:szCs w:val="24"/>
          <w:highlight w:val="none"/>
        </w:rPr>
      </w:pPr>
      <w:r>
        <w:rPr>
          <w:rFonts w:hint="eastAsia"/>
          <w:color w:val="auto"/>
          <w:szCs w:val="24"/>
          <w:highlight w:val="none"/>
        </w:rPr>
        <w:t>1.</w:t>
      </w:r>
      <w:r>
        <w:rPr>
          <w:rFonts w:hint="eastAsia"/>
          <w:color w:val="auto"/>
          <w:szCs w:val="24"/>
          <w:highlight w:val="none"/>
        </w:rPr>
        <w:tab/>
      </w:r>
      <w:r>
        <w:rPr>
          <w:rFonts w:hint="eastAsia"/>
          <w:color w:val="auto"/>
          <w:szCs w:val="24"/>
          <w:highlight w:val="none"/>
        </w:rPr>
        <w:t>投标人的服务承诺应按不低于招标文件中商务要求的标准。</w:t>
      </w:r>
    </w:p>
    <w:p>
      <w:pPr>
        <w:pStyle w:val="41"/>
        <w:rPr>
          <w:color w:val="auto"/>
          <w:szCs w:val="24"/>
          <w:highlight w:val="none"/>
        </w:rPr>
      </w:pPr>
      <w:r>
        <w:rPr>
          <w:rFonts w:hint="eastAsia"/>
          <w:color w:val="auto"/>
          <w:szCs w:val="24"/>
          <w:highlight w:val="none"/>
        </w:rPr>
        <w:t>2.</w:t>
      </w:r>
      <w:r>
        <w:rPr>
          <w:rFonts w:hint="eastAsia"/>
          <w:color w:val="auto"/>
          <w:szCs w:val="24"/>
          <w:highlight w:val="none"/>
        </w:rPr>
        <w:tab/>
      </w:r>
      <w:r>
        <w:rPr>
          <w:rFonts w:hint="eastAsia"/>
          <w:color w:val="auto"/>
          <w:szCs w:val="24"/>
          <w:highlight w:val="none"/>
        </w:rPr>
        <w:t>提供投标人有关售后服务的管理制度、售后服务机构的分布情况、售后服务人员的数量、素质、技术水平及售后服务的反应能力。</w:t>
      </w:r>
    </w:p>
    <w:p>
      <w:pPr>
        <w:pStyle w:val="41"/>
        <w:rPr>
          <w:color w:val="auto"/>
          <w:szCs w:val="24"/>
          <w:highlight w:val="none"/>
        </w:rPr>
      </w:pPr>
      <w:r>
        <w:rPr>
          <w:rFonts w:hint="eastAsia"/>
          <w:color w:val="auto"/>
          <w:szCs w:val="24"/>
          <w:highlight w:val="none"/>
        </w:rPr>
        <w:t>3.详细阐述响应方案主要组成部分、功能设计、实现思路及关键技术；</w:t>
      </w:r>
    </w:p>
    <w:p>
      <w:pPr>
        <w:pStyle w:val="41"/>
        <w:rPr>
          <w:color w:val="auto"/>
          <w:szCs w:val="24"/>
          <w:highlight w:val="none"/>
        </w:rPr>
      </w:pPr>
      <w:r>
        <w:rPr>
          <w:color w:val="auto"/>
          <w:szCs w:val="24"/>
          <w:highlight w:val="none"/>
        </w:rPr>
        <w:t>4</w:t>
      </w:r>
      <w:r>
        <w:rPr>
          <w:rFonts w:hint="eastAsia"/>
          <w:color w:val="auto"/>
          <w:szCs w:val="24"/>
          <w:highlight w:val="none"/>
        </w:rPr>
        <w:t>.</w:t>
      </w:r>
      <w:r>
        <w:rPr>
          <w:rFonts w:hint="eastAsia"/>
          <w:color w:val="auto"/>
          <w:szCs w:val="24"/>
          <w:highlight w:val="none"/>
        </w:rPr>
        <w:tab/>
      </w:r>
      <w:r>
        <w:rPr>
          <w:rFonts w:hint="eastAsia"/>
          <w:color w:val="auto"/>
          <w:szCs w:val="24"/>
          <w:highlight w:val="none"/>
        </w:rPr>
        <w:t>投标人认为需要的其他技术文件或说明。</w:t>
      </w:r>
    </w:p>
    <w:p>
      <w:pPr>
        <w:pStyle w:val="41"/>
        <w:rPr>
          <w:color w:val="auto"/>
          <w:szCs w:val="24"/>
          <w:highlight w:val="none"/>
        </w:rPr>
      </w:pPr>
      <w:r>
        <w:rPr>
          <w:rFonts w:hint="eastAsia"/>
          <w:color w:val="auto"/>
          <w:szCs w:val="24"/>
          <w:highlight w:val="none"/>
        </w:rPr>
        <w:t>1.3.7投标文件份数和签署</w:t>
      </w:r>
    </w:p>
    <w:p>
      <w:pPr>
        <w:pStyle w:val="41"/>
        <w:rPr>
          <w:color w:val="auto"/>
          <w:szCs w:val="24"/>
          <w:highlight w:val="none"/>
        </w:rPr>
      </w:pPr>
      <w:r>
        <w:rPr>
          <w:color w:val="auto"/>
          <w:szCs w:val="24"/>
          <w:highlight w:val="none"/>
        </w:rPr>
        <w:t>1、份数要求：正本壹份、副本叁份, U盘一份（上传至“政采云”平台的电子投标文件或签字盖章的正本扫描件,若提供签字盖章的正本扫描件，其内容须与上传至“政采云”平台的电子投标文件保持一致），开标后按要求提供纸质版投标文件至招标代理公司处。</w:t>
      </w:r>
    </w:p>
    <w:p>
      <w:pPr>
        <w:pStyle w:val="41"/>
        <w:rPr>
          <w:color w:val="auto"/>
          <w:szCs w:val="24"/>
          <w:highlight w:val="none"/>
        </w:rPr>
      </w:pPr>
      <w:r>
        <w:rPr>
          <w:color w:val="auto"/>
          <w:szCs w:val="24"/>
          <w:highlight w:val="none"/>
        </w:rPr>
        <w:t>2、装订要求：分册装订，投标文件装订成一册，投标文件的装订必须采用死页胶粘本，不允许活页形式装订（非胶粘方式装订的投标文件一律视同活页装订），活页方式装订视为投标无效。</w:t>
      </w:r>
    </w:p>
    <w:p>
      <w:pPr>
        <w:pStyle w:val="41"/>
        <w:rPr>
          <w:color w:val="auto"/>
          <w:szCs w:val="24"/>
          <w:highlight w:val="none"/>
        </w:rPr>
      </w:pPr>
      <w:r>
        <w:rPr>
          <w:color w:val="auto"/>
          <w:szCs w:val="24"/>
          <w:highlight w:val="none"/>
        </w:rPr>
        <w:t>3、投标文件必须正式打印，并严格按招标文件要求的格式、内容装订成册（死页胶粘本），加带封皮、封底，不能插页漏页。凡投标文件不符合招标文件要求，内容不全，资质不全，投标委托手续不全，身份证明文件不全，装订不符合要求的投标文件一律视为废标</w:t>
      </w:r>
    </w:p>
    <w:p>
      <w:pPr>
        <w:pStyle w:val="41"/>
        <w:rPr>
          <w:color w:val="auto"/>
          <w:highlight w:val="none"/>
        </w:rPr>
      </w:pPr>
      <w:r>
        <w:rPr>
          <w:rFonts w:hint="eastAsia"/>
          <w:color w:val="auto"/>
          <w:highlight w:val="none"/>
        </w:rPr>
        <w:t>4、投标文件基本要求：投标编制必须包括招标文件附件规定的内容，应如实填写及逐页加盖投标单位公章；投标文件必须制作成册，按招标文件要求制作。若正本与副本不符，以正本为准。</w:t>
      </w:r>
    </w:p>
    <w:p>
      <w:pPr>
        <w:pStyle w:val="41"/>
        <w:rPr>
          <w:color w:val="auto"/>
          <w:szCs w:val="24"/>
          <w:highlight w:val="none"/>
        </w:rPr>
      </w:pPr>
      <w:r>
        <w:rPr>
          <w:rFonts w:hint="eastAsia"/>
          <w:color w:val="auto"/>
          <w:szCs w:val="24"/>
          <w:highlight w:val="none"/>
        </w:rPr>
        <w:t>1.4</w:t>
      </w:r>
      <w:r>
        <w:rPr>
          <w:rFonts w:hint="eastAsia"/>
          <w:color w:val="auto"/>
          <w:szCs w:val="24"/>
          <w:highlight w:val="none"/>
        </w:rPr>
        <w:tab/>
      </w:r>
      <w:r>
        <w:rPr>
          <w:rFonts w:hint="eastAsia"/>
          <w:color w:val="auto"/>
          <w:szCs w:val="24"/>
          <w:highlight w:val="none"/>
        </w:rPr>
        <w:t>投标文件的递交</w:t>
      </w:r>
    </w:p>
    <w:p>
      <w:pPr>
        <w:ind w:firstLine="480" w:firstLineChars="200"/>
        <w:rPr>
          <w:rFonts w:cs="宋体"/>
          <w:color w:val="auto"/>
          <w:highlight w:val="none"/>
        </w:rPr>
      </w:pPr>
      <w:r>
        <w:rPr>
          <w:rFonts w:hint="eastAsia"/>
          <w:color w:val="auto"/>
          <w:highlight w:val="none"/>
        </w:rPr>
        <w:t xml:space="preserve">1.4.1 </w:t>
      </w:r>
      <w:r>
        <w:rPr>
          <w:rFonts w:hint="eastAsia" w:cs="宋体"/>
          <w:color w:val="auto"/>
          <w:highlight w:val="none"/>
        </w:rPr>
        <w:t>投标人应于2023年</w:t>
      </w:r>
      <w:r>
        <w:rPr>
          <w:rFonts w:hint="eastAsia" w:cs="宋体"/>
          <w:color w:val="auto"/>
          <w:highlight w:val="none"/>
          <w:lang w:val="en-US" w:eastAsia="zh-CN"/>
        </w:rPr>
        <w:t>09</w:t>
      </w:r>
      <w:r>
        <w:rPr>
          <w:rFonts w:hint="eastAsia" w:cs="宋体"/>
          <w:color w:val="auto"/>
          <w:highlight w:val="none"/>
        </w:rPr>
        <w:t>月</w:t>
      </w:r>
      <w:r>
        <w:rPr>
          <w:rFonts w:hint="eastAsia" w:cs="宋体"/>
          <w:color w:val="auto"/>
          <w:highlight w:val="none"/>
          <w:lang w:val="en-US" w:eastAsia="zh-CN"/>
        </w:rPr>
        <w:t>14</w:t>
      </w:r>
      <w:r>
        <w:rPr>
          <w:rFonts w:hint="eastAsia" w:cs="宋体"/>
          <w:color w:val="auto"/>
          <w:highlight w:val="none"/>
        </w:rPr>
        <w:t>日1</w:t>
      </w:r>
      <w:r>
        <w:rPr>
          <w:rFonts w:hint="eastAsia" w:cs="宋体"/>
          <w:color w:val="auto"/>
          <w:highlight w:val="none"/>
          <w:lang w:val="en-US" w:eastAsia="zh-CN"/>
        </w:rPr>
        <w:t>6</w:t>
      </w:r>
      <w:r>
        <w:rPr>
          <w:rFonts w:hint="eastAsia" w:cs="宋体"/>
          <w:color w:val="auto"/>
          <w:highlight w:val="none"/>
        </w:rPr>
        <w:t>:3</w:t>
      </w:r>
      <w:r>
        <w:rPr>
          <w:rFonts w:cs="宋体"/>
          <w:color w:val="auto"/>
          <w:highlight w:val="none"/>
        </w:rPr>
        <w:t>0</w:t>
      </w:r>
      <w:r>
        <w:rPr>
          <w:rFonts w:hint="eastAsia" w:cs="宋体"/>
          <w:color w:val="auto"/>
          <w:highlight w:val="none"/>
        </w:rPr>
        <w:t>时整之前将电子投标文件上传到“政采云”平台。应按照本项目招标文件和政采云平台的要求编制、加密传输投标文件。投标人在使用系统进行投标的过程中遇到涉及平台使用的任何问题，可致电政采云平台技术支持热线咨询，联系方式：95763。</w:t>
      </w:r>
    </w:p>
    <w:p>
      <w:pPr>
        <w:ind w:firstLine="480" w:firstLineChars="200"/>
        <w:rPr>
          <w:rFonts w:cs="宋体"/>
          <w:color w:val="auto"/>
          <w:highlight w:val="none"/>
        </w:rPr>
      </w:pPr>
      <w:r>
        <w:rPr>
          <w:rFonts w:hint="eastAsia" w:cs="宋体"/>
          <w:color w:val="auto"/>
          <w:highlight w:val="none"/>
        </w:rPr>
        <w:t>1.4.2 投标人应当在投标文件提交截止时间前，将生成的“电子加密投标文件”上传递交至“政府采购云平台”。投标文件提交截止时间以后上传提交的投标文件将被“政府采购云平台”拒收。</w:t>
      </w:r>
    </w:p>
    <w:p>
      <w:pPr>
        <w:ind w:firstLine="480" w:firstLineChars="200"/>
        <w:rPr>
          <w:rFonts w:cs="宋体"/>
          <w:color w:val="auto"/>
          <w:highlight w:val="none"/>
        </w:rPr>
      </w:pPr>
      <w:bookmarkStart w:id="24" w:name="_Toc521014785"/>
      <w:bookmarkStart w:id="25" w:name="_Toc503212217"/>
      <w:r>
        <w:rPr>
          <w:rFonts w:hint="eastAsia" w:cs="宋体"/>
          <w:color w:val="auto"/>
          <w:highlight w:val="none"/>
        </w:rPr>
        <w:t>1.4.3投标文件的</w:t>
      </w:r>
      <w:bookmarkEnd w:id="24"/>
      <w:bookmarkEnd w:id="25"/>
      <w:r>
        <w:rPr>
          <w:rFonts w:hint="eastAsia" w:cs="宋体"/>
          <w:color w:val="auto"/>
          <w:highlight w:val="none"/>
        </w:rPr>
        <w:t>准备和解密时间要求</w:t>
      </w:r>
    </w:p>
    <w:p>
      <w:pPr>
        <w:ind w:firstLine="480" w:firstLineChars="200"/>
        <w:rPr>
          <w:rFonts w:cs="宋体"/>
          <w:color w:val="auto"/>
          <w:highlight w:val="none"/>
        </w:rPr>
      </w:pPr>
      <w:r>
        <w:rPr>
          <w:rFonts w:hint="eastAsia" w:cs="宋体"/>
          <w:color w:val="auto"/>
          <w:highlight w:val="none"/>
        </w:rPr>
        <w:t>1本项目实行网上投标，采用电子投标文件。若投标人参与投标，自行承担投标一切费用。</w:t>
      </w:r>
    </w:p>
    <w:p>
      <w:pPr>
        <w:ind w:firstLine="480" w:firstLineChars="200"/>
        <w:rPr>
          <w:rFonts w:cs="宋体"/>
          <w:color w:val="auto"/>
          <w:highlight w:val="none"/>
        </w:rPr>
      </w:pPr>
      <w:r>
        <w:rPr>
          <w:rFonts w:hint="eastAsia" w:cs="宋体"/>
          <w:color w:val="auto"/>
          <w:highlight w:val="none"/>
        </w:rPr>
        <w:t>2各投标人应在开标前应确保成为新疆政府采购网正式注册入库投标人，并完成CA数字证书申领。因未注册入库、未办理CA数字证书等原因造成无法投标或投标失败等后果由投标人自行承担。</w:t>
      </w:r>
    </w:p>
    <w:p>
      <w:pPr>
        <w:ind w:firstLine="480" w:firstLineChars="200"/>
        <w:rPr>
          <w:rFonts w:cs="宋体"/>
          <w:color w:val="auto"/>
          <w:highlight w:val="none"/>
        </w:rPr>
      </w:pPr>
      <w:r>
        <w:rPr>
          <w:rFonts w:hint="eastAsia" w:cs="宋体"/>
          <w:color w:val="auto"/>
          <w:highlight w:val="none"/>
        </w:rPr>
        <w:t>3本项目为电子招投标，投标人需要使用CA加密设备，凡参加本项目须下载附件并填齐相关企业信息，然后发送至政采云公司指定邮箱（xjzcyca@163.com），进行申领CA加密设备。</w:t>
      </w:r>
    </w:p>
    <w:p>
      <w:pPr>
        <w:ind w:firstLine="480" w:firstLineChars="200"/>
        <w:rPr>
          <w:rFonts w:cs="宋体"/>
          <w:color w:val="auto"/>
          <w:highlight w:val="none"/>
        </w:rPr>
      </w:pPr>
      <w:r>
        <w:rPr>
          <w:rFonts w:hint="eastAsia" w:cs="宋体"/>
          <w:color w:val="auto"/>
          <w:highlight w:val="none"/>
        </w:rPr>
        <w:t>4投标人将政采云电子交易客户端下载、安装完成后，可通过账号密码或CA登录客户端进行投标文件制作。在使用政采云投标客户端时，建议使用WIN7及以上操作系统。客户端请至新疆政府采购网（</w:t>
      </w:r>
      <w:r>
        <w:rPr>
          <w:color w:val="auto"/>
          <w:highlight w:val="none"/>
        </w:rPr>
        <w:fldChar w:fldCharType="begin"/>
      </w:r>
      <w:r>
        <w:rPr>
          <w:color w:val="auto"/>
          <w:highlight w:val="none"/>
        </w:rPr>
        <w:instrText xml:space="preserve"> HYPERLINK "http://www.ccgp-xinjiang.gov.cn/" </w:instrText>
      </w:r>
      <w:r>
        <w:rPr>
          <w:color w:val="auto"/>
          <w:highlight w:val="none"/>
        </w:rPr>
        <w:fldChar w:fldCharType="separate"/>
      </w:r>
      <w:r>
        <w:rPr>
          <w:rFonts w:hint="eastAsia" w:cs="宋体"/>
          <w:color w:val="auto"/>
          <w:highlight w:val="none"/>
        </w:rPr>
        <w:t>http://www.ccgp-xinjiang.gov.cn/</w:t>
      </w:r>
      <w:r>
        <w:rPr>
          <w:rFonts w:hint="eastAsia" w:cs="宋体"/>
          <w:color w:val="auto"/>
          <w:highlight w:val="none"/>
        </w:rPr>
        <w:fldChar w:fldCharType="end"/>
      </w:r>
      <w:r>
        <w:rPr>
          <w:rFonts w:hint="eastAsia" w:cs="宋体"/>
          <w:color w:val="auto"/>
          <w:highlight w:val="none"/>
        </w:rPr>
        <w:t>）下载专区查看，如有问题可拨打政采云客户服务热线95763进行咨询。</w:t>
      </w:r>
    </w:p>
    <w:p>
      <w:pPr>
        <w:ind w:firstLine="480" w:firstLineChars="200"/>
        <w:rPr>
          <w:rFonts w:cs="宋体"/>
          <w:color w:val="auto"/>
          <w:highlight w:val="none"/>
        </w:rPr>
      </w:pPr>
      <w:r>
        <w:rPr>
          <w:rFonts w:hint="eastAsia" w:cs="宋体"/>
          <w:color w:val="auto"/>
          <w:highlight w:val="none"/>
        </w:rPr>
        <w:t>5开标时间后30分钟内投标人可以登录“政采云”平台，用“项目采购-开标评标”功能进行解密投标文件。若投标人在规定时间内未按时解密的，视为投标文件撤回。</w:t>
      </w:r>
    </w:p>
    <w:p>
      <w:pPr>
        <w:ind w:firstLine="480" w:firstLineChars="200"/>
        <w:rPr>
          <w:rFonts w:cs="宋体"/>
          <w:color w:val="auto"/>
          <w:highlight w:val="none"/>
        </w:rPr>
      </w:pPr>
      <w:r>
        <w:rPr>
          <w:rFonts w:hint="eastAsia" w:cs="宋体"/>
          <w:color w:val="auto"/>
          <w:highlight w:val="none"/>
        </w:rPr>
        <w:t>6开标时报价签字确认时段不得超过20分钟。</w:t>
      </w:r>
    </w:p>
    <w:p>
      <w:pPr>
        <w:pStyle w:val="44"/>
        <w:spacing w:line="500" w:lineRule="exact"/>
        <w:rPr>
          <w:rFonts w:ascii="宋体" w:cs="宋体"/>
          <w:color w:val="auto"/>
          <w:sz w:val="24"/>
          <w:szCs w:val="24"/>
          <w:highlight w:val="none"/>
        </w:rPr>
      </w:pPr>
      <w:r>
        <w:rPr>
          <w:rFonts w:hint="eastAsia" w:ascii="宋体" w:cs="宋体"/>
          <w:color w:val="auto"/>
          <w:sz w:val="24"/>
          <w:szCs w:val="24"/>
          <w:highlight w:val="none"/>
        </w:rPr>
        <w:t>1.4.4开标及开标程序</w:t>
      </w:r>
    </w:p>
    <w:p>
      <w:pPr>
        <w:pStyle w:val="45"/>
        <w:spacing w:line="500" w:lineRule="exact"/>
        <w:rPr>
          <w:rFonts w:ascii="宋体" w:hAnsi="宋体"/>
          <w:color w:val="auto"/>
          <w:highlight w:val="none"/>
        </w:rPr>
      </w:pPr>
      <w:r>
        <w:rPr>
          <w:rFonts w:hint="eastAsia" w:ascii="宋体" w:hAnsi="宋体"/>
          <w:color w:val="auto"/>
          <w:highlight w:val="none"/>
        </w:rPr>
        <w:t>（一）开标准备</w:t>
      </w:r>
    </w:p>
    <w:p>
      <w:pPr>
        <w:pStyle w:val="45"/>
        <w:spacing w:line="500" w:lineRule="exact"/>
        <w:rPr>
          <w:rFonts w:ascii="宋体" w:hAnsi="宋体"/>
          <w:color w:val="auto"/>
          <w:kern w:val="0"/>
          <w:highlight w:val="none"/>
        </w:rPr>
      </w:pPr>
      <w:r>
        <w:rPr>
          <w:rFonts w:hint="eastAsia" w:ascii="宋体" w:hAnsi="宋体"/>
          <w:color w:val="auto"/>
          <w:kern w:val="0"/>
          <w:highlight w:val="none"/>
        </w:rPr>
        <w:t>招标代理机构将在规定的时间和地点进行开标。（本项目实行网上投标，采用电子投标文件。若投标人参与投标，自行承担投标一切费用；各投标人应在开标前应确保成为新疆政府采购网正式注册入库投标人，并完成CA数字证书申领。因未注册入库、未办理CA数字证书等原因造成无法投标或投标失败等后果由投标人自行承担；投标人将政采云电子交易客户端下载、安装完成后，可通过账号密码或CA登录客户端进行投标文件制作。在使用政采云投标客户端时，建议使用WIN7及以上操作系统。客户端请至新疆政府采购网（</w:t>
      </w:r>
      <w:r>
        <w:rPr>
          <w:color w:val="auto"/>
          <w:highlight w:val="none"/>
        </w:rPr>
        <w:fldChar w:fldCharType="begin"/>
      </w:r>
      <w:r>
        <w:rPr>
          <w:color w:val="auto"/>
          <w:highlight w:val="none"/>
        </w:rPr>
        <w:instrText xml:space="preserve"> HYPERLINK "http://www.ccgp-xinjiang.gov.cn/" </w:instrText>
      </w:r>
      <w:r>
        <w:rPr>
          <w:color w:val="auto"/>
          <w:highlight w:val="none"/>
        </w:rPr>
        <w:fldChar w:fldCharType="separate"/>
      </w:r>
      <w:r>
        <w:rPr>
          <w:rFonts w:hint="eastAsia" w:ascii="宋体" w:hAnsi="宋体"/>
          <w:color w:val="auto"/>
          <w:kern w:val="0"/>
          <w:highlight w:val="none"/>
        </w:rPr>
        <w:t>http://www.ccgp-xinjiang.gov.cn/</w:t>
      </w:r>
      <w:r>
        <w:rPr>
          <w:rFonts w:hint="eastAsia" w:ascii="宋体" w:hAnsi="宋体"/>
          <w:color w:val="auto"/>
          <w:kern w:val="0"/>
          <w:highlight w:val="none"/>
        </w:rPr>
        <w:fldChar w:fldCharType="end"/>
      </w:r>
      <w:r>
        <w:rPr>
          <w:rFonts w:hint="eastAsia" w:ascii="宋体" w:hAnsi="宋体"/>
          <w:color w:val="auto"/>
          <w:kern w:val="0"/>
          <w:highlight w:val="none"/>
        </w:rPr>
        <w:t>）下载专区查看，如有问题可拨打政采云客户服务热线</w:t>
      </w:r>
      <w:r>
        <w:rPr>
          <w:rFonts w:hint="eastAsia" w:hAnsi="宋体"/>
          <w:color w:val="auto"/>
          <w:highlight w:val="none"/>
        </w:rPr>
        <w:t>95763</w:t>
      </w:r>
      <w:r>
        <w:rPr>
          <w:rFonts w:hint="eastAsia" w:ascii="宋体" w:hAnsi="宋体"/>
          <w:color w:val="auto"/>
          <w:kern w:val="0"/>
          <w:highlight w:val="none"/>
        </w:rPr>
        <w:t>进行咨询。）</w:t>
      </w:r>
    </w:p>
    <w:p>
      <w:pPr>
        <w:pStyle w:val="45"/>
        <w:spacing w:line="500" w:lineRule="exact"/>
        <w:rPr>
          <w:rFonts w:ascii="宋体" w:hAnsi="宋体"/>
          <w:color w:val="auto"/>
          <w:kern w:val="0"/>
          <w:highlight w:val="none"/>
        </w:rPr>
      </w:pPr>
      <w:r>
        <w:rPr>
          <w:rFonts w:hint="eastAsia" w:ascii="宋体" w:hAnsi="宋体"/>
          <w:color w:val="auto"/>
          <w:kern w:val="0"/>
          <w:highlight w:val="none"/>
        </w:rPr>
        <w:t>（二） 开标程序：</w:t>
      </w:r>
    </w:p>
    <w:p>
      <w:pPr>
        <w:pStyle w:val="45"/>
        <w:spacing w:line="500" w:lineRule="exact"/>
        <w:rPr>
          <w:rFonts w:ascii="宋体" w:hAnsi="宋体"/>
          <w:color w:val="auto"/>
          <w:kern w:val="0"/>
          <w:highlight w:val="none"/>
        </w:rPr>
      </w:pPr>
      <w:r>
        <w:rPr>
          <w:rFonts w:hint="eastAsia" w:ascii="宋体" w:hAnsi="宋体"/>
          <w:color w:val="auto"/>
          <w:kern w:val="0"/>
          <w:highlight w:val="none"/>
        </w:rPr>
        <w:t>1.开标会由招标代理机构主持；</w:t>
      </w:r>
    </w:p>
    <w:p>
      <w:pPr>
        <w:pStyle w:val="45"/>
        <w:spacing w:line="500" w:lineRule="exact"/>
        <w:rPr>
          <w:rFonts w:ascii="宋体" w:hAnsi="宋体"/>
          <w:color w:val="auto"/>
          <w:kern w:val="0"/>
          <w:highlight w:val="none"/>
        </w:rPr>
      </w:pPr>
      <w:r>
        <w:rPr>
          <w:rFonts w:hint="eastAsia" w:ascii="宋体" w:hAnsi="宋体"/>
          <w:color w:val="auto"/>
          <w:kern w:val="0"/>
          <w:highlight w:val="none"/>
        </w:rPr>
        <w:t>2.</w:t>
      </w:r>
      <w:r>
        <w:rPr>
          <w:rFonts w:hint="eastAsia"/>
          <w:color w:val="auto"/>
          <w:highlight w:val="none"/>
        </w:rPr>
        <w:t xml:space="preserve"> </w:t>
      </w:r>
      <w:r>
        <w:rPr>
          <w:rFonts w:hint="eastAsia" w:ascii="宋体" w:hAnsi="宋体"/>
          <w:color w:val="auto"/>
          <w:kern w:val="0"/>
          <w:highlight w:val="none"/>
        </w:rPr>
        <w:t>投标文件开启时间后</w:t>
      </w:r>
      <w:r>
        <w:rPr>
          <w:rFonts w:ascii="宋体" w:hAnsi="宋体"/>
          <w:color w:val="auto"/>
          <w:kern w:val="0"/>
          <w:highlight w:val="none"/>
        </w:rPr>
        <w:t>30分钟内投标人可以登录“政采云”平台，用“项目采购-开标评标”功能进行解密投标文件。</w:t>
      </w:r>
      <w:r>
        <w:rPr>
          <w:rFonts w:hint="eastAsia" w:ascii="宋体" w:hAnsi="宋体"/>
          <w:color w:val="auto"/>
          <w:kern w:val="0"/>
          <w:highlight w:val="none"/>
        </w:rPr>
        <w:t>投标截止时间招标代理点击开始解密，投标人开始解密，解密时限为30分钟，超出解密时限默认投标人放弃投标；</w:t>
      </w:r>
    </w:p>
    <w:p>
      <w:pPr>
        <w:pStyle w:val="45"/>
        <w:spacing w:line="500" w:lineRule="exact"/>
        <w:rPr>
          <w:rFonts w:ascii="宋体" w:hAnsi="宋体"/>
          <w:color w:val="auto"/>
          <w:kern w:val="0"/>
          <w:highlight w:val="none"/>
        </w:rPr>
      </w:pPr>
      <w:r>
        <w:rPr>
          <w:rFonts w:hint="eastAsia" w:ascii="宋体" w:hAnsi="宋体"/>
          <w:color w:val="auto"/>
          <w:kern w:val="0"/>
          <w:highlight w:val="none"/>
        </w:rPr>
        <w:t>注意事项：</w:t>
      </w:r>
    </w:p>
    <w:p>
      <w:pPr>
        <w:pStyle w:val="45"/>
        <w:spacing w:line="500" w:lineRule="exact"/>
        <w:rPr>
          <w:rFonts w:ascii="宋体" w:hAnsi="宋体"/>
          <w:color w:val="auto"/>
          <w:kern w:val="0"/>
          <w:highlight w:val="none"/>
        </w:rPr>
      </w:pPr>
      <w:r>
        <w:rPr>
          <w:rFonts w:ascii="宋体" w:hAnsi="宋体"/>
          <w:color w:val="auto"/>
          <w:kern w:val="0"/>
          <w:highlight w:val="none"/>
        </w:rPr>
        <w:t>1、请务必确保投标文件制作客户端为最新版本，旧版本可能导致投标文件解密失败。</w:t>
      </w:r>
    </w:p>
    <w:p>
      <w:pPr>
        <w:pStyle w:val="45"/>
        <w:spacing w:line="500" w:lineRule="exact"/>
        <w:rPr>
          <w:rFonts w:ascii="宋体" w:hAnsi="宋体"/>
          <w:color w:val="auto"/>
          <w:kern w:val="0"/>
          <w:highlight w:val="none"/>
        </w:rPr>
      </w:pPr>
      <w:r>
        <w:rPr>
          <w:rFonts w:ascii="宋体" w:hAnsi="宋体"/>
          <w:color w:val="auto"/>
          <w:kern w:val="0"/>
          <w:highlight w:val="none"/>
        </w:rPr>
        <w:t>2、请务必确保投标文件制作时所用的CA锁与投标文件解密时的CA锁为同一把，否则可能导致投标文件解密失败。</w:t>
      </w:r>
    </w:p>
    <w:p>
      <w:pPr>
        <w:pStyle w:val="45"/>
        <w:spacing w:line="500" w:lineRule="exact"/>
        <w:rPr>
          <w:rFonts w:ascii="宋体" w:hAnsi="宋体"/>
          <w:color w:val="auto"/>
          <w:kern w:val="0"/>
          <w:highlight w:val="none"/>
        </w:rPr>
      </w:pPr>
      <w:r>
        <w:rPr>
          <w:rFonts w:hint="eastAsia" w:ascii="宋体" w:hAnsi="宋体"/>
          <w:color w:val="auto"/>
          <w:kern w:val="0"/>
          <w:highlight w:val="none"/>
        </w:rPr>
        <w:t>3.结束解密后代理机构开启投标人投标报价文件，公布报价后投标人对报价开标记录表进行电子签章时限为20分钟。</w:t>
      </w:r>
    </w:p>
    <w:p>
      <w:pPr>
        <w:pStyle w:val="41"/>
        <w:spacing w:line="340" w:lineRule="exact"/>
        <w:rPr>
          <w:color w:val="auto"/>
          <w:szCs w:val="24"/>
          <w:highlight w:val="none"/>
        </w:rPr>
      </w:pPr>
      <w:r>
        <w:rPr>
          <w:rFonts w:hint="eastAsia"/>
          <w:color w:val="auto"/>
          <w:szCs w:val="24"/>
          <w:highlight w:val="none"/>
        </w:rPr>
        <w:t>1.5</w:t>
      </w:r>
      <w:r>
        <w:rPr>
          <w:rFonts w:hint="eastAsia" w:ascii="黑体" w:eastAsia="黑体"/>
          <w:b/>
          <w:color w:val="auto"/>
          <w:highlight w:val="none"/>
        </w:rPr>
        <w:t>招标文件初步评审分为资格性审查和符合性审查</w:t>
      </w:r>
    </w:p>
    <w:p>
      <w:pPr>
        <w:spacing w:line="340" w:lineRule="exact"/>
        <w:ind w:left="1081" w:leftChars="300" w:hanging="361" w:hangingChars="150"/>
        <w:rPr>
          <w:rFonts w:ascii="黑体" w:eastAsia="黑体"/>
          <w:b/>
          <w:color w:val="auto"/>
          <w:highlight w:val="none"/>
        </w:rPr>
      </w:pPr>
      <w:r>
        <w:rPr>
          <w:rFonts w:hint="eastAsia" w:ascii="黑体" w:eastAsia="黑体"/>
          <w:b/>
          <w:color w:val="auto"/>
          <w:highlight w:val="none"/>
        </w:rPr>
        <w:t>资格性审查：</w:t>
      </w:r>
    </w:p>
    <w:tbl>
      <w:tblPr>
        <w:tblStyle w:val="22"/>
        <w:tblW w:w="5000" w:type="pct"/>
        <w:jc w:val="center"/>
        <w:tblLayout w:type="autofit"/>
        <w:tblCellMar>
          <w:top w:w="0" w:type="dxa"/>
          <w:left w:w="15" w:type="dxa"/>
          <w:bottom w:w="0" w:type="dxa"/>
          <w:right w:w="15" w:type="dxa"/>
        </w:tblCellMar>
      </w:tblPr>
      <w:tblGrid>
        <w:gridCol w:w="876"/>
        <w:gridCol w:w="4198"/>
        <w:gridCol w:w="1606"/>
        <w:gridCol w:w="1191"/>
        <w:gridCol w:w="1231"/>
      </w:tblGrid>
      <w:tr>
        <w:tblPrEx>
          <w:tblCellMar>
            <w:top w:w="0" w:type="dxa"/>
            <w:left w:w="15" w:type="dxa"/>
            <w:bottom w:w="0" w:type="dxa"/>
            <w:right w:w="15" w:type="dxa"/>
          </w:tblCellMar>
        </w:tblPrEx>
        <w:trPr>
          <w:trHeight w:val="416" w:hRule="atLeast"/>
          <w:jc w:val="center"/>
        </w:trPr>
        <w:tc>
          <w:tcPr>
            <w:tcW w:w="482" w:type="pct"/>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cs="宋体"/>
                <w:color w:val="auto"/>
                <w:highlight w:val="none"/>
              </w:rPr>
            </w:pPr>
            <w:r>
              <w:rPr>
                <w:rFonts w:cs="宋体"/>
                <w:color w:val="auto"/>
                <w:highlight w:val="none"/>
              </w:rPr>
              <w:t>序号</w:t>
            </w:r>
          </w:p>
        </w:tc>
        <w:tc>
          <w:tcPr>
            <w:tcW w:w="2306" w:type="pct"/>
            <w:vMerge w:val="restart"/>
            <w:tcBorders>
              <w:top w:val="single" w:color="000000" w:sz="4" w:space="0"/>
              <w:left w:val="single" w:color="000000" w:sz="4" w:space="0"/>
            </w:tcBorders>
            <w:vAlign w:val="center"/>
          </w:tcPr>
          <w:p>
            <w:pPr>
              <w:autoSpaceDN w:val="0"/>
              <w:spacing w:line="300" w:lineRule="exact"/>
              <w:jc w:val="center"/>
              <w:textAlignment w:val="center"/>
              <w:rPr>
                <w:rFonts w:cs="宋体"/>
                <w:color w:val="auto"/>
                <w:highlight w:val="none"/>
              </w:rPr>
            </w:pPr>
            <w:r>
              <w:rPr>
                <w:rFonts w:hint="eastAsia" w:cs="宋体"/>
                <w:color w:val="auto"/>
                <w:highlight w:val="none"/>
              </w:rPr>
              <w:t>审查因素</w:t>
            </w:r>
          </w:p>
        </w:tc>
        <w:tc>
          <w:tcPr>
            <w:tcW w:w="882"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r>
              <w:rPr>
                <w:rFonts w:hint="eastAsia" w:cs="宋体"/>
                <w:color w:val="auto"/>
                <w:highlight w:val="none"/>
              </w:rPr>
              <w:t>投标人A</w:t>
            </w:r>
          </w:p>
        </w:tc>
        <w:tc>
          <w:tcPr>
            <w:tcW w:w="654"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r>
              <w:rPr>
                <w:rFonts w:hint="eastAsia" w:cs="宋体"/>
                <w:color w:val="auto"/>
                <w:highlight w:val="none"/>
              </w:rPr>
              <w:t>投标人B</w:t>
            </w:r>
          </w:p>
        </w:tc>
        <w:tc>
          <w:tcPr>
            <w:tcW w:w="675"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cs="宋体"/>
                <w:color w:val="auto"/>
                <w:highlight w:val="none"/>
              </w:rPr>
            </w:pPr>
            <w:r>
              <w:rPr>
                <w:rFonts w:hint="eastAsia" w:cs="宋体"/>
                <w:color w:val="auto"/>
                <w:highlight w:val="none"/>
              </w:rPr>
              <w:t>投标人C</w:t>
            </w:r>
          </w:p>
        </w:tc>
      </w:tr>
      <w:tr>
        <w:tblPrEx>
          <w:tblCellMar>
            <w:top w:w="0" w:type="dxa"/>
            <w:left w:w="15" w:type="dxa"/>
            <w:bottom w:w="0" w:type="dxa"/>
            <w:right w:w="15" w:type="dxa"/>
          </w:tblCellMar>
        </w:tblPrEx>
        <w:trPr>
          <w:trHeight w:val="345" w:hRule="atLeast"/>
          <w:jc w:val="center"/>
        </w:trPr>
        <w:tc>
          <w:tcPr>
            <w:tcW w:w="482" w:type="pct"/>
            <w:vMerge w:val="continue"/>
            <w:tcBorders>
              <w:left w:val="single" w:color="000000" w:sz="4" w:space="0"/>
              <w:bottom w:val="single" w:color="000000" w:sz="4" w:space="0"/>
              <w:right w:val="single" w:color="000000" w:sz="4" w:space="0"/>
            </w:tcBorders>
            <w:vAlign w:val="center"/>
          </w:tcPr>
          <w:p>
            <w:pPr>
              <w:spacing w:line="300" w:lineRule="exact"/>
              <w:rPr>
                <w:rFonts w:cs="宋体"/>
                <w:color w:val="auto"/>
                <w:highlight w:val="none"/>
              </w:rPr>
            </w:pPr>
          </w:p>
        </w:tc>
        <w:tc>
          <w:tcPr>
            <w:tcW w:w="2306" w:type="pct"/>
            <w:vMerge w:val="continue"/>
            <w:tcBorders>
              <w:left w:val="single" w:color="000000" w:sz="4" w:space="0"/>
              <w:bottom w:val="single" w:color="000000" w:sz="4" w:space="0"/>
            </w:tcBorders>
            <w:vAlign w:val="center"/>
          </w:tcPr>
          <w:p>
            <w:pPr>
              <w:autoSpaceDN w:val="0"/>
              <w:spacing w:line="300" w:lineRule="exact"/>
              <w:rPr>
                <w:rFonts w:cs="宋体"/>
                <w:color w:val="auto"/>
                <w:highlight w:val="none"/>
              </w:rPr>
            </w:pPr>
          </w:p>
        </w:tc>
        <w:tc>
          <w:tcPr>
            <w:tcW w:w="882"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r>
              <w:rPr>
                <w:rFonts w:cs="宋体"/>
                <w:color w:val="auto"/>
                <w:highlight w:val="none"/>
              </w:rPr>
              <w:t>是否合格</w:t>
            </w:r>
          </w:p>
        </w:tc>
        <w:tc>
          <w:tcPr>
            <w:tcW w:w="654"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r>
              <w:rPr>
                <w:rFonts w:cs="宋体"/>
                <w:color w:val="auto"/>
                <w:highlight w:val="none"/>
              </w:rPr>
              <w:t>是否合格</w:t>
            </w:r>
          </w:p>
        </w:tc>
        <w:tc>
          <w:tcPr>
            <w:tcW w:w="675"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cs="宋体"/>
                <w:color w:val="auto"/>
                <w:highlight w:val="none"/>
              </w:rPr>
            </w:pPr>
            <w:r>
              <w:rPr>
                <w:rFonts w:cs="宋体"/>
                <w:color w:val="auto"/>
                <w:highlight w:val="none"/>
              </w:rPr>
              <w:t>是否合格</w:t>
            </w:r>
          </w:p>
        </w:tc>
      </w:tr>
      <w:tr>
        <w:tblPrEx>
          <w:tblCellMar>
            <w:top w:w="0" w:type="dxa"/>
            <w:left w:w="15" w:type="dxa"/>
            <w:bottom w:w="0" w:type="dxa"/>
            <w:right w:w="15" w:type="dxa"/>
          </w:tblCellMar>
        </w:tblPrEx>
        <w:trPr>
          <w:trHeight w:val="510" w:hRule="atLeast"/>
          <w:jc w:val="center"/>
        </w:trPr>
        <w:tc>
          <w:tcPr>
            <w:tcW w:w="482"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cs="宋体"/>
                <w:color w:val="auto"/>
                <w:highlight w:val="none"/>
              </w:rPr>
            </w:pPr>
            <w:r>
              <w:rPr>
                <w:rFonts w:cs="宋体"/>
                <w:color w:val="auto"/>
                <w:highlight w:val="none"/>
              </w:rPr>
              <w:t>1</w:t>
            </w:r>
          </w:p>
        </w:tc>
        <w:tc>
          <w:tcPr>
            <w:tcW w:w="2306" w:type="pct"/>
            <w:tcBorders>
              <w:top w:val="single" w:color="000000" w:sz="4" w:space="0"/>
              <w:left w:val="single" w:color="000000" w:sz="4" w:space="0"/>
              <w:bottom w:val="single" w:color="000000" w:sz="4" w:space="0"/>
            </w:tcBorders>
            <w:vAlign w:val="center"/>
          </w:tcPr>
          <w:p>
            <w:pPr>
              <w:autoSpaceDN w:val="0"/>
              <w:spacing w:line="300" w:lineRule="exact"/>
              <w:jc w:val="left"/>
              <w:textAlignment w:val="center"/>
              <w:rPr>
                <w:color w:val="auto"/>
                <w:highlight w:val="none"/>
              </w:rPr>
            </w:pPr>
            <w:r>
              <w:rPr>
                <w:rFonts w:hint="eastAsia"/>
                <w:color w:val="auto"/>
                <w:highlight w:val="none"/>
              </w:rPr>
              <w:t>具备有效经年检的营业执照、开户许可证（或基本存款账户信息）</w:t>
            </w:r>
          </w:p>
        </w:tc>
        <w:tc>
          <w:tcPr>
            <w:tcW w:w="882"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p>
        </w:tc>
        <w:tc>
          <w:tcPr>
            <w:tcW w:w="654"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p>
        </w:tc>
        <w:tc>
          <w:tcPr>
            <w:tcW w:w="675"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cs="宋体"/>
                <w:color w:val="auto"/>
                <w:highlight w:val="none"/>
              </w:rPr>
            </w:pPr>
          </w:p>
        </w:tc>
      </w:tr>
      <w:tr>
        <w:tblPrEx>
          <w:tblCellMar>
            <w:top w:w="0" w:type="dxa"/>
            <w:left w:w="15" w:type="dxa"/>
            <w:bottom w:w="0" w:type="dxa"/>
            <w:right w:w="15" w:type="dxa"/>
          </w:tblCellMar>
        </w:tblPrEx>
        <w:trPr>
          <w:trHeight w:val="510" w:hRule="atLeast"/>
          <w:jc w:val="center"/>
        </w:trPr>
        <w:tc>
          <w:tcPr>
            <w:tcW w:w="482"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cs="宋体"/>
                <w:color w:val="auto"/>
                <w:highlight w:val="none"/>
              </w:rPr>
            </w:pPr>
            <w:r>
              <w:rPr>
                <w:rFonts w:hint="eastAsia" w:cs="宋体"/>
                <w:color w:val="auto"/>
                <w:highlight w:val="none"/>
              </w:rPr>
              <w:t>2</w:t>
            </w:r>
          </w:p>
        </w:tc>
        <w:tc>
          <w:tcPr>
            <w:tcW w:w="2306" w:type="pct"/>
            <w:tcBorders>
              <w:top w:val="single" w:color="000000" w:sz="4" w:space="0"/>
              <w:left w:val="single" w:color="000000" w:sz="4" w:space="0"/>
              <w:bottom w:val="single" w:color="000000" w:sz="4" w:space="0"/>
            </w:tcBorders>
            <w:vAlign w:val="center"/>
          </w:tcPr>
          <w:p>
            <w:pPr>
              <w:pStyle w:val="7"/>
              <w:autoSpaceDN w:val="0"/>
              <w:spacing w:after="0" w:line="300" w:lineRule="exact"/>
              <w:textAlignment w:val="center"/>
              <w:rPr>
                <w:rFonts w:hAnsi="宋体"/>
                <w:color w:val="auto"/>
                <w:highlight w:val="none"/>
              </w:rPr>
            </w:pPr>
            <w:r>
              <w:rPr>
                <w:rFonts w:hint="eastAsia" w:hAnsi="宋体"/>
                <w:color w:val="auto"/>
                <w:highlight w:val="none"/>
              </w:rPr>
              <w:t>是否提供投标保证金缴纳凭证；</w:t>
            </w:r>
          </w:p>
        </w:tc>
        <w:tc>
          <w:tcPr>
            <w:tcW w:w="882"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p>
        </w:tc>
        <w:tc>
          <w:tcPr>
            <w:tcW w:w="654"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p>
        </w:tc>
        <w:tc>
          <w:tcPr>
            <w:tcW w:w="675"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cs="宋体"/>
                <w:color w:val="auto"/>
                <w:highlight w:val="none"/>
              </w:rPr>
            </w:pPr>
          </w:p>
        </w:tc>
      </w:tr>
      <w:tr>
        <w:tblPrEx>
          <w:tblCellMar>
            <w:top w:w="0" w:type="dxa"/>
            <w:left w:w="15" w:type="dxa"/>
            <w:bottom w:w="0" w:type="dxa"/>
            <w:right w:w="15" w:type="dxa"/>
          </w:tblCellMar>
        </w:tblPrEx>
        <w:trPr>
          <w:trHeight w:val="260" w:hRule="atLeast"/>
          <w:jc w:val="center"/>
        </w:trPr>
        <w:tc>
          <w:tcPr>
            <w:tcW w:w="482"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cs="宋体"/>
                <w:color w:val="auto"/>
                <w:highlight w:val="none"/>
              </w:rPr>
            </w:pPr>
            <w:r>
              <w:rPr>
                <w:rFonts w:hint="eastAsia" w:cs="宋体"/>
                <w:color w:val="auto"/>
                <w:highlight w:val="none"/>
              </w:rPr>
              <w:t>3</w:t>
            </w:r>
          </w:p>
        </w:tc>
        <w:tc>
          <w:tcPr>
            <w:tcW w:w="2306" w:type="pct"/>
            <w:tcBorders>
              <w:top w:val="single" w:color="000000" w:sz="4" w:space="0"/>
              <w:left w:val="single" w:color="000000" w:sz="4" w:space="0"/>
              <w:bottom w:val="single" w:color="000000" w:sz="4" w:space="0"/>
            </w:tcBorders>
            <w:vAlign w:val="center"/>
          </w:tcPr>
          <w:p>
            <w:pPr>
              <w:spacing w:line="380" w:lineRule="exact"/>
              <w:rPr>
                <w:rFonts w:cs="宋体"/>
                <w:color w:val="auto"/>
                <w:highlight w:val="none"/>
              </w:rPr>
            </w:pPr>
            <w:r>
              <w:rPr>
                <w:rFonts w:hint="eastAsia"/>
                <w:color w:val="auto"/>
                <w:highlight w:val="none"/>
              </w:rPr>
              <w:t>法定代表人投标需附法人身份证明及加盖公章的身份证复印件；被授权人投标需附被授权人加盖公章的身份证复印件、法人身份证明、授权委托书；</w:t>
            </w:r>
          </w:p>
        </w:tc>
        <w:tc>
          <w:tcPr>
            <w:tcW w:w="882"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p>
        </w:tc>
        <w:tc>
          <w:tcPr>
            <w:tcW w:w="654"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p>
        </w:tc>
        <w:tc>
          <w:tcPr>
            <w:tcW w:w="675" w:type="pct"/>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cs="宋体"/>
                <w:color w:val="auto"/>
                <w:highlight w:val="none"/>
              </w:rPr>
            </w:pPr>
          </w:p>
        </w:tc>
      </w:tr>
      <w:tr>
        <w:tblPrEx>
          <w:tblCellMar>
            <w:top w:w="0" w:type="dxa"/>
            <w:left w:w="15" w:type="dxa"/>
            <w:bottom w:w="0" w:type="dxa"/>
            <w:right w:w="15" w:type="dxa"/>
          </w:tblCellMar>
        </w:tblPrEx>
        <w:trPr>
          <w:trHeight w:val="510" w:hRule="atLeast"/>
          <w:jc w:val="center"/>
        </w:trPr>
        <w:tc>
          <w:tcPr>
            <w:tcW w:w="482"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cs="宋体"/>
                <w:color w:val="auto"/>
                <w:highlight w:val="none"/>
              </w:rPr>
            </w:pPr>
            <w:r>
              <w:rPr>
                <w:rFonts w:hint="eastAsia" w:cs="宋体"/>
                <w:color w:val="auto"/>
                <w:highlight w:val="none"/>
              </w:rPr>
              <w:t>4</w:t>
            </w:r>
          </w:p>
        </w:tc>
        <w:tc>
          <w:tcPr>
            <w:tcW w:w="2306" w:type="pct"/>
            <w:tcBorders>
              <w:top w:val="single" w:color="000000" w:sz="4" w:space="0"/>
              <w:left w:val="single" w:color="000000" w:sz="4" w:space="0"/>
              <w:bottom w:val="single" w:color="000000" w:sz="4" w:space="0"/>
            </w:tcBorders>
            <w:vAlign w:val="center"/>
          </w:tcPr>
          <w:p>
            <w:pPr>
              <w:autoSpaceDN w:val="0"/>
              <w:spacing w:line="300" w:lineRule="exact"/>
              <w:jc w:val="left"/>
              <w:textAlignment w:val="center"/>
              <w:rPr>
                <w:color w:val="auto"/>
                <w:highlight w:val="none"/>
              </w:rPr>
            </w:pPr>
            <w:r>
              <w:rPr>
                <w:rFonts w:hint="eastAsia"/>
                <w:color w:val="auto"/>
                <w:highlight w:val="none"/>
              </w:rPr>
              <w:t>依法缴纳税收的记录证明（近期完税证明，如未缴税需提供其相关税务部门开具的资料证明）</w:t>
            </w:r>
          </w:p>
        </w:tc>
        <w:tc>
          <w:tcPr>
            <w:tcW w:w="882"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p>
        </w:tc>
        <w:tc>
          <w:tcPr>
            <w:tcW w:w="654"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p>
        </w:tc>
        <w:tc>
          <w:tcPr>
            <w:tcW w:w="675"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cs="宋体"/>
                <w:color w:val="auto"/>
                <w:highlight w:val="none"/>
              </w:rPr>
            </w:pPr>
          </w:p>
        </w:tc>
      </w:tr>
      <w:tr>
        <w:tblPrEx>
          <w:tblCellMar>
            <w:top w:w="0" w:type="dxa"/>
            <w:left w:w="15" w:type="dxa"/>
            <w:bottom w:w="0" w:type="dxa"/>
            <w:right w:w="15" w:type="dxa"/>
          </w:tblCellMar>
        </w:tblPrEx>
        <w:trPr>
          <w:trHeight w:val="510" w:hRule="atLeast"/>
          <w:jc w:val="center"/>
        </w:trPr>
        <w:tc>
          <w:tcPr>
            <w:tcW w:w="482"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cs="宋体"/>
                <w:color w:val="auto"/>
                <w:highlight w:val="none"/>
              </w:rPr>
            </w:pPr>
            <w:r>
              <w:rPr>
                <w:rFonts w:hint="eastAsia" w:cs="宋体"/>
                <w:color w:val="auto"/>
                <w:highlight w:val="none"/>
              </w:rPr>
              <w:t>5</w:t>
            </w:r>
          </w:p>
        </w:tc>
        <w:tc>
          <w:tcPr>
            <w:tcW w:w="2306" w:type="pct"/>
            <w:tcBorders>
              <w:top w:val="single" w:color="000000" w:sz="4" w:space="0"/>
              <w:left w:val="single" w:color="000000" w:sz="4" w:space="0"/>
              <w:bottom w:val="single" w:color="000000" w:sz="4" w:space="0"/>
            </w:tcBorders>
            <w:vAlign w:val="center"/>
          </w:tcPr>
          <w:p>
            <w:pPr>
              <w:autoSpaceDN w:val="0"/>
              <w:spacing w:line="300" w:lineRule="exact"/>
              <w:jc w:val="left"/>
              <w:textAlignment w:val="center"/>
              <w:rPr>
                <w:color w:val="auto"/>
                <w:highlight w:val="none"/>
              </w:rPr>
            </w:pPr>
            <w:r>
              <w:rPr>
                <w:rFonts w:hint="eastAsia"/>
                <w:color w:val="auto"/>
                <w:highlight w:val="none"/>
              </w:rPr>
              <w:t>社会保障资金的良好记录（近期社会保障资金记录,授权委托人应在内，若授权委托人是退休人员需提供退休证明）</w:t>
            </w:r>
          </w:p>
        </w:tc>
        <w:tc>
          <w:tcPr>
            <w:tcW w:w="882"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p>
        </w:tc>
        <w:tc>
          <w:tcPr>
            <w:tcW w:w="654"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p>
        </w:tc>
        <w:tc>
          <w:tcPr>
            <w:tcW w:w="675"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cs="宋体"/>
                <w:color w:val="auto"/>
                <w:highlight w:val="none"/>
              </w:rPr>
            </w:pPr>
          </w:p>
        </w:tc>
      </w:tr>
      <w:tr>
        <w:tblPrEx>
          <w:tblCellMar>
            <w:top w:w="0" w:type="dxa"/>
            <w:left w:w="15" w:type="dxa"/>
            <w:bottom w:w="0" w:type="dxa"/>
            <w:right w:w="15" w:type="dxa"/>
          </w:tblCellMar>
        </w:tblPrEx>
        <w:trPr>
          <w:trHeight w:val="510" w:hRule="atLeast"/>
          <w:jc w:val="center"/>
        </w:trPr>
        <w:tc>
          <w:tcPr>
            <w:tcW w:w="482"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cs="宋体"/>
                <w:color w:val="auto"/>
                <w:highlight w:val="none"/>
              </w:rPr>
            </w:pPr>
            <w:r>
              <w:rPr>
                <w:rFonts w:hint="eastAsia" w:cs="宋体"/>
                <w:color w:val="auto"/>
                <w:highlight w:val="none"/>
              </w:rPr>
              <w:t>6</w:t>
            </w:r>
          </w:p>
        </w:tc>
        <w:tc>
          <w:tcPr>
            <w:tcW w:w="2306" w:type="pct"/>
            <w:tcBorders>
              <w:top w:val="single" w:color="000000" w:sz="4" w:space="0"/>
              <w:left w:val="single" w:color="000000" w:sz="4" w:space="0"/>
              <w:bottom w:val="single" w:color="000000" w:sz="4" w:space="0"/>
            </w:tcBorders>
            <w:vAlign w:val="center"/>
          </w:tcPr>
          <w:p>
            <w:pPr>
              <w:autoSpaceDN w:val="0"/>
              <w:spacing w:line="300" w:lineRule="exact"/>
              <w:jc w:val="left"/>
              <w:textAlignment w:val="center"/>
              <w:rPr>
                <w:color w:val="auto"/>
                <w:highlight w:val="none"/>
              </w:rPr>
            </w:pPr>
            <w:r>
              <w:rPr>
                <w:rFonts w:hint="eastAsia"/>
                <w:color w:val="auto"/>
                <w:highlight w:val="none"/>
              </w:rPr>
              <w:t>健全的财务（近3年（</w:t>
            </w:r>
            <w:r>
              <w:rPr>
                <w:color w:val="auto"/>
                <w:highlight w:val="none"/>
              </w:rPr>
              <w:t>2020至2022年度财务审计报告或财务报表），如未完成2022年财务审计，可附2022年度财务报表。企业成立不足</w:t>
            </w:r>
            <w:r>
              <w:rPr>
                <w:rFonts w:hint="eastAsia"/>
                <w:color w:val="auto"/>
                <w:highlight w:val="none"/>
              </w:rPr>
              <w:t>三</w:t>
            </w:r>
            <w:r>
              <w:rPr>
                <w:color w:val="auto"/>
                <w:highlight w:val="none"/>
              </w:rPr>
              <w:t>年的，需提供企业成立至今的财务报表</w:t>
            </w:r>
            <w:r>
              <w:rPr>
                <w:rFonts w:hint="eastAsia"/>
                <w:color w:val="auto"/>
                <w:highlight w:val="none"/>
              </w:rPr>
              <w:t>；</w:t>
            </w:r>
          </w:p>
        </w:tc>
        <w:tc>
          <w:tcPr>
            <w:tcW w:w="882"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p>
        </w:tc>
        <w:tc>
          <w:tcPr>
            <w:tcW w:w="654"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p>
        </w:tc>
        <w:tc>
          <w:tcPr>
            <w:tcW w:w="675"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cs="宋体"/>
                <w:color w:val="auto"/>
                <w:highlight w:val="none"/>
              </w:rPr>
            </w:pPr>
          </w:p>
        </w:tc>
      </w:tr>
      <w:tr>
        <w:tblPrEx>
          <w:tblCellMar>
            <w:top w:w="0" w:type="dxa"/>
            <w:left w:w="15" w:type="dxa"/>
            <w:bottom w:w="0" w:type="dxa"/>
            <w:right w:w="15" w:type="dxa"/>
          </w:tblCellMar>
        </w:tblPrEx>
        <w:trPr>
          <w:trHeight w:val="557" w:hRule="atLeast"/>
          <w:jc w:val="center"/>
        </w:trPr>
        <w:tc>
          <w:tcPr>
            <w:tcW w:w="482"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cs="宋体"/>
                <w:color w:val="auto"/>
                <w:highlight w:val="none"/>
              </w:rPr>
            </w:pPr>
            <w:r>
              <w:rPr>
                <w:rFonts w:hint="eastAsia" w:cs="宋体"/>
                <w:color w:val="auto"/>
                <w:highlight w:val="none"/>
              </w:rPr>
              <w:t>7</w:t>
            </w:r>
          </w:p>
        </w:tc>
        <w:tc>
          <w:tcPr>
            <w:tcW w:w="2306" w:type="pct"/>
            <w:tcBorders>
              <w:top w:val="single" w:color="000000" w:sz="4" w:space="0"/>
              <w:left w:val="single" w:color="000000" w:sz="4" w:space="0"/>
              <w:bottom w:val="single" w:color="000000" w:sz="4" w:space="0"/>
            </w:tcBorders>
            <w:vAlign w:val="center"/>
          </w:tcPr>
          <w:p>
            <w:pPr>
              <w:autoSpaceDN w:val="0"/>
              <w:spacing w:line="300" w:lineRule="exact"/>
              <w:jc w:val="left"/>
              <w:textAlignment w:val="center"/>
              <w:rPr>
                <w:color w:val="auto"/>
                <w:highlight w:val="none"/>
              </w:rPr>
            </w:pPr>
            <w:r>
              <w:rPr>
                <w:rFonts w:hint="eastAsia"/>
                <w:color w:val="auto"/>
                <w:highlight w:val="none"/>
              </w:rPr>
              <w:t>信用中国网、中国政府采购网、国家企业信用信息公示系统中未被列入严重违法失信行为记录名单（尚在处罚期内）将拒绝其参加本次采购活动；</w:t>
            </w:r>
          </w:p>
        </w:tc>
        <w:tc>
          <w:tcPr>
            <w:tcW w:w="882"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p>
        </w:tc>
        <w:tc>
          <w:tcPr>
            <w:tcW w:w="654"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p>
        </w:tc>
        <w:tc>
          <w:tcPr>
            <w:tcW w:w="675"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cs="宋体"/>
                <w:color w:val="auto"/>
                <w:highlight w:val="none"/>
              </w:rPr>
            </w:pPr>
          </w:p>
        </w:tc>
      </w:tr>
      <w:tr>
        <w:tblPrEx>
          <w:tblCellMar>
            <w:top w:w="0" w:type="dxa"/>
            <w:left w:w="15" w:type="dxa"/>
            <w:bottom w:w="0" w:type="dxa"/>
            <w:right w:w="15" w:type="dxa"/>
          </w:tblCellMar>
        </w:tblPrEx>
        <w:trPr>
          <w:trHeight w:val="510" w:hRule="atLeast"/>
          <w:jc w:val="center"/>
        </w:trPr>
        <w:tc>
          <w:tcPr>
            <w:tcW w:w="482"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cs="宋体"/>
                <w:color w:val="auto"/>
                <w:highlight w:val="none"/>
              </w:rPr>
            </w:pPr>
            <w:r>
              <w:rPr>
                <w:rFonts w:hint="eastAsia" w:cs="宋体"/>
                <w:color w:val="auto"/>
                <w:highlight w:val="none"/>
              </w:rPr>
              <w:t>8</w:t>
            </w:r>
          </w:p>
        </w:tc>
        <w:tc>
          <w:tcPr>
            <w:tcW w:w="2306" w:type="pct"/>
            <w:tcBorders>
              <w:top w:val="single" w:color="000000" w:sz="4" w:space="0"/>
              <w:left w:val="single" w:color="000000" w:sz="4" w:space="0"/>
              <w:bottom w:val="single" w:color="000000" w:sz="4" w:space="0"/>
            </w:tcBorders>
            <w:vAlign w:val="center"/>
          </w:tcPr>
          <w:p>
            <w:pPr>
              <w:autoSpaceDN w:val="0"/>
              <w:spacing w:line="300" w:lineRule="exact"/>
              <w:jc w:val="left"/>
              <w:textAlignment w:val="center"/>
              <w:rPr>
                <w:color w:val="auto"/>
                <w:highlight w:val="none"/>
              </w:rPr>
            </w:pPr>
            <w:r>
              <w:rPr>
                <w:rFonts w:hint="eastAsia"/>
                <w:color w:val="auto"/>
                <w:highlight w:val="none"/>
              </w:rPr>
              <w:t>参加本次采购活动前3年内在经营活动中没有重大违法记录的书面声明</w:t>
            </w:r>
          </w:p>
        </w:tc>
        <w:tc>
          <w:tcPr>
            <w:tcW w:w="882"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p>
        </w:tc>
        <w:tc>
          <w:tcPr>
            <w:tcW w:w="654"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p>
        </w:tc>
        <w:tc>
          <w:tcPr>
            <w:tcW w:w="675"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cs="宋体"/>
                <w:color w:val="auto"/>
                <w:highlight w:val="none"/>
              </w:rPr>
            </w:pPr>
          </w:p>
        </w:tc>
      </w:tr>
      <w:tr>
        <w:tblPrEx>
          <w:tblCellMar>
            <w:top w:w="0" w:type="dxa"/>
            <w:left w:w="15" w:type="dxa"/>
            <w:bottom w:w="0" w:type="dxa"/>
            <w:right w:w="15" w:type="dxa"/>
          </w:tblCellMar>
        </w:tblPrEx>
        <w:trPr>
          <w:trHeight w:val="545" w:hRule="atLeast"/>
          <w:jc w:val="center"/>
        </w:trPr>
        <w:tc>
          <w:tcPr>
            <w:tcW w:w="482"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color w:val="auto"/>
                <w:highlight w:val="none"/>
              </w:rPr>
            </w:pPr>
            <w:r>
              <w:rPr>
                <w:rFonts w:hint="eastAsia"/>
                <w:color w:val="auto"/>
                <w:highlight w:val="none"/>
              </w:rPr>
              <w:t>9</w:t>
            </w:r>
          </w:p>
        </w:tc>
        <w:tc>
          <w:tcPr>
            <w:tcW w:w="2306" w:type="pct"/>
            <w:tcBorders>
              <w:top w:val="single" w:color="000000" w:sz="4" w:space="0"/>
              <w:left w:val="single" w:color="000000" w:sz="4" w:space="0"/>
              <w:bottom w:val="single" w:color="000000" w:sz="4" w:space="0"/>
            </w:tcBorders>
            <w:vAlign w:val="center"/>
          </w:tcPr>
          <w:p>
            <w:pPr>
              <w:autoSpaceDN w:val="0"/>
              <w:spacing w:line="300" w:lineRule="exact"/>
              <w:jc w:val="left"/>
              <w:textAlignment w:val="center"/>
              <w:rPr>
                <w:rFonts w:hint="eastAsia"/>
                <w:color w:val="auto"/>
                <w:highlight w:val="none"/>
              </w:rPr>
            </w:pPr>
            <w:r>
              <w:rPr>
                <w:rFonts w:hint="eastAsia"/>
                <w:color w:val="auto"/>
                <w:highlight w:val="none"/>
              </w:rPr>
              <w:t>（1）财政部、国家发展改革委、生态环境部、市场监管总局《关于调整优化节能产品、环境标志产品政府采购执行机制的通知》（财库[2019]9号文）；</w:t>
            </w:r>
          </w:p>
          <w:p>
            <w:pPr>
              <w:autoSpaceDN w:val="0"/>
              <w:spacing w:line="300" w:lineRule="exact"/>
              <w:jc w:val="left"/>
              <w:textAlignment w:val="center"/>
              <w:rPr>
                <w:rFonts w:hint="eastAsia"/>
                <w:color w:val="auto"/>
                <w:highlight w:val="none"/>
              </w:rPr>
            </w:pPr>
            <w:r>
              <w:rPr>
                <w:rFonts w:hint="eastAsia"/>
                <w:color w:val="auto"/>
                <w:highlight w:val="none"/>
              </w:rPr>
              <w:t>（2）财政部、生态环境部《关于印发环境标志产品政府采购品目清单的通知》（财库[2019]18号文）；</w:t>
            </w:r>
          </w:p>
          <w:p>
            <w:pPr>
              <w:autoSpaceDN w:val="0"/>
              <w:spacing w:line="300" w:lineRule="exact"/>
              <w:jc w:val="left"/>
              <w:textAlignment w:val="center"/>
              <w:rPr>
                <w:rFonts w:hint="eastAsia"/>
                <w:color w:val="auto"/>
                <w:highlight w:val="none"/>
              </w:rPr>
            </w:pPr>
            <w:r>
              <w:rPr>
                <w:rFonts w:hint="eastAsia"/>
                <w:color w:val="auto"/>
                <w:highlight w:val="none"/>
              </w:rPr>
              <w:t>（3）财政部、发展改革委《关于印发节能产品政府采购品目清单的通知》（财库[2019]19号文）；</w:t>
            </w:r>
          </w:p>
          <w:p>
            <w:pPr>
              <w:autoSpaceDN w:val="0"/>
              <w:spacing w:line="300" w:lineRule="exact"/>
              <w:jc w:val="left"/>
              <w:textAlignment w:val="center"/>
              <w:rPr>
                <w:rFonts w:hint="eastAsia"/>
                <w:color w:val="auto"/>
                <w:highlight w:val="none"/>
              </w:rPr>
            </w:pPr>
            <w:r>
              <w:rPr>
                <w:rFonts w:hint="eastAsia"/>
                <w:color w:val="auto"/>
                <w:highlight w:val="none"/>
              </w:rPr>
              <w:t>（4）市场监管总局《市场监管总局关于发布参与实施政府采购节能产品、环境标志产品认证机构名录的公告》（2019年第16号）；</w:t>
            </w:r>
          </w:p>
          <w:p>
            <w:pPr>
              <w:autoSpaceDN w:val="0"/>
              <w:spacing w:line="300" w:lineRule="exact"/>
              <w:jc w:val="left"/>
              <w:textAlignment w:val="center"/>
              <w:rPr>
                <w:rFonts w:hint="eastAsia"/>
                <w:color w:val="auto"/>
                <w:highlight w:val="none"/>
              </w:rPr>
            </w:pPr>
            <w:r>
              <w:rPr>
                <w:rFonts w:hint="eastAsia"/>
                <w:color w:val="auto"/>
                <w:highlight w:val="none"/>
              </w:rPr>
              <w:t xml:space="preserve">（5）财政部、工业和信息化部《关于印发《政府采购促进中小企业发展管理办法》的通知》（财库[2020]46号文）； </w:t>
            </w:r>
          </w:p>
          <w:p>
            <w:pPr>
              <w:autoSpaceDN w:val="0"/>
              <w:spacing w:line="300" w:lineRule="exact"/>
              <w:jc w:val="left"/>
              <w:textAlignment w:val="center"/>
              <w:rPr>
                <w:color w:val="auto"/>
                <w:highlight w:val="none"/>
              </w:rPr>
            </w:pPr>
            <w:r>
              <w:rPr>
                <w:rFonts w:hint="eastAsia"/>
                <w:color w:val="auto"/>
                <w:highlight w:val="none"/>
              </w:rPr>
              <w:t>（6）财政部、民政部、中国残疾人联合会《关于促进残疾人就业政府采购政策的通知》（财库[2017]141号）；</w:t>
            </w:r>
          </w:p>
        </w:tc>
        <w:tc>
          <w:tcPr>
            <w:tcW w:w="882"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p>
        </w:tc>
        <w:tc>
          <w:tcPr>
            <w:tcW w:w="654" w:type="pct"/>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cs="宋体"/>
                <w:color w:val="auto"/>
                <w:highlight w:val="none"/>
              </w:rPr>
            </w:pPr>
          </w:p>
        </w:tc>
        <w:tc>
          <w:tcPr>
            <w:tcW w:w="675"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cs="宋体"/>
                <w:color w:val="auto"/>
                <w:highlight w:val="none"/>
              </w:rPr>
            </w:pPr>
          </w:p>
        </w:tc>
      </w:tr>
      <w:tr>
        <w:tblPrEx>
          <w:tblCellMar>
            <w:top w:w="0" w:type="dxa"/>
            <w:left w:w="15" w:type="dxa"/>
            <w:bottom w:w="0" w:type="dxa"/>
            <w:right w:w="15" w:type="dxa"/>
          </w:tblCellMar>
        </w:tblPrEx>
        <w:trPr>
          <w:trHeight w:val="260" w:hRule="atLeast"/>
          <w:jc w:val="center"/>
        </w:trPr>
        <w:tc>
          <w:tcPr>
            <w:tcW w:w="2788" w:type="pct"/>
            <w:gridSpan w:val="2"/>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cs="宋体"/>
                <w:color w:val="auto"/>
                <w:highlight w:val="none"/>
              </w:rPr>
            </w:pPr>
            <w:r>
              <w:rPr>
                <w:rFonts w:hint="eastAsia" w:cs="宋体"/>
                <w:color w:val="auto"/>
                <w:highlight w:val="none"/>
              </w:rPr>
              <w:t>评审结果</w:t>
            </w:r>
          </w:p>
        </w:tc>
        <w:tc>
          <w:tcPr>
            <w:tcW w:w="882" w:type="pc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cs="宋体"/>
                <w:color w:val="auto"/>
                <w:highlight w:val="none"/>
              </w:rPr>
            </w:pPr>
          </w:p>
        </w:tc>
        <w:tc>
          <w:tcPr>
            <w:tcW w:w="654" w:type="pc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cs="宋体"/>
                <w:color w:val="auto"/>
                <w:highlight w:val="none"/>
              </w:rPr>
            </w:pPr>
          </w:p>
        </w:tc>
        <w:tc>
          <w:tcPr>
            <w:tcW w:w="675" w:type="pc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cs="宋体"/>
                <w:color w:val="auto"/>
                <w:highlight w:val="none"/>
              </w:rPr>
            </w:pPr>
          </w:p>
        </w:tc>
      </w:tr>
      <w:tr>
        <w:tblPrEx>
          <w:tblCellMar>
            <w:top w:w="0" w:type="dxa"/>
            <w:left w:w="15" w:type="dxa"/>
            <w:bottom w:w="0" w:type="dxa"/>
            <w:right w:w="15" w:type="dxa"/>
          </w:tblCellMar>
        </w:tblPrEx>
        <w:trPr>
          <w:trHeight w:val="299"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cs="宋体"/>
                <w:color w:val="auto"/>
                <w:highlight w:val="none"/>
              </w:rPr>
            </w:pPr>
            <w:r>
              <w:rPr>
                <w:rFonts w:cs="宋体"/>
                <w:color w:val="auto"/>
                <w:highlight w:val="none"/>
              </w:rPr>
              <w:t>“√”表示合格；“×”表示不合格，一项不合格结果为不合格，如不合格，请在结果中写明原因。</w:t>
            </w:r>
          </w:p>
        </w:tc>
      </w:tr>
    </w:tbl>
    <w:p>
      <w:pPr>
        <w:spacing w:line="400" w:lineRule="exact"/>
        <w:rPr>
          <w:rFonts w:ascii="黑体" w:eastAsia="黑体"/>
          <w:b/>
          <w:color w:val="auto"/>
          <w:highlight w:val="none"/>
        </w:rPr>
      </w:pPr>
      <w:r>
        <w:rPr>
          <w:rFonts w:hint="eastAsia" w:ascii="黑体" w:eastAsia="黑体"/>
          <w:b/>
          <w:color w:val="auto"/>
          <w:highlight w:val="none"/>
        </w:rPr>
        <w:t>只有通过上述资格性审查合格的投标人方有资格进入符合性审查。</w:t>
      </w:r>
      <w:r>
        <w:rPr>
          <w:rFonts w:hint="eastAsia" w:ascii="黑体" w:eastAsia="黑体"/>
          <w:b/>
          <w:color w:val="auto"/>
          <w:highlight w:val="none"/>
        </w:rPr>
        <w:cr/>
      </w:r>
      <w:r>
        <w:rPr>
          <w:rFonts w:hint="eastAsia" w:ascii="黑体" w:eastAsia="黑体"/>
          <w:b/>
          <w:color w:val="auto"/>
          <w:highlight w:val="none"/>
        </w:rPr>
        <w:t>符合性审查：</w:t>
      </w:r>
    </w:p>
    <w:tbl>
      <w:tblPr>
        <w:tblStyle w:val="22"/>
        <w:tblW w:w="5073" w:type="pct"/>
        <w:tblInd w:w="-137" w:type="dxa"/>
        <w:tblLayout w:type="autofit"/>
        <w:tblCellMar>
          <w:top w:w="0" w:type="dxa"/>
          <w:left w:w="108" w:type="dxa"/>
          <w:bottom w:w="0" w:type="dxa"/>
          <w:right w:w="108" w:type="dxa"/>
        </w:tblCellMar>
      </w:tblPr>
      <w:tblGrid>
        <w:gridCol w:w="807"/>
        <w:gridCol w:w="4965"/>
        <w:gridCol w:w="1244"/>
        <w:gridCol w:w="1204"/>
        <w:gridCol w:w="1204"/>
      </w:tblGrid>
      <w:tr>
        <w:tblPrEx>
          <w:tblCellMar>
            <w:top w:w="0" w:type="dxa"/>
            <w:left w:w="108" w:type="dxa"/>
            <w:bottom w:w="0" w:type="dxa"/>
            <w:right w:w="108" w:type="dxa"/>
          </w:tblCellMar>
        </w:tblPrEx>
        <w:trPr>
          <w:trHeight w:val="285" w:hRule="atLeast"/>
        </w:trPr>
        <w:tc>
          <w:tcPr>
            <w:tcW w:w="428" w:type="pct"/>
            <w:vMerge w:val="restart"/>
            <w:tcBorders>
              <w:top w:val="single" w:color="auto" w:sz="6" w:space="0"/>
              <w:left w:val="single" w:color="auto" w:sz="6" w:space="0"/>
              <w:right w:val="single" w:color="auto" w:sz="6" w:space="0"/>
            </w:tcBorders>
            <w:vAlign w:val="center"/>
          </w:tcPr>
          <w:p>
            <w:pPr>
              <w:autoSpaceDN w:val="0"/>
              <w:spacing w:line="400" w:lineRule="exact"/>
              <w:jc w:val="center"/>
              <w:textAlignment w:val="center"/>
              <w:rPr>
                <w:rFonts w:cs="宋体"/>
                <w:color w:val="auto"/>
                <w:highlight w:val="none"/>
              </w:rPr>
            </w:pPr>
            <w:r>
              <w:rPr>
                <w:rFonts w:hint="eastAsia" w:cs="宋体"/>
                <w:color w:val="auto"/>
                <w:highlight w:val="none"/>
              </w:rPr>
              <w:t>序号</w:t>
            </w:r>
          </w:p>
        </w:tc>
        <w:tc>
          <w:tcPr>
            <w:tcW w:w="2633" w:type="pct"/>
            <w:vMerge w:val="restart"/>
            <w:tcBorders>
              <w:top w:val="single" w:color="auto" w:sz="6" w:space="0"/>
              <w:left w:val="single" w:color="auto" w:sz="6" w:space="0"/>
              <w:right w:val="single" w:color="auto" w:sz="6" w:space="0"/>
            </w:tcBorders>
            <w:vAlign w:val="center"/>
          </w:tcPr>
          <w:p>
            <w:pPr>
              <w:autoSpaceDN w:val="0"/>
              <w:spacing w:line="400" w:lineRule="exact"/>
              <w:jc w:val="center"/>
              <w:textAlignment w:val="center"/>
              <w:rPr>
                <w:rFonts w:cs="宋体"/>
                <w:color w:val="auto"/>
                <w:highlight w:val="none"/>
              </w:rPr>
            </w:pPr>
            <w:r>
              <w:rPr>
                <w:rFonts w:hint="eastAsia" w:cs="宋体"/>
                <w:color w:val="auto"/>
                <w:highlight w:val="none"/>
              </w:rPr>
              <w:t>审查因素</w:t>
            </w:r>
          </w:p>
        </w:tc>
        <w:tc>
          <w:tcPr>
            <w:tcW w:w="660" w:type="pct"/>
            <w:tcBorders>
              <w:top w:val="single" w:color="auto" w:sz="6" w:space="0"/>
              <w:left w:val="single" w:color="auto" w:sz="6" w:space="0"/>
              <w:bottom w:val="single" w:color="auto" w:sz="6" w:space="0"/>
              <w:right w:val="single" w:color="auto" w:sz="6" w:space="0"/>
            </w:tcBorders>
            <w:vAlign w:val="center"/>
          </w:tcPr>
          <w:p>
            <w:pPr>
              <w:autoSpaceDN w:val="0"/>
              <w:spacing w:line="400" w:lineRule="exact"/>
              <w:jc w:val="center"/>
              <w:textAlignment w:val="center"/>
              <w:rPr>
                <w:rFonts w:cs="宋体"/>
                <w:color w:val="auto"/>
                <w:highlight w:val="none"/>
              </w:rPr>
            </w:pPr>
            <w:r>
              <w:rPr>
                <w:rFonts w:hint="eastAsia" w:cs="宋体"/>
                <w:color w:val="auto"/>
                <w:highlight w:val="none"/>
              </w:rPr>
              <w:t>投标人A</w:t>
            </w:r>
          </w:p>
        </w:tc>
        <w:tc>
          <w:tcPr>
            <w:tcW w:w="639" w:type="pct"/>
            <w:tcBorders>
              <w:top w:val="single" w:color="auto" w:sz="6" w:space="0"/>
              <w:left w:val="single" w:color="auto" w:sz="6" w:space="0"/>
              <w:bottom w:val="single" w:color="auto" w:sz="6" w:space="0"/>
            </w:tcBorders>
            <w:vAlign w:val="center"/>
          </w:tcPr>
          <w:p>
            <w:pPr>
              <w:autoSpaceDN w:val="0"/>
              <w:spacing w:line="400" w:lineRule="exact"/>
              <w:jc w:val="center"/>
              <w:textAlignment w:val="center"/>
              <w:rPr>
                <w:rFonts w:cs="宋体"/>
                <w:color w:val="auto"/>
                <w:highlight w:val="none"/>
              </w:rPr>
            </w:pPr>
            <w:r>
              <w:rPr>
                <w:rFonts w:hint="eastAsia" w:cs="宋体"/>
                <w:color w:val="auto"/>
                <w:highlight w:val="none"/>
              </w:rPr>
              <w:t>投标人B</w:t>
            </w:r>
          </w:p>
        </w:tc>
        <w:tc>
          <w:tcPr>
            <w:tcW w:w="637" w:type="pct"/>
            <w:tcBorders>
              <w:top w:val="single" w:color="auto" w:sz="6" w:space="0"/>
              <w:left w:val="single" w:color="auto" w:sz="6" w:space="0"/>
              <w:bottom w:val="single" w:color="auto" w:sz="6" w:space="0"/>
              <w:right w:val="single" w:color="auto" w:sz="6" w:space="0"/>
            </w:tcBorders>
            <w:vAlign w:val="center"/>
          </w:tcPr>
          <w:p>
            <w:pPr>
              <w:autoSpaceDN w:val="0"/>
              <w:spacing w:line="400" w:lineRule="exact"/>
              <w:jc w:val="center"/>
              <w:textAlignment w:val="center"/>
              <w:rPr>
                <w:rFonts w:cs="宋体"/>
                <w:color w:val="auto"/>
                <w:highlight w:val="none"/>
              </w:rPr>
            </w:pPr>
            <w:r>
              <w:rPr>
                <w:rFonts w:hint="eastAsia" w:cs="宋体"/>
                <w:color w:val="auto"/>
                <w:highlight w:val="none"/>
              </w:rPr>
              <w:t>投标人C</w:t>
            </w:r>
          </w:p>
        </w:tc>
      </w:tr>
      <w:tr>
        <w:tblPrEx>
          <w:tblCellMar>
            <w:top w:w="0" w:type="dxa"/>
            <w:left w:w="108" w:type="dxa"/>
            <w:bottom w:w="0" w:type="dxa"/>
            <w:right w:w="108" w:type="dxa"/>
          </w:tblCellMar>
        </w:tblPrEx>
        <w:trPr>
          <w:trHeight w:val="285" w:hRule="atLeast"/>
        </w:trPr>
        <w:tc>
          <w:tcPr>
            <w:tcW w:w="428" w:type="pct"/>
            <w:vMerge w:val="continue"/>
            <w:tcBorders>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c>
          <w:tcPr>
            <w:tcW w:w="2633" w:type="pct"/>
            <w:vMerge w:val="continue"/>
            <w:tcBorders>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c>
          <w:tcPr>
            <w:tcW w:w="660"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r>
              <w:rPr>
                <w:rFonts w:hint="eastAsia" w:cs="宋体"/>
                <w:color w:val="auto"/>
                <w:highlight w:val="none"/>
              </w:rPr>
              <w:t>是否合格</w:t>
            </w:r>
          </w:p>
        </w:tc>
        <w:tc>
          <w:tcPr>
            <w:tcW w:w="639" w:type="pct"/>
            <w:tcBorders>
              <w:top w:val="single" w:color="auto" w:sz="6" w:space="0"/>
              <w:left w:val="single" w:color="auto" w:sz="6" w:space="0"/>
              <w:bottom w:val="single" w:color="auto" w:sz="6" w:space="0"/>
            </w:tcBorders>
          </w:tcPr>
          <w:p>
            <w:pPr>
              <w:autoSpaceDN w:val="0"/>
              <w:spacing w:line="400" w:lineRule="exact"/>
              <w:jc w:val="left"/>
              <w:textAlignment w:val="center"/>
              <w:rPr>
                <w:rFonts w:cs="宋体"/>
                <w:color w:val="auto"/>
                <w:highlight w:val="none"/>
              </w:rPr>
            </w:pPr>
            <w:r>
              <w:rPr>
                <w:rFonts w:hint="eastAsia" w:cs="宋体"/>
                <w:color w:val="auto"/>
                <w:highlight w:val="none"/>
              </w:rPr>
              <w:t>是否合格</w:t>
            </w:r>
          </w:p>
        </w:tc>
        <w:tc>
          <w:tcPr>
            <w:tcW w:w="637"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r>
              <w:rPr>
                <w:rFonts w:hint="eastAsia" w:cs="宋体"/>
                <w:color w:val="auto"/>
                <w:highlight w:val="none"/>
              </w:rPr>
              <w:t>是否合格</w:t>
            </w:r>
          </w:p>
        </w:tc>
      </w:tr>
      <w:tr>
        <w:tblPrEx>
          <w:tblCellMar>
            <w:top w:w="0" w:type="dxa"/>
            <w:left w:w="108" w:type="dxa"/>
            <w:bottom w:w="0" w:type="dxa"/>
            <w:right w:w="108" w:type="dxa"/>
          </w:tblCellMar>
        </w:tblPrEx>
        <w:trPr>
          <w:trHeight w:val="554" w:hRule="atLeast"/>
        </w:trPr>
        <w:tc>
          <w:tcPr>
            <w:tcW w:w="428" w:type="pct"/>
            <w:tcBorders>
              <w:top w:val="single" w:color="auto" w:sz="6" w:space="0"/>
              <w:left w:val="single" w:color="auto" w:sz="6" w:space="0"/>
              <w:bottom w:val="single" w:color="auto" w:sz="6" w:space="0"/>
              <w:right w:val="single" w:color="auto" w:sz="6" w:space="0"/>
            </w:tcBorders>
            <w:vAlign w:val="center"/>
          </w:tcPr>
          <w:p>
            <w:pPr>
              <w:autoSpaceDN w:val="0"/>
              <w:spacing w:line="400" w:lineRule="exact"/>
              <w:jc w:val="center"/>
              <w:textAlignment w:val="center"/>
              <w:rPr>
                <w:rFonts w:cs="宋体"/>
                <w:color w:val="auto"/>
                <w:highlight w:val="none"/>
              </w:rPr>
            </w:pPr>
            <w:r>
              <w:rPr>
                <w:rFonts w:hint="eastAsia" w:cs="宋体"/>
                <w:color w:val="auto"/>
                <w:highlight w:val="none"/>
              </w:rPr>
              <w:t>1</w:t>
            </w:r>
          </w:p>
        </w:tc>
        <w:tc>
          <w:tcPr>
            <w:tcW w:w="2633"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r>
              <w:rPr>
                <w:rFonts w:hint="eastAsia" w:cs="宋体"/>
                <w:color w:val="auto"/>
                <w:highlight w:val="none"/>
              </w:rPr>
              <w:t>法定代表人身份证明及授权委托书是否有效，且符合招标文件规定的格式；</w:t>
            </w:r>
          </w:p>
        </w:tc>
        <w:tc>
          <w:tcPr>
            <w:tcW w:w="660"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c>
          <w:tcPr>
            <w:tcW w:w="639" w:type="pct"/>
            <w:tcBorders>
              <w:top w:val="single" w:color="auto" w:sz="6" w:space="0"/>
              <w:left w:val="single" w:color="auto" w:sz="6" w:space="0"/>
              <w:bottom w:val="single" w:color="auto" w:sz="6" w:space="0"/>
            </w:tcBorders>
          </w:tcPr>
          <w:p>
            <w:pPr>
              <w:autoSpaceDN w:val="0"/>
              <w:spacing w:line="400" w:lineRule="exact"/>
              <w:jc w:val="left"/>
              <w:textAlignment w:val="center"/>
              <w:rPr>
                <w:rFonts w:cs="宋体"/>
                <w:color w:val="auto"/>
                <w:highlight w:val="none"/>
              </w:rPr>
            </w:pPr>
          </w:p>
        </w:tc>
        <w:tc>
          <w:tcPr>
            <w:tcW w:w="637"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r>
      <w:tr>
        <w:tblPrEx>
          <w:tblCellMar>
            <w:top w:w="0" w:type="dxa"/>
            <w:left w:w="108" w:type="dxa"/>
            <w:bottom w:w="0" w:type="dxa"/>
            <w:right w:w="108" w:type="dxa"/>
          </w:tblCellMar>
        </w:tblPrEx>
        <w:trPr>
          <w:trHeight w:val="554" w:hRule="atLeast"/>
        </w:trPr>
        <w:tc>
          <w:tcPr>
            <w:tcW w:w="428" w:type="pct"/>
            <w:tcBorders>
              <w:top w:val="single" w:color="auto" w:sz="6" w:space="0"/>
              <w:left w:val="single" w:color="auto" w:sz="6" w:space="0"/>
              <w:bottom w:val="single" w:color="auto" w:sz="6" w:space="0"/>
              <w:right w:val="single" w:color="auto" w:sz="6" w:space="0"/>
            </w:tcBorders>
            <w:vAlign w:val="center"/>
          </w:tcPr>
          <w:p>
            <w:pPr>
              <w:autoSpaceDN w:val="0"/>
              <w:spacing w:line="400" w:lineRule="exact"/>
              <w:jc w:val="center"/>
              <w:textAlignment w:val="center"/>
              <w:rPr>
                <w:rFonts w:cs="宋体"/>
                <w:color w:val="auto"/>
                <w:highlight w:val="none"/>
              </w:rPr>
            </w:pPr>
            <w:r>
              <w:rPr>
                <w:rFonts w:hint="eastAsia" w:cs="宋体"/>
                <w:color w:val="auto"/>
                <w:highlight w:val="none"/>
              </w:rPr>
              <w:t>2</w:t>
            </w:r>
          </w:p>
        </w:tc>
        <w:tc>
          <w:tcPr>
            <w:tcW w:w="2633"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r>
              <w:rPr>
                <w:rFonts w:hint="eastAsia"/>
                <w:color w:val="auto"/>
                <w:highlight w:val="none"/>
              </w:rPr>
              <w:t>由相关部门（政府/财政）立项核准、审批的采购项目, 投标报价高于设定的采购预算价的；</w:t>
            </w:r>
          </w:p>
        </w:tc>
        <w:tc>
          <w:tcPr>
            <w:tcW w:w="660" w:type="pct"/>
            <w:tcBorders>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c>
          <w:tcPr>
            <w:tcW w:w="639" w:type="pct"/>
            <w:tcBorders>
              <w:left w:val="single" w:color="auto" w:sz="6" w:space="0"/>
              <w:bottom w:val="single" w:color="auto" w:sz="6" w:space="0"/>
            </w:tcBorders>
          </w:tcPr>
          <w:p>
            <w:pPr>
              <w:autoSpaceDN w:val="0"/>
              <w:spacing w:line="400" w:lineRule="exact"/>
              <w:jc w:val="left"/>
              <w:textAlignment w:val="center"/>
              <w:rPr>
                <w:rFonts w:cs="宋体"/>
                <w:color w:val="auto"/>
                <w:highlight w:val="none"/>
              </w:rPr>
            </w:pPr>
          </w:p>
        </w:tc>
        <w:tc>
          <w:tcPr>
            <w:tcW w:w="637" w:type="pct"/>
            <w:tcBorders>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r>
      <w:tr>
        <w:tblPrEx>
          <w:tblCellMar>
            <w:top w:w="0" w:type="dxa"/>
            <w:left w:w="108" w:type="dxa"/>
            <w:bottom w:w="0" w:type="dxa"/>
            <w:right w:w="108" w:type="dxa"/>
          </w:tblCellMar>
        </w:tblPrEx>
        <w:trPr>
          <w:trHeight w:val="354" w:hRule="atLeast"/>
        </w:trPr>
        <w:tc>
          <w:tcPr>
            <w:tcW w:w="428" w:type="pct"/>
            <w:tcBorders>
              <w:top w:val="single" w:color="auto" w:sz="6" w:space="0"/>
              <w:left w:val="single" w:color="auto" w:sz="6" w:space="0"/>
              <w:bottom w:val="single" w:color="auto" w:sz="6" w:space="0"/>
              <w:right w:val="single" w:color="auto" w:sz="6" w:space="0"/>
            </w:tcBorders>
            <w:vAlign w:val="center"/>
          </w:tcPr>
          <w:p>
            <w:pPr>
              <w:autoSpaceDN w:val="0"/>
              <w:spacing w:line="400" w:lineRule="exact"/>
              <w:jc w:val="center"/>
              <w:textAlignment w:val="center"/>
              <w:rPr>
                <w:rFonts w:cs="宋体"/>
                <w:color w:val="auto"/>
                <w:highlight w:val="none"/>
              </w:rPr>
            </w:pPr>
            <w:r>
              <w:rPr>
                <w:rFonts w:hint="eastAsia" w:cs="宋体"/>
                <w:color w:val="auto"/>
                <w:highlight w:val="none"/>
              </w:rPr>
              <w:t>3</w:t>
            </w:r>
          </w:p>
        </w:tc>
        <w:tc>
          <w:tcPr>
            <w:tcW w:w="2633"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color w:val="auto"/>
                <w:highlight w:val="none"/>
              </w:rPr>
            </w:pPr>
            <w:r>
              <w:rPr>
                <w:rFonts w:hint="eastAsia" w:cs="宋体"/>
                <w:color w:val="auto"/>
                <w:highlight w:val="none"/>
              </w:rPr>
              <w:t>只能有一个有效报价，不得提交选择性报价；</w:t>
            </w:r>
          </w:p>
        </w:tc>
        <w:tc>
          <w:tcPr>
            <w:tcW w:w="660" w:type="pct"/>
            <w:tcBorders>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c>
          <w:tcPr>
            <w:tcW w:w="639" w:type="pct"/>
            <w:tcBorders>
              <w:left w:val="single" w:color="auto" w:sz="6" w:space="0"/>
              <w:bottom w:val="single" w:color="auto" w:sz="6" w:space="0"/>
            </w:tcBorders>
          </w:tcPr>
          <w:p>
            <w:pPr>
              <w:autoSpaceDN w:val="0"/>
              <w:spacing w:line="400" w:lineRule="exact"/>
              <w:jc w:val="left"/>
              <w:textAlignment w:val="center"/>
              <w:rPr>
                <w:rFonts w:cs="宋体"/>
                <w:color w:val="auto"/>
                <w:highlight w:val="none"/>
              </w:rPr>
            </w:pPr>
          </w:p>
        </w:tc>
        <w:tc>
          <w:tcPr>
            <w:tcW w:w="637" w:type="pct"/>
            <w:tcBorders>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r>
      <w:tr>
        <w:tblPrEx>
          <w:tblCellMar>
            <w:top w:w="0" w:type="dxa"/>
            <w:left w:w="108" w:type="dxa"/>
            <w:bottom w:w="0" w:type="dxa"/>
            <w:right w:w="108" w:type="dxa"/>
          </w:tblCellMar>
        </w:tblPrEx>
        <w:trPr>
          <w:trHeight w:val="285" w:hRule="atLeast"/>
        </w:trPr>
        <w:tc>
          <w:tcPr>
            <w:tcW w:w="428" w:type="pct"/>
            <w:tcBorders>
              <w:top w:val="single" w:color="auto" w:sz="6" w:space="0"/>
              <w:left w:val="single" w:color="auto" w:sz="6" w:space="0"/>
              <w:bottom w:val="single" w:color="auto" w:sz="6" w:space="0"/>
              <w:right w:val="single" w:color="auto" w:sz="6" w:space="0"/>
            </w:tcBorders>
            <w:vAlign w:val="center"/>
          </w:tcPr>
          <w:p>
            <w:pPr>
              <w:autoSpaceDN w:val="0"/>
              <w:spacing w:line="400" w:lineRule="exact"/>
              <w:jc w:val="center"/>
              <w:textAlignment w:val="center"/>
              <w:rPr>
                <w:rFonts w:cs="宋体"/>
                <w:color w:val="auto"/>
                <w:highlight w:val="none"/>
              </w:rPr>
            </w:pPr>
            <w:r>
              <w:rPr>
                <w:rFonts w:hint="eastAsia" w:cs="宋体"/>
                <w:color w:val="auto"/>
                <w:highlight w:val="none"/>
              </w:rPr>
              <w:t>4</w:t>
            </w:r>
          </w:p>
        </w:tc>
        <w:tc>
          <w:tcPr>
            <w:tcW w:w="2633"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r>
              <w:rPr>
                <w:rFonts w:hint="eastAsia" w:cs="宋体"/>
                <w:color w:val="auto"/>
                <w:highlight w:val="none"/>
              </w:rPr>
              <w:t>对招标文件规定的招标内容全部作出响应；</w:t>
            </w:r>
          </w:p>
        </w:tc>
        <w:tc>
          <w:tcPr>
            <w:tcW w:w="660"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c>
          <w:tcPr>
            <w:tcW w:w="639" w:type="pct"/>
            <w:tcBorders>
              <w:top w:val="single" w:color="auto" w:sz="6" w:space="0"/>
              <w:left w:val="single" w:color="auto" w:sz="6" w:space="0"/>
              <w:bottom w:val="single" w:color="auto" w:sz="6" w:space="0"/>
            </w:tcBorders>
          </w:tcPr>
          <w:p>
            <w:pPr>
              <w:autoSpaceDN w:val="0"/>
              <w:spacing w:line="400" w:lineRule="exact"/>
              <w:jc w:val="left"/>
              <w:textAlignment w:val="center"/>
              <w:rPr>
                <w:rFonts w:cs="宋体"/>
                <w:color w:val="auto"/>
                <w:highlight w:val="none"/>
              </w:rPr>
            </w:pPr>
          </w:p>
        </w:tc>
        <w:tc>
          <w:tcPr>
            <w:tcW w:w="637"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r>
      <w:tr>
        <w:tblPrEx>
          <w:tblCellMar>
            <w:top w:w="0" w:type="dxa"/>
            <w:left w:w="108" w:type="dxa"/>
            <w:bottom w:w="0" w:type="dxa"/>
            <w:right w:w="108" w:type="dxa"/>
          </w:tblCellMar>
        </w:tblPrEx>
        <w:trPr>
          <w:trHeight w:val="285" w:hRule="atLeast"/>
        </w:trPr>
        <w:tc>
          <w:tcPr>
            <w:tcW w:w="428" w:type="pct"/>
            <w:tcBorders>
              <w:top w:val="single" w:color="auto" w:sz="6" w:space="0"/>
              <w:left w:val="single" w:color="auto" w:sz="6" w:space="0"/>
              <w:bottom w:val="single" w:color="auto" w:sz="6" w:space="0"/>
              <w:right w:val="single" w:color="auto" w:sz="6" w:space="0"/>
            </w:tcBorders>
            <w:vAlign w:val="center"/>
          </w:tcPr>
          <w:p>
            <w:pPr>
              <w:autoSpaceDN w:val="0"/>
              <w:spacing w:line="400" w:lineRule="exact"/>
              <w:jc w:val="center"/>
              <w:textAlignment w:val="center"/>
              <w:rPr>
                <w:rFonts w:cs="宋体"/>
                <w:color w:val="auto"/>
                <w:highlight w:val="none"/>
              </w:rPr>
            </w:pPr>
            <w:r>
              <w:rPr>
                <w:rFonts w:hint="eastAsia" w:cs="宋体"/>
                <w:color w:val="auto"/>
                <w:highlight w:val="none"/>
              </w:rPr>
              <w:t>5</w:t>
            </w:r>
          </w:p>
        </w:tc>
        <w:tc>
          <w:tcPr>
            <w:tcW w:w="2633"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r>
              <w:rPr>
                <w:rFonts w:hint="eastAsia" w:cs="宋体"/>
                <w:color w:val="auto"/>
                <w:highlight w:val="none"/>
              </w:rPr>
              <w:t>满足招标文件提出的技术、质量要求及技术规格参数；</w:t>
            </w:r>
          </w:p>
        </w:tc>
        <w:tc>
          <w:tcPr>
            <w:tcW w:w="660"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c>
          <w:tcPr>
            <w:tcW w:w="639" w:type="pct"/>
            <w:tcBorders>
              <w:top w:val="single" w:color="auto" w:sz="6" w:space="0"/>
              <w:left w:val="single" w:color="auto" w:sz="6" w:space="0"/>
              <w:bottom w:val="single" w:color="auto" w:sz="6" w:space="0"/>
            </w:tcBorders>
          </w:tcPr>
          <w:p>
            <w:pPr>
              <w:autoSpaceDN w:val="0"/>
              <w:spacing w:line="400" w:lineRule="exact"/>
              <w:jc w:val="left"/>
              <w:textAlignment w:val="center"/>
              <w:rPr>
                <w:rFonts w:cs="宋体"/>
                <w:color w:val="auto"/>
                <w:highlight w:val="none"/>
              </w:rPr>
            </w:pPr>
          </w:p>
        </w:tc>
        <w:tc>
          <w:tcPr>
            <w:tcW w:w="637"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r>
      <w:tr>
        <w:tblPrEx>
          <w:tblCellMar>
            <w:top w:w="0" w:type="dxa"/>
            <w:left w:w="108" w:type="dxa"/>
            <w:bottom w:w="0" w:type="dxa"/>
            <w:right w:w="108" w:type="dxa"/>
          </w:tblCellMar>
        </w:tblPrEx>
        <w:trPr>
          <w:trHeight w:val="299" w:hRule="atLeast"/>
        </w:trPr>
        <w:tc>
          <w:tcPr>
            <w:tcW w:w="428" w:type="pct"/>
            <w:tcBorders>
              <w:top w:val="single" w:color="auto" w:sz="6" w:space="0"/>
              <w:left w:val="single" w:color="auto" w:sz="6" w:space="0"/>
              <w:bottom w:val="single" w:color="auto" w:sz="6" w:space="0"/>
              <w:right w:val="single" w:color="auto" w:sz="6" w:space="0"/>
            </w:tcBorders>
            <w:vAlign w:val="center"/>
          </w:tcPr>
          <w:p>
            <w:pPr>
              <w:autoSpaceDN w:val="0"/>
              <w:spacing w:line="400" w:lineRule="exact"/>
              <w:jc w:val="center"/>
              <w:textAlignment w:val="center"/>
              <w:rPr>
                <w:rFonts w:cs="宋体"/>
                <w:color w:val="auto"/>
                <w:highlight w:val="none"/>
              </w:rPr>
            </w:pPr>
            <w:r>
              <w:rPr>
                <w:rFonts w:hint="eastAsia" w:cs="宋体"/>
                <w:color w:val="auto"/>
                <w:highlight w:val="none"/>
              </w:rPr>
              <w:t>6</w:t>
            </w:r>
          </w:p>
        </w:tc>
        <w:tc>
          <w:tcPr>
            <w:tcW w:w="2633"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r>
              <w:rPr>
                <w:rFonts w:hint="eastAsia" w:cs="宋体"/>
                <w:color w:val="auto"/>
                <w:highlight w:val="none"/>
              </w:rPr>
              <w:t>投标文件内容齐全、无遗漏；</w:t>
            </w:r>
          </w:p>
        </w:tc>
        <w:tc>
          <w:tcPr>
            <w:tcW w:w="660"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c>
          <w:tcPr>
            <w:tcW w:w="639" w:type="pct"/>
            <w:tcBorders>
              <w:top w:val="single" w:color="auto" w:sz="6" w:space="0"/>
              <w:left w:val="single" w:color="auto" w:sz="6" w:space="0"/>
              <w:bottom w:val="single" w:color="auto" w:sz="6" w:space="0"/>
            </w:tcBorders>
          </w:tcPr>
          <w:p>
            <w:pPr>
              <w:autoSpaceDN w:val="0"/>
              <w:spacing w:line="400" w:lineRule="exact"/>
              <w:jc w:val="left"/>
              <w:textAlignment w:val="center"/>
              <w:rPr>
                <w:rFonts w:cs="宋体"/>
                <w:color w:val="auto"/>
                <w:highlight w:val="none"/>
              </w:rPr>
            </w:pPr>
          </w:p>
        </w:tc>
        <w:tc>
          <w:tcPr>
            <w:tcW w:w="637"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r>
      <w:tr>
        <w:tblPrEx>
          <w:tblCellMar>
            <w:top w:w="0" w:type="dxa"/>
            <w:left w:w="108" w:type="dxa"/>
            <w:bottom w:w="0" w:type="dxa"/>
            <w:right w:w="108" w:type="dxa"/>
          </w:tblCellMar>
        </w:tblPrEx>
        <w:trPr>
          <w:trHeight w:val="288" w:hRule="atLeast"/>
        </w:trPr>
        <w:tc>
          <w:tcPr>
            <w:tcW w:w="428" w:type="pct"/>
            <w:tcBorders>
              <w:top w:val="single" w:color="auto" w:sz="6" w:space="0"/>
              <w:left w:val="single" w:color="auto" w:sz="6" w:space="0"/>
              <w:bottom w:val="single" w:color="auto" w:sz="6" w:space="0"/>
              <w:right w:val="single" w:color="auto" w:sz="6" w:space="0"/>
            </w:tcBorders>
            <w:vAlign w:val="center"/>
          </w:tcPr>
          <w:p>
            <w:pPr>
              <w:autoSpaceDN w:val="0"/>
              <w:spacing w:line="400" w:lineRule="exact"/>
              <w:jc w:val="center"/>
              <w:textAlignment w:val="center"/>
              <w:rPr>
                <w:rFonts w:cs="宋体"/>
                <w:color w:val="auto"/>
                <w:highlight w:val="none"/>
              </w:rPr>
            </w:pPr>
            <w:r>
              <w:rPr>
                <w:rFonts w:hint="eastAsia" w:cs="宋体"/>
                <w:color w:val="auto"/>
                <w:highlight w:val="none"/>
              </w:rPr>
              <w:t>7</w:t>
            </w:r>
          </w:p>
        </w:tc>
        <w:tc>
          <w:tcPr>
            <w:tcW w:w="2633"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r>
              <w:rPr>
                <w:rFonts w:hint="eastAsia" w:cs="宋体"/>
                <w:color w:val="auto"/>
                <w:highlight w:val="none"/>
              </w:rPr>
              <w:t>完成期限满足招标文件要求；</w:t>
            </w:r>
          </w:p>
        </w:tc>
        <w:tc>
          <w:tcPr>
            <w:tcW w:w="660"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c>
          <w:tcPr>
            <w:tcW w:w="639" w:type="pct"/>
            <w:tcBorders>
              <w:top w:val="single" w:color="auto" w:sz="6" w:space="0"/>
              <w:left w:val="single" w:color="auto" w:sz="6" w:space="0"/>
              <w:bottom w:val="single" w:color="auto" w:sz="6" w:space="0"/>
            </w:tcBorders>
          </w:tcPr>
          <w:p>
            <w:pPr>
              <w:autoSpaceDN w:val="0"/>
              <w:spacing w:line="400" w:lineRule="exact"/>
              <w:jc w:val="left"/>
              <w:textAlignment w:val="center"/>
              <w:rPr>
                <w:rFonts w:cs="宋体"/>
                <w:color w:val="auto"/>
                <w:highlight w:val="none"/>
              </w:rPr>
            </w:pPr>
          </w:p>
        </w:tc>
        <w:tc>
          <w:tcPr>
            <w:tcW w:w="637"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r>
      <w:tr>
        <w:tblPrEx>
          <w:tblCellMar>
            <w:top w:w="0" w:type="dxa"/>
            <w:left w:w="108" w:type="dxa"/>
            <w:bottom w:w="0" w:type="dxa"/>
            <w:right w:w="108" w:type="dxa"/>
          </w:tblCellMar>
        </w:tblPrEx>
        <w:trPr>
          <w:trHeight w:val="285" w:hRule="atLeast"/>
        </w:trPr>
        <w:tc>
          <w:tcPr>
            <w:tcW w:w="428" w:type="pct"/>
            <w:tcBorders>
              <w:top w:val="single" w:color="auto" w:sz="6" w:space="0"/>
              <w:left w:val="single" w:color="auto" w:sz="6" w:space="0"/>
              <w:bottom w:val="single" w:color="auto" w:sz="6" w:space="0"/>
              <w:right w:val="single" w:color="auto" w:sz="6" w:space="0"/>
            </w:tcBorders>
            <w:vAlign w:val="center"/>
          </w:tcPr>
          <w:p>
            <w:pPr>
              <w:autoSpaceDN w:val="0"/>
              <w:spacing w:line="400" w:lineRule="exact"/>
              <w:jc w:val="center"/>
              <w:textAlignment w:val="center"/>
              <w:rPr>
                <w:rFonts w:cs="宋体"/>
                <w:color w:val="auto"/>
                <w:highlight w:val="none"/>
              </w:rPr>
            </w:pPr>
            <w:r>
              <w:rPr>
                <w:rFonts w:hint="eastAsia" w:cs="宋体"/>
                <w:color w:val="auto"/>
                <w:highlight w:val="none"/>
              </w:rPr>
              <w:t>8</w:t>
            </w:r>
          </w:p>
        </w:tc>
        <w:tc>
          <w:tcPr>
            <w:tcW w:w="2633"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r>
              <w:rPr>
                <w:rFonts w:hint="eastAsia" w:cs="宋体"/>
                <w:color w:val="auto"/>
                <w:highlight w:val="none"/>
              </w:rPr>
              <w:t>售后服务满足招标文件要求；</w:t>
            </w:r>
          </w:p>
        </w:tc>
        <w:tc>
          <w:tcPr>
            <w:tcW w:w="660"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c>
          <w:tcPr>
            <w:tcW w:w="639" w:type="pct"/>
            <w:tcBorders>
              <w:top w:val="single" w:color="auto" w:sz="6" w:space="0"/>
              <w:left w:val="single" w:color="auto" w:sz="6" w:space="0"/>
              <w:bottom w:val="single" w:color="auto" w:sz="6" w:space="0"/>
            </w:tcBorders>
          </w:tcPr>
          <w:p>
            <w:pPr>
              <w:autoSpaceDN w:val="0"/>
              <w:spacing w:line="400" w:lineRule="exact"/>
              <w:jc w:val="left"/>
              <w:textAlignment w:val="center"/>
              <w:rPr>
                <w:rFonts w:cs="宋体"/>
                <w:color w:val="auto"/>
                <w:highlight w:val="none"/>
              </w:rPr>
            </w:pPr>
          </w:p>
        </w:tc>
        <w:tc>
          <w:tcPr>
            <w:tcW w:w="637"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r>
      <w:tr>
        <w:tblPrEx>
          <w:tblCellMar>
            <w:top w:w="0" w:type="dxa"/>
            <w:left w:w="108" w:type="dxa"/>
            <w:bottom w:w="0" w:type="dxa"/>
            <w:right w:w="108" w:type="dxa"/>
          </w:tblCellMar>
        </w:tblPrEx>
        <w:trPr>
          <w:trHeight w:val="285" w:hRule="atLeast"/>
        </w:trPr>
        <w:tc>
          <w:tcPr>
            <w:tcW w:w="428" w:type="pct"/>
            <w:tcBorders>
              <w:top w:val="single" w:color="auto" w:sz="6" w:space="0"/>
              <w:left w:val="single" w:color="auto" w:sz="6" w:space="0"/>
              <w:bottom w:val="single" w:color="auto" w:sz="6" w:space="0"/>
              <w:right w:val="single" w:color="auto" w:sz="6" w:space="0"/>
            </w:tcBorders>
            <w:vAlign w:val="center"/>
          </w:tcPr>
          <w:p>
            <w:pPr>
              <w:autoSpaceDN w:val="0"/>
              <w:spacing w:line="400" w:lineRule="exact"/>
              <w:jc w:val="center"/>
              <w:textAlignment w:val="center"/>
              <w:rPr>
                <w:rFonts w:cs="宋体"/>
                <w:color w:val="auto"/>
                <w:highlight w:val="none"/>
              </w:rPr>
            </w:pPr>
            <w:r>
              <w:rPr>
                <w:rFonts w:hint="eastAsia" w:cs="宋体"/>
                <w:color w:val="auto"/>
                <w:highlight w:val="none"/>
              </w:rPr>
              <w:t>9</w:t>
            </w:r>
          </w:p>
        </w:tc>
        <w:tc>
          <w:tcPr>
            <w:tcW w:w="2633"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r>
              <w:rPr>
                <w:rFonts w:hint="eastAsia" w:cs="宋体"/>
                <w:color w:val="auto"/>
                <w:highlight w:val="none"/>
              </w:rPr>
              <w:t>投标有效期满足招标文件要求；</w:t>
            </w:r>
          </w:p>
        </w:tc>
        <w:tc>
          <w:tcPr>
            <w:tcW w:w="660"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c>
          <w:tcPr>
            <w:tcW w:w="639" w:type="pct"/>
            <w:tcBorders>
              <w:top w:val="single" w:color="auto" w:sz="6" w:space="0"/>
              <w:left w:val="single" w:color="auto" w:sz="6" w:space="0"/>
              <w:bottom w:val="single" w:color="auto" w:sz="6" w:space="0"/>
            </w:tcBorders>
          </w:tcPr>
          <w:p>
            <w:pPr>
              <w:autoSpaceDN w:val="0"/>
              <w:spacing w:line="400" w:lineRule="exact"/>
              <w:jc w:val="left"/>
              <w:textAlignment w:val="center"/>
              <w:rPr>
                <w:rFonts w:cs="宋体"/>
                <w:color w:val="auto"/>
                <w:highlight w:val="none"/>
              </w:rPr>
            </w:pPr>
          </w:p>
        </w:tc>
        <w:tc>
          <w:tcPr>
            <w:tcW w:w="637"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r>
      <w:tr>
        <w:tblPrEx>
          <w:tblCellMar>
            <w:top w:w="0" w:type="dxa"/>
            <w:left w:w="108" w:type="dxa"/>
            <w:bottom w:w="0" w:type="dxa"/>
            <w:right w:w="108" w:type="dxa"/>
          </w:tblCellMar>
        </w:tblPrEx>
        <w:trPr>
          <w:trHeight w:val="285" w:hRule="atLeast"/>
        </w:trPr>
        <w:tc>
          <w:tcPr>
            <w:tcW w:w="428" w:type="pct"/>
            <w:tcBorders>
              <w:top w:val="single" w:color="auto" w:sz="6" w:space="0"/>
              <w:left w:val="single" w:color="auto" w:sz="6" w:space="0"/>
              <w:bottom w:val="single" w:color="auto" w:sz="6" w:space="0"/>
              <w:right w:val="single" w:color="auto" w:sz="6" w:space="0"/>
            </w:tcBorders>
            <w:vAlign w:val="center"/>
          </w:tcPr>
          <w:p>
            <w:pPr>
              <w:autoSpaceDN w:val="0"/>
              <w:spacing w:line="400" w:lineRule="exact"/>
              <w:jc w:val="center"/>
              <w:textAlignment w:val="center"/>
              <w:rPr>
                <w:rFonts w:cs="宋体"/>
                <w:color w:val="auto"/>
                <w:highlight w:val="none"/>
              </w:rPr>
            </w:pPr>
            <w:r>
              <w:rPr>
                <w:rFonts w:hint="eastAsia" w:cs="宋体"/>
                <w:color w:val="auto"/>
                <w:highlight w:val="none"/>
              </w:rPr>
              <w:t>10</w:t>
            </w:r>
          </w:p>
        </w:tc>
        <w:tc>
          <w:tcPr>
            <w:tcW w:w="2633"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r>
              <w:rPr>
                <w:rFonts w:hint="eastAsia" w:cs="宋体"/>
                <w:color w:val="auto"/>
                <w:highlight w:val="none"/>
              </w:rPr>
              <w:t>投标人详细地址、联系人、电话；</w:t>
            </w:r>
          </w:p>
        </w:tc>
        <w:tc>
          <w:tcPr>
            <w:tcW w:w="660"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c>
          <w:tcPr>
            <w:tcW w:w="639" w:type="pct"/>
            <w:tcBorders>
              <w:top w:val="single" w:color="auto" w:sz="6" w:space="0"/>
              <w:left w:val="single" w:color="auto" w:sz="6" w:space="0"/>
              <w:bottom w:val="single" w:color="auto" w:sz="6" w:space="0"/>
            </w:tcBorders>
          </w:tcPr>
          <w:p>
            <w:pPr>
              <w:autoSpaceDN w:val="0"/>
              <w:spacing w:line="400" w:lineRule="exact"/>
              <w:jc w:val="left"/>
              <w:textAlignment w:val="center"/>
              <w:rPr>
                <w:rFonts w:cs="宋体"/>
                <w:color w:val="auto"/>
                <w:highlight w:val="none"/>
              </w:rPr>
            </w:pPr>
          </w:p>
        </w:tc>
        <w:tc>
          <w:tcPr>
            <w:tcW w:w="637"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r>
      <w:tr>
        <w:tblPrEx>
          <w:tblCellMar>
            <w:top w:w="0" w:type="dxa"/>
            <w:left w:w="108" w:type="dxa"/>
            <w:bottom w:w="0" w:type="dxa"/>
            <w:right w:w="108" w:type="dxa"/>
          </w:tblCellMar>
        </w:tblPrEx>
        <w:trPr>
          <w:trHeight w:val="285" w:hRule="atLeast"/>
        </w:trPr>
        <w:tc>
          <w:tcPr>
            <w:tcW w:w="428" w:type="pct"/>
            <w:tcBorders>
              <w:top w:val="single" w:color="auto" w:sz="6" w:space="0"/>
              <w:left w:val="single" w:color="auto" w:sz="6" w:space="0"/>
              <w:bottom w:val="single" w:color="auto" w:sz="6" w:space="0"/>
              <w:right w:val="single" w:color="auto" w:sz="6" w:space="0"/>
            </w:tcBorders>
            <w:vAlign w:val="center"/>
          </w:tcPr>
          <w:p>
            <w:pPr>
              <w:autoSpaceDN w:val="0"/>
              <w:spacing w:line="400" w:lineRule="exact"/>
              <w:jc w:val="center"/>
              <w:textAlignment w:val="center"/>
              <w:rPr>
                <w:rFonts w:cs="宋体"/>
                <w:color w:val="auto"/>
                <w:highlight w:val="none"/>
              </w:rPr>
            </w:pPr>
            <w:r>
              <w:rPr>
                <w:rFonts w:hint="eastAsia" w:cs="宋体"/>
                <w:color w:val="auto"/>
                <w:highlight w:val="none"/>
              </w:rPr>
              <w:t>11</w:t>
            </w:r>
          </w:p>
        </w:tc>
        <w:tc>
          <w:tcPr>
            <w:tcW w:w="2633"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r>
              <w:rPr>
                <w:rFonts w:hint="eastAsia" w:cs="宋体"/>
                <w:color w:val="auto"/>
                <w:highlight w:val="none"/>
              </w:rPr>
              <w:t>是否具有履行合同所必需的设备和专业技术能力；</w:t>
            </w:r>
          </w:p>
        </w:tc>
        <w:tc>
          <w:tcPr>
            <w:tcW w:w="660"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c>
          <w:tcPr>
            <w:tcW w:w="639" w:type="pct"/>
            <w:tcBorders>
              <w:top w:val="single" w:color="auto" w:sz="6" w:space="0"/>
              <w:left w:val="single" w:color="auto" w:sz="6" w:space="0"/>
              <w:bottom w:val="single" w:color="auto" w:sz="6" w:space="0"/>
            </w:tcBorders>
          </w:tcPr>
          <w:p>
            <w:pPr>
              <w:autoSpaceDN w:val="0"/>
              <w:spacing w:line="400" w:lineRule="exact"/>
              <w:jc w:val="left"/>
              <w:textAlignment w:val="center"/>
              <w:rPr>
                <w:rFonts w:cs="宋体"/>
                <w:color w:val="auto"/>
                <w:highlight w:val="none"/>
              </w:rPr>
            </w:pPr>
          </w:p>
        </w:tc>
        <w:tc>
          <w:tcPr>
            <w:tcW w:w="637"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r>
      <w:tr>
        <w:tblPrEx>
          <w:tblCellMar>
            <w:top w:w="0" w:type="dxa"/>
            <w:left w:w="108" w:type="dxa"/>
            <w:bottom w:w="0" w:type="dxa"/>
            <w:right w:w="108" w:type="dxa"/>
          </w:tblCellMar>
        </w:tblPrEx>
        <w:trPr>
          <w:trHeight w:val="285" w:hRule="atLeast"/>
        </w:trPr>
        <w:tc>
          <w:tcPr>
            <w:tcW w:w="428" w:type="pct"/>
            <w:tcBorders>
              <w:top w:val="single" w:color="auto" w:sz="6" w:space="0"/>
              <w:left w:val="single" w:color="auto" w:sz="6" w:space="0"/>
              <w:bottom w:val="single" w:color="auto" w:sz="6" w:space="0"/>
              <w:right w:val="single" w:color="auto" w:sz="6" w:space="0"/>
            </w:tcBorders>
            <w:vAlign w:val="center"/>
          </w:tcPr>
          <w:p>
            <w:pPr>
              <w:autoSpaceDN w:val="0"/>
              <w:spacing w:line="400" w:lineRule="exact"/>
              <w:jc w:val="center"/>
              <w:textAlignment w:val="center"/>
              <w:rPr>
                <w:rFonts w:cs="宋体"/>
                <w:color w:val="auto"/>
                <w:highlight w:val="none"/>
              </w:rPr>
            </w:pPr>
            <w:r>
              <w:rPr>
                <w:rFonts w:hint="eastAsia" w:cs="宋体"/>
                <w:color w:val="auto"/>
                <w:highlight w:val="none"/>
              </w:rPr>
              <w:t>12</w:t>
            </w:r>
          </w:p>
        </w:tc>
        <w:tc>
          <w:tcPr>
            <w:tcW w:w="2633"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r>
              <w:rPr>
                <w:rFonts w:hint="eastAsia" w:cs="宋体"/>
                <w:color w:val="auto"/>
                <w:highlight w:val="none"/>
              </w:rPr>
              <w:t>投标文件是否附有采购人不能接受的条件；</w:t>
            </w:r>
          </w:p>
        </w:tc>
        <w:tc>
          <w:tcPr>
            <w:tcW w:w="660"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c>
          <w:tcPr>
            <w:tcW w:w="639" w:type="pct"/>
            <w:tcBorders>
              <w:top w:val="single" w:color="auto" w:sz="6" w:space="0"/>
              <w:left w:val="single" w:color="auto" w:sz="6" w:space="0"/>
              <w:bottom w:val="single" w:color="auto" w:sz="6" w:space="0"/>
            </w:tcBorders>
          </w:tcPr>
          <w:p>
            <w:pPr>
              <w:autoSpaceDN w:val="0"/>
              <w:spacing w:line="400" w:lineRule="exact"/>
              <w:jc w:val="left"/>
              <w:textAlignment w:val="center"/>
              <w:rPr>
                <w:rFonts w:cs="宋体"/>
                <w:color w:val="auto"/>
                <w:highlight w:val="none"/>
              </w:rPr>
            </w:pPr>
          </w:p>
        </w:tc>
        <w:tc>
          <w:tcPr>
            <w:tcW w:w="637"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r>
      <w:tr>
        <w:tblPrEx>
          <w:tblCellMar>
            <w:top w:w="0" w:type="dxa"/>
            <w:left w:w="108" w:type="dxa"/>
            <w:bottom w:w="0" w:type="dxa"/>
            <w:right w:w="108" w:type="dxa"/>
          </w:tblCellMar>
        </w:tblPrEx>
        <w:trPr>
          <w:trHeight w:val="285" w:hRule="atLeast"/>
        </w:trPr>
        <w:tc>
          <w:tcPr>
            <w:tcW w:w="428" w:type="pct"/>
            <w:tcBorders>
              <w:top w:val="single" w:color="auto" w:sz="6" w:space="0"/>
              <w:left w:val="single" w:color="auto" w:sz="6" w:space="0"/>
              <w:bottom w:val="single" w:color="auto" w:sz="6" w:space="0"/>
              <w:right w:val="single" w:color="auto" w:sz="6" w:space="0"/>
            </w:tcBorders>
            <w:vAlign w:val="center"/>
          </w:tcPr>
          <w:p>
            <w:pPr>
              <w:autoSpaceDN w:val="0"/>
              <w:spacing w:line="400" w:lineRule="exact"/>
              <w:jc w:val="center"/>
              <w:textAlignment w:val="center"/>
              <w:rPr>
                <w:rFonts w:cs="宋体"/>
                <w:color w:val="auto"/>
                <w:highlight w:val="none"/>
              </w:rPr>
            </w:pPr>
            <w:r>
              <w:rPr>
                <w:rFonts w:hint="eastAsia" w:cs="宋体"/>
                <w:color w:val="auto"/>
                <w:highlight w:val="none"/>
              </w:rPr>
              <w:t>13</w:t>
            </w:r>
          </w:p>
        </w:tc>
        <w:tc>
          <w:tcPr>
            <w:tcW w:w="2633"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r>
              <w:rPr>
                <w:rFonts w:hint="eastAsia" w:cs="宋体"/>
                <w:color w:val="auto"/>
                <w:highlight w:val="none"/>
              </w:rPr>
              <w:t>是否以他人的名义投标、串通投标、以行贿手段谋取中标或者以其他弄虚作假方式投标的；</w:t>
            </w:r>
          </w:p>
        </w:tc>
        <w:tc>
          <w:tcPr>
            <w:tcW w:w="660"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c>
          <w:tcPr>
            <w:tcW w:w="639" w:type="pct"/>
            <w:tcBorders>
              <w:top w:val="single" w:color="auto" w:sz="6" w:space="0"/>
              <w:left w:val="single" w:color="auto" w:sz="6" w:space="0"/>
              <w:bottom w:val="single" w:color="auto" w:sz="6" w:space="0"/>
            </w:tcBorders>
          </w:tcPr>
          <w:p>
            <w:pPr>
              <w:autoSpaceDN w:val="0"/>
              <w:spacing w:line="400" w:lineRule="exact"/>
              <w:jc w:val="left"/>
              <w:textAlignment w:val="center"/>
              <w:rPr>
                <w:rFonts w:cs="宋体"/>
                <w:color w:val="auto"/>
                <w:highlight w:val="none"/>
              </w:rPr>
            </w:pPr>
          </w:p>
        </w:tc>
        <w:tc>
          <w:tcPr>
            <w:tcW w:w="637"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r>
      <w:tr>
        <w:tblPrEx>
          <w:tblCellMar>
            <w:top w:w="0" w:type="dxa"/>
            <w:left w:w="108" w:type="dxa"/>
            <w:bottom w:w="0" w:type="dxa"/>
            <w:right w:w="108" w:type="dxa"/>
          </w:tblCellMar>
        </w:tblPrEx>
        <w:trPr>
          <w:trHeight w:val="350" w:hRule="atLeast"/>
        </w:trPr>
        <w:tc>
          <w:tcPr>
            <w:tcW w:w="3062" w:type="pct"/>
            <w:gridSpan w:val="2"/>
            <w:tcBorders>
              <w:top w:val="single" w:color="auto" w:sz="6" w:space="0"/>
              <w:left w:val="single" w:color="auto" w:sz="6" w:space="0"/>
              <w:bottom w:val="single" w:color="auto" w:sz="6" w:space="0"/>
              <w:right w:val="single" w:color="auto" w:sz="6" w:space="0"/>
            </w:tcBorders>
            <w:vAlign w:val="center"/>
          </w:tcPr>
          <w:p>
            <w:pPr>
              <w:autoSpaceDN w:val="0"/>
              <w:spacing w:line="400" w:lineRule="exact"/>
              <w:jc w:val="center"/>
              <w:textAlignment w:val="center"/>
              <w:rPr>
                <w:rFonts w:cs="宋体"/>
                <w:color w:val="auto"/>
                <w:highlight w:val="none"/>
              </w:rPr>
            </w:pPr>
            <w:r>
              <w:rPr>
                <w:rFonts w:hint="eastAsia" w:cs="宋体"/>
                <w:color w:val="auto"/>
                <w:highlight w:val="none"/>
              </w:rPr>
              <w:t>评审结果：</w:t>
            </w:r>
          </w:p>
        </w:tc>
        <w:tc>
          <w:tcPr>
            <w:tcW w:w="660"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c>
          <w:tcPr>
            <w:tcW w:w="639" w:type="pct"/>
            <w:tcBorders>
              <w:top w:val="single" w:color="auto" w:sz="6" w:space="0"/>
              <w:left w:val="single" w:color="auto" w:sz="6" w:space="0"/>
              <w:bottom w:val="single" w:color="auto" w:sz="6" w:space="0"/>
            </w:tcBorders>
          </w:tcPr>
          <w:p>
            <w:pPr>
              <w:autoSpaceDN w:val="0"/>
              <w:spacing w:line="400" w:lineRule="exact"/>
              <w:jc w:val="left"/>
              <w:textAlignment w:val="center"/>
              <w:rPr>
                <w:rFonts w:cs="宋体"/>
                <w:color w:val="auto"/>
                <w:highlight w:val="none"/>
              </w:rPr>
            </w:pPr>
          </w:p>
        </w:tc>
        <w:tc>
          <w:tcPr>
            <w:tcW w:w="637" w:type="pct"/>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p>
        </w:tc>
      </w:tr>
      <w:tr>
        <w:tblPrEx>
          <w:tblCellMar>
            <w:top w:w="0" w:type="dxa"/>
            <w:left w:w="108" w:type="dxa"/>
            <w:bottom w:w="0" w:type="dxa"/>
            <w:right w:w="108" w:type="dxa"/>
          </w:tblCellMar>
        </w:tblPrEx>
        <w:trPr>
          <w:trHeight w:val="506" w:hRule="atLeast"/>
        </w:trPr>
        <w:tc>
          <w:tcPr>
            <w:tcW w:w="5000" w:type="pct"/>
            <w:gridSpan w:val="5"/>
            <w:tcBorders>
              <w:top w:val="single" w:color="auto" w:sz="6" w:space="0"/>
              <w:left w:val="single" w:color="auto" w:sz="6" w:space="0"/>
              <w:bottom w:val="single" w:color="auto" w:sz="6" w:space="0"/>
              <w:right w:val="single" w:color="auto" w:sz="6" w:space="0"/>
            </w:tcBorders>
          </w:tcPr>
          <w:p>
            <w:pPr>
              <w:autoSpaceDN w:val="0"/>
              <w:spacing w:line="400" w:lineRule="exact"/>
              <w:jc w:val="left"/>
              <w:textAlignment w:val="center"/>
              <w:rPr>
                <w:rFonts w:cs="宋体"/>
                <w:color w:val="auto"/>
                <w:highlight w:val="none"/>
              </w:rPr>
            </w:pPr>
            <w:r>
              <w:rPr>
                <w:rFonts w:cs="宋体"/>
                <w:color w:val="auto"/>
                <w:highlight w:val="none"/>
              </w:rPr>
              <w:t>“√”表示合格；“×”表示不合格，一项不合格结果为不合格，如不合格，请在结果中写明原因。</w:t>
            </w:r>
          </w:p>
        </w:tc>
      </w:tr>
    </w:tbl>
    <w:p>
      <w:pPr>
        <w:spacing w:line="500" w:lineRule="exact"/>
        <w:ind w:firstLine="241" w:firstLineChars="100"/>
        <w:rPr>
          <w:color w:val="auto"/>
          <w:szCs w:val="24"/>
          <w:highlight w:val="none"/>
        </w:rPr>
      </w:pPr>
      <w:r>
        <w:rPr>
          <w:rFonts w:hint="eastAsia" w:ascii="黑体" w:eastAsia="黑体"/>
          <w:b/>
          <w:color w:val="auto"/>
          <w:highlight w:val="none"/>
        </w:rPr>
        <w:t>只有通过上述符合性审查合格的投标人方有资格进入技术标详评程序。</w:t>
      </w:r>
    </w:p>
    <w:p>
      <w:pPr>
        <w:pStyle w:val="41"/>
        <w:rPr>
          <w:color w:val="auto"/>
          <w:szCs w:val="24"/>
          <w:highlight w:val="none"/>
        </w:rPr>
      </w:pPr>
      <w:r>
        <w:rPr>
          <w:rFonts w:hint="eastAsia"/>
          <w:color w:val="auto"/>
          <w:szCs w:val="24"/>
          <w:highlight w:val="none"/>
        </w:rPr>
        <w:t>1.5.1</w:t>
      </w:r>
      <w:r>
        <w:rPr>
          <w:rFonts w:hint="eastAsia"/>
          <w:color w:val="auto"/>
          <w:szCs w:val="24"/>
          <w:highlight w:val="none"/>
        </w:rPr>
        <w:tab/>
      </w:r>
      <w:r>
        <w:rPr>
          <w:rFonts w:hint="eastAsia"/>
          <w:color w:val="auto"/>
          <w:szCs w:val="24"/>
          <w:highlight w:val="none"/>
        </w:rPr>
        <w:t>评审仪式</w:t>
      </w:r>
    </w:p>
    <w:p>
      <w:pPr>
        <w:pStyle w:val="41"/>
        <w:rPr>
          <w:color w:val="auto"/>
          <w:szCs w:val="24"/>
          <w:highlight w:val="none"/>
        </w:rPr>
      </w:pPr>
      <w:r>
        <w:rPr>
          <w:rFonts w:hint="eastAsia"/>
          <w:color w:val="auto"/>
          <w:szCs w:val="24"/>
          <w:highlight w:val="none"/>
        </w:rPr>
        <w:t>1.代理机构将在公开招标公告中规定的时间和地点组织开标。投标人应委派携带有效证件的代表准时参加，参加开标的代表需签名以证明其出席，详见投标人须知前附表。</w:t>
      </w:r>
    </w:p>
    <w:p>
      <w:pPr>
        <w:pStyle w:val="41"/>
        <w:rPr>
          <w:color w:val="auto"/>
          <w:szCs w:val="24"/>
          <w:highlight w:val="none"/>
        </w:rPr>
      </w:pPr>
      <w:r>
        <w:rPr>
          <w:rFonts w:hint="eastAsia"/>
          <w:color w:val="auto"/>
          <w:szCs w:val="24"/>
          <w:highlight w:val="none"/>
        </w:rPr>
        <w:t>2.</w:t>
      </w:r>
      <w:r>
        <w:rPr>
          <w:rFonts w:hint="eastAsia"/>
          <w:color w:val="auto"/>
          <w:szCs w:val="24"/>
          <w:highlight w:val="none"/>
        </w:rPr>
        <w:tab/>
      </w:r>
      <w:r>
        <w:rPr>
          <w:rFonts w:hint="eastAsia"/>
          <w:color w:val="auto"/>
          <w:szCs w:val="24"/>
          <w:highlight w:val="none"/>
        </w:rPr>
        <w:t>由代理机构主持，由采购人代表、监督代表、投标人代表以及有关工作人员参加。</w:t>
      </w:r>
    </w:p>
    <w:p>
      <w:pPr>
        <w:pStyle w:val="41"/>
        <w:rPr>
          <w:color w:val="auto"/>
          <w:szCs w:val="24"/>
          <w:highlight w:val="none"/>
        </w:rPr>
      </w:pPr>
      <w:r>
        <w:rPr>
          <w:rFonts w:hint="eastAsia"/>
          <w:color w:val="auto"/>
          <w:szCs w:val="24"/>
          <w:highlight w:val="none"/>
        </w:rPr>
        <w:t>3.</w:t>
      </w:r>
      <w:r>
        <w:rPr>
          <w:rFonts w:hint="eastAsia"/>
          <w:color w:val="auto"/>
          <w:szCs w:val="24"/>
          <w:highlight w:val="none"/>
        </w:rPr>
        <w:tab/>
      </w:r>
      <w:r>
        <w:rPr>
          <w:rFonts w:hint="eastAsia"/>
          <w:color w:val="auto"/>
          <w:szCs w:val="24"/>
          <w:highlight w:val="none"/>
        </w:rPr>
        <w:t>开标时请纪检监督人员或公证人员或投标人代表查验投标文件密封情况，至投标文件开启时间后由评审小组开启投标文件。</w:t>
      </w:r>
    </w:p>
    <w:p>
      <w:pPr>
        <w:pStyle w:val="41"/>
        <w:rPr>
          <w:color w:val="auto"/>
          <w:szCs w:val="24"/>
          <w:highlight w:val="none"/>
        </w:rPr>
      </w:pPr>
      <w:r>
        <w:rPr>
          <w:rFonts w:hint="eastAsia"/>
          <w:color w:val="auto"/>
          <w:szCs w:val="24"/>
          <w:highlight w:val="none"/>
        </w:rPr>
        <w:t>1.5.2</w:t>
      </w:r>
      <w:r>
        <w:rPr>
          <w:rFonts w:hint="eastAsia"/>
          <w:color w:val="auto"/>
          <w:szCs w:val="24"/>
          <w:highlight w:val="none"/>
        </w:rPr>
        <w:tab/>
      </w:r>
      <w:r>
        <w:rPr>
          <w:rFonts w:hint="eastAsia"/>
          <w:color w:val="auto"/>
          <w:szCs w:val="24"/>
          <w:highlight w:val="none"/>
        </w:rPr>
        <w:t>评审小组</w:t>
      </w:r>
    </w:p>
    <w:p>
      <w:pPr>
        <w:pStyle w:val="41"/>
        <w:rPr>
          <w:color w:val="auto"/>
          <w:szCs w:val="24"/>
          <w:highlight w:val="none"/>
        </w:rPr>
      </w:pPr>
      <w:r>
        <w:rPr>
          <w:rFonts w:hint="eastAsia"/>
          <w:color w:val="auto"/>
          <w:szCs w:val="24"/>
          <w:highlight w:val="none"/>
        </w:rPr>
        <w:t>1.</w:t>
      </w:r>
      <w:r>
        <w:rPr>
          <w:rFonts w:hint="eastAsia"/>
          <w:color w:val="auto"/>
          <w:szCs w:val="24"/>
          <w:highlight w:val="none"/>
        </w:rPr>
        <w:tab/>
      </w:r>
      <w:r>
        <w:rPr>
          <w:rFonts w:hint="eastAsia"/>
          <w:color w:val="auto"/>
          <w:szCs w:val="24"/>
          <w:highlight w:val="none"/>
        </w:rPr>
        <w:t>开标仪式结束后，采购人将立即组织评审小组进行评审。</w:t>
      </w:r>
    </w:p>
    <w:p>
      <w:pPr>
        <w:pStyle w:val="41"/>
        <w:rPr>
          <w:color w:val="auto"/>
          <w:szCs w:val="24"/>
          <w:highlight w:val="none"/>
        </w:rPr>
      </w:pPr>
      <w:r>
        <w:rPr>
          <w:rFonts w:hint="eastAsia"/>
          <w:color w:val="auto"/>
          <w:szCs w:val="24"/>
          <w:highlight w:val="none"/>
        </w:rPr>
        <w:t>2.</w:t>
      </w:r>
      <w:r>
        <w:rPr>
          <w:rFonts w:hint="eastAsia"/>
          <w:color w:val="auto"/>
          <w:szCs w:val="24"/>
          <w:highlight w:val="none"/>
        </w:rPr>
        <w:tab/>
      </w:r>
      <w:r>
        <w:rPr>
          <w:rFonts w:hint="eastAsia"/>
          <w:color w:val="auto"/>
          <w:szCs w:val="24"/>
          <w:highlight w:val="none"/>
        </w:rPr>
        <w:t>评审小组将按规定由评审专家共5人或5人以上单数组成。</w:t>
      </w:r>
    </w:p>
    <w:p>
      <w:pPr>
        <w:pStyle w:val="41"/>
        <w:rPr>
          <w:color w:val="auto"/>
          <w:szCs w:val="24"/>
          <w:highlight w:val="none"/>
        </w:rPr>
      </w:pPr>
      <w:r>
        <w:rPr>
          <w:rFonts w:hint="eastAsia"/>
          <w:color w:val="auto"/>
          <w:szCs w:val="24"/>
          <w:highlight w:val="none"/>
        </w:rPr>
        <w:t>1.5.3</w:t>
      </w:r>
      <w:r>
        <w:rPr>
          <w:rFonts w:hint="eastAsia"/>
          <w:color w:val="auto"/>
          <w:szCs w:val="24"/>
          <w:highlight w:val="none"/>
        </w:rPr>
        <w:tab/>
      </w:r>
      <w:r>
        <w:rPr>
          <w:rFonts w:hint="eastAsia"/>
          <w:color w:val="auto"/>
          <w:szCs w:val="24"/>
          <w:highlight w:val="none"/>
        </w:rPr>
        <w:t>评审工作纪律及保密</w:t>
      </w:r>
    </w:p>
    <w:p>
      <w:pPr>
        <w:pStyle w:val="41"/>
        <w:rPr>
          <w:color w:val="auto"/>
          <w:szCs w:val="24"/>
          <w:highlight w:val="none"/>
        </w:rPr>
      </w:pPr>
      <w:r>
        <w:rPr>
          <w:rFonts w:hint="eastAsia"/>
          <w:color w:val="auto"/>
          <w:szCs w:val="24"/>
          <w:highlight w:val="none"/>
        </w:rPr>
        <w:t>1.</w:t>
      </w:r>
      <w:r>
        <w:rPr>
          <w:rFonts w:hint="eastAsia"/>
          <w:color w:val="auto"/>
          <w:szCs w:val="24"/>
          <w:highlight w:val="none"/>
        </w:rPr>
        <w:tab/>
      </w:r>
      <w:r>
        <w:rPr>
          <w:rFonts w:hint="eastAsia"/>
          <w:color w:val="auto"/>
          <w:szCs w:val="24"/>
          <w:highlight w:val="none"/>
        </w:rPr>
        <w:t>评审专家应当遵守评审工作纪律，不得泄露评审情况和评审中获悉的商业秘密。</w:t>
      </w:r>
    </w:p>
    <w:p>
      <w:pPr>
        <w:pStyle w:val="41"/>
        <w:rPr>
          <w:color w:val="auto"/>
          <w:szCs w:val="24"/>
          <w:highlight w:val="none"/>
        </w:rPr>
      </w:pPr>
      <w:r>
        <w:rPr>
          <w:rFonts w:hint="eastAsia"/>
          <w:color w:val="auto"/>
          <w:szCs w:val="24"/>
          <w:highlight w:val="none"/>
        </w:rPr>
        <w:t>1.5.4</w:t>
      </w:r>
      <w:r>
        <w:rPr>
          <w:rFonts w:hint="eastAsia"/>
          <w:color w:val="auto"/>
          <w:szCs w:val="24"/>
          <w:highlight w:val="none"/>
        </w:rPr>
        <w:tab/>
      </w:r>
      <w:r>
        <w:rPr>
          <w:rFonts w:hint="eastAsia"/>
          <w:color w:val="auto"/>
          <w:szCs w:val="24"/>
          <w:highlight w:val="none"/>
        </w:rPr>
        <w:t>评审小组工作原则</w:t>
      </w:r>
    </w:p>
    <w:p>
      <w:pPr>
        <w:pStyle w:val="41"/>
        <w:rPr>
          <w:color w:val="auto"/>
          <w:szCs w:val="24"/>
          <w:highlight w:val="none"/>
        </w:rPr>
      </w:pPr>
      <w:r>
        <w:rPr>
          <w:rFonts w:hint="eastAsia"/>
          <w:color w:val="auto"/>
          <w:szCs w:val="24"/>
          <w:highlight w:val="none"/>
        </w:rPr>
        <w:t>1.5.5</w:t>
      </w:r>
      <w:r>
        <w:rPr>
          <w:rFonts w:hint="eastAsia"/>
          <w:color w:val="auto"/>
          <w:szCs w:val="24"/>
          <w:highlight w:val="none"/>
        </w:rPr>
        <w:tab/>
      </w:r>
      <w:r>
        <w:rPr>
          <w:rFonts w:hint="eastAsia"/>
          <w:color w:val="auto"/>
          <w:szCs w:val="24"/>
          <w:highlight w:val="none"/>
        </w:rPr>
        <w:t>评审小组成员应当按照客观、公正、审慎的原则，根据招标文件规定的评审程序、评审方法和评审标准进行独立评审。未实质性响应招标文件的投标文件按无效响应处理，评审小组应当告知提交投标文件的投标人。招标文件内容违反国家有关强制性规定的，评审小组应当停止评审并向采购人或者采购代理机构说明情况。</w:t>
      </w:r>
    </w:p>
    <w:p>
      <w:pPr>
        <w:pStyle w:val="41"/>
        <w:rPr>
          <w:color w:val="auto"/>
          <w:szCs w:val="24"/>
          <w:highlight w:val="none"/>
        </w:rPr>
      </w:pPr>
      <w:r>
        <w:rPr>
          <w:rFonts w:hint="eastAsia"/>
          <w:color w:val="auto"/>
          <w:szCs w:val="24"/>
          <w:highlight w:val="none"/>
        </w:rPr>
        <w:t>1.5.6</w:t>
      </w:r>
      <w:r>
        <w:rPr>
          <w:rFonts w:hint="eastAsia"/>
          <w:color w:val="auto"/>
          <w:szCs w:val="24"/>
          <w:highlight w:val="none"/>
        </w:rPr>
        <w:tab/>
      </w:r>
      <w:r>
        <w:rPr>
          <w:rFonts w:hint="eastAsia"/>
          <w:color w:val="auto"/>
          <w:szCs w:val="24"/>
          <w:highlight w:val="none"/>
        </w:rPr>
        <w:t>投标文件审查</w:t>
      </w:r>
    </w:p>
    <w:p>
      <w:pPr>
        <w:pStyle w:val="41"/>
        <w:rPr>
          <w:color w:val="auto"/>
          <w:szCs w:val="24"/>
          <w:highlight w:val="none"/>
        </w:rPr>
      </w:pPr>
      <w:r>
        <w:rPr>
          <w:rFonts w:hint="eastAsia"/>
          <w:color w:val="auto"/>
          <w:szCs w:val="24"/>
          <w:highlight w:val="none"/>
        </w:rPr>
        <w:t>1.5.7</w:t>
      </w:r>
      <w:r>
        <w:rPr>
          <w:rFonts w:hint="eastAsia"/>
          <w:color w:val="auto"/>
          <w:szCs w:val="24"/>
          <w:highlight w:val="none"/>
        </w:rPr>
        <w:tab/>
      </w:r>
      <w:r>
        <w:rPr>
          <w:rFonts w:hint="eastAsia"/>
          <w:color w:val="auto"/>
          <w:szCs w:val="24"/>
          <w:highlight w:val="none"/>
        </w:rPr>
        <w:t>评审小组在对投标文件的有效性、完整性和响应程度进行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w:t>
      </w:r>
    </w:p>
    <w:p>
      <w:pPr>
        <w:pStyle w:val="41"/>
        <w:rPr>
          <w:color w:val="auto"/>
          <w:szCs w:val="24"/>
          <w:highlight w:val="none"/>
        </w:rPr>
      </w:pPr>
      <w:r>
        <w:rPr>
          <w:rFonts w:hint="eastAsia"/>
          <w:color w:val="auto"/>
          <w:szCs w:val="24"/>
          <w:highlight w:val="none"/>
        </w:rPr>
        <w:t>1.5.8</w:t>
      </w:r>
      <w:r>
        <w:rPr>
          <w:rFonts w:hint="eastAsia"/>
          <w:color w:val="auto"/>
          <w:szCs w:val="24"/>
          <w:highlight w:val="none"/>
        </w:rPr>
        <w:tab/>
      </w:r>
      <w:r>
        <w:rPr>
          <w:rFonts w:hint="eastAsia"/>
          <w:color w:val="auto"/>
          <w:szCs w:val="24"/>
          <w:highlight w:val="none"/>
        </w:rPr>
        <w:t>投标人澄清</w:t>
      </w:r>
    </w:p>
    <w:p>
      <w:pPr>
        <w:pStyle w:val="41"/>
        <w:rPr>
          <w:color w:val="auto"/>
          <w:szCs w:val="24"/>
          <w:highlight w:val="none"/>
        </w:rPr>
      </w:pPr>
      <w:r>
        <w:rPr>
          <w:rFonts w:hint="eastAsia"/>
          <w:color w:val="auto"/>
          <w:szCs w:val="24"/>
          <w:highlight w:val="none"/>
        </w:rPr>
        <w:t>1.5.9</w:t>
      </w:r>
      <w:r>
        <w:rPr>
          <w:rFonts w:hint="eastAsia"/>
          <w:color w:val="auto"/>
          <w:szCs w:val="24"/>
          <w:highlight w:val="none"/>
        </w:rPr>
        <w:tab/>
      </w:r>
      <w:r>
        <w:rPr>
          <w:rFonts w:hint="eastAsia"/>
          <w:color w:val="auto"/>
          <w:szCs w:val="24"/>
          <w:highlight w:val="none"/>
        </w:rPr>
        <w:t>评审小组要求投标人澄清、说明或者更正投标文件将以书面形式作出。投标人的澄清、说明或者更正应当由法定代表人或其授权代表签字或者加盖公章。</w:t>
      </w:r>
    </w:p>
    <w:p>
      <w:pPr>
        <w:pStyle w:val="41"/>
        <w:rPr>
          <w:color w:val="auto"/>
          <w:szCs w:val="24"/>
          <w:highlight w:val="none"/>
        </w:rPr>
      </w:pPr>
      <w:r>
        <w:rPr>
          <w:rFonts w:hint="eastAsia"/>
          <w:color w:val="auto"/>
          <w:szCs w:val="24"/>
          <w:highlight w:val="none"/>
        </w:rPr>
        <w:t>1.5.10</w:t>
      </w:r>
      <w:r>
        <w:rPr>
          <w:rFonts w:hint="eastAsia"/>
          <w:color w:val="auto"/>
          <w:szCs w:val="24"/>
          <w:highlight w:val="none"/>
        </w:rPr>
        <w:tab/>
      </w:r>
      <w:r>
        <w:rPr>
          <w:rFonts w:hint="eastAsia"/>
          <w:color w:val="auto"/>
          <w:szCs w:val="24"/>
          <w:highlight w:val="none"/>
        </w:rPr>
        <w:t>评审程序：报价得分及技术标得分的综合评分合计。</w:t>
      </w:r>
    </w:p>
    <w:p>
      <w:pPr>
        <w:pStyle w:val="41"/>
        <w:rPr>
          <w:color w:val="auto"/>
          <w:szCs w:val="24"/>
          <w:highlight w:val="none"/>
        </w:rPr>
      </w:pPr>
      <w:r>
        <w:rPr>
          <w:rFonts w:hint="eastAsia"/>
          <w:color w:val="auto"/>
          <w:szCs w:val="24"/>
          <w:highlight w:val="none"/>
        </w:rPr>
        <w:t>1.5.11</w:t>
      </w:r>
      <w:r>
        <w:rPr>
          <w:rFonts w:hint="eastAsia"/>
          <w:color w:val="auto"/>
          <w:szCs w:val="24"/>
          <w:highlight w:val="none"/>
        </w:rPr>
        <w:tab/>
      </w:r>
      <w:r>
        <w:rPr>
          <w:rFonts w:hint="eastAsia"/>
          <w:color w:val="auto"/>
          <w:szCs w:val="24"/>
          <w:highlight w:val="none"/>
        </w:rPr>
        <w:t>评审小组所有成员应当集中与单一投标人分别进行评审，并给予所有参加招标的投标人平等机会。</w:t>
      </w:r>
    </w:p>
    <w:p>
      <w:pPr>
        <w:pStyle w:val="41"/>
        <w:rPr>
          <w:color w:val="auto"/>
          <w:szCs w:val="24"/>
          <w:highlight w:val="none"/>
        </w:rPr>
      </w:pPr>
      <w:r>
        <w:rPr>
          <w:rFonts w:hint="eastAsia"/>
          <w:color w:val="auto"/>
          <w:szCs w:val="24"/>
          <w:highlight w:val="none"/>
        </w:rPr>
        <w:t>1.</w:t>
      </w:r>
      <w:r>
        <w:rPr>
          <w:rFonts w:hint="eastAsia"/>
          <w:color w:val="auto"/>
          <w:szCs w:val="24"/>
          <w:highlight w:val="none"/>
        </w:rPr>
        <w:tab/>
      </w:r>
      <w:r>
        <w:rPr>
          <w:rFonts w:hint="eastAsia"/>
          <w:color w:val="auto"/>
          <w:szCs w:val="24"/>
          <w:highlight w:val="none"/>
        </w:rPr>
        <w:t>在评审过程中，评审小组可以根据招标文件和评审情况实质性变动采购需求中的技术、服务要求以及合同草案条款，但不得变动招标文件中的其他内容。对招标文件作出的实质性变动是招标文件的有效组成部分，评审小组应当及时以书面形式同时通知所有参加的投标人。投标人应当按照招标文件的变动情况和评审小组的要求重新提交投标文件，并由其法定代表人或授权代表签字或者加盖公章。</w:t>
      </w:r>
    </w:p>
    <w:p>
      <w:pPr>
        <w:pStyle w:val="41"/>
        <w:rPr>
          <w:color w:val="auto"/>
          <w:szCs w:val="24"/>
          <w:highlight w:val="none"/>
        </w:rPr>
      </w:pPr>
      <w:r>
        <w:rPr>
          <w:rFonts w:hint="eastAsia"/>
          <w:color w:val="auto"/>
          <w:szCs w:val="24"/>
          <w:highlight w:val="none"/>
        </w:rPr>
        <w:t>2.</w:t>
      </w:r>
      <w:r>
        <w:rPr>
          <w:rFonts w:hint="eastAsia"/>
          <w:color w:val="auto"/>
          <w:szCs w:val="24"/>
          <w:highlight w:val="none"/>
        </w:rPr>
        <w:tab/>
      </w:r>
      <w:r>
        <w:rPr>
          <w:rFonts w:hint="eastAsia"/>
          <w:color w:val="auto"/>
          <w:szCs w:val="24"/>
          <w:highlight w:val="none"/>
        </w:rPr>
        <w:t>由评审小组采用综合评分法对提交投标文件的投标人进行综合评分。综合评分法，是指投标文件满足招标文件全部实质性要求且按评审因素的量化指标评审投标人为成交候选投标人的评审方法。</w:t>
      </w:r>
    </w:p>
    <w:p>
      <w:pPr>
        <w:pStyle w:val="41"/>
        <w:rPr>
          <w:color w:val="auto"/>
          <w:szCs w:val="24"/>
          <w:highlight w:val="none"/>
        </w:rPr>
      </w:pPr>
      <w:r>
        <w:rPr>
          <w:rFonts w:hint="eastAsia"/>
          <w:color w:val="auto"/>
          <w:szCs w:val="24"/>
          <w:highlight w:val="none"/>
        </w:rPr>
        <w:t>3.</w:t>
      </w:r>
      <w:r>
        <w:rPr>
          <w:rFonts w:hint="eastAsia"/>
          <w:color w:val="auto"/>
          <w:szCs w:val="24"/>
          <w:highlight w:val="none"/>
        </w:rPr>
        <w:tab/>
      </w:r>
      <w:r>
        <w:rPr>
          <w:rFonts w:hint="eastAsia"/>
          <w:color w:val="auto"/>
          <w:szCs w:val="24"/>
          <w:highlight w:val="none"/>
        </w:rPr>
        <w:t>评审时，评审小组各成员独立对每个有效响应的文件进行评价、打分，然后汇总每个投标人每项评分因素的得分。</w:t>
      </w:r>
    </w:p>
    <w:p>
      <w:pPr>
        <w:pStyle w:val="41"/>
        <w:rPr>
          <w:color w:val="auto"/>
          <w:szCs w:val="24"/>
          <w:highlight w:val="none"/>
        </w:rPr>
      </w:pPr>
      <w:r>
        <w:rPr>
          <w:rFonts w:hint="eastAsia"/>
          <w:color w:val="auto"/>
          <w:szCs w:val="24"/>
          <w:highlight w:val="none"/>
        </w:rPr>
        <w:t>6.</w:t>
      </w:r>
      <w:r>
        <w:rPr>
          <w:rFonts w:hint="eastAsia"/>
          <w:color w:val="auto"/>
          <w:szCs w:val="24"/>
          <w:highlight w:val="none"/>
        </w:rPr>
        <w:tab/>
      </w:r>
      <w:r>
        <w:rPr>
          <w:rFonts w:hint="eastAsia"/>
          <w:color w:val="auto"/>
          <w:szCs w:val="24"/>
          <w:highlight w:val="none"/>
        </w:rPr>
        <w:t>评审小组应当根据综合评分情况，按照评审得分由高到低顺序推荐前3名成交候选投标人，并编写评审报告。</w:t>
      </w:r>
    </w:p>
    <w:p>
      <w:pPr>
        <w:pStyle w:val="41"/>
        <w:rPr>
          <w:color w:val="auto"/>
          <w:szCs w:val="24"/>
          <w:highlight w:val="none"/>
        </w:rPr>
      </w:pPr>
      <w:r>
        <w:rPr>
          <w:rFonts w:hint="eastAsia"/>
          <w:color w:val="auto"/>
          <w:szCs w:val="24"/>
          <w:highlight w:val="none"/>
        </w:rPr>
        <w:t>1.5.12</w:t>
      </w:r>
      <w:r>
        <w:rPr>
          <w:rFonts w:hint="eastAsia"/>
          <w:color w:val="auto"/>
          <w:szCs w:val="24"/>
          <w:highlight w:val="none"/>
        </w:rPr>
        <w:tab/>
      </w:r>
      <w:r>
        <w:rPr>
          <w:rFonts w:hint="eastAsia"/>
          <w:color w:val="auto"/>
          <w:szCs w:val="24"/>
          <w:highlight w:val="none"/>
        </w:rPr>
        <w:t>响应无效和终止投标活动条款</w:t>
      </w:r>
    </w:p>
    <w:p>
      <w:pPr>
        <w:pStyle w:val="41"/>
        <w:rPr>
          <w:color w:val="auto"/>
          <w:szCs w:val="24"/>
          <w:highlight w:val="none"/>
        </w:rPr>
      </w:pPr>
      <w:r>
        <w:rPr>
          <w:rFonts w:hint="eastAsia"/>
          <w:color w:val="auto"/>
          <w:szCs w:val="24"/>
          <w:highlight w:val="none"/>
        </w:rPr>
        <w:t>1.</w:t>
      </w:r>
      <w:r>
        <w:rPr>
          <w:rFonts w:hint="eastAsia"/>
          <w:color w:val="auto"/>
          <w:szCs w:val="24"/>
          <w:highlight w:val="none"/>
        </w:rPr>
        <w:tab/>
      </w:r>
      <w:r>
        <w:rPr>
          <w:rFonts w:hint="eastAsia"/>
          <w:color w:val="auto"/>
          <w:szCs w:val="24"/>
          <w:highlight w:val="none"/>
        </w:rPr>
        <w:t>响应无效条款</w:t>
      </w:r>
    </w:p>
    <w:p>
      <w:pPr>
        <w:pStyle w:val="41"/>
        <w:rPr>
          <w:color w:val="auto"/>
          <w:szCs w:val="24"/>
          <w:highlight w:val="none"/>
        </w:rPr>
      </w:pPr>
      <w:r>
        <w:rPr>
          <w:rFonts w:hint="eastAsia"/>
          <w:color w:val="auto"/>
          <w:szCs w:val="24"/>
          <w:highlight w:val="none"/>
        </w:rPr>
        <w:t>1)</w:t>
      </w:r>
      <w:r>
        <w:rPr>
          <w:rFonts w:hint="eastAsia"/>
          <w:color w:val="auto"/>
          <w:szCs w:val="24"/>
          <w:highlight w:val="none"/>
        </w:rPr>
        <w:tab/>
      </w:r>
      <w:r>
        <w:rPr>
          <w:rFonts w:hint="eastAsia"/>
          <w:color w:val="auto"/>
          <w:szCs w:val="24"/>
          <w:highlight w:val="none"/>
        </w:rPr>
        <w:t>未按照招标文件规定要求密封、签署、盖章的；</w:t>
      </w:r>
    </w:p>
    <w:p>
      <w:pPr>
        <w:pStyle w:val="41"/>
        <w:rPr>
          <w:color w:val="auto"/>
          <w:szCs w:val="24"/>
          <w:highlight w:val="none"/>
        </w:rPr>
      </w:pPr>
      <w:r>
        <w:rPr>
          <w:rFonts w:hint="eastAsia"/>
          <w:color w:val="auto"/>
          <w:szCs w:val="24"/>
          <w:highlight w:val="none"/>
        </w:rPr>
        <w:t>2)</w:t>
      </w:r>
      <w:r>
        <w:rPr>
          <w:rFonts w:hint="eastAsia"/>
          <w:color w:val="auto"/>
          <w:szCs w:val="24"/>
          <w:highlight w:val="none"/>
        </w:rPr>
        <w:tab/>
      </w:r>
      <w:r>
        <w:rPr>
          <w:rFonts w:hint="eastAsia"/>
          <w:color w:val="auto"/>
          <w:szCs w:val="24"/>
          <w:highlight w:val="none"/>
        </w:rPr>
        <w:t>投标人不具备招标文件中规定资格条件的；</w:t>
      </w:r>
    </w:p>
    <w:p>
      <w:pPr>
        <w:pStyle w:val="41"/>
        <w:rPr>
          <w:color w:val="auto"/>
          <w:szCs w:val="24"/>
          <w:highlight w:val="none"/>
        </w:rPr>
      </w:pPr>
      <w:r>
        <w:rPr>
          <w:rFonts w:hint="eastAsia"/>
          <w:color w:val="auto"/>
          <w:szCs w:val="24"/>
          <w:highlight w:val="none"/>
        </w:rPr>
        <w:t>3)</w:t>
      </w:r>
      <w:r>
        <w:rPr>
          <w:rFonts w:hint="eastAsia"/>
          <w:color w:val="auto"/>
          <w:szCs w:val="24"/>
          <w:highlight w:val="none"/>
        </w:rPr>
        <w:tab/>
      </w:r>
      <w:r>
        <w:rPr>
          <w:rFonts w:hint="eastAsia"/>
          <w:color w:val="auto"/>
          <w:szCs w:val="24"/>
          <w:highlight w:val="none"/>
        </w:rPr>
        <w:t>不符合法律、法规和招标文件中规定的其他实质性要求的；</w:t>
      </w:r>
    </w:p>
    <w:p>
      <w:pPr>
        <w:pStyle w:val="41"/>
        <w:rPr>
          <w:color w:val="auto"/>
          <w:szCs w:val="24"/>
          <w:highlight w:val="none"/>
        </w:rPr>
      </w:pPr>
      <w:r>
        <w:rPr>
          <w:rFonts w:hint="eastAsia"/>
          <w:color w:val="auto"/>
          <w:szCs w:val="24"/>
          <w:highlight w:val="none"/>
        </w:rPr>
        <w:t>4)</w:t>
      </w:r>
      <w:r>
        <w:rPr>
          <w:rFonts w:hint="eastAsia"/>
          <w:color w:val="auto"/>
          <w:szCs w:val="24"/>
          <w:highlight w:val="none"/>
        </w:rPr>
        <w:tab/>
      </w:r>
      <w:r>
        <w:rPr>
          <w:rFonts w:hint="eastAsia"/>
          <w:color w:val="auto"/>
          <w:szCs w:val="24"/>
          <w:highlight w:val="none"/>
        </w:rPr>
        <w:t>其他法律、法规及本招标文件规定的属响应无效的情形。</w:t>
      </w:r>
    </w:p>
    <w:p>
      <w:pPr>
        <w:pStyle w:val="41"/>
        <w:rPr>
          <w:color w:val="auto"/>
          <w:szCs w:val="24"/>
          <w:highlight w:val="none"/>
        </w:rPr>
      </w:pPr>
      <w:r>
        <w:rPr>
          <w:rFonts w:hint="eastAsia"/>
          <w:color w:val="auto"/>
          <w:szCs w:val="24"/>
          <w:highlight w:val="none"/>
        </w:rPr>
        <w:t>2.</w:t>
      </w:r>
      <w:r>
        <w:rPr>
          <w:rFonts w:hint="eastAsia"/>
          <w:color w:val="auto"/>
          <w:szCs w:val="24"/>
          <w:highlight w:val="none"/>
        </w:rPr>
        <w:tab/>
      </w:r>
      <w:r>
        <w:rPr>
          <w:rFonts w:hint="eastAsia"/>
          <w:color w:val="auto"/>
          <w:szCs w:val="24"/>
          <w:highlight w:val="none"/>
        </w:rPr>
        <w:t>终止公开招标采购活动的条款</w:t>
      </w:r>
    </w:p>
    <w:p>
      <w:pPr>
        <w:pStyle w:val="41"/>
        <w:rPr>
          <w:color w:val="auto"/>
          <w:szCs w:val="24"/>
          <w:highlight w:val="none"/>
        </w:rPr>
      </w:pPr>
      <w:r>
        <w:rPr>
          <w:rFonts w:hint="eastAsia"/>
          <w:color w:val="auto"/>
          <w:szCs w:val="24"/>
          <w:highlight w:val="none"/>
        </w:rPr>
        <w:t>出现下列情形之一的，采购人、代理机构将终止公开招标采购活动，发布项目终止公告并说明原因，重新开展采购活动：</w:t>
      </w:r>
    </w:p>
    <w:p>
      <w:pPr>
        <w:pStyle w:val="41"/>
        <w:rPr>
          <w:color w:val="auto"/>
          <w:szCs w:val="24"/>
          <w:highlight w:val="none"/>
        </w:rPr>
      </w:pPr>
      <w:r>
        <w:rPr>
          <w:rFonts w:hint="eastAsia"/>
          <w:color w:val="auto"/>
          <w:szCs w:val="24"/>
          <w:highlight w:val="none"/>
        </w:rPr>
        <w:t>1）</w:t>
      </w:r>
      <w:r>
        <w:rPr>
          <w:rFonts w:hint="eastAsia"/>
          <w:color w:val="auto"/>
          <w:szCs w:val="24"/>
          <w:highlight w:val="none"/>
        </w:rPr>
        <w:tab/>
      </w:r>
      <w:r>
        <w:rPr>
          <w:rFonts w:hint="eastAsia"/>
          <w:color w:val="auto"/>
          <w:szCs w:val="24"/>
          <w:highlight w:val="none"/>
        </w:rPr>
        <w:t>因情况变化，不再符合规定的公开招标采购方式适用情形的；</w:t>
      </w:r>
    </w:p>
    <w:p>
      <w:pPr>
        <w:pStyle w:val="41"/>
        <w:rPr>
          <w:color w:val="auto"/>
          <w:szCs w:val="24"/>
          <w:highlight w:val="none"/>
        </w:rPr>
      </w:pPr>
      <w:r>
        <w:rPr>
          <w:rFonts w:hint="eastAsia"/>
          <w:color w:val="auto"/>
          <w:szCs w:val="24"/>
          <w:highlight w:val="none"/>
        </w:rPr>
        <w:t>2）</w:t>
      </w:r>
      <w:r>
        <w:rPr>
          <w:rFonts w:hint="eastAsia"/>
          <w:color w:val="auto"/>
          <w:szCs w:val="24"/>
          <w:highlight w:val="none"/>
        </w:rPr>
        <w:tab/>
      </w:r>
      <w:r>
        <w:rPr>
          <w:rFonts w:hint="eastAsia"/>
          <w:color w:val="auto"/>
          <w:szCs w:val="24"/>
          <w:highlight w:val="none"/>
        </w:rPr>
        <w:t>出现影响采购公正的违法、违规行为的；</w:t>
      </w:r>
    </w:p>
    <w:p>
      <w:pPr>
        <w:pStyle w:val="41"/>
        <w:rPr>
          <w:color w:val="auto"/>
          <w:szCs w:val="24"/>
          <w:highlight w:val="none"/>
        </w:rPr>
      </w:pPr>
      <w:r>
        <w:rPr>
          <w:rFonts w:hint="eastAsia"/>
          <w:color w:val="auto"/>
          <w:szCs w:val="24"/>
          <w:highlight w:val="none"/>
        </w:rPr>
        <w:t>3）</w:t>
      </w:r>
      <w:r>
        <w:rPr>
          <w:rFonts w:hint="eastAsia"/>
          <w:color w:val="auto"/>
          <w:szCs w:val="24"/>
          <w:highlight w:val="none"/>
        </w:rPr>
        <w:tab/>
      </w:r>
      <w:r>
        <w:rPr>
          <w:rFonts w:hint="eastAsia"/>
          <w:color w:val="auto"/>
          <w:szCs w:val="24"/>
          <w:highlight w:val="none"/>
        </w:rPr>
        <w:t>在采购过程中符合要求的投标人不足3家的。</w:t>
      </w:r>
    </w:p>
    <w:p>
      <w:pPr>
        <w:pStyle w:val="41"/>
        <w:rPr>
          <w:color w:val="auto"/>
          <w:szCs w:val="24"/>
          <w:highlight w:val="none"/>
        </w:rPr>
      </w:pPr>
      <w:r>
        <w:rPr>
          <w:rFonts w:hint="eastAsia"/>
          <w:color w:val="auto"/>
          <w:szCs w:val="24"/>
          <w:highlight w:val="none"/>
        </w:rPr>
        <w:t>1.6</w:t>
      </w:r>
      <w:r>
        <w:rPr>
          <w:rFonts w:hint="eastAsia"/>
          <w:color w:val="auto"/>
          <w:szCs w:val="24"/>
          <w:highlight w:val="none"/>
        </w:rPr>
        <w:tab/>
      </w:r>
      <w:r>
        <w:rPr>
          <w:rFonts w:hint="eastAsia"/>
          <w:color w:val="auto"/>
          <w:szCs w:val="24"/>
          <w:highlight w:val="none"/>
        </w:rPr>
        <w:t>确定成交、询问及质疑</w:t>
      </w:r>
    </w:p>
    <w:p>
      <w:pPr>
        <w:pStyle w:val="41"/>
        <w:rPr>
          <w:color w:val="auto"/>
          <w:szCs w:val="24"/>
          <w:highlight w:val="none"/>
        </w:rPr>
      </w:pPr>
      <w:r>
        <w:rPr>
          <w:rFonts w:hint="eastAsia"/>
          <w:color w:val="auto"/>
          <w:szCs w:val="24"/>
          <w:highlight w:val="none"/>
        </w:rPr>
        <w:t>1.6.1</w:t>
      </w:r>
      <w:r>
        <w:rPr>
          <w:rFonts w:hint="eastAsia"/>
          <w:color w:val="auto"/>
          <w:szCs w:val="24"/>
          <w:highlight w:val="none"/>
        </w:rPr>
        <w:tab/>
      </w:r>
      <w:r>
        <w:rPr>
          <w:rFonts w:hint="eastAsia"/>
          <w:color w:val="auto"/>
          <w:szCs w:val="24"/>
          <w:highlight w:val="none"/>
        </w:rPr>
        <w:t>确定成交投标人</w:t>
      </w:r>
    </w:p>
    <w:p>
      <w:pPr>
        <w:pStyle w:val="41"/>
        <w:rPr>
          <w:color w:val="auto"/>
          <w:szCs w:val="24"/>
          <w:highlight w:val="none"/>
        </w:rPr>
      </w:pPr>
      <w:r>
        <w:rPr>
          <w:rFonts w:hint="eastAsia"/>
          <w:color w:val="auto"/>
          <w:szCs w:val="24"/>
          <w:highlight w:val="none"/>
        </w:rPr>
        <w:t>1.</w:t>
      </w:r>
      <w:r>
        <w:rPr>
          <w:rFonts w:hint="eastAsia"/>
          <w:color w:val="auto"/>
          <w:szCs w:val="24"/>
          <w:highlight w:val="none"/>
        </w:rPr>
        <w:tab/>
      </w:r>
      <w:r>
        <w:rPr>
          <w:rFonts w:hint="eastAsia"/>
          <w:color w:val="auto"/>
          <w:szCs w:val="24"/>
          <w:highlight w:val="none"/>
        </w:rPr>
        <w:t>采购人在收到评审报告后5个工作日内，从评审报告提出的成交候选投标人中，按照排序由高到低的原则确定前3名成交候选投标人。</w:t>
      </w:r>
    </w:p>
    <w:p>
      <w:pPr>
        <w:pStyle w:val="41"/>
        <w:rPr>
          <w:color w:val="auto"/>
          <w:szCs w:val="24"/>
          <w:highlight w:val="none"/>
        </w:rPr>
      </w:pPr>
      <w:r>
        <w:rPr>
          <w:rFonts w:hint="eastAsia"/>
          <w:color w:val="auto"/>
          <w:szCs w:val="24"/>
          <w:highlight w:val="none"/>
        </w:rPr>
        <w:t>2. 代理机构在成交投标人确定后2个工作日内在</w:t>
      </w:r>
      <w:r>
        <w:rPr>
          <w:rFonts w:hint="eastAsia"/>
          <w:color w:val="auto"/>
          <w:szCs w:val="24"/>
          <w:highlight w:val="none"/>
          <w:u w:val="single"/>
        </w:rPr>
        <w:t>新疆政府采购网</w:t>
      </w:r>
      <w:r>
        <w:rPr>
          <w:rFonts w:hint="eastAsia"/>
          <w:color w:val="auto"/>
          <w:szCs w:val="24"/>
          <w:highlight w:val="none"/>
        </w:rPr>
        <w:t>公告成交结果。</w:t>
      </w:r>
    </w:p>
    <w:p>
      <w:pPr>
        <w:pStyle w:val="41"/>
        <w:rPr>
          <w:color w:val="auto"/>
          <w:szCs w:val="24"/>
          <w:highlight w:val="none"/>
        </w:rPr>
      </w:pPr>
      <w:r>
        <w:rPr>
          <w:rFonts w:hint="eastAsia"/>
          <w:color w:val="auto"/>
          <w:szCs w:val="24"/>
          <w:highlight w:val="none"/>
        </w:rPr>
        <w:t>1.6.2</w:t>
      </w:r>
      <w:r>
        <w:rPr>
          <w:rFonts w:hint="eastAsia"/>
          <w:color w:val="auto"/>
          <w:szCs w:val="24"/>
          <w:highlight w:val="none"/>
        </w:rPr>
        <w:tab/>
      </w:r>
      <w:r>
        <w:rPr>
          <w:rFonts w:hint="eastAsia"/>
          <w:color w:val="auto"/>
          <w:szCs w:val="24"/>
          <w:highlight w:val="none"/>
        </w:rPr>
        <w:t>询问及质疑</w:t>
      </w:r>
    </w:p>
    <w:p>
      <w:pPr>
        <w:pStyle w:val="41"/>
        <w:rPr>
          <w:color w:val="auto"/>
          <w:szCs w:val="24"/>
          <w:highlight w:val="none"/>
        </w:rPr>
      </w:pPr>
      <w:r>
        <w:rPr>
          <w:rFonts w:hint="eastAsia"/>
          <w:color w:val="auto"/>
          <w:szCs w:val="24"/>
          <w:highlight w:val="none"/>
        </w:rPr>
        <w:t>1.</w:t>
      </w:r>
      <w:r>
        <w:rPr>
          <w:rFonts w:hint="eastAsia"/>
          <w:color w:val="auto"/>
          <w:szCs w:val="24"/>
          <w:highlight w:val="none"/>
        </w:rPr>
        <w:tab/>
      </w:r>
      <w:r>
        <w:rPr>
          <w:rFonts w:hint="eastAsia"/>
          <w:color w:val="auto"/>
          <w:szCs w:val="24"/>
          <w:highlight w:val="none"/>
        </w:rPr>
        <w:t>询问及质疑依据《中华人民共和国政府采购法》、《中华人民共和国政府采购法实施条例》及相关法律法规处理。</w:t>
      </w:r>
    </w:p>
    <w:p>
      <w:pPr>
        <w:pStyle w:val="41"/>
        <w:rPr>
          <w:color w:val="auto"/>
          <w:szCs w:val="24"/>
          <w:highlight w:val="none"/>
        </w:rPr>
      </w:pPr>
      <w:r>
        <w:rPr>
          <w:rFonts w:hint="eastAsia"/>
          <w:color w:val="auto"/>
          <w:szCs w:val="24"/>
          <w:highlight w:val="none"/>
        </w:rPr>
        <w:t>1.7</w:t>
      </w:r>
      <w:r>
        <w:rPr>
          <w:rFonts w:hint="eastAsia"/>
          <w:color w:val="auto"/>
          <w:szCs w:val="24"/>
          <w:highlight w:val="none"/>
        </w:rPr>
        <w:tab/>
      </w:r>
      <w:r>
        <w:rPr>
          <w:rFonts w:hint="eastAsia"/>
          <w:color w:val="auto"/>
          <w:szCs w:val="24"/>
          <w:highlight w:val="none"/>
        </w:rPr>
        <w:t>授予合同</w:t>
      </w:r>
    </w:p>
    <w:p>
      <w:pPr>
        <w:pStyle w:val="41"/>
        <w:rPr>
          <w:color w:val="auto"/>
          <w:szCs w:val="24"/>
          <w:highlight w:val="none"/>
        </w:rPr>
      </w:pPr>
      <w:r>
        <w:rPr>
          <w:rFonts w:hint="eastAsia"/>
          <w:color w:val="auto"/>
          <w:szCs w:val="24"/>
          <w:highlight w:val="none"/>
        </w:rPr>
        <w:t>1.7.1</w:t>
      </w:r>
      <w:r>
        <w:rPr>
          <w:rFonts w:hint="eastAsia"/>
          <w:color w:val="auto"/>
          <w:szCs w:val="24"/>
          <w:highlight w:val="none"/>
        </w:rPr>
        <w:tab/>
      </w:r>
      <w:r>
        <w:rPr>
          <w:rFonts w:hint="eastAsia"/>
          <w:color w:val="auto"/>
          <w:szCs w:val="24"/>
          <w:highlight w:val="none"/>
        </w:rPr>
        <w:t>签订合同</w:t>
      </w:r>
    </w:p>
    <w:p>
      <w:pPr>
        <w:pStyle w:val="41"/>
        <w:rPr>
          <w:color w:val="auto"/>
          <w:szCs w:val="24"/>
          <w:highlight w:val="none"/>
        </w:rPr>
      </w:pPr>
      <w:r>
        <w:rPr>
          <w:rFonts w:hint="eastAsia"/>
          <w:color w:val="auto"/>
          <w:szCs w:val="24"/>
          <w:highlight w:val="none"/>
        </w:rPr>
        <w:t>1.</w:t>
      </w:r>
      <w:r>
        <w:rPr>
          <w:rFonts w:hint="eastAsia"/>
          <w:color w:val="auto"/>
          <w:szCs w:val="24"/>
          <w:highlight w:val="none"/>
        </w:rPr>
        <w:tab/>
      </w:r>
      <w:r>
        <w:rPr>
          <w:rFonts w:hint="eastAsia"/>
          <w:color w:val="auto"/>
          <w:szCs w:val="24"/>
          <w:highlight w:val="none"/>
        </w:rPr>
        <w:t>采购人与成交投标人应当在成交通知书发出之日起10日内，按照招标文件确定的合同文本以及采购标的、采购金额和服务要求等事项签订政府采购合同。</w:t>
      </w:r>
    </w:p>
    <w:p>
      <w:pPr>
        <w:pStyle w:val="41"/>
        <w:rPr>
          <w:color w:val="auto"/>
          <w:szCs w:val="24"/>
          <w:highlight w:val="none"/>
        </w:rPr>
      </w:pPr>
      <w:r>
        <w:rPr>
          <w:rFonts w:hint="eastAsia"/>
          <w:color w:val="auto"/>
          <w:szCs w:val="24"/>
          <w:highlight w:val="none"/>
        </w:rPr>
        <w:t>2.</w:t>
      </w:r>
      <w:r>
        <w:rPr>
          <w:rFonts w:hint="eastAsia"/>
          <w:color w:val="auto"/>
          <w:szCs w:val="24"/>
          <w:highlight w:val="none"/>
        </w:rPr>
        <w:tab/>
      </w:r>
      <w:r>
        <w:rPr>
          <w:rFonts w:hint="eastAsia"/>
          <w:color w:val="auto"/>
          <w:szCs w:val="24"/>
          <w:highlight w:val="none"/>
        </w:rPr>
        <w:t>采购人不得向成交投标人提出超出招标文件以外的任何要求作为签订合同的条件，不得与成交投标人订立背离招标文件确定的合同文本以及采购标的、采购金额和服务要求等实质性内容的协议。</w:t>
      </w:r>
    </w:p>
    <w:p>
      <w:pPr>
        <w:pStyle w:val="41"/>
        <w:rPr>
          <w:color w:val="auto"/>
          <w:szCs w:val="24"/>
          <w:highlight w:val="none"/>
        </w:rPr>
      </w:pPr>
      <w:r>
        <w:rPr>
          <w:rFonts w:hint="eastAsia"/>
          <w:color w:val="auto"/>
          <w:szCs w:val="24"/>
          <w:highlight w:val="none"/>
        </w:rPr>
        <w:t>3.</w:t>
      </w:r>
      <w:r>
        <w:rPr>
          <w:rFonts w:hint="eastAsia"/>
          <w:color w:val="auto"/>
          <w:szCs w:val="24"/>
          <w:highlight w:val="none"/>
        </w:rPr>
        <w:tab/>
      </w:r>
      <w:r>
        <w:rPr>
          <w:rFonts w:hint="eastAsia"/>
          <w:color w:val="auto"/>
          <w:szCs w:val="24"/>
          <w:highlight w:val="none"/>
        </w:rPr>
        <w:t>成交投标人拒绝签订政府采购合同的，采购人可以按照从评审报告提出的成交候选投标人中，按照排序由高到低的原则重新确定其他投标人作为成交投标人并签订政府采购合同，也可以重新开展采购活动。拒绝签订政府采购合同的成交投标人不得参加对该项目重新开展的采购活动。</w:t>
      </w:r>
    </w:p>
    <w:p>
      <w:pPr>
        <w:pStyle w:val="41"/>
        <w:rPr>
          <w:color w:val="auto"/>
          <w:szCs w:val="24"/>
          <w:highlight w:val="none"/>
        </w:rPr>
      </w:pPr>
      <w:r>
        <w:rPr>
          <w:rFonts w:hint="eastAsia"/>
          <w:color w:val="auto"/>
          <w:szCs w:val="24"/>
          <w:highlight w:val="none"/>
        </w:rPr>
        <w:t>4.</w:t>
      </w:r>
      <w:r>
        <w:rPr>
          <w:rFonts w:hint="eastAsia"/>
          <w:color w:val="auto"/>
          <w:szCs w:val="24"/>
          <w:highlight w:val="none"/>
        </w:rPr>
        <w:tab/>
      </w:r>
      <w:r>
        <w:rPr>
          <w:rFonts w:hint="eastAsia"/>
          <w:color w:val="auto"/>
          <w:szCs w:val="24"/>
          <w:highlight w:val="none"/>
        </w:rPr>
        <w:t>招标文件、成交投标人的投标文件及评审过程中有关澄清、承诺文件均应作为合同附件。</w:t>
      </w:r>
    </w:p>
    <w:p>
      <w:pPr>
        <w:pStyle w:val="41"/>
        <w:rPr>
          <w:color w:val="auto"/>
          <w:szCs w:val="24"/>
          <w:highlight w:val="none"/>
        </w:rPr>
      </w:pPr>
      <w:r>
        <w:rPr>
          <w:rFonts w:hint="eastAsia"/>
          <w:color w:val="auto"/>
          <w:szCs w:val="24"/>
          <w:highlight w:val="none"/>
        </w:rPr>
        <w:t>5.</w:t>
      </w:r>
      <w:r>
        <w:rPr>
          <w:rFonts w:hint="eastAsia"/>
          <w:color w:val="auto"/>
          <w:szCs w:val="24"/>
          <w:highlight w:val="none"/>
        </w:rPr>
        <w:tab/>
      </w:r>
      <w:r>
        <w:rPr>
          <w:rFonts w:hint="eastAsia"/>
          <w:color w:val="auto"/>
          <w:szCs w:val="24"/>
          <w:highlight w:val="none"/>
        </w:rPr>
        <w:t>签订合同后，成交投标人不得将货物及其他相关服务进行转包。未经采购人同意，成交投标人也不得采用分包的形式履行合同，否则采购人有权终止合同，成交投标人的履约保证金将不予退还。转包或分包造成采购人损失的，成交投标人应承担相应赔偿责任。</w:t>
      </w:r>
    </w:p>
    <w:p>
      <w:pPr>
        <w:pStyle w:val="41"/>
        <w:rPr>
          <w:color w:val="auto"/>
          <w:szCs w:val="24"/>
          <w:highlight w:val="none"/>
        </w:rPr>
      </w:pPr>
      <w:r>
        <w:rPr>
          <w:rFonts w:hint="eastAsia"/>
          <w:color w:val="auto"/>
          <w:szCs w:val="24"/>
          <w:highlight w:val="none"/>
        </w:rPr>
        <w:t>6.</w:t>
      </w:r>
      <w:r>
        <w:rPr>
          <w:rFonts w:hint="eastAsia"/>
          <w:color w:val="auto"/>
          <w:szCs w:val="24"/>
          <w:highlight w:val="none"/>
        </w:rPr>
        <w:tab/>
      </w:r>
      <w:r>
        <w:rPr>
          <w:rFonts w:hint="eastAsia"/>
          <w:color w:val="auto"/>
          <w:szCs w:val="24"/>
          <w:highlight w:val="none"/>
        </w:rPr>
        <w:t>合同条款及格式</w:t>
      </w:r>
    </w:p>
    <w:p>
      <w:pPr>
        <w:pStyle w:val="41"/>
        <w:rPr>
          <w:color w:val="auto"/>
          <w:szCs w:val="24"/>
          <w:highlight w:val="none"/>
        </w:rPr>
      </w:pPr>
      <w:r>
        <w:rPr>
          <w:rFonts w:hint="eastAsia"/>
          <w:color w:val="auto"/>
          <w:szCs w:val="24"/>
          <w:highlight w:val="none"/>
        </w:rPr>
        <w:t>关于专用条款将由采购人与成交投标人结合本项目具体情况协商后签订。</w:t>
      </w:r>
      <w:r>
        <w:rPr>
          <w:color w:val="auto"/>
          <w:szCs w:val="24"/>
          <w:highlight w:val="none"/>
        </w:rPr>
        <w:br w:type="page"/>
      </w:r>
    </w:p>
    <w:p>
      <w:pPr>
        <w:numPr>
          <w:ilvl w:val="0"/>
          <w:numId w:val="3"/>
        </w:numPr>
        <w:jc w:val="center"/>
        <w:rPr>
          <w:color w:val="auto"/>
          <w:highlight w:val="none"/>
        </w:rPr>
      </w:pPr>
      <w:r>
        <w:rPr>
          <w:rFonts w:hint="eastAsia" w:cs="宋体"/>
          <w:b/>
          <w:color w:val="auto"/>
          <w:szCs w:val="28"/>
          <w:highlight w:val="none"/>
        </w:rPr>
        <w:t>评分标准</w:t>
      </w:r>
    </w:p>
    <w:tbl>
      <w:tblPr>
        <w:tblStyle w:val="22"/>
        <w:tblW w:w="10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365"/>
        <w:gridCol w:w="871"/>
        <w:gridCol w:w="7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5" w:type="dxa"/>
            <w:vAlign w:val="center"/>
          </w:tcPr>
          <w:p>
            <w:pPr>
              <w:spacing w:line="340" w:lineRule="exact"/>
              <w:jc w:val="center"/>
              <w:rPr>
                <w:rFonts w:cs="宋体"/>
                <w:b/>
                <w:color w:val="auto"/>
                <w:sz w:val="21"/>
                <w:highlight w:val="none"/>
              </w:rPr>
            </w:pPr>
            <w:r>
              <w:rPr>
                <w:rFonts w:hint="eastAsia" w:cs="宋体"/>
                <w:b/>
                <w:color w:val="auto"/>
                <w:sz w:val="21"/>
                <w:highlight w:val="none"/>
              </w:rPr>
              <w:t>评价指标</w:t>
            </w:r>
          </w:p>
        </w:tc>
        <w:tc>
          <w:tcPr>
            <w:tcW w:w="1365" w:type="dxa"/>
            <w:vAlign w:val="center"/>
          </w:tcPr>
          <w:p>
            <w:pPr>
              <w:pStyle w:val="13"/>
              <w:widowControl/>
              <w:pBdr>
                <w:bottom w:val="none" w:color="auto" w:sz="0" w:space="0"/>
              </w:pBdr>
              <w:tabs>
                <w:tab w:val="clear" w:pos="4153"/>
                <w:tab w:val="clear" w:pos="8306"/>
              </w:tabs>
              <w:snapToGrid/>
              <w:spacing w:line="340" w:lineRule="exact"/>
              <w:rPr>
                <w:rFonts w:cs="宋体"/>
                <w:b/>
                <w:color w:val="auto"/>
                <w:sz w:val="21"/>
                <w:szCs w:val="21"/>
                <w:highlight w:val="none"/>
              </w:rPr>
            </w:pPr>
            <w:r>
              <w:rPr>
                <w:rFonts w:hint="eastAsia" w:cs="宋体"/>
                <w:b/>
                <w:color w:val="auto"/>
                <w:sz w:val="21"/>
                <w:szCs w:val="21"/>
                <w:highlight w:val="none"/>
              </w:rPr>
              <w:t>评价分项</w:t>
            </w:r>
          </w:p>
        </w:tc>
        <w:tc>
          <w:tcPr>
            <w:tcW w:w="871" w:type="dxa"/>
            <w:vAlign w:val="center"/>
          </w:tcPr>
          <w:p>
            <w:pPr>
              <w:spacing w:line="340" w:lineRule="exact"/>
              <w:jc w:val="center"/>
              <w:rPr>
                <w:rFonts w:cs="宋体"/>
                <w:b/>
                <w:color w:val="auto"/>
                <w:sz w:val="21"/>
                <w:highlight w:val="none"/>
              </w:rPr>
            </w:pPr>
            <w:r>
              <w:rPr>
                <w:rFonts w:hint="eastAsia" w:cs="宋体"/>
                <w:b/>
                <w:color w:val="auto"/>
                <w:sz w:val="21"/>
                <w:highlight w:val="none"/>
              </w:rPr>
              <w:t>分值</w:t>
            </w:r>
          </w:p>
        </w:tc>
        <w:tc>
          <w:tcPr>
            <w:tcW w:w="7291" w:type="dxa"/>
            <w:vAlign w:val="center"/>
          </w:tcPr>
          <w:p>
            <w:pPr>
              <w:spacing w:line="340" w:lineRule="exact"/>
              <w:ind w:left="-17" w:leftChars="-7" w:firstLine="15" w:firstLineChars="7"/>
              <w:jc w:val="center"/>
              <w:rPr>
                <w:rFonts w:cs="宋体"/>
                <w:b/>
                <w:color w:val="auto"/>
                <w:sz w:val="21"/>
                <w:highlight w:val="none"/>
              </w:rPr>
            </w:pPr>
            <w:r>
              <w:rPr>
                <w:rFonts w:hint="eastAsia" w:cs="宋体"/>
                <w:b/>
                <w:color w:val="auto"/>
                <w:sz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1025" w:type="dxa"/>
            <w:vAlign w:val="center"/>
          </w:tcPr>
          <w:p>
            <w:pPr>
              <w:jc w:val="center"/>
              <w:rPr>
                <w:rFonts w:cs="宋体"/>
                <w:color w:val="auto"/>
                <w:sz w:val="21"/>
                <w:highlight w:val="none"/>
                <w:lang w:val="en-GB"/>
              </w:rPr>
            </w:pPr>
            <w:r>
              <w:rPr>
                <w:rFonts w:hint="eastAsia" w:cs="宋体"/>
                <w:color w:val="auto"/>
                <w:sz w:val="21"/>
                <w:highlight w:val="none"/>
                <w:lang w:val="en-GB"/>
              </w:rPr>
              <w:t>报价得分（</w:t>
            </w:r>
            <w:r>
              <w:rPr>
                <w:rFonts w:hint="eastAsia" w:cs="宋体"/>
                <w:color w:val="auto"/>
                <w:sz w:val="21"/>
                <w:highlight w:val="none"/>
                <w:lang w:val="en-US" w:eastAsia="zh-CN"/>
              </w:rPr>
              <w:t>30</w:t>
            </w:r>
            <w:r>
              <w:rPr>
                <w:rFonts w:hint="eastAsia" w:cs="宋体"/>
                <w:color w:val="auto"/>
                <w:sz w:val="21"/>
                <w:highlight w:val="none"/>
              </w:rPr>
              <w:t>分</w:t>
            </w:r>
            <w:r>
              <w:rPr>
                <w:rFonts w:hint="eastAsia" w:cs="宋体"/>
                <w:color w:val="auto"/>
                <w:sz w:val="21"/>
                <w:highlight w:val="none"/>
                <w:lang w:val="en-GB"/>
              </w:rPr>
              <w:t>）</w:t>
            </w:r>
          </w:p>
        </w:tc>
        <w:tc>
          <w:tcPr>
            <w:tcW w:w="1365" w:type="dxa"/>
            <w:vAlign w:val="center"/>
          </w:tcPr>
          <w:p>
            <w:pPr>
              <w:jc w:val="center"/>
              <w:rPr>
                <w:rFonts w:cs="宋体"/>
                <w:color w:val="auto"/>
                <w:sz w:val="21"/>
                <w:highlight w:val="none"/>
                <w:lang w:val="en-GB"/>
              </w:rPr>
            </w:pPr>
            <w:r>
              <w:rPr>
                <w:rFonts w:hint="eastAsia" w:cs="宋体"/>
                <w:color w:val="auto"/>
                <w:sz w:val="21"/>
                <w:highlight w:val="none"/>
                <w:lang w:val="en-GB"/>
              </w:rPr>
              <w:t>投标报价</w:t>
            </w:r>
          </w:p>
        </w:tc>
        <w:tc>
          <w:tcPr>
            <w:tcW w:w="871" w:type="dxa"/>
            <w:vAlign w:val="center"/>
          </w:tcPr>
          <w:p>
            <w:pPr>
              <w:jc w:val="center"/>
              <w:rPr>
                <w:rFonts w:cs="宋体"/>
                <w:color w:val="auto"/>
                <w:sz w:val="21"/>
                <w:highlight w:val="none"/>
              </w:rPr>
            </w:pPr>
            <w:r>
              <w:rPr>
                <w:rFonts w:hint="eastAsia" w:cs="宋体"/>
                <w:color w:val="auto"/>
                <w:sz w:val="21"/>
                <w:highlight w:val="none"/>
                <w:lang w:val="en-US" w:eastAsia="zh-CN"/>
              </w:rPr>
              <w:t>30</w:t>
            </w:r>
            <w:r>
              <w:rPr>
                <w:rFonts w:hint="eastAsia" w:cs="宋体"/>
                <w:color w:val="auto"/>
                <w:sz w:val="21"/>
                <w:highlight w:val="none"/>
              </w:rPr>
              <w:t>分</w:t>
            </w:r>
          </w:p>
        </w:tc>
        <w:tc>
          <w:tcPr>
            <w:tcW w:w="7291" w:type="dxa"/>
            <w:vAlign w:val="center"/>
          </w:tcPr>
          <w:p>
            <w:pPr>
              <w:spacing w:line="400" w:lineRule="exact"/>
              <w:rPr>
                <w:rFonts w:hint="eastAsia" w:eastAsia="宋体" w:cs="宋体"/>
                <w:color w:val="auto"/>
                <w:sz w:val="21"/>
                <w:highlight w:val="none"/>
                <w:lang w:val="en-GB" w:eastAsia="zh-CN"/>
              </w:rPr>
            </w:pPr>
            <w:r>
              <w:rPr>
                <w:rFonts w:hint="eastAsia" w:cs="宋体"/>
                <w:color w:val="auto"/>
                <w:sz w:val="21"/>
                <w:highlight w:val="none"/>
                <w:lang w:val="en-GB"/>
              </w:rPr>
              <w:t>综合评分法中的价格分统一采用低价优先法计算，即满足招标文件要求且投标价格最低的投标报价为评标基准价，其价格分为满分</w:t>
            </w:r>
            <w:r>
              <w:rPr>
                <w:rFonts w:hint="eastAsia" w:cs="宋体"/>
                <w:color w:val="auto"/>
                <w:sz w:val="21"/>
                <w:highlight w:val="none"/>
                <w:lang w:val="en-US" w:eastAsia="zh-CN"/>
              </w:rPr>
              <w:t>3</w:t>
            </w:r>
            <w:r>
              <w:rPr>
                <w:rFonts w:hint="eastAsia" w:cs="宋体"/>
                <w:color w:val="auto"/>
                <w:sz w:val="21"/>
                <w:highlight w:val="none"/>
                <w:lang w:val="en-GB"/>
              </w:rPr>
              <w:t>0分。其他投标人的价格分统一按照下列公式计算：投标报价得分=(评标基准价／投标报价)×</w:t>
            </w:r>
            <w:r>
              <w:rPr>
                <w:rFonts w:hint="eastAsia" w:cs="宋体"/>
                <w:color w:val="auto"/>
                <w:sz w:val="21"/>
                <w:highlight w:val="none"/>
                <w:lang w:val="en-US" w:eastAsia="zh-CN"/>
              </w:rPr>
              <w:t>3</w:t>
            </w:r>
            <w:r>
              <w:rPr>
                <w:rFonts w:hint="eastAsia" w:cs="宋体"/>
                <w:color w:val="auto"/>
                <w:sz w:val="21"/>
                <w:highlight w:val="none"/>
                <w:lang w:val="en-GB"/>
              </w:rPr>
              <w:t>0</w:t>
            </w:r>
            <w:r>
              <w:rPr>
                <w:rFonts w:hint="eastAsia" w:cs="宋体"/>
                <w:color w:val="auto"/>
                <w:sz w:val="21"/>
                <w:highlight w:val="none"/>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1025" w:type="dxa"/>
            <w:vMerge w:val="restart"/>
            <w:vAlign w:val="center"/>
          </w:tcPr>
          <w:p>
            <w:pPr>
              <w:jc w:val="center"/>
              <w:rPr>
                <w:rFonts w:cs="宋体"/>
                <w:color w:val="auto"/>
                <w:sz w:val="21"/>
                <w:highlight w:val="none"/>
                <w:lang w:val="en-GB"/>
              </w:rPr>
            </w:pPr>
            <w:r>
              <w:rPr>
                <w:rFonts w:hint="eastAsia" w:cs="宋体"/>
                <w:color w:val="auto"/>
                <w:sz w:val="21"/>
                <w:highlight w:val="none"/>
                <w:lang w:val="en-GB" w:eastAsia="zh-CN"/>
              </w:rPr>
              <w:t>技术商务得分</w:t>
            </w:r>
            <w:r>
              <w:rPr>
                <w:rFonts w:hint="eastAsia" w:cs="宋体"/>
                <w:color w:val="auto"/>
                <w:sz w:val="21"/>
                <w:highlight w:val="none"/>
                <w:lang w:val="en-GB"/>
              </w:rPr>
              <w:t>（</w:t>
            </w:r>
            <w:r>
              <w:rPr>
                <w:rFonts w:hint="eastAsia" w:cs="宋体"/>
                <w:color w:val="auto"/>
                <w:sz w:val="21"/>
                <w:highlight w:val="none"/>
                <w:lang w:val="en-US" w:eastAsia="zh-CN"/>
              </w:rPr>
              <w:t>70</w:t>
            </w:r>
            <w:r>
              <w:rPr>
                <w:rFonts w:hint="eastAsia" w:cs="宋体"/>
                <w:color w:val="auto"/>
                <w:sz w:val="21"/>
                <w:highlight w:val="none"/>
              </w:rPr>
              <w:t>分</w:t>
            </w:r>
            <w:r>
              <w:rPr>
                <w:rFonts w:hint="eastAsia" w:cs="宋体"/>
                <w:color w:val="auto"/>
                <w:sz w:val="21"/>
                <w:highlight w:val="none"/>
                <w:lang w:val="en-GB"/>
              </w:rPr>
              <w:t>）</w:t>
            </w:r>
          </w:p>
        </w:tc>
        <w:tc>
          <w:tcPr>
            <w:tcW w:w="1365" w:type="dxa"/>
            <w:vAlign w:val="center"/>
          </w:tcPr>
          <w:p>
            <w:pPr>
              <w:spacing w:line="400" w:lineRule="exact"/>
              <w:jc w:val="center"/>
              <w:rPr>
                <w:rFonts w:cs="宋体"/>
                <w:color w:val="auto"/>
                <w:sz w:val="21"/>
                <w:highlight w:val="none"/>
                <w:lang w:val="en-GB"/>
              </w:rPr>
            </w:pPr>
            <w:r>
              <w:rPr>
                <w:rFonts w:hint="eastAsia" w:cs="宋体"/>
                <w:color w:val="auto"/>
                <w:sz w:val="21"/>
                <w:highlight w:val="none"/>
                <w:lang w:val="en-GB"/>
              </w:rPr>
              <w:t>产品技术参数响应程度</w:t>
            </w:r>
          </w:p>
        </w:tc>
        <w:tc>
          <w:tcPr>
            <w:tcW w:w="871" w:type="dxa"/>
            <w:vAlign w:val="center"/>
          </w:tcPr>
          <w:p>
            <w:pPr>
              <w:spacing w:line="400" w:lineRule="exact"/>
              <w:jc w:val="center"/>
              <w:rPr>
                <w:rFonts w:cs="宋体"/>
                <w:color w:val="auto"/>
                <w:sz w:val="21"/>
                <w:highlight w:val="none"/>
              </w:rPr>
            </w:pPr>
            <w:r>
              <w:rPr>
                <w:rFonts w:hint="eastAsia" w:cs="宋体"/>
                <w:color w:val="auto"/>
                <w:sz w:val="21"/>
                <w:highlight w:val="none"/>
                <w:lang w:val="en-US" w:eastAsia="zh-CN"/>
              </w:rPr>
              <w:t>30</w:t>
            </w:r>
            <w:r>
              <w:rPr>
                <w:rFonts w:hint="eastAsia" w:cs="宋体"/>
                <w:color w:val="auto"/>
                <w:sz w:val="21"/>
                <w:highlight w:val="none"/>
              </w:rPr>
              <w:t>分</w:t>
            </w:r>
          </w:p>
        </w:tc>
        <w:tc>
          <w:tcPr>
            <w:tcW w:w="7291" w:type="dxa"/>
            <w:vAlign w:val="center"/>
          </w:tcPr>
          <w:p>
            <w:pPr>
              <w:snapToGrid w:val="0"/>
              <w:spacing w:line="240" w:lineRule="auto"/>
              <w:rPr>
                <w:rFonts w:cs="宋体"/>
                <w:color w:val="auto"/>
                <w:sz w:val="21"/>
                <w:highlight w:val="none"/>
                <w:lang w:val="en-GB"/>
              </w:rPr>
            </w:pPr>
            <w:r>
              <w:rPr>
                <w:rFonts w:hint="eastAsia" w:cs="宋体"/>
                <w:color w:val="auto"/>
                <w:sz w:val="21"/>
                <w:highlight w:val="none"/>
                <w:lang w:val="en-GB"/>
              </w:rPr>
              <w:t xml:space="preserve">根据所投产品的配置与性能指标的响应程度打分，所投产品所有技术参数全部满足的招标文件要求的得基本分 </w:t>
            </w:r>
            <w:r>
              <w:rPr>
                <w:rFonts w:hint="eastAsia" w:cs="宋体"/>
                <w:color w:val="auto"/>
                <w:sz w:val="21"/>
                <w:highlight w:val="none"/>
                <w:lang w:val="en-GB" w:eastAsia="zh-CN"/>
              </w:rPr>
              <w:t>3</w:t>
            </w:r>
            <w:r>
              <w:rPr>
                <w:rFonts w:hint="eastAsia" w:cs="宋体"/>
                <w:color w:val="auto"/>
                <w:sz w:val="21"/>
                <w:highlight w:val="none"/>
                <w:lang w:val="en-GB"/>
              </w:rPr>
              <w:t xml:space="preserve">0 分，每有一项技术指标低于要求的扣 </w:t>
            </w:r>
            <w:r>
              <w:rPr>
                <w:rFonts w:hint="eastAsia" w:cs="宋体"/>
                <w:color w:val="auto"/>
                <w:sz w:val="21"/>
                <w:highlight w:val="none"/>
                <w:lang w:val="en-GB" w:eastAsia="zh-CN"/>
              </w:rPr>
              <w:t>2</w:t>
            </w:r>
            <w:r>
              <w:rPr>
                <w:rFonts w:hint="eastAsia" w:cs="宋体"/>
                <w:color w:val="auto"/>
                <w:sz w:val="21"/>
                <w:highlight w:val="none"/>
                <w:lang w:val="en-GB"/>
              </w:rPr>
              <w:t xml:space="preserve">分，此项最高得 </w:t>
            </w:r>
            <w:r>
              <w:rPr>
                <w:rFonts w:hint="eastAsia" w:cs="宋体"/>
                <w:color w:val="auto"/>
                <w:sz w:val="21"/>
                <w:highlight w:val="none"/>
                <w:lang w:val="en-GB" w:eastAsia="zh-CN"/>
              </w:rPr>
              <w:t>30</w:t>
            </w:r>
            <w:r>
              <w:rPr>
                <w:rFonts w:hint="eastAsia" w:cs="宋体"/>
                <w:color w:val="auto"/>
                <w:sz w:val="21"/>
                <w:highlight w:val="none"/>
                <w:lang w:val="en-GB"/>
              </w:rPr>
              <w:t>分，最低得 0 分。</w:t>
            </w:r>
            <w:r>
              <w:rPr>
                <w:rFonts w:hint="eastAsia" w:cs="宋体"/>
                <w:color w:val="auto"/>
                <w:sz w:val="21"/>
                <w:highlight w:val="none"/>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025" w:type="dxa"/>
            <w:vMerge w:val="continue"/>
            <w:vAlign w:val="center"/>
          </w:tcPr>
          <w:p>
            <w:pPr>
              <w:jc w:val="center"/>
              <w:rPr>
                <w:rFonts w:cs="宋体"/>
                <w:color w:val="auto"/>
                <w:sz w:val="21"/>
                <w:highlight w:val="none"/>
                <w:lang w:val="en-GB"/>
              </w:rPr>
            </w:pPr>
          </w:p>
        </w:tc>
        <w:tc>
          <w:tcPr>
            <w:tcW w:w="1365" w:type="dxa"/>
            <w:vAlign w:val="center"/>
          </w:tcPr>
          <w:p>
            <w:pPr>
              <w:jc w:val="center"/>
              <w:rPr>
                <w:rFonts w:hint="eastAsia" w:cs="宋体"/>
                <w:color w:val="auto"/>
                <w:sz w:val="21"/>
                <w:highlight w:val="none"/>
                <w:lang w:val="en-GB"/>
              </w:rPr>
            </w:pPr>
            <w:r>
              <w:rPr>
                <w:rFonts w:hint="eastAsia" w:cs="宋体"/>
                <w:color w:val="auto"/>
                <w:sz w:val="21"/>
                <w:highlight w:val="none"/>
                <w:lang w:val="en-GB"/>
              </w:rPr>
              <w:t>质保年限</w:t>
            </w:r>
          </w:p>
        </w:tc>
        <w:tc>
          <w:tcPr>
            <w:tcW w:w="871" w:type="dxa"/>
            <w:vAlign w:val="center"/>
          </w:tcPr>
          <w:p>
            <w:pPr>
              <w:jc w:val="center"/>
              <w:rPr>
                <w:rFonts w:hint="eastAsia" w:cs="宋体"/>
                <w:color w:val="auto"/>
                <w:sz w:val="21"/>
                <w:highlight w:val="none"/>
                <w:lang w:val="en-US" w:eastAsia="zh-CN"/>
              </w:rPr>
            </w:pPr>
            <w:r>
              <w:rPr>
                <w:rFonts w:hint="eastAsia" w:cs="宋体"/>
                <w:color w:val="auto"/>
                <w:sz w:val="21"/>
                <w:highlight w:val="none"/>
                <w:lang w:val="en-US" w:eastAsia="zh-CN"/>
              </w:rPr>
              <w:t>3</w:t>
            </w:r>
            <w:r>
              <w:rPr>
                <w:rFonts w:hint="eastAsia" w:cs="宋体"/>
                <w:color w:val="auto"/>
                <w:sz w:val="21"/>
                <w:highlight w:val="none"/>
                <w:lang w:val="en-GB"/>
              </w:rPr>
              <w:t>分</w:t>
            </w:r>
          </w:p>
        </w:tc>
        <w:tc>
          <w:tcPr>
            <w:tcW w:w="7291" w:type="dxa"/>
            <w:vAlign w:val="center"/>
          </w:tcPr>
          <w:p>
            <w:pPr>
              <w:widowControl/>
              <w:snapToGrid w:val="0"/>
              <w:spacing w:line="360" w:lineRule="exact"/>
              <w:rPr>
                <w:rFonts w:hint="eastAsia" w:cs="宋体"/>
                <w:color w:val="auto"/>
                <w:sz w:val="21"/>
                <w:highlight w:val="none"/>
                <w:lang w:val="en-GB"/>
              </w:rPr>
            </w:pPr>
            <w:r>
              <w:rPr>
                <w:rFonts w:hint="eastAsia" w:cs="宋体"/>
                <w:color w:val="auto"/>
                <w:sz w:val="21"/>
                <w:highlight w:val="none"/>
                <w:lang w:val="en-GB"/>
              </w:rPr>
              <w:t xml:space="preserve">满足招标文件质保年限的得基本分 </w:t>
            </w:r>
            <w:r>
              <w:rPr>
                <w:rFonts w:hint="eastAsia" w:cs="宋体"/>
                <w:color w:val="auto"/>
                <w:sz w:val="21"/>
                <w:highlight w:val="none"/>
                <w:lang w:val="en-GB" w:eastAsia="zh-CN"/>
              </w:rPr>
              <w:t>1</w:t>
            </w:r>
            <w:r>
              <w:rPr>
                <w:rFonts w:hint="eastAsia" w:cs="宋体"/>
                <w:color w:val="auto"/>
                <w:sz w:val="21"/>
                <w:highlight w:val="none"/>
                <w:lang w:val="en-GB"/>
              </w:rPr>
              <w:t xml:space="preserve">分，每增加一年加 1 分，此项最高不超过 </w:t>
            </w:r>
            <w:r>
              <w:rPr>
                <w:rFonts w:hint="eastAsia" w:cs="宋体"/>
                <w:color w:val="auto"/>
                <w:sz w:val="21"/>
                <w:highlight w:val="none"/>
                <w:lang w:val="en-US" w:eastAsia="zh-CN"/>
              </w:rPr>
              <w:t xml:space="preserve">3 </w:t>
            </w:r>
            <w:r>
              <w:rPr>
                <w:rFonts w:hint="eastAsia" w:cs="宋体"/>
                <w:color w:val="auto"/>
                <w:sz w:val="21"/>
                <w:highlight w:val="none"/>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025" w:type="dxa"/>
            <w:vMerge w:val="continue"/>
            <w:vAlign w:val="center"/>
          </w:tcPr>
          <w:p>
            <w:pPr>
              <w:jc w:val="center"/>
              <w:rPr>
                <w:rFonts w:cs="宋体"/>
                <w:color w:val="auto"/>
                <w:sz w:val="21"/>
                <w:highlight w:val="none"/>
                <w:lang w:val="en-GB"/>
              </w:rPr>
            </w:pPr>
          </w:p>
        </w:tc>
        <w:tc>
          <w:tcPr>
            <w:tcW w:w="1365" w:type="dxa"/>
            <w:vAlign w:val="center"/>
          </w:tcPr>
          <w:p>
            <w:pPr>
              <w:widowControl/>
              <w:snapToGrid w:val="0"/>
              <w:spacing w:line="360" w:lineRule="exact"/>
              <w:jc w:val="center"/>
              <w:rPr>
                <w:rFonts w:hint="eastAsia" w:cs="宋体"/>
                <w:color w:val="auto"/>
                <w:sz w:val="21"/>
                <w:highlight w:val="none"/>
                <w:lang w:val="en-GB"/>
              </w:rPr>
            </w:pPr>
            <w:r>
              <w:rPr>
                <w:rFonts w:hint="eastAsia" w:cs="宋体"/>
                <w:color w:val="auto"/>
                <w:sz w:val="21"/>
                <w:highlight w:val="none"/>
                <w:lang w:val="en-GB"/>
              </w:rPr>
              <w:t>投标产品案例</w:t>
            </w:r>
          </w:p>
        </w:tc>
        <w:tc>
          <w:tcPr>
            <w:tcW w:w="871" w:type="dxa"/>
            <w:vAlign w:val="center"/>
          </w:tcPr>
          <w:p>
            <w:pPr>
              <w:widowControl/>
              <w:snapToGrid w:val="0"/>
              <w:spacing w:line="360" w:lineRule="exact"/>
              <w:jc w:val="center"/>
              <w:rPr>
                <w:rFonts w:hint="eastAsia" w:cs="宋体"/>
                <w:color w:val="auto"/>
                <w:sz w:val="21"/>
                <w:highlight w:val="none"/>
                <w:lang w:val="en-US" w:eastAsia="zh-CN"/>
              </w:rPr>
            </w:pPr>
            <w:r>
              <w:rPr>
                <w:rFonts w:hint="eastAsia" w:cs="宋体"/>
                <w:color w:val="auto"/>
                <w:sz w:val="21"/>
                <w:highlight w:val="none"/>
                <w:lang w:val="en-US" w:eastAsia="zh-CN"/>
              </w:rPr>
              <w:t>10</w:t>
            </w:r>
            <w:r>
              <w:rPr>
                <w:rFonts w:hint="eastAsia" w:cs="宋体"/>
                <w:color w:val="auto"/>
                <w:sz w:val="21"/>
                <w:highlight w:val="none"/>
                <w:lang w:val="en-GB"/>
              </w:rPr>
              <w:t>分</w:t>
            </w:r>
          </w:p>
        </w:tc>
        <w:tc>
          <w:tcPr>
            <w:tcW w:w="7291" w:type="dxa"/>
            <w:vAlign w:val="center"/>
          </w:tcPr>
          <w:p>
            <w:pPr>
              <w:widowControl/>
              <w:snapToGrid w:val="0"/>
              <w:spacing w:line="360" w:lineRule="exact"/>
              <w:rPr>
                <w:rFonts w:hint="eastAsia" w:cs="宋体"/>
                <w:color w:val="auto"/>
                <w:sz w:val="21"/>
                <w:highlight w:val="none"/>
                <w:lang w:val="en-GB"/>
              </w:rPr>
            </w:pPr>
            <w:r>
              <w:rPr>
                <w:rFonts w:hint="eastAsia" w:cs="宋体"/>
                <w:color w:val="auto"/>
                <w:sz w:val="21"/>
                <w:highlight w:val="none"/>
                <w:lang w:val="en-GB" w:eastAsia="zh-CN"/>
              </w:rPr>
              <w:t>投标人或所投产品厂商提供2020年1月1日至今承担过的类似项目业绩。（提供合同或中标通知书关键页复印件），一个业绩</w:t>
            </w:r>
            <w:r>
              <w:rPr>
                <w:rFonts w:hint="eastAsia" w:cs="宋体"/>
                <w:color w:val="auto"/>
                <w:sz w:val="21"/>
                <w:highlight w:val="none"/>
                <w:lang w:val="en-US" w:eastAsia="zh-CN"/>
              </w:rPr>
              <w:t>2分，一共10分。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025" w:type="dxa"/>
            <w:vMerge w:val="continue"/>
            <w:vAlign w:val="center"/>
          </w:tcPr>
          <w:p>
            <w:pPr>
              <w:jc w:val="center"/>
              <w:rPr>
                <w:rFonts w:cs="宋体"/>
                <w:color w:val="auto"/>
                <w:sz w:val="21"/>
                <w:highlight w:val="none"/>
                <w:lang w:val="en-GB"/>
              </w:rPr>
            </w:pPr>
          </w:p>
        </w:tc>
        <w:tc>
          <w:tcPr>
            <w:tcW w:w="1365" w:type="dxa"/>
            <w:vAlign w:val="center"/>
          </w:tcPr>
          <w:p>
            <w:pPr>
              <w:adjustRightInd w:val="0"/>
              <w:snapToGrid w:val="0"/>
              <w:spacing w:line="240" w:lineRule="auto"/>
              <w:jc w:val="center"/>
              <w:rPr>
                <w:rFonts w:hint="eastAsia" w:cs="宋体"/>
                <w:color w:val="auto"/>
                <w:sz w:val="21"/>
                <w:highlight w:val="none"/>
                <w:lang w:val="en-GB"/>
              </w:rPr>
            </w:pPr>
            <w:r>
              <w:rPr>
                <w:rFonts w:hint="eastAsia" w:cs="宋体" w:asciiTheme="minorEastAsia" w:hAnsiTheme="minorEastAsia" w:eastAsiaTheme="minorEastAsia"/>
                <w:color w:val="auto"/>
                <w:sz w:val="21"/>
                <w:szCs w:val="21"/>
                <w:highlight w:val="none"/>
                <w:lang w:val="en-GB"/>
              </w:rPr>
              <w:t>售后服务及培训</w:t>
            </w:r>
          </w:p>
        </w:tc>
        <w:tc>
          <w:tcPr>
            <w:tcW w:w="871" w:type="dxa"/>
            <w:vAlign w:val="center"/>
          </w:tcPr>
          <w:p>
            <w:pPr>
              <w:adjustRightInd w:val="0"/>
              <w:snapToGrid w:val="0"/>
              <w:spacing w:line="240" w:lineRule="auto"/>
              <w:jc w:val="center"/>
              <w:rPr>
                <w:rFonts w:hint="eastAsia" w:cs="宋体"/>
                <w:color w:val="auto"/>
                <w:sz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10</w:t>
            </w:r>
            <w:r>
              <w:rPr>
                <w:rFonts w:cs="宋体" w:asciiTheme="minorEastAsia" w:hAnsiTheme="minorEastAsia" w:eastAsiaTheme="minorEastAsia"/>
                <w:color w:val="auto"/>
                <w:sz w:val="21"/>
                <w:szCs w:val="21"/>
                <w:highlight w:val="none"/>
                <w:lang w:val="en-GB"/>
              </w:rPr>
              <w:t>分</w:t>
            </w:r>
          </w:p>
        </w:tc>
        <w:tc>
          <w:tcPr>
            <w:tcW w:w="7291" w:type="dxa"/>
            <w:vAlign w:val="center"/>
          </w:tcPr>
          <w:p>
            <w:pPr>
              <w:pStyle w:val="5"/>
              <w:numPr>
                <w:ilvl w:val="0"/>
                <w:numId w:val="4"/>
              </w:numPr>
              <w:ind w:firstLine="0" w:firstLineChars="0"/>
              <w:rPr>
                <w:rFonts w:hint="eastAsia" w:cs="宋体"/>
                <w:color w:val="auto"/>
                <w:sz w:val="21"/>
                <w:highlight w:val="none"/>
                <w:lang w:val="en-GB" w:eastAsia="zh-CN"/>
              </w:rPr>
            </w:pPr>
            <w:r>
              <w:rPr>
                <w:rFonts w:hint="eastAsia" w:cs="宋体"/>
                <w:color w:val="auto"/>
                <w:sz w:val="21"/>
                <w:highlight w:val="none"/>
                <w:lang w:val="en-GB"/>
              </w:rPr>
              <w:t>根据投标人投标响应文件提供得售后服务方案、售后服务承诺。</w:t>
            </w:r>
            <w:r>
              <w:rPr>
                <w:rFonts w:hint="eastAsia" w:cs="宋体"/>
                <w:color w:val="auto"/>
                <w:sz w:val="21"/>
                <w:highlight w:val="none"/>
                <w:lang w:val="en-US" w:eastAsia="zh-CN"/>
              </w:rPr>
              <w:t>3</w:t>
            </w:r>
            <w:r>
              <w:rPr>
                <w:rFonts w:hint="eastAsia" w:cs="宋体"/>
                <w:color w:val="auto"/>
                <w:sz w:val="21"/>
                <w:highlight w:val="none"/>
                <w:lang w:val="en-GB"/>
              </w:rPr>
              <w:t>分</w:t>
            </w:r>
            <w:r>
              <w:rPr>
                <w:rFonts w:hint="eastAsia" w:cs="宋体"/>
                <w:color w:val="auto"/>
                <w:sz w:val="21"/>
                <w:highlight w:val="none"/>
                <w:lang w:val="en-GB" w:eastAsia="zh-CN"/>
              </w:rPr>
              <w:t>。</w:t>
            </w:r>
          </w:p>
          <w:p>
            <w:pPr>
              <w:pStyle w:val="5"/>
              <w:numPr>
                <w:ilvl w:val="0"/>
                <w:numId w:val="0"/>
              </w:numPr>
              <w:rPr>
                <w:rFonts w:hint="eastAsia" w:cs="宋体"/>
                <w:color w:val="auto"/>
                <w:sz w:val="21"/>
                <w:highlight w:val="none"/>
                <w:lang w:val="en-GB"/>
              </w:rPr>
            </w:pPr>
            <w:r>
              <w:rPr>
                <w:rFonts w:hint="eastAsia" w:cs="宋体"/>
                <w:color w:val="auto"/>
                <w:sz w:val="21"/>
                <w:highlight w:val="none"/>
                <w:lang w:val="en-GB"/>
              </w:rPr>
              <w:t>2、根据投标人投标响应文件提供得培训方案，培训内容合理、科学、完整、包括培训人员、培训时间。根据培训方案优</w:t>
            </w:r>
            <w:r>
              <w:rPr>
                <w:rFonts w:hint="eastAsia" w:cs="宋体"/>
                <w:color w:val="auto"/>
                <w:sz w:val="21"/>
                <w:highlight w:val="none"/>
                <w:lang w:val="en-GB" w:eastAsia="zh-CN"/>
              </w:rPr>
              <w:t>。</w:t>
            </w:r>
            <w:r>
              <w:rPr>
                <w:rFonts w:hint="eastAsia" w:cs="宋体"/>
                <w:color w:val="auto"/>
                <w:sz w:val="21"/>
                <w:highlight w:val="none"/>
                <w:lang w:val="en-US" w:eastAsia="zh-CN"/>
              </w:rPr>
              <w:t>4</w:t>
            </w:r>
            <w:r>
              <w:rPr>
                <w:rFonts w:hint="eastAsia" w:cs="宋体"/>
                <w:color w:val="auto"/>
                <w:sz w:val="21"/>
                <w:highlight w:val="none"/>
                <w:lang w:val="en-GB"/>
              </w:rPr>
              <w:t>分。</w:t>
            </w:r>
          </w:p>
          <w:p>
            <w:pPr>
              <w:pStyle w:val="5"/>
              <w:ind w:firstLine="0" w:firstLineChars="0"/>
              <w:rPr>
                <w:rFonts w:hint="eastAsia" w:cs="宋体"/>
                <w:color w:val="auto"/>
                <w:sz w:val="21"/>
                <w:highlight w:val="none"/>
                <w:lang w:val="en-GB"/>
              </w:rPr>
            </w:pPr>
            <w:r>
              <w:rPr>
                <w:rFonts w:hint="eastAsia" w:cs="宋体"/>
                <w:color w:val="auto"/>
                <w:sz w:val="21"/>
                <w:highlight w:val="none"/>
                <w:lang w:val="en-GB"/>
              </w:rPr>
              <w:t>3、根据投标人投标响应文件提供得维保期内系统出现故障时，投标方到现场解决故障的响应时间不超过2小时，得</w:t>
            </w:r>
            <w:r>
              <w:rPr>
                <w:rFonts w:hint="eastAsia" w:cs="宋体"/>
                <w:color w:val="auto"/>
                <w:sz w:val="21"/>
                <w:highlight w:val="none"/>
                <w:lang w:val="en-US" w:eastAsia="zh-CN"/>
              </w:rPr>
              <w:t>3</w:t>
            </w:r>
            <w:r>
              <w:rPr>
                <w:rFonts w:hint="eastAsia" w:cs="宋体"/>
                <w:color w:val="auto"/>
                <w:sz w:val="21"/>
                <w:highlight w:val="none"/>
                <w:lang w:val="en-GB"/>
              </w:rPr>
              <w:t>分；超过</w:t>
            </w:r>
            <w:r>
              <w:rPr>
                <w:rFonts w:hint="eastAsia" w:cs="宋体"/>
                <w:color w:val="auto"/>
                <w:sz w:val="21"/>
                <w:highlight w:val="none"/>
                <w:lang w:val="en-US" w:eastAsia="zh-CN"/>
              </w:rPr>
              <w:t>2</w:t>
            </w:r>
            <w:r>
              <w:rPr>
                <w:rFonts w:hint="eastAsia" w:cs="宋体"/>
                <w:color w:val="auto"/>
                <w:sz w:val="21"/>
                <w:highlight w:val="none"/>
                <w:lang w:val="en-GB"/>
              </w:rPr>
              <w:t>小时小于</w:t>
            </w:r>
            <w:r>
              <w:rPr>
                <w:rFonts w:hint="eastAsia" w:cs="宋体"/>
                <w:color w:val="auto"/>
                <w:sz w:val="21"/>
                <w:highlight w:val="none"/>
                <w:lang w:val="en-US" w:eastAsia="zh-CN"/>
              </w:rPr>
              <w:t>4</w:t>
            </w:r>
            <w:r>
              <w:rPr>
                <w:rFonts w:hint="eastAsia" w:cs="宋体"/>
                <w:color w:val="auto"/>
                <w:sz w:val="21"/>
                <w:highlight w:val="none"/>
                <w:lang w:val="en-GB"/>
              </w:rPr>
              <w:t>小时，得</w:t>
            </w:r>
            <w:r>
              <w:rPr>
                <w:rFonts w:hint="eastAsia" w:cs="宋体"/>
                <w:color w:val="auto"/>
                <w:sz w:val="21"/>
                <w:highlight w:val="none"/>
                <w:lang w:val="en-US" w:eastAsia="zh-CN"/>
              </w:rPr>
              <w:t>2</w:t>
            </w:r>
            <w:r>
              <w:rPr>
                <w:rFonts w:hint="eastAsia" w:cs="宋体"/>
                <w:color w:val="auto"/>
                <w:sz w:val="21"/>
                <w:highlight w:val="none"/>
                <w:lang w:val="en-GB"/>
              </w:rPr>
              <w:t>分</w:t>
            </w:r>
            <w:r>
              <w:rPr>
                <w:rFonts w:hint="eastAsia" w:cs="宋体"/>
                <w:color w:val="auto"/>
                <w:sz w:val="21"/>
                <w:highlight w:val="none"/>
                <w:lang w:val="en-US" w:eastAsia="zh-CN"/>
              </w:rPr>
              <w:t>;</w:t>
            </w:r>
            <w:r>
              <w:rPr>
                <w:rFonts w:hint="eastAsia" w:cs="宋体"/>
                <w:color w:val="auto"/>
                <w:sz w:val="21"/>
                <w:highlight w:val="none"/>
                <w:lang w:val="en-GB"/>
              </w:rPr>
              <w:t>超过</w:t>
            </w:r>
            <w:r>
              <w:rPr>
                <w:rFonts w:hint="eastAsia" w:cs="宋体"/>
                <w:color w:val="auto"/>
                <w:sz w:val="21"/>
                <w:highlight w:val="none"/>
                <w:lang w:val="en-US" w:eastAsia="zh-CN"/>
              </w:rPr>
              <w:t>4</w:t>
            </w:r>
            <w:r>
              <w:rPr>
                <w:rFonts w:hint="eastAsia" w:cs="宋体"/>
                <w:color w:val="auto"/>
                <w:sz w:val="21"/>
                <w:highlight w:val="none"/>
                <w:lang w:val="en-GB"/>
              </w:rPr>
              <w:t>小时小于</w:t>
            </w:r>
            <w:r>
              <w:rPr>
                <w:rFonts w:hint="eastAsia" w:cs="宋体"/>
                <w:color w:val="auto"/>
                <w:sz w:val="21"/>
                <w:highlight w:val="none"/>
                <w:lang w:val="en-US" w:eastAsia="zh-CN"/>
              </w:rPr>
              <w:t>6</w:t>
            </w:r>
            <w:r>
              <w:rPr>
                <w:rFonts w:hint="eastAsia" w:cs="宋体"/>
                <w:color w:val="auto"/>
                <w:sz w:val="21"/>
                <w:highlight w:val="none"/>
                <w:lang w:val="en-GB"/>
              </w:rPr>
              <w:t>小时，得</w:t>
            </w:r>
            <w:r>
              <w:rPr>
                <w:rFonts w:hint="eastAsia" w:cs="宋体"/>
                <w:color w:val="auto"/>
                <w:sz w:val="21"/>
                <w:highlight w:val="none"/>
                <w:lang w:val="en-US" w:eastAsia="zh-CN"/>
              </w:rPr>
              <w:t>1</w:t>
            </w:r>
            <w:r>
              <w:rPr>
                <w:rFonts w:hint="eastAsia" w:cs="宋体"/>
                <w:color w:val="auto"/>
                <w:sz w:val="21"/>
                <w:highlight w:val="none"/>
                <w:lang w:val="en-GB"/>
              </w:rPr>
              <w:t>分</w:t>
            </w:r>
            <w:r>
              <w:rPr>
                <w:rFonts w:hint="eastAsia" w:cs="宋体"/>
                <w:color w:val="auto"/>
                <w:sz w:val="21"/>
                <w:highlight w:val="none"/>
                <w:lang w:val="en-US" w:eastAsia="zh-CN"/>
              </w:rPr>
              <w:t>;</w:t>
            </w:r>
            <w:r>
              <w:rPr>
                <w:rFonts w:hint="eastAsia" w:cs="宋体"/>
                <w:color w:val="auto"/>
                <w:sz w:val="21"/>
                <w:highlight w:val="none"/>
                <w:lang w:val="en-GB"/>
              </w:rPr>
              <w:t>超过6小时，得0分（注：提供响应时间的证明材料）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025" w:type="dxa"/>
            <w:vMerge w:val="continue"/>
            <w:vAlign w:val="center"/>
          </w:tcPr>
          <w:p>
            <w:pPr>
              <w:jc w:val="center"/>
              <w:rPr>
                <w:rFonts w:cs="宋体"/>
                <w:color w:val="auto"/>
                <w:sz w:val="21"/>
                <w:highlight w:val="none"/>
                <w:lang w:val="en-GB"/>
              </w:rPr>
            </w:pPr>
          </w:p>
        </w:tc>
        <w:tc>
          <w:tcPr>
            <w:tcW w:w="1365" w:type="dxa"/>
            <w:vAlign w:val="center"/>
          </w:tcPr>
          <w:p>
            <w:pPr>
              <w:pStyle w:val="5"/>
              <w:ind w:firstLine="0" w:firstLineChars="0"/>
              <w:jc w:val="center"/>
              <w:rPr>
                <w:rFonts w:hint="eastAsia" w:cs="宋体" w:asciiTheme="minorEastAsia" w:hAnsiTheme="minorEastAsia" w:eastAsiaTheme="minorEastAsia"/>
                <w:color w:val="auto"/>
                <w:kern w:val="2"/>
                <w:sz w:val="21"/>
                <w:szCs w:val="21"/>
                <w:highlight w:val="none"/>
                <w:lang w:val="en-GB" w:eastAsia="zh-CN" w:bidi="ar-SA"/>
              </w:rPr>
            </w:pPr>
            <w:r>
              <w:rPr>
                <w:rFonts w:hint="eastAsia" w:cs="宋体" w:asciiTheme="minorEastAsia" w:hAnsiTheme="minorEastAsia" w:eastAsiaTheme="minorEastAsia"/>
                <w:color w:val="auto"/>
                <w:kern w:val="2"/>
                <w:sz w:val="21"/>
                <w:szCs w:val="21"/>
                <w:highlight w:val="none"/>
                <w:lang w:val="en-US" w:eastAsia="zh-CN" w:bidi="ar-SA"/>
              </w:rPr>
              <w:t>标书制作情况</w:t>
            </w:r>
          </w:p>
        </w:tc>
        <w:tc>
          <w:tcPr>
            <w:tcW w:w="871" w:type="dxa"/>
            <w:vAlign w:val="center"/>
          </w:tcPr>
          <w:p>
            <w:pPr>
              <w:pStyle w:val="5"/>
              <w:ind w:left="0" w:leftChars="0" w:firstLine="0" w:firstLineChars="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color w:val="auto"/>
                <w:kern w:val="2"/>
                <w:sz w:val="21"/>
                <w:szCs w:val="21"/>
                <w:highlight w:val="none"/>
                <w:lang w:val="en-US" w:eastAsia="zh-CN" w:bidi="ar-SA"/>
              </w:rPr>
              <w:t>6</w:t>
            </w:r>
            <w:r>
              <w:rPr>
                <w:rFonts w:hint="eastAsia" w:cs="宋体" w:asciiTheme="minorEastAsia" w:hAnsiTheme="minorEastAsia" w:eastAsiaTheme="minorEastAsia"/>
                <w:color w:val="auto"/>
                <w:kern w:val="2"/>
                <w:sz w:val="21"/>
                <w:szCs w:val="21"/>
                <w:highlight w:val="none"/>
                <w:lang w:val="en-US" w:eastAsia="zh-CN" w:bidi="ar-SA"/>
              </w:rPr>
              <w:t>分</w:t>
            </w:r>
          </w:p>
        </w:tc>
        <w:tc>
          <w:tcPr>
            <w:tcW w:w="7291" w:type="dxa"/>
            <w:vAlign w:val="center"/>
          </w:tcPr>
          <w:p>
            <w:pPr>
              <w:pStyle w:val="5"/>
              <w:ind w:firstLine="0" w:firstLineChars="0"/>
              <w:rPr>
                <w:rFonts w:hint="eastAsia" w:cs="宋体" w:asciiTheme="minorEastAsia" w:hAnsiTheme="minorEastAsia" w:eastAsiaTheme="minorEastAsia"/>
                <w:color w:val="auto"/>
                <w:kern w:val="2"/>
                <w:sz w:val="21"/>
                <w:szCs w:val="21"/>
                <w:highlight w:val="none"/>
                <w:lang w:val="en-GB" w:eastAsia="zh-CN" w:bidi="ar-SA"/>
              </w:rPr>
            </w:pPr>
            <w:r>
              <w:rPr>
                <w:rFonts w:hint="eastAsia" w:cs="宋体" w:asciiTheme="minorEastAsia" w:hAnsiTheme="minorEastAsia" w:eastAsiaTheme="minorEastAsia"/>
                <w:color w:val="auto"/>
                <w:kern w:val="2"/>
                <w:sz w:val="21"/>
                <w:szCs w:val="21"/>
                <w:highlight w:val="none"/>
                <w:lang w:val="en-US" w:eastAsia="zh-CN" w:bidi="ar-SA"/>
              </w:rPr>
              <w:t>按招标文件要求编制投标文件，投标文件组成完整性、编目条理性，主要投标货物产品说明材料充分性等综合情况，优得</w:t>
            </w:r>
            <w:r>
              <w:rPr>
                <w:rFonts w:hint="eastAsia" w:cs="宋体" w:asciiTheme="minorEastAsia" w:hAnsiTheme="minorEastAsia"/>
                <w:color w:val="auto"/>
                <w:kern w:val="2"/>
                <w:sz w:val="21"/>
                <w:szCs w:val="21"/>
                <w:highlight w:val="none"/>
                <w:lang w:val="en-US" w:eastAsia="zh-CN" w:bidi="ar-SA"/>
              </w:rPr>
              <w:t>6</w:t>
            </w:r>
            <w:r>
              <w:rPr>
                <w:rFonts w:hint="eastAsia" w:cs="宋体" w:asciiTheme="minorEastAsia" w:hAnsiTheme="minorEastAsia" w:eastAsiaTheme="minorEastAsia"/>
                <w:color w:val="auto"/>
                <w:kern w:val="2"/>
                <w:sz w:val="21"/>
                <w:szCs w:val="21"/>
                <w:highlight w:val="none"/>
                <w:lang w:val="en-US" w:eastAsia="zh-CN" w:bidi="ar-SA"/>
              </w:rPr>
              <w:t>-4分，良得3-</w:t>
            </w:r>
            <w:r>
              <w:rPr>
                <w:rFonts w:hint="eastAsia" w:cs="宋体" w:asciiTheme="minorEastAsia" w:hAnsiTheme="minorEastAsia"/>
                <w:color w:val="auto"/>
                <w:kern w:val="2"/>
                <w:sz w:val="21"/>
                <w:szCs w:val="21"/>
                <w:highlight w:val="none"/>
                <w:lang w:val="en-US" w:eastAsia="zh-CN" w:bidi="ar-SA"/>
              </w:rPr>
              <w:t>1</w:t>
            </w:r>
            <w:r>
              <w:rPr>
                <w:rFonts w:hint="eastAsia" w:cs="宋体" w:asciiTheme="minorEastAsia" w:hAnsiTheme="minorEastAsia" w:eastAsiaTheme="minorEastAsia"/>
                <w:color w:val="auto"/>
                <w:kern w:val="2"/>
                <w:sz w:val="21"/>
                <w:szCs w:val="21"/>
                <w:highlight w:val="none"/>
                <w:lang w:val="en-US" w:eastAsia="zh-CN" w:bidi="ar-SA"/>
              </w:rPr>
              <w:t>分，一般得</w:t>
            </w:r>
            <w:r>
              <w:rPr>
                <w:rFonts w:hint="eastAsia" w:cs="宋体" w:asciiTheme="minorEastAsia" w:hAnsiTheme="minorEastAsia"/>
                <w:color w:val="auto"/>
                <w:kern w:val="2"/>
                <w:sz w:val="21"/>
                <w:szCs w:val="21"/>
                <w:highlight w:val="none"/>
                <w:lang w:val="en-US" w:eastAsia="zh-CN" w:bidi="ar-SA"/>
              </w:rPr>
              <w:t>0</w:t>
            </w:r>
            <w:r>
              <w:rPr>
                <w:rFonts w:hint="eastAsia" w:cs="宋体" w:asciiTheme="minorEastAsia" w:hAnsiTheme="minorEastAsia" w:eastAsiaTheme="minorEastAsia"/>
                <w:color w:val="auto"/>
                <w:kern w:val="2"/>
                <w:sz w:val="21"/>
                <w:szCs w:val="21"/>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025" w:type="dxa"/>
            <w:vMerge w:val="continue"/>
            <w:vAlign w:val="center"/>
          </w:tcPr>
          <w:p>
            <w:pPr>
              <w:jc w:val="center"/>
              <w:rPr>
                <w:rFonts w:cs="宋体"/>
                <w:color w:val="auto"/>
                <w:sz w:val="21"/>
                <w:highlight w:val="none"/>
                <w:lang w:val="en-GB"/>
              </w:rPr>
            </w:pPr>
          </w:p>
        </w:tc>
        <w:tc>
          <w:tcPr>
            <w:tcW w:w="1365" w:type="dxa"/>
            <w:vAlign w:val="center"/>
          </w:tcPr>
          <w:p>
            <w:pPr>
              <w:adjustRightInd w:val="0"/>
              <w:snapToGrid w:val="0"/>
              <w:spacing w:line="240" w:lineRule="auto"/>
              <w:jc w:val="center"/>
              <w:rPr>
                <w:rFonts w:hint="eastAsia"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GB"/>
              </w:rPr>
              <w:t>配送及安装方案</w:t>
            </w:r>
          </w:p>
        </w:tc>
        <w:tc>
          <w:tcPr>
            <w:tcW w:w="871" w:type="dxa"/>
            <w:vAlign w:val="center"/>
          </w:tcPr>
          <w:p>
            <w:pPr>
              <w:adjustRightInd w:val="0"/>
              <w:snapToGrid w:val="0"/>
              <w:spacing w:line="240" w:lineRule="auto"/>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5分</w:t>
            </w:r>
          </w:p>
        </w:tc>
        <w:tc>
          <w:tcPr>
            <w:tcW w:w="7291" w:type="dxa"/>
            <w:vAlign w:val="center"/>
          </w:tcPr>
          <w:p>
            <w:pPr>
              <w:adjustRightInd w:val="0"/>
              <w:snapToGrid w:val="0"/>
              <w:spacing w:line="240" w:lineRule="auto"/>
              <w:jc w:val="left"/>
              <w:rPr>
                <w:rFonts w:hint="eastAsia"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GB"/>
              </w:rPr>
              <w:t>（配送车辆安排、货物到指定地点的时间，是否能承诺按用户要求配送到指定地点、安装人员安排、安装实施方案、验收等）根据所提供内容分以下四档打分：优(</w:t>
            </w: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lang w:val="en-GB"/>
              </w:rPr>
              <w:t>分)；良(</w:t>
            </w:r>
            <w:r>
              <w:rPr>
                <w:rFonts w:hint="eastAsia" w:cs="宋体" w:asciiTheme="minorEastAsia" w:hAnsiTheme="minorEastAsia" w:eastAsiaTheme="minorEastAsia"/>
                <w:color w:val="auto"/>
                <w:sz w:val="21"/>
                <w:szCs w:val="21"/>
                <w:highlight w:val="none"/>
                <w:lang w:val="en-US" w:eastAsia="zh-CN"/>
              </w:rPr>
              <w:t>3</w:t>
            </w:r>
            <w:r>
              <w:rPr>
                <w:rFonts w:hint="eastAsia" w:cs="宋体" w:asciiTheme="minorEastAsia" w:hAnsiTheme="minorEastAsia" w:eastAsiaTheme="minorEastAsia"/>
                <w:color w:val="auto"/>
                <w:sz w:val="21"/>
                <w:szCs w:val="21"/>
                <w:highlight w:val="none"/>
                <w:lang w:val="en-GB"/>
              </w:rPr>
              <w:t>分)；中(1 分)；差(0 分)（得差</w:t>
            </w:r>
            <w:r>
              <w:rPr>
                <w:rFonts w:hint="eastAsia" w:cs="宋体" w:asciiTheme="minorEastAsia" w:hAnsiTheme="minorEastAsia" w:eastAsiaTheme="minorEastAsia"/>
                <w:color w:val="auto"/>
                <w:sz w:val="21"/>
                <w:szCs w:val="21"/>
                <w:highlight w:val="none"/>
                <w:lang w:val="en-US" w:eastAsia="zh-CN"/>
              </w:rPr>
              <w:t>0</w:t>
            </w:r>
            <w:r>
              <w:rPr>
                <w:rFonts w:hint="eastAsia" w:cs="宋体" w:asciiTheme="minorEastAsia" w:hAnsiTheme="minorEastAsia" w:eastAsiaTheme="minorEastAsia"/>
                <w:color w:val="auto"/>
                <w:sz w:val="21"/>
                <w:szCs w:val="21"/>
                <w:highlight w:val="none"/>
                <w:lang w:val="en-GB"/>
              </w:rPr>
              <w:t>分值为无此项说明）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025" w:type="dxa"/>
            <w:vMerge w:val="continue"/>
            <w:vAlign w:val="center"/>
          </w:tcPr>
          <w:p>
            <w:pPr>
              <w:jc w:val="center"/>
              <w:rPr>
                <w:rFonts w:cs="宋体"/>
                <w:color w:val="auto"/>
                <w:sz w:val="21"/>
                <w:highlight w:val="none"/>
                <w:lang w:val="en-GB"/>
              </w:rPr>
            </w:pPr>
          </w:p>
        </w:tc>
        <w:tc>
          <w:tcPr>
            <w:tcW w:w="1365" w:type="dxa"/>
            <w:vAlign w:val="center"/>
          </w:tcPr>
          <w:p>
            <w:pPr>
              <w:adjustRightInd w:val="0"/>
              <w:snapToGrid w:val="0"/>
              <w:spacing w:line="240" w:lineRule="auto"/>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进度计划及验收方案</w:t>
            </w:r>
          </w:p>
        </w:tc>
        <w:tc>
          <w:tcPr>
            <w:tcW w:w="871" w:type="dxa"/>
            <w:vAlign w:val="center"/>
          </w:tcPr>
          <w:p>
            <w:pPr>
              <w:adjustRightInd w:val="0"/>
              <w:snapToGrid w:val="0"/>
              <w:spacing w:line="240" w:lineRule="auto"/>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6分</w:t>
            </w:r>
          </w:p>
        </w:tc>
        <w:tc>
          <w:tcPr>
            <w:tcW w:w="7291" w:type="dxa"/>
            <w:vAlign w:val="center"/>
          </w:tcPr>
          <w:p>
            <w:pPr>
              <w:adjustRightInd w:val="0"/>
              <w:snapToGrid w:val="0"/>
              <w:spacing w:line="240" w:lineRule="auto"/>
              <w:jc w:val="left"/>
              <w:rPr>
                <w:rFonts w:hint="eastAsia" w:cs="宋体" w:asciiTheme="minorEastAsia" w:hAnsiTheme="minorEastAsia" w:eastAsiaTheme="minorEastAsia"/>
                <w:color w:val="auto"/>
                <w:sz w:val="21"/>
                <w:szCs w:val="21"/>
                <w:highlight w:val="none"/>
                <w:lang w:val="en-GB"/>
              </w:rPr>
            </w:pPr>
            <w:r>
              <w:rPr>
                <w:rFonts w:hint="eastAsia" w:cs="宋体" w:asciiTheme="minorEastAsia" w:hAnsiTheme="minorEastAsia" w:eastAsiaTheme="minorEastAsia"/>
                <w:color w:val="auto"/>
                <w:sz w:val="21"/>
                <w:szCs w:val="21"/>
                <w:highlight w:val="none"/>
                <w:lang w:val="en-GB"/>
              </w:rPr>
              <w:t>根据</w:t>
            </w:r>
            <w:r>
              <w:rPr>
                <w:rFonts w:hint="eastAsia" w:cs="宋体" w:asciiTheme="minorEastAsia" w:hAnsiTheme="minorEastAsia" w:eastAsiaTheme="minorEastAsia"/>
                <w:color w:val="auto"/>
                <w:sz w:val="21"/>
                <w:szCs w:val="21"/>
                <w:highlight w:val="none"/>
                <w:lang w:val="en-GB" w:eastAsia="zh-CN"/>
              </w:rPr>
              <w:t>投标人</w:t>
            </w:r>
            <w:r>
              <w:rPr>
                <w:rFonts w:hint="eastAsia" w:cs="宋体" w:asciiTheme="minorEastAsia" w:hAnsiTheme="minorEastAsia" w:eastAsiaTheme="minorEastAsia"/>
                <w:color w:val="auto"/>
                <w:sz w:val="21"/>
                <w:szCs w:val="21"/>
                <w:highlight w:val="none"/>
                <w:lang w:val="en-GB"/>
              </w:rPr>
              <w:t>提供的供货、安装、验收等实施进度计划、安装调试和检验验收方案进行综合评价：</w:t>
            </w:r>
          </w:p>
          <w:p>
            <w:pPr>
              <w:adjustRightInd w:val="0"/>
              <w:snapToGrid w:val="0"/>
              <w:spacing w:line="240" w:lineRule="auto"/>
              <w:jc w:val="left"/>
              <w:rPr>
                <w:rFonts w:hint="eastAsia" w:cs="宋体" w:asciiTheme="minorEastAsia" w:hAnsiTheme="minorEastAsia" w:eastAsiaTheme="minorEastAsia"/>
                <w:color w:val="auto"/>
                <w:sz w:val="21"/>
                <w:szCs w:val="21"/>
                <w:highlight w:val="none"/>
                <w:lang w:val="en-GB"/>
              </w:rPr>
            </w:pPr>
            <w:r>
              <w:rPr>
                <w:rFonts w:hint="eastAsia" w:cs="宋体" w:asciiTheme="minorEastAsia" w:hAnsiTheme="minorEastAsia" w:eastAsiaTheme="minorEastAsia"/>
                <w:color w:val="auto"/>
                <w:sz w:val="21"/>
                <w:szCs w:val="21"/>
                <w:highlight w:val="none"/>
                <w:lang w:val="en-GB" w:eastAsia="zh-CN"/>
              </w:rPr>
              <w:t>投标人</w:t>
            </w:r>
            <w:r>
              <w:rPr>
                <w:rFonts w:hint="eastAsia" w:cs="宋体" w:asciiTheme="minorEastAsia" w:hAnsiTheme="minorEastAsia" w:eastAsiaTheme="minorEastAsia"/>
                <w:color w:val="auto"/>
                <w:sz w:val="21"/>
                <w:szCs w:val="21"/>
                <w:highlight w:val="none"/>
                <w:lang w:val="en-GB"/>
              </w:rPr>
              <w:t xml:space="preserve">提供的供货、安装、验收等实施进度计划详细完善，安装调试和检验验收方案安全性高、操作性强，得 </w:t>
            </w:r>
            <w:r>
              <w:rPr>
                <w:rFonts w:hint="eastAsia" w:cs="宋体" w:asciiTheme="minorEastAsia" w:hAnsiTheme="minorEastAsia" w:eastAsiaTheme="minorEastAsia"/>
                <w:color w:val="auto"/>
                <w:sz w:val="21"/>
                <w:szCs w:val="21"/>
                <w:highlight w:val="none"/>
                <w:lang w:val="en-US" w:eastAsia="zh-CN"/>
              </w:rPr>
              <w:t>6</w:t>
            </w:r>
            <w:r>
              <w:rPr>
                <w:rFonts w:hint="eastAsia" w:cs="宋体" w:asciiTheme="minorEastAsia" w:hAnsiTheme="minorEastAsia" w:eastAsiaTheme="minorEastAsia"/>
                <w:color w:val="auto"/>
                <w:sz w:val="21"/>
                <w:szCs w:val="21"/>
                <w:highlight w:val="none"/>
                <w:lang w:val="en-GB"/>
              </w:rPr>
              <w:t>分；</w:t>
            </w:r>
            <w:r>
              <w:rPr>
                <w:rFonts w:hint="eastAsia" w:cs="宋体" w:asciiTheme="minorEastAsia" w:hAnsiTheme="minorEastAsia" w:eastAsiaTheme="minorEastAsia"/>
                <w:color w:val="auto"/>
                <w:sz w:val="21"/>
                <w:szCs w:val="21"/>
                <w:highlight w:val="none"/>
                <w:lang w:val="en-GB" w:eastAsia="zh-CN"/>
              </w:rPr>
              <w:t>投标人</w:t>
            </w:r>
            <w:r>
              <w:rPr>
                <w:rFonts w:hint="eastAsia" w:cs="宋体" w:asciiTheme="minorEastAsia" w:hAnsiTheme="minorEastAsia" w:eastAsiaTheme="minorEastAsia"/>
                <w:color w:val="auto"/>
                <w:sz w:val="21"/>
                <w:szCs w:val="21"/>
                <w:highlight w:val="none"/>
                <w:lang w:val="en-GB"/>
              </w:rPr>
              <w:t xml:space="preserve">提供的供货、安装、验收等实施进度计划较完善，安装调试和检验验收方案安全性较高、操作性较强，得 </w:t>
            </w:r>
            <w:r>
              <w:rPr>
                <w:rFonts w:hint="eastAsia" w:cs="宋体" w:asciiTheme="minorEastAsia" w:hAnsiTheme="minorEastAsia" w:eastAsiaTheme="minorEastAsia"/>
                <w:color w:val="auto"/>
                <w:sz w:val="21"/>
                <w:szCs w:val="21"/>
                <w:highlight w:val="none"/>
                <w:lang w:val="en-US" w:eastAsia="zh-CN"/>
              </w:rPr>
              <w:t>4</w:t>
            </w:r>
            <w:r>
              <w:rPr>
                <w:rFonts w:hint="eastAsia" w:cs="宋体" w:asciiTheme="minorEastAsia" w:hAnsiTheme="minorEastAsia" w:eastAsiaTheme="minorEastAsia"/>
                <w:color w:val="auto"/>
                <w:sz w:val="21"/>
                <w:szCs w:val="21"/>
                <w:highlight w:val="none"/>
                <w:lang w:val="en-GB"/>
              </w:rPr>
              <w:t xml:space="preserve"> 分；</w:t>
            </w:r>
            <w:r>
              <w:rPr>
                <w:rFonts w:hint="eastAsia" w:cs="宋体" w:asciiTheme="minorEastAsia" w:hAnsiTheme="minorEastAsia" w:eastAsiaTheme="minorEastAsia"/>
                <w:color w:val="auto"/>
                <w:sz w:val="21"/>
                <w:szCs w:val="21"/>
                <w:highlight w:val="none"/>
                <w:lang w:val="en-GB" w:eastAsia="zh-CN"/>
              </w:rPr>
              <w:t>投标人</w:t>
            </w:r>
            <w:r>
              <w:rPr>
                <w:rFonts w:hint="eastAsia" w:cs="宋体" w:asciiTheme="minorEastAsia" w:hAnsiTheme="minorEastAsia" w:eastAsiaTheme="minorEastAsia"/>
                <w:color w:val="auto"/>
                <w:sz w:val="21"/>
                <w:szCs w:val="21"/>
                <w:highlight w:val="none"/>
                <w:lang w:val="en-GB"/>
              </w:rPr>
              <w:t>提供的供货、安装、验收等实施进度计划不完善，安装调试和检验验收方案不具有安全性、操作性，得 2 分；未提供不得分。</w:t>
            </w:r>
          </w:p>
        </w:tc>
      </w:tr>
    </w:tbl>
    <w:p>
      <w:pPr>
        <w:jc w:val="center"/>
        <w:rPr>
          <w:rFonts w:cs="宋体"/>
          <w:color w:val="auto"/>
          <w:sz w:val="21"/>
          <w:highlight w:val="none"/>
          <w:lang w:val="en-GB"/>
        </w:rPr>
      </w:pPr>
      <w:r>
        <w:rPr>
          <w:rFonts w:cs="宋体"/>
          <w:color w:val="auto"/>
          <w:sz w:val="21"/>
          <w:highlight w:val="none"/>
          <w:lang w:val="en-GB"/>
        </w:rPr>
        <w:br w:type="page"/>
      </w:r>
    </w:p>
    <w:p>
      <w:pPr>
        <w:pStyle w:val="41"/>
        <w:ind w:left="0" w:leftChars="0" w:firstLine="0" w:firstLineChars="0"/>
        <w:jc w:val="both"/>
        <w:rPr>
          <w:b/>
          <w:color w:val="auto"/>
          <w:szCs w:val="28"/>
          <w:highlight w:val="none"/>
        </w:rPr>
      </w:pPr>
    </w:p>
    <w:p>
      <w:pPr>
        <w:pStyle w:val="41"/>
        <w:ind w:firstLine="412" w:firstLineChars="171"/>
        <w:jc w:val="center"/>
        <w:rPr>
          <w:b/>
          <w:color w:val="auto"/>
          <w:szCs w:val="28"/>
          <w:highlight w:val="none"/>
        </w:rPr>
      </w:pPr>
    </w:p>
    <w:p>
      <w:pPr>
        <w:pStyle w:val="41"/>
        <w:ind w:firstLine="412" w:firstLineChars="171"/>
        <w:jc w:val="center"/>
        <w:rPr>
          <w:b/>
          <w:color w:val="auto"/>
          <w:szCs w:val="28"/>
          <w:highlight w:val="none"/>
        </w:rPr>
      </w:pPr>
      <w:r>
        <w:rPr>
          <w:rFonts w:hint="eastAsia"/>
          <w:b/>
          <w:color w:val="auto"/>
          <w:szCs w:val="28"/>
          <w:highlight w:val="none"/>
        </w:rPr>
        <w:t>第四章</w:t>
      </w:r>
      <w:r>
        <w:rPr>
          <w:rFonts w:hint="eastAsia"/>
          <w:b/>
          <w:color w:val="auto"/>
          <w:szCs w:val="28"/>
          <w:highlight w:val="none"/>
        </w:rPr>
        <w:tab/>
      </w:r>
      <w:r>
        <w:rPr>
          <w:rFonts w:hint="eastAsia"/>
          <w:b/>
          <w:color w:val="auto"/>
          <w:szCs w:val="28"/>
          <w:highlight w:val="none"/>
        </w:rPr>
        <w:t>合同条款及格式</w:t>
      </w:r>
    </w:p>
    <w:p>
      <w:pPr>
        <w:spacing w:before="20" w:line="560" w:lineRule="exact"/>
        <w:jc w:val="center"/>
        <w:outlineLvl w:val="0"/>
        <w:rPr>
          <w:rFonts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（以</w:t>
      </w:r>
      <w:r>
        <w:rPr>
          <w:rFonts w:hint="eastAsia" w:asciiTheme="minorEastAsia" w:hAnsiTheme="minorEastAsia" w:eastAsiaTheme="minorEastAsia" w:cstheme="minorEastAsia"/>
          <w:b/>
          <w:bCs/>
          <w:color w:val="auto"/>
          <w:highlight w:val="none"/>
        </w:rPr>
        <w:t>中标投标人与采购人签订所需合同为准</w:t>
      </w:r>
      <w:r>
        <w:rPr>
          <w:rFonts w:hint="eastAsia" w:asciiTheme="minorEastAsia" w:hAnsiTheme="minorEastAsia" w:eastAsiaTheme="minorEastAsia" w:cstheme="minorEastAsia"/>
          <w:b/>
          <w:color w:val="auto"/>
          <w:szCs w:val="28"/>
          <w:highlight w:val="none"/>
        </w:rPr>
        <w:t>）</w:t>
      </w:r>
    </w:p>
    <w:p>
      <w:pPr>
        <w:rPr>
          <w:color w:val="auto"/>
          <w:highlight w:val="none"/>
        </w:rPr>
      </w:pPr>
    </w:p>
    <w:p>
      <w:pPr>
        <w:rPr>
          <w:bCs/>
          <w:color w:val="auto"/>
          <w:sz w:val="32"/>
          <w:szCs w:val="32"/>
          <w:highlight w:val="none"/>
        </w:rPr>
      </w:pPr>
    </w:p>
    <w:p>
      <w:pPr>
        <w:rPr>
          <w:bCs/>
          <w:color w:val="auto"/>
          <w:sz w:val="32"/>
          <w:szCs w:val="32"/>
          <w:highlight w:val="none"/>
        </w:rPr>
      </w:pPr>
    </w:p>
    <w:p>
      <w:pPr>
        <w:rPr>
          <w:bCs/>
          <w:color w:val="auto"/>
          <w:sz w:val="32"/>
          <w:szCs w:val="32"/>
          <w:highlight w:val="none"/>
        </w:rPr>
      </w:pPr>
    </w:p>
    <w:p>
      <w:pPr>
        <w:rPr>
          <w:bCs/>
          <w:color w:val="auto"/>
          <w:sz w:val="32"/>
          <w:szCs w:val="32"/>
          <w:highlight w:val="none"/>
        </w:rPr>
      </w:pPr>
    </w:p>
    <w:p>
      <w:pPr>
        <w:rPr>
          <w:bCs/>
          <w:color w:val="auto"/>
          <w:sz w:val="32"/>
          <w:szCs w:val="32"/>
          <w:highlight w:val="none"/>
        </w:rPr>
      </w:pPr>
    </w:p>
    <w:p>
      <w:pPr>
        <w:rPr>
          <w:bCs/>
          <w:color w:val="auto"/>
          <w:sz w:val="32"/>
          <w:szCs w:val="32"/>
          <w:highlight w:val="none"/>
        </w:rPr>
      </w:pPr>
    </w:p>
    <w:p>
      <w:pPr>
        <w:rPr>
          <w:bCs/>
          <w:color w:val="auto"/>
          <w:sz w:val="32"/>
          <w:szCs w:val="32"/>
          <w:highlight w:val="none"/>
        </w:rPr>
      </w:pPr>
    </w:p>
    <w:p>
      <w:pPr>
        <w:rPr>
          <w:bCs/>
          <w:color w:val="auto"/>
          <w:sz w:val="32"/>
          <w:szCs w:val="32"/>
          <w:highlight w:val="none"/>
        </w:rPr>
      </w:pPr>
    </w:p>
    <w:p>
      <w:pPr>
        <w:rPr>
          <w:b/>
          <w:bCs/>
          <w:color w:val="auto"/>
          <w:sz w:val="32"/>
          <w:szCs w:val="32"/>
          <w:highlight w:val="none"/>
        </w:rPr>
      </w:pPr>
      <w:r>
        <w:rPr>
          <w:b/>
          <w:bCs/>
          <w:color w:val="auto"/>
          <w:sz w:val="32"/>
          <w:szCs w:val="32"/>
          <w:highlight w:val="none"/>
        </w:rPr>
        <w:br w:type="page"/>
      </w:r>
    </w:p>
    <w:p>
      <w:pPr>
        <w:pStyle w:val="5"/>
        <w:jc w:val="center"/>
        <w:rPr>
          <w:rFonts w:hint="eastAsia" w:ascii="微软雅黑" w:hAnsi="微软雅黑" w:eastAsia="微软雅黑" w:cs="宋体"/>
          <w:b/>
          <w:bCs/>
          <w:color w:val="auto"/>
          <w:kern w:val="0"/>
          <w:sz w:val="36"/>
          <w:szCs w:val="36"/>
          <w:highlight w:val="none"/>
        </w:rPr>
      </w:pPr>
      <w:r>
        <w:rPr>
          <w:rFonts w:hint="eastAsia" w:ascii="微软雅黑" w:hAnsi="微软雅黑" w:eastAsia="微软雅黑" w:cs="宋体"/>
          <w:b/>
          <w:bCs/>
          <w:color w:val="auto"/>
          <w:kern w:val="0"/>
          <w:sz w:val="36"/>
          <w:szCs w:val="36"/>
          <w:highlight w:val="none"/>
        </w:rPr>
        <w:t>技术</w:t>
      </w:r>
      <w:r>
        <w:rPr>
          <w:rFonts w:hint="eastAsia" w:ascii="微软雅黑" w:hAnsi="微软雅黑" w:eastAsia="微软雅黑" w:cs="宋体"/>
          <w:b/>
          <w:bCs/>
          <w:color w:val="auto"/>
          <w:kern w:val="0"/>
          <w:sz w:val="36"/>
          <w:szCs w:val="36"/>
          <w:highlight w:val="none"/>
          <w:lang w:eastAsia="zh-CN"/>
        </w:rPr>
        <w:t>（</w:t>
      </w:r>
      <w:r>
        <w:rPr>
          <w:rFonts w:hint="eastAsia" w:ascii="微软雅黑" w:hAnsi="微软雅黑" w:eastAsia="微软雅黑" w:cs="宋体"/>
          <w:b/>
          <w:bCs/>
          <w:color w:val="auto"/>
          <w:kern w:val="0"/>
          <w:sz w:val="36"/>
          <w:szCs w:val="36"/>
          <w:highlight w:val="none"/>
          <w:lang w:val="en-US" w:eastAsia="zh-CN"/>
        </w:rPr>
        <w:t>设备</w:t>
      </w:r>
      <w:r>
        <w:rPr>
          <w:rFonts w:hint="eastAsia" w:ascii="微软雅黑" w:hAnsi="微软雅黑" w:eastAsia="微软雅黑" w:cs="宋体"/>
          <w:b/>
          <w:bCs/>
          <w:color w:val="auto"/>
          <w:kern w:val="0"/>
          <w:sz w:val="36"/>
          <w:szCs w:val="36"/>
          <w:highlight w:val="none"/>
          <w:lang w:eastAsia="zh-CN"/>
        </w:rPr>
        <w:t>）</w:t>
      </w:r>
      <w:r>
        <w:rPr>
          <w:rFonts w:hint="eastAsia" w:ascii="微软雅黑" w:hAnsi="微软雅黑" w:eastAsia="微软雅黑" w:cs="宋体"/>
          <w:b/>
          <w:bCs/>
          <w:color w:val="auto"/>
          <w:kern w:val="0"/>
          <w:sz w:val="36"/>
          <w:szCs w:val="36"/>
          <w:highlight w:val="none"/>
        </w:rPr>
        <w:t>参数</w:t>
      </w:r>
    </w:p>
    <w:tbl>
      <w:tblPr>
        <w:tblStyle w:val="22"/>
        <w:tblW w:w="9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
        <w:gridCol w:w="3041"/>
        <w:gridCol w:w="4073"/>
        <w:gridCol w:w="912"/>
        <w:gridCol w:w="560"/>
        <w:gridCol w:w="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998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一、喀拉苏乡司法所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项目名称</w:t>
            </w:r>
          </w:p>
        </w:tc>
        <w:tc>
          <w:tcPr>
            <w:tcW w:w="4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项目特征描述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调解室桌子</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长条桌八人桌，配椅子</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调解室、平面、箱式招牌</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16.95</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规格尺寸:4.21m*2.78m材质:布艺遮光窗帘</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心理疏导室圆桌</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3人圆桌配椅子</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心理疏导室、平面、箱式招牌</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4.95</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心理疏导室、窗帘</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规格尺寸:4.21m*2.78m材质:布艺遮光窗帘</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接访室、接待桌</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接待桌配椅子</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接访室、沙发</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三沙发配茶几</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接访室、平面、箱式招牌</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4.95</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接访室窗帘</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规格尺寸:4.21m*2.78m材质:布艺遮光窗帘</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二楼大厅电视</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75寸液晶电视</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二楼大厅镂空书架</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规格尺寸 :5.2m*2.2m材质:铁艺木质</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二楼大厅:长条桌木制条椅</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阅览桌宽度0.75m八人桌、配木制长条椅</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二楼大厅:调解室、平面、箱式招牌</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二楼大厅窗帘</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规格尺寸:4.21m*2.78m材质:布艺遮光窗帘</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西边楼道</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阅览室：书架</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L型书架：规格尺寸 :5.3m*3m*2.2m、20公分造型’材质：铁艺木质</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阅览室窗帘</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规格尺寸:4.21m*2.78m材质:布艺遮光窗帘</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生态门</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规格尺寸：2.45m*0.87m</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三楼楼道：平面、箱式招牌</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法律明白人培训基：投影</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投影幕布</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法律明白人培训基地：平面、箱式招牌</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2"/>
                <w:szCs w:val="22"/>
                <w:u w:val="none"/>
              </w:rPr>
            </w:pP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双人桌子</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1.4m*0.6m</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2"/>
                <w:szCs w:val="22"/>
                <w:u w:val="none"/>
              </w:rPr>
            </w:pP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椅子</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带靠背椅子</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2"/>
                <w:szCs w:val="22"/>
                <w:u w:val="none"/>
              </w:rPr>
            </w:pP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宣讲台</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防静电地板3m*1.5m*0.2m高</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铜牌</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《法律明白人培训基地》《法学会之家》《政治文化室工作站》《蜜都法制宣传矩阵牌》《法律志愿服务站》</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一楼封楼道</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1.骨架、边框材料种类、规格:轻钢龙骨（75*75*2镀锌方管，间40~60cm）2.隔板材料品种、规格、颜色:双面石膏板墙面，面层乳胶漆两遍</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木栈道</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规格尺寸：130㎡</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路灯道旗</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规格尺寸：0.9m*0.4m*2.5m</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铁艺凉亭广告铁艺造型</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规格尺寸：1.32m*1.97m</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高立柱</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高立柱钢架，三面造型，两面广告</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中国司法</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中国司法门头按尺寸</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9.72</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尼勒克县司法局xx司法所名称牌</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不锈钢拉丝板0.4m*2m</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尼勒克县xxx公共法律服务工作站名称牌</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不锈钢拉丝板0.4m*2m</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司法所工作时间警告牌</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PVCUV板材，600*800</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尼勒克县司法局xxx司法牌形象台</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1.2m*2.4m，PVCUV板材，5存连体亚克力盒</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司法所工作职能、工作制度、工作纪律、请示汇报制度</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司法所作例会制度、政治、业务学习制度、请销假制度、司法所工作人员廉洁自律制度</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司法所工作人员监督牌</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对党忠诚、服务人民、执法公正、纪律严明</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PVCUV板材</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公共法律服务工作站工作职责、一次性告知制度</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0.96</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法律顾问工作职责、服务监督制度</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0.96</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公共法律服务工作站领导小组</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法律援助流程图</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公共法律服务12348背景墙</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PCVUV板材，3m*1.5m</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公共法律服务工作站背景墙</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PCVUV板材，3m*1.5m</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人民调解委员会工作职责、工作制度、调处制度、工作程序</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调解室背景墙</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PCVUV板材，3m*1.5m</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社区矫正工作领导小组、社区矫正对象报道和移送工作流程，社区矫正宣告室纪律、社区矫正入矫宣告流程、社区矫正解矫宣告流程</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社区矫正工作职责、监管制度、请销假制度、帮扶制度、考核奖惩制度、保障制度</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2.88</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入矫、解矫宣告仪式墙</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3m*1.5m</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安置帮教定期排查制度、帮扶、岗位责任制、建档立卷制度</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全面依法治乡（镇）委员会工作规则</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“法律明白人”职责</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行政复议接待制度、受理条件、受理范围</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视频会见工作流程图、岗位职责</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0.96</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禁止拍照录音录像标识牌</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视频会见室背景墙</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3m*1.5m*2块</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司法所档案管理制度、保密工作制度、台账制度</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科室门牌</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岗位标识牌</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桌签</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档案柜</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办公桌</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含椅子</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法治图书角</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法治图书1500册</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桌椅</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三人圆桌含椅子</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书架</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1m*2m</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304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铁艺造型</w:t>
            </w:r>
          </w:p>
        </w:tc>
        <w:tc>
          <w:tcPr>
            <w:tcW w:w="40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0.8m*1.2m造型《十个严禁》</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bl>
    <w:p>
      <w:pPr>
        <w:rPr>
          <w:rFonts w:hint="eastAsia" w:ascii="宋体" w:hAnsi="宋体" w:eastAsia="宋体" w:cs="宋体"/>
          <w:color w:val="auto"/>
          <w:sz w:val="22"/>
          <w:szCs w:val="22"/>
        </w:rPr>
      </w:pPr>
    </w:p>
    <w:tbl>
      <w:tblPr>
        <w:tblStyle w:val="22"/>
        <w:tblW w:w="9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5"/>
        <w:gridCol w:w="3375"/>
        <w:gridCol w:w="3540"/>
        <w:gridCol w:w="1005"/>
        <w:gridCol w:w="795"/>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98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二、克令镇司法所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项目特征描述</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中国司法门头</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铝塑板带中国司法四个大字</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113.48</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精神堡垒</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铁艺造型放草坪</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铁艺造型</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铁艺造型放草坪</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七间办公室平面、箱式招牌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1.名称:文化墙2.规格尺寸:按甲方要求</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3.面层材料种类:PVCUV4.样式:法制展板</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105.9</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二楼法律明白人基地</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椅子</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人民调解室圆桌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3人圆桌配椅子</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三人沙发</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1.规格:三人位：1920*760*770mm配茶几</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套装门</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拆除、安装新套装门1m*2.4m</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95" w:type="dxa"/>
            <w:tcBorders>
              <w:top w:val="single" w:color="000000" w:sz="4" w:space="0"/>
              <w:left w:val="single" w:color="000000" w:sz="4" w:space="0"/>
              <w:bottom w:val="single" w:color="000000" w:sz="4" w:space="0"/>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桌子</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双人桌</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规格尺寸:4.21m*2.78m材质:布艺遮光窗帘</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《法律明白人培训基地》《法学会之家》《政治文化室工作站》《蜜都法制宣传矩阵牌》《法律志愿服务站》</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尼勒克县司法局xx司法所名称牌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不锈钢拉丝板0.4m*2m</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尼勒克县xxx公共法律服务工作站名称牌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不锈钢拉丝板0.4m*2m</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司法所工作时间警告牌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尼勒克县司法局xxx司法牌形象台</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1.2m*2.4m，PVCUV板材，5存连体亚克力盒</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司法所工作职能、工作制度、工作纪律、请示汇报制度</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司法所作例会制度、政治、业务学习制度、请销假制度、司法所工作人员廉洁自律制度</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司法所工作人员监督牌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对党忠诚、服务人民、执法公正、纪律严明</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PVCUV板材+亚克力面层</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公共法律服务工作站工作职责、一次性告知制度</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法律顾问工作职责、服务监督制度</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公共法律服务工作站领导小组</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法律援助流程图</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公共法律服务12348背景墙</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PCVUV板材，3m*1.5m</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公共法律服务工作站背景墙</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PCVUV板材，3m*1.5m</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人民调解委员会工作职责、工作制度、调处制度、工作程序</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调解室背景墙</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PCVUV板材，3m*1.5m</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社区矫正工作领导小组、社区矫正对象报道和移送工作流程，社区矫正宣告室纪律、社区矫正入矫宣告流程、社区矫正解矫宣告流程</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社区矫正工作职责、监管制度、请销假制度、帮扶制度、考核奖惩制度、保障制度</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2.88</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入矫、解矫宣告仪式墙</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3m*1.5m</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安置帮教定期排查制度、帮扶、岗位责任制、建档立卷制度</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全面依法治乡（镇）委员会工作规则</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“法律明白人”职责</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行政复议接待制度、受理条件、受理范围</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视频会见工作流程图、岗位职责</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禁止拍照录音录像标识牌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视频会见室背景墙</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3m*1.5m*2块</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司法所档案管理制度、保密工作制度、台账制度</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科室门牌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岗位标识牌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桌签</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档案柜</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含椅子</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法治图书角</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法治图书1500册</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书架</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1m*2m</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铁艺造型</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0.8m*1.2m造型《十个严禁》</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bl>
    <w:p>
      <w:pPr>
        <w:rPr>
          <w:rFonts w:hint="eastAsia" w:ascii="宋体" w:hAnsi="宋体" w:eastAsia="宋体" w:cs="宋体"/>
          <w:color w:val="auto"/>
          <w:sz w:val="22"/>
          <w:szCs w:val="22"/>
        </w:rPr>
      </w:pPr>
    </w:p>
    <w:p>
      <w:pPr>
        <w:rPr>
          <w:rFonts w:hint="eastAsia" w:ascii="宋体" w:hAnsi="宋体" w:eastAsia="宋体" w:cs="宋体"/>
          <w:color w:val="auto"/>
          <w:sz w:val="22"/>
          <w:szCs w:val="22"/>
        </w:rPr>
      </w:pPr>
    </w:p>
    <w:p>
      <w:pPr>
        <w:rPr>
          <w:rFonts w:hint="eastAsia" w:ascii="宋体" w:hAnsi="宋体" w:eastAsia="宋体" w:cs="宋体"/>
          <w:color w:val="auto"/>
          <w:sz w:val="22"/>
          <w:szCs w:val="22"/>
        </w:rPr>
      </w:pPr>
    </w:p>
    <w:tbl>
      <w:tblPr>
        <w:tblStyle w:val="22"/>
        <w:tblW w:w="99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3525"/>
        <w:gridCol w:w="3525"/>
        <w:gridCol w:w="765"/>
        <w:gridCol w:w="780"/>
        <w:gridCol w:w="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990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三、尼勒克镇第二社区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项目特征描述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5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接待室沙发</w:t>
            </w:r>
          </w:p>
        </w:tc>
        <w:tc>
          <w:tcPr>
            <w:tcW w:w="35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6人沙发配茶几</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5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接待室平面、箱式招牌</w:t>
            </w:r>
          </w:p>
        </w:tc>
        <w:tc>
          <w:tcPr>
            <w:tcW w:w="3525" w:type="dxa"/>
            <w:tcBorders>
              <w:top w:val="single" w:color="000000" w:sz="4" w:space="0"/>
              <w:left w:val="single" w:color="000000" w:sz="4" w:space="0"/>
              <w:bottom w:val="nil"/>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5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调解室</w:t>
            </w:r>
          </w:p>
        </w:tc>
        <w:tc>
          <w:tcPr>
            <w:tcW w:w="35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5-6人圆桌配椅子</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5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调解室平面、箱式招牌</w:t>
            </w:r>
          </w:p>
        </w:tc>
        <w:tc>
          <w:tcPr>
            <w:tcW w:w="3525" w:type="dxa"/>
            <w:tcBorders>
              <w:top w:val="single" w:color="000000" w:sz="4" w:space="0"/>
              <w:left w:val="single" w:color="000000" w:sz="4" w:space="0"/>
              <w:bottom w:val="nil"/>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5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525" w:type="dxa"/>
            <w:tcBorders>
              <w:top w:val="single" w:color="000000" w:sz="4" w:space="0"/>
              <w:left w:val="single" w:color="000000" w:sz="4" w:space="0"/>
              <w:bottom w:val="nil"/>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35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35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规格尺寸:4.21m*2.78m材质:布艺遮光窗帘</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6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bl>
    <w:p>
      <w:pPr>
        <w:rPr>
          <w:rFonts w:hint="eastAsia" w:ascii="宋体" w:hAnsi="宋体" w:eastAsia="宋体" w:cs="宋体"/>
          <w:color w:val="auto"/>
          <w:sz w:val="22"/>
          <w:szCs w:val="22"/>
        </w:rPr>
      </w:pPr>
    </w:p>
    <w:tbl>
      <w:tblPr>
        <w:tblStyle w:val="22"/>
        <w:tblW w:w="98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
        <w:gridCol w:w="2525"/>
        <w:gridCol w:w="3274"/>
        <w:gridCol w:w="1062"/>
        <w:gridCol w:w="1132"/>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981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四、尼勒克县滨河公园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3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项目特征描述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5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大屏</w:t>
            </w:r>
          </w:p>
        </w:tc>
        <w:tc>
          <w:tcPr>
            <w:tcW w:w="32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7.64m*4.6m</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5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小标语</w:t>
            </w:r>
          </w:p>
        </w:tc>
        <w:tc>
          <w:tcPr>
            <w:tcW w:w="32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铁艺造型放草坪</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5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铁艺宣传栏</w:t>
            </w:r>
          </w:p>
        </w:tc>
        <w:tc>
          <w:tcPr>
            <w:tcW w:w="32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铁艺造型放草坪</w:t>
            </w:r>
          </w:p>
        </w:tc>
        <w:tc>
          <w:tcPr>
            <w:tcW w:w="10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bl>
    <w:p>
      <w:pPr>
        <w:rPr>
          <w:rFonts w:hint="eastAsia" w:ascii="宋体" w:hAnsi="宋体" w:eastAsia="宋体" w:cs="宋体"/>
          <w:color w:val="auto"/>
          <w:sz w:val="22"/>
          <w:szCs w:val="22"/>
        </w:rPr>
      </w:pPr>
    </w:p>
    <w:tbl>
      <w:tblPr>
        <w:tblStyle w:val="22"/>
        <w:tblW w:w="99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0"/>
        <w:gridCol w:w="2038"/>
        <w:gridCol w:w="3721"/>
        <w:gridCol w:w="1084"/>
        <w:gridCol w:w="1148"/>
        <w:gridCol w:w="1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91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五、唐布拉广场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3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项目特征描述</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执法责任田</w:t>
            </w:r>
          </w:p>
        </w:tc>
        <w:tc>
          <w:tcPr>
            <w:tcW w:w="37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吊装广告牌</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1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60"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铁艺造型</w:t>
            </w:r>
          </w:p>
        </w:tc>
        <w:tc>
          <w:tcPr>
            <w:tcW w:w="37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铁艺造型（放草坪）执法小蜜蜂</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1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大立方</w:t>
            </w:r>
          </w:p>
        </w:tc>
        <w:tc>
          <w:tcPr>
            <w:tcW w:w="37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带灯带轮毂可移动</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1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60"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造型铁艺5面</w:t>
            </w:r>
          </w:p>
        </w:tc>
        <w:tc>
          <w:tcPr>
            <w:tcW w:w="37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铁艺 广告造型上墙</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w:t>
            </w:r>
          </w:p>
        </w:tc>
        <w:tc>
          <w:tcPr>
            <w:tcW w:w="11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书法雕刻</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铁艺造型放平台上</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60"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网红打卡墙</w:t>
            </w:r>
          </w:p>
        </w:tc>
        <w:tc>
          <w:tcPr>
            <w:tcW w:w="37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0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铁艺桩子</w:t>
            </w:r>
          </w:p>
        </w:tc>
        <w:tc>
          <w:tcPr>
            <w:tcW w:w="372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规格型号：10*10镀锌方管高度3m激光打字法字佩带横面图</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bl>
    <w:p>
      <w:pPr>
        <w:rPr>
          <w:rFonts w:hint="eastAsia" w:ascii="宋体" w:hAnsi="宋体" w:eastAsia="宋体" w:cs="宋体"/>
          <w:color w:val="auto"/>
          <w:sz w:val="22"/>
          <w:szCs w:val="22"/>
        </w:rPr>
      </w:pPr>
    </w:p>
    <w:tbl>
      <w:tblPr>
        <w:tblStyle w:val="22"/>
        <w:tblW w:w="100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0"/>
        <w:gridCol w:w="3360"/>
        <w:gridCol w:w="3450"/>
        <w:gridCol w:w="930"/>
        <w:gridCol w:w="630"/>
        <w:gridCol w:w="1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9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六、科蒙乡司法所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项目特征描述</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内套</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门内套</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办公桌</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三人沙发</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1.规格:三人位：1920*760*770mm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茶几</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1.桌面材质:岩板</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2.材质:2.0*2.0方管.钢腿采用喷塑工艺</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450" w:type="dxa"/>
            <w:tcBorders>
              <w:top w:val="single" w:color="000000" w:sz="4" w:space="0"/>
              <w:left w:val="single" w:color="000000" w:sz="4" w:space="0"/>
              <w:bottom w:val="nil"/>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塑料板踢脚线</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1.踢脚线高度:0.12m</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2.粘结层厚度、材料种类:铲除原水泥砂浆踢脚</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3.面层材料种类、规格、颜色:树脂踢脚线</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29.04</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6人长条桌</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长条桌配6把椅子</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电视</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75寸液晶电视</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三人沙发</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带茶几</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450" w:type="dxa"/>
            <w:tcBorders>
              <w:top w:val="single" w:color="000000" w:sz="4" w:space="0"/>
              <w:left w:val="single" w:color="000000" w:sz="4" w:space="0"/>
              <w:bottom w:val="nil"/>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地点二楼楼道，面层材料种类:PVCUV文化墙</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3人圆桌</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3人圆桌配椅子</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书架</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450" w:type="dxa"/>
            <w:tcBorders>
              <w:top w:val="single" w:color="000000" w:sz="4" w:space="0"/>
              <w:left w:val="single" w:color="000000" w:sz="4" w:space="0"/>
              <w:bottom w:val="nil"/>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办公桌</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椅子</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三人沙发</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茶几</w:t>
            </w:r>
          </w:p>
        </w:tc>
        <w:tc>
          <w:tcPr>
            <w:tcW w:w="3450" w:type="dxa"/>
            <w:tcBorders>
              <w:top w:val="single" w:color="000000" w:sz="4" w:space="0"/>
              <w:left w:val="single" w:color="000000" w:sz="4" w:space="0"/>
              <w:bottom w:val="nil"/>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450" w:type="dxa"/>
            <w:tcBorders>
              <w:top w:val="single" w:color="000000" w:sz="4" w:space="0"/>
              <w:left w:val="single" w:color="000000" w:sz="4" w:space="0"/>
              <w:bottom w:val="nil"/>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门头换字</w:t>
            </w:r>
          </w:p>
        </w:tc>
        <w:tc>
          <w:tcPr>
            <w:tcW w:w="3450" w:type="dxa"/>
            <w:tcBorders>
              <w:top w:val="single" w:color="000000" w:sz="4" w:space="0"/>
              <w:left w:val="single" w:color="000000" w:sz="4" w:space="0"/>
              <w:bottom w:val="nil"/>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中国司法</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椅子</w:t>
            </w:r>
          </w:p>
        </w:tc>
        <w:tc>
          <w:tcPr>
            <w:tcW w:w="3450" w:type="dxa"/>
            <w:tcBorders>
              <w:top w:val="single" w:color="000000" w:sz="4" w:space="0"/>
              <w:left w:val="single" w:color="000000" w:sz="4" w:space="0"/>
              <w:bottom w:val="nil"/>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450" w:type="dxa"/>
            <w:tcBorders>
              <w:top w:val="single" w:color="000000" w:sz="4" w:space="0"/>
              <w:left w:val="single" w:color="000000" w:sz="4" w:space="0"/>
              <w:bottom w:val="nil"/>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竹、木（复合）地板</w:t>
            </w:r>
          </w:p>
        </w:tc>
        <w:tc>
          <w:tcPr>
            <w:tcW w:w="3450" w:type="dxa"/>
            <w:tcBorders>
              <w:top w:val="single" w:color="000000" w:sz="4" w:space="0"/>
              <w:left w:val="single" w:color="000000" w:sz="4" w:space="0"/>
              <w:bottom w:val="nil"/>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水泥地面上铺设硬木地板</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3450" w:type="dxa"/>
            <w:tcBorders>
              <w:top w:val="single" w:color="000000" w:sz="4" w:space="0"/>
              <w:left w:val="single" w:color="000000" w:sz="4" w:space="0"/>
              <w:bottom w:val="nil"/>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规格尺寸:4.21m*2.78m材质:布艺遮光窗帘</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铜牌</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《法律明白人培训基地》《法学会之家》《政治文化室工作站》《蜜都法制宣传矩阵牌》《法律志愿服务站》</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尼勒克县司法局xx司法所名称牌</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不锈钢拉丝板0.4m*2m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尼勒克县xxx公共法律服务工作站名称牌</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不锈钢拉丝板0.4m*2m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司法所工作时间警告牌</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PVCUV板材，600*800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尼勒克县司法局xxx司法牌形象台</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1.2m*2.4m，PVCUV板材，5存连体亚克力盒</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司法所工作职能、工作制度、工作纪律、请示汇报制度</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司法所作例会制度、政治、业务学习制度、请销假制度、司法所工作人员廉洁自律制度</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司法所工作人员监督牌</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对党忠诚、服务人民、执法公正、纪律严明</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PVCUV板材+亚克力面层</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公共法律服务工作站工作职责、一次性告知制度</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0.96</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法律顾问工作职责、服务监督制度</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0.96</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公共法律服务工作站领导小组</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法律援助流程图</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公共法律服务12348背景墙</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PCVUV板材，3m*1.5m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公共法律服务工作站背景墙</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PCVUV板材，3m*1.5m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人民调解委员会工作职责、工作制度、调处制度、工作程序</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调解室背景墙</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PCVUV板材，3m*1.5m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社区矫正工作领导小组、社区矫正对象报道和移送工作流程，社区矫正宣告室纪律、社区矫正入矫宣告流程、社区矫正解矫宣告流程</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社区矫正工作职责、监管制度、请销假制度、帮扶制度、考核奖惩制度、保障制度</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2.88</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入矫、解矫宣告仪式墙</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3m*1.5m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安置帮教定期排查制度、帮扶、岗位责任制、建档立卷制度</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全面依法治乡（镇）委员会工作规则</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“法律明白人”职责</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行政复议接待制度、受理条件、受理范围</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视频会见工作流程图、岗位职责</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0.96</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禁止拍照录音录像标识牌</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视频会见室背景墙</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3m*1.5m*2块</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司法所档案管理制度、保密工作制度、台账制度</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科室门牌</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岗位标识牌</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桌签</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档案柜</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办公桌</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含椅子</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法治图书角</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法治图书1500册</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桌椅</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含椅子</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书架</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1m*2m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铁艺造型</w:t>
            </w:r>
          </w:p>
        </w:tc>
        <w:tc>
          <w:tcPr>
            <w:tcW w:w="3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0.8m*1.2m造型《十个严禁》</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bl>
    <w:p>
      <w:pPr>
        <w:rPr>
          <w:rFonts w:hint="eastAsia" w:ascii="宋体" w:hAnsi="宋体" w:eastAsia="宋体" w:cs="宋体"/>
          <w:color w:val="auto"/>
          <w:sz w:val="22"/>
          <w:szCs w:val="22"/>
        </w:rPr>
      </w:pPr>
    </w:p>
    <w:p>
      <w:pPr>
        <w:rPr>
          <w:rFonts w:hint="eastAsia" w:ascii="宋体" w:hAnsi="宋体" w:eastAsia="宋体" w:cs="宋体"/>
          <w:color w:val="auto"/>
          <w:sz w:val="22"/>
          <w:szCs w:val="22"/>
        </w:rPr>
      </w:pPr>
    </w:p>
    <w:tbl>
      <w:tblPr>
        <w:tblStyle w:val="22"/>
        <w:tblW w:w="102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2415"/>
        <w:gridCol w:w="4245"/>
        <w:gridCol w:w="960"/>
        <w:gridCol w:w="915"/>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029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七、科蒙乡恰勒格尔村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项目特征描述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4245" w:type="dxa"/>
            <w:tcBorders>
              <w:top w:val="single" w:color="000000" w:sz="4" w:space="0"/>
              <w:left w:val="single" w:color="000000" w:sz="4" w:space="0"/>
              <w:bottom w:val="nil"/>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带钢构带造型图</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地板革</w:t>
            </w:r>
          </w:p>
        </w:tc>
        <w:tc>
          <w:tcPr>
            <w:tcW w:w="42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2mm厚地板革</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踢脚线</w:t>
            </w:r>
          </w:p>
        </w:tc>
        <w:tc>
          <w:tcPr>
            <w:tcW w:w="42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成品塑料踢脚线</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沙发</w:t>
            </w:r>
          </w:p>
        </w:tc>
        <w:tc>
          <w:tcPr>
            <w:tcW w:w="42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3人沙发</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茶几</w:t>
            </w:r>
          </w:p>
        </w:tc>
        <w:tc>
          <w:tcPr>
            <w:tcW w:w="42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圆桌</w:t>
            </w:r>
          </w:p>
        </w:tc>
        <w:tc>
          <w:tcPr>
            <w:tcW w:w="42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3人圆桌配椅子</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42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八人会议桌</w:t>
            </w:r>
          </w:p>
        </w:tc>
        <w:tc>
          <w:tcPr>
            <w:tcW w:w="42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8人会议桌配8把椅子</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42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法制堡垒</w:t>
            </w:r>
          </w:p>
        </w:tc>
        <w:tc>
          <w:tcPr>
            <w:tcW w:w="42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地板革</w:t>
            </w:r>
          </w:p>
        </w:tc>
        <w:tc>
          <w:tcPr>
            <w:tcW w:w="42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踢脚线</w:t>
            </w:r>
          </w:p>
        </w:tc>
        <w:tc>
          <w:tcPr>
            <w:tcW w:w="42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42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书架</w:t>
            </w:r>
          </w:p>
        </w:tc>
        <w:tc>
          <w:tcPr>
            <w:tcW w:w="42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1m*2m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办公桌</w:t>
            </w:r>
          </w:p>
        </w:tc>
        <w:tc>
          <w:tcPr>
            <w:tcW w:w="42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电视</w:t>
            </w:r>
          </w:p>
        </w:tc>
        <w:tc>
          <w:tcPr>
            <w:tcW w:w="42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75液晶电视</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三人圆桌</w:t>
            </w:r>
          </w:p>
        </w:tc>
        <w:tc>
          <w:tcPr>
            <w:tcW w:w="42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3人圆桌配椅子</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42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11.7</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bl>
    <w:p>
      <w:pPr>
        <w:rPr>
          <w:rFonts w:hint="eastAsia" w:ascii="宋体" w:hAnsi="宋体" w:eastAsia="宋体" w:cs="宋体"/>
          <w:color w:val="auto"/>
          <w:sz w:val="22"/>
          <w:szCs w:val="22"/>
        </w:rPr>
      </w:pPr>
    </w:p>
    <w:tbl>
      <w:tblPr>
        <w:tblStyle w:val="22"/>
        <w:tblW w:w="106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3000"/>
        <w:gridCol w:w="3435"/>
        <w:gridCol w:w="1005"/>
        <w:gridCol w:w="1155"/>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69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八、喀拉托别乡司法所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项目特征描述</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中国司法门头</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中国司法四个大字</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木质椅子</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围树木质椅</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三人沙发</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会议桌</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长4m</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椅子</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书架</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1m*2m</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圆桌</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3人圆桌配椅子</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电视</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液晶电视75寸</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综治办面层材料种类:PVCUV文化墙</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茶几</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尼勒克县司法局xx司法所名称牌</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不锈钢拉丝板0.4m*2m</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尼勒克县xxx公共法律服务工作站名称牌</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不锈钢拉丝板0.4m*2m</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司法所工作时间警告牌</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尼勒克县司法局xxx司法牌形象台</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1.2m*2.4m，PVCUV板材，5存连体亚克力盒</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司法所工作职能、工作制度、工作纪律、请示汇报制度</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司法所作例会制度、政治、业务学习制度、请销假制度、司法所工作人员廉洁自律制度</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司法所工作人员监督牌</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对党忠诚、服务人民、执法公正、纪律严明</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PVCUV板材+亚克力面层</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公共法律服务工作站工作职责、一次性告知制度</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0.96</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法律顾问工作职责、服务监督制度</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0.96</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公共法律服务工作站领导小组</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法律援助流程图</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公共法律服务12348背景墙</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PCVUV板材，3m*1.5m</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公共法律服务工作站背景墙</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PCVUV板材，3m*1.5m</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人民调解委员会工作职责、工作制度、调处制度、工作程序</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调解室背景墙</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PCVUV板材，3m*1.5m</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社区矫正工作领导小组、社区矫正对象报道和移送工作流程，社区矫正宣告室纪律、社区矫正入矫宣告流程、社区矫正解矫宣告流程</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社区矫正工作职责、监管制度、请销假制度、帮扶制度、考核奖惩制度、保障制度</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2.88</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入矫、解矫宣告仪式墙</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3m*1.5m</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安置帮教定期排查制度、帮扶、岗位责任制、建档立卷制度</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全面依法治乡（镇）委员会工作规则</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“法律明白人”职责</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行政复议接待制度、受理条件、受理范围</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视频会见工作流程图、岗位职责</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0.96</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禁止拍照录音录像标识牌</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视频会见室背景墙</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3m*1.5m*2块</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司法所档案管理制度、保密工作制度、台账制度</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科室门牌</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岗位标识牌</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桌签</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档案柜</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办公桌</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含椅子</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法治图书角</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法治图书1500册</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桌椅</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三人圆桌含椅子</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书架</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1m*2m</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3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铁艺造型</w:t>
            </w:r>
          </w:p>
        </w:tc>
        <w:tc>
          <w:tcPr>
            <w:tcW w:w="34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0.8m*1.2m造型《十个严禁》</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bl>
    <w:p>
      <w:pPr>
        <w:rPr>
          <w:rFonts w:hint="eastAsia" w:ascii="宋体" w:hAnsi="宋体" w:eastAsia="宋体" w:cs="宋体"/>
          <w:color w:val="auto"/>
          <w:sz w:val="22"/>
          <w:szCs w:val="22"/>
        </w:rPr>
      </w:pPr>
    </w:p>
    <w:tbl>
      <w:tblPr>
        <w:tblStyle w:val="22"/>
        <w:tblW w:w="10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2275"/>
        <w:gridCol w:w="4989"/>
        <w:gridCol w:w="796"/>
        <w:gridCol w:w="897"/>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1078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九、喀拉托别乡政府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4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项目特征描述</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2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室外展示牌</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位置法制一条街路南规格尺寸：带钢骨架单面展板8*3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2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铁艺宣传栏</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铁艺造型精神堡垒环形路口4m*2.4m</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2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室外展示牌</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位置法制一条街路南规格尺寸：带钢骨架单面展板8*3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2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木地板</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2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三人沙发</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2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茶几</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2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调解桌</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2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防盗门</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2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展示台</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玻璃制品</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2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文化广场凉亭刷漆</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29m*2道</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2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广告牌</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2.08*1</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2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铁艺椅子</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2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精神堡垒</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4m*2.8m</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2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太阳能路灯</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2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凉亭广告</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2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大理石地面</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2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石桌石凳</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28"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2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铁艺凳子</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宋体"/>
                <w:i w:val="0"/>
                <w:iCs w:val="0"/>
                <w:color w:val="auto"/>
                <w:sz w:val="22"/>
                <w:szCs w:val="22"/>
                <w:u w:val="none"/>
              </w:rPr>
            </w:pPr>
          </w:p>
        </w:tc>
      </w:tr>
    </w:tbl>
    <w:p>
      <w:pPr>
        <w:rPr>
          <w:rFonts w:hint="eastAsia" w:ascii="宋体" w:hAnsi="宋体" w:eastAsia="宋体" w:cs="宋体"/>
          <w:color w:val="auto"/>
          <w:sz w:val="22"/>
          <w:szCs w:val="22"/>
        </w:rPr>
      </w:pPr>
    </w:p>
    <w:tbl>
      <w:tblPr>
        <w:tblStyle w:val="22"/>
        <w:tblW w:w="10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0"/>
        <w:gridCol w:w="3390"/>
        <w:gridCol w:w="2805"/>
        <w:gridCol w:w="1065"/>
        <w:gridCol w:w="99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4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十、乌拉斯台镇司法所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项目特征描述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中国司法门头</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中国司法四个大字</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不锈钢牌子</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精神堡垒</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法制雕塑</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法制广告</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司法所五间房子</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桌椅</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司法所五间房子</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法制广告</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一楼大厅、楼道、矛盾调解室</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三人沙发</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茶几</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一楼大厅亚克力</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4.23</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谈判桌</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听证室10人谈判桌、含椅子</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服务站吊牌</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PVCUV300*600</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铜牌</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《法律明白人培训基地》《法学会之家》《政治文化室工作站》《蜜都法制宣传矩阵牌》《法律志愿服务站》</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尼勒克县司法局xx司法所名称牌</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不锈钢拉丝板0.4m*2m</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尼勒克县xxx公共法律服务工作站名称牌</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不锈钢拉丝板0.4m*2m</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司法所工作时间警告牌</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PVCUV板材，600*800</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尼勒克县司法局xxx司法牌形象台</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1.2m*2.4m，PVCUV板材，5存连体亚克力盒</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司法所工作职能、工作制度、工作纪律、请示汇报制度</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司法所作例会制度、政治、业务学习制度、请销假制度、司法所工作人员廉洁自律制度</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司法所工作人员监督牌</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对党忠诚、服务人民、执法公正、纪律严明</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PVCUV板材+亚克力面层</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公共法律服务工作站工作职责、一次性告知制度</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0.96</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法律顾问工作职责、服务监督制度</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0.96</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公共法律服务工作站领导小组</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法律援助流程图</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公共法律服务12348背景墙</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PCVUV板材，3m*1.5m</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公共法律服务工作站背景墙</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PCVUV板材，3m*1.5m</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人民调解委员会工作职责、工作制度、调处制度、工作程序</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调解室背景墙</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PCVUV板材，3m*1.5m</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社区矫正工作领导小组、社区矫正对象报道和移送工作流程，社区矫正宣告室纪律、社区矫正入矫宣告流程、社区矫正解矫宣告流程</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社区矫正工作职责、监管制度、请销假制度、帮扶制度、考核奖惩制度、保障制度</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2.88</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入矫、解矫宣告仪式墙</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3m*1.5m</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安置帮教定期排查制度、帮扶、岗位责任制、建档立卷制度</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全面依法治乡（镇）委员会工作规则</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“法律明白人”职责</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行政复议接待制度、受理条件、受理范围</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视频会见工作流程图、岗位职责</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0.96</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禁止拍照录音录像标识牌</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0.48</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视频会见室背景墙</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3m*1.5m*2块</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司法所档案管理制度、保密工作制度、台账制度</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PCVUV板材，600*800</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科室门牌</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岗位标识牌</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桌签</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档案柜</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办公桌</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含椅子</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法治图书角</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法治图书1500册</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桌椅</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办公桌含椅子</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书架</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1m*2m</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33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铁艺造型</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0.8m*1.2m造型《十个严禁》</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r>
    </w:tbl>
    <w:p>
      <w:pPr>
        <w:rPr>
          <w:rFonts w:hint="eastAsia" w:ascii="宋体" w:hAnsi="宋体" w:eastAsia="宋体" w:cs="宋体"/>
          <w:color w:val="auto"/>
          <w:sz w:val="22"/>
          <w:szCs w:val="22"/>
        </w:rPr>
      </w:pPr>
    </w:p>
    <w:tbl>
      <w:tblPr>
        <w:tblStyle w:val="22"/>
        <w:tblW w:w="10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2340"/>
        <w:gridCol w:w="3540"/>
        <w:gridCol w:w="1065"/>
        <w:gridCol w:w="99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032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十一、乌拉斯台镇乌拉斯台村委会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项目特征描述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室外展板</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7.2m*2.6</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精神堡垒</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规格尺寸：带钢骨架单面展板8*3</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接待桌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三人沙发</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茶几</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法律书架</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L型书架：规格尺寸 :5.3m*3m*2.2m、20公分造型’材质：铁艺木质</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Style w:val="53"/>
                <w:rFonts w:hint="eastAsia" w:ascii="宋体" w:hAnsi="宋体" w:eastAsia="宋体" w:cs="宋体"/>
                <w:color w:val="auto"/>
                <w:sz w:val="22"/>
                <w:szCs w:val="22"/>
                <w:lang w:val="en-US" w:eastAsia="zh-CN" w:bidi="ar"/>
              </w:rPr>
              <w:t>L</w:t>
            </w:r>
            <w:r>
              <w:rPr>
                <w:rStyle w:val="60"/>
                <w:rFonts w:hint="eastAsia" w:ascii="宋体" w:hAnsi="宋体" w:eastAsia="宋体" w:cs="宋体"/>
                <w:color w:val="auto"/>
                <w:sz w:val="22"/>
                <w:szCs w:val="22"/>
                <w:lang w:val="en-US" w:eastAsia="zh-CN" w:bidi="ar"/>
              </w:rPr>
              <w:t>型沙发</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茶几</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auto"/>
                <w:sz w:val="22"/>
                <w:szCs w:val="22"/>
                <w:u w:val="none"/>
              </w:rPr>
            </w:pPr>
          </w:p>
        </w:tc>
      </w:tr>
    </w:tbl>
    <w:p>
      <w:pPr>
        <w:rPr>
          <w:rFonts w:hint="eastAsia" w:ascii="宋体" w:hAnsi="宋体" w:eastAsia="宋体" w:cs="宋体"/>
          <w:color w:val="auto"/>
          <w:sz w:val="22"/>
          <w:szCs w:val="22"/>
        </w:rPr>
      </w:pPr>
    </w:p>
    <w:tbl>
      <w:tblPr>
        <w:tblStyle w:val="22"/>
        <w:tblW w:w="10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2340"/>
        <w:gridCol w:w="3540"/>
        <w:gridCol w:w="1065"/>
        <w:gridCol w:w="99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032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十二、县委网信办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项目特征描述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杀毒软件</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专业杀毒软件</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窗帘、LED灯</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综治中心</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bl>
    <w:p>
      <w:pPr>
        <w:rPr>
          <w:rFonts w:hint="eastAsia" w:ascii="宋体" w:hAnsi="宋体" w:eastAsia="宋体" w:cs="宋体"/>
          <w:color w:val="auto"/>
          <w:sz w:val="22"/>
          <w:szCs w:val="22"/>
        </w:rPr>
      </w:pPr>
    </w:p>
    <w:tbl>
      <w:tblPr>
        <w:tblStyle w:val="22"/>
        <w:tblW w:w="10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2340"/>
        <w:gridCol w:w="3540"/>
        <w:gridCol w:w="1065"/>
        <w:gridCol w:w="99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032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十三、种蜂场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项目特征描述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路灯道旗</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路灯道旗两面</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展板</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游客中心展板1.2*2.4</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5.76</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bl>
    <w:p>
      <w:pPr>
        <w:rPr>
          <w:rFonts w:hint="eastAsia" w:ascii="宋体" w:hAnsi="宋体" w:eastAsia="宋体" w:cs="宋体"/>
          <w:color w:val="auto"/>
          <w:sz w:val="22"/>
          <w:szCs w:val="22"/>
        </w:rPr>
      </w:pPr>
    </w:p>
    <w:tbl>
      <w:tblPr>
        <w:tblStyle w:val="22"/>
        <w:tblW w:w="10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2340"/>
        <w:gridCol w:w="3540"/>
        <w:gridCol w:w="1065"/>
        <w:gridCol w:w="99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032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十四、苏布台乡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项目特征描述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精神堡垒</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规格尺寸：带钢骨架单面展板8*3</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落地小品</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室外展览牌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带钢骨架双面展板0.6m*3.5m</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法治凉亭造型</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4m长</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面层材料种类:PVCUV文化墙；室外</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5.76</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面层材料种类:PVCUV文化墙；矛盾调解室</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面层材料种类:PVCUV文化墙；信访接待室</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面层材料种类:PVCUV文化墙；心理疏导室</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22.5</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地板革</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2mm厚地板革</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bl>
    <w:p>
      <w:pPr>
        <w:rPr>
          <w:rFonts w:hint="eastAsia" w:ascii="宋体" w:hAnsi="宋体" w:eastAsia="宋体" w:cs="宋体"/>
          <w:color w:val="auto"/>
          <w:sz w:val="22"/>
          <w:szCs w:val="22"/>
        </w:rPr>
      </w:pPr>
    </w:p>
    <w:tbl>
      <w:tblPr>
        <w:tblStyle w:val="22"/>
        <w:tblW w:w="107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6"/>
        <w:gridCol w:w="2566"/>
        <w:gridCol w:w="3625"/>
        <w:gridCol w:w="1196"/>
        <w:gridCol w:w="1122"/>
        <w:gridCol w:w="1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76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十五、木斯镇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项目特征描述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5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面层材料种类:PVCUV文化墙；大厅</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67.8688</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5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面层材料种类:PVCUV文化墙；信访接待室</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5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面层材料种类:PVCUV文化墙；心理疏导室</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36.16</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5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圆桌</w:t>
            </w:r>
          </w:p>
        </w:tc>
        <w:tc>
          <w:tcPr>
            <w:tcW w:w="3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3人圆桌配椅子</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5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拆换门</w:t>
            </w:r>
          </w:p>
        </w:tc>
        <w:tc>
          <w:tcPr>
            <w:tcW w:w="3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拆除原门，更换铝合金断桥隔热门</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4.935</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5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法律书架</w:t>
            </w:r>
          </w:p>
        </w:tc>
        <w:tc>
          <w:tcPr>
            <w:tcW w:w="3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L型书架：规格尺寸 :5.3m*3m*2.2m、20公分造型’材质：铁艺木质</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5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三人沙发</w:t>
            </w:r>
          </w:p>
        </w:tc>
        <w:tc>
          <w:tcPr>
            <w:tcW w:w="3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大厅</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5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拆换门</w:t>
            </w:r>
          </w:p>
        </w:tc>
        <w:tc>
          <w:tcPr>
            <w:tcW w:w="3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拆除原门，更换套装门</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5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拆换门</w:t>
            </w:r>
          </w:p>
        </w:tc>
        <w:tc>
          <w:tcPr>
            <w:tcW w:w="3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拆除原门，更换防盗门</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5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乳胶漆</w:t>
            </w:r>
          </w:p>
        </w:tc>
        <w:tc>
          <w:tcPr>
            <w:tcW w:w="3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铲除旧墙皮，刮腻子、刷乳胶漆两遍</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5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乳胶漆</w:t>
            </w:r>
          </w:p>
        </w:tc>
        <w:tc>
          <w:tcPr>
            <w:tcW w:w="3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铲除旧墙皮，刮腻子、刷乳胶漆三遍</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5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屋面防水</w:t>
            </w:r>
          </w:p>
        </w:tc>
        <w:tc>
          <w:tcPr>
            <w:tcW w:w="3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4mm厚SBS卷材防水</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5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Style w:val="63"/>
                <w:rFonts w:hint="eastAsia" w:ascii="宋体" w:hAnsi="宋体" w:eastAsia="宋体" w:cs="宋体"/>
                <w:color w:val="auto"/>
                <w:sz w:val="22"/>
                <w:szCs w:val="22"/>
                <w:lang w:val="en-US" w:eastAsia="zh-CN" w:bidi="ar"/>
              </w:rPr>
              <w:t>窗帘</w:t>
            </w:r>
          </w:p>
        </w:tc>
        <w:tc>
          <w:tcPr>
            <w:tcW w:w="3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5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档案柜</w:t>
            </w:r>
          </w:p>
        </w:tc>
        <w:tc>
          <w:tcPr>
            <w:tcW w:w="3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1m*2m</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5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饮水机</w:t>
            </w:r>
          </w:p>
        </w:tc>
        <w:tc>
          <w:tcPr>
            <w:tcW w:w="3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5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法律书架</w:t>
            </w:r>
          </w:p>
        </w:tc>
        <w:tc>
          <w:tcPr>
            <w:tcW w:w="3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L型书架：规格尺寸 :5.3m*3m*2.2m、20公分造型’材质：铁艺木质</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5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心理疏导室沙发</w:t>
            </w:r>
          </w:p>
        </w:tc>
        <w:tc>
          <w:tcPr>
            <w:tcW w:w="3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6人沙发配茶几</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5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接待桌</w:t>
            </w:r>
          </w:p>
        </w:tc>
        <w:tc>
          <w:tcPr>
            <w:tcW w:w="3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信访接待桌</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5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办公桌</w:t>
            </w:r>
          </w:p>
        </w:tc>
        <w:tc>
          <w:tcPr>
            <w:tcW w:w="3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56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6人长条桌</w:t>
            </w:r>
          </w:p>
        </w:tc>
        <w:tc>
          <w:tcPr>
            <w:tcW w:w="3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长条桌配6把椅子</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bl>
    <w:p>
      <w:pPr>
        <w:rPr>
          <w:rFonts w:hint="eastAsia" w:ascii="宋体" w:hAnsi="宋体" w:eastAsia="宋体" w:cs="宋体"/>
          <w:color w:val="auto"/>
          <w:sz w:val="22"/>
          <w:szCs w:val="22"/>
        </w:rPr>
      </w:pPr>
    </w:p>
    <w:tbl>
      <w:tblPr>
        <w:tblStyle w:val="22"/>
        <w:tblW w:w="10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2340"/>
        <w:gridCol w:w="3540"/>
        <w:gridCol w:w="1065"/>
        <w:gridCol w:w="99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032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十六、胡吉尔台乡吉仁台村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项目名称</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项目特征描述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面层材料种类:PVCUV文化墙，矛盾调节</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面层材料种类:PVCUV文化墙；信访接待室</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平面、箱式招牌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面层材料种类:PVCUV文化墙；心理疏导室</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1.4m办公桌配椅子</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三人沙发</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茶几</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1.2m</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洽谈桌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5-6人椭圆，含6把椅子</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洽谈桌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8人圆形，含8把椅子</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书架</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1m*2m</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6人长条桌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长条桌配6把椅子</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34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展示架</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34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椅子</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带靠背椅子</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34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34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小会议桌</w:t>
            </w:r>
          </w:p>
        </w:tc>
        <w:tc>
          <w:tcPr>
            <w:tcW w:w="35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8人会议桌，含椅子</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2"/>
                <w:szCs w:val="22"/>
                <w:u w:val="none"/>
              </w:rPr>
            </w:pPr>
          </w:p>
        </w:tc>
      </w:tr>
    </w:tbl>
    <w:p>
      <w:pPr>
        <w:adjustRightInd w:val="0"/>
        <w:snapToGrid w:val="0"/>
        <w:spacing w:line="540" w:lineRule="exact"/>
        <w:jc w:val="both"/>
        <w:rPr>
          <w:rFonts w:hint="eastAsia" w:ascii="仿宋" w:hAnsi="仿宋" w:eastAsia="仿宋" w:cs="仿宋"/>
          <w:b/>
          <w:sz w:val="32"/>
          <w:szCs w:val="32"/>
        </w:rPr>
      </w:pPr>
    </w:p>
    <w:p>
      <w:pPr>
        <w:rPr>
          <w:b/>
          <w:bCs/>
          <w:color w:val="auto"/>
          <w:highlight w:val="none"/>
        </w:rPr>
      </w:pPr>
    </w:p>
    <w:p>
      <w:pPr>
        <w:ind w:firstLine="482" w:firstLineChars="200"/>
        <w:jc w:val="center"/>
        <w:rPr>
          <w:rFonts w:cs="宋体"/>
          <w:b/>
          <w:color w:val="auto"/>
          <w:szCs w:val="28"/>
          <w:highlight w:val="none"/>
        </w:rPr>
      </w:pPr>
      <w:r>
        <w:rPr>
          <w:rFonts w:hint="eastAsia" w:cs="宋体"/>
          <w:b/>
          <w:color w:val="auto"/>
          <w:szCs w:val="28"/>
          <w:highlight w:val="none"/>
        </w:rPr>
        <w:t>第六章  招标代理合同</w:t>
      </w:r>
    </w:p>
    <w:p>
      <w:pPr>
        <w:pStyle w:val="7"/>
        <w:rPr>
          <w:color w:val="auto"/>
          <w:highlight w:val="none"/>
        </w:rPr>
      </w:pPr>
    </w:p>
    <w:p>
      <w:pPr>
        <w:spacing w:line="400" w:lineRule="exact"/>
        <w:rPr>
          <w:rFonts w:ascii="仿宋_GB2312" w:eastAsia="仿宋_GB2312"/>
          <w:b/>
          <w:bCs/>
          <w:color w:val="auto"/>
          <w:highlight w:val="none"/>
        </w:rPr>
      </w:pPr>
      <w:r>
        <w:rPr>
          <w:rFonts w:ascii="仿宋_GB2312" w:eastAsia="仿宋_GB2312"/>
          <w:b/>
          <w:bCs/>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3070860</wp:posOffset>
                </wp:positionH>
                <wp:positionV relativeFrom="paragraph">
                  <wp:posOffset>135255</wp:posOffset>
                </wp:positionV>
                <wp:extent cx="2927985" cy="906145"/>
                <wp:effectExtent l="4445" t="4445" r="20320" b="2286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86000" cy="635635"/>
                        </a:xfrm>
                        <a:prstGeom prst="rect">
                          <a:avLst/>
                        </a:prstGeom>
                        <a:solidFill>
                          <a:srgbClr val="FFFFFF"/>
                        </a:solidFill>
                        <a:ln w="9525">
                          <a:solidFill>
                            <a:srgbClr val="000000"/>
                          </a:solidFill>
                          <a:miter lim="800000"/>
                        </a:ln>
                        <a:effectLst/>
                      </wps:spPr>
                      <wps:txbx>
                        <w:txbxContent>
                          <w:p>
                            <w:pPr>
                              <w:ind w:left="1080" w:hanging="1080" w:hangingChars="450"/>
                            </w:pPr>
                          </w:p>
                          <w:p>
                            <w:pPr>
                              <w:ind w:left="1080" w:hanging="1080" w:hangingChars="450"/>
                            </w:pPr>
                            <w:r>
                              <w:rPr>
                                <w:rFonts w:hint="eastAsia"/>
                              </w:rPr>
                              <w:t>项目名称：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8pt;margin-top:10.65pt;height:71.35pt;width:230.55pt;z-index:251666432;mso-width-relative:page;mso-height-relative:page;" fillcolor="#FFFFFF" filled="t" stroked="t" coordsize="21600,21600" o:gfxdata="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q/tStkAAAAKAQAADwAAAAAAAAABACAAAAAiAAAA&#10;ZHJzL2Rvd25yZXYueG1sUEsBAhQAFAAAAAgAh07iQAtFLf8/AgAAiAQAAA4AAAAAAAAAAQAgAAAA&#10;KAEAAGRycy9lMm9Eb2MueG1sUEsFBgAAAAAGAAYAWQEAANkFAAAAAA==&#10;">
                <v:fill on="t" focussize="0,0"/>
                <v:stroke color="#000000" miterlimit="8" joinstyle="miter"/>
                <v:imagedata o:title=""/>
                <o:lock v:ext="edit" aspectratio="f"/>
                <v:textbox>
                  <w:txbxContent>
                    <w:p>
                      <w:pPr>
                        <w:ind w:left="1080" w:hanging="1080" w:hangingChars="450"/>
                      </w:pPr>
                    </w:p>
                    <w:p>
                      <w:pPr>
                        <w:ind w:left="1080" w:hanging="1080" w:hangingChars="450"/>
                      </w:pPr>
                      <w:r>
                        <w:rPr>
                          <w:rFonts w:hint="eastAsia"/>
                        </w:rPr>
                        <w:t>项目名称：</w:t>
                      </w:r>
                    </w:p>
                  </w:txbxContent>
                </v:textbox>
              </v:rect>
            </w:pict>
          </mc:Fallback>
        </mc:AlternateContent>
      </w:r>
    </w:p>
    <w:p>
      <w:pPr>
        <w:spacing w:line="400" w:lineRule="exact"/>
        <w:rPr>
          <w:rFonts w:eastAsia="仿宋_GB2312"/>
          <w:bCs/>
          <w:color w:val="auto"/>
          <w:szCs w:val="28"/>
          <w:highlight w:val="none"/>
        </w:rPr>
      </w:pPr>
    </w:p>
    <w:p>
      <w:pPr>
        <w:spacing w:line="400" w:lineRule="exact"/>
        <w:rPr>
          <w:bCs/>
          <w:color w:val="auto"/>
          <w:szCs w:val="28"/>
          <w:highlight w:val="none"/>
        </w:rPr>
      </w:pPr>
      <w:r>
        <w:rPr>
          <w:rFonts w:hint="eastAsia" w:eastAsia="仿宋_GB2312"/>
          <w:bCs/>
          <w:color w:val="auto"/>
          <w:szCs w:val="28"/>
          <w:highlight w:val="none"/>
        </w:rPr>
        <w:t>XJHC-</w:t>
      </w:r>
      <w:r>
        <w:rPr>
          <w:rFonts w:hint="eastAsia"/>
          <w:bCs/>
          <w:color w:val="auto"/>
          <w:szCs w:val="28"/>
          <w:highlight w:val="none"/>
        </w:rPr>
        <w:t>20</w:t>
      </w:r>
      <w:r>
        <w:rPr>
          <w:bCs/>
          <w:color w:val="auto"/>
          <w:szCs w:val="28"/>
          <w:highlight w:val="none"/>
        </w:rPr>
        <w:t>2</w:t>
      </w:r>
      <w:r>
        <w:rPr>
          <w:rFonts w:hint="eastAsia"/>
          <w:bCs/>
          <w:color w:val="auto"/>
          <w:szCs w:val="28"/>
          <w:highlight w:val="none"/>
        </w:rPr>
        <w:t>2</w:t>
      </w:r>
      <w:r>
        <w:rPr>
          <w:rFonts w:hint="eastAsia" w:eastAsia="仿宋_GB2312"/>
          <w:bCs/>
          <w:color w:val="auto"/>
          <w:szCs w:val="28"/>
          <w:highlight w:val="none"/>
        </w:rPr>
        <w:t>－</w:t>
      </w:r>
      <w:r>
        <w:rPr>
          <w:rFonts w:hint="eastAsia"/>
          <w:bCs/>
          <w:color w:val="auto"/>
          <w:szCs w:val="28"/>
          <w:highlight w:val="none"/>
        </w:rPr>
        <w:t xml:space="preserve"> </w:t>
      </w:r>
    </w:p>
    <w:p>
      <w:pPr>
        <w:spacing w:line="400" w:lineRule="exact"/>
        <w:rPr>
          <w:rFonts w:ascii="仿宋_GB2312" w:eastAsia="仿宋_GB2312"/>
          <w:b/>
          <w:bCs/>
          <w:color w:val="auto"/>
          <w:highlight w:val="none"/>
        </w:rPr>
      </w:pPr>
    </w:p>
    <w:p>
      <w:pPr>
        <w:spacing w:line="400" w:lineRule="exact"/>
        <w:rPr>
          <w:rFonts w:ascii="仿宋_GB2312" w:eastAsia="仿宋_GB2312"/>
          <w:b/>
          <w:bCs/>
          <w:color w:val="auto"/>
          <w:highlight w:val="none"/>
        </w:rPr>
      </w:pPr>
    </w:p>
    <w:p>
      <w:pPr>
        <w:spacing w:line="400" w:lineRule="exact"/>
        <w:rPr>
          <w:rFonts w:ascii="仿宋_GB2312" w:eastAsia="仿宋_GB2312"/>
          <w:b/>
          <w:bCs/>
          <w:color w:val="auto"/>
          <w:highlight w:val="none"/>
        </w:rPr>
      </w:pPr>
    </w:p>
    <w:p>
      <w:pPr>
        <w:spacing w:line="400" w:lineRule="exact"/>
        <w:rPr>
          <w:rFonts w:ascii="仿宋_GB2312" w:eastAsia="仿宋_GB2312"/>
          <w:b/>
          <w:bCs/>
          <w:color w:val="auto"/>
          <w:highlight w:val="none"/>
        </w:rPr>
      </w:pPr>
    </w:p>
    <w:p>
      <w:pPr>
        <w:spacing w:line="400" w:lineRule="exact"/>
        <w:rPr>
          <w:rFonts w:ascii="仿宋_GB2312" w:eastAsia="仿宋_GB2312"/>
          <w:b/>
          <w:bCs/>
          <w:color w:val="auto"/>
          <w:highlight w:val="none"/>
        </w:rPr>
      </w:pPr>
    </w:p>
    <w:p>
      <w:pPr>
        <w:spacing w:line="400" w:lineRule="exact"/>
        <w:rPr>
          <w:rFonts w:ascii="仿宋_GB2312" w:eastAsia="仿宋_GB2312"/>
          <w:b/>
          <w:bCs/>
          <w:color w:val="auto"/>
          <w:highlight w:val="none"/>
        </w:rPr>
      </w:pPr>
    </w:p>
    <w:p>
      <w:pPr>
        <w:spacing w:line="400" w:lineRule="exact"/>
        <w:rPr>
          <w:rFonts w:ascii="仿宋_GB2312" w:eastAsia="仿宋_GB2312"/>
          <w:b/>
          <w:bCs/>
          <w:color w:val="auto"/>
          <w:highlight w:val="none"/>
        </w:rPr>
      </w:pPr>
    </w:p>
    <w:p>
      <w:pPr>
        <w:spacing w:line="480" w:lineRule="auto"/>
        <w:jc w:val="center"/>
        <w:rPr>
          <w:rFonts w:ascii="黑体" w:eastAsia="黑体"/>
          <w:bCs/>
          <w:color w:val="auto"/>
          <w:sz w:val="72"/>
          <w:highlight w:val="none"/>
        </w:rPr>
      </w:pPr>
      <w:r>
        <w:rPr>
          <w:rFonts w:hint="eastAsia" w:ascii="黑体" w:eastAsia="黑体"/>
          <w:bCs/>
          <w:color w:val="auto"/>
          <w:sz w:val="72"/>
          <w:highlight w:val="none"/>
        </w:rPr>
        <w:t>招标代理合同</w:t>
      </w:r>
    </w:p>
    <w:p>
      <w:pPr>
        <w:spacing w:line="400" w:lineRule="exact"/>
        <w:ind w:firstLine="240"/>
        <w:rPr>
          <w:rFonts w:ascii="黑体" w:eastAsia="黑体"/>
          <w:b/>
          <w:bCs/>
          <w:color w:val="auto"/>
          <w:highlight w:val="none"/>
        </w:rPr>
      </w:pPr>
    </w:p>
    <w:p>
      <w:pPr>
        <w:spacing w:line="400" w:lineRule="exact"/>
        <w:ind w:firstLine="240"/>
        <w:rPr>
          <w:rFonts w:ascii="黑体" w:eastAsia="黑体"/>
          <w:b/>
          <w:bCs/>
          <w:color w:val="auto"/>
          <w:highlight w:val="none"/>
        </w:rPr>
      </w:pPr>
    </w:p>
    <w:p>
      <w:pPr>
        <w:spacing w:line="400" w:lineRule="exact"/>
        <w:ind w:firstLine="240"/>
        <w:rPr>
          <w:rFonts w:ascii="黑体" w:eastAsia="黑体"/>
          <w:b/>
          <w:bCs/>
          <w:color w:val="auto"/>
          <w:highlight w:val="none"/>
        </w:rPr>
      </w:pPr>
    </w:p>
    <w:p>
      <w:pPr>
        <w:spacing w:line="400" w:lineRule="exact"/>
        <w:ind w:firstLine="240"/>
        <w:rPr>
          <w:rFonts w:ascii="黑体" w:eastAsia="黑体"/>
          <w:b/>
          <w:bCs/>
          <w:color w:val="auto"/>
          <w:highlight w:val="none"/>
        </w:rPr>
      </w:pPr>
    </w:p>
    <w:p>
      <w:pPr>
        <w:spacing w:line="400" w:lineRule="exact"/>
        <w:ind w:firstLine="240"/>
        <w:rPr>
          <w:rFonts w:ascii="黑体" w:eastAsia="黑体"/>
          <w:b/>
          <w:bCs/>
          <w:color w:val="auto"/>
          <w:highlight w:val="none"/>
        </w:rPr>
      </w:pPr>
    </w:p>
    <w:p>
      <w:pPr>
        <w:spacing w:line="400" w:lineRule="exact"/>
        <w:ind w:firstLine="240"/>
        <w:rPr>
          <w:rFonts w:ascii="黑体" w:eastAsia="黑体"/>
          <w:b/>
          <w:bCs/>
          <w:color w:val="auto"/>
          <w:highlight w:val="none"/>
        </w:rPr>
      </w:pPr>
    </w:p>
    <w:p>
      <w:pPr>
        <w:rPr>
          <w:rFonts w:ascii="黑体" w:eastAsia="黑体"/>
          <w:b/>
          <w:bCs/>
          <w:color w:val="auto"/>
          <w:sz w:val="32"/>
          <w:highlight w:val="none"/>
        </w:rPr>
      </w:pPr>
    </w:p>
    <w:p>
      <w:pPr>
        <w:ind w:firstLine="240"/>
        <w:rPr>
          <w:rFonts w:ascii="黑体" w:eastAsia="黑体"/>
          <w:b/>
          <w:bCs/>
          <w:color w:val="auto"/>
          <w:sz w:val="32"/>
          <w:highlight w:val="none"/>
        </w:rPr>
      </w:pPr>
    </w:p>
    <w:p>
      <w:pPr>
        <w:spacing w:line="360" w:lineRule="exact"/>
        <w:ind w:firstLine="2880"/>
        <w:rPr>
          <w:rFonts w:ascii="黑体" w:eastAsia="黑体"/>
          <w:color w:val="auto"/>
          <w:sz w:val="32"/>
          <w:highlight w:val="none"/>
        </w:rPr>
      </w:pPr>
      <w:r>
        <w:rPr>
          <w:rFonts w:hint="eastAsia" w:ascii="黑体" w:eastAsia="黑体"/>
          <w:color w:val="auto"/>
          <w:sz w:val="32"/>
          <w:highlight w:val="none"/>
        </w:rPr>
        <w:t>中华人民共和国建设部</w:t>
      </w:r>
    </w:p>
    <w:p>
      <w:pPr>
        <w:spacing w:line="360" w:lineRule="exact"/>
        <w:ind w:firstLine="6419" w:firstLineChars="2006"/>
        <w:rPr>
          <w:rFonts w:ascii="黑体" w:eastAsia="黑体"/>
          <w:color w:val="auto"/>
          <w:sz w:val="32"/>
          <w:highlight w:val="none"/>
        </w:rPr>
      </w:pPr>
      <w:r>
        <w:rPr>
          <w:rFonts w:hint="eastAsia" w:ascii="黑体" w:eastAsia="黑体"/>
          <w:color w:val="auto"/>
          <w:sz w:val="32"/>
          <w:highlight w:val="none"/>
        </w:rPr>
        <w:t>制定</w:t>
      </w:r>
    </w:p>
    <w:p>
      <w:pPr>
        <w:spacing w:line="360" w:lineRule="exact"/>
        <w:ind w:firstLine="2880"/>
        <w:rPr>
          <w:rFonts w:ascii="黑体" w:eastAsia="黑体"/>
          <w:color w:val="auto"/>
          <w:sz w:val="32"/>
          <w:highlight w:val="none"/>
        </w:rPr>
      </w:pPr>
      <w:r>
        <w:rPr>
          <w:rFonts w:hint="eastAsia" w:ascii="黑体" w:eastAsia="黑体"/>
          <w:color w:val="auto"/>
          <w:sz w:val="32"/>
          <w:highlight w:val="none"/>
        </w:rPr>
        <w:t xml:space="preserve">国家工商行政管理总局  </w:t>
      </w:r>
    </w:p>
    <w:p>
      <w:pPr>
        <w:spacing w:line="400" w:lineRule="exact"/>
        <w:rPr>
          <w:rFonts w:ascii="黑体" w:eastAsia="黑体"/>
          <w:b/>
          <w:bCs/>
          <w:color w:val="auto"/>
          <w:highlight w:val="none"/>
        </w:rPr>
      </w:pPr>
    </w:p>
    <w:p>
      <w:pPr>
        <w:widowControl/>
        <w:rPr>
          <w:b/>
          <w:bCs/>
          <w:color w:val="auto"/>
          <w:sz w:val="44"/>
          <w:highlight w:val="none"/>
        </w:rPr>
      </w:pPr>
    </w:p>
    <w:p>
      <w:pPr>
        <w:widowControl/>
        <w:jc w:val="center"/>
        <w:rPr>
          <w:b/>
          <w:bCs/>
          <w:color w:val="auto"/>
          <w:sz w:val="44"/>
          <w:highlight w:val="none"/>
        </w:rPr>
      </w:pPr>
    </w:p>
    <w:p>
      <w:pPr>
        <w:widowControl/>
        <w:rPr>
          <w:b/>
          <w:bCs/>
          <w:color w:val="auto"/>
          <w:sz w:val="44"/>
          <w:highlight w:val="none"/>
        </w:rPr>
      </w:pPr>
      <w:r>
        <w:rPr>
          <w:b/>
          <w:bCs/>
          <w:color w:val="auto"/>
          <w:sz w:val="44"/>
          <w:highlight w:val="none"/>
        </w:rPr>
        <w:br w:type="page"/>
      </w:r>
    </w:p>
    <w:p>
      <w:pPr>
        <w:widowControl/>
        <w:jc w:val="center"/>
        <w:rPr>
          <w:b/>
          <w:bCs/>
          <w:color w:val="auto"/>
          <w:sz w:val="44"/>
          <w:highlight w:val="none"/>
        </w:rPr>
      </w:pPr>
      <w:r>
        <w:rPr>
          <w:rFonts w:hint="eastAsia"/>
          <w:b/>
          <w:bCs/>
          <w:color w:val="auto"/>
          <w:sz w:val="44"/>
          <w:highlight w:val="none"/>
        </w:rPr>
        <w:t>招标代理协议书</w:t>
      </w:r>
    </w:p>
    <w:p>
      <w:pPr>
        <w:spacing w:line="600" w:lineRule="exact"/>
        <w:ind w:firstLine="480" w:firstLineChars="200"/>
        <w:rPr>
          <w:rFonts w:cs="宋体"/>
          <w:color w:val="auto"/>
          <w:highlight w:val="none"/>
          <w:u w:val="single"/>
        </w:rPr>
      </w:pPr>
      <w:r>
        <w:rPr>
          <w:rFonts w:hint="eastAsia"/>
          <w:color w:val="auto"/>
          <w:highlight w:val="none"/>
        </w:rPr>
        <w:t>委托人：</w:t>
      </w:r>
      <w:r>
        <w:rPr>
          <w:rFonts w:hint="eastAsia"/>
          <w:color w:val="auto"/>
          <w:highlight w:val="none"/>
          <w:u w:val="single"/>
        </w:rPr>
        <w:t xml:space="preserve">  </w:t>
      </w:r>
      <w:r>
        <w:rPr>
          <w:rFonts w:hint="eastAsia" w:cs="宋体"/>
          <w:color w:val="auto"/>
          <w:highlight w:val="none"/>
          <w:u w:val="single"/>
        </w:rPr>
        <w:t xml:space="preserve">                                                                            </w:t>
      </w:r>
      <w:r>
        <w:rPr>
          <w:rFonts w:hint="eastAsia"/>
          <w:color w:val="auto"/>
          <w:highlight w:val="none"/>
        </w:rPr>
        <w:t xml:space="preserve">                </w:t>
      </w:r>
    </w:p>
    <w:p>
      <w:pPr>
        <w:spacing w:line="600" w:lineRule="exact"/>
        <w:ind w:firstLine="480" w:firstLineChars="200"/>
        <w:rPr>
          <w:rFonts w:cs="宋体"/>
          <w:color w:val="auto"/>
          <w:highlight w:val="none"/>
          <w:u w:val="single"/>
        </w:rPr>
      </w:pPr>
      <w:r>
        <w:rPr>
          <w:rFonts w:hint="eastAsia"/>
          <w:color w:val="auto"/>
          <w:highlight w:val="none"/>
        </w:rPr>
        <w:t>受托人：</w:t>
      </w:r>
      <w:r>
        <w:rPr>
          <w:rFonts w:hint="eastAsia"/>
          <w:color w:val="auto"/>
          <w:highlight w:val="none"/>
          <w:u w:val="single"/>
          <w:lang w:eastAsia="zh-CN"/>
        </w:rPr>
        <w:t>尼勒克县政府采购中心</w:t>
      </w:r>
      <w:r>
        <w:rPr>
          <w:rFonts w:hint="eastAsia" w:cs="宋体"/>
          <w:color w:val="auto"/>
          <w:highlight w:val="none"/>
          <w:u w:val="single"/>
        </w:rPr>
        <w:t xml:space="preserve">                          </w:t>
      </w:r>
    </w:p>
    <w:p>
      <w:pPr>
        <w:spacing w:line="600" w:lineRule="exact"/>
        <w:jc w:val="left"/>
        <w:rPr>
          <w:color w:val="auto"/>
          <w:highlight w:val="none"/>
        </w:rPr>
      </w:pPr>
      <w:r>
        <w:rPr>
          <w:rFonts w:hint="eastAsia"/>
          <w:color w:val="auto"/>
          <w:highlight w:val="none"/>
        </w:rPr>
        <w:t xml:space="preserve">    依照《中华人民共和国合同法》、 《中华人民共和国招标投标法》及国家的有关法律、行政法规，遵循平等、自愿、公平和诚实信用的原则，双方就</w:t>
      </w:r>
      <w:r>
        <w:rPr>
          <w:rFonts w:hint="eastAsia" w:cs="宋体"/>
          <w:color w:val="auto"/>
          <w:highlight w:val="none"/>
          <w:u w:val="single"/>
        </w:rPr>
        <w:t xml:space="preserve"> </w:t>
      </w:r>
      <w:r>
        <w:rPr>
          <w:rFonts w:hint="eastAsia" w:cs="宋体"/>
          <w:color w:val="auto"/>
          <w:highlight w:val="none"/>
          <w:u w:val="single"/>
          <w:lang w:eastAsia="zh-CN"/>
        </w:rPr>
        <w:t>尼勒克县基层阵地及公共服务管理设施建设项目</w:t>
      </w:r>
      <w:r>
        <w:rPr>
          <w:rFonts w:hint="eastAsia" w:cs="宋体"/>
          <w:color w:val="auto"/>
          <w:highlight w:val="none"/>
          <w:u w:val="single"/>
        </w:rPr>
        <w:t xml:space="preserve"> </w:t>
      </w:r>
      <w:r>
        <w:rPr>
          <w:rFonts w:hint="eastAsia"/>
          <w:color w:val="auto"/>
          <w:highlight w:val="none"/>
        </w:rPr>
        <w:t>招标代理事项协商一致，订立本合同。</w:t>
      </w:r>
    </w:p>
    <w:p>
      <w:pPr>
        <w:spacing w:line="600" w:lineRule="exact"/>
        <w:ind w:firstLine="480" w:firstLineChars="200"/>
        <w:rPr>
          <w:color w:val="auto"/>
          <w:highlight w:val="none"/>
        </w:rPr>
      </w:pPr>
      <w:r>
        <w:rPr>
          <w:rFonts w:hint="eastAsia"/>
          <w:color w:val="auto"/>
          <w:highlight w:val="none"/>
        </w:rPr>
        <w:t>一、项目概况</w:t>
      </w:r>
    </w:p>
    <w:p>
      <w:pPr>
        <w:spacing w:line="600" w:lineRule="exact"/>
        <w:ind w:left="1680" w:leftChars="200" w:hanging="1200" w:hangingChars="500"/>
        <w:rPr>
          <w:rFonts w:cs="宋体"/>
          <w:color w:val="auto"/>
          <w:highlight w:val="none"/>
          <w:u w:val="single"/>
        </w:rPr>
      </w:pPr>
      <w:r>
        <w:rPr>
          <w:rFonts w:hint="eastAsia"/>
          <w:color w:val="auto"/>
          <w:highlight w:val="none"/>
        </w:rPr>
        <w:t>项目名称：</w:t>
      </w:r>
      <w:r>
        <w:rPr>
          <w:rFonts w:hint="eastAsia" w:cs="宋体"/>
          <w:color w:val="auto"/>
          <w:highlight w:val="none"/>
          <w:u w:val="single"/>
        </w:rPr>
        <w:t xml:space="preserve">                                                               </w:t>
      </w:r>
    </w:p>
    <w:p>
      <w:pPr>
        <w:spacing w:line="600" w:lineRule="exact"/>
        <w:ind w:left="1680" w:leftChars="200" w:hanging="1200" w:hangingChars="500"/>
        <w:rPr>
          <w:bCs/>
          <w:color w:val="auto"/>
          <w:highlight w:val="none"/>
          <w:u w:val="single"/>
        </w:rPr>
      </w:pPr>
      <w:r>
        <w:rPr>
          <w:rFonts w:hint="eastAsia"/>
          <w:color w:val="auto"/>
          <w:highlight w:val="none"/>
        </w:rPr>
        <w:t>地    点：</w:t>
      </w:r>
      <w:r>
        <w:rPr>
          <w:rFonts w:hint="eastAsia"/>
          <w:bCs/>
          <w:color w:val="auto"/>
          <w:highlight w:val="none"/>
          <w:u w:val="single"/>
        </w:rPr>
        <w:t xml:space="preserve">                                                              </w:t>
      </w:r>
    </w:p>
    <w:p>
      <w:pPr>
        <w:spacing w:line="600" w:lineRule="exact"/>
        <w:ind w:left="1680" w:leftChars="200" w:hanging="1200" w:hangingChars="500"/>
        <w:rPr>
          <w:rFonts w:cs="宋体"/>
          <w:color w:val="auto"/>
          <w:highlight w:val="none"/>
          <w:u w:val="single"/>
        </w:rPr>
      </w:pPr>
      <w:r>
        <w:rPr>
          <w:rFonts w:hint="eastAsia"/>
          <w:color w:val="auto"/>
          <w:highlight w:val="none"/>
        </w:rPr>
        <w:t>规    模：</w:t>
      </w:r>
      <w:r>
        <w:rPr>
          <w:rFonts w:hint="eastAsia" w:cs="宋体"/>
          <w:color w:val="auto"/>
          <w:highlight w:val="none"/>
          <w:u w:val="single"/>
        </w:rPr>
        <w:t xml:space="preserve">                                                         </w:t>
      </w:r>
    </w:p>
    <w:p>
      <w:pPr>
        <w:spacing w:line="600" w:lineRule="exact"/>
        <w:ind w:left="1680" w:leftChars="200" w:hanging="1200" w:hangingChars="500"/>
        <w:rPr>
          <w:color w:val="auto"/>
          <w:highlight w:val="none"/>
          <w:u w:val="single"/>
        </w:rPr>
      </w:pPr>
      <w:r>
        <w:rPr>
          <w:rFonts w:hint="eastAsia"/>
          <w:color w:val="auto"/>
          <w:highlight w:val="none"/>
        </w:rPr>
        <w:t>招标范围：</w:t>
      </w:r>
      <w:r>
        <w:rPr>
          <w:rFonts w:hint="eastAsia"/>
          <w:color w:val="auto"/>
          <w:highlight w:val="none"/>
          <w:u w:val="single"/>
        </w:rPr>
        <w:t xml:space="preserve"> </w:t>
      </w:r>
      <w:r>
        <w:rPr>
          <w:rFonts w:hint="eastAsia" w:cs="宋体"/>
          <w:color w:val="auto"/>
          <w:highlight w:val="none"/>
          <w:u w:val="single"/>
        </w:rPr>
        <w:t xml:space="preserve">      </w:t>
      </w:r>
      <w:r>
        <w:rPr>
          <w:rFonts w:hint="eastAsia"/>
          <w:color w:val="auto"/>
          <w:highlight w:val="none"/>
          <w:u w:val="single"/>
        </w:rPr>
        <w:t xml:space="preserve">                                                          </w:t>
      </w:r>
      <w:r>
        <w:rPr>
          <w:rFonts w:hint="eastAsia" w:cs="宋体"/>
          <w:color w:val="auto"/>
          <w:highlight w:val="none"/>
          <w:u w:val="single"/>
        </w:rPr>
        <w:t xml:space="preserve">    </w:t>
      </w:r>
    </w:p>
    <w:p>
      <w:pPr>
        <w:spacing w:line="600" w:lineRule="exact"/>
        <w:ind w:firstLine="480" w:firstLineChars="200"/>
        <w:rPr>
          <w:color w:val="auto"/>
          <w:highlight w:val="none"/>
        </w:rPr>
      </w:pPr>
      <w:r>
        <w:rPr>
          <w:rFonts w:hint="eastAsia"/>
          <w:color w:val="auto"/>
          <w:highlight w:val="none"/>
        </w:rPr>
        <w:t>总投资额：</w:t>
      </w:r>
      <w:r>
        <w:rPr>
          <w:rFonts w:hint="eastAsia" w:cs="宋体"/>
          <w:color w:val="auto"/>
          <w:highlight w:val="none"/>
          <w:u w:val="single"/>
        </w:rPr>
        <w:t xml:space="preserve">    </w:t>
      </w:r>
      <w:r>
        <w:rPr>
          <w:rFonts w:hint="eastAsia"/>
          <w:color w:val="auto"/>
          <w:highlight w:val="none"/>
          <w:u w:val="single"/>
        </w:rPr>
        <w:t xml:space="preserve">                                                                 </w:t>
      </w:r>
    </w:p>
    <w:p>
      <w:pPr>
        <w:pStyle w:val="17"/>
        <w:spacing w:line="600" w:lineRule="exact"/>
        <w:ind w:left="480" w:firstLine="480"/>
        <w:rPr>
          <w:color w:val="auto"/>
          <w:sz w:val="24"/>
          <w:highlight w:val="none"/>
        </w:rPr>
      </w:pPr>
      <w:r>
        <w:rPr>
          <w:rFonts w:hint="eastAsia"/>
          <w:color w:val="auto"/>
          <w:sz w:val="24"/>
          <w:highlight w:val="none"/>
        </w:rPr>
        <w:t>二、委托人委托受托人</w:t>
      </w:r>
      <w:r>
        <w:rPr>
          <w:rFonts w:hint="eastAsia"/>
          <w:color w:val="auto"/>
          <w:sz w:val="24"/>
          <w:highlight w:val="none"/>
          <w:u w:val="single"/>
          <w:lang w:eastAsia="zh-CN"/>
        </w:rPr>
        <w:t>尼勒克县政府采购中心</w:t>
      </w:r>
      <w:r>
        <w:rPr>
          <w:rFonts w:hint="eastAsia"/>
          <w:color w:val="auto"/>
          <w:sz w:val="24"/>
          <w:highlight w:val="none"/>
        </w:rPr>
        <w:t>为本项目的招标代理机构，承担本项目的</w:t>
      </w:r>
      <w:r>
        <w:rPr>
          <w:rFonts w:hint="eastAsia"/>
          <w:color w:val="auto"/>
          <w:sz w:val="24"/>
          <w:highlight w:val="none"/>
          <w:u w:val="single"/>
        </w:rPr>
        <w:t xml:space="preserve">  </w:t>
      </w:r>
      <w:r>
        <w:rPr>
          <w:rFonts w:hint="eastAsia" w:cs="宋体"/>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招标代理工作。</w:t>
      </w:r>
    </w:p>
    <w:p>
      <w:pPr>
        <w:spacing w:line="600" w:lineRule="exact"/>
        <w:ind w:firstLine="480" w:firstLineChars="200"/>
        <w:rPr>
          <w:color w:val="auto"/>
          <w:highlight w:val="none"/>
        </w:rPr>
      </w:pPr>
      <w:r>
        <w:rPr>
          <w:rFonts w:hint="eastAsia"/>
          <w:color w:val="auto"/>
          <w:highlight w:val="none"/>
        </w:rPr>
        <w:t>三、合同价款</w:t>
      </w:r>
    </w:p>
    <w:p>
      <w:pPr>
        <w:spacing w:line="600" w:lineRule="exact"/>
        <w:ind w:left="1680" w:leftChars="200" w:hanging="1200" w:hangingChars="500"/>
        <w:rPr>
          <w:color w:val="auto"/>
          <w:highlight w:val="none"/>
          <w:u w:val="single"/>
        </w:rPr>
      </w:pPr>
      <w:r>
        <w:rPr>
          <w:rFonts w:hint="eastAsia"/>
          <w:color w:val="auto"/>
          <w:highlight w:val="none"/>
        </w:rPr>
        <w:t>代理报酬：</w:t>
      </w:r>
      <w:r>
        <w:rPr>
          <w:rFonts w:hint="eastAsia"/>
          <w:color w:val="auto"/>
          <w:highlight w:val="none"/>
          <w:u w:val="single"/>
        </w:rPr>
        <w:t xml:space="preserve">                                                                           </w:t>
      </w:r>
    </w:p>
    <w:p>
      <w:pPr>
        <w:spacing w:line="600" w:lineRule="exact"/>
        <w:ind w:firstLine="480" w:firstLineChars="200"/>
        <w:rPr>
          <w:color w:val="auto"/>
          <w:highlight w:val="none"/>
        </w:rPr>
      </w:pPr>
      <w:r>
        <w:rPr>
          <w:rFonts w:hint="eastAsia"/>
          <w:color w:val="auto"/>
          <w:highlight w:val="none"/>
        </w:rPr>
        <w:t>四、组成本合同的文件：</w:t>
      </w:r>
    </w:p>
    <w:p>
      <w:pPr>
        <w:spacing w:line="600" w:lineRule="exact"/>
        <w:ind w:firstLine="480" w:firstLineChars="200"/>
        <w:rPr>
          <w:color w:val="auto"/>
          <w:highlight w:val="none"/>
        </w:rPr>
      </w:pPr>
      <w:r>
        <w:rPr>
          <w:rFonts w:hint="eastAsia"/>
          <w:color w:val="auto"/>
          <w:highlight w:val="none"/>
        </w:rPr>
        <w:t>1、本合同履行过程中双方以书面形式签署的补充和修正文件；</w:t>
      </w:r>
    </w:p>
    <w:p>
      <w:pPr>
        <w:spacing w:line="600" w:lineRule="exact"/>
        <w:ind w:firstLine="480" w:firstLineChars="200"/>
        <w:rPr>
          <w:color w:val="auto"/>
          <w:highlight w:val="none"/>
        </w:rPr>
      </w:pPr>
      <w:r>
        <w:rPr>
          <w:rFonts w:hint="eastAsia"/>
          <w:color w:val="auto"/>
          <w:highlight w:val="none"/>
        </w:rPr>
        <w:t>2、本合同协议书；</w:t>
      </w:r>
    </w:p>
    <w:p>
      <w:pPr>
        <w:spacing w:line="600" w:lineRule="exact"/>
        <w:ind w:firstLine="480" w:firstLineChars="200"/>
        <w:rPr>
          <w:color w:val="auto"/>
          <w:highlight w:val="none"/>
        </w:rPr>
      </w:pPr>
      <w:r>
        <w:rPr>
          <w:rFonts w:hint="eastAsia"/>
          <w:color w:val="auto"/>
          <w:highlight w:val="none"/>
        </w:rPr>
        <w:t>3、本合同专用条款；</w:t>
      </w:r>
    </w:p>
    <w:p>
      <w:pPr>
        <w:spacing w:line="600" w:lineRule="exact"/>
        <w:ind w:firstLine="480" w:firstLineChars="200"/>
        <w:rPr>
          <w:color w:val="auto"/>
          <w:highlight w:val="none"/>
        </w:rPr>
      </w:pPr>
      <w:r>
        <w:rPr>
          <w:rFonts w:hint="eastAsia"/>
          <w:color w:val="auto"/>
          <w:highlight w:val="none"/>
        </w:rPr>
        <w:t>4、本合同通用条款。</w:t>
      </w:r>
    </w:p>
    <w:p>
      <w:pPr>
        <w:spacing w:line="540" w:lineRule="exact"/>
        <w:ind w:firstLine="480" w:firstLineChars="200"/>
        <w:rPr>
          <w:color w:val="auto"/>
          <w:highlight w:val="none"/>
        </w:rPr>
      </w:pPr>
    </w:p>
    <w:p>
      <w:pPr>
        <w:spacing w:line="540" w:lineRule="exact"/>
        <w:ind w:firstLine="480" w:firstLineChars="200"/>
        <w:rPr>
          <w:color w:val="auto"/>
          <w:highlight w:val="none"/>
        </w:rPr>
      </w:pPr>
      <w:r>
        <w:rPr>
          <w:rFonts w:hint="eastAsia"/>
          <w:color w:val="auto"/>
          <w:highlight w:val="none"/>
        </w:rPr>
        <w:t>五、本协议书中的有关词语定义与本合同第一部分《通用条款》中分别赋予它们的定义相同。</w:t>
      </w:r>
    </w:p>
    <w:p>
      <w:pPr>
        <w:spacing w:line="540" w:lineRule="exact"/>
        <w:ind w:firstLine="480" w:firstLineChars="200"/>
        <w:rPr>
          <w:color w:val="auto"/>
          <w:highlight w:val="none"/>
        </w:rPr>
      </w:pPr>
      <w:r>
        <w:rPr>
          <w:rFonts w:hint="eastAsia"/>
          <w:color w:val="auto"/>
          <w:highlight w:val="none"/>
        </w:rPr>
        <w:t>六、受托人向委托人承诺，按照本合同的约定，承担本合同专用条款中约定范围内的代理业务。</w:t>
      </w:r>
    </w:p>
    <w:p>
      <w:pPr>
        <w:spacing w:line="540" w:lineRule="exact"/>
        <w:ind w:firstLine="480" w:firstLineChars="200"/>
        <w:rPr>
          <w:color w:val="auto"/>
          <w:highlight w:val="none"/>
        </w:rPr>
      </w:pPr>
      <w:r>
        <w:rPr>
          <w:rFonts w:hint="eastAsia"/>
          <w:color w:val="auto"/>
          <w:highlight w:val="none"/>
        </w:rPr>
        <w:t>七、委托人向受托人承诺，按照本合同的约定，确保代理报酬的支付。</w:t>
      </w:r>
    </w:p>
    <w:p>
      <w:pPr>
        <w:spacing w:line="540" w:lineRule="exact"/>
        <w:ind w:firstLine="480" w:firstLineChars="200"/>
        <w:rPr>
          <w:color w:val="auto"/>
          <w:highlight w:val="none"/>
        </w:rPr>
      </w:pPr>
      <w:r>
        <w:rPr>
          <w:rFonts w:hint="eastAsia"/>
          <w:color w:val="auto"/>
          <w:highlight w:val="none"/>
        </w:rPr>
        <w:t>八、合同订立</w:t>
      </w:r>
    </w:p>
    <w:p>
      <w:pPr>
        <w:spacing w:line="540" w:lineRule="exact"/>
        <w:ind w:firstLine="480" w:firstLineChars="200"/>
        <w:rPr>
          <w:color w:val="auto"/>
          <w:highlight w:val="none"/>
        </w:rPr>
      </w:pPr>
      <w:r>
        <w:rPr>
          <w:rFonts w:hint="eastAsia"/>
          <w:color w:val="auto"/>
          <w:highlight w:val="none"/>
        </w:rPr>
        <w:t>合同订立时间：</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pacing w:line="540" w:lineRule="exact"/>
        <w:ind w:firstLine="480" w:firstLineChars="200"/>
        <w:rPr>
          <w:color w:val="auto"/>
          <w:highlight w:val="none"/>
          <w:u w:val="single"/>
        </w:rPr>
      </w:pPr>
      <w:r>
        <w:rPr>
          <w:rFonts w:hint="eastAsia"/>
          <w:color w:val="auto"/>
          <w:highlight w:val="none"/>
        </w:rPr>
        <w:t>合同订立地点：</w:t>
      </w:r>
      <w:r>
        <w:rPr>
          <w:rFonts w:hint="eastAsia"/>
          <w:color w:val="auto"/>
          <w:highlight w:val="none"/>
          <w:u w:val="single"/>
        </w:rPr>
        <w:t xml:space="preserve">                   </w:t>
      </w:r>
    </w:p>
    <w:p>
      <w:pPr>
        <w:spacing w:line="540" w:lineRule="exact"/>
        <w:ind w:firstLine="480" w:firstLineChars="200"/>
        <w:rPr>
          <w:color w:val="auto"/>
          <w:highlight w:val="none"/>
        </w:rPr>
      </w:pPr>
      <w:r>
        <w:rPr>
          <w:rFonts w:hint="eastAsia"/>
          <w:color w:val="auto"/>
          <w:highlight w:val="none"/>
        </w:rPr>
        <w:t>九、合同生效</w:t>
      </w:r>
    </w:p>
    <w:p>
      <w:pPr>
        <w:spacing w:line="540" w:lineRule="exact"/>
        <w:ind w:firstLine="480" w:firstLineChars="200"/>
        <w:rPr>
          <w:color w:val="auto"/>
          <w:highlight w:val="none"/>
        </w:rPr>
      </w:pPr>
      <w:r>
        <w:rPr>
          <w:rFonts w:hint="eastAsia"/>
          <w:color w:val="auto"/>
          <w:highlight w:val="none"/>
        </w:rPr>
        <w:t>本合同双方约定</w:t>
      </w:r>
      <w:r>
        <w:rPr>
          <w:rFonts w:hint="eastAsia"/>
          <w:color w:val="auto"/>
          <w:highlight w:val="none"/>
          <w:u w:val="single"/>
        </w:rPr>
        <w:t xml:space="preserve">  签字盖章  </w:t>
      </w:r>
      <w:r>
        <w:rPr>
          <w:rFonts w:hint="eastAsia"/>
          <w:color w:val="auto"/>
          <w:highlight w:val="none"/>
        </w:rPr>
        <w:t>后生效。</w:t>
      </w:r>
    </w:p>
    <w:p>
      <w:pPr>
        <w:spacing w:line="540" w:lineRule="exact"/>
        <w:ind w:firstLine="480" w:firstLineChars="200"/>
        <w:rPr>
          <w:color w:val="auto"/>
          <w:highlight w:val="none"/>
        </w:rPr>
      </w:pPr>
    </w:p>
    <w:p>
      <w:pPr>
        <w:spacing w:line="540" w:lineRule="exact"/>
        <w:ind w:firstLine="480" w:firstLineChars="200"/>
        <w:rPr>
          <w:color w:val="auto"/>
          <w:highlight w:val="none"/>
        </w:rPr>
      </w:pPr>
    </w:p>
    <w:p>
      <w:pPr>
        <w:spacing w:line="540" w:lineRule="exact"/>
        <w:rPr>
          <w:color w:val="auto"/>
          <w:highlight w:val="none"/>
        </w:rPr>
      </w:pPr>
    </w:p>
    <w:p>
      <w:pPr>
        <w:spacing w:line="440" w:lineRule="exact"/>
        <w:rPr>
          <w:color w:val="auto"/>
          <w:highlight w:val="none"/>
        </w:rPr>
      </w:pPr>
      <w:r>
        <w:rPr>
          <w:rFonts w:hint="eastAsia"/>
          <w:color w:val="auto"/>
          <w:highlight w:val="none"/>
        </w:rPr>
        <w:t>委托人（盖章）：                            受托人（盖章）：</w:t>
      </w:r>
    </w:p>
    <w:p>
      <w:pPr>
        <w:spacing w:line="440" w:lineRule="exact"/>
        <w:rPr>
          <w:color w:val="auto"/>
          <w:highlight w:val="none"/>
        </w:rPr>
      </w:pPr>
      <w:r>
        <w:rPr>
          <w:rFonts w:hint="eastAsia"/>
          <w:color w:val="auto"/>
          <w:highlight w:val="none"/>
        </w:rPr>
        <w:t>法定代表人（签字或盖章）：                  法定代表人（签字或盖章）：</w:t>
      </w:r>
    </w:p>
    <w:p>
      <w:pPr>
        <w:spacing w:line="440" w:lineRule="exact"/>
        <w:rPr>
          <w:color w:val="auto"/>
          <w:highlight w:val="none"/>
        </w:rPr>
      </w:pPr>
      <w:r>
        <w:rPr>
          <w:rFonts w:hint="eastAsia"/>
          <w:color w:val="auto"/>
          <w:highlight w:val="none"/>
        </w:rPr>
        <w:t>授权代理人（签字或盖章）：                  授权代理人（签字或盖章）：</w:t>
      </w:r>
    </w:p>
    <w:p>
      <w:pPr>
        <w:spacing w:line="440" w:lineRule="exact"/>
        <w:rPr>
          <w:rFonts w:hint="eastAsia"/>
          <w:color w:val="auto"/>
          <w:highlight w:val="none"/>
          <w:lang w:val="en-US" w:eastAsia="zh-CN"/>
        </w:rPr>
      </w:pPr>
      <w:r>
        <w:rPr>
          <w:rFonts w:hint="eastAsia"/>
          <w:color w:val="auto"/>
          <w:highlight w:val="none"/>
        </w:rPr>
        <w:t xml:space="preserve">单位地址：           </w:t>
      </w:r>
      <w:r>
        <w:rPr>
          <w:rFonts w:hint="eastAsia"/>
          <w:color w:val="auto"/>
          <w:highlight w:val="none"/>
          <w:lang w:val="en-US" w:eastAsia="zh-CN"/>
        </w:rPr>
        <w:t xml:space="preserve">                      </w:t>
      </w:r>
      <w:r>
        <w:rPr>
          <w:rFonts w:hint="eastAsia"/>
          <w:color w:val="auto"/>
          <w:highlight w:val="none"/>
        </w:rPr>
        <w:t>单位地址：</w:t>
      </w:r>
      <w:r>
        <w:rPr>
          <w:rFonts w:hint="eastAsia"/>
          <w:color w:val="auto"/>
          <w:highlight w:val="none"/>
          <w:lang w:val="en-US" w:eastAsia="zh-CN"/>
        </w:rPr>
        <w:t xml:space="preserve"> </w:t>
      </w:r>
    </w:p>
    <w:p>
      <w:pPr>
        <w:spacing w:line="440" w:lineRule="exact"/>
        <w:rPr>
          <w:color w:val="auto"/>
          <w:highlight w:val="none"/>
        </w:rPr>
      </w:pPr>
      <w:r>
        <w:rPr>
          <w:rFonts w:hint="eastAsia"/>
          <w:color w:val="auto"/>
          <w:highlight w:val="none"/>
        </w:rPr>
        <w:t>邮政编码：                                 邮政编码：</w:t>
      </w:r>
    </w:p>
    <w:p>
      <w:pPr>
        <w:spacing w:line="440" w:lineRule="exact"/>
        <w:rPr>
          <w:rFonts w:hint="default" w:eastAsia="宋体"/>
          <w:color w:val="auto"/>
          <w:highlight w:val="none"/>
          <w:lang w:val="en-US" w:eastAsia="zh-CN"/>
        </w:rPr>
      </w:pPr>
      <w:r>
        <w:rPr>
          <w:rFonts w:hint="eastAsia"/>
          <w:color w:val="auto"/>
          <w:highlight w:val="none"/>
        </w:rPr>
        <w:t>联系电话：                                 联系电话：</w:t>
      </w:r>
    </w:p>
    <w:p>
      <w:pPr>
        <w:spacing w:line="440" w:lineRule="exact"/>
        <w:rPr>
          <w:rFonts w:hint="eastAsia" w:eastAsia="宋体"/>
          <w:color w:val="auto"/>
          <w:highlight w:val="none"/>
          <w:lang w:eastAsia="zh-CN"/>
        </w:rPr>
      </w:pPr>
      <w:r>
        <w:rPr>
          <w:rFonts w:hint="eastAsia"/>
          <w:color w:val="auto"/>
          <w:highlight w:val="none"/>
        </w:rPr>
        <w:t>传    真：                                 传    真：</w:t>
      </w:r>
    </w:p>
    <w:p>
      <w:pPr>
        <w:spacing w:line="440" w:lineRule="exact"/>
        <w:rPr>
          <w:color w:val="auto"/>
          <w:highlight w:val="none"/>
        </w:rPr>
      </w:pPr>
      <w:r>
        <w:rPr>
          <w:rFonts w:hint="eastAsia"/>
          <w:color w:val="auto"/>
          <w:highlight w:val="none"/>
        </w:rPr>
        <w:t>电子信箱：                                 电子信箱：</w:t>
      </w:r>
    </w:p>
    <w:p>
      <w:pPr>
        <w:spacing w:line="440" w:lineRule="exact"/>
        <w:ind w:left="6360" w:hanging="6360" w:hangingChars="2650"/>
        <w:rPr>
          <w:rFonts w:hint="eastAsia" w:eastAsia="宋体" w:cs="仿宋"/>
          <w:color w:val="auto"/>
          <w:highlight w:val="none"/>
          <w:lang w:val="en-US" w:eastAsia="zh-CN"/>
        </w:rPr>
      </w:pPr>
      <w:r>
        <w:rPr>
          <w:rFonts w:hint="eastAsia"/>
          <w:color w:val="auto"/>
          <w:highlight w:val="none"/>
        </w:rPr>
        <w:t>开户银行：                                 开户银行：</w:t>
      </w:r>
    </w:p>
    <w:p>
      <w:pPr>
        <w:spacing w:line="440" w:lineRule="exact"/>
        <w:ind w:left="6360" w:hanging="6360" w:hangingChars="2650"/>
        <w:rPr>
          <w:color w:val="auto"/>
          <w:highlight w:val="none"/>
        </w:rPr>
      </w:pPr>
      <w:r>
        <w:rPr>
          <w:rFonts w:hint="eastAsia"/>
          <w:color w:val="auto"/>
          <w:highlight w:val="none"/>
        </w:rPr>
        <w:t>帐    号：                                 帐    号：</w:t>
      </w:r>
    </w:p>
    <w:p>
      <w:pPr>
        <w:pStyle w:val="7"/>
        <w:rPr>
          <w:color w:val="auto"/>
          <w:highlight w:val="none"/>
        </w:rPr>
      </w:pPr>
      <w:r>
        <w:rPr>
          <w:color w:val="auto"/>
          <w:highlight w:val="none"/>
        </w:rPr>
        <w:br w:type="page"/>
      </w:r>
    </w:p>
    <w:p>
      <w:pPr>
        <w:spacing w:line="540" w:lineRule="exact"/>
        <w:jc w:val="center"/>
        <w:rPr>
          <w:b/>
          <w:bCs/>
          <w:color w:val="auto"/>
          <w:sz w:val="44"/>
          <w:highlight w:val="none"/>
        </w:rPr>
      </w:pPr>
      <w:r>
        <w:rPr>
          <w:rFonts w:hint="eastAsia"/>
          <w:b/>
          <w:bCs/>
          <w:color w:val="auto"/>
          <w:sz w:val="44"/>
          <w:highlight w:val="none"/>
        </w:rPr>
        <w:t>第一部分    通用条款</w:t>
      </w:r>
    </w:p>
    <w:p>
      <w:pPr>
        <w:spacing w:line="440" w:lineRule="exact"/>
        <w:ind w:firstLine="540"/>
        <w:rPr>
          <w:b/>
          <w:bCs/>
          <w:color w:val="auto"/>
          <w:highlight w:val="none"/>
        </w:rPr>
      </w:pPr>
      <w:r>
        <w:rPr>
          <w:rFonts w:hint="eastAsia"/>
          <w:b/>
          <w:bCs/>
          <w:color w:val="auto"/>
          <w:highlight w:val="none"/>
        </w:rPr>
        <w:t>一、词语定义和适用法律</w:t>
      </w:r>
    </w:p>
    <w:p>
      <w:pPr>
        <w:spacing w:line="440" w:lineRule="exact"/>
        <w:ind w:firstLine="540"/>
        <w:rPr>
          <w:color w:val="auto"/>
          <w:highlight w:val="none"/>
        </w:rPr>
      </w:pPr>
      <w:r>
        <w:rPr>
          <w:rFonts w:hint="eastAsia"/>
          <w:color w:val="auto"/>
          <w:highlight w:val="none"/>
        </w:rPr>
        <w:t>1、词语定义</w:t>
      </w:r>
    </w:p>
    <w:p>
      <w:pPr>
        <w:spacing w:line="440" w:lineRule="exact"/>
        <w:ind w:firstLine="480" w:firstLineChars="200"/>
        <w:rPr>
          <w:color w:val="auto"/>
          <w:highlight w:val="none"/>
        </w:rPr>
      </w:pPr>
      <w:r>
        <w:rPr>
          <w:rFonts w:hint="eastAsia"/>
          <w:color w:val="auto"/>
          <w:highlight w:val="none"/>
        </w:rPr>
        <w:t>下列词语除本合同专用条款另有约定外，应具有本条款所赋予的定义：</w:t>
      </w:r>
    </w:p>
    <w:p>
      <w:pPr>
        <w:spacing w:line="440" w:lineRule="exact"/>
        <w:ind w:firstLine="360"/>
        <w:rPr>
          <w:color w:val="auto"/>
          <w:highlight w:val="none"/>
        </w:rPr>
      </w:pPr>
      <w:r>
        <w:rPr>
          <w:rFonts w:hint="eastAsia"/>
          <w:color w:val="auto"/>
          <w:highlight w:val="none"/>
        </w:rPr>
        <w:t xml:space="preserve"> l</w:t>
      </w:r>
      <w:r>
        <w:rPr>
          <w:color w:val="auto"/>
          <w:highlight w:val="none"/>
          <w:lang w:val="zh-CN"/>
        </w:rPr>
        <w:t>.</w:t>
      </w:r>
      <w:r>
        <w:rPr>
          <w:rFonts w:hint="eastAsia"/>
          <w:color w:val="auto"/>
          <w:highlight w:val="none"/>
        </w:rPr>
        <w:t>1 招标代理合同：委托人将政府采购项目招标工作委托给具有相应招标代理资质的受托人，实施招标活动签订的委托合同，</w:t>
      </w:r>
    </w:p>
    <w:p>
      <w:pPr>
        <w:spacing w:line="440" w:lineRule="exact"/>
        <w:ind w:firstLine="360"/>
        <w:rPr>
          <w:color w:val="auto"/>
          <w:highlight w:val="none"/>
        </w:rPr>
      </w:pPr>
      <w:r>
        <w:rPr>
          <w:rFonts w:hint="eastAsia"/>
          <w:color w:val="auto"/>
          <w:highlight w:val="none"/>
        </w:rPr>
        <w:t xml:space="preserve"> l</w:t>
      </w:r>
      <w:r>
        <w:rPr>
          <w:color w:val="auto"/>
          <w:highlight w:val="none"/>
          <w:lang w:val="zh-CN"/>
        </w:rPr>
        <w:t>.</w:t>
      </w:r>
      <w:r>
        <w:rPr>
          <w:rFonts w:hint="eastAsia"/>
          <w:color w:val="auto"/>
          <w:highlight w:val="none"/>
        </w:rPr>
        <w:t>2通用条款：是根据有关法律、行政法规和政府采购项目招标代理的需要所订立，通用于各类政府采购项目招标代理的条款。</w:t>
      </w:r>
    </w:p>
    <w:p>
      <w:pPr>
        <w:spacing w:line="440" w:lineRule="exact"/>
        <w:ind w:firstLine="180"/>
        <w:rPr>
          <w:color w:val="auto"/>
          <w:highlight w:val="none"/>
        </w:rPr>
      </w:pPr>
      <w:r>
        <w:rPr>
          <w:rFonts w:hint="eastAsia"/>
          <w:color w:val="auto"/>
          <w:highlight w:val="none"/>
        </w:rPr>
        <w:t xml:space="preserve">  1</w:t>
      </w:r>
      <w:r>
        <w:rPr>
          <w:color w:val="auto"/>
          <w:highlight w:val="none"/>
          <w:lang w:val="zh-CN"/>
        </w:rPr>
        <w:t>.</w:t>
      </w:r>
      <w:r>
        <w:rPr>
          <w:rFonts w:hint="eastAsia"/>
          <w:color w:val="auto"/>
          <w:highlight w:val="none"/>
        </w:rPr>
        <w:t>3专用条款：是委托人与受托人根据有关法律、行政法规规定，结合具体政府采购项目招标代理的实际，经协商达成一致意见的条款，是对通用条款的具体化、补充或修改。</w:t>
      </w:r>
    </w:p>
    <w:p>
      <w:pPr>
        <w:tabs>
          <w:tab w:val="left" w:pos="540"/>
        </w:tabs>
        <w:spacing w:line="440" w:lineRule="exact"/>
        <w:ind w:firstLine="360"/>
        <w:rPr>
          <w:color w:val="auto"/>
          <w:highlight w:val="none"/>
        </w:rPr>
      </w:pPr>
      <w:r>
        <w:rPr>
          <w:rFonts w:hint="eastAsia"/>
          <w:color w:val="auto"/>
          <w:highlight w:val="none"/>
        </w:rPr>
        <w:t>l</w:t>
      </w:r>
      <w:r>
        <w:rPr>
          <w:color w:val="auto"/>
          <w:highlight w:val="none"/>
          <w:lang w:val="zh-CN"/>
        </w:rPr>
        <w:t>.</w:t>
      </w:r>
      <w:r>
        <w:rPr>
          <w:rFonts w:hint="eastAsia"/>
          <w:color w:val="auto"/>
          <w:highlight w:val="none"/>
        </w:rPr>
        <w:t>4委托人：指在合同中约定的，具有政府采购项目招标委托主体资格的当事人，以及取得该当事人资格的合法继承人。</w:t>
      </w:r>
    </w:p>
    <w:p>
      <w:pPr>
        <w:tabs>
          <w:tab w:val="left" w:pos="360"/>
          <w:tab w:val="left" w:pos="540"/>
        </w:tabs>
        <w:spacing w:line="440" w:lineRule="exact"/>
        <w:ind w:firstLine="180"/>
        <w:rPr>
          <w:color w:val="auto"/>
          <w:highlight w:val="none"/>
        </w:rPr>
      </w:pPr>
      <w:r>
        <w:rPr>
          <w:rFonts w:hint="eastAsia"/>
          <w:color w:val="auto"/>
          <w:highlight w:val="none"/>
        </w:rPr>
        <w:t xml:space="preserve">  1</w:t>
      </w:r>
      <w:r>
        <w:rPr>
          <w:color w:val="auto"/>
          <w:highlight w:val="none"/>
          <w:lang w:val="zh-CN"/>
        </w:rPr>
        <w:t>.</w:t>
      </w:r>
      <w:r>
        <w:rPr>
          <w:rFonts w:hint="eastAsia"/>
          <w:color w:val="auto"/>
          <w:highlight w:val="none"/>
        </w:rPr>
        <w:t>5  受托人：指在合同中约定的，被委托人接受的具有政府采购项目招标代理主体资格的当事人，以及取得该当事人资格的合法继承人。</w:t>
      </w:r>
    </w:p>
    <w:p>
      <w:pPr>
        <w:tabs>
          <w:tab w:val="left" w:pos="360"/>
          <w:tab w:val="left" w:pos="540"/>
        </w:tabs>
        <w:spacing w:line="440" w:lineRule="exact"/>
        <w:ind w:firstLine="180"/>
        <w:rPr>
          <w:color w:val="auto"/>
          <w:highlight w:val="none"/>
        </w:rPr>
      </w:pPr>
      <w:r>
        <w:rPr>
          <w:rFonts w:hint="eastAsia"/>
          <w:color w:val="auto"/>
          <w:highlight w:val="none"/>
        </w:rPr>
        <w:t xml:space="preserve">  1</w:t>
      </w:r>
      <w:r>
        <w:rPr>
          <w:color w:val="auto"/>
          <w:highlight w:val="none"/>
          <w:lang w:val="zh-CN"/>
        </w:rPr>
        <w:t>.</w:t>
      </w:r>
      <w:r>
        <w:rPr>
          <w:rFonts w:hint="eastAsia"/>
          <w:color w:val="auto"/>
          <w:highlight w:val="none"/>
        </w:rPr>
        <w:t>6  招标代理项目负责人：指受托人在专用条款中指定的负责合同履行的代表。</w:t>
      </w:r>
    </w:p>
    <w:p>
      <w:pPr>
        <w:spacing w:line="440" w:lineRule="exact"/>
        <w:ind w:firstLine="180"/>
        <w:rPr>
          <w:color w:val="auto"/>
          <w:highlight w:val="none"/>
        </w:rPr>
      </w:pPr>
      <w:r>
        <w:rPr>
          <w:rFonts w:hint="eastAsia"/>
          <w:color w:val="auto"/>
          <w:highlight w:val="none"/>
        </w:rPr>
        <w:t xml:space="preserve">  1</w:t>
      </w:r>
      <w:r>
        <w:rPr>
          <w:color w:val="auto"/>
          <w:highlight w:val="none"/>
          <w:lang w:val="zh-CN"/>
        </w:rPr>
        <w:t>.</w:t>
      </w:r>
      <w:r>
        <w:rPr>
          <w:rFonts w:hint="eastAsia"/>
          <w:color w:val="auto"/>
          <w:highlight w:val="none"/>
        </w:rPr>
        <w:t>7  政府采购项目：指由委托人和受托人在合同中约定的委托代理招标采购项目。</w:t>
      </w:r>
    </w:p>
    <w:p>
      <w:pPr>
        <w:spacing w:line="440" w:lineRule="exact"/>
        <w:ind w:firstLine="180"/>
        <w:rPr>
          <w:color w:val="auto"/>
          <w:highlight w:val="none"/>
        </w:rPr>
      </w:pPr>
      <w:r>
        <w:rPr>
          <w:rFonts w:hint="eastAsia"/>
          <w:color w:val="auto"/>
          <w:highlight w:val="none"/>
        </w:rPr>
        <w:t xml:space="preserve">  1</w:t>
      </w:r>
      <w:r>
        <w:rPr>
          <w:color w:val="auto"/>
          <w:highlight w:val="none"/>
          <w:lang w:val="zh-CN"/>
        </w:rPr>
        <w:t>.</w:t>
      </w:r>
      <w:r>
        <w:rPr>
          <w:rFonts w:hint="eastAsia"/>
          <w:color w:val="auto"/>
          <w:highlight w:val="none"/>
        </w:rPr>
        <w:t>8  招标代理业务：委托人委托受托人代理实施政府采购项目招标的工作内容。</w:t>
      </w:r>
    </w:p>
    <w:p>
      <w:pPr>
        <w:spacing w:line="440" w:lineRule="exact"/>
        <w:ind w:firstLine="360"/>
        <w:rPr>
          <w:color w:val="auto"/>
          <w:highlight w:val="none"/>
        </w:rPr>
      </w:pPr>
      <w:r>
        <w:rPr>
          <w:rFonts w:hint="eastAsia"/>
          <w:color w:val="auto"/>
          <w:highlight w:val="none"/>
        </w:rPr>
        <w:t xml:space="preserve"> 1</w:t>
      </w:r>
      <w:r>
        <w:rPr>
          <w:color w:val="auto"/>
          <w:highlight w:val="none"/>
          <w:lang w:val="zh-CN"/>
        </w:rPr>
        <w:t>.</w:t>
      </w:r>
      <w:r>
        <w:rPr>
          <w:rFonts w:hint="eastAsia"/>
          <w:color w:val="auto"/>
          <w:highlight w:val="none"/>
        </w:rPr>
        <w:t>9  附加服务：指委托人和受托人在本合同通用条款4</w:t>
      </w:r>
      <w:r>
        <w:rPr>
          <w:color w:val="auto"/>
          <w:highlight w:val="none"/>
          <w:lang w:val="zh-CN"/>
        </w:rPr>
        <w:t>.</w:t>
      </w:r>
      <w:r>
        <w:rPr>
          <w:rFonts w:hint="eastAsia"/>
          <w:color w:val="auto"/>
          <w:highlight w:val="none"/>
        </w:rPr>
        <w:t>1款和专用条款4</w:t>
      </w:r>
      <w:r>
        <w:rPr>
          <w:color w:val="auto"/>
          <w:highlight w:val="none"/>
          <w:lang w:val="zh-CN"/>
        </w:rPr>
        <w:t>.</w:t>
      </w:r>
      <w:r>
        <w:rPr>
          <w:rFonts w:hint="eastAsia"/>
          <w:color w:val="auto"/>
          <w:highlight w:val="none"/>
        </w:rPr>
        <w:t>1款中双方约定工作范围之外的附加工作。</w:t>
      </w:r>
    </w:p>
    <w:p>
      <w:pPr>
        <w:spacing w:line="440" w:lineRule="exact"/>
        <w:ind w:firstLine="180"/>
        <w:rPr>
          <w:color w:val="auto"/>
          <w:highlight w:val="none"/>
        </w:rPr>
      </w:pPr>
      <w:r>
        <w:rPr>
          <w:rFonts w:hint="eastAsia"/>
          <w:color w:val="auto"/>
          <w:highlight w:val="none"/>
        </w:rPr>
        <w:t xml:space="preserve">  1</w:t>
      </w:r>
      <w:r>
        <w:rPr>
          <w:color w:val="auto"/>
          <w:highlight w:val="none"/>
          <w:lang w:val="zh-CN"/>
        </w:rPr>
        <w:t>.</w:t>
      </w:r>
      <w:r>
        <w:rPr>
          <w:rFonts w:hint="eastAsia"/>
          <w:color w:val="auto"/>
          <w:highlight w:val="none"/>
        </w:rPr>
        <w:t>10  代理报酬：委托人和受托人在合同中约定的，受托人按照约定应收取的代理报酬总额。</w:t>
      </w:r>
    </w:p>
    <w:p>
      <w:pPr>
        <w:spacing w:line="440" w:lineRule="exact"/>
        <w:ind w:firstLine="180"/>
        <w:rPr>
          <w:color w:val="auto"/>
          <w:highlight w:val="none"/>
        </w:rPr>
      </w:pPr>
      <w:r>
        <w:rPr>
          <w:rFonts w:hint="eastAsia"/>
          <w:color w:val="auto"/>
          <w:highlight w:val="none"/>
        </w:rPr>
        <w:t xml:space="preserve">  1</w:t>
      </w:r>
      <w:r>
        <w:rPr>
          <w:color w:val="auto"/>
          <w:highlight w:val="none"/>
          <w:lang w:val="zh-CN"/>
        </w:rPr>
        <w:t>.</w:t>
      </w:r>
      <w:r>
        <w:rPr>
          <w:rFonts w:hint="eastAsia"/>
          <w:color w:val="auto"/>
          <w:highlight w:val="none"/>
        </w:rPr>
        <w:t>11  采购清单：指由委托人提供的满足招标需要的所有清单配套说明以及相关的技术资料。</w:t>
      </w:r>
    </w:p>
    <w:p>
      <w:pPr>
        <w:spacing w:line="440" w:lineRule="exact"/>
        <w:ind w:firstLine="180"/>
        <w:rPr>
          <w:color w:val="auto"/>
          <w:highlight w:val="none"/>
        </w:rPr>
      </w:pPr>
      <w:r>
        <w:rPr>
          <w:rFonts w:hint="eastAsia"/>
          <w:color w:val="auto"/>
          <w:highlight w:val="none"/>
        </w:rPr>
        <w:t xml:space="preserve">  1</w:t>
      </w:r>
      <w:r>
        <w:rPr>
          <w:color w:val="auto"/>
          <w:highlight w:val="none"/>
          <w:lang w:val="zh-CN"/>
        </w:rPr>
        <w:t>.</w:t>
      </w:r>
      <w:r>
        <w:rPr>
          <w:rFonts w:hint="eastAsia"/>
          <w:color w:val="auto"/>
          <w:highlight w:val="none"/>
        </w:rPr>
        <w:t>12书面形式：指具有公章、法定代表人或授权代理人签字的合同书、信件和数据电文（包括电报、电传、传真）等可以有形地表现所载内容的形式。</w:t>
      </w:r>
    </w:p>
    <w:p>
      <w:pPr>
        <w:tabs>
          <w:tab w:val="left" w:pos="540"/>
        </w:tabs>
        <w:spacing w:line="440" w:lineRule="exact"/>
        <w:ind w:firstLine="180"/>
        <w:rPr>
          <w:color w:val="auto"/>
          <w:spacing w:val="-18"/>
          <w:highlight w:val="none"/>
        </w:rPr>
      </w:pPr>
      <w:r>
        <w:rPr>
          <w:rFonts w:hint="eastAsia"/>
          <w:color w:val="auto"/>
          <w:spacing w:val="-18"/>
          <w:highlight w:val="none"/>
        </w:rPr>
        <w:t xml:space="preserve">  1</w:t>
      </w:r>
      <w:r>
        <w:rPr>
          <w:color w:val="auto"/>
          <w:spacing w:val="-18"/>
          <w:highlight w:val="none"/>
          <w:lang w:val="zh-CN"/>
        </w:rPr>
        <w:t>.</w:t>
      </w:r>
      <w:r>
        <w:rPr>
          <w:rFonts w:hint="eastAsia"/>
          <w:color w:val="auto"/>
          <w:spacing w:val="-18"/>
          <w:highlight w:val="none"/>
        </w:rPr>
        <w:t>13违约责任：指合同一方不履行合同义务或履行合同义务不符合约定所应承担的责任。</w:t>
      </w:r>
    </w:p>
    <w:p>
      <w:pPr>
        <w:spacing w:line="440" w:lineRule="exact"/>
        <w:ind w:firstLine="180"/>
        <w:rPr>
          <w:color w:val="auto"/>
          <w:highlight w:val="none"/>
        </w:rPr>
      </w:pPr>
      <w:r>
        <w:rPr>
          <w:rFonts w:hint="eastAsia"/>
          <w:color w:val="auto"/>
          <w:highlight w:val="none"/>
        </w:rPr>
        <w:t xml:space="preserve">  1</w:t>
      </w:r>
      <w:r>
        <w:rPr>
          <w:color w:val="auto"/>
          <w:highlight w:val="none"/>
          <w:lang w:val="zh-CN"/>
        </w:rPr>
        <w:t>.</w:t>
      </w:r>
      <w:r>
        <w:rPr>
          <w:rFonts w:hint="eastAsia"/>
          <w:color w:val="auto"/>
          <w:highlight w:val="none"/>
        </w:rPr>
        <w:t>14索赔：指在合同履行过程中，对于并非自己的过错，而是应由对方承担责任的情况造成的实际损失，向对方提出经济补偿或其他的要求。</w:t>
      </w:r>
    </w:p>
    <w:p>
      <w:pPr>
        <w:spacing w:line="440" w:lineRule="exact"/>
        <w:ind w:firstLine="180"/>
        <w:rPr>
          <w:color w:val="auto"/>
          <w:highlight w:val="none"/>
        </w:rPr>
      </w:pPr>
      <w:r>
        <w:rPr>
          <w:rFonts w:hint="eastAsia"/>
          <w:color w:val="auto"/>
          <w:highlight w:val="none"/>
        </w:rPr>
        <w:t xml:space="preserve">    1</w:t>
      </w:r>
      <w:r>
        <w:rPr>
          <w:color w:val="auto"/>
          <w:highlight w:val="none"/>
          <w:lang w:val="zh-CN"/>
        </w:rPr>
        <w:t>.</w:t>
      </w:r>
      <w:r>
        <w:rPr>
          <w:rFonts w:hint="eastAsia"/>
          <w:color w:val="auto"/>
          <w:highlight w:val="none"/>
        </w:rPr>
        <w:t xml:space="preserve">15不可抗力：指双方无法控制和不可预见的事件，但不包括双方的违约或疏忽。这些事件包括但不限于战争、严重火灾、洪水、台风、地震，或其他双方一致认为属于不可抗力的事件。               </w:t>
      </w:r>
    </w:p>
    <w:p>
      <w:pPr>
        <w:spacing w:line="440" w:lineRule="exact"/>
        <w:ind w:firstLine="180"/>
        <w:rPr>
          <w:color w:val="auto"/>
          <w:highlight w:val="none"/>
        </w:rPr>
      </w:pPr>
      <w:r>
        <w:rPr>
          <w:rFonts w:hint="eastAsia"/>
          <w:color w:val="auto"/>
          <w:highlight w:val="none"/>
        </w:rPr>
        <w:t xml:space="preserve">    1</w:t>
      </w:r>
      <w:r>
        <w:rPr>
          <w:color w:val="auto"/>
          <w:highlight w:val="none"/>
          <w:lang w:val="zh-CN"/>
        </w:rPr>
        <w:t>.</w:t>
      </w:r>
      <w:r>
        <w:rPr>
          <w:rFonts w:hint="eastAsia"/>
          <w:color w:val="auto"/>
          <w:highlight w:val="none"/>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spacing w:line="440" w:lineRule="exact"/>
        <w:ind w:firstLine="180"/>
        <w:rPr>
          <w:color w:val="auto"/>
          <w:highlight w:val="none"/>
        </w:rPr>
      </w:pPr>
      <w:r>
        <w:rPr>
          <w:rFonts w:hint="eastAsia"/>
          <w:color w:val="auto"/>
          <w:highlight w:val="none"/>
        </w:rPr>
        <w:t xml:space="preserve">   2、合同文件及解释顺序</w:t>
      </w:r>
    </w:p>
    <w:p>
      <w:pPr>
        <w:tabs>
          <w:tab w:val="left" w:pos="540"/>
        </w:tabs>
        <w:spacing w:line="440" w:lineRule="exact"/>
        <w:ind w:firstLine="180"/>
        <w:rPr>
          <w:color w:val="auto"/>
          <w:highlight w:val="none"/>
        </w:rPr>
      </w:pPr>
      <w:r>
        <w:rPr>
          <w:rFonts w:hint="eastAsia"/>
          <w:color w:val="auto"/>
          <w:highlight w:val="none"/>
        </w:rPr>
        <w:t xml:space="preserve">   2</w:t>
      </w:r>
      <w:r>
        <w:rPr>
          <w:color w:val="auto"/>
          <w:highlight w:val="none"/>
          <w:lang w:val="zh-CN"/>
        </w:rPr>
        <w:t>.</w:t>
      </w:r>
      <w:r>
        <w:rPr>
          <w:rFonts w:hint="eastAsia"/>
          <w:color w:val="auto"/>
          <w:highlight w:val="none"/>
        </w:rPr>
        <w:t>l  合同文件应能互相解释，互为说明。除本合同专用条款另有约定外，组成本合同的文件及优先解释顺序如下：</w:t>
      </w:r>
    </w:p>
    <w:p>
      <w:pPr>
        <w:tabs>
          <w:tab w:val="left" w:pos="360"/>
        </w:tabs>
        <w:spacing w:line="440" w:lineRule="exact"/>
        <w:rPr>
          <w:color w:val="auto"/>
          <w:highlight w:val="none"/>
        </w:rPr>
      </w:pPr>
      <w:r>
        <w:rPr>
          <w:rFonts w:hint="eastAsia"/>
          <w:color w:val="auto"/>
          <w:highlight w:val="none"/>
        </w:rPr>
        <w:t xml:space="preserve">   （1）本合同履行过程中双方以书面形式签署的补充和修正文件；</w:t>
      </w:r>
    </w:p>
    <w:p>
      <w:pPr>
        <w:spacing w:line="440" w:lineRule="exact"/>
        <w:rPr>
          <w:color w:val="auto"/>
          <w:highlight w:val="none"/>
        </w:rPr>
      </w:pPr>
      <w:r>
        <w:rPr>
          <w:rFonts w:hint="eastAsia"/>
          <w:color w:val="auto"/>
          <w:highlight w:val="none"/>
        </w:rPr>
        <w:t xml:space="preserve">   （2）本合同协议书：</w:t>
      </w:r>
    </w:p>
    <w:p>
      <w:pPr>
        <w:spacing w:line="440" w:lineRule="exact"/>
        <w:rPr>
          <w:color w:val="auto"/>
          <w:highlight w:val="none"/>
        </w:rPr>
      </w:pPr>
      <w:r>
        <w:rPr>
          <w:rFonts w:hint="eastAsia"/>
          <w:color w:val="auto"/>
          <w:highlight w:val="none"/>
        </w:rPr>
        <w:t xml:space="preserve">   （3）本合同专用条款；</w:t>
      </w:r>
    </w:p>
    <w:p>
      <w:pPr>
        <w:spacing w:line="440" w:lineRule="exact"/>
        <w:rPr>
          <w:color w:val="auto"/>
          <w:highlight w:val="none"/>
        </w:rPr>
      </w:pPr>
      <w:r>
        <w:rPr>
          <w:rFonts w:hint="eastAsia"/>
          <w:color w:val="auto"/>
          <w:highlight w:val="none"/>
        </w:rPr>
        <w:t xml:space="preserve">   （4）本合同通用条款。</w:t>
      </w:r>
    </w:p>
    <w:p>
      <w:pPr>
        <w:tabs>
          <w:tab w:val="left" w:pos="540"/>
        </w:tabs>
        <w:spacing w:line="440" w:lineRule="exact"/>
        <w:ind w:firstLine="180"/>
        <w:rPr>
          <w:color w:val="auto"/>
          <w:highlight w:val="none"/>
        </w:rPr>
      </w:pPr>
      <w:r>
        <w:rPr>
          <w:rFonts w:hint="eastAsia"/>
          <w:color w:val="auto"/>
          <w:highlight w:val="none"/>
        </w:rPr>
        <w:t xml:space="preserve">   2</w:t>
      </w:r>
      <w:r>
        <w:rPr>
          <w:color w:val="auto"/>
          <w:highlight w:val="none"/>
          <w:lang w:val="zh-CN"/>
        </w:rPr>
        <w:t>.</w:t>
      </w:r>
      <w:r>
        <w:rPr>
          <w:rFonts w:hint="eastAsia"/>
          <w:color w:val="auto"/>
          <w:highlight w:val="none"/>
        </w:rPr>
        <w:t>2  当合同文件内容出现含糊不清或不相一致时，应在不影响招标代理业务正常进行的情况下，由委托人和受托人协商解决。双方协商不成时，按本合同通用条款第12条关于争议的约定处理。</w:t>
      </w:r>
    </w:p>
    <w:p>
      <w:pPr>
        <w:spacing w:line="440" w:lineRule="exact"/>
        <w:ind w:firstLine="180"/>
        <w:rPr>
          <w:color w:val="auto"/>
          <w:highlight w:val="none"/>
        </w:rPr>
      </w:pPr>
      <w:r>
        <w:rPr>
          <w:rFonts w:hint="eastAsia"/>
          <w:color w:val="auto"/>
          <w:highlight w:val="none"/>
        </w:rPr>
        <w:t xml:space="preserve">  3、语言文字和适用法律</w:t>
      </w:r>
    </w:p>
    <w:p>
      <w:pPr>
        <w:tabs>
          <w:tab w:val="left" w:pos="540"/>
        </w:tabs>
        <w:spacing w:line="440" w:lineRule="exact"/>
        <w:ind w:firstLine="180"/>
        <w:rPr>
          <w:color w:val="auto"/>
          <w:highlight w:val="none"/>
        </w:rPr>
      </w:pPr>
      <w:r>
        <w:rPr>
          <w:rFonts w:hint="eastAsia"/>
          <w:color w:val="auto"/>
          <w:highlight w:val="none"/>
        </w:rPr>
        <w:t xml:space="preserve">  3</w:t>
      </w:r>
      <w:r>
        <w:rPr>
          <w:color w:val="auto"/>
          <w:highlight w:val="none"/>
          <w:lang w:val="zh-CN"/>
        </w:rPr>
        <w:t>.</w:t>
      </w:r>
      <w:r>
        <w:rPr>
          <w:rFonts w:hint="eastAsia"/>
          <w:color w:val="auto"/>
          <w:highlight w:val="none"/>
        </w:rPr>
        <w:t>1  语言文字</w:t>
      </w:r>
    </w:p>
    <w:p>
      <w:pPr>
        <w:spacing w:line="440" w:lineRule="exact"/>
        <w:ind w:firstLine="480" w:firstLineChars="200"/>
        <w:rPr>
          <w:color w:val="auto"/>
          <w:highlight w:val="none"/>
        </w:rPr>
      </w:pPr>
      <w:r>
        <w:rPr>
          <w:rFonts w:hint="eastAsia"/>
          <w:color w:val="auto"/>
          <w:highlight w:val="none"/>
        </w:rPr>
        <w:t>除本合同专用条款中另有约定，本合同文件使用汉语语言文字书写、解释和说明。如本合同专用条款约定使用两种以上（含两种）语言文字时，汉语应为解释和说明本合同的标准语言文字。</w:t>
      </w:r>
    </w:p>
    <w:p>
      <w:pPr>
        <w:tabs>
          <w:tab w:val="left" w:pos="360"/>
        </w:tabs>
        <w:spacing w:line="440" w:lineRule="exact"/>
        <w:ind w:firstLine="180"/>
        <w:rPr>
          <w:color w:val="auto"/>
          <w:highlight w:val="none"/>
        </w:rPr>
      </w:pPr>
      <w:r>
        <w:rPr>
          <w:rFonts w:hint="eastAsia"/>
          <w:color w:val="auto"/>
          <w:highlight w:val="none"/>
        </w:rPr>
        <w:t xml:space="preserve">  3</w:t>
      </w:r>
      <w:r>
        <w:rPr>
          <w:color w:val="auto"/>
          <w:highlight w:val="none"/>
          <w:lang w:val="zh-CN"/>
        </w:rPr>
        <w:t>.</w:t>
      </w:r>
      <w:r>
        <w:rPr>
          <w:rFonts w:hint="eastAsia"/>
          <w:color w:val="auto"/>
          <w:highlight w:val="none"/>
        </w:rPr>
        <w:t>2 适用法律和行政法规</w:t>
      </w:r>
    </w:p>
    <w:p>
      <w:pPr>
        <w:spacing w:line="440" w:lineRule="exact"/>
        <w:ind w:firstLine="480" w:firstLineChars="200"/>
        <w:rPr>
          <w:color w:val="auto"/>
          <w:highlight w:val="none"/>
        </w:rPr>
      </w:pPr>
      <w:r>
        <w:rPr>
          <w:rFonts w:hint="eastAsia"/>
          <w:color w:val="auto"/>
          <w:highlight w:val="none"/>
        </w:rPr>
        <w:t>本合同文件适用有关法律和行政法规。需要明示的法律和行政法规，双方可在本合同专用条款中约定。</w:t>
      </w:r>
    </w:p>
    <w:p>
      <w:pPr>
        <w:spacing w:line="440" w:lineRule="exact"/>
        <w:rPr>
          <w:b/>
          <w:bCs/>
          <w:color w:val="auto"/>
          <w:highlight w:val="none"/>
        </w:rPr>
      </w:pPr>
      <w:r>
        <w:rPr>
          <w:rFonts w:hint="eastAsia"/>
          <w:color w:val="auto"/>
          <w:highlight w:val="none"/>
        </w:rPr>
        <w:t xml:space="preserve">  　</w:t>
      </w:r>
      <w:r>
        <w:rPr>
          <w:rFonts w:hint="eastAsia"/>
          <w:b/>
          <w:bCs/>
          <w:color w:val="auto"/>
          <w:highlight w:val="none"/>
        </w:rPr>
        <w:t>二、双方一般权利和义务</w:t>
      </w:r>
    </w:p>
    <w:p>
      <w:pPr>
        <w:tabs>
          <w:tab w:val="left" w:pos="360"/>
        </w:tabs>
        <w:spacing w:line="440" w:lineRule="exact"/>
        <w:rPr>
          <w:color w:val="auto"/>
          <w:highlight w:val="none"/>
        </w:rPr>
      </w:pPr>
      <w:r>
        <w:rPr>
          <w:rFonts w:hint="eastAsia"/>
          <w:color w:val="auto"/>
          <w:highlight w:val="none"/>
        </w:rPr>
        <w:t xml:space="preserve">  　4、委托人的义务</w:t>
      </w:r>
    </w:p>
    <w:p>
      <w:pPr>
        <w:spacing w:line="440" w:lineRule="exact"/>
        <w:ind w:firstLine="180"/>
        <w:rPr>
          <w:color w:val="auto"/>
          <w:highlight w:val="none"/>
        </w:rPr>
      </w:pPr>
      <w:r>
        <w:rPr>
          <w:rFonts w:hint="eastAsia"/>
          <w:color w:val="auto"/>
          <w:highlight w:val="none"/>
        </w:rPr>
        <w:t xml:space="preserve">   4</w:t>
      </w:r>
      <w:r>
        <w:rPr>
          <w:color w:val="auto"/>
          <w:highlight w:val="none"/>
          <w:lang w:val="zh-CN"/>
        </w:rPr>
        <w:t>.</w:t>
      </w:r>
      <w:r>
        <w:rPr>
          <w:rFonts w:hint="eastAsia"/>
          <w:color w:val="auto"/>
          <w:highlight w:val="none"/>
        </w:rPr>
        <w:t>1 委托人将委托招标代理工作的具体范围和内容在本合同专用条款中约定。</w:t>
      </w:r>
    </w:p>
    <w:p>
      <w:pPr>
        <w:spacing w:line="440" w:lineRule="exact"/>
        <w:ind w:firstLine="180"/>
        <w:rPr>
          <w:color w:val="auto"/>
          <w:highlight w:val="none"/>
        </w:rPr>
      </w:pPr>
      <w:r>
        <w:rPr>
          <w:rFonts w:hint="eastAsia"/>
          <w:color w:val="auto"/>
          <w:highlight w:val="none"/>
        </w:rPr>
        <w:t xml:space="preserve">   4</w:t>
      </w:r>
      <w:r>
        <w:rPr>
          <w:color w:val="auto"/>
          <w:highlight w:val="none"/>
          <w:lang w:val="zh-CN"/>
        </w:rPr>
        <w:t>.</w:t>
      </w:r>
      <w:r>
        <w:rPr>
          <w:rFonts w:hint="eastAsia"/>
          <w:color w:val="auto"/>
          <w:highlight w:val="none"/>
        </w:rPr>
        <w:t>2 委托人按本合同专用条款约定的内容和时间完成下列工作：</w:t>
      </w:r>
    </w:p>
    <w:p>
      <w:pPr>
        <w:spacing w:line="440" w:lineRule="exact"/>
        <w:rPr>
          <w:color w:val="auto"/>
          <w:highlight w:val="none"/>
        </w:rPr>
      </w:pPr>
      <w:r>
        <w:rPr>
          <w:rFonts w:hint="eastAsia"/>
          <w:color w:val="auto"/>
          <w:highlight w:val="none"/>
        </w:rPr>
        <w:t xml:space="preserve">    （1）向受托人提供本采购项目招标代理业务应具备的相关前期资料（如经财政局审批的采购项目备案表、立项批准手续、资金证明等）落实情况；</w:t>
      </w:r>
    </w:p>
    <w:p>
      <w:pPr>
        <w:spacing w:line="440" w:lineRule="exact"/>
        <w:rPr>
          <w:color w:val="auto"/>
          <w:highlight w:val="none"/>
        </w:rPr>
      </w:pPr>
      <w:r>
        <w:rPr>
          <w:rFonts w:hint="eastAsia"/>
          <w:color w:val="auto"/>
          <w:highlight w:val="none"/>
        </w:rPr>
        <w:t xml:space="preserve">    （2）向受托人提供完成本采购项目招标代理业务所需的全部技术资料，需要交底的须向受托人详细交底，并对提供资料的真实性、完整性、准确性负责；</w:t>
      </w:r>
    </w:p>
    <w:p>
      <w:pPr>
        <w:spacing w:line="440" w:lineRule="exact"/>
        <w:rPr>
          <w:color w:val="auto"/>
          <w:spacing w:val="-18"/>
          <w:highlight w:val="none"/>
        </w:rPr>
      </w:pPr>
      <w:r>
        <w:rPr>
          <w:rFonts w:hint="eastAsia"/>
          <w:color w:val="auto"/>
          <w:highlight w:val="none"/>
        </w:rPr>
        <w:t xml:space="preserve">    </w:t>
      </w:r>
      <w:r>
        <w:rPr>
          <w:rFonts w:hint="eastAsia"/>
          <w:color w:val="auto"/>
          <w:spacing w:val="-18"/>
          <w:highlight w:val="none"/>
        </w:rPr>
        <w:t>（3）向受托人提供保证招标工作顺利完成的条件，提供的条件在本合同专用条款内约定；</w:t>
      </w:r>
    </w:p>
    <w:p>
      <w:pPr>
        <w:spacing w:line="440" w:lineRule="exact"/>
        <w:ind w:firstLine="480" w:firstLineChars="200"/>
        <w:rPr>
          <w:color w:val="auto"/>
          <w:highlight w:val="none"/>
        </w:rPr>
      </w:pPr>
      <w:r>
        <w:rPr>
          <w:rFonts w:hint="eastAsia"/>
          <w:color w:val="auto"/>
          <w:highlight w:val="none"/>
        </w:rPr>
        <w:t>（4）指定专人与受托人联系，指定人员的姓名、职务、职称在本合同专用条款内约定；</w:t>
      </w:r>
    </w:p>
    <w:p>
      <w:pPr>
        <w:spacing w:line="440" w:lineRule="exact"/>
        <w:rPr>
          <w:color w:val="auto"/>
          <w:highlight w:val="none"/>
        </w:rPr>
      </w:pPr>
      <w:r>
        <w:rPr>
          <w:rFonts w:hint="eastAsia"/>
          <w:color w:val="auto"/>
          <w:highlight w:val="none"/>
        </w:rPr>
        <w:t xml:space="preserve">    （5）根据需要，作好与第三方的协调工作；</w:t>
      </w:r>
    </w:p>
    <w:p>
      <w:pPr>
        <w:spacing w:line="440" w:lineRule="exact"/>
        <w:ind w:firstLine="420" w:firstLineChars="175"/>
        <w:rPr>
          <w:color w:val="auto"/>
          <w:highlight w:val="none"/>
        </w:rPr>
      </w:pPr>
      <w:r>
        <w:rPr>
          <w:rFonts w:hint="eastAsia"/>
          <w:color w:val="auto"/>
          <w:highlight w:val="none"/>
        </w:rPr>
        <w:t>（6）按本合同专用条款的约定支付代理报酬；</w:t>
      </w:r>
    </w:p>
    <w:p>
      <w:pPr>
        <w:spacing w:line="440" w:lineRule="exact"/>
        <w:ind w:firstLine="420" w:firstLineChars="175"/>
        <w:rPr>
          <w:color w:val="auto"/>
          <w:highlight w:val="none"/>
        </w:rPr>
      </w:pPr>
      <w:r>
        <w:rPr>
          <w:rFonts w:hint="eastAsia"/>
          <w:color w:val="auto"/>
          <w:highlight w:val="none"/>
        </w:rPr>
        <w:t>（7）依法应尽的其他义务，双方在本合同专用条款内约定。</w:t>
      </w:r>
    </w:p>
    <w:p>
      <w:pPr>
        <w:spacing w:line="440" w:lineRule="exact"/>
        <w:ind w:firstLine="480" w:firstLineChars="200"/>
        <w:rPr>
          <w:color w:val="auto"/>
          <w:highlight w:val="none"/>
        </w:rPr>
      </w:pPr>
      <w:r>
        <w:rPr>
          <w:rFonts w:hint="eastAsia"/>
          <w:color w:val="auto"/>
          <w:highlight w:val="none"/>
        </w:rPr>
        <w:t>4</w:t>
      </w:r>
      <w:r>
        <w:rPr>
          <w:color w:val="auto"/>
          <w:highlight w:val="none"/>
          <w:lang w:val="zh-CN"/>
        </w:rPr>
        <w:t>.</w:t>
      </w:r>
      <w:r>
        <w:rPr>
          <w:rFonts w:hint="eastAsia"/>
          <w:color w:val="auto"/>
          <w:highlight w:val="none"/>
        </w:rPr>
        <w:t>3受托人在履行招标代理业务过程中，提出的超出招标代理范围的合理化建议，经委托人同意并取得经济效益，委托人应向受托人支付一定的经济奖励。</w:t>
      </w:r>
    </w:p>
    <w:p>
      <w:pPr>
        <w:spacing w:line="440" w:lineRule="exact"/>
        <w:rPr>
          <w:color w:val="auto"/>
          <w:highlight w:val="none"/>
        </w:rPr>
      </w:pPr>
      <w:r>
        <w:rPr>
          <w:rFonts w:hint="eastAsia"/>
          <w:color w:val="auto"/>
          <w:highlight w:val="none"/>
        </w:rPr>
        <w:t xml:space="preserve">    4</w:t>
      </w:r>
      <w:r>
        <w:rPr>
          <w:color w:val="auto"/>
          <w:highlight w:val="none"/>
          <w:lang w:val="zh-CN"/>
        </w:rPr>
        <w:t>.</w:t>
      </w:r>
      <w:r>
        <w:rPr>
          <w:rFonts w:hint="eastAsia"/>
          <w:color w:val="auto"/>
          <w:highlight w:val="none"/>
        </w:rPr>
        <w:t>4 委托人负有对受托人为本合同提供的技术服务进行知识产权保护的责任。</w:t>
      </w:r>
    </w:p>
    <w:p>
      <w:pPr>
        <w:spacing w:line="440" w:lineRule="exact"/>
        <w:rPr>
          <w:color w:val="auto"/>
          <w:spacing w:val="-18"/>
          <w:highlight w:val="none"/>
        </w:rPr>
      </w:pPr>
      <w:r>
        <w:rPr>
          <w:rFonts w:hint="eastAsia"/>
          <w:color w:val="auto"/>
          <w:highlight w:val="none"/>
        </w:rPr>
        <w:t xml:space="preserve">    </w:t>
      </w:r>
      <w:r>
        <w:rPr>
          <w:rFonts w:hint="eastAsia"/>
          <w:color w:val="auto"/>
          <w:spacing w:val="-18"/>
          <w:highlight w:val="none"/>
        </w:rPr>
        <w:t>4</w:t>
      </w:r>
      <w:r>
        <w:rPr>
          <w:color w:val="auto"/>
          <w:spacing w:val="-18"/>
          <w:highlight w:val="none"/>
          <w:lang w:val="zh-CN"/>
        </w:rPr>
        <w:t>.</w:t>
      </w:r>
      <w:r>
        <w:rPr>
          <w:rFonts w:hint="eastAsia"/>
          <w:color w:val="auto"/>
          <w:spacing w:val="-18"/>
          <w:highlight w:val="none"/>
        </w:rPr>
        <w:t>5</w:t>
      </w:r>
      <w:r>
        <w:rPr>
          <w:rFonts w:hint="eastAsia"/>
          <w:color w:val="auto"/>
          <w:highlight w:val="none"/>
        </w:rPr>
        <w:t>委托人未能履行以上各项义务，给受托人造成损失的，应当赔偿受托人的有关损失。</w:t>
      </w:r>
    </w:p>
    <w:p>
      <w:pPr>
        <w:tabs>
          <w:tab w:val="left" w:pos="360"/>
        </w:tabs>
        <w:spacing w:line="440" w:lineRule="exact"/>
        <w:ind w:firstLine="480" w:firstLineChars="200"/>
        <w:rPr>
          <w:color w:val="auto"/>
          <w:highlight w:val="none"/>
        </w:rPr>
      </w:pPr>
      <w:r>
        <w:rPr>
          <w:rFonts w:hint="eastAsia"/>
          <w:color w:val="auto"/>
          <w:highlight w:val="none"/>
        </w:rPr>
        <w:t>5、受托人的义务</w:t>
      </w:r>
    </w:p>
    <w:p>
      <w:pPr>
        <w:tabs>
          <w:tab w:val="left" w:pos="360"/>
        </w:tabs>
        <w:spacing w:line="440" w:lineRule="exact"/>
        <w:rPr>
          <w:color w:val="auto"/>
          <w:highlight w:val="none"/>
        </w:rPr>
      </w:pPr>
      <w:r>
        <w:rPr>
          <w:rFonts w:hint="eastAsia"/>
          <w:color w:val="auto"/>
          <w:highlight w:val="none"/>
        </w:rPr>
        <w:t xml:space="preserve">    5</w:t>
      </w:r>
      <w:r>
        <w:rPr>
          <w:color w:val="auto"/>
          <w:highlight w:val="none"/>
          <w:lang w:val="zh-CN"/>
        </w:rPr>
        <w:t>.</w:t>
      </w:r>
      <w:r>
        <w:rPr>
          <w:rFonts w:hint="eastAsia"/>
          <w:color w:val="auto"/>
          <w:highlight w:val="none"/>
        </w:rPr>
        <w:t>1受托人应根据本合同专用条款中约定的委托招标代理业务的工作范围和内容，选择有足够经验的专职技术经济人员担任招标代理项目负责人。招标代理项目负责人的姓名、身份证号在专用条款内写明。</w:t>
      </w:r>
    </w:p>
    <w:p>
      <w:pPr>
        <w:tabs>
          <w:tab w:val="left" w:pos="360"/>
        </w:tabs>
        <w:spacing w:line="440" w:lineRule="exact"/>
        <w:ind w:firstLine="180"/>
        <w:rPr>
          <w:color w:val="auto"/>
          <w:highlight w:val="none"/>
        </w:rPr>
      </w:pPr>
      <w:r>
        <w:rPr>
          <w:rFonts w:hint="eastAsia"/>
          <w:color w:val="auto"/>
          <w:highlight w:val="none"/>
        </w:rPr>
        <w:t xml:space="preserve">  5</w:t>
      </w:r>
      <w:r>
        <w:rPr>
          <w:color w:val="auto"/>
          <w:highlight w:val="none"/>
          <w:lang w:val="zh-CN"/>
        </w:rPr>
        <w:t>.</w:t>
      </w:r>
      <w:r>
        <w:rPr>
          <w:rFonts w:hint="eastAsia"/>
          <w:color w:val="auto"/>
          <w:highlight w:val="none"/>
        </w:rPr>
        <w:t>2受托人按本合同专用条款约定的内容和时间完成下列工作：</w:t>
      </w:r>
    </w:p>
    <w:p>
      <w:pPr>
        <w:spacing w:line="440" w:lineRule="exact"/>
        <w:ind w:firstLine="240"/>
        <w:rPr>
          <w:color w:val="auto"/>
          <w:spacing w:val="-18"/>
          <w:highlight w:val="none"/>
        </w:rPr>
      </w:pPr>
      <w:r>
        <w:rPr>
          <w:rFonts w:hint="eastAsia"/>
          <w:color w:val="auto"/>
          <w:highlight w:val="none"/>
        </w:rPr>
        <w:t xml:space="preserve"> </w:t>
      </w:r>
      <w:r>
        <w:rPr>
          <w:rFonts w:hint="eastAsia"/>
          <w:color w:val="auto"/>
          <w:spacing w:val="-18"/>
          <w:highlight w:val="none"/>
        </w:rPr>
        <w:t>（1）依法按照公开、公平、公正和诚实信用原则， 组织招标工作，维护各方的合法权益；</w:t>
      </w:r>
    </w:p>
    <w:p>
      <w:pPr>
        <w:spacing w:line="440" w:lineRule="exact"/>
        <w:ind w:firstLine="240"/>
        <w:rPr>
          <w:color w:val="auto"/>
          <w:highlight w:val="none"/>
        </w:rPr>
      </w:pPr>
      <w:r>
        <w:rPr>
          <w:rFonts w:hint="eastAsia"/>
          <w:color w:val="auto"/>
          <w:highlight w:val="none"/>
        </w:rPr>
        <w:t xml:space="preserve"> （2）应用专业技术与技能为委托人提供完成招标工作相关的咨询服务；</w:t>
      </w:r>
    </w:p>
    <w:p>
      <w:pPr>
        <w:spacing w:line="440" w:lineRule="exact"/>
        <w:ind w:firstLine="240"/>
        <w:rPr>
          <w:color w:val="auto"/>
          <w:highlight w:val="none"/>
        </w:rPr>
      </w:pPr>
      <w:r>
        <w:rPr>
          <w:rFonts w:hint="eastAsia"/>
          <w:color w:val="auto"/>
          <w:highlight w:val="none"/>
        </w:rPr>
        <w:t xml:space="preserve"> （3）向委托人宣传有关采购项目招标的法律、行政法规和规章，解释合理的招标程序，  以便得到委托人的支持和配合；</w:t>
      </w:r>
    </w:p>
    <w:p>
      <w:pPr>
        <w:spacing w:line="440" w:lineRule="exact"/>
        <w:ind w:firstLine="240"/>
        <w:rPr>
          <w:color w:val="auto"/>
          <w:highlight w:val="none"/>
        </w:rPr>
      </w:pPr>
      <w:r>
        <w:rPr>
          <w:rFonts w:hint="eastAsia"/>
          <w:color w:val="auto"/>
          <w:highlight w:val="none"/>
        </w:rPr>
        <w:t xml:space="preserve"> （4）依法应尽的其他义务，双方在本合同专用条款内约定。</w:t>
      </w:r>
    </w:p>
    <w:p>
      <w:pPr>
        <w:tabs>
          <w:tab w:val="left" w:pos="360"/>
        </w:tabs>
        <w:spacing w:line="440" w:lineRule="exact"/>
        <w:rPr>
          <w:color w:val="auto"/>
          <w:highlight w:val="none"/>
        </w:rPr>
      </w:pPr>
      <w:r>
        <w:rPr>
          <w:rFonts w:hint="eastAsia"/>
          <w:color w:val="auto"/>
          <w:highlight w:val="none"/>
        </w:rPr>
        <w:t xml:space="preserve">    5</w:t>
      </w:r>
      <w:r>
        <w:rPr>
          <w:color w:val="auto"/>
          <w:highlight w:val="none"/>
          <w:lang w:val="zh-CN"/>
        </w:rPr>
        <w:t>.</w:t>
      </w:r>
      <w:r>
        <w:rPr>
          <w:rFonts w:hint="eastAsia"/>
          <w:color w:val="auto"/>
          <w:highlight w:val="none"/>
        </w:rPr>
        <w:t>3受托人应对招标工作中受托人所出具有关数据的计算、技术经济资料等的科学性和准确性负责。</w:t>
      </w:r>
    </w:p>
    <w:p>
      <w:pPr>
        <w:spacing w:line="440" w:lineRule="exact"/>
        <w:rPr>
          <w:color w:val="auto"/>
          <w:spacing w:val="-18"/>
          <w:highlight w:val="none"/>
        </w:rPr>
      </w:pPr>
      <w:r>
        <w:rPr>
          <w:rFonts w:hint="eastAsia"/>
          <w:color w:val="auto"/>
          <w:highlight w:val="none"/>
        </w:rPr>
        <w:t xml:space="preserve">    </w:t>
      </w:r>
      <w:r>
        <w:rPr>
          <w:rFonts w:hint="eastAsia"/>
          <w:color w:val="auto"/>
          <w:spacing w:val="-18"/>
          <w:highlight w:val="none"/>
        </w:rPr>
        <w:t>5</w:t>
      </w:r>
      <w:r>
        <w:rPr>
          <w:color w:val="auto"/>
          <w:spacing w:val="-18"/>
          <w:highlight w:val="none"/>
          <w:lang w:val="zh-CN"/>
        </w:rPr>
        <w:t>.</w:t>
      </w:r>
      <w:r>
        <w:rPr>
          <w:rFonts w:hint="eastAsia"/>
          <w:color w:val="auto"/>
          <w:spacing w:val="-18"/>
          <w:highlight w:val="none"/>
        </w:rPr>
        <w:t>4受托人不得接受与本合同政府采购项目中委托招标范围之内的相关的投标咨询业务。</w:t>
      </w:r>
    </w:p>
    <w:p>
      <w:pPr>
        <w:spacing w:line="440" w:lineRule="exact"/>
        <w:rPr>
          <w:color w:val="auto"/>
          <w:highlight w:val="none"/>
        </w:rPr>
      </w:pPr>
      <w:r>
        <w:rPr>
          <w:rFonts w:hint="eastAsia"/>
          <w:color w:val="auto"/>
          <w:highlight w:val="none"/>
        </w:rPr>
        <w:t xml:space="preserve">    5</w:t>
      </w:r>
      <w:r>
        <w:rPr>
          <w:color w:val="auto"/>
          <w:highlight w:val="none"/>
          <w:lang w:val="zh-CN"/>
        </w:rPr>
        <w:t>.</w:t>
      </w:r>
      <w:r>
        <w:rPr>
          <w:rFonts w:hint="eastAsia"/>
          <w:color w:val="auto"/>
          <w:highlight w:val="none"/>
        </w:rPr>
        <w:t>5受托人为本合同提供技术服务的知识产权应属受托人专有。任何第三方如果提出侵权指控，受托人须与第三方交涉并承担由此而引起的一切法律责任和费用。</w:t>
      </w:r>
    </w:p>
    <w:p>
      <w:pPr>
        <w:spacing w:line="440" w:lineRule="exact"/>
        <w:rPr>
          <w:color w:val="auto"/>
          <w:highlight w:val="none"/>
        </w:rPr>
      </w:pPr>
      <w:r>
        <w:rPr>
          <w:rFonts w:hint="eastAsia"/>
          <w:color w:val="auto"/>
          <w:highlight w:val="none"/>
        </w:rPr>
        <w:t xml:space="preserve">    5</w:t>
      </w:r>
      <w:r>
        <w:rPr>
          <w:color w:val="auto"/>
          <w:highlight w:val="none"/>
          <w:lang w:val="zh-CN"/>
        </w:rPr>
        <w:t>.</w:t>
      </w:r>
      <w:r>
        <w:rPr>
          <w:rFonts w:hint="eastAsia"/>
          <w:color w:val="auto"/>
          <w:highlight w:val="none"/>
        </w:rPr>
        <w:t>6 未经委托人同意，受托人不得分包或转让本合同的任何权利和义务。</w:t>
      </w:r>
    </w:p>
    <w:p>
      <w:pPr>
        <w:spacing w:line="440" w:lineRule="exact"/>
        <w:rPr>
          <w:color w:val="auto"/>
          <w:highlight w:val="none"/>
        </w:rPr>
      </w:pPr>
      <w:r>
        <w:rPr>
          <w:rFonts w:hint="eastAsia"/>
          <w:color w:val="auto"/>
          <w:highlight w:val="none"/>
        </w:rPr>
        <w:t xml:space="preserve">    5</w:t>
      </w:r>
      <w:r>
        <w:rPr>
          <w:color w:val="auto"/>
          <w:highlight w:val="none"/>
          <w:lang w:val="zh-CN"/>
        </w:rPr>
        <w:t>.</w:t>
      </w:r>
      <w:r>
        <w:rPr>
          <w:rFonts w:hint="eastAsia"/>
          <w:color w:val="auto"/>
          <w:highlight w:val="none"/>
        </w:rPr>
        <w:t>7受托人不得接受所有投标人的礼品、宴请和任何其它好处，不得泄露招标、评标、定标过程中依法需要保密的内容。合同终止后，未经委托人同意，受托人不得泄漏与本合同采购项目相关的任何招标资料和情况。</w:t>
      </w:r>
    </w:p>
    <w:p>
      <w:pPr>
        <w:spacing w:line="440" w:lineRule="exact"/>
        <w:rPr>
          <w:color w:val="auto"/>
          <w:spacing w:val="-18"/>
          <w:highlight w:val="none"/>
        </w:rPr>
      </w:pPr>
      <w:r>
        <w:rPr>
          <w:rFonts w:hint="eastAsia"/>
          <w:color w:val="auto"/>
          <w:highlight w:val="none"/>
        </w:rPr>
        <w:t xml:space="preserve">    </w:t>
      </w:r>
      <w:r>
        <w:rPr>
          <w:rFonts w:hint="eastAsia"/>
          <w:color w:val="auto"/>
          <w:spacing w:val="-18"/>
          <w:highlight w:val="none"/>
        </w:rPr>
        <w:t>5</w:t>
      </w:r>
      <w:r>
        <w:rPr>
          <w:color w:val="auto"/>
          <w:spacing w:val="-18"/>
          <w:highlight w:val="none"/>
          <w:lang w:val="zh-CN"/>
        </w:rPr>
        <w:t>.</w:t>
      </w:r>
      <w:r>
        <w:rPr>
          <w:rFonts w:hint="eastAsia"/>
          <w:color w:val="auto"/>
          <w:spacing w:val="-18"/>
          <w:highlight w:val="none"/>
        </w:rPr>
        <w:t>8受托人未能履行以上各项义务，给委托人造成损失的，应当赔偿委托人的有关损失。</w:t>
      </w:r>
    </w:p>
    <w:p>
      <w:pPr>
        <w:spacing w:line="440" w:lineRule="exact"/>
        <w:rPr>
          <w:color w:val="auto"/>
          <w:highlight w:val="none"/>
        </w:rPr>
      </w:pPr>
      <w:r>
        <w:rPr>
          <w:rFonts w:hint="eastAsia"/>
          <w:color w:val="auto"/>
          <w:highlight w:val="none"/>
        </w:rPr>
        <w:t xml:space="preserve">    6、委托人的权利</w:t>
      </w:r>
    </w:p>
    <w:p>
      <w:pPr>
        <w:spacing w:line="440" w:lineRule="exact"/>
        <w:rPr>
          <w:color w:val="auto"/>
          <w:highlight w:val="none"/>
        </w:rPr>
      </w:pPr>
      <w:r>
        <w:rPr>
          <w:rFonts w:hint="eastAsia"/>
          <w:color w:val="auto"/>
          <w:highlight w:val="none"/>
        </w:rPr>
        <w:t xml:space="preserve">    6</w:t>
      </w:r>
      <w:r>
        <w:rPr>
          <w:color w:val="auto"/>
          <w:highlight w:val="none"/>
          <w:lang w:val="zh-CN"/>
        </w:rPr>
        <w:t>.</w:t>
      </w:r>
      <w:r>
        <w:rPr>
          <w:rFonts w:hint="eastAsia"/>
          <w:color w:val="auto"/>
          <w:highlight w:val="none"/>
        </w:rPr>
        <w:t>1委托人拥有下列权利：</w:t>
      </w:r>
    </w:p>
    <w:p>
      <w:pPr>
        <w:spacing w:line="440" w:lineRule="exact"/>
        <w:rPr>
          <w:color w:val="auto"/>
          <w:highlight w:val="none"/>
        </w:rPr>
      </w:pPr>
      <w:r>
        <w:rPr>
          <w:rFonts w:hint="eastAsia"/>
          <w:color w:val="auto"/>
          <w:highlight w:val="none"/>
        </w:rPr>
        <w:t xml:space="preserve">    （1）按合同约定，接收招标代理成果；</w:t>
      </w:r>
    </w:p>
    <w:p>
      <w:pPr>
        <w:spacing w:line="440" w:lineRule="exact"/>
        <w:rPr>
          <w:color w:val="auto"/>
          <w:highlight w:val="none"/>
        </w:rPr>
      </w:pPr>
      <w:r>
        <w:rPr>
          <w:rFonts w:hint="eastAsia"/>
          <w:color w:val="auto"/>
          <w:highlight w:val="none"/>
        </w:rPr>
        <w:t xml:space="preserve">    （2）向受托人询问本合同政府采购项目招标工作进展情况和相关内容或提出不违反法律、行政法规的建议；</w:t>
      </w:r>
    </w:p>
    <w:p>
      <w:pPr>
        <w:spacing w:line="440" w:lineRule="exact"/>
        <w:rPr>
          <w:color w:val="auto"/>
          <w:highlight w:val="none"/>
        </w:rPr>
      </w:pPr>
      <w:r>
        <w:rPr>
          <w:rFonts w:hint="eastAsia"/>
          <w:color w:val="auto"/>
          <w:highlight w:val="none"/>
        </w:rPr>
        <w:t xml:space="preserve">    （3）审查受托人为本合同政府采购项目编制的各种文件，并提出修正意见；</w:t>
      </w:r>
    </w:p>
    <w:p>
      <w:pPr>
        <w:spacing w:line="440" w:lineRule="exact"/>
        <w:rPr>
          <w:color w:val="auto"/>
          <w:highlight w:val="none"/>
        </w:rPr>
      </w:pPr>
      <w:r>
        <w:rPr>
          <w:rFonts w:hint="eastAsia"/>
          <w:color w:val="auto"/>
          <w:highlight w:val="none"/>
        </w:rPr>
        <w:t xml:space="preserve">    （4）要求受托人提交招标代理业务工作报告；</w:t>
      </w:r>
    </w:p>
    <w:p>
      <w:pPr>
        <w:spacing w:line="440" w:lineRule="exact"/>
        <w:rPr>
          <w:color w:val="auto"/>
          <w:highlight w:val="none"/>
        </w:rPr>
      </w:pPr>
      <w:r>
        <w:rPr>
          <w:rFonts w:hint="eastAsia"/>
          <w:color w:val="auto"/>
          <w:highlight w:val="none"/>
        </w:rPr>
        <w:t xml:space="preserve">    （5）与受托人协商，建议更换其不称职的招标代理从业人员；</w:t>
      </w:r>
    </w:p>
    <w:p>
      <w:pPr>
        <w:spacing w:line="440" w:lineRule="exact"/>
        <w:rPr>
          <w:color w:val="auto"/>
          <w:highlight w:val="none"/>
        </w:rPr>
      </w:pPr>
      <w:r>
        <w:rPr>
          <w:rFonts w:hint="eastAsia"/>
          <w:color w:val="auto"/>
          <w:highlight w:val="none"/>
        </w:rPr>
        <w:t xml:space="preserve">    （6）依法选择中标人；</w:t>
      </w:r>
    </w:p>
    <w:p>
      <w:pPr>
        <w:spacing w:line="440" w:lineRule="exact"/>
        <w:rPr>
          <w:color w:val="auto"/>
          <w:highlight w:val="none"/>
        </w:rPr>
      </w:pPr>
      <w:r>
        <w:rPr>
          <w:rFonts w:hint="eastAsia"/>
          <w:color w:val="auto"/>
          <w:highlight w:val="none"/>
        </w:rPr>
        <w:t xml:space="preserve">    （7）本合同履行期间，由于受托人不履行合同约定的内容，给委托人造成损失或影响招标工作正常进行的，委托人有权终止本合同，并依法向受托人追索经济赔偿，直至追究法律责任；</w:t>
      </w:r>
    </w:p>
    <w:p>
      <w:pPr>
        <w:spacing w:line="440" w:lineRule="exact"/>
        <w:rPr>
          <w:color w:val="auto"/>
          <w:highlight w:val="none"/>
        </w:rPr>
      </w:pPr>
      <w:r>
        <w:rPr>
          <w:rFonts w:hint="eastAsia"/>
          <w:color w:val="auto"/>
          <w:highlight w:val="none"/>
        </w:rPr>
        <w:t xml:space="preserve">    （8）依法享有的其他权利，双方在本合同专用条款内约定。</w:t>
      </w:r>
    </w:p>
    <w:p>
      <w:pPr>
        <w:spacing w:line="440" w:lineRule="exact"/>
        <w:ind w:firstLine="480" w:firstLineChars="200"/>
        <w:rPr>
          <w:color w:val="auto"/>
          <w:highlight w:val="none"/>
        </w:rPr>
      </w:pPr>
      <w:r>
        <w:rPr>
          <w:rFonts w:hint="eastAsia"/>
          <w:color w:val="auto"/>
          <w:highlight w:val="none"/>
        </w:rPr>
        <w:t>7、受托人的权利</w:t>
      </w:r>
    </w:p>
    <w:p>
      <w:pPr>
        <w:spacing w:line="440" w:lineRule="exact"/>
        <w:ind w:firstLine="480" w:firstLineChars="200"/>
        <w:rPr>
          <w:color w:val="auto"/>
          <w:highlight w:val="none"/>
        </w:rPr>
      </w:pPr>
      <w:r>
        <w:rPr>
          <w:rFonts w:hint="eastAsia"/>
          <w:color w:val="auto"/>
          <w:highlight w:val="none"/>
        </w:rPr>
        <w:t>7</w:t>
      </w:r>
      <w:r>
        <w:rPr>
          <w:color w:val="auto"/>
          <w:highlight w:val="none"/>
          <w:lang w:val="zh-CN"/>
        </w:rPr>
        <w:t>.</w:t>
      </w:r>
      <w:r>
        <w:rPr>
          <w:rFonts w:hint="eastAsia"/>
          <w:color w:val="auto"/>
          <w:highlight w:val="none"/>
        </w:rPr>
        <w:t>1受托人拥有下列权利：</w:t>
      </w:r>
    </w:p>
    <w:p>
      <w:pPr>
        <w:spacing w:line="440" w:lineRule="exact"/>
        <w:ind w:firstLine="480" w:firstLineChars="200"/>
        <w:rPr>
          <w:color w:val="auto"/>
          <w:highlight w:val="none"/>
        </w:rPr>
      </w:pPr>
      <w:r>
        <w:rPr>
          <w:rFonts w:hint="eastAsia"/>
          <w:color w:val="auto"/>
          <w:highlight w:val="none"/>
        </w:rPr>
        <w:t>（1）按合同约定收取委托代理报酬；</w:t>
      </w:r>
    </w:p>
    <w:p>
      <w:pPr>
        <w:spacing w:line="440" w:lineRule="exact"/>
        <w:ind w:firstLine="480" w:firstLineChars="200"/>
        <w:rPr>
          <w:color w:val="auto"/>
          <w:highlight w:val="none"/>
        </w:rPr>
      </w:pPr>
      <w:r>
        <w:rPr>
          <w:rFonts w:hint="eastAsia"/>
          <w:color w:val="auto"/>
          <w:highlight w:val="none"/>
        </w:rPr>
        <w:t>（2）对招标过程中应由委托人做出的决定，受托人有权提出建议；</w:t>
      </w:r>
    </w:p>
    <w:p>
      <w:pPr>
        <w:spacing w:line="440" w:lineRule="exact"/>
        <w:ind w:firstLine="408" w:firstLineChars="200"/>
        <w:rPr>
          <w:color w:val="auto"/>
          <w:spacing w:val="-18"/>
          <w:highlight w:val="none"/>
        </w:rPr>
      </w:pPr>
      <w:r>
        <w:rPr>
          <w:rFonts w:hint="eastAsia"/>
          <w:color w:val="auto"/>
          <w:spacing w:val="-18"/>
          <w:highlight w:val="none"/>
        </w:rPr>
        <w:t>（3）当委托人提供的资料不足或不明确时，有权要求委托人补足资料或作出明确的答复；</w:t>
      </w:r>
    </w:p>
    <w:p>
      <w:pPr>
        <w:spacing w:line="440" w:lineRule="exact"/>
        <w:rPr>
          <w:color w:val="auto"/>
          <w:highlight w:val="none"/>
        </w:rPr>
      </w:pPr>
      <w:r>
        <w:rPr>
          <w:rFonts w:hint="eastAsia"/>
          <w:color w:val="auto"/>
          <w:highlight w:val="none"/>
        </w:rPr>
        <w:t xml:space="preserve">    （4）拒绝委托人提出的违反法律、行政法规的要求，并向委托人作出解释；</w:t>
      </w:r>
    </w:p>
    <w:p>
      <w:pPr>
        <w:spacing w:line="440" w:lineRule="exact"/>
        <w:rPr>
          <w:color w:val="auto"/>
          <w:highlight w:val="none"/>
        </w:rPr>
      </w:pPr>
      <w:r>
        <w:rPr>
          <w:rFonts w:hint="eastAsia"/>
          <w:color w:val="auto"/>
          <w:highlight w:val="none"/>
        </w:rPr>
        <w:t xml:space="preserve">    （5）有权参加委托人组织的涉及招标工作的所有会议和活动；    </w:t>
      </w:r>
    </w:p>
    <w:p>
      <w:pPr>
        <w:spacing w:line="440" w:lineRule="exact"/>
        <w:rPr>
          <w:color w:val="auto"/>
          <w:highlight w:val="none"/>
        </w:rPr>
      </w:pPr>
      <w:r>
        <w:rPr>
          <w:rFonts w:hint="eastAsia"/>
          <w:color w:val="auto"/>
          <w:highlight w:val="none"/>
        </w:rPr>
        <w:t xml:space="preserve">    （6）对于为本合同政府采购项目编制的所有文件拥有知识产权，委托人仅有使用或复制的权利；</w:t>
      </w:r>
    </w:p>
    <w:p>
      <w:pPr>
        <w:spacing w:line="440" w:lineRule="exact"/>
        <w:ind w:firstLine="480"/>
        <w:rPr>
          <w:color w:val="auto"/>
          <w:highlight w:val="none"/>
        </w:rPr>
      </w:pPr>
      <w:r>
        <w:rPr>
          <w:rFonts w:hint="eastAsia"/>
          <w:color w:val="auto"/>
          <w:highlight w:val="none"/>
        </w:rPr>
        <w:t>（7）依法享有的其他权利，双方在本合同专用条款内约定。</w:t>
      </w:r>
    </w:p>
    <w:p>
      <w:pPr>
        <w:spacing w:line="440" w:lineRule="exact"/>
        <w:ind w:firstLine="480"/>
        <w:rPr>
          <w:b/>
          <w:bCs/>
          <w:color w:val="auto"/>
          <w:highlight w:val="none"/>
        </w:rPr>
      </w:pPr>
      <w:r>
        <w:rPr>
          <w:rFonts w:hint="eastAsia"/>
          <w:b/>
          <w:bCs/>
          <w:color w:val="auto"/>
          <w:highlight w:val="none"/>
        </w:rPr>
        <w:t>三、委托代理报酬与收取</w:t>
      </w:r>
    </w:p>
    <w:p>
      <w:pPr>
        <w:spacing w:line="440" w:lineRule="exact"/>
        <w:ind w:firstLine="480" w:firstLineChars="200"/>
        <w:rPr>
          <w:color w:val="auto"/>
          <w:highlight w:val="none"/>
        </w:rPr>
      </w:pPr>
      <w:r>
        <w:rPr>
          <w:rFonts w:hint="eastAsia"/>
          <w:color w:val="auto"/>
          <w:highlight w:val="none"/>
        </w:rPr>
        <w:t>8、委托代理报酬</w:t>
      </w:r>
    </w:p>
    <w:p>
      <w:pPr>
        <w:tabs>
          <w:tab w:val="left" w:pos="540"/>
        </w:tabs>
        <w:spacing w:line="440" w:lineRule="exact"/>
        <w:ind w:firstLine="240"/>
        <w:rPr>
          <w:color w:val="auto"/>
          <w:highlight w:val="none"/>
        </w:rPr>
      </w:pPr>
      <w:r>
        <w:rPr>
          <w:rFonts w:hint="eastAsia"/>
          <w:color w:val="auto"/>
          <w:highlight w:val="none"/>
        </w:rPr>
        <w:t xml:space="preserve">  8</w:t>
      </w:r>
      <w:r>
        <w:rPr>
          <w:color w:val="auto"/>
          <w:highlight w:val="none"/>
          <w:lang w:val="zh-CN"/>
        </w:rPr>
        <w:t>.</w:t>
      </w:r>
      <w:r>
        <w:rPr>
          <w:rFonts w:hint="eastAsia"/>
          <w:color w:val="auto"/>
          <w:highlight w:val="none"/>
        </w:rPr>
        <w:t xml:space="preserve">1双方按照本合同约定的招标代理业务范围，在本合同专用条款内约定委托代理报酬的计算方法、金额、币种、汇率和支付方式、支付时间。   </w:t>
      </w:r>
    </w:p>
    <w:p>
      <w:pPr>
        <w:spacing w:line="440" w:lineRule="exact"/>
        <w:ind w:firstLine="240"/>
        <w:rPr>
          <w:color w:val="auto"/>
          <w:highlight w:val="none"/>
        </w:rPr>
      </w:pPr>
      <w:r>
        <w:rPr>
          <w:rFonts w:hint="eastAsia"/>
          <w:color w:val="auto"/>
          <w:highlight w:val="none"/>
        </w:rPr>
        <w:t xml:space="preserve">  8</w:t>
      </w:r>
      <w:r>
        <w:rPr>
          <w:color w:val="auto"/>
          <w:highlight w:val="none"/>
          <w:lang w:val="zh-CN"/>
        </w:rPr>
        <w:t>.</w:t>
      </w:r>
      <w:r>
        <w:rPr>
          <w:rFonts w:hint="eastAsia"/>
          <w:color w:val="auto"/>
          <w:highlight w:val="none"/>
        </w:rPr>
        <w:t>2受托人对所承接的招标代理业务需要出外考察的，其外出人员数量和费用，经委托人同意后，向委托人实报实销。</w:t>
      </w:r>
    </w:p>
    <w:p>
      <w:pPr>
        <w:spacing w:line="440" w:lineRule="exact"/>
        <w:ind w:firstLine="240"/>
        <w:rPr>
          <w:color w:val="auto"/>
          <w:highlight w:val="none"/>
        </w:rPr>
      </w:pPr>
      <w:r>
        <w:rPr>
          <w:rFonts w:hint="eastAsia"/>
          <w:color w:val="auto"/>
          <w:highlight w:val="none"/>
        </w:rPr>
        <w:t xml:space="preserve">  8</w:t>
      </w:r>
      <w:r>
        <w:rPr>
          <w:color w:val="auto"/>
          <w:highlight w:val="none"/>
          <w:lang w:val="zh-CN"/>
        </w:rPr>
        <w:t>.</w:t>
      </w:r>
      <w:r>
        <w:rPr>
          <w:rFonts w:hint="eastAsia"/>
          <w:color w:val="auto"/>
          <w:highlight w:val="none"/>
        </w:rPr>
        <w:t>3在招标代理业务范围内所发生的费用（如：评标会务费、评标专家的差旅费、劳务费、公证费等），由委托人与受托人在补充条款中约定。</w:t>
      </w:r>
    </w:p>
    <w:p>
      <w:pPr>
        <w:spacing w:line="440" w:lineRule="exact"/>
        <w:ind w:firstLine="240"/>
        <w:rPr>
          <w:color w:val="auto"/>
          <w:highlight w:val="none"/>
        </w:rPr>
      </w:pPr>
      <w:r>
        <w:rPr>
          <w:rFonts w:hint="eastAsia"/>
          <w:color w:val="auto"/>
          <w:highlight w:val="none"/>
        </w:rPr>
        <w:t xml:space="preserve">  9、委托代理报酬的收取</w:t>
      </w:r>
    </w:p>
    <w:p>
      <w:pPr>
        <w:spacing w:line="440" w:lineRule="exact"/>
        <w:ind w:firstLine="240"/>
        <w:rPr>
          <w:color w:val="auto"/>
          <w:highlight w:val="none"/>
        </w:rPr>
      </w:pPr>
      <w:r>
        <w:rPr>
          <w:rFonts w:hint="eastAsia"/>
          <w:color w:val="auto"/>
          <w:highlight w:val="none"/>
        </w:rPr>
        <w:t xml:space="preserve">  9</w:t>
      </w:r>
      <w:r>
        <w:rPr>
          <w:color w:val="auto"/>
          <w:highlight w:val="none"/>
          <w:lang w:val="zh-CN"/>
        </w:rPr>
        <w:t>.</w:t>
      </w:r>
      <w:r>
        <w:rPr>
          <w:rFonts w:hint="eastAsia"/>
          <w:color w:val="auto"/>
          <w:highlight w:val="none"/>
        </w:rPr>
        <w:t>1由委托人支付代理报酬的，具体额度（或比例）双方在专用条款内约定。</w:t>
      </w:r>
    </w:p>
    <w:p>
      <w:pPr>
        <w:spacing w:line="440" w:lineRule="exact"/>
        <w:ind w:firstLine="240"/>
        <w:rPr>
          <w:color w:val="auto"/>
          <w:highlight w:val="none"/>
        </w:rPr>
      </w:pPr>
      <w:r>
        <w:rPr>
          <w:rFonts w:hint="eastAsia"/>
          <w:color w:val="auto"/>
          <w:highlight w:val="none"/>
        </w:rPr>
        <w:t xml:space="preserve">  由中标人支付代理报酬的，在中标人与委托人签订承包合同5日内，将本合同约定的全部委托代理报酬一次性支付给受托人。</w:t>
      </w:r>
    </w:p>
    <w:p>
      <w:pPr>
        <w:spacing w:line="440" w:lineRule="exact"/>
        <w:ind w:firstLine="240"/>
        <w:rPr>
          <w:color w:val="auto"/>
          <w:highlight w:val="none"/>
        </w:rPr>
      </w:pPr>
      <w:r>
        <w:rPr>
          <w:rFonts w:hint="eastAsia"/>
          <w:color w:val="auto"/>
          <w:highlight w:val="none"/>
        </w:rPr>
        <w:t xml:space="preserve">  9</w:t>
      </w:r>
      <w:r>
        <w:rPr>
          <w:color w:val="auto"/>
          <w:highlight w:val="none"/>
          <w:lang w:val="zh-CN"/>
        </w:rPr>
        <w:t>.</w:t>
      </w:r>
      <w:r>
        <w:rPr>
          <w:rFonts w:hint="eastAsia"/>
          <w:color w:val="auto"/>
          <w:highlight w:val="none"/>
        </w:rPr>
        <w:t>2受托人完成委托人委托的招标代理工作范围以外的工作，为附加服务项目，应收取的报酬由双方协商，签订补充协议。</w:t>
      </w:r>
    </w:p>
    <w:p>
      <w:pPr>
        <w:spacing w:line="440" w:lineRule="exact"/>
        <w:ind w:firstLine="240"/>
        <w:rPr>
          <w:color w:val="auto"/>
          <w:highlight w:val="none"/>
        </w:rPr>
      </w:pPr>
      <w:r>
        <w:rPr>
          <w:rFonts w:hint="eastAsia"/>
          <w:color w:val="auto"/>
          <w:highlight w:val="none"/>
        </w:rPr>
        <w:t xml:space="preserve">  9</w:t>
      </w:r>
      <w:r>
        <w:rPr>
          <w:color w:val="auto"/>
          <w:highlight w:val="none"/>
          <w:lang w:val="zh-CN"/>
        </w:rPr>
        <w:t>.</w:t>
      </w:r>
      <w:r>
        <w:rPr>
          <w:rFonts w:hint="eastAsia"/>
          <w:color w:val="auto"/>
          <w:highlight w:val="none"/>
        </w:rPr>
        <w:t>3委托人在本合同专用条款约定的支付时间内，未能如期支付代理预付费用，自应支付之日起，按同期银行贷款利率，计算支付代理预付费用的利息。</w:t>
      </w:r>
    </w:p>
    <w:p>
      <w:pPr>
        <w:spacing w:line="440" w:lineRule="exact"/>
        <w:ind w:firstLine="240"/>
        <w:rPr>
          <w:color w:val="auto"/>
          <w:highlight w:val="none"/>
        </w:rPr>
      </w:pPr>
      <w:r>
        <w:rPr>
          <w:rFonts w:hint="eastAsia"/>
          <w:color w:val="auto"/>
          <w:highlight w:val="none"/>
        </w:rPr>
        <w:t xml:space="preserve">  9</w:t>
      </w:r>
      <w:r>
        <w:rPr>
          <w:color w:val="auto"/>
          <w:highlight w:val="none"/>
          <w:lang w:val="zh-CN"/>
        </w:rPr>
        <w:t>.</w:t>
      </w:r>
      <w:r>
        <w:rPr>
          <w:rFonts w:hint="eastAsia"/>
          <w:color w:val="auto"/>
          <w:highlight w:val="none"/>
        </w:rPr>
        <w:t>4委托人在本合同专用条款约定的支付时间内，未能如期支付代理报酬，除应承担违约责任外，还应按同期银行贷款利率，计算支付应付代理报酬的利息。</w:t>
      </w:r>
    </w:p>
    <w:p>
      <w:pPr>
        <w:spacing w:line="440" w:lineRule="exact"/>
        <w:ind w:firstLine="240"/>
        <w:rPr>
          <w:color w:val="auto"/>
          <w:highlight w:val="none"/>
        </w:rPr>
      </w:pPr>
      <w:r>
        <w:rPr>
          <w:rFonts w:hint="eastAsia"/>
          <w:color w:val="auto"/>
          <w:highlight w:val="none"/>
        </w:rPr>
        <w:t xml:space="preserve">  9</w:t>
      </w:r>
      <w:r>
        <w:rPr>
          <w:color w:val="auto"/>
          <w:highlight w:val="none"/>
          <w:lang w:val="zh-CN"/>
        </w:rPr>
        <w:t>.</w:t>
      </w:r>
      <w:r>
        <w:rPr>
          <w:rFonts w:hint="eastAsia"/>
          <w:color w:val="auto"/>
          <w:highlight w:val="none"/>
        </w:rPr>
        <w:t>5委托代理报酬应由委托人按本合同专用条款约定的支付方法和时间，直接向受托人支付；或受托人按照约定直接向中标人收取。</w:t>
      </w:r>
    </w:p>
    <w:p>
      <w:pPr>
        <w:spacing w:line="440" w:lineRule="exact"/>
        <w:ind w:firstLine="240"/>
        <w:rPr>
          <w:b/>
          <w:bCs/>
          <w:color w:val="auto"/>
          <w:highlight w:val="none"/>
        </w:rPr>
      </w:pPr>
      <w:r>
        <w:rPr>
          <w:rFonts w:hint="eastAsia"/>
          <w:b/>
          <w:bCs/>
          <w:color w:val="auto"/>
          <w:highlight w:val="none"/>
        </w:rPr>
        <w:t>四、违约、索赔和争议</w:t>
      </w:r>
    </w:p>
    <w:p>
      <w:pPr>
        <w:spacing w:line="440" w:lineRule="exact"/>
        <w:ind w:firstLine="240"/>
        <w:rPr>
          <w:color w:val="auto"/>
          <w:highlight w:val="none"/>
        </w:rPr>
      </w:pPr>
      <w:r>
        <w:rPr>
          <w:rFonts w:hint="eastAsia"/>
          <w:color w:val="auto"/>
          <w:highlight w:val="none"/>
        </w:rPr>
        <w:t xml:space="preserve">  10、违约</w:t>
      </w:r>
    </w:p>
    <w:p>
      <w:pPr>
        <w:spacing w:line="440" w:lineRule="exact"/>
        <w:ind w:firstLine="240"/>
        <w:rPr>
          <w:color w:val="auto"/>
          <w:highlight w:val="none"/>
        </w:rPr>
      </w:pPr>
      <w:r>
        <w:rPr>
          <w:rFonts w:hint="eastAsia"/>
          <w:color w:val="auto"/>
          <w:highlight w:val="none"/>
        </w:rPr>
        <w:t xml:space="preserve">  10</w:t>
      </w:r>
      <w:r>
        <w:rPr>
          <w:color w:val="auto"/>
          <w:highlight w:val="none"/>
          <w:lang w:val="zh-CN"/>
        </w:rPr>
        <w:t>.</w:t>
      </w:r>
      <w:r>
        <w:rPr>
          <w:rFonts w:hint="eastAsia"/>
          <w:color w:val="auto"/>
          <w:highlight w:val="none"/>
        </w:rPr>
        <w:t>1 委托人违约。 当发生下列情况时：</w:t>
      </w:r>
    </w:p>
    <w:p>
      <w:pPr>
        <w:spacing w:line="440" w:lineRule="exact"/>
        <w:ind w:firstLine="240"/>
        <w:rPr>
          <w:color w:val="auto"/>
          <w:highlight w:val="none"/>
        </w:rPr>
      </w:pPr>
      <w:r>
        <w:rPr>
          <w:rFonts w:hint="eastAsia"/>
          <w:color w:val="auto"/>
          <w:highlight w:val="none"/>
        </w:rPr>
        <w:t xml:space="preserve"> （1）本合同通用条款第4</w:t>
      </w:r>
      <w:r>
        <w:rPr>
          <w:color w:val="auto"/>
          <w:highlight w:val="none"/>
          <w:lang w:val="zh-CN"/>
        </w:rPr>
        <w:t>.</w:t>
      </w:r>
      <w:r>
        <w:rPr>
          <w:rFonts w:hint="eastAsia"/>
          <w:color w:val="auto"/>
          <w:highlight w:val="none"/>
        </w:rPr>
        <w:t>2 -（3）款提到的委托人未按本合同专用条款的约定向委托人提供为保证招标工作顺利完成的条件，致使招标工作无法进行；</w:t>
      </w:r>
    </w:p>
    <w:p>
      <w:pPr>
        <w:spacing w:line="440" w:lineRule="exact"/>
        <w:ind w:firstLine="240"/>
        <w:rPr>
          <w:color w:val="auto"/>
          <w:highlight w:val="none"/>
        </w:rPr>
      </w:pPr>
      <w:r>
        <w:rPr>
          <w:rFonts w:hint="eastAsia"/>
          <w:color w:val="auto"/>
          <w:highlight w:val="none"/>
        </w:rPr>
        <w:t xml:space="preserve"> （2）本合同通用条款第4</w:t>
      </w:r>
      <w:r>
        <w:rPr>
          <w:color w:val="auto"/>
          <w:highlight w:val="none"/>
          <w:lang w:val="zh-CN"/>
        </w:rPr>
        <w:t>.</w:t>
      </w:r>
      <w:r>
        <w:rPr>
          <w:rFonts w:hint="eastAsia"/>
          <w:color w:val="auto"/>
          <w:highlight w:val="none"/>
        </w:rPr>
        <w:t>2 -（6）款提到的委托人未按本合同专用条款的约定向受托人支付委托代理报酬；</w:t>
      </w:r>
    </w:p>
    <w:p>
      <w:pPr>
        <w:spacing w:line="440" w:lineRule="exact"/>
        <w:ind w:firstLine="240"/>
        <w:rPr>
          <w:color w:val="auto"/>
          <w:highlight w:val="none"/>
        </w:rPr>
      </w:pPr>
      <w:r>
        <w:rPr>
          <w:rFonts w:hint="eastAsia"/>
          <w:color w:val="auto"/>
          <w:highlight w:val="none"/>
        </w:rPr>
        <w:t xml:space="preserve"> （3）委托人不履行合同义务或不按合同约定履行义务的其他情况。</w:t>
      </w:r>
    </w:p>
    <w:p>
      <w:pPr>
        <w:spacing w:line="440" w:lineRule="exact"/>
        <w:ind w:firstLine="480" w:firstLineChars="200"/>
        <w:rPr>
          <w:color w:val="auto"/>
          <w:highlight w:val="none"/>
        </w:rPr>
      </w:pPr>
      <w:r>
        <w:rPr>
          <w:rFonts w:hint="eastAsia"/>
          <w:color w:val="auto"/>
          <w:highlight w:val="none"/>
        </w:rPr>
        <w:t>委托人承担违约责任，赔偿因其违约给受托人造成的经济损失，双方在本合同专用条款内约定委托人赔偿受托人损失的计算方法或委托人应当支付违约金的数额或计算方法。</w:t>
      </w:r>
    </w:p>
    <w:p>
      <w:pPr>
        <w:spacing w:line="440" w:lineRule="exact"/>
        <w:ind w:firstLine="480" w:firstLineChars="200"/>
        <w:rPr>
          <w:color w:val="auto"/>
          <w:highlight w:val="none"/>
        </w:rPr>
      </w:pPr>
      <w:r>
        <w:rPr>
          <w:rFonts w:hint="eastAsia"/>
          <w:color w:val="auto"/>
          <w:highlight w:val="none"/>
        </w:rPr>
        <w:t>10</w:t>
      </w:r>
      <w:r>
        <w:rPr>
          <w:color w:val="auto"/>
          <w:highlight w:val="none"/>
          <w:lang w:val="zh-CN"/>
        </w:rPr>
        <w:t>.</w:t>
      </w:r>
      <w:r>
        <w:rPr>
          <w:rFonts w:hint="eastAsia"/>
          <w:color w:val="auto"/>
          <w:highlight w:val="none"/>
        </w:rPr>
        <w:t>2  受托人违约。 当发生下列情况时：</w:t>
      </w:r>
    </w:p>
    <w:p>
      <w:pPr>
        <w:spacing w:line="440" w:lineRule="exact"/>
        <w:ind w:firstLine="480" w:firstLineChars="200"/>
        <w:rPr>
          <w:color w:val="auto"/>
          <w:highlight w:val="none"/>
        </w:rPr>
      </w:pPr>
      <w:r>
        <w:rPr>
          <w:rFonts w:hint="eastAsia"/>
          <w:color w:val="auto"/>
          <w:highlight w:val="none"/>
        </w:rPr>
        <w:t>（1）本合同通用条款第5</w:t>
      </w:r>
      <w:r>
        <w:rPr>
          <w:color w:val="auto"/>
          <w:highlight w:val="none"/>
          <w:lang w:val="zh-CN"/>
        </w:rPr>
        <w:t>.</w:t>
      </w:r>
      <w:r>
        <w:rPr>
          <w:rFonts w:hint="eastAsia"/>
          <w:color w:val="auto"/>
          <w:highlight w:val="none"/>
        </w:rPr>
        <w:t>2 -（2）款提到的受托人未按本合同专用条款的约定，向委托人提供为完成招标工作的咨询服务；</w:t>
      </w:r>
    </w:p>
    <w:p>
      <w:pPr>
        <w:spacing w:line="440" w:lineRule="exact"/>
        <w:ind w:firstLine="480" w:firstLineChars="200"/>
        <w:rPr>
          <w:color w:val="auto"/>
          <w:highlight w:val="none"/>
        </w:rPr>
      </w:pPr>
      <w:r>
        <w:rPr>
          <w:rFonts w:hint="eastAsia"/>
          <w:color w:val="auto"/>
          <w:highlight w:val="none"/>
        </w:rPr>
        <w:t>（2）本合同通用条款第5</w:t>
      </w:r>
      <w:r>
        <w:rPr>
          <w:color w:val="auto"/>
          <w:highlight w:val="none"/>
          <w:lang w:val="zh-CN"/>
        </w:rPr>
        <w:t>.</w:t>
      </w:r>
      <w:r>
        <w:rPr>
          <w:rFonts w:hint="eastAsia"/>
          <w:color w:val="auto"/>
          <w:highlight w:val="none"/>
        </w:rPr>
        <w:t>4款提到的受托人未按本合同专用条款的约定，接受了与本合同政府采购项目有关的投标咨询业务；</w:t>
      </w:r>
    </w:p>
    <w:p>
      <w:pPr>
        <w:spacing w:line="440" w:lineRule="exact"/>
        <w:ind w:firstLine="480" w:firstLineChars="200"/>
        <w:rPr>
          <w:color w:val="auto"/>
          <w:highlight w:val="none"/>
        </w:rPr>
      </w:pPr>
      <w:r>
        <w:rPr>
          <w:rFonts w:hint="eastAsia"/>
          <w:color w:val="auto"/>
          <w:highlight w:val="none"/>
        </w:rPr>
        <w:t>（3）本合同通用条款第5</w:t>
      </w:r>
      <w:r>
        <w:rPr>
          <w:color w:val="auto"/>
          <w:highlight w:val="none"/>
          <w:lang w:val="zh-CN"/>
        </w:rPr>
        <w:t>.</w:t>
      </w:r>
      <w:r>
        <w:rPr>
          <w:rFonts w:hint="eastAsia"/>
          <w:color w:val="auto"/>
          <w:highlight w:val="none"/>
        </w:rPr>
        <w:t>7款提到的受托人未按本合同专用条款的约定，泄露了与本合同采购项目相关的任何招标资料和情况；</w:t>
      </w:r>
    </w:p>
    <w:p>
      <w:pPr>
        <w:spacing w:line="440" w:lineRule="exact"/>
        <w:ind w:firstLine="480"/>
        <w:rPr>
          <w:color w:val="auto"/>
          <w:highlight w:val="none"/>
        </w:rPr>
      </w:pPr>
      <w:r>
        <w:rPr>
          <w:rFonts w:hint="eastAsia"/>
          <w:color w:val="auto"/>
          <w:highlight w:val="none"/>
        </w:rPr>
        <w:t>（4）受托人不履行合同义务或不按合同约定履行义务的其他情况。</w:t>
      </w:r>
    </w:p>
    <w:p>
      <w:pPr>
        <w:spacing w:line="440" w:lineRule="exact"/>
        <w:ind w:firstLine="480"/>
        <w:rPr>
          <w:color w:val="auto"/>
          <w:highlight w:val="none"/>
        </w:rPr>
      </w:pPr>
      <w:r>
        <w:rPr>
          <w:rFonts w:hint="eastAsia"/>
          <w:color w:val="auto"/>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spacing w:line="440" w:lineRule="exact"/>
        <w:ind w:firstLine="480"/>
        <w:rPr>
          <w:color w:val="auto"/>
          <w:spacing w:val="-18"/>
          <w:highlight w:val="none"/>
        </w:rPr>
      </w:pPr>
      <w:r>
        <w:rPr>
          <w:rFonts w:hint="eastAsia"/>
          <w:color w:val="auto"/>
          <w:highlight w:val="none"/>
        </w:rPr>
        <w:t>10</w:t>
      </w:r>
      <w:r>
        <w:rPr>
          <w:color w:val="auto"/>
          <w:highlight w:val="none"/>
          <w:lang w:val="zh-CN"/>
        </w:rPr>
        <w:t>.</w:t>
      </w:r>
      <w:r>
        <w:rPr>
          <w:rFonts w:hint="eastAsia"/>
          <w:color w:val="auto"/>
          <w:highlight w:val="none"/>
        </w:rPr>
        <w:t>3 第三方违约。如果一方的违约被认定为是与第三方共同造成的，则应由合同双</w:t>
      </w:r>
      <w:r>
        <w:rPr>
          <w:rFonts w:hint="eastAsia"/>
          <w:color w:val="auto"/>
          <w:spacing w:val="-18"/>
          <w:highlight w:val="none"/>
        </w:rPr>
        <w:t>方中有违约的一方先行向另一方承担全部违约责任，再由承担违约责任的一方向第三方追索。</w:t>
      </w:r>
    </w:p>
    <w:p>
      <w:pPr>
        <w:spacing w:line="440" w:lineRule="exact"/>
        <w:ind w:firstLine="480"/>
        <w:rPr>
          <w:color w:val="auto"/>
          <w:highlight w:val="none"/>
        </w:rPr>
      </w:pPr>
      <w:r>
        <w:rPr>
          <w:rFonts w:hint="eastAsia"/>
          <w:color w:val="auto"/>
          <w:highlight w:val="none"/>
        </w:rPr>
        <w:t>11、索赔</w:t>
      </w:r>
    </w:p>
    <w:p>
      <w:pPr>
        <w:spacing w:line="440" w:lineRule="exact"/>
        <w:ind w:firstLine="480"/>
        <w:rPr>
          <w:color w:val="auto"/>
          <w:highlight w:val="none"/>
        </w:rPr>
      </w:pPr>
      <w:r>
        <w:rPr>
          <w:rFonts w:hint="eastAsia"/>
          <w:color w:val="auto"/>
          <w:highlight w:val="none"/>
        </w:rPr>
        <w:t>11</w:t>
      </w:r>
      <w:r>
        <w:rPr>
          <w:color w:val="auto"/>
          <w:highlight w:val="none"/>
          <w:lang w:val="zh-CN"/>
        </w:rPr>
        <w:t>.</w:t>
      </w:r>
      <w:r>
        <w:rPr>
          <w:rFonts w:hint="eastAsia"/>
          <w:color w:val="auto"/>
          <w:highlight w:val="none"/>
        </w:rPr>
        <w:t>1当事人一方向另一方提出索赔时，要有正当的索赔理由，且有索赔事件发生时的有效证据。</w:t>
      </w:r>
    </w:p>
    <w:p>
      <w:pPr>
        <w:spacing w:line="440" w:lineRule="exact"/>
        <w:ind w:firstLine="480"/>
        <w:rPr>
          <w:color w:val="auto"/>
          <w:highlight w:val="none"/>
        </w:rPr>
      </w:pPr>
      <w:r>
        <w:rPr>
          <w:rFonts w:hint="eastAsia"/>
          <w:color w:val="auto"/>
          <w:highlight w:val="none"/>
        </w:rPr>
        <w:t>11</w:t>
      </w:r>
      <w:r>
        <w:rPr>
          <w:color w:val="auto"/>
          <w:highlight w:val="none"/>
          <w:lang w:val="zh-CN"/>
        </w:rPr>
        <w:t>.</w:t>
      </w:r>
      <w:r>
        <w:rPr>
          <w:rFonts w:hint="eastAsia"/>
          <w:color w:val="auto"/>
          <w:highlight w:val="none"/>
        </w:rPr>
        <w:t>2委托人未能按合同约定履行自己的各项义务，或者发生应由委托人承担责任的其他情况，给受托人造成损失，受托人可按下列程序以书面形式向委托人索赔：</w:t>
      </w:r>
    </w:p>
    <w:p>
      <w:pPr>
        <w:spacing w:line="440" w:lineRule="exact"/>
        <w:ind w:firstLine="480"/>
        <w:rPr>
          <w:color w:val="auto"/>
          <w:highlight w:val="none"/>
        </w:rPr>
      </w:pPr>
      <w:r>
        <w:rPr>
          <w:rFonts w:hint="eastAsia"/>
          <w:color w:val="auto"/>
          <w:highlight w:val="none"/>
        </w:rPr>
        <w:t>（1）索赔事件发生后7天内，向委托人发出索赔报告及有关资料；</w:t>
      </w:r>
    </w:p>
    <w:p>
      <w:pPr>
        <w:spacing w:line="440" w:lineRule="exact"/>
        <w:ind w:firstLine="480"/>
        <w:rPr>
          <w:color w:val="auto"/>
          <w:highlight w:val="none"/>
        </w:rPr>
      </w:pPr>
      <w:r>
        <w:rPr>
          <w:rFonts w:hint="eastAsia"/>
          <w:color w:val="auto"/>
          <w:highlight w:val="none"/>
        </w:rPr>
        <w:t>（2）委托人收到受托人的索赔报告及有关资料后，于7天内给予答复，或要求受托人进一步补充索赔理由和证据；</w:t>
      </w:r>
    </w:p>
    <w:p>
      <w:pPr>
        <w:spacing w:line="440" w:lineRule="exact"/>
        <w:ind w:firstLine="480"/>
        <w:rPr>
          <w:color w:val="auto"/>
          <w:highlight w:val="none"/>
        </w:rPr>
      </w:pPr>
      <w:r>
        <w:rPr>
          <w:rFonts w:hint="eastAsia"/>
          <w:color w:val="auto"/>
          <w:highlight w:val="none"/>
        </w:rPr>
        <w:t>（3）委托人在收到受托人送交的索赔报告和有关资料后7天内未予答复，或未对受托人作进一步要求，视为该项索赔已经认可。</w:t>
      </w:r>
    </w:p>
    <w:p>
      <w:pPr>
        <w:spacing w:line="440" w:lineRule="exact"/>
        <w:rPr>
          <w:color w:val="auto"/>
          <w:highlight w:val="none"/>
        </w:rPr>
      </w:pPr>
      <w:r>
        <w:rPr>
          <w:rFonts w:hint="eastAsia"/>
          <w:color w:val="auto"/>
          <w:highlight w:val="none"/>
        </w:rPr>
        <w:t xml:space="preserve">    11</w:t>
      </w:r>
      <w:r>
        <w:rPr>
          <w:color w:val="auto"/>
          <w:highlight w:val="none"/>
          <w:lang w:val="zh-CN"/>
        </w:rPr>
        <w:t>.</w:t>
      </w:r>
      <w:r>
        <w:rPr>
          <w:rFonts w:hint="eastAsia"/>
          <w:color w:val="auto"/>
          <w:highlight w:val="none"/>
        </w:rPr>
        <w:t>3受托人未能按合同约定履行自己的各项义务，或者发生应由受托人承担责任的其他情况，给委托人造成经济损失，委托人可按11</w:t>
      </w:r>
      <w:r>
        <w:rPr>
          <w:color w:val="auto"/>
          <w:highlight w:val="none"/>
          <w:lang w:val="zh-CN"/>
        </w:rPr>
        <w:t>.</w:t>
      </w:r>
      <w:r>
        <w:rPr>
          <w:rFonts w:hint="eastAsia"/>
          <w:color w:val="auto"/>
          <w:highlight w:val="none"/>
        </w:rPr>
        <w:t>2款确定的时限和程序向受托人提出索赔。</w:t>
      </w:r>
    </w:p>
    <w:p>
      <w:pPr>
        <w:spacing w:line="440" w:lineRule="exact"/>
        <w:rPr>
          <w:color w:val="auto"/>
          <w:highlight w:val="none"/>
        </w:rPr>
      </w:pPr>
      <w:r>
        <w:rPr>
          <w:rFonts w:hint="eastAsia"/>
          <w:color w:val="auto"/>
          <w:highlight w:val="none"/>
        </w:rPr>
        <w:t xml:space="preserve">    12、争议</w:t>
      </w:r>
    </w:p>
    <w:p>
      <w:pPr>
        <w:spacing w:line="440" w:lineRule="exact"/>
        <w:ind w:firstLine="480"/>
        <w:rPr>
          <w:color w:val="auto"/>
          <w:highlight w:val="none"/>
        </w:rPr>
      </w:pPr>
      <w:r>
        <w:rPr>
          <w:rFonts w:hint="eastAsia"/>
          <w:color w:val="auto"/>
          <w:highlight w:val="none"/>
        </w:rPr>
        <w:t>12</w:t>
      </w:r>
      <w:r>
        <w:rPr>
          <w:color w:val="auto"/>
          <w:highlight w:val="none"/>
          <w:lang w:val="zh-CN"/>
        </w:rPr>
        <w:t>.</w:t>
      </w:r>
      <w:r>
        <w:rPr>
          <w:rFonts w:hint="eastAsia"/>
          <w:color w:val="auto"/>
          <w:highlight w:val="none"/>
        </w:rPr>
        <w:t>1  委托人和受托人履行合同时发生争议，可以和解或者向有关部门或机构申请调解。当事人不愿和解、调解或者和解、调解不成的，双方可以在本合同专用条款约定以下一种方式解决争议：</w:t>
      </w:r>
    </w:p>
    <w:p>
      <w:pPr>
        <w:spacing w:line="440" w:lineRule="exact"/>
        <w:ind w:firstLine="480"/>
        <w:rPr>
          <w:color w:val="auto"/>
          <w:highlight w:val="none"/>
        </w:rPr>
      </w:pPr>
      <w:r>
        <w:rPr>
          <w:rFonts w:hint="eastAsia"/>
          <w:color w:val="auto"/>
          <w:highlight w:val="none"/>
        </w:rPr>
        <w:t>（1）双方达成仲裁协议，向约定的仲裁委员会申请仲裁；</w:t>
      </w:r>
    </w:p>
    <w:p>
      <w:pPr>
        <w:spacing w:line="440" w:lineRule="exact"/>
        <w:ind w:left="480"/>
        <w:rPr>
          <w:color w:val="auto"/>
          <w:highlight w:val="none"/>
        </w:rPr>
      </w:pPr>
      <w:r>
        <w:rPr>
          <w:rFonts w:hint="eastAsia"/>
          <w:color w:val="auto"/>
          <w:highlight w:val="none"/>
        </w:rPr>
        <w:t>（2）向有管辖权的人民法院起诉。</w:t>
      </w:r>
    </w:p>
    <w:p>
      <w:pPr>
        <w:spacing w:line="440" w:lineRule="exact"/>
        <w:ind w:firstLine="482" w:firstLineChars="200"/>
        <w:rPr>
          <w:b/>
          <w:bCs/>
          <w:color w:val="auto"/>
          <w:highlight w:val="none"/>
        </w:rPr>
      </w:pPr>
      <w:r>
        <w:rPr>
          <w:rFonts w:hint="eastAsia"/>
          <w:b/>
          <w:bCs/>
          <w:color w:val="auto"/>
          <w:highlight w:val="none"/>
        </w:rPr>
        <w:t>五、合同变更、生效与终止</w:t>
      </w:r>
    </w:p>
    <w:p>
      <w:pPr>
        <w:spacing w:line="440" w:lineRule="exact"/>
        <w:ind w:left="480"/>
        <w:rPr>
          <w:color w:val="auto"/>
          <w:highlight w:val="none"/>
        </w:rPr>
      </w:pPr>
      <w:r>
        <w:rPr>
          <w:rFonts w:hint="eastAsia"/>
          <w:color w:val="auto"/>
          <w:highlight w:val="none"/>
        </w:rPr>
        <w:t>13、合同变更或解除</w:t>
      </w:r>
    </w:p>
    <w:p>
      <w:pPr>
        <w:spacing w:line="440" w:lineRule="exact"/>
        <w:ind w:firstLine="480"/>
        <w:rPr>
          <w:color w:val="auto"/>
          <w:highlight w:val="none"/>
        </w:rPr>
      </w:pPr>
      <w:r>
        <w:rPr>
          <w:rFonts w:hint="eastAsia"/>
          <w:color w:val="auto"/>
          <w:highlight w:val="none"/>
        </w:rPr>
        <w:t>13</w:t>
      </w:r>
      <w:r>
        <w:rPr>
          <w:color w:val="auto"/>
          <w:highlight w:val="none"/>
          <w:lang w:val="zh-CN"/>
        </w:rPr>
        <w:t>.</w:t>
      </w:r>
      <w:r>
        <w:rPr>
          <w:rFonts w:hint="eastAsia"/>
          <w:color w:val="auto"/>
          <w:highlight w:val="none"/>
        </w:rPr>
        <w:t>1本合同签订后，由于委托人原因，使得受托人不能持续履行招标代理业务时，委托人应及时通知受托人暂停招标代理业务。当需要恢复招标代理业务时，应当在正式恢复前7天通知受托人。</w:t>
      </w:r>
    </w:p>
    <w:p>
      <w:pPr>
        <w:autoSpaceDE w:val="0"/>
        <w:autoSpaceDN w:val="0"/>
        <w:spacing w:line="440" w:lineRule="exact"/>
        <w:ind w:firstLine="480"/>
        <w:rPr>
          <w:color w:val="auto"/>
          <w:highlight w:val="none"/>
          <w:lang w:val="zh-CN"/>
        </w:rPr>
      </w:pPr>
      <w:r>
        <w:rPr>
          <w:rFonts w:hint="eastAsia"/>
          <w:color w:val="auto"/>
          <w:highlight w:val="none"/>
        </w:rPr>
        <w:t>若暂停时间超过六个月，当需要恢复招标代理业务时，委托人应</w:t>
      </w:r>
      <w:r>
        <w:rPr>
          <w:rFonts w:hint="eastAsia"/>
          <w:color w:val="auto"/>
          <w:highlight w:val="none"/>
          <w:lang w:val="zh-CN"/>
        </w:rPr>
        <w:t>支付重新启动该招标代理工作一定的补偿费用，具体计算方式经双方协商以补充协议确定。</w:t>
      </w:r>
    </w:p>
    <w:p>
      <w:pPr>
        <w:autoSpaceDE w:val="0"/>
        <w:autoSpaceDN w:val="0"/>
        <w:spacing w:line="440" w:lineRule="exact"/>
        <w:ind w:firstLine="480"/>
        <w:rPr>
          <w:color w:val="auto"/>
          <w:highlight w:val="none"/>
          <w:lang w:val="zh-CN"/>
        </w:rPr>
      </w:pPr>
      <w:r>
        <w:rPr>
          <w:color w:val="auto"/>
          <w:highlight w:val="none"/>
          <w:lang w:val="zh-CN"/>
        </w:rPr>
        <w:t>13.2</w:t>
      </w:r>
      <w:r>
        <w:rPr>
          <w:rFonts w:hint="eastAsia"/>
          <w:color w:val="auto"/>
          <w:highlight w:val="none"/>
          <w:lang w:val="zh-CN"/>
        </w:rPr>
        <w:t xml:space="preserve"> 本合同签订后，如因法律、行政法规发生变化或由于任何后续新颁布的法律、行政法规导致服务所需的成本或时间发生改变，则本合同约定的服务报酬和服务期限由双方签订补充协议进行相应调整。</w:t>
      </w:r>
    </w:p>
    <w:p>
      <w:pPr>
        <w:autoSpaceDE w:val="0"/>
        <w:autoSpaceDN w:val="0"/>
        <w:spacing w:line="440" w:lineRule="exact"/>
        <w:ind w:firstLine="480"/>
        <w:rPr>
          <w:color w:val="auto"/>
          <w:highlight w:val="none"/>
          <w:lang w:val="zh-CN"/>
        </w:rPr>
      </w:pPr>
      <w:r>
        <w:rPr>
          <w:color w:val="auto"/>
          <w:highlight w:val="none"/>
          <w:lang w:val="zh-CN"/>
        </w:rPr>
        <w:t>13.3</w:t>
      </w:r>
      <w:r>
        <w:rPr>
          <w:rFonts w:hint="eastAsia"/>
          <w:color w:val="auto"/>
          <w:highlight w:val="none"/>
          <w:lang w:val="zh-CN"/>
        </w:rPr>
        <w:t xml:space="preserve"> 本合同当事人一方要求变更或解除合同时，除法律、行政法规另有规定外，应与对方当事人协商一致并达成书面协议。未达成书面协议的，本合同依然有效。</w:t>
      </w:r>
    </w:p>
    <w:p>
      <w:pPr>
        <w:autoSpaceDE w:val="0"/>
        <w:autoSpaceDN w:val="0"/>
        <w:spacing w:line="440" w:lineRule="exact"/>
        <w:ind w:firstLine="480"/>
        <w:rPr>
          <w:color w:val="auto"/>
          <w:highlight w:val="none"/>
          <w:lang w:val="zh-CN"/>
        </w:rPr>
      </w:pPr>
      <w:r>
        <w:rPr>
          <w:color w:val="auto"/>
          <w:highlight w:val="none"/>
          <w:lang w:val="zh-CN"/>
        </w:rPr>
        <w:t>13.4</w:t>
      </w:r>
      <w:r>
        <w:rPr>
          <w:rFonts w:hint="eastAsia"/>
          <w:color w:val="auto"/>
          <w:highlight w:val="none"/>
          <w:lang w:val="zh-CN"/>
        </w:rPr>
        <w:t xml:space="preserve"> 因解除合同使当事人一放遭受损失的，除依法可以免除责任外，应由责任方负责赔偿对方的损失，赔偿方法与金额由双方在协议书约定。</w:t>
      </w:r>
    </w:p>
    <w:p>
      <w:pPr>
        <w:autoSpaceDE w:val="0"/>
        <w:autoSpaceDN w:val="0"/>
        <w:spacing w:line="440" w:lineRule="exact"/>
        <w:ind w:firstLine="480"/>
        <w:rPr>
          <w:color w:val="auto"/>
          <w:highlight w:val="none"/>
          <w:lang w:val="zh-CN"/>
        </w:rPr>
      </w:pPr>
      <w:r>
        <w:rPr>
          <w:color w:val="auto"/>
          <w:highlight w:val="none"/>
          <w:lang w:val="zh-CN"/>
        </w:rPr>
        <w:t>14</w:t>
      </w:r>
      <w:r>
        <w:rPr>
          <w:rFonts w:hint="eastAsia"/>
          <w:color w:val="auto"/>
          <w:highlight w:val="none"/>
          <w:lang w:val="zh-CN"/>
        </w:rPr>
        <w:t>、合同生效</w:t>
      </w:r>
    </w:p>
    <w:p>
      <w:pPr>
        <w:spacing w:line="440" w:lineRule="exact"/>
        <w:ind w:firstLine="480"/>
        <w:rPr>
          <w:color w:val="auto"/>
          <w:highlight w:val="none"/>
          <w:lang w:val="zh-CN"/>
        </w:rPr>
      </w:pPr>
      <w:r>
        <w:rPr>
          <w:color w:val="auto"/>
          <w:highlight w:val="none"/>
          <w:lang w:val="zh-CN"/>
        </w:rPr>
        <w:t>14.1</w:t>
      </w:r>
      <w:r>
        <w:rPr>
          <w:rFonts w:hint="eastAsia"/>
          <w:color w:val="auto"/>
          <w:highlight w:val="none"/>
          <w:lang w:val="zh-CN"/>
        </w:rPr>
        <w:t>除生效条件双方在协议书中另有约定外，本合同自双方签字盖章之日起生效。</w:t>
      </w:r>
    </w:p>
    <w:p>
      <w:pPr>
        <w:autoSpaceDE w:val="0"/>
        <w:autoSpaceDN w:val="0"/>
        <w:spacing w:line="440" w:lineRule="exact"/>
        <w:ind w:firstLine="480"/>
        <w:rPr>
          <w:color w:val="auto"/>
          <w:highlight w:val="none"/>
          <w:lang w:val="zh-CN"/>
        </w:rPr>
      </w:pPr>
      <w:r>
        <w:rPr>
          <w:color w:val="auto"/>
          <w:highlight w:val="none"/>
          <w:lang w:val="zh-CN"/>
        </w:rPr>
        <w:t>15</w:t>
      </w:r>
      <w:r>
        <w:rPr>
          <w:rFonts w:hint="eastAsia"/>
          <w:color w:val="auto"/>
          <w:highlight w:val="none"/>
          <w:lang w:val="zh-CN"/>
        </w:rPr>
        <w:t>、合同终止</w:t>
      </w:r>
    </w:p>
    <w:p>
      <w:pPr>
        <w:autoSpaceDE w:val="0"/>
        <w:autoSpaceDN w:val="0"/>
        <w:spacing w:line="440" w:lineRule="exact"/>
        <w:ind w:firstLine="480"/>
        <w:rPr>
          <w:color w:val="auto"/>
          <w:highlight w:val="none"/>
          <w:lang w:val="zh-CN"/>
        </w:rPr>
      </w:pPr>
      <w:r>
        <w:rPr>
          <w:color w:val="auto"/>
          <w:highlight w:val="none"/>
          <w:lang w:val="zh-CN"/>
        </w:rPr>
        <w:t>15.1</w:t>
      </w:r>
      <w:r>
        <w:rPr>
          <w:rFonts w:hint="eastAsia"/>
          <w:color w:val="auto"/>
          <w:highlight w:val="none"/>
          <w:lang w:val="zh-CN"/>
        </w:rPr>
        <w:t xml:space="preserve"> 受托人完成委托人全部委托招标代理业务，且委托人或中标人支付了全部代理报酬（含附加服务的报酬）后本合同终止。</w:t>
      </w:r>
    </w:p>
    <w:p>
      <w:pPr>
        <w:autoSpaceDE w:val="0"/>
        <w:autoSpaceDN w:val="0"/>
        <w:spacing w:line="440" w:lineRule="exact"/>
        <w:ind w:firstLine="480"/>
        <w:rPr>
          <w:color w:val="auto"/>
          <w:highlight w:val="none"/>
          <w:lang w:val="zh-CN"/>
        </w:rPr>
      </w:pPr>
      <w:r>
        <w:rPr>
          <w:color w:val="auto"/>
          <w:highlight w:val="none"/>
          <w:lang w:val="zh-CN"/>
        </w:rPr>
        <w:t>15.2</w:t>
      </w:r>
      <w:r>
        <w:rPr>
          <w:rFonts w:hint="eastAsia"/>
          <w:color w:val="auto"/>
          <w:highlight w:val="none"/>
          <w:lang w:val="zh-CN"/>
        </w:rPr>
        <w:t xml:space="preserve"> 本合同终止并不影响各方应有的权利和应承担的义务。</w:t>
      </w:r>
    </w:p>
    <w:p>
      <w:pPr>
        <w:autoSpaceDE w:val="0"/>
        <w:autoSpaceDN w:val="0"/>
        <w:spacing w:line="440" w:lineRule="exact"/>
        <w:ind w:firstLine="480"/>
        <w:rPr>
          <w:color w:val="auto"/>
          <w:highlight w:val="none"/>
          <w:lang w:val="zh-CN"/>
        </w:rPr>
      </w:pPr>
      <w:r>
        <w:rPr>
          <w:color w:val="auto"/>
          <w:highlight w:val="none"/>
          <w:lang w:val="zh-CN"/>
        </w:rPr>
        <w:t>15.3</w:t>
      </w:r>
      <w:r>
        <w:rPr>
          <w:rFonts w:hint="eastAsia"/>
          <w:color w:val="auto"/>
          <w:highlight w:val="none"/>
          <w:lang w:val="zh-CN"/>
        </w:rPr>
        <w:t xml:space="preserve">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autoSpaceDE w:val="0"/>
        <w:autoSpaceDN w:val="0"/>
        <w:spacing w:line="440" w:lineRule="exact"/>
        <w:ind w:firstLine="480"/>
        <w:rPr>
          <w:color w:val="auto"/>
          <w:highlight w:val="none"/>
          <w:lang w:val="zh-CN"/>
        </w:rPr>
      </w:pPr>
      <w:r>
        <w:rPr>
          <w:color w:val="auto"/>
          <w:highlight w:val="none"/>
          <w:lang w:val="zh-CN"/>
        </w:rPr>
        <w:t>15.4</w:t>
      </w:r>
      <w:r>
        <w:rPr>
          <w:rFonts w:hint="eastAsia"/>
          <w:color w:val="auto"/>
          <w:highlight w:val="none"/>
          <w:lang w:val="zh-CN"/>
        </w:rPr>
        <w:t xml:space="preserve"> 本合同的权利和义务终止后，委托人和受托人应当遵循诚实信用原则，履行通知、协助、保密等义务。</w:t>
      </w:r>
    </w:p>
    <w:p>
      <w:pPr>
        <w:autoSpaceDE w:val="0"/>
        <w:autoSpaceDN w:val="0"/>
        <w:spacing w:line="440" w:lineRule="exact"/>
        <w:ind w:firstLine="480"/>
        <w:rPr>
          <w:b/>
          <w:bCs/>
          <w:color w:val="auto"/>
          <w:highlight w:val="none"/>
          <w:lang w:val="zh-CN"/>
        </w:rPr>
      </w:pPr>
      <w:r>
        <w:rPr>
          <w:rFonts w:hint="eastAsia"/>
          <w:b/>
          <w:bCs/>
          <w:color w:val="auto"/>
          <w:highlight w:val="none"/>
          <w:lang w:val="zh-CN"/>
        </w:rPr>
        <w:t>六、其他</w:t>
      </w:r>
    </w:p>
    <w:p>
      <w:pPr>
        <w:autoSpaceDE w:val="0"/>
        <w:autoSpaceDN w:val="0"/>
        <w:spacing w:line="440" w:lineRule="exact"/>
        <w:ind w:firstLine="480"/>
        <w:rPr>
          <w:color w:val="auto"/>
          <w:highlight w:val="none"/>
          <w:lang w:val="zh-CN"/>
        </w:rPr>
      </w:pPr>
      <w:r>
        <w:rPr>
          <w:color w:val="auto"/>
          <w:highlight w:val="none"/>
          <w:lang w:val="zh-CN"/>
        </w:rPr>
        <w:t>1</w:t>
      </w:r>
      <w:r>
        <w:rPr>
          <w:rFonts w:hint="eastAsia"/>
          <w:color w:val="auto"/>
          <w:highlight w:val="none"/>
          <w:lang w:val="zh-CN"/>
        </w:rPr>
        <w:t>6、补充条款</w:t>
      </w:r>
    </w:p>
    <w:p>
      <w:pPr>
        <w:autoSpaceDE w:val="0"/>
        <w:autoSpaceDN w:val="0"/>
        <w:spacing w:line="440" w:lineRule="exact"/>
        <w:ind w:firstLine="480"/>
        <w:rPr>
          <w:color w:val="auto"/>
          <w:highlight w:val="none"/>
          <w:lang w:val="zh-CN"/>
        </w:rPr>
      </w:pPr>
      <w:r>
        <w:rPr>
          <w:rFonts w:hint="eastAsia"/>
          <w:color w:val="auto"/>
          <w:highlight w:val="none"/>
          <w:lang w:val="zh-CN"/>
        </w:rPr>
        <w:t>双方根据有关法律、行政法规规定，结合本合同招标的采购项目实际，经协商一致后，可对本合同通用条款未涉及的内容进行补充。</w:t>
      </w:r>
    </w:p>
    <w:p>
      <w:pPr>
        <w:autoSpaceDE w:val="0"/>
        <w:autoSpaceDN w:val="0"/>
        <w:spacing w:line="440" w:lineRule="exact"/>
        <w:jc w:val="center"/>
        <w:rPr>
          <w:b/>
          <w:bCs/>
          <w:color w:val="auto"/>
          <w:highlight w:val="none"/>
          <w:lang w:val="zh-CN"/>
        </w:rPr>
      </w:pPr>
    </w:p>
    <w:p>
      <w:pPr>
        <w:autoSpaceDE w:val="0"/>
        <w:autoSpaceDN w:val="0"/>
        <w:spacing w:line="440" w:lineRule="exact"/>
        <w:jc w:val="center"/>
        <w:rPr>
          <w:b/>
          <w:bCs/>
          <w:color w:val="auto"/>
          <w:highlight w:val="none"/>
          <w:lang w:val="zh-CN"/>
        </w:rPr>
      </w:pPr>
    </w:p>
    <w:p>
      <w:pPr>
        <w:autoSpaceDE w:val="0"/>
        <w:autoSpaceDN w:val="0"/>
        <w:spacing w:line="440" w:lineRule="exact"/>
        <w:jc w:val="center"/>
        <w:rPr>
          <w:b/>
          <w:bCs/>
          <w:color w:val="auto"/>
          <w:highlight w:val="none"/>
          <w:lang w:val="zh-CN"/>
        </w:rPr>
      </w:pPr>
    </w:p>
    <w:p>
      <w:pPr>
        <w:autoSpaceDE w:val="0"/>
        <w:autoSpaceDN w:val="0"/>
        <w:spacing w:line="440" w:lineRule="exact"/>
        <w:jc w:val="center"/>
        <w:rPr>
          <w:b/>
          <w:bCs/>
          <w:color w:val="auto"/>
          <w:highlight w:val="none"/>
          <w:lang w:val="zh-CN"/>
        </w:rPr>
      </w:pPr>
    </w:p>
    <w:p>
      <w:pPr>
        <w:autoSpaceDE w:val="0"/>
        <w:autoSpaceDN w:val="0"/>
        <w:spacing w:line="440" w:lineRule="exact"/>
        <w:jc w:val="center"/>
        <w:rPr>
          <w:b/>
          <w:bCs/>
          <w:color w:val="auto"/>
          <w:highlight w:val="none"/>
          <w:lang w:val="zh-CN"/>
        </w:rPr>
      </w:pPr>
    </w:p>
    <w:p>
      <w:pPr>
        <w:autoSpaceDE w:val="0"/>
        <w:autoSpaceDN w:val="0"/>
        <w:spacing w:line="440" w:lineRule="exact"/>
        <w:rPr>
          <w:b/>
          <w:bCs/>
          <w:color w:val="auto"/>
          <w:highlight w:val="none"/>
          <w:lang w:val="zh-CN"/>
        </w:rPr>
      </w:pPr>
    </w:p>
    <w:p>
      <w:pPr>
        <w:autoSpaceDE w:val="0"/>
        <w:autoSpaceDN w:val="0"/>
        <w:spacing w:line="440" w:lineRule="exact"/>
        <w:jc w:val="center"/>
        <w:rPr>
          <w:b/>
          <w:bCs/>
          <w:color w:val="auto"/>
          <w:sz w:val="44"/>
          <w:szCs w:val="44"/>
          <w:highlight w:val="none"/>
          <w:lang w:val="zh-CN"/>
        </w:rPr>
      </w:pPr>
    </w:p>
    <w:p>
      <w:pPr>
        <w:autoSpaceDE w:val="0"/>
        <w:autoSpaceDN w:val="0"/>
        <w:spacing w:line="440" w:lineRule="exact"/>
        <w:rPr>
          <w:b/>
          <w:bCs/>
          <w:color w:val="auto"/>
          <w:sz w:val="44"/>
          <w:szCs w:val="44"/>
          <w:highlight w:val="none"/>
          <w:lang w:val="zh-CN"/>
        </w:rPr>
      </w:pPr>
    </w:p>
    <w:p>
      <w:pPr>
        <w:autoSpaceDE w:val="0"/>
        <w:autoSpaceDN w:val="0"/>
        <w:spacing w:line="440" w:lineRule="exact"/>
        <w:jc w:val="center"/>
        <w:rPr>
          <w:b/>
          <w:bCs/>
          <w:color w:val="auto"/>
          <w:sz w:val="44"/>
          <w:szCs w:val="44"/>
          <w:highlight w:val="none"/>
          <w:lang w:val="zh-CN"/>
        </w:rPr>
      </w:pPr>
      <w:r>
        <w:rPr>
          <w:rFonts w:hint="eastAsia"/>
          <w:b/>
          <w:bCs/>
          <w:color w:val="auto"/>
          <w:sz w:val="44"/>
          <w:szCs w:val="44"/>
          <w:highlight w:val="none"/>
          <w:lang w:val="zh-CN"/>
        </w:rPr>
        <w:t>第二部分 专用条款</w:t>
      </w:r>
    </w:p>
    <w:p>
      <w:pPr>
        <w:autoSpaceDE w:val="0"/>
        <w:autoSpaceDN w:val="0"/>
        <w:spacing w:line="440" w:lineRule="exact"/>
        <w:ind w:firstLine="540"/>
        <w:rPr>
          <w:b/>
          <w:bCs/>
          <w:color w:val="auto"/>
          <w:highlight w:val="none"/>
          <w:lang w:val="zh-CN"/>
        </w:rPr>
      </w:pPr>
      <w:r>
        <w:rPr>
          <w:rFonts w:hint="eastAsia"/>
          <w:b/>
          <w:bCs/>
          <w:color w:val="auto"/>
          <w:highlight w:val="none"/>
          <w:lang w:val="zh-CN"/>
        </w:rPr>
        <w:t>一、词语定义和适用法律</w:t>
      </w:r>
    </w:p>
    <w:p>
      <w:pPr>
        <w:autoSpaceDE w:val="0"/>
        <w:autoSpaceDN w:val="0"/>
        <w:spacing w:line="440" w:lineRule="exact"/>
        <w:ind w:firstLine="540"/>
        <w:rPr>
          <w:color w:val="auto"/>
          <w:highlight w:val="none"/>
          <w:lang w:val="zh-CN"/>
        </w:rPr>
      </w:pPr>
      <w:r>
        <w:rPr>
          <w:color w:val="auto"/>
          <w:highlight w:val="none"/>
          <w:lang w:val="zh-CN"/>
        </w:rPr>
        <w:t>2.</w:t>
      </w:r>
      <w:r>
        <w:rPr>
          <w:rFonts w:hint="eastAsia"/>
          <w:color w:val="auto"/>
          <w:highlight w:val="none"/>
          <w:lang w:val="zh-CN"/>
        </w:rPr>
        <w:t xml:space="preserve"> 合同文件及解释顺序</w:t>
      </w:r>
    </w:p>
    <w:p>
      <w:pPr>
        <w:autoSpaceDE w:val="0"/>
        <w:autoSpaceDN w:val="0"/>
        <w:spacing w:line="440" w:lineRule="exact"/>
        <w:ind w:firstLine="540"/>
        <w:rPr>
          <w:color w:val="auto"/>
          <w:highlight w:val="none"/>
          <w:u w:val="single"/>
          <w:lang w:val="zh-CN"/>
        </w:rPr>
      </w:pPr>
      <w:r>
        <w:rPr>
          <w:color w:val="auto"/>
          <w:highlight w:val="none"/>
          <w:lang w:val="zh-CN"/>
        </w:rPr>
        <w:t>2.1</w:t>
      </w:r>
      <w:r>
        <w:rPr>
          <w:rFonts w:hint="eastAsia"/>
          <w:color w:val="auto"/>
          <w:highlight w:val="none"/>
          <w:lang w:val="zh-CN"/>
        </w:rPr>
        <w:t xml:space="preserve"> 合同文件及解释顺序</w:t>
      </w:r>
      <w:r>
        <w:rPr>
          <w:rFonts w:hint="eastAsia"/>
          <w:color w:val="auto"/>
          <w:highlight w:val="none"/>
          <w:u w:val="single"/>
        </w:rPr>
        <w:t>（1）本合同履行过程中双方以书面形式签署的补充和修正文件；（2）本合同协议书：（3）本合同专用条款；（4）本合同通用条款。</w:t>
      </w:r>
    </w:p>
    <w:p>
      <w:pPr>
        <w:autoSpaceDE w:val="0"/>
        <w:autoSpaceDN w:val="0"/>
        <w:spacing w:line="440" w:lineRule="exact"/>
        <w:ind w:firstLine="540"/>
        <w:rPr>
          <w:color w:val="auto"/>
          <w:highlight w:val="none"/>
          <w:lang w:val="zh-CN"/>
        </w:rPr>
      </w:pPr>
      <w:r>
        <w:rPr>
          <w:color w:val="auto"/>
          <w:highlight w:val="none"/>
          <w:lang w:val="zh-CN"/>
        </w:rPr>
        <w:t>3</w:t>
      </w:r>
      <w:r>
        <w:rPr>
          <w:rFonts w:hint="eastAsia"/>
          <w:color w:val="auto"/>
          <w:highlight w:val="none"/>
          <w:lang w:val="zh-CN"/>
        </w:rPr>
        <w:t>、语言文字和适用法律</w:t>
      </w:r>
    </w:p>
    <w:p>
      <w:pPr>
        <w:autoSpaceDE w:val="0"/>
        <w:autoSpaceDN w:val="0"/>
        <w:spacing w:line="440" w:lineRule="exact"/>
        <w:ind w:firstLine="540"/>
        <w:rPr>
          <w:color w:val="auto"/>
          <w:highlight w:val="none"/>
          <w:lang w:val="zh-CN"/>
        </w:rPr>
      </w:pPr>
      <w:r>
        <w:rPr>
          <w:color w:val="auto"/>
          <w:highlight w:val="none"/>
          <w:lang w:val="zh-CN"/>
        </w:rPr>
        <w:t>3.1</w:t>
      </w:r>
      <w:r>
        <w:rPr>
          <w:rFonts w:hint="eastAsia"/>
          <w:color w:val="auto"/>
          <w:highlight w:val="none"/>
          <w:lang w:val="zh-CN"/>
        </w:rPr>
        <w:t xml:space="preserve"> 语言文字</w:t>
      </w:r>
    </w:p>
    <w:p>
      <w:pPr>
        <w:autoSpaceDE w:val="0"/>
        <w:autoSpaceDN w:val="0"/>
        <w:spacing w:line="480" w:lineRule="exact"/>
        <w:rPr>
          <w:color w:val="auto"/>
          <w:highlight w:val="none"/>
          <w:lang w:val="zh-CN"/>
        </w:rPr>
      </w:pPr>
      <w:r>
        <w:rPr>
          <w:rFonts w:hint="eastAsia"/>
          <w:color w:val="auto"/>
          <w:highlight w:val="none"/>
          <w:lang w:val="zh-CN"/>
        </w:rPr>
        <w:t>本合同采用的文字为：</w:t>
      </w:r>
      <w:r>
        <w:rPr>
          <w:rFonts w:hint="eastAsia"/>
          <w:color w:val="auto"/>
          <w:highlight w:val="none"/>
          <w:u w:val="single"/>
          <w:lang w:val="zh-CN"/>
        </w:rPr>
        <w:t xml:space="preserve">汉字                                                         </w:t>
      </w:r>
    </w:p>
    <w:p>
      <w:pPr>
        <w:autoSpaceDE w:val="0"/>
        <w:autoSpaceDN w:val="0"/>
        <w:spacing w:line="480" w:lineRule="exact"/>
        <w:ind w:firstLine="540"/>
        <w:rPr>
          <w:color w:val="auto"/>
          <w:highlight w:val="none"/>
          <w:lang w:val="zh-CN"/>
        </w:rPr>
      </w:pPr>
      <w:r>
        <w:rPr>
          <w:color w:val="auto"/>
          <w:highlight w:val="none"/>
          <w:lang w:val="zh-CN"/>
        </w:rPr>
        <w:t>3.2</w:t>
      </w:r>
      <w:r>
        <w:rPr>
          <w:rFonts w:hint="eastAsia"/>
          <w:color w:val="auto"/>
          <w:highlight w:val="none"/>
          <w:lang w:val="zh-CN"/>
        </w:rPr>
        <w:t xml:space="preserve"> 本合同需要明示的法律、行政法规：</w:t>
      </w:r>
    </w:p>
    <w:p>
      <w:pPr>
        <w:autoSpaceDE w:val="0"/>
        <w:autoSpaceDN w:val="0"/>
        <w:spacing w:line="480" w:lineRule="exact"/>
        <w:ind w:firstLine="540"/>
        <w:rPr>
          <w:color w:val="auto"/>
          <w:highlight w:val="none"/>
          <w:u w:val="single"/>
          <w:lang w:val="zh-CN"/>
        </w:rPr>
      </w:pPr>
      <w:r>
        <w:rPr>
          <w:rFonts w:hint="eastAsia"/>
          <w:color w:val="auto"/>
          <w:highlight w:val="none"/>
          <w:u w:val="single"/>
          <w:lang w:val="zh-CN"/>
        </w:rPr>
        <w:t xml:space="preserve">《中华人民共和国政府采购法》及其实施条例、《政府采购货物和服务招标投标管理办法》《中华人民共和国招投标法》、《中和人民共和国合同法》、《招标代理服务费收费管理暂行办法》、国家及地方颁布的相关法规。                                    </w:t>
      </w:r>
    </w:p>
    <w:p>
      <w:pPr>
        <w:autoSpaceDE w:val="0"/>
        <w:autoSpaceDN w:val="0"/>
        <w:spacing w:line="480" w:lineRule="exact"/>
        <w:ind w:firstLine="540"/>
        <w:rPr>
          <w:b/>
          <w:bCs/>
          <w:color w:val="auto"/>
          <w:highlight w:val="none"/>
          <w:lang w:val="zh-CN"/>
        </w:rPr>
      </w:pPr>
      <w:r>
        <w:rPr>
          <w:rFonts w:hint="eastAsia"/>
          <w:b/>
          <w:bCs/>
          <w:color w:val="auto"/>
          <w:highlight w:val="none"/>
          <w:lang w:val="zh-CN"/>
        </w:rPr>
        <w:t>二、双方一般权利和义务</w:t>
      </w:r>
    </w:p>
    <w:p>
      <w:pPr>
        <w:autoSpaceDE w:val="0"/>
        <w:autoSpaceDN w:val="0"/>
        <w:spacing w:line="480" w:lineRule="exact"/>
        <w:ind w:firstLine="540"/>
        <w:rPr>
          <w:color w:val="auto"/>
          <w:highlight w:val="none"/>
          <w:lang w:val="zh-CN"/>
        </w:rPr>
      </w:pPr>
      <w:r>
        <w:rPr>
          <w:color w:val="auto"/>
          <w:highlight w:val="none"/>
          <w:lang w:val="zh-CN"/>
        </w:rPr>
        <w:t>4</w:t>
      </w:r>
      <w:r>
        <w:rPr>
          <w:rFonts w:hint="eastAsia"/>
          <w:color w:val="auto"/>
          <w:highlight w:val="none"/>
          <w:lang w:val="zh-CN"/>
        </w:rPr>
        <w:t>、委托人的义务</w:t>
      </w:r>
    </w:p>
    <w:p>
      <w:pPr>
        <w:autoSpaceDE w:val="0"/>
        <w:autoSpaceDN w:val="0"/>
        <w:spacing w:line="480" w:lineRule="exact"/>
        <w:ind w:firstLine="540"/>
        <w:rPr>
          <w:color w:val="auto"/>
          <w:highlight w:val="none"/>
          <w:lang w:val="zh-CN"/>
        </w:rPr>
      </w:pPr>
      <w:r>
        <w:rPr>
          <w:color w:val="auto"/>
          <w:highlight w:val="none"/>
          <w:lang w:val="zh-CN"/>
        </w:rPr>
        <w:t>4.1</w:t>
      </w:r>
      <w:r>
        <w:rPr>
          <w:rFonts w:hint="eastAsia"/>
          <w:color w:val="auto"/>
          <w:highlight w:val="none"/>
          <w:lang w:val="zh-CN"/>
        </w:rPr>
        <w:t xml:space="preserve"> 委托招标代理工作的具体范围和内容：</w:t>
      </w:r>
    </w:p>
    <w:p>
      <w:pPr>
        <w:pStyle w:val="17"/>
        <w:spacing w:line="480" w:lineRule="exact"/>
        <w:ind w:left="480" w:firstLine="480"/>
        <w:rPr>
          <w:color w:val="auto"/>
          <w:sz w:val="24"/>
          <w:highlight w:val="none"/>
        </w:rPr>
      </w:pPr>
      <w:r>
        <w:rPr>
          <w:rFonts w:hint="eastAsia"/>
          <w:color w:val="auto"/>
          <w:sz w:val="24"/>
          <w:highlight w:val="none"/>
        </w:rPr>
        <w:t>（勘察□、设计□、监理□、施工□、设备□、其它：服务□）招标代理工作。</w:t>
      </w:r>
    </w:p>
    <w:p>
      <w:pPr>
        <w:spacing w:line="480" w:lineRule="exact"/>
        <w:ind w:firstLine="480" w:firstLineChars="200"/>
        <w:rPr>
          <w:color w:val="auto"/>
          <w:highlight w:val="none"/>
        </w:rPr>
      </w:pPr>
      <w:r>
        <w:rPr>
          <w:rFonts w:hint="eastAsia"/>
          <w:color w:val="auto"/>
          <w:highlight w:val="none"/>
        </w:rPr>
        <w:t>代理工作内容包括：</w:t>
      </w:r>
    </w:p>
    <w:p>
      <w:pPr>
        <w:spacing w:line="480" w:lineRule="exact"/>
        <w:ind w:firstLine="840" w:firstLineChars="350"/>
        <w:rPr>
          <w:color w:val="auto"/>
          <w:highlight w:val="none"/>
        </w:rPr>
      </w:pPr>
      <w:r>
        <w:rPr>
          <w:rFonts w:hint="eastAsia"/>
          <w:color w:val="auto"/>
          <w:highlight w:val="none"/>
        </w:rPr>
        <w:t>√1、招标项目备案登记；</w:t>
      </w:r>
    </w:p>
    <w:p>
      <w:pPr>
        <w:spacing w:line="480" w:lineRule="exact"/>
        <w:ind w:firstLine="840" w:firstLineChars="350"/>
        <w:rPr>
          <w:color w:val="auto"/>
          <w:highlight w:val="none"/>
        </w:rPr>
      </w:pPr>
      <w:r>
        <w:rPr>
          <w:rFonts w:hint="eastAsia"/>
          <w:color w:val="auto"/>
          <w:highlight w:val="none"/>
        </w:rPr>
        <w:t>√2、发布招标公告或邀请函；</w:t>
      </w:r>
    </w:p>
    <w:p>
      <w:pPr>
        <w:spacing w:line="480" w:lineRule="exact"/>
        <w:ind w:firstLine="840" w:firstLineChars="350"/>
        <w:rPr>
          <w:color w:val="auto"/>
          <w:highlight w:val="none"/>
        </w:rPr>
      </w:pPr>
      <w:r>
        <w:rPr>
          <w:rFonts w:hint="eastAsia"/>
          <w:color w:val="auto"/>
          <w:highlight w:val="none"/>
        </w:rPr>
        <w:t>√3、编制投标资格预审文件；</w:t>
      </w:r>
    </w:p>
    <w:p>
      <w:pPr>
        <w:spacing w:line="480" w:lineRule="exact"/>
        <w:ind w:firstLine="840" w:firstLineChars="350"/>
        <w:rPr>
          <w:color w:val="auto"/>
          <w:highlight w:val="none"/>
        </w:rPr>
      </w:pPr>
      <w:r>
        <w:rPr>
          <w:rFonts w:hint="eastAsia"/>
          <w:color w:val="auto"/>
          <w:highlight w:val="none"/>
        </w:rPr>
        <w:t>√4、对感兴趣的潜在投标人进行资格预审；</w:t>
      </w:r>
    </w:p>
    <w:p>
      <w:pPr>
        <w:spacing w:line="480" w:lineRule="exact"/>
        <w:ind w:firstLine="840" w:firstLineChars="350"/>
        <w:rPr>
          <w:color w:val="auto"/>
          <w:highlight w:val="none"/>
        </w:rPr>
      </w:pPr>
      <w:r>
        <w:rPr>
          <w:rFonts w:hint="eastAsia"/>
          <w:color w:val="auto"/>
          <w:highlight w:val="none"/>
        </w:rPr>
        <w:t>√5、编制招标文件；</w:t>
      </w:r>
    </w:p>
    <w:p>
      <w:pPr>
        <w:spacing w:line="480" w:lineRule="exact"/>
        <w:ind w:firstLine="840" w:firstLineChars="350"/>
        <w:rPr>
          <w:color w:val="auto"/>
          <w:highlight w:val="none"/>
        </w:rPr>
      </w:pPr>
      <w:r>
        <w:rPr>
          <w:rFonts w:hint="eastAsia"/>
          <w:color w:val="auto"/>
          <w:highlight w:val="none"/>
        </w:rPr>
        <w:t>√6、招标答疑、现场踏勘；</w:t>
      </w:r>
    </w:p>
    <w:p>
      <w:pPr>
        <w:spacing w:line="480" w:lineRule="exact"/>
        <w:ind w:firstLine="840" w:firstLineChars="350"/>
        <w:rPr>
          <w:color w:val="auto"/>
          <w:highlight w:val="none"/>
        </w:rPr>
      </w:pPr>
      <w:r>
        <w:rPr>
          <w:rFonts w:hint="eastAsia"/>
          <w:color w:val="auto"/>
          <w:highlight w:val="none"/>
        </w:rPr>
        <w:t>□7、编制工程量清单；</w:t>
      </w:r>
    </w:p>
    <w:p>
      <w:pPr>
        <w:spacing w:line="480" w:lineRule="exact"/>
        <w:ind w:firstLine="840" w:firstLineChars="350"/>
        <w:rPr>
          <w:color w:val="auto"/>
          <w:highlight w:val="none"/>
        </w:rPr>
      </w:pPr>
      <w:r>
        <w:rPr>
          <w:rFonts w:hint="eastAsia"/>
          <w:color w:val="auto"/>
          <w:highlight w:val="none"/>
        </w:rPr>
        <w:t>□8、编制工程预算、确定出合理的投标最高限价 ；</w:t>
      </w:r>
    </w:p>
    <w:p>
      <w:pPr>
        <w:spacing w:line="480" w:lineRule="exact"/>
        <w:ind w:firstLine="840" w:firstLineChars="350"/>
        <w:rPr>
          <w:color w:val="auto"/>
          <w:highlight w:val="none"/>
        </w:rPr>
      </w:pPr>
      <w:r>
        <w:rPr>
          <w:rFonts w:hint="eastAsia"/>
          <w:color w:val="auto"/>
          <w:highlight w:val="none"/>
        </w:rPr>
        <w:t>√9、组织进行开标、评标、定标活动；</w:t>
      </w:r>
    </w:p>
    <w:p>
      <w:pPr>
        <w:spacing w:line="480" w:lineRule="exact"/>
        <w:ind w:firstLine="840" w:firstLineChars="350"/>
        <w:rPr>
          <w:color w:val="auto"/>
          <w:highlight w:val="none"/>
        </w:rPr>
      </w:pPr>
      <w:r>
        <w:rPr>
          <w:rFonts w:hint="eastAsia"/>
          <w:color w:val="auto"/>
          <w:highlight w:val="none"/>
        </w:rPr>
        <w:t>√10、核发中标通知书；</w:t>
      </w:r>
    </w:p>
    <w:p>
      <w:pPr>
        <w:spacing w:line="480" w:lineRule="exact"/>
        <w:ind w:firstLine="840" w:firstLineChars="350"/>
        <w:rPr>
          <w:color w:val="auto"/>
          <w:highlight w:val="none"/>
        </w:rPr>
      </w:pPr>
      <w:r>
        <w:rPr>
          <w:rFonts w:hint="eastAsia"/>
          <w:color w:val="auto"/>
          <w:highlight w:val="none"/>
        </w:rPr>
        <w:t>□11、协调合同的签订；</w:t>
      </w:r>
    </w:p>
    <w:p>
      <w:pPr>
        <w:spacing w:line="480" w:lineRule="exact"/>
        <w:ind w:firstLine="840" w:firstLineChars="350"/>
        <w:rPr>
          <w:color w:val="auto"/>
          <w:highlight w:val="none"/>
        </w:rPr>
      </w:pPr>
      <w:r>
        <w:rPr>
          <w:rFonts w:hint="eastAsia"/>
          <w:color w:val="auto"/>
          <w:highlight w:val="none"/>
        </w:rPr>
        <w:t>□12、其它：</w:t>
      </w:r>
      <w:r>
        <w:rPr>
          <w:rFonts w:hint="eastAsia"/>
          <w:color w:val="auto"/>
          <w:highlight w:val="none"/>
          <w:u w:val="single"/>
        </w:rPr>
        <w:t>签订招标代理合同</w:t>
      </w:r>
      <w:r>
        <w:rPr>
          <w:rFonts w:hint="eastAsia"/>
          <w:color w:val="auto"/>
          <w:highlight w:val="none"/>
        </w:rPr>
        <w:t>。</w:t>
      </w:r>
    </w:p>
    <w:p>
      <w:pPr>
        <w:spacing w:line="390" w:lineRule="exact"/>
        <w:ind w:firstLine="480" w:firstLineChars="200"/>
        <w:rPr>
          <w:color w:val="auto"/>
          <w:highlight w:val="none"/>
        </w:rPr>
      </w:pPr>
      <w:r>
        <w:rPr>
          <w:rFonts w:hint="eastAsia"/>
          <w:color w:val="auto"/>
          <w:highlight w:val="none"/>
        </w:rPr>
        <w:t>（属委托内容在□打“√”不属委托内容在□内打“□”）</w:t>
      </w:r>
    </w:p>
    <w:p>
      <w:pPr>
        <w:autoSpaceDE w:val="0"/>
        <w:autoSpaceDN w:val="0"/>
        <w:spacing w:line="390" w:lineRule="exact"/>
        <w:ind w:firstLine="540"/>
        <w:rPr>
          <w:color w:val="auto"/>
          <w:highlight w:val="none"/>
          <w:lang w:val="zh-CN"/>
        </w:rPr>
      </w:pPr>
      <w:r>
        <w:rPr>
          <w:color w:val="auto"/>
          <w:highlight w:val="none"/>
          <w:lang w:val="zh-CN"/>
        </w:rPr>
        <w:t>4.2</w:t>
      </w:r>
      <w:r>
        <w:rPr>
          <w:rFonts w:hint="eastAsia"/>
          <w:color w:val="auto"/>
          <w:highlight w:val="none"/>
          <w:lang w:val="zh-CN"/>
        </w:rPr>
        <w:t xml:space="preserve"> 委托人应按约定的时间和要求完成下列工作：</w:t>
      </w:r>
    </w:p>
    <w:p>
      <w:pPr>
        <w:autoSpaceDE w:val="0"/>
        <w:autoSpaceDN w:val="0"/>
        <w:spacing w:line="390" w:lineRule="exact"/>
        <w:ind w:firstLine="480" w:firstLineChars="200"/>
        <w:rPr>
          <w:color w:val="auto"/>
          <w:highlight w:val="none"/>
        </w:rPr>
      </w:pPr>
      <w:r>
        <w:rPr>
          <w:rFonts w:hint="eastAsia"/>
          <w:color w:val="auto"/>
          <w:highlight w:val="none"/>
          <w:lang w:val="zh-CN"/>
        </w:rPr>
        <w:t>（</w:t>
      </w:r>
      <w:r>
        <w:rPr>
          <w:color w:val="auto"/>
          <w:highlight w:val="none"/>
          <w:lang w:val="zh-CN"/>
        </w:rPr>
        <w:t>1</w:t>
      </w:r>
      <w:r>
        <w:rPr>
          <w:rFonts w:hint="eastAsia"/>
          <w:color w:val="auto"/>
          <w:highlight w:val="none"/>
          <w:lang w:val="zh-CN"/>
        </w:rPr>
        <w:t>）向受托人提供本采购项目招标代理业务应具备的相关工作前期资料</w:t>
      </w:r>
      <w:r>
        <w:rPr>
          <w:rFonts w:hint="eastAsia"/>
          <w:color w:val="auto"/>
          <w:highlight w:val="none"/>
        </w:rPr>
        <w:t>如以下资料：</w:t>
      </w:r>
    </w:p>
    <w:p>
      <w:pPr>
        <w:spacing w:line="390" w:lineRule="exact"/>
        <w:ind w:firstLine="480" w:firstLineChars="200"/>
        <w:rPr>
          <w:color w:val="auto"/>
          <w:highlight w:val="none"/>
        </w:rPr>
      </w:pPr>
      <w:r>
        <w:rPr>
          <w:rFonts w:hint="eastAsia"/>
          <w:color w:val="auto"/>
          <w:highlight w:val="none"/>
        </w:rPr>
        <w:t>1、经财政局审批的采购项目备案表、立项批准手续、资金证明等；</w:t>
      </w:r>
    </w:p>
    <w:p>
      <w:pPr>
        <w:spacing w:line="390" w:lineRule="exact"/>
        <w:ind w:firstLine="480" w:firstLineChars="200"/>
        <w:rPr>
          <w:color w:val="auto"/>
          <w:highlight w:val="none"/>
        </w:rPr>
      </w:pPr>
      <w:r>
        <w:rPr>
          <w:rFonts w:hint="eastAsia"/>
          <w:color w:val="auto"/>
          <w:highlight w:val="none"/>
        </w:rPr>
        <w:t>2、本招标代理合同；</w:t>
      </w:r>
    </w:p>
    <w:p>
      <w:pPr>
        <w:spacing w:line="390" w:lineRule="exact"/>
        <w:ind w:firstLine="480" w:firstLineChars="200"/>
        <w:rPr>
          <w:color w:val="auto"/>
          <w:highlight w:val="none"/>
        </w:rPr>
      </w:pPr>
      <w:r>
        <w:rPr>
          <w:rFonts w:hint="eastAsia"/>
          <w:color w:val="auto"/>
          <w:highlight w:val="none"/>
        </w:rPr>
        <w:t xml:space="preserve">3、本采购项目相关的采购清单及技术资料。 </w:t>
      </w:r>
    </w:p>
    <w:p>
      <w:pPr>
        <w:autoSpaceDE w:val="0"/>
        <w:autoSpaceDN w:val="0"/>
        <w:spacing w:line="390" w:lineRule="exact"/>
        <w:ind w:firstLine="480" w:firstLineChars="200"/>
        <w:rPr>
          <w:color w:val="auto"/>
          <w:highlight w:val="none"/>
          <w:u w:val="single"/>
          <w:lang w:val="zh-CN"/>
        </w:rPr>
      </w:pPr>
      <w:r>
        <w:rPr>
          <w:rFonts w:hint="eastAsia"/>
          <w:color w:val="auto"/>
          <w:highlight w:val="none"/>
          <w:lang w:val="zh-CN"/>
        </w:rPr>
        <w:t>（</w:t>
      </w:r>
      <w:r>
        <w:rPr>
          <w:color w:val="auto"/>
          <w:highlight w:val="none"/>
          <w:lang w:val="zh-CN"/>
        </w:rPr>
        <w:t>2</w:t>
      </w:r>
      <w:r>
        <w:rPr>
          <w:rFonts w:hint="eastAsia"/>
          <w:color w:val="auto"/>
          <w:highlight w:val="none"/>
          <w:lang w:val="zh-CN"/>
        </w:rPr>
        <w:t>）向受托人提供完全代理招标业务所需的全部资料的时间：</w:t>
      </w:r>
      <w:r>
        <w:rPr>
          <w:rFonts w:hint="eastAsia"/>
          <w:color w:val="auto"/>
          <w:highlight w:val="none"/>
          <w:u w:val="single"/>
          <w:lang w:val="zh-CN"/>
        </w:rPr>
        <w:t xml:space="preserve"> 三日内            </w:t>
      </w:r>
    </w:p>
    <w:p>
      <w:pPr>
        <w:autoSpaceDE w:val="0"/>
        <w:autoSpaceDN w:val="0"/>
        <w:spacing w:line="390" w:lineRule="exact"/>
        <w:ind w:firstLine="480" w:firstLineChars="200"/>
        <w:rPr>
          <w:color w:val="auto"/>
          <w:highlight w:val="none"/>
          <w:u w:val="single"/>
          <w:vertAlign w:val="subscript"/>
        </w:rPr>
      </w:pPr>
      <w:r>
        <w:rPr>
          <w:rFonts w:hint="eastAsia"/>
          <w:color w:val="auto"/>
          <w:highlight w:val="none"/>
          <w:lang w:val="zh-CN"/>
        </w:rPr>
        <w:t>（</w:t>
      </w:r>
      <w:r>
        <w:rPr>
          <w:color w:val="auto"/>
          <w:highlight w:val="none"/>
          <w:lang w:val="zh-CN"/>
        </w:rPr>
        <w:t>3</w:t>
      </w:r>
      <w:r>
        <w:rPr>
          <w:rFonts w:hint="eastAsia"/>
          <w:color w:val="auto"/>
          <w:highlight w:val="none"/>
          <w:lang w:val="zh-CN"/>
        </w:rPr>
        <w:t>）向受托人提供保证招标工作顺利完成的条件：</w:t>
      </w:r>
      <w:r>
        <w:rPr>
          <w:rFonts w:hint="eastAsia"/>
          <w:color w:val="auto"/>
          <w:highlight w:val="none"/>
          <w:u w:val="single"/>
          <w:lang w:val="zh-CN"/>
        </w:rPr>
        <w:t xml:space="preserve"> 提供前期资料                 </w:t>
      </w:r>
    </w:p>
    <w:p>
      <w:pPr>
        <w:autoSpaceDE w:val="0"/>
        <w:autoSpaceDN w:val="0"/>
        <w:spacing w:line="390" w:lineRule="exact"/>
        <w:ind w:firstLine="480" w:firstLineChars="200"/>
        <w:rPr>
          <w:color w:val="auto"/>
          <w:highlight w:val="none"/>
          <w:lang w:val="zh-CN"/>
        </w:rPr>
      </w:pPr>
      <w:r>
        <w:rPr>
          <w:rFonts w:hint="eastAsia"/>
          <w:color w:val="auto"/>
          <w:highlight w:val="none"/>
          <w:lang w:val="zh-CN"/>
        </w:rPr>
        <w:t>（</w:t>
      </w:r>
      <w:r>
        <w:rPr>
          <w:color w:val="auto"/>
          <w:highlight w:val="none"/>
          <w:lang w:val="zh-CN"/>
        </w:rPr>
        <w:t>4</w:t>
      </w:r>
      <w:r>
        <w:rPr>
          <w:rFonts w:hint="eastAsia"/>
          <w:color w:val="auto"/>
          <w:highlight w:val="none"/>
          <w:lang w:val="zh-CN"/>
        </w:rPr>
        <w:t>）指定的与受托人联系的人员</w:t>
      </w:r>
    </w:p>
    <w:p>
      <w:pPr>
        <w:autoSpaceDE w:val="0"/>
        <w:autoSpaceDN w:val="0"/>
        <w:spacing w:line="390" w:lineRule="exact"/>
        <w:ind w:firstLine="960" w:firstLineChars="400"/>
        <w:rPr>
          <w:color w:val="auto"/>
          <w:highlight w:val="none"/>
          <w:u w:val="single"/>
          <w:lang w:val="zh-CN"/>
        </w:rPr>
      </w:pPr>
      <w:r>
        <w:rPr>
          <w:rFonts w:hint="eastAsia"/>
          <w:color w:val="auto"/>
          <w:highlight w:val="none"/>
          <w:lang w:val="zh-CN"/>
        </w:rPr>
        <w:t>姓名：</w:t>
      </w:r>
      <w:r>
        <w:rPr>
          <w:rFonts w:hint="eastAsia"/>
          <w:color w:val="auto"/>
          <w:highlight w:val="none"/>
          <w:u w:val="single"/>
          <w:lang w:val="zh-CN"/>
        </w:rPr>
        <w:t xml:space="preserve">           </w:t>
      </w:r>
      <w:r>
        <w:rPr>
          <w:rFonts w:hint="eastAsia"/>
          <w:color w:val="auto"/>
          <w:highlight w:val="none"/>
        </w:rPr>
        <w:t xml:space="preserve">         </w:t>
      </w:r>
      <w:r>
        <w:rPr>
          <w:rFonts w:hint="eastAsia"/>
          <w:color w:val="auto"/>
          <w:highlight w:val="none"/>
          <w:lang w:val="zh-CN"/>
        </w:rPr>
        <w:t>职务：</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lang w:val="zh-CN"/>
        </w:rPr>
        <w:t>电话：</w:t>
      </w:r>
      <w:r>
        <w:rPr>
          <w:rFonts w:hint="eastAsia" w:cs="仿宋"/>
          <w:color w:val="auto"/>
          <w:highlight w:val="none"/>
          <w:u w:val="single"/>
        </w:rPr>
        <w:t xml:space="preserve">              </w:t>
      </w:r>
      <w:r>
        <w:rPr>
          <w:rFonts w:hint="eastAsia"/>
          <w:color w:val="auto"/>
          <w:highlight w:val="none"/>
          <w:u w:val="single"/>
        </w:rPr>
        <w:t xml:space="preserve"> </w:t>
      </w:r>
    </w:p>
    <w:p>
      <w:pPr>
        <w:autoSpaceDE w:val="0"/>
        <w:autoSpaceDN w:val="0"/>
        <w:spacing w:line="390" w:lineRule="exact"/>
        <w:ind w:firstLine="576" w:firstLineChars="240"/>
        <w:rPr>
          <w:rFonts w:cs="仿宋"/>
          <w:color w:val="auto"/>
          <w:highlight w:val="none"/>
          <w:u w:val="single"/>
          <w:vertAlign w:val="subscript"/>
        </w:rPr>
      </w:pPr>
      <w:r>
        <w:rPr>
          <w:rFonts w:hint="eastAsia" w:cs="仿宋"/>
          <w:color w:val="auto"/>
          <w:highlight w:val="none"/>
          <w:lang w:val="zh-CN"/>
        </w:rPr>
        <w:t>（5）需要与第三方协调的工作：</w:t>
      </w:r>
      <w:r>
        <w:rPr>
          <w:rFonts w:hint="eastAsia" w:cs="仿宋"/>
          <w:color w:val="auto"/>
          <w:highlight w:val="none"/>
          <w:u w:val="single"/>
          <w:lang w:val="zh-CN"/>
        </w:rPr>
        <w:t xml:space="preserve"> 由受托人承办具体工作                                      </w:t>
      </w:r>
    </w:p>
    <w:p>
      <w:pPr>
        <w:autoSpaceDE w:val="0"/>
        <w:autoSpaceDN w:val="0"/>
        <w:spacing w:line="390" w:lineRule="exact"/>
        <w:ind w:firstLine="540"/>
        <w:rPr>
          <w:rFonts w:cs="仿宋"/>
          <w:color w:val="auto"/>
          <w:highlight w:val="none"/>
          <w:u w:val="single"/>
          <w:vertAlign w:val="subscript"/>
        </w:rPr>
      </w:pPr>
      <w:r>
        <w:rPr>
          <w:rFonts w:hint="eastAsia" w:cs="仿宋"/>
          <w:color w:val="auto"/>
          <w:highlight w:val="none"/>
          <w:lang w:val="zh-CN"/>
        </w:rPr>
        <w:t>（6）应尽的其他义务：</w:t>
      </w:r>
      <w:r>
        <w:rPr>
          <w:rFonts w:hint="eastAsia" w:cs="仿宋"/>
          <w:color w:val="auto"/>
          <w:highlight w:val="none"/>
          <w:u w:val="single"/>
          <w:lang w:val="zh-CN"/>
        </w:rPr>
        <w:t xml:space="preserve"> 无 。</w:t>
      </w:r>
    </w:p>
    <w:p>
      <w:pPr>
        <w:autoSpaceDE w:val="0"/>
        <w:autoSpaceDN w:val="0"/>
        <w:spacing w:line="390" w:lineRule="exact"/>
        <w:ind w:firstLine="540"/>
        <w:rPr>
          <w:rFonts w:cs="仿宋"/>
          <w:color w:val="auto"/>
          <w:highlight w:val="none"/>
          <w:lang w:val="zh-CN"/>
        </w:rPr>
      </w:pPr>
      <w:r>
        <w:rPr>
          <w:rFonts w:hint="eastAsia" w:cs="仿宋"/>
          <w:color w:val="auto"/>
          <w:highlight w:val="none"/>
          <w:lang w:val="zh-CN"/>
        </w:rPr>
        <w:t>5、受托人的义务</w:t>
      </w:r>
    </w:p>
    <w:p>
      <w:pPr>
        <w:autoSpaceDE w:val="0"/>
        <w:autoSpaceDN w:val="0"/>
        <w:spacing w:line="390" w:lineRule="exact"/>
        <w:ind w:firstLine="540"/>
        <w:rPr>
          <w:rFonts w:cs="仿宋"/>
          <w:color w:val="auto"/>
          <w:highlight w:val="none"/>
          <w:lang w:val="zh-CN"/>
        </w:rPr>
      </w:pPr>
      <w:r>
        <w:rPr>
          <w:rFonts w:hint="eastAsia" w:cs="仿宋"/>
          <w:color w:val="auto"/>
          <w:highlight w:val="none"/>
          <w:lang w:val="zh-CN"/>
        </w:rPr>
        <w:t>5.1 招标代理项目负责人姓名：</w:t>
      </w:r>
      <w:r>
        <w:rPr>
          <w:rFonts w:hint="eastAsia" w:cs="仿宋"/>
          <w:color w:val="auto"/>
          <w:highlight w:val="none"/>
          <w:u w:val="single"/>
        </w:rPr>
        <w:t xml:space="preserve">         </w:t>
      </w:r>
      <w:r>
        <w:rPr>
          <w:rFonts w:hint="eastAsia" w:cs="仿宋"/>
          <w:color w:val="auto"/>
          <w:highlight w:val="none"/>
          <w:lang w:val="zh-CN"/>
        </w:rPr>
        <w:t xml:space="preserve">  身份证号：</w:t>
      </w:r>
      <w:r>
        <w:rPr>
          <w:rFonts w:hint="eastAsia" w:cs="仿宋"/>
          <w:color w:val="auto"/>
          <w:highlight w:val="none"/>
          <w:u w:val="single"/>
          <w:lang w:val="zh-CN"/>
        </w:rPr>
        <w:t xml:space="preserve">                    </w:t>
      </w:r>
      <w:r>
        <w:rPr>
          <w:rFonts w:hint="eastAsia" w:cs="仿宋"/>
          <w:color w:val="auto"/>
          <w:highlight w:val="none"/>
          <w:u w:val="single"/>
        </w:rPr>
        <w:t xml:space="preserve">  </w:t>
      </w:r>
    </w:p>
    <w:p>
      <w:pPr>
        <w:numPr>
          <w:ilvl w:val="0"/>
          <w:numId w:val="5"/>
        </w:numPr>
        <w:autoSpaceDE w:val="0"/>
        <w:autoSpaceDN w:val="0"/>
        <w:spacing w:line="390" w:lineRule="exact"/>
        <w:ind w:firstLine="540"/>
        <w:rPr>
          <w:rFonts w:cs="仿宋"/>
          <w:color w:val="auto"/>
          <w:highlight w:val="none"/>
          <w:u w:val="single"/>
        </w:rPr>
      </w:pPr>
      <w:r>
        <w:rPr>
          <w:rFonts w:hint="eastAsia" w:cs="仿宋"/>
          <w:color w:val="auto"/>
          <w:highlight w:val="none"/>
          <w:lang w:val="zh-CN"/>
        </w:rPr>
        <w:t>组织招标工作的内容和时间：（</w:t>
      </w:r>
      <w:r>
        <w:rPr>
          <w:rFonts w:hint="eastAsia" w:cs="仿宋"/>
          <w:color w:val="auto"/>
          <w:highlight w:val="none"/>
          <w:u w:val="single"/>
          <w:lang w:val="zh-CN"/>
        </w:rPr>
        <w:t>按招标工作的程序写明每项工作的具体内容和时间</w:t>
      </w:r>
      <w:r>
        <w:rPr>
          <w:rFonts w:hint="eastAsia" w:cs="仿宋"/>
          <w:color w:val="auto"/>
          <w:highlight w:val="none"/>
          <w:lang w:val="zh-CN"/>
        </w:rPr>
        <w:t>）</w:t>
      </w:r>
      <w:r>
        <w:rPr>
          <w:rFonts w:hint="eastAsia" w:cs="仿宋"/>
          <w:color w:val="auto"/>
          <w:highlight w:val="none"/>
          <w:u w:val="single"/>
        </w:rPr>
        <w:t xml:space="preserve">招标工作内容：①招标项目备案登记②发布招标公告或邀请函③编制投标资格预审文件④对投标人进行资格预审⑤编制招标文件⑥招标答疑、现场踏勘⑦组织进行开标、评标、定标活动⑧核发中标通知书 </w:t>
      </w:r>
    </w:p>
    <w:p>
      <w:pPr>
        <w:autoSpaceDE w:val="0"/>
        <w:autoSpaceDN w:val="0"/>
        <w:spacing w:line="390" w:lineRule="exact"/>
        <w:ind w:firstLine="540"/>
        <w:rPr>
          <w:rFonts w:cs="仿宋"/>
          <w:color w:val="auto"/>
          <w:highlight w:val="none"/>
          <w:u w:val="single"/>
          <w:lang w:val="zh-CN"/>
        </w:rPr>
      </w:pPr>
      <w:r>
        <w:rPr>
          <w:rFonts w:hint="eastAsia" w:cs="仿宋"/>
          <w:color w:val="auto"/>
          <w:highlight w:val="none"/>
          <w:lang w:val="zh-CN"/>
        </w:rPr>
        <w:t>（2）为招标人提供的为完成招标工作的相关咨询服务：</w:t>
      </w:r>
      <w:r>
        <w:rPr>
          <w:rFonts w:hint="eastAsia" w:cs="仿宋"/>
          <w:color w:val="auto"/>
          <w:highlight w:val="none"/>
          <w:u w:val="single"/>
          <w:lang w:val="zh-CN"/>
        </w:rPr>
        <w:t xml:space="preserve">无。    </w:t>
      </w:r>
    </w:p>
    <w:p>
      <w:pPr>
        <w:autoSpaceDE w:val="0"/>
        <w:autoSpaceDN w:val="0"/>
        <w:spacing w:line="390" w:lineRule="exact"/>
        <w:ind w:firstLine="540"/>
        <w:rPr>
          <w:rFonts w:cs="仿宋"/>
          <w:color w:val="auto"/>
          <w:highlight w:val="none"/>
          <w:lang w:val="zh-CN"/>
        </w:rPr>
      </w:pPr>
      <w:r>
        <w:rPr>
          <w:rFonts w:hint="eastAsia" w:cs="仿宋"/>
          <w:color w:val="auto"/>
          <w:highlight w:val="none"/>
          <w:lang w:val="zh-CN"/>
        </w:rPr>
        <w:t>（3）承担招标代理业务过程中，应由受托人支付的费用：</w:t>
      </w:r>
      <w:r>
        <w:rPr>
          <w:rFonts w:hint="eastAsia" w:cs="仿宋"/>
          <w:color w:val="auto"/>
          <w:highlight w:val="none"/>
          <w:u w:val="single"/>
          <w:lang w:val="zh-CN"/>
        </w:rPr>
        <w:t xml:space="preserve">专家评审费                                                              </w:t>
      </w:r>
    </w:p>
    <w:p>
      <w:pPr>
        <w:autoSpaceDE w:val="0"/>
        <w:autoSpaceDN w:val="0"/>
        <w:spacing w:line="390" w:lineRule="exact"/>
        <w:ind w:firstLine="540"/>
        <w:rPr>
          <w:rFonts w:cs="仿宋"/>
          <w:color w:val="auto"/>
          <w:highlight w:val="none"/>
          <w:u w:val="single"/>
          <w:vertAlign w:val="subscript"/>
        </w:rPr>
      </w:pPr>
      <w:r>
        <w:rPr>
          <w:rFonts w:hint="eastAsia" w:cs="仿宋"/>
          <w:color w:val="auto"/>
          <w:highlight w:val="none"/>
          <w:lang w:val="zh-CN"/>
        </w:rPr>
        <w:t>（4）应尽的其他义务：</w:t>
      </w:r>
      <w:r>
        <w:rPr>
          <w:rFonts w:hint="eastAsia" w:cs="仿宋"/>
          <w:color w:val="auto"/>
          <w:highlight w:val="none"/>
          <w:u w:val="single"/>
          <w:lang w:val="zh-CN"/>
        </w:rPr>
        <w:t xml:space="preserve">受托人应协助委托人协调外部关系，做好招标过程中的全部工作及相关事宜。 </w:t>
      </w:r>
    </w:p>
    <w:p>
      <w:pPr>
        <w:autoSpaceDE w:val="0"/>
        <w:autoSpaceDN w:val="0"/>
        <w:spacing w:line="390" w:lineRule="exact"/>
        <w:ind w:firstLine="540"/>
        <w:rPr>
          <w:rFonts w:cs="仿宋"/>
          <w:color w:val="auto"/>
          <w:highlight w:val="none"/>
          <w:lang w:val="zh-CN"/>
        </w:rPr>
      </w:pPr>
      <w:r>
        <w:rPr>
          <w:rFonts w:hint="eastAsia" w:cs="仿宋"/>
          <w:color w:val="auto"/>
          <w:highlight w:val="none"/>
          <w:lang w:val="zh-CN"/>
        </w:rPr>
        <w:t>6、委托人的权利</w:t>
      </w:r>
    </w:p>
    <w:p>
      <w:pPr>
        <w:autoSpaceDE w:val="0"/>
        <w:autoSpaceDN w:val="0"/>
        <w:spacing w:line="390" w:lineRule="exact"/>
        <w:ind w:firstLine="540"/>
        <w:rPr>
          <w:rFonts w:cs="仿宋"/>
          <w:color w:val="auto"/>
          <w:highlight w:val="none"/>
          <w:lang w:val="zh-CN"/>
        </w:rPr>
      </w:pPr>
      <w:r>
        <w:rPr>
          <w:rFonts w:hint="eastAsia" w:cs="仿宋"/>
          <w:color w:val="auto"/>
          <w:highlight w:val="none"/>
          <w:lang w:val="zh-CN"/>
        </w:rPr>
        <w:t>6.1 委托人拥有的权利：</w:t>
      </w:r>
    </w:p>
    <w:p>
      <w:pPr>
        <w:autoSpaceDE w:val="0"/>
        <w:autoSpaceDN w:val="0"/>
        <w:spacing w:line="390" w:lineRule="exact"/>
        <w:ind w:firstLine="540"/>
        <w:rPr>
          <w:rFonts w:cs="仿宋"/>
          <w:color w:val="auto"/>
          <w:highlight w:val="none"/>
          <w:u w:val="single"/>
          <w:lang w:val="zh-CN"/>
        </w:rPr>
      </w:pPr>
      <w:r>
        <w:rPr>
          <w:rFonts w:hint="eastAsia" w:cs="仿宋"/>
          <w:color w:val="auto"/>
          <w:highlight w:val="none"/>
          <w:lang w:val="zh-CN"/>
        </w:rPr>
        <w:t>6.2 委托人拥有的其他权利：</w:t>
      </w:r>
      <w:r>
        <w:rPr>
          <w:rFonts w:hint="eastAsia" w:cs="仿宋"/>
          <w:color w:val="auto"/>
          <w:highlight w:val="none"/>
          <w:u w:val="single"/>
          <w:lang w:val="zh-CN"/>
        </w:rPr>
        <w:t xml:space="preserve">执行通用条款6.1条                                              </w:t>
      </w:r>
    </w:p>
    <w:p>
      <w:pPr>
        <w:tabs>
          <w:tab w:val="left" w:pos="540"/>
        </w:tabs>
        <w:autoSpaceDE w:val="0"/>
        <w:autoSpaceDN w:val="0"/>
        <w:spacing w:line="390" w:lineRule="exact"/>
        <w:ind w:firstLine="540"/>
        <w:rPr>
          <w:rFonts w:cs="仿宋"/>
          <w:color w:val="auto"/>
          <w:highlight w:val="none"/>
          <w:lang w:val="zh-CN"/>
        </w:rPr>
      </w:pPr>
      <w:r>
        <w:rPr>
          <w:rFonts w:hint="eastAsia" w:cs="仿宋"/>
          <w:color w:val="auto"/>
          <w:highlight w:val="none"/>
          <w:lang w:val="zh-CN"/>
        </w:rPr>
        <w:t xml:space="preserve">7、受托人的权利 </w:t>
      </w:r>
    </w:p>
    <w:p>
      <w:pPr>
        <w:autoSpaceDE w:val="0"/>
        <w:autoSpaceDN w:val="0"/>
        <w:spacing w:line="390" w:lineRule="exact"/>
        <w:ind w:firstLine="540"/>
        <w:rPr>
          <w:rFonts w:cs="仿宋"/>
          <w:color w:val="auto"/>
          <w:highlight w:val="none"/>
          <w:lang w:val="zh-CN"/>
        </w:rPr>
      </w:pPr>
      <w:r>
        <w:rPr>
          <w:rFonts w:hint="eastAsia" w:cs="仿宋"/>
          <w:color w:val="auto"/>
          <w:highlight w:val="none"/>
          <w:lang w:val="zh-CN"/>
        </w:rPr>
        <w:t>7.1 受托人拥有的权利：</w:t>
      </w:r>
      <w:r>
        <w:rPr>
          <w:rFonts w:hint="eastAsia" w:cs="仿宋"/>
          <w:color w:val="auto"/>
          <w:highlight w:val="none"/>
          <w:u w:val="single"/>
          <w:lang w:val="zh-CN"/>
        </w:rPr>
        <w:t>委托人有权要求受托人在出现非正常情况或重大问题时及时向委托人汇报，受托人不能自行决定。</w:t>
      </w:r>
    </w:p>
    <w:p>
      <w:pPr>
        <w:tabs>
          <w:tab w:val="left" w:pos="720"/>
          <w:tab w:val="left" w:pos="900"/>
        </w:tabs>
        <w:autoSpaceDE w:val="0"/>
        <w:autoSpaceDN w:val="0"/>
        <w:spacing w:line="390" w:lineRule="exact"/>
        <w:ind w:firstLine="600" w:firstLineChars="250"/>
        <w:rPr>
          <w:rFonts w:cs="仿宋"/>
          <w:color w:val="auto"/>
          <w:highlight w:val="none"/>
          <w:u w:val="single"/>
          <w:lang w:val="zh-CN"/>
        </w:rPr>
      </w:pPr>
      <w:r>
        <w:rPr>
          <w:rFonts w:hint="eastAsia" w:cs="仿宋"/>
          <w:color w:val="auto"/>
          <w:highlight w:val="none"/>
          <w:lang w:val="zh-CN"/>
        </w:rPr>
        <w:t>7.2 受托人拥有的其他权利：</w:t>
      </w:r>
      <w:r>
        <w:rPr>
          <w:rFonts w:hint="eastAsia" w:cs="仿宋"/>
          <w:color w:val="auto"/>
          <w:highlight w:val="none"/>
          <w:u w:val="single"/>
          <w:lang w:val="zh-CN"/>
        </w:rPr>
        <w:t xml:space="preserve">执行通用条款7.1条                                              </w:t>
      </w:r>
    </w:p>
    <w:p>
      <w:pPr>
        <w:autoSpaceDE w:val="0"/>
        <w:autoSpaceDN w:val="0"/>
        <w:spacing w:line="390" w:lineRule="exact"/>
        <w:ind w:firstLine="540"/>
        <w:rPr>
          <w:rFonts w:cs="仿宋"/>
          <w:b/>
          <w:bCs/>
          <w:color w:val="auto"/>
          <w:highlight w:val="none"/>
          <w:lang w:val="zh-CN"/>
        </w:rPr>
      </w:pPr>
      <w:r>
        <w:rPr>
          <w:rFonts w:hint="eastAsia" w:cs="仿宋"/>
          <w:b/>
          <w:bCs/>
          <w:color w:val="auto"/>
          <w:highlight w:val="none"/>
          <w:lang w:val="zh-CN"/>
        </w:rPr>
        <w:t>三、委托代理报酬与收取</w:t>
      </w:r>
    </w:p>
    <w:p>
      <w:pPr>
        <w:autoSpaceDE w:val="0"/>
        <w:autoSpaceDN w:val="0"/>
        <w:spacing w:line="390" w:lineRule="exact"/>
        <w:ind w:firstLine="540"/>
        <w:rPr>
          <w:rFonts w:cs="仿宋"/>
          <w:color w:val="auto"/>
          <w:highlight w:val="none"/>
          <w:lang w:val="zh-CN"/>
        </w:rPr>
      </w:pPr>
      <w:r>
        <w:rPr>
          <w:rFonts w:hint="eastAsia" w:cs="仿宋"/>
          <w:color w:val="auto"/>
          <w:highlight w:val="none"/>
          <w:lang w:val="zh-CN"/>
        </w:rPr>
        <w:t>8、委托代理报酬</w:t>
      </w:r>
    </w:p>
    <w:p>
      <w:pPr>
        <w:autoSpaceDE w:val="0"/>
        <w:autoSpaceDN w:val="0"/>
        <w:spacing w:line="390" w:lineRule="exact"/>
        <w:ind w:firstLine="540"/>
        <w:rPr>
          <w:rFonts w:cs="仿宋"/>
          <w:color w:val="auto"/>
          <w:highlight w:val="none"/>
          <w:u w:val="single"/>
          <w:lang w:val="zh-CN"/>
        </w:rPr>
      </w:pPr>
      <w:r>
        <w:rPr>
          <w:rFonts w:hint="eastAsia" w:cs="仿宋"/>
          <w:color w:val="auto"/>
          <w:highlight w:val="none"/>
          <w:lang w:val="zh-CN"/>
        </w:rPr>
        <w:t>8.1 代理报酬的计算方法</w:t>
      </w:r>
    </w:p>
    <w:p>
      <w:pPr>
        <w:spacing w:line="460" w:lineRule="exact"/>
        <w:ind w:left="2160" w:leftChars="400" w:hanging="1200" w:hangingChars="500"/>
        <w:rPr>
          <w:rFonts w:cs="仿宋"/>
          <w:color w:val="auto"/>
          <w:highlight w:val="none"/>
        </w:rPr>
      </w:pPr>
      <w:r>
        <w:rPr>
          <w:rFonts w:hint="eastAsia"/>
          <w:color w:val="auto"/>
          <w:highlight w:val="none"/>
        </w:rPr>
        <w:t>代理报酬：</w:t>
      </w:r>
      <w:r>
        <w:rPr>
          <w:rFonts w:hint="eastAsia"/>
          <w:color w:val="auto"/>
          <w:highlight w:val="none"/>
          <w:u w:val="single"/>
        </w:rPr>
        <w:t xml:space="preserve">                                                            </w:t>
      </w:r>
      <w:r>
        <w:rPr>
          <w:rFonts w:hint="eastAsia" w:cs="仿宋"/>
          <w:color w:val="auto"/>
          <w:highlight w:val="none"/>
          <w:u w:val="single"/>
        </w:rPr>
        <w:t xml:space="preserve"> </w:t>
      </w:r>
    </w:p>
    <w:p>
      <w:pPr>
        <w:autoSpaceDE w:val="0"/>
        <w:autoSpaceDN w:val="0"/>
        <w:spacing w:line="560" w:lineRule="exact"/>
        <w:rPr>
          <w:rFonts w:cs="仿宋"/>
          <w:color w:val="auto"/>
          <w:highlight w:val="none"/>
          <w:lang w:val="zh-CN"/>
        </w:rPr>
      </w:pPr>
    </w:p>
    <w:p>
      <w:pPr>
        <w:autoSpaceDE w:val="0"/>
        <w:autoSpaceDN w:val="0"/>
        <w:spacing w:line="560" w:lineRule="exact"/>
        <w:rPr>
          <w:rFonts w:cs="仿宋"/>
          <w:color w:val="auto"/>
          <w:highlight w:val="none"/>
          <w:lang w:val="zh-CN"/>
        </w:rPr>
      </w:pPr>
      <w:r>
        <w:rPr>
          <w:rFonts w:hint="eastAsia" w:cs="仿宋"/>
          <w:color w:val="auto"/>
          <w:highlight w:val="none"/>
          <w:lang w:val="zh-CN"/>
        </w:rPr>
        <w:t>代理报酬的币种：</w:t>
      </w:r>
      <w:r>
        <w:rPr>
          <w:rFonts w:hint="eastAsia" w:cs="仿宋"/>
          <w:color w:val="auto"/>
          <w:highlight w:val="none"/>
          <w:u w:val="single"/>
          <w:lang w:val="zh-CN"/>
        </w:rPr>
        <w:t xml:space="preserve">人民币                                                                    </w:t>
      </w:r>
    </w:p>
    <w:p>
      <w:pPr>
        <w:autoSpaceDE w:val="0"/>
        <w:autoSpaceDN w:val="0"/>
        <w:spacing w:line="560" w:lineRule="exact"/>
        <w:rPr>
          <w:rFonts w:cs="仿宋"/>
          <w:color w:val="auto"/>
          <w:highlight w:val="none"/>
          <w:lang w:val="zh-CN"/>
        </w:rPr>
      </w:pPr>
      <w:r>
        <w:rPr>
          <w:rFonts w:hint="eastAsia" w:cs="仿宋"/>
          <w:color w:val="auto"/>
          <w:highlight w:val="none"/>
          <w:lang w:val="zh-CN"/>
        </w:rPr>
        <w:t>代理报酬的支付方式：</w:t>
      </w:r>
      <w:r>
        <w:rPr>
          <w:rFonts w:hint="eastAsia" w:cs="仿宋"/>
          <w:color w:val="auto"/>
          <w:highlight w:val="none"/>
          <w:u w:val="single"/>
          <w:lang w:val="zh-CN"/>
        </w:rPr>
        <w:t>支票、现金</w:t>
      </w:r>
      <w:r>
        <w:rPr>
          <w:rFonts w:hint="eastAsia" w:cs="仿宋"/>
          <w:color w:val="auto"/>
          <w:highlight w:val="none"/>
          <w:u w:val="single"/>
        </w:rPr>
        <w:t xml:space="preserve">                                           </w:t>
      </w:r>
      <w:r>
        <w:rPr>
          <w:rFonts w:hint="eastAsia" w:cs="仿宋"/>
          <w:color w:val="auto"/>
          <w:highlight w:val="none"/>
          <w:u w:val="single"/>
          <w:lang w:val="zh-CN"/>
        </w:rPr>
        <w:t xml:space="preserve">      </w:t>
      </w:r>
    </w:p>
    <w:p>
      <w:pPr>
        <w:autoSpaceDE w:val="0"/>
        <w:autoSpaceDN w:val="0"/>
        <w:spacing w:line="560" w:lineRule="exact"/>
        <w:rPr>
          <w:rFonts w:cs="仿宋"/>
          <w:color w:val="auto"/>
          <w:highlight w:val="none"/>
          <w:u w:val="single"/>
        </w:rPr>
      </w:pPr>
      <w:r>
        <w:rPr>
          <w:rFonts w:hint="eastAsia" w:cs="仿宋"/>
          <w:color w:val="auto"/>
          <w:highlight w:val="none"/>
          <w:lang w:val="zh-CN"/>
        </w:rPr>
        <w:t>代理报酬的支付时间：</w:t>
      </w:r>
      <w:r>
        <w:rPr>
          <w:rFonts w:hint="eastAsia" w:cs="仿宋"/>
          <w:color w:val="auto"/>
          <w:highlight w:val="none"/>
          <w:u w:val="single"/>
        </w:rPr>
        <w:t xml:space="preserve">领取中标通知书前。                                        </w:t>
      </w:r>
    </w:p>
    <w:p>
      <w:pPr>
        <w:autoSpaceDE w:val="0"/>
        <w:autoSpaceDN w:val="0"/>
        <w:spacing w:line="560" w:lineRule="exact"/>
        <w:ind w:firstLine="540"/>
        <w:rPr>
          <w:rFonts w:cs="仿宋"/>
          <w:color w:val="auto"/>
          <w:highlight w:val="none"/>
          <w:lang w:val="zh-CN"/>
        </w:rPr>
      </w:pPr>
      <w:r>
        <w:rPr>
          <w:rFonts w:hint="eastAsia" w:cs="仿宋"/>
          <w:color w:val="auto"/>
          <w:highlight w:val="none"/>
          <w:lang w:val="zh-CN"/>
        </w:rPr>
        <w:t>9、委托代理报酬的收取</w:t>
      </w:r>
    </w:p>
    <w:p>
      <w:pPr>
        <w:autoSpaceDE w:val="0"/>
        <w:autoSpaceDN w:val="0"/>
        <w:spacing w:line="560" w:lineRule="exact"/>
        <w:ind w:firstLine="540"/>
        <w:rPr>
          <w:rFonts w:cs="仿宋"/>
          <w:color w:val="auto"/>
          <w:highlight w:val="none"/>
          <w:u w:val="single"/>
          <w:lang w:val="zh-CN"/>
        </w:rPr>
      </w:pPr>
      <w:r>
        <w:rPr>
          <w:rFonts w:hint="eastAsia" w:cs="仿宋"/>
          <w:color w:val="auto"/>
          <w:highlight w:val="none"/>
          <w:lang w:val="zh-CN"/>
        </w:rPr>
        <w:t>9.1 预计委托代理费用额度（比例）：</w:t>
      </w:r>
      <w:r>
        <w:rPr>
          <w:rFonts w:hint="eastAsia" w:cs="仿宋"/>
          <w:color w:val="auto"/>
          <w:highlight w:val="none"/>
          <w:u w:val="single"/>
          <w:lang w:val="zh-CN"/>
        </w:rPr>
        <w:t>无</w:t>
      </w:r>
    </w:p>
    <w:p>
      <w:pPr>
        <w:autoSpaceDE w:val="0"/>
        <w:autoSpaceDN w:val="0"/>
        <w:spacing w:line="560" w:lineRule="exact"/>
        <w:ind w:firstLine="540"/>
        <w:rPr>
          <w:rFonts w:cs="仿宋"/>
          <w:color w:val="auto"/>
          <w:highlight w:val="none"/>
          <w:u w:val="single"/>
          <w:lang w:val="zh-CN"/>
        </w:rPr>
      </w:pPr>
      <w:r>
        <w:rPr>
          <w:rFonts w:hint="eastAsia" w:cs="仿宋"/>
          <w:color w:val="auto"/>
          <w:highlight w:val="none"/>
          <w:lang w:val="zh-CN"/>
        </w:rPr>
        <w:t>9.3 逾期支付时，银行贷款利率：</w:t>
      </w:r>
      <w:r>
        <w:rPr>
          <w:rFonts w:hint="eastAsia" w:cs="仿宋"/>
          <w:color w:val="auto"/>
          <w:highlight w:val="none"/>
          <w:u w:val="single"/>
          <w:lang w:val="zh-CN"/>
        </w:rPr>
        <w:t>无</w:t>
      </w:r>
    </w:p>
    <w:p>
      <w:pPr>
        <w:autoSpaceDE w:val="0"/>
        <w:autoSpaceDN w:val="0"/>
        <w:spacing w:line="560" w:lineRule="exact"/>
        <w:ind w:firstLine="540"/>
        <w:rPr>
          <w:rFonts w:cs="仿宋"/>
          <w:color w:val="auto"/>
          <w:highlight w:val="none"/>
          <w:u w:val="single"/>
          <w:lang w:val="zh-CN"/>
        </w:rPr>
      </w:pPr>
      <w:r>
        <w:rPr>
          <w:rFonts w:hint="eastAsia" w:cs="仿宋"/>
          <w:color w:val="auto"/>
          <w:highlight w:val="none"/>
          <w:lang w:val="zh-CN"/>
        </w:rPr>
        <w:t>9.4 逾期支付时，应收取的利息：</w:t>
      </w:r>
      <w:r>
        <w:rPr>
          <w:rFonts w:hint="eastAsia" w:cs="仿宋"/>
          <w:color w:val="auto"/>
          <w:highlight w:val="none"/>
          <w:u w:val="single"/>
          <w:lang w:val="zh-CN"/>
        </w:rPr>
        <w:t>无</w:t>
      </w:r>
    </w:p>
    <w:p>
      <w:pPr>
        <w:autoSpaceDE w:val="0"/>
        <w:autoSpaceDN w:val="0"/>
        <w:spacing w:line="560" w:lineRule="exact"/>
        <w:ind w:firstLine="540"/>
        <w:rPr>
          <w:rFonts w:cs="仿宋"/>
          <w:b/>
          <w:bCs/>
          <w:color w:val="auto"/>
          <w:highlight w:val="none"/>
          <w:lang w:val="zh-CN"/>
        </w:rPr>
      </w:pPr>
      <w:r>
        <w:rPr>
          <w:rFonts w:hint="eastAsia" w:cs="仿宋"/>
          <w:b/>
          <w:bCs/>
          <w:color w:val="auto"/>
          <w:highlight w:val="none"/>
          <w:lang w:val="zh-CN"/>
        </w:rPr>
        <w:t>四、违约、索赔和争议</w:t>
      </w:r>
    </w:p>
    <w:p>
      <w:pPr>
        <w:autoSpaceDE w:val="0"/>
        <w:autoSpaceDN w:val="0"/>
        <w:spacing w:line="560" w:lineRule="exact"/>
        <w:ind w:firstLine="540"/>
        <w:rPr>
          <w:rFonts w:cs="仿宋"/>
          <w:color w:val="auto"/>
          <w:highlight w:val="none"/>
          <w:lang w:val="zh-CN"/>
        </w:rPr>
      </w:pPr>
      <w:r>
        <w:rPr>
          <w:rFonts w:hint="eastAsia" w:cs="仿宋"/>
          <w:color w:val="auto"/>
          <w:highlight w:val="none"/>
          <w:lang w:val="zh-CN"/>
        </w:rPr>
        <w:t>10、违约</w:t>
      </w:r>
    </w:p>
    <w:p>
      <w:pPr>
        <w:autoSpaceDE w:val="0"/>
        <w:autoSpaceDN w:val="0"/>
        <w:spacing w:line="560" w:lineRule="exact"/>
        <w:ind w:firstLine="540"/>
        <w:rPr>
          <w:rFonts w:cs="仿宋"/>
          <w:color w:val="auto"/>
          <w:highlight w:val="none"/>
          <w:lang w:val="zh-CN"/>
        </w:rPr>
      </w:pPr>
      <w:r>
        <w:rPr>
          <w:rFonts w:hint="eastAsia" w:cs="仿宋"/>
          <w:color w:val="auto"/>
          <w:highlight w:val="none"/>
          <w:lang w:val="zh-CN"/>
        </w:rPr>
        <w:t>10.1 本合同关于委托人违约的具体责任：</w:t>
      </w:r>
    </w:p>
    <w:p>
      <w:pPr>
        <w:autoSpaceDE w:val="0"/>
        <w:autoSpaceDN w:val="0"/>
        <w:spacing w:line="560" w:lineRule="exact"/>
        <w:ind w:firstLine="480" w:firstLineChars="200"/>
        <w:rPr>
          <w:rFonts w:cs="仿宋"/>
          <w:color w:val="auto"/>
          <w:highlight w:val="none"/>
          <w:lang w:val="zh-CN"/>
        </w:rPr>
      </w:pPr>
      <w:r>
        <w:rPr>
          <w:rFonts w:hint="eastAsia" w:cs="仿宋"/>
          <w:color w:val="auto"/>
          <w:highlight w:val="none"/>
          <w:lang w:val="zh-CN"/>
        </w:rPr>
        <w:t>（1）委托人未按照本合同通用条款第4.2</w:t>
      </w:r>
      <w:r>
        <w:rPr>
          <w:rFonts w:hint="eastAsia" w:cs="仿宋"/>
          <w:color w:val="auto"/>
          <w:highlight w:val="none"/>
        </w:rPr>
        <w:t>-</w:t>
      </w:r>
      <w:r>
        <w:rPr>
          <w:rFonts w:hint="eastAsia" w:cs="仿宋"/>
          <w:color w:val="auto"/>
          <w:highlight w:val="none"/>
          <w:lang w:val="zh-CN"/>
        </w:rPr>
        <w:t>（3）款的约定，向受托人提供保证招标工作顺利完成的条件应承担的违约责任：</w:t>
      </w:r>
      <w:r>
        <w:rPr>
          <w:rFonts w:hint="eastAsia" w:cs="仿宋"/>
          <w:color w:val="auto"/>
          <w:highlight w:val="none"/>
          <w:u w:val="single"/>
          <w:lang w:val="zh-CN"/>
        </w:rPr>
        <w:t xml:space="preserve">赔偿受托人因此受到的经济损失             </w:t>
      </w:r>
    </w:p>
    <w:p>
      <w:pPr>
        <w:autoSpaceDE w:val="0"/>
        <w:autoSpaceDN w:val="0"/>
        <w:spacing w:line="560" w:lineRule="exact"/>
        <w:ind w:firstLine="480" w:firstLineChars="200"/>
        <w:rPr>
          <w:rFonts w:cs="仿宋"/>
          <w:color w:val="auto"/>
          <w:highlight w:val="none"/>
          <w:lang w:val="zh-CN"/>
        </w:rPr>
      </w:pPr>
      <w:r>
        <w:rPr>
          <w:rFonts w:hint="eastAsia" w:cs="仿宋"/>
          <w:color w:val="auto"/>
          <w:highlight w:val="none"/>
          <w:lang w:val="zh-CN"/>
        </w:rPr>
        <w:t>（2）委托人未按本合同通用条款第4.2</w:t>
      </w:r>
      <w:r>
        <w:rPr>
          <w:rFonts w:hint="eastAsia" w:cs="仿宋"/>
          <w:color w:val="auto"/>
          <w:highlight w:val="none"/>
        </w:rPr>
        <w:t>-</w:t>
      </w:r>
      <w:r>
        <w:rPr>
          <w:rFonts w:hint="eastAsia" w:cs="仿宋"/>
          <w:color w:val="auto"/>
          <w:highlight w:val="none"/>
          <w:lang w:val="zh-CN"/>
        </w:rPr>
        <w:t>（6）款的约定，向受托人支付委托代理报酬应承担的违约责任：</w:t>
      </w:r>
      <w:r>
        <w:rPr>
          <w:rFonts w:hint="eastAsia" w:cs="仿宋"/>
          <w:color w:val="auto"/>
          <w:highlight w:val="none"/>
          <w:u w:val="single"/>
          <w:lang w:val="zh-CN"/>
        </w:rPr>
        <w:t xml:space="preserve">赔偿受托人因此受到的经济损失                                                                       </w:t>
      </w:r>
    </w:p>
    <w:p>
      <w:pPr>
        <w:autoSpaceDE w:val="0"/>
        <w:autoSpaceDN w:val="0"/>
        <w:spacing w:line="560" w:lineRule="exact"/>
        <w:ind w:firstLine="480" w:firstLineChars="200"/>
        <w:rPr>
          <w:rFonts w:cs="仿宋"/>
          <w:color w:val="auto"/>
          <w:highlight w:val="none"/>
          <w:u w:val="single"/>
          <w:lang w:val="zh-CN"/>
        </w:rPr>
      </w:pPr>
      <w:r>
        <w:rPr>
          <w:rFonts w:hint="eastAsia" w:cs="仿宋"/>
          <w:color w:val="auto"/>
          <w:highlight w:val="none"/>
          <w:lang w:val="zh-CN"/>
        </w:rPr>
        <w:t>（3）双方约定的委托人的其他违约责任：</w:t>
      </w:r>
      <w:r>
        <w:rPr>
          <w:rFonts w:hint="eastAsia" w:cs="仿宋"/>
          <w:color w:val="auto"/>
          <w:highlight w:val="none"/>
          <w:u w:val="single"/>
          <w:lang w:val="zh-CN"/>
        </w:rPr>
        <w:t>无</w:t>
      </w:r>
      <w:r>
        <w:rPr>
          <w:rFonts w:hint="eastAsia" w:cs="仿宋"/>
          <w:color w:val="auto"/>
          <w:highlight w:val="none"/>
          <w:u w:val="single"/>
        </w:rPr>
        <w:t xml:space="preserve">                          </w:t>
      </w:r>
    </w:p>
    <w:p>
      <w:pPr>
        <w:autoSpaceDE w:val="0"/>
        <w:autoSpaceDN w:val="0"/>
        <w:spacing w:line="560" w:lineRule="exact"/>
        <w:ind w:firstLine="480" w:firstLineChars="200"/>
        <w:rPr>
          <w:rFonts w:cs="仿宋"/>
          <w:color w:val="auto"/>
          <w:highlight w:val="none"/>
          <w:lang w:val="zh-CN"/>
        </w:rPr>
      </w:pPr>
      <w:r>
        <w:rPr>
          <w:rFonts w:hint="eastAsia" w:cs="仿宋"/>
          <w:color w:val="auto"/>
          <w:highlight w:val="none"/>
          <w:lang w:val="zh-CN"/>
        </w:rPr>
        <w:t>10.2 本合同关于受托人违约的具体责任：</w:t>
      </w:r>
    </w:p>
    <w:p>
      <w:pPr>
        <w:autoSpaceDE w:val="0"/>
        <w:autoSpaceDN w:val="0"/>
        <w:spacing w:line="560" w:lineRule="exact"/>
        <w:ind w:firstLine="480" w:firstLineChars="200"/>
        <w:rPr>
          <w:rFonts w:cs="仿宋"/>
          <w:color w:val="auto"/>
          <w:highlight w:val="none"/>
          <w:u w:val="single"/>
          <w:lang w:val="zh-CN"/>
        </w:rPr>
      </w:pPr>
      <w:r>
        <w:rPr>
          <w:rFonts w:hint="eastAsia" w:cs="仿宋"/>
          <w:color w:val="auto"/>
          <w:highlight w:val="none"/>
          <w:lang w:val="zh-CN"/>
        </w:rPr>
        <w:t>（1）受托人未按照本合同通用条款第5.2－（2）款的约定，向委托人提供为完成招标工作的咨询服务应承担的责任：</w:t>
      </w:r>
      <w:r>
        <w:rPr>
          <w:rFonts w:hint="eastAsia" w:cs="仿宋"/>
          <w:color w:val="auto"/>
          <w:highlight w:val="none"/>
          <w:u w:val="single"/>
          <w:lang w:val="zh-CN"/>
        </w:rPr>
        <w:t xml:space="preserve">执行通用条款                                                             </w:t>
      </w:r>
    </w:p>
    <w:p>
      <w:pPr>
        <w:autoSpaceDE w:val="0"/>
        <w:autoSpaceDN w:val="0"/>
        <w:spacing w:line="560" w:lineRule="exact"/>
        <w:ind w:firstLine="576" w:firstLineChars="240"/>
        <w:rPr>
          <w:rFonts w:cs="仿宋"/>
          <w:color w:val="auto"/>
          <w:highlight w:val="none"/>
          <w:vertAlign w:val="subscript"/>
        </w:rPr>
      </w:pPr>
      <w:r>
        <w:rPr>
          <w:rFonts w:hint="eastAsia" w:cs="仿宋"/>
          <w:color w:val="auto"/>
          <w:highlight w:val="none"/>
          <w:lang w:val="zh-CN"/>
        </w:rPr>
        <w:t>（2）受托人违反本合同通用条款第5.4款的约定，接受了与本合同政府采购项目有关的投标咨询业务应承担的违约责任：</w:t>
      </w:r>
      <w:r>
        <w:rPr>
          <w:rFonts w:hint="eastAsia" w:cs="仿宋"/>
          <w:color w:val="auto"/>
          <w:highlight w:val="none"/>
          <w:u w:val="single"/>
          <w:lang w:val="zh-CN"/>
        </w:rPr>
        <w:t xml:space="preserve">执行通用条款。                                                              </w:t>
      </w:r>
    </w:p>
    <w:p>
      <w:pPr>
        <w:autoSpaceDE w:val="0"/>
        <w:autoSpaceDN w:val="0"/>
        <w:spacing w:line="560" w:lineRule="exact"/>
        <w:ind w:firstLine="480" w:firstLineChars="200"/>
        <w:rPr>
          <w:rFonts w:cs="仿宋"/>
          <w:color w:val="auto"/>
          <w:highlight w:val="none"/>
          <w:vertAlign w:val="subscript"/>
        </w:rPr>
      </w:pPr>
      <w:r>
        <w:rPr>
          <w:rFonts w:hint="eastAsia" w:cs="仿宋"/>
          <w:color w:val="auto"/>
          <w:highlight w:val="none"/>
          <w:lang w:val="zh-CN"/>
        </w:rPr>
        <w:t>（3）受托人违反本合同通用条款第5.7款的约定，泄露了与本合同采购项目有关的任何不应泄露的招标资料和情况应承担的违约责任：</w:t>
      </w:r>
      <w:r>
        <w:rPr>
          <w:rFonts w:hint="eastAsia" w:cs="仿宋"/>
          <w:color w:val="auto"/>
          <w:highlight w:val="none"/>
          <w:u w:val="single"/>
          <w:lang w:val="zh-CN"/>
        </w:rPr>
        <w:t xml:space="preserve">执行通用条款。                                                    </w:t>
      </w:r>
    </w:p>
    <w:p>
      <w:pPr>
        <w:autoSpaceDE w:val="0"/>
        <w:autoSpaceDN w:val="0"/>
        <w:spacing w:line="560" w:lineRule="exact"/>
        <w:ind w:firstLine="120" w:firstLineChars="50"/>
        <w:rPr>
          <w:rFonts w:cs="仿宋"/>
          <w:color w:val="auto"/>
          <w:highlight w:val="none"/>
          <w:vertAlign w:val="subscript"/>
        </w:rPr>
      </w:pPr>
      <w:r>
        <w:rPr>
          <w:rFonts w:hint="eastAsia" w:cs="仿宋"/>
          <w:color w:val="auto"/>
          <w:highlight w:val="none"/>
          <w:lang w:val="zh-CN"/>
        </w:rPr>
        <w:t xml:space="preserve">  （4）双方约定的受托人的其他违约责任：</w:t>
      </w:r>
      <w:r>
        <w:rPr>
          <w:rFonts w:hint="eastAsia" w:cs="仿宋"/>
          <w:color w:val="auto"/>
          <w:highlight w:val="none"/>
          <w:u w:val="single"/>
          <w:lang w:val="zh-CN"/>
        </w:rPr>
        <w:t xml:space="preserve">执行通用条款                                        </w:t>
      </w:r>
    </w:p>
    <w:p>
      <w:pPr>
        <w:autoSpaceDE w:val="0"/>
        <w:autoSpaceDN w:val="0"/>
        <w:spacing w:line="560" w:lineRule="exact"/>
        <w:rPr>
          <w:rFonts w:cs="仿宋"/>
          <w:color w:val="auto"/>
          <w:highlight w:val="none"/>
          <w:lang w:val="zh-CN"/>
        </w:rPr>
      </w:pPr>
      <w:r>
        <w:rPr>
          <w:rFonts w:hint="eastAsia" w:cs="仿宋"/>
          <w:color w:val="auto"/>
          <w:highlight w:val="none"/>
          <w:lang w:val="zh-CN"/>
        </w:rPr>
        <w:t>12、争议</w:t>
      </w:r>
    </w:p>
    <w:p>
      <w:pPr>
        <w:autoSpaceDE w:val="0"/>
        <w:autoSpaceDN w:val="0"/>
        <w:spacing w:line="560" w:lineRule="exact"/>
        <w:ind w:firstLine="540"/>
        <w:rPr>
          <w:rFonts w:cs="仿宋"/>
          <w:color w:val="auto"/>
          <w:highlight w:val="none"/>
          <w:lang w:val="zh-CN"/>
        </w:rPr>
      </w:pPr>
      <w:r>
        <w:rPr>
          <w:rFonts w:hint="eastAsia" w:cs="仿宋"/>
          <w:color w:val="auto"/>
          <w:highlight w:val="none"/>
          <w:lang w:val="zh-CN"/>
        </w:rPr>
        <w:t>12.1 双方约定，凡因执行本合同所发生的与本合同有关的一切争议，当和解或调解不成时，选择下列第</w:t>
      </w:r>
      <w:r>
        <w:rPr>
          <w:rFonts w:hint="eastAsia" w:cs="仿宋"/>
          <w:color w:val="auto"/>
          <w:highlight w:val="none"/>
          <w:u w:val="single"/>
          <w:lang w:val="zh-CN"/>
        </w:rPr>
        <w:t xml:space="preserve">   2    </w:t>
      </w:r>
      <w:r>
        <w:rPr>
          <w:rFonts w:hint="eastAsia" w:cs="仿宋"/>
          <w:color w:val="auto"/>
          <w:highlight w:val="none"/>
          <w:lang w:val="zh-CN"/>
        </w:rPr>
        <w:t>种方式解决：</w:t>
      </w:r>
    </w:p>
    <w:p>
      <w:pPr>
        <w:autoSpaceDE w:val="0"/>
        <w:autoSpaceDN w:val="0"/>
        <w:spacing w:line="560" w:lineRule="exact"/>
        <w:ind w:firstLine="540"/>
        <w:rPr>
          <w:rFonts w:cs="仿宋"/>
          <w:color w:val="auto"/>
          <w:highlight w:val="none"/>
          <w:lang w:val="zh-CN"/>
        </w:rPr>
      </w:pPr>
      <w:r>
        <w:rPr>
          <w:rFonts w:hint="eastAsia" w:cs="仿宋"/>
          <w:color w:val="auto"/>
          <w:highlight w:val="none"/>
          <w:lang w:val="zh-CN"/>
        </w:rPr>
        <w:t>（1）将争议提交</w:t>
      </w:r>
      <w:r>
        <w:rPr>
          <w:rFonts w:hint="eastAsia" w:cs="仿宋"/>
          <w:color w:val="auto"/>
          <w:highlight w:val="none"/>
          <w:u w:val="single"/>
          <w:lang w:val="zh-CN"/>
        </w:rPr>
        <w:t xml:space="preserve">  项目所在地  </w:t>
      </w:r>
      <w:r>
        <w:rPr>
          <w:rFonts w:hint="eastAsia" w:cs="仿宋"/>
          <w:color w:val="auto"/>
          <w:highlight w:val="none"/>
          <w:lang w:val="zh-CN"/>
        </w:rPr>
        <w:t>仲裁委员会仲裁；</w:t>
      </w:r>
    </w:p>
    <w:p>
      <w:pPr>
        <w:autoSpaceDE w:val="0"/>
        <w:autoSpaceDN w:val="0"/>
        <w:spacing w:line="560" w:lineRule="exact"/>
        <w:ind w:firstLine="540"/>
        <w:rPr>
          <w:rFonts w:cs="仿宋"/>
          <w:color w:val="auto"/>
          <w:highlight w:val="none"/>
          <w:lang w:val="zh-CN"/>
        </w:rPr>
      </w:pPr>
      <w:r>
        <w:rPr>
          <w:rFonts w:hint="eastAsia" w:cs="仿宋"/>
          <w:color w:val="auto"/>
          <w:highlight w:val="none"/>
          <w:lang w:val="zh-CN"/>
        </w:rPr>
        <w:t>（2）依法向</w:t>
      </w:r>
      <w:r>
        <w:rPr>
          <w:rFonts w:hint="eastAsia" w:cs="仿宋"/>
          <w:color w:val="auto"/>
          <w:highlight w:val="none"/>
          <w:u w:val="single"/>
          <w:lang w:val="zh-CN"/>
        </w:rPr>
        <w:t xml:space="preserve">    项目所在地   </w:t>
      </w:r>
      <w:r>
        <w:rPr>
          <w:rFonts w:hint="eastAsia" w:cs="仿宋"/>
          <w:color w:val="auto"/>
          <w:highlight w:val="none"/>
          <w:lang w:val="zh-CN"/>
        </w:rPr>
        <w:t>人民法院提起诉讼。</w:t>
      </w:r>
    </w:p>
    <w:p>
      <w:pPr>
        <w:autoSpaceDE w:val="0"/>
        <w:autoSpaceDN w:val="0"/>
        <w:spacing w:line="560" w:lineRule="exact"/>
        <w:ind w:firstLine="540"/>
        <w:rPr>
          <w:rFonts w:cs="仿宋"/>
          <w:b/>
          <w:bCs/>
          <w:color w:val="auto"/>
          <w:highlight w:val="none"/>
          <w:lang w:val="zh-CN"/>
        </w:rPr>
      </w:pPr>
      <w:r>
        <w:rPr>
          <w:rFonts w:hint="eastAsia" w:cs="仿宋"/>
          <w:b/>
          <w:bCs/>
          <w:color w:val="auto"/>
          <w:highlight w:val="none"/>
          <w:lang w:val="zh-CN"/>
        </w:rPr>
        <w:t>六、其他</w:t>
      </w:r>
    </w:p>
    <w:p>
      <w:pPr>
        <w:autoSpaceDE w:val="0"/>
        <w:autoSpaceDN w:val="0"/>
        <w:spacing w:line="560" w:lineRule="exact"/>
        <w:ind w:firstLine="540"/>
        <w:rPr>
          <w:rFonts w:cs="仿宋"/>
          <w:color w:val="auto"/>
          <w:highlight w:val="none"/>
          <w:lang w:val="zh-CN"/>
        </w:rPr>
      </w:pPr>
      <w:r>
        <w:rPr>
          <w:rFonts w:hint="eastAsia" w:cs="仿宋"/>
          <w:color w:val="auto"/>
          <w:highlight w:val="none"/>
          <w:lang w:val="zh-CN"/>
        </w:rPr>
        <w:t>16、合同份数</w:t>
      </w:r>
    </w:p>
    <w:p>
      <w:pPr>
        <w:autoSpaceDE w:val="0"/>
        <w:autoSpaceDN w:val="0"/>
        <w:spacing w:line="560" w:lineRule="exact"/>
        <w:ind w:firstLine="540"/>
        <w:rPr>
          <w:rFonts w:cs="仿宋"/>
          <w:color w:val="auto"/>
          <w:highlight w:val="none"/>
          <w:lang w:val="zh-CN"/>
        </w:rPr>
      </w:pPr>
      <w:r>
        <w:rPr>
          <w:rFonts w:hint="eastAsia" w:cs="仿宋"/>
          <w:color w:val="auto"/>
          <w:highlight w:val="none"/>
          <w:lang w:val="zh-CN"/>
        </w:rPr>
        <w:t>16.2 双方约定本合同共</w:t>
      </w:r>
      <w:r>
        <w:rPr>
          <w:rFonts w:hint="eastAsia" w:cs="仿宋"/>
          <w:color w:val="auto"/>
          <w:highlight w:val="none"/>
          <w:u w:val="single"/>
        </w:rPr>
        <w:t>肆</w:t>
      </w:r>
      <w:r>
        <w:rPr>
          <w:rFonts w:hint="eastAsia" w:cs="仿宋"/>
          <w:color w:val="auto"/>
          <w:highlight w:val="none"/>
          <w:lang w:val="zh-CN"/>
        </w:rPr>
        <w:t>份，其中，委托人</w:t>
      </w:r>
      <w:r>
        <w:rPr>
          <w:rFonts w:hint="eastAsia" w:cs="仿宋"/>
          <w:color w:val="auto"/>
          <w:highlight w:val="none"/>
          <w:u w:val="single"/>
        </w:rPr>
        <w:t>壹</w:t>
      </w:r>
      <w:r>
        <w:rPr>
          <w:rFonts w:hint="eastAsia" w:cs="仿宋"/>
          <w:color w:val="auto"/>
          <w:highlight w:val="none"/>
          <w:lang w:val="zh-CN"/>
        </w:rPr>
        <w:t>份，受托人</w:t>
      </w:r>
      <w:r>
        <w:rPr>
          <w:rFonts w:hint="eastAsia" w:cs="仿宋"/>
          <w:color w:val="auto"/>
          <w:highlight w:val="none"/>
          <w:u w:val="single"/>
        </w:rPr>
        <w:t>叁</w:t>
      </w:r>
      <w:r>
        <w:rPr>
          <w:rFonts w:hint="eastAsia" w:cs="仿宋"/>
          <w:color w:val="auto"/>
          <w:highlight w:val="none"/>
          <w:lang w:val="zh-CN"/>
        </w:rPr>
        <w:t>份。</w:t>
      </w:r>
    </w:p>
    <w:p>
      <w:pPr>
        <w:spacing w:line="560" w:lineRule="exact"/>
        <w:rPr>
          <w:color w:val="auto"/>
          <w:highlight w:val="none"/>
        </w:rPr>
      </w:pPr>
      <w:r>
        <w:rPr>
          <w:rFonts w:hint="eastAsia" w:cs="仿宋"/>
          <w:color w:val="auto"/>
          <w:highlight w:val="none"/>
          <w:lang w:val="zh-CN"/>
        </w:rPr>
        <w:t>17、补充条款：</w:t>
      </w:r>
    </w:p>
    <w:p>
      <w:pPr>
        <w:pStyle w:val="7"/>
        <w:rPr>
          <w:color w:val="auto"/>
          <w:highlight w:val="none"/>
        </w:rPr>
      </w:pPr>
    </w:p>
    <w:p>
      <w:pPr>
        <w:ind w:firstLine="482" w:firstLineChars="200"/>
        <w:jc w:val="center"/>
        <w:rPr>
          <w:rFonts w:cs="宋体"/>
          <w:b/>
          <w:color w:val="auto"/>
          <w:szCs w:val="28"/>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ind w:firstLine="482" w:firstLineChars="200"/>
        <w:jc w:val="center"/>
        <w:rPr>
          <w:rFonts w:cs="宋体"/>
          <w:b/>
          <w:color w:val="auto"/>
          <w:szCs w:val="28"/>
          <w:highlight w:val="none"/>
        </w:rPr>
      </w:pPr>
    </w:p>
    <w:p>
      <w:pPr>
        <w:ind w:firstLine="964" w:firstLineChars="200"/>
        <w:jc w:val="center"/>
        <w:rPr>
          <w:rFonts w:cs="宋体"/>
          <w:b/>
          <w:color w:val="auto"/>
          <w:sz w:val="48"/>
          <w:szCs w:val="48"/>
          <w:highlight w:val="none"/>
        </w:rPr>
      </w:pPr>
      <w:r>
        <w:rPr>
          <w:rFonts w:hint="eastAsia" w:cs="宋体"/>
          <w:b/>
          <w:color w:val="auto"/>
          <w:sz w:val="48"/>
          <w:szCs w:val="48"/>
          <w:highlight w:val="none"/>
        </w:rPr>
        <w:t>第七章投标文件格式</w:t>
      </w:r>
    </w:p>
    <w:p>
      <w:pPr>
        <w:rPr>
          <w:b/>
          <w:color w:val="auto"/>
          <w:highlight w:val="none"/>
        </w:rPr>
      </w:pPr>
      <w:bookmarkStart w:id="26" w:name="_Hlt26671244"/>
      <w:bookmarkEnd w:id="26"/>
      <w:bookmarkStart w:id="27" w:name="_Hlt26955039"/>
      <w:bookmarkEnd w:id="27"/>
      <w:bookmarkStart w:id="28" w:name="_Toc120614282"/>
      <w:bookmarkStart w:id="29" w:name="_Toc26554094"/>
      <w:bookmarkStart w:id="30" w:name="_Toc49090576"/>
    </w:p>
    <w:p>
      <w:pPr>
        <w:ind w:firstLine="3298" w:firstLineChars="1369"/>
        <w:rPr>
          <w:b/>
          <w:color w:val="auto"/>
          <w:highlight w:val="none"/>
        </w:rPr>
      </w:pPr>
    </w:p>
    <w:p>
      <w:pPr>
        <w:widowControl/>
        <w:autoSpaceDE w:val="0"/>
        <w:autoSpaceDN w:val="0"/>
        <w:ind w:right="-481"/>
        <w:jc w:val="center"/>
        <w:rPr>
          <w:color w:val="auto"/>
          <w:highlight w:val="none"/>
        </w:rPr>
      </w:pPr>
      <w:bookmarkStart w:id="31" w:name="_Toc23525"/>
      <w:r>
        <w:rPr>
          <w:rFonts w:hint="eastAsia"/>
          <w:color w:val="auto"/>
          <w:szCs w:val="28"/>
          <w:highlight w:val="none"/>
        </w:rPr>
        <w:t>密封档案袋封面格式</w:t>
      </w:r>
      <w:bookmarkEnd w:id="31"/>
      <w:r>
        <w:rPr>
          <w:color w:val="auto"/>
          <w:szCs w:val="28"/>
          <w:highlight w:val="none"/>
        </w:rPr>
        <w:t>(</w:t>
      </w:r>
      <w:r>
        <w:rPr>
          <w:rFonts w:hint="eastAsia"/>
          <w:color w:val="auto"/>
          <w:szCs w:val="28"/>
          <w:highlight w:val="none"/>
        </w:rPr>
        <w:t>仅供参考亦可自拟</w:t>
      </w:r>
      <w:r>
        <w:rPr>
          <w:color w:val="auto"/>
          <w:szCs w:val="28"/>
          <w:highlight w:val="none"/>
        </w:rPr>
        <w:t>)</w:t>
      </w:r>
    </w:p>
    <w:p>
      <w:pPr>
        <w:jc w:val="center"/>
        <w:rPr>
          <w:color w:val="auto"/>
          <w:highlight w:val="none"/>
        </w:rPr>
      </w:pPr>
      <w:r>
        <w:rPr>
          <w:rFonts w:hint="eastAsia"/>
          <w:b/>
          <w:bCs/>
          <w:color w:val="auto"/>
          <w:sz w:val="52"/>
          <w:szCs w:val="52"/>
          <w:highlight w:val="none"/>
          <w:u w:val="single"/>
        </w:rPr>
        <w:t xml:space="preserve">****          </w:t>
      </w:r>
      <w:r>
        <w:rPr>
          <w:rFonts w:hint="eastAsia"/>
          <w:b/>
          <w:bCs/>
          <w:color w:val="auto"/>
          <w:sz w:val="52"/>
          <w:szCs w:val="52"/>
          <w:highlight w:val="none"/>
        </w:rPr>
        <w:t>项目</w:t>
      </w:r>
    </w:p>
    <w:p>
      <w:pPr>
        <w:jc w:val="center"/>
        <w:rPr>
          <w:color w:val="auto"/>
          <w:sz w:val="30"/>
          <w:szCs w:val="30"/>
          <w:highlight w:val="none"/>
        </w:rPr>
      </w:pPr>
      <w:r>
        <w:rPr>
          <w:rFonts w:hint="eastAsia"/>
          <w:color w:val="auto"/>
          <w:sz w:val="30"/>
          <w:szCs w:val="30"/>
          <w:highlight w:val="none"/>
        </w:rPr>
        <w:t>项目编号：</w:t>
      </w:r>
    </w:p>
    <w:p>
      <w:pPr>
        <w:rPr>
          <w:color w:val="auto"/>
          <w:highlight w:val="none"/>
        </w:rPr>
      </w:pPr>
    </w:p>
    <w:p>
      <w:pPr>
        <w:rPr>
          <w:color w:val="auto"/>
          <w:highlight w:val="none"/>
        </w:rPr>
      </w:pPr>
    </w:p>
    <w:p>
      <w:pPr>
        <w:rPr>
          <w:color w:val="auto"/>
          <w:highlight w:val="none"/>
        </w:rPr>
      </w:pPr>
    </w:p>
    <w:p>
      <w:pPr>
        <w:jc w:val="center"/>
        <w:rPr>
          <w:color w:val="auto"/>
          <w:sz w:val="72"/>
          <w:szCs w:val="144"/>
          <w:highlight w:val="none"/>
        </w:rPr>
      </w:pPr>
      <w:r>
        <w:rPr>
          <w:rFonts w:hint="eastAsia"/>
          <w:b/>
          <w:bCs/>
          <w:color w:val="auto"/>
          <w:sz w:val="72"/>
          <w:szCs w:val="144"/>
          <w:highlight w:val="none"/>
        </w:rPr>
        <w:t>投标文件</w:t>
      </w:r>
    </w:p>
    <w:p>
      <w:pPr>
        <w:jc w:val="center"/>
        <w:rPr>
          <w:color w:val="auto"/>
          <w:sz w:val="44"/>
          <w:szCs w:val="52"/>
          <w:highlight w:val="none"/>
        </w:rPr>
      </w:pPr>
    </w:p>
    <w:p>
      <w:pPr>
        <w:jc w:val="center"/>
        <w:rPr>
          <w:color w:val="auto"/>
          <w:sz w:val="72"/>
          <w:szCs w:val="144"/>
          <w:highlight w:val="none"/>
        </w:rPr>
      </w:pPr>
    </w:p>
    <w:p>
      <w:pPr>
        <w:rPr>
          <w:rFonts w:cs="宋体"/>
          <w:color w:val="auto"/>
          <w:szCs w:val="28"/>
          <w:highlight w:val="none"/>
        </w:rPr>
      </w:pPr>
      <w:bookmarkStart w:id="32" w:name="_Toc32738"/>
      <w:r>
        <w:rPr>
          <w:rFonts w:hint="eastAsia" w:cs="宋体"/>
          <w:color w:val="auto"/>
          <w:szCs w:val="28"/>
          <w:highlight w:val="none"/>
        </w:rPr>
        <w:t>投标人名称：</w:t>
      </w:r>
      <w:r>
        <w:rPr>
          <w:rFonts w:hint="eastAsia" w:cs="宋体"/>
          <w:color w:val="auto"/>
          <w:szCs w:val="28"/>
          <w:highlight w:val="none"/>
          <w:u w:val="single"/>
        </w:rPr>
        <w:t xml:space="preserve">                 </w:t>
      </w:r>
      <w:r>
        <w:rPr>
          <w:rFonts w:hint="eastAsia" w:cs="宋体"/>
          <w:color w:val="auto"/>
          <w:szCs w:val="28"/>
          <w:highlight w:val="none"/>
        </w:rPr>
        <w:t>（盖章）</w:t>
      </w:r>
      <w:bookmarkEnd w:id="32"/>
    </w:p>
    <w:p>
      <w:pPr>
        <w:rPr>
          <w:rFonts w:cs="宋体"/>
          <w:color w:val="auto"/>
          <w:szCs w:val="28"/>
          <w:highlight w:val="none"/>
        </w:rPr>
      </w:pPr>
      <w:bookmarkStart w:id="33" w:name="_Toc6652"/>
      <w:r>
        <w:rPr>
          <w:rFonts w:hint="eastAsia" w:cs="宋体"/>
          <w:color w:val="auto"/>
          <w:szCs w:val="28"/>
          <w:highlight w:val="none"/>
        </w:rPr>
        <w:t>法定代表人或授权委托人：</w:t>
      </w:r>
      <w:r>
        <w:rPr>
          <w:rFonts w:hint="eastAsia" w:cs="宋体"/>
          <w:color w:val="auto"/>
          <w:szCs w:val="28"/>
          <w:highlight w:val="none"/>
          <w:u w:val="single"/>
        </w:rPr>
        <w:t xml:space="preserve">                 </w:t>
      </w:r>
      <w:r>
        <w:rPr>
          <w:rFonts w:hint="eastAsia" w:cs="宋体"/>
          <w:color w:val="auto"/>
          <w:szCs w:val="28"/>
          <w:highlight w:val="none"/>
        </w:rPr>
        <w:t>（签字或盖章）</w:t>
      </w:r>
      <w:bookmarkEnd w:id="33"/>
    </w:p>
    <w:p>
      <w:pPr>
        <w:rPr>
          <w:rFonts w:cs="宋体"/>
          <w:color w:val="auto"/>
          <w:szCs w:val="28"/>
          <w:highlight w:val="none"/>
          <w:u w:val="single"/>
        </w:rPr>
      </w:pPr>
      <w:bookmarkStart w:id="34" w:name="_Toc3693"/>
      <w:r>
        <w:rPr>
          <w:rFonts w:hint="eastAsia" w:cs="宋体"/>
          <w:color w:val="auto"/>
          <w:szCs w:val="28"/>
          <w:highlight w:val="none"/>
        </w:rPr>
        <w:t>投标人地址：</w:t>
      </w:r>
      <w:bookmarkEnd w:id="34"/>
      <w:r>
        <w:rPr>
          <w:rFonts w:hint="eastAsia" w:cs="宋体"/>
          <w:color w:val="auto"/>
          <w:szCs w:val="28"/>
          <w:highlight w:val="none"/>
          <w:u w:val="single"/>
        </w:rPr>
        <w:t xml:space="preserve">                   </w:t>
      </w:r>
    </w:p>
    <w:p>
      <w:pPr>
        <w:rPr>
          <w:rFonts w:cs="宋体"/>
          <w:color w:val="auto"/>
          <w:szCs w:val="28"/>
          <w:highlight w:val="none"/>
        </w:rPr>
      </w:pPr>
      <w:bookmarkStart w:id="35" w:name="_Toc10765"/>
      <w:r>
        <w:rPr>
          <w:rFonts w:hint="eastAsia" w:cs="宋体"/>
          <w:color w:val="auto"/>
          <w:szCs w:val="28"/>
          <w:highlight w:val="none"/>
        </w:rPr>
        <w:t>联  系  人：</w:t>
      </w:r>
      <w:r>
        <w:rPr>
          <w:rFonts w:hint="eastAsia" w:cs="宋体"/>
          <w:color w:val="auto"/>
          <w:szCs w:val="28"/>
          <w:highlight w:val="none"/>
          <w:u w:val="single"/>
        </w:rPr>
        <w:t xml:space="preserve">          </w:t>
      </w:r>
      <w:r>
        <w:rPr>
          <w:rFonts w:hint="eastAsia" w:cs="宋体"/>
          <w:color w:val="auto"/>
          <w:szCs w:val="28"/>
          <w:highlight w:val="none"/>
        </w:rPr>
        <w:t xml:space="preserve">   联系电话：</w:t>
      </w:r>
      <w:bookmarkEnd w:id="35"/>
      <w:r>
        <w:rPr>
          <w:rFonts w:hint="eastAsia" w:cs="宋体"/>
          <w:color w:val="auto"/>
          <w:szCs w:val="28"/>
          <w:highlight w:val="none"/>
          <w:u w:val="single"/>
        </w:rPr>
        <w:t xml:space="preserve">           </w:t>
      </w:r>
    </w:p>
    <w:p>
      <w:pPr>
        <w:rPr>
          <w:rFonts w:cs="宋体"/>
          <w:color w:val="auto"/>
          <w:szCs w:val="28"/>
          <w:highlight w:val="none"/>
        </w:rPr>
      </w:pPr>
      <w:bookmarkStart w:id="36" w:name="_Toc26817"/>
      <w:r>
        <w:rPr>
          <w:rFonts w:hint="eastAsia" w:cs="宋体"/>
          <w:color w:val="auto"/>
          <w:szCs w:val="28"/>
          <w:highlight w:val="none"/>
        </w:rPr>
        <w:t>年   月    日</w:t>
      </w:r>
      <w:bookmarkEnd w:id="36"/>
    </w:p>
    <w:p>
      <w:pPr>
        <w:rPr>
          <w:color w:val="auto"/>
          <w:szCs w:val="28"/>
          <w:highlight w:val="none"/>
        </w:rPr>
      </w:pPr>
    </w:p>
    <w:p>
      <w:pPr>
        <w:pStyle w:val="7"/>
        <w:rPr>
          <w:color w:val="auto"/>
          <w:sz w:val="28"/>
          <w:szCs w:val="28"/>
          <w:highlight w:val="none"/>
        </w:rPr>
      </w:pPr>
      <w:r>
        <w:rPr>
          <w:color w:val="auto"/>
          <w:sz w:val="28"/>
          <w:szCs w:val="28"/>
          <w:highlight w:val="none"/>
        </w:rPr>
        <w:t>在  年  月  日  时  分之前不得启封</w:t>
      </w:r>
    </w:p>
    <w:p>
      <w:pPr>
        <w:pStyle w:val="7"/>
        <w:rPr>
          <w:color w:val="auto"/>
          <w:sz w:val="28"/>
          <w:szCs w:val="28"/>
          <w:highlight w:val="none"/>
        </w:rPr>
      </w:pPr>
    </w:p>
    <w:p>
      <w:pPr>
        <w:jc w:val="center"/>
        <w:rPr>
          <w:b/>
          <w:bCs/>
          <w:color w:val="auto"/>
          <w:sz w:val="32"/>
          <w:szCs w:val="32"/>
          <w:highlight w:val="none"/>
        </w:rPr>
      </w:pPr>
    </w:p>
    <w:p>
      <w:pPr>
        <w:pStyle w:val="4"/>
        <w:rPr>
          <w:color w:val="auto"/>
          <w:highlight w:val="none"/>
        </w:rPr>
      </w:pPr>
    </w:p>
    <w:p>
      <w:pPr>
        <w:jc w:val="center"/>
        <w:rPr>
          <w:color w:val="auto"/>
          <w:highlight w:val="none"/>
        </w:rPr>
      </w:pPr>
      <w:r>
        <w:rPr>
          <w:rFonts w:hint="eastAsia"/>
          <w:b/>
          <w:bCs/>
          <w:color w:val="auto"/>
          <w:sz w:val="32"/>
          <w:szCs w:val="32"/>
          <w:highlight w:val="none"/>
        </w:rPr>
        <w:t>投标文件标书封皮(仅供参考亦可自拟)</w:t>
      </w:r>
    </w:p>
    <w:p>
      <w:pPr>
        <w:jc w:val="right"/>
        <w:rPr>
          <w:color w:val="auto"/>
          <w:highlight w:val="none"/>
        </w:rPr>
      </w:pPr>
      <w:r>
        <w:rPr>
          <w:rFonts w:hint="eastAsia" w:cs="宋体"/>
          <w:b/>
          <w:bCs/>
          <w:color w:val="auto"/>
          <w:kern w:val="1"/>
          <w:sz w:val="36"/>
          <w:szCs w:val="36"/>
          <w:highlight w:val="none"/>
        </w:rPr>
        <w:t>正（副）本</w:t>
      </w:r>
    </w:p>
    <w:p>
      <w:pPr>
        <w:rPr>
          <w:color w:val="auto"/>
          <w:highlight w:val="none"/>
        </w:rPr>
      </w:pPr>
    </w:p>
    <w:p>
      <w:pPr>
        <w:jc w:val="center"/>
        <w:rPr>
          <w:color w:val="auto"/>
          <w:highlight w:val="none"/>
        </w:rPr>
      </w:pPr>
      <w:r>
        <w:rPr>
          <w:rFonts w:hint="eastAsia"/>
          <w:b/>
          <w:bCs/>
          <w:color w:val="auto"/>
          <w:sz w:val="52"/>
          <w:szCs w:val="52"/>
          <w:highlight w:val="none"/>
          <w:u w:val="single"/>
        </w:rPr>
        <w:t xml:space="preserve">****          </w:t>
      </w:r>
      <w:r>
        <w:rPr>
          <w:rFonts w:hint="eastAsia"/>
          <w:b/>
          <w:bCs/>
          <w:color w:val="auto"/>
          <w:sz w:val="52"/>
          <w:szCs w:val="52"/>
          <w:highlight w:val="none"/>
        </w:rPr>
        <w:t>项目</w:t>
      </w:r>
    </w:p>
    <w:p>
      <w:pPr>
        <w:jc w:val="center"/>
        <w:rPr>
          <w:color w:val="auto"/>
          <w:szCs w:val="28"/>
          <w:highlight w:val="none"/>
        </w:rPr>
      </w:pPr>
      <w:r>
        <w:rPr>
          <w:rFonts w:hint="eastAsia"/>
          <w:color w:val="auto"/>
          <w:szCs w:val="28"/>
          <w:highlight w:val="none"/>
        </w:rPr>
        <w:t>项目编号：</w:t>
      </w: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color w:val="auto"/>
          <w:szCs w:val="28"/>
          <w:highlight w:val="none"/>
        </w:rPr>
      </w:pPr>
      <w:r>
        <w:rPr>
          <w:rFonts w:hint="eastAsia"/>
          <w:b/>
          <w:bCs/>
          <w:color w:val="auto"/>
          <w:sz w:val="72"/>
          <w:szCs w:val="144"/>
          <w:highlight w:val="none"/>
        </w:rPr>
        <w:t>投标文件</w:t>
      </w:r>
    </w:p>
    <w:p>
      <w:pPr>
        <w:rPr>
          <w:color w:val="auto"/>
          <w:sz w:val="72"/>
          <w:szCs w:val="144"/>
          <w:highlight w:val="none"/>
        </w:rPr>
      </w:pPr>
    </w:p>
    <w:p>
      <w:pPr>
        <w:pStyle w:val="7"/>
        <w:rPr>
          <w:color w:val="auto"/>
          <w:highlight w:val="none"/>
        </w:rPr>
      </w:pPr>
    </w:p>
    <w:p>
      <w:pPr>
        <w:rPr>
          <w:rFonts w:cs="宋体"/>
          <w:color w:val="auto"/>
          <w:szCs w:val="28"/>
          <w:highlight w:val="none"/>
        </w:rPr>
      </w:pPr>
      <w:r>
        <w:rPr>
          <w:rFonts w:hint="eastAsia" w:cs="宋体"/>
          <w:color w:val="auto"/>
          <w:szCs w:val="28"/>
          <w:highlight w:val="none"/>
        </w:rPr>
        <w:t>投标人名称：</w:t>
      </w:r>
      <w:r>
        <w:rPr>
          <w:rFonts w:hint="eastAsia" w:cs="宋体"/>
          <w:color w:val="auto"/>
          <w:szCs w:val="28"/>
          <w:highlight w:val="none"/>
          <w:u w:val="single"/>
        </w:rPr>
        <w:t xml:space="preserve">                 </w:t>
      </w:r>
      <w:r>
        <w:rPr>
          <w:rFonts w:hint="eastAsia" w:cs="宋体"/>
          <w:color w:val="auto"/>
          <w:szCs w:val="28"/>
          <w:highlight w:val="none"/>
        </w:rPr>
        <w:t>（盖章）</w:t>
      </w:r>
    </w:p>
    <w:p>
      <w:pPr>
        <w:rPr>
          <w:rFonts w:cs="宋体"/>
          <w:color w:val="auto"/>
          <w:szCs w:val="28"/>
          <w:highlight w:val="none"/>
        </w:rPr>
      </w:pPr>
      <w:r>
        <w:rPr>
          <w:rFonts w:hint="eastAsia" w:cs="宋体"/>
          <w:color w:val="auto"/>
          <w:szCs w:val="28"/>
          <w:highlight w:val="none"/>
        </w:rPr>
        <w:t>法定代表人或授权委托人：</w:t>
      </w:r>
      <w:r>
        <w:rPr>
          <w:rFonts w:hint="eastAsia" w:cs="宋体"/>
          <w:color w:val="auto"/>
          <w:szCs w:val="28"/>
          <w:highlight w:val="none"/>
          <w:u w:val="single"/>
        </w:rPr>
        <w:t xml:space="preserve">                 </w:t>
      </w:r>
      <w:r>
        <w:rPr>
          <w:rFonts w:hint="eastAsia" w:cs="宋体"/>
          <w:color w:val="auto"/>
          <w:szCs w:val="28"/>
          <w:highlight w:val="none"/>
        </w:rPr>
        <w:t>（签字或盖章）</w:t>
      </w:r>
    </w:p>
    <w:p>
      <w:pPr>
        <w:rPr>
          <w:rFonts w:cs="宋体"/>
          <w:color w:val="auto"/>
          <w:szCs w:val="28"/>
          <w:highlight w:val="none"/>
          <w:u w:val="single"/>
        </w:rPr>
      </w:pPr>
      <w:r>
        <w:rPr>
          <w:rFonts w:hint="eastAsia" w:cs="宋体"/>
          <w:color w:val="auto"/>
          <w:szCs w:val="28"/>
          <w:highlight w:val="none"/>
        </w:rPr>
        <w:t>投标人地址：</w:t>
      </w:r>
      <w:r>
        <w:rPr>
          <w:rFonts w:hint="eastAsia" w:cs="宋体"/>
          <w:color w:val="auto"/>
          <w:szCs w:val="28"/>
          <w:highlight w:val="none"/>
          <w:u w:val="single"/>
        </w:rPr>
        <w:t xml:space="preserve">                   </w:t>
      </w:r>
    </w:p>
    <w:p>
      <w:pPr>
        <w:rPr>
          <w:rFonts w:cs="宋体"/>
          <w:color w:val="auto"/>
          <w:szCs w:val="28"/>
          <w:highlight w:val="none"/>
        </w:rPr>
      </w:pPr>
      <w:r>
        <w:rPr>
          <w:rFonts w:hint="eastAsia" w:cs="宋体"/>
          <w:color w:val="auto"/>
          <w:szCs w:val="28"/>
          <w:highlight w:val="none"/>
        </w:rPr>
        <w:t>联  系  人：</w:t>
      </w:r>
      <w:r>
        <w:rPr>
          <w:rFonts w:hint="eastAsia" w:cs="宋体"/>
          <w:color w:val="auto"/>
          <w:szCs w:val="28"/>
          <w:highlight w:val="none"/>
          <w:u w:val="single"/>
        </w:rPr>
        <w:t xml:space="preserve">          </w:t>
      </w:r>
      <w:r>
        <w:rPr>
          <w:rFonts w:hint="eastAsia" w:cs="宋体"/>
          <w:color w:val="auto"/>
          <w:szCs w:val="28"/>
          <w:highlight w:val="none"/>
        </w:rPr>
        <w:t xml:space="preserve">   联系电话：</w:t>
      </w:r>
      <w:r>
        <w:rPr>
          <w:rFonts w:hint="eastAsia" w:cs="宋体"/>
          <w:color w:val="auto"/>
          <w:szCs w:val="28"/>
          <w:highlight w:val="none"/>
          <w:u w:val="single"/>
        </w:rPr>
        <w:t xml:space="preserve">           </w:t>
      </w:r>
    </w:p>
    <w:p>
      <w:pPr>
        <w:rPr>
          <w:rFonts w:cs="宋体"/>
          <w:color w:val="auto"/>
          <w:szCs w:val="28"/>
          <w:highlight w:val="none"/>
        </w:rPr>
      </w:pPr>
      <w:r>
        <w:rPr>
          <w:rFonts w:hint="eastAsia" w:cs="宋体"/>
          <w:color w:val="auto"/>
          <w:szCs w:val="28"/>
          <w:highlight w:val="none"/>
        </w:rPr>
        <w:t>年   月    日</w:t>
      </w:r>
    </w:p>
    <w:p>
      <w:pPr>
        <w:pStyle w:val="7"/>
        <w:rPr>
          <w:color w:val="auto"/>
          <w:highlight w:val="none"/>
        </w:rPr>
      </w:pPr>
    </w:p>
    <w:p>
      <w:pPr>
        <w:pStyle w:val="7"/>
        <w:rPr>
          <w:color w:val="auto"/>
          <w:highlight w:val="none"/>
        </w:rPr>
      </w:pPr>
    </w:p>
    <w:p>
      <w:pPr>
        <w:pStyle w:val="30"/>
        <w:rPr>
          <w:color w:val="auto"/>
          <w:highlight w:val="none"/>
        </w:rPr>
      </w:pPr>
    </w:p>
    <w:p>
      <w:pPr>
        <w:pStyle w:val="29"/>
        <w:ind w:firstLine="420"/>
        <w:rPr>
          <w:color w:val="auto"/>
          <w:highlight w:val="none"/>
        </w:rPr>
      </w:pPr>
    </w:p>
    <w:p>
      <w:pPr>
        <w:rPr>
          <w:color w:val="auto"/>
          <w:highlight w:val="none"/>
        </w:rPr>
      </w:pPr>
    </w:p>
    <w:p>
      <w:pPr>
        <w:pStyle w:val="4"/>
        <w:rPr>
          <w:color w:val="auto"/>
          <w:highlight w:val="none"/>
        </w:rPr>
      </w:pPr>
    </w:p>
    <w:bookmarkEnd w:id="28"/>
    <w:bookmarkEnd w:id="29"/>
    <w:bookmarkEnd w:id="30"/>
    <w:p>
      <w:pPr>
        <w:spacing w:line="440" w:lineRule="exact"/>
        <w:ind w:firstLine="2748" w:firstLineChars="1145"/>
        <w:rPr>
          <w:rFonts w:ascii="黑体" w:hAnsi="黑体" w:eastAsia="黑体"/>
          <w:bCs/>
          <w:color w:val="auto"/>
          <w:highlight w:val="none"/>
        </w:rPr>
      </w:pPr>
    </w:p>
    <w:p>
      <w:pPr>
        <w:spacing w:line="440" w:lineRule="exact"/>
        <w:ind w:firstLine="2748" w:firstLineChars="1145"/>
        <w:rPr>
          <w:rFonts w:ascii="黑体" w:hAnsi="黑体" w:eastAsia="黑体"/>
          <w:bCs/>
          <w:color w:val="auto"/>
          <w:highlight w:val="none"/>
        </w:rPr>
      </w:pPr>
      <w:r>
        <w:rPr>
          <w:rFonts w:hint="eastAsia" w:ascii="黑体" w:hAnsi="黑体" w:eastAsia="黑体"/>
          <w:bCs/>
          <w:color w:val="auto"/>
          <w:highlight w:val="none"/>
        </w:rPr>
        <w:t>投标文件目录</w:t>
      </w:r>
    </w:p>
    <w:p>
      <w:pPr>
        <w:spacing w:line="440" w:lineRule="exact"/>
        <w:jc w:val="center"/>
        <w:rPr>
          <w:rFonts w:ascii="黑体" w:hAnsi="黑体" w:eastAsia="黑体"/>
          <w:bCs/>
          <w:color w:val="auto"/>
          <w:highlight w:val="none"/>
        </w:rPr>
      </w:pPr>
      <w:r>
        <w:rPr>
          <w:rFonts w:hint="eastAsia" w:ascii="黑体" w:hAnsi="黑体" w:eastAsia="黑体"/>
          <w:bCs/>
          <w:color w:val="auto"/>
          <w:highlight w:val="none"/>
        </w:rPr>
        <w:t>（</w:t>
      </w:r>
      <w:r>
        <w:rPr>
          <w:rFonts w:hint="eastAsia" w:ascii="仿宋" w:hAnsi="仿宋"/>
          <w:color w:val="auto"/>
          <w:highlight w:val="none"/>
        </w:rPr>
        <w:t>包含下列内容但不限于下列内容，部分相关格式见附件</w:t>
      </w:r>
      <w:r>
        <w:rPr>
          <w:rFonts w:hint="eastAsia"/>
          <w:color w:val="auto"/>
          <w:highlight w:val="none"/>
        </w:rPr>
        <w:t>）</w:t>
      </w:r>
    </w:p>
    <w:p>
      <w:pPr>
        <w:snapToGrid w:val="0"/>
        <w:spacing w:before="50" w:after="50"/>
        <w:rPr>
          <w:rFonts w:ascii="仿宋" w:hAnsi="仿宋"/>
          <w:color w:val="auto"/>
          <w:highlight w:val="none"/>
        </w:rPr>
      </w:pPr>
    </w:p>
    <w:p>
      <w:pPr>
        <w:tabs>
          <w:tab w:val="left" w:pos="5580"/>
        </w:tabs>
        <w:spacing w:line="360" w:lineRule="exact"/>
        <w:rPr>
          <w:rFonts w:ascii="仿宋" w:hAnsi="仿宋"/>
          <w:color w:val="auto"/>
          <w:highlight w:val="none"/>
        </w:rPr>
      </w:pPr>
      <w:r>
        <w:rPr>
          <w:rFonts w:hint="eastAsia" w:ascii="仿宋" w:hAnsi="仿宋"/>
          <w:color w:val="auto"/>
          <w:highlight w:val="none"/>
        </w:rPr>
        <w:t>一、投  标  函</w:t>
      </w:r>
    </w:p>
    <w:p>
      <w:pPr>
        <w:tabs>
          <w:tab w:val="left" w:pos="5580"/>
        </w:tabs>
        <w:spacing w:line="360" w:lineRule="exact"/>
        <w:rPr>
          <w:rFonts w:ascii="仿宋" w:hAnsi="仿宋"/>
          <w:color w:val="auto"/>
          <w:highlight w:val="none"/>
        </w:rPr>
      </w:pPr>
      <w:r>
        <w:rPr>
          <w:rFonts w:hint="eastAsia" w:ascii="仿宋" w:hAnsi="仿宋"/>
          <w:color w:val="auto"/>
          <w:highlight w:val="none"/>
        </w:rPr>
        <w:t>二、法定代表人身份证明</w:t>
      </w:r>
    </w:p>
    <w:p>
      <w:pPr>
        <w:tabs>
          <w:tab w:val="left" w:pos="5580"/>
        </w:tabs>
        <w:spacing w:line="360" w:lineRule="exact"/>
        <w:rPr>
          <w:rFonts w:ascii="仿宋" w:hAnsi="仿宋"/>
          <w:color w:val="auto"/>
          <w:highlight w:val="none"/>
        </w:rPr>
      </w:pPr>
      <w:r>
        <w:rPr>
          <w:rFonts w:hint="eastAsia" w:ascii="仿宋" w:hAnsi="仿宋"/>
          <w:color w:val="auto"/>
          <w:highlight w:val="none"/>
        </w:rPr>
        <w:t>三、法定代表人授权委托书</w:t>
      </w:r>
    </w:p>
    <w:p>
      <w:pPr>
        <w:tabs>
          <w:tab w:val="left" w:pos="5580"/>
        </w:tabs>
        <w:spacing w:line="360" w:lineRule="exact"/>
        <w:rPr>
          <w:rFonts w:ascii="仿宋" w:hAnsi="仿宋"/>
          <w:color w:val="auto"/>
          <w:highlight w:val="none"/>
        </w:rPr>
      </w:pPr>
      <w:r>
        <w:rPr>
          <w:rFonts w:hint="eastAsia" w:ascii="仿宋" w:hAnsi="仿宋"/>
          <w:color w:val="auto"/>
          <w:highlight w:val="none"/>
        </w:rPr>
        <w:t>四、参加政府采购活动前3年内在经营活动中没有重大违法记录的书面声明</w:t>
      </w:r>
    </w:p>
    <w:p>
      <w:pPr>
        <w:tabs>
          <w:tab w:val="left" w:pos="5580"/>
        </w:tabs>
        <w:spacing w:line="360" w:lineRule="exact"/>
        <w:rPr>
          <w:rFonts w:ascii="仿宋" w:hAnsi="仿宋"/>
          <w:color w:val="auto"/>
          <w:highlight w:val="none"/>
        </w:rPr>
      </w:pPr>
      <w:r>
        <w:rPr>
          <w:rFonts w:hint="eastAsia" w:ascii="仿宋" w:hAnsi="仿宋"/>
          <w:color w:val="auto"/>
          <w:highlight w:val="none"/>
        </w:rPr>
        <w:t>五、其他资料（财务审计报告或财务报表、社保证明、完税证明等资料）</w:t>
      </w:r>
    </w:p>
    <w:p>
      <w:pPr>
        <w:tabs>
          <w:tab w:val="left" w:pos="5580"/>
        </w:tabs>
        <w:spacing w:line="360" w:lineRule="exact"/>
        <w:rPr>
          <w:rFonts w:ascii="仿宋" w:hAnsi="仿宋"/>
          <w:color w:val="auto"/>
          <w:highlight w:val="none"/>
        </w:rPr>
      </w:pPr>
      <w:r>
        <w:rPr>
          <w:rFonts w:hint="eastAsia" w:ascii="仿宋" w:hAnsi="仿宋"/>
          <w:color w:val="auto"/>
          <w:highlight w:val="none"/>
        </w:rPr>
        <w:t>六、投标人基本情况表</w:t>
      </w:r>
    </w:p>
    <w:p>
      <w:pPr>
        <w:tabs>
          <w:tab w:val="left" w:pos="5580"/>
        </w:tabs>
        <w:spacing w:line="360" w:lineRule="exact"/>
        <w:rPr>
          <w:rFonts w:ascii="仿宋" w:hAnsi="仿宋"/>
          <w:color w:val="auto"/>
          <w:highlight w:val="none"/>
        </w:rPr>
      </w:pPr>
      <w:r>
        <w:rPr>
          <w:rFonts w:hint="eastAsia" w:ascii="仿宋" w:hAnsi="仿宋"/>
          <w:color w:val="auto"/>
          <w:highlight w:val="none"/>
        </w:rPr>
        <w:t>七、中小企业声明函（如有）</w:t>
      </w:r>
    </w:p>
    <w:p>
      <w:pPr>
        <w:tabs>
          <w:tab w:val="left" w:pos="5580"/>
        </w:tabs>
        <w:spacing w:line="360" w:lineRule="exact"/>
        <w:rPr>
          <w:rFonts w:ascii="仿宋" w:hAnsi="仿宋"/>
          <w:color w:val="auto"/>
          <w:highlight w:val="none"/>
        </w:rPr>
      </w:pPr>
      <w:r>
        <w:rPr>
          <w:rFonts w:hint="eastAsia" w:ascii="仿宋" w:hAnsi="仿宋"/>
          <w:color w:val="auto"/>
          <w:highlight w:val="none"/>
        </w:rPr>
        <w:t>八、残疾人福利性单位声明函（如有）</w:t>
      </w:r>
    </w:p>
    <w:p>
      <w:pPr>
        <w:tabs>
          <w:tab w:val="left" w:pos="5580"/>
        </w:tabs>
        <w:spacing w:line="360" w:lineRule="exact"/>
        <w:rPr>
          <w:rFonts w:ascii="仿宋" w:hAnsi="仿宋"/>
          <w:color w:val="auto"/>
          <w:highlight w:val="none"/>
        </w:rPr>
      </w:pPr>
      <w:r>
        <w:rPr>
          <w:rFonts w:hint="eastAsia" w:ascii="仿宋" w:hAnsi="仿宋"/>
          <w:color w:val="auto"/>
          <w:highlight w:val="none"/>
        </w:rPr>
        <w:t>九、投标人认为有必要提供的其他证明文件。</w:t>
      </w:r>
    </w:p>
    <w:p>
      <w:pPr>
        <w:tabs>
          <w:tab w:val="left" w:pos="5580"/>
        </w:tabs>
        <w:spacing w:line="360" w:lineRule="exact"/>
        <w:rPr>
          <w:rFonts w:ascii="仿宋" w:hAnsi="仿宋"/>
          <w:color w:val="auto"/>
          <w:highlight w:val="none"/>
        </w:rPr>
      </w:pPr>
    </w:p>
    <w:p>
      <w:pPr>
        <w:spacing w:line="440" w:lineRule="exact"/>
        <w:jc w:val="center"/>
        <w:rPr>
          <w:color w:val="auto"/>
          <w:highlight w:val="none"/>
        </w:rPr>
      </w:pPr>
      <w:r>
        <w:rPr>
          <w:color w:val="auto"/>
          <w:highlight w:val="none"/>
        </w:rPr>
        <w:br w:type="page"/>
      </w:r>
      <w:bookmarkStart w:id="37" w:name="_Toc120614284"/>
    </w:p>
    <w:p>
      <w:pPr>
        <w:spacing w:line="440" w:lineRule="exact"/>
        <w:jc w:val="center"/>
        <w:rPr>
          <w:rFonts w:ascii="黑体" w:hAnsi="黑体" w:eastAsia="黑体"/>
          <w:color w:val="auto"/>
          <w:highlight w:val="none"/>
        </w:rPr>
      </w:pPr>
      <w:r>
        <w:rPr>
          <w:rFonts w:hint="eastAsia"/>
          <w:color w:val="auto"/>
          <w:highlight w:val="none"/>
        </w:rPr>
        <w:t xml:space="preserve"> </w:t>
      </w:r>
      <w:bookmarkEnd w:id="37"/>
      <w:r>
        <w:rPr>
          <w:rFonts w:hint="eastAsia" w:ascii="黑体" w:hAnsi="黑体" w:eastAsia="黑体"/>
          <w:color w:val="auto"/>
          <w:highlight w:val="none"/>
        </w:rPr>
        <w:t>投  标  函</w:t>
      </w:r>
    </w:p>
    <w:p>
      <w:pPr>
        <w:spacing w:line="600" w:lineRule="exact"/>
        <w:ind w:firstLine="120" w:firstLineChars="50"/>
        <w:jc w:val="left"/>
        <w:rPr>
          <w:color w:val="auto"/>
          <w:highlight w:val="none"/>
          <w:u w:val="single"/>
        </w:rPr>
      </w:pPr>
      <w:r>
        <w:rPr>
          <w:rFonts w:hint="eastAsia"/>
          <w:color w:val="auto"/>
          <w:highlight w:val="none"/>
        </w:rPr>
        <w:t>致：</w:t>
      </w:r>
      <w:r>
        <w:rPr>
          <w:rFonts w:hint="eastAsia"/>
          <w:color w:val="auto"/>
          <w:highlight w:val="none"/>
          <w:u w:val="single"/>
        </w:rPr>
        <w:t>采购人</w:t>
      </w:r>
    </w:p>
    <w:p>
      <w:pPr>
        <w:spacing w:line="370" w:lineRule="exact"/>
        <w:ind w:firstLine="480" w:firstLineChars="200"/>
        <w:rPr>
          <w:color w:val="auto"/>
          <w:highlight w:val="none"/>
        </w:rPr>
      </w:pPr>
      <w:r>
        <w:rPr>
          <w:rFonts w:hint="eastAsia"/>
          <w:color w:val="auto"/>
          <w:highlight w:val="none"/>
        </w:rPr>
        <w:t>根据贵方</w:t>
      </w:r>
      <w:r>
        <w:rPr>
          <w:rFonts w:hint="eastAsia"/>
          <w:color w:val="auto"/>
          <w:highlight w:val="none"/>
          <w:u w:val="single"/>
        </w:rPr>
        <w:t xml:space="preserve">         </w:t>
      </w:r>
      <w:r>
        <w:rPr>
          <w:rFonts w:hint="eastAsia"/>
          <w:color w:val="auto"/>
          <w:highlight w:val="none"/>
        </w:rPr>
        <w:t>(项目名称）招标文件，正式授权下述签字人</w:t>
      </w:r>
      <w:r>
        <w:rPr>
          <w:rFonts w:hint="eastAsia"/>
          <w:color w:val="auto"/>
          <w:highlight w:val="none"/>
          <w:u w:val="single"/>
        </w:rPr>
        <w:t xml:space="preserve">             </w:t>
      </w:r>
      <w:r>
        <w:rPr>
          <w:rFonts w:hint="eastAsia"/>
          <w:color w:val="auto"/>
          <w:highlight w:val="none"/>
        </w:rPr>
        <w:t>(姓名和职务)代表投标人</w:t>
      </w:r>
      <w:r>
        <w:rPr>
          <w:rFonts w:hint="eastAsia"/>
          <w:color w:val="auto"/>
          <w:highlight w:val="none"/>
          <w:u w:val="single"/>
        </w:rPr>
        <w:t xml:space="preserve">           </w:t>
      </w:r>
      <w:r>
        <w:rPr>
          <w:rFonts w:hint="eastAsia"/>
          <w:color w:val="auto"/>
          <w:highlight w:val="none"/>
        </w:rPr>
        <w:t>（投标人名称）。</w:t>
      </w:r>
    </w:p>
    <w:p>
      <w:pPr>
        <w:spacing w:line="370" w:lineRule="exact"/>
        <w:ind w:firstLine="480" w:firstLineChars="200"/>
        <w:rPr>
          <w:color w:val="auto"/>
          <w:highlight w:val="none"/>
        </w:rPr>
      </w:pPr>
      <w:r>
        <w:rPr>
          <w:rFonts w:hint="eastAsia"/>
          <w:color w:val="auto"/>
          <w:highlight w:val="none"/>
        </w:rPr>
        <w:t>1、我们已详细审核全部招标文件及其有效补充文件，我们知道必须放弃提出含糊不清或误解的问题的权利。</w:t>
      </w:r>
    </w:p>
    <w:p>
      <w:pPr>
        <w:spacing w:line="370" w:lineRule="exact"/>
        <w:ind w:firstLine="480" w:firstLineChars="200"/>
        <w:rPr>
          <w:color w:val="auto"/>
          <w:highlight w:val="none"/>
        </w:rPr>
      </w:pPr>
      <w:r>
        <w:rPr>
          <w:rFonts w:hint="eastAsia"/>
          <w:color w:val="auto"/>
          <w:highlight w:val="none"/>
        </w:rPr>
        <w:t>2、我们同意从规定的开标日期起遵循本投标文件，并在规定的投标有效期期满之前均具有约束力。</w:t>
      </w:r>
    </w:p>
    <w:p>
      <w:pPr>
        <w:spacing w:line="370" w:lineRule="exact"/>
        <w:ind w:firstLine="480" w:firstLineChars="200"/>
        <w:rPr>
          <w:color w:val="auto"/>
          <w:highlight w:val="none"/>
        </w:rPr>
      </w:pPr>
      <w:r>
        <w:rPr>
          <w:rFonts w:hint="eastAsia"/>
          <w:color w:val="auto"/>
          <w:highlight w:val="none"/>
        </w:rPr>
        <w:t>3、如果在开标后规定的投标有效期内撤回投标，造成的一切不良后果由我方负责。</w:t>
      </w:r>
    </w:p>
    <w:p>
      <w:pPr>
        <w:spacing w:line="370" w:lineRule="exact"/>
        <w:ind w:firstLine="480" w:firstLineChars="200"/>
        <w:rPr>
          <w:color w:val="auto"/>
          <w:highlight w:val="none"/>
        </w:rPr>
      </w:pPr>
      <w:r>
        <w:rPr>
          <w:rFonts w:hint="eastAsia"/>
          <w:color w:val="auto"/>
          <w:highlight w:val="none"/>
        </w:rPr>
        <w:t>4、同意向贵方提供贵方可能要求的与投标有关的任何证据或资料，并保证我方已提供和将要提供的文件是真实的、准确的。</w:t>
      </w:r>
    </w:p>
    <w:p>
      <w:pPr>
        <w:spacing w:line="370" w:lineRule="exact"/>
        <w:ind w:firstLine="480" w:firstLineChars="200"/>
        <w:rPr>
          <w:color w:val="auto"/>
          <w:highlight w:val="none"/>
        </w:rPr>
      </w:pPr>
      <w:r>
        <w:rPr>
          <w:rFonts w:hint="eastAsia"/>
          <w:color w:val="auto"/>
          <w:highlight w:val="none"/>
        </w:rPr>
        <w:t>5、一旦我方中标，我方将根据招标文件的规定，严格履行合同，并保证于承诺的时间完成服务工作。</w:t>
      </w:r>
    </w:p>
    <w:p>
      <w:pPr>
        <w:spacing w:line="370" w:lineRule="exact"/>
        <w:ind w:firstLine="480" w:firstLineChars="200"/>
        <w:rPr>
          <w:color w:val="auto"/>
          <w:highlight w:val="none"/>
        </w:rPr>
      </w:pPr>
      <w:r>
        <w:rPr>
          <w:rFonts w:hint="eastAsia"/>
          <w:color w:val="auto"/>
          <w:highlight w:val="none"/>
        </w:rPr>
        <w:t>6、我方将严格遵守《中华人民共和国政府采购法》第七十七条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370" w:lineRule="exact"/>
        <w:ind w:firstLine="480" w:firstLineChars="200"/>
        <w:rPr>
          <w:color w:val="auto"/>
          <w:highlight w:val="none"/>
        </w:rPr>
      </w:pPr>
      <w:r>
        <w:rPr>
          <w:rFonts w:hint="eastAsia"/>
          <w:color w:val="auto"/>
          <w:highlight w:val="none"/>
        </w:rPr>
        <w:t>(1)提供虚假材料谋取中标、成交的；</w:t>
      </w:r>
    </w:p>
    <w:p>
      <w:pPr>
        <w:spacing w:line="370" w:lineRule="exact"/>
        <w:ind w:firstLine="480" w:firstLineChars="200"/>
        <w:rPr>
          <w:color w:val="auto"/>
          <w:highlight w:val="none"/>
        </w:rPr>
      </w:pPr>
      <w:r>
        <w:rPr>
          <w:rFonts w:hint="eastAsia"/>
          <w:color w:val="auto"/>
          <w:highlight w:val="none"/>
        </w:rPr>
        <w:t>(2)采取不正当手段诋毁、排挤其他投标人的；</w:t>
      </w:r>
    </w:p>
    <w:p>
      <w:pPr>
        <w:spacing w:line="370" w:lineRule="exact"/>
        <w:ind w:firstLine="480" w:firstLineChars="200"/>
        <w:rPr>
          <w:color w:val="auto"/>
          <w:highlight w:val="none"/>
        </w:rPr>
      </w:pPr>
      <w:r>
        <w:rPr>
          <w:rFonts w:hint="eastAsia"/>
          <w:color w:val="auto"/>
          <w:highlight w:val="none"/>
        </w:rPr>
        <w:t>(3)与采购人、其它投标人或者采购代理机构恶意串通的；</w:t>
      </w:r>
    </w:p>
    <w:p>
      <w:pPr>
        <w:spacing w:line="370" w:lineRule="exact"/>
        <w:ind w:firstLine="480" w:firstLineChars="200"/>
        <w:rPr>
          <w:color w:val="auto"/>
          <w:highlight w:val="none"/>
        </w:rPr>
      </w:pPr>
      <w:r>
        <w:rPr>
          <w:rFonts w:hint="eastAsia"/>
          <w:color w:val="auto"/>
          <w:highlight w:val="none"/>
        </w:rPr>
        <w:t>(4)向采购人、采购代理机构行贿或者提供其他不正当利益的；</w:t>
      </w:r>
    </w:p>
    <w:p>
      <w:pPr>
        <w:spacing w:line="370" w:lineRule="exact"/>
        <w:ind w:firstLine="48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)拒绝有关部门监督检查或提供虚假情况的。</w:t>
      </w:r>
    </w:p>
    <w:p>
      <w:pPr>
        <w:spacing w:line="370" w:lineRule="exact"/>
        <w:ind w:firstLine="480" w:firstLineChars="200"/>
        <w:rPr>
          <w:color w:val="auto"/>
          <w:highlight w:val="none"/>
        </w:rPr>
      </w:pPr>
      <w:r>
        <w:rPr>
          <w:rFonts w:hint="eastAsia"/>
          <w:color w:val="auto"/>
          <w:highlight w:val="none"/>
        </w:rPr>
        <w:t>7、投标有效期为递交投标文件之日起60天：</w:t>
      </w:r>
    </w:p>
    <w:p>
      <w:pPr>
        <w:pStyle w:val="7"/>
        <w:ind w:firstLine="480" w:firstLineChars="200"/>
        <w:rPr>
          <w:rFonts w:hAnsi="宋体"/>
          <w:color w:val="auto"/>
          <w:highlight w:val="none"/>
        </w:rPr>
      </w:pPr>
      <w:r>
        <w:rPr>
          <w:rFonts w:hint="eastAsia" w:hAnsi="宋体"/>
          <w:color w:val="auto"/>
          <w:highlight w:val="none"/>
        </w:rPr>
        <w:t>8、与本投标有关的正式通讯地址为：</w:t>
      </w:r>
    </w:p>
    <w:p>
      <w:pPr>
        <w:spacing w:line="370" w:lineRule="exact"/>
        <w:ind w:firstLine="480" w:firstLineChars="200"/>
        <w:rPr>
          <w:color w:val="auto"/>
          <w:highlight w:val="none"/>
          <w:u w:val="single"/>
        </w:rPr>
      </w:pPr>
      <w:r>
        <w:rPr>
          <w:rFonts w:hint="eastAsia"/>
          <w:color w:val="auto"/>
          <w:highlight w:val="none"/>
        </w:rPr>
        <w:t>地   址：</w:t>
      </w:r>
    </w:p>
    <w:p>
      <w:pPr>
        <w:spacing w:line="370" w:lineRule="exact"/>
        <w:ind w:firstLine="480" w:firstLineChars="200"/>
        <w:rPr>
          <w:color w:val="auto"/>
          <w:highlight w:val="none"/>
          <w:u w:val="single"/>
        </w:rPr>
      </w:pPr>
      <w:r>
        <w:rPr>
          <w:rFonts w:hint="eastAsia"/>
          <w:color w:val="auto"/>
          <w:highlight w:val="none"/>
        </w:rPr>
        <w:t>电   话：</w:t>
      </w:r>
    </w:p>
    <w:p>
      <w:pPr>
        <w:spacing w:line="440" w:lineRule="exact"/>
        <w:ind w:firstLine="480" w:firstLineChars="200"/>
        <w:rPr>
          <w:rFonts w:ascii="黑体" w:hAnsi="黑体" w:eastAsia="黑体"/>
          <w:color w:val="auto"/>
          <w:highlight w:val="none"/>
        </w:rPr>
      </w:pPr>
      <w:r>
        <w:rPr>
          <w:rFonts w:hint="eastAsia"/>
          <w:color w:val="auto"/>
          <w:highlight w:val="none"/>
        </w:rPr>
        <w:t>传   真：</w:t>
      </w:r>
    </w:p>
    <w:p>
      <w:pPr>
        <w:spacing w:line="370" w:lineRule="exact"/>
        <w:ind w:firstLine="4320" w:firstLineChars="1800"/>
        <w:rPr>
          <w:color w:val="auto"/>
          <w:highlight w:val="none"/>
        </w:rPr>
      </w:pPr>
    </w:p>
    <w:p>
      <w:pPr>
        <w:spacing w:line="370" w:lineRule="exact"/>
        <w:ind w:firstLine="4320" w:firstLineChars="1800"/>
        <w:rPr>
          <w:color w:val="auto"/>
          <w:highlight w:val="none"/>
          <w:u w:val="single"/>
        </w:rPr>
      </w:pPr>
      <w:r>
        <w:rPr>
          <w:rFonts w:hint="eastAsia"/>
          <w:color w:val="auto"/>
          <w:highlight w:val="none"/>
        </w:rPr>
        <w:t>法定代表人（签字或盖章）：</w:t>
      </w:r>
    </w:p>
    <w:p>
      <w:pPr>
        <w:spacing w:line="370" w:lineRule="exact"/>
        <w:ind w:firstLine="4320" w:firstLineChars="1800"/>
        <w:rPr>
          <w:color w:val="auto"/>
          <w:highlight w:val="none"/>
        </w:rPr>
      </w:pPr>
      <w:r>
        <w:rPr>
          <w:rFonts w:hint="eastAsia"/>
          <w:color w:val="auto"/>
          <w:highlight w:val="none"/>
        </w:rPr>
        <w:t>投标人（章）：</w:t>
      </w:r>
    </w:p>
    <w:p>
      <w:pPr>
        <w:spacing w:line="370" w:lineRule="exact"/>
        <w:ind w:firstLine="4320" w:firstLineChars="1800"/>
        <w:rPr>
          <w:color w:val="auto"/>
          <w:highlight w:val="none"/>
        </w:rPr>
      </w:pPr>
      <w:r>
        <w:rPr>
          <w:rFonts w:hint="eastAsia"/>
          <w:color w:val="auto"/>
          <w:highlight w:val="none"/>
        </w:rPr>
        <w:t>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rPr>
          <w:b/>
          <w:bCs/>
          <w:color w:val="auto"/>
          <w:highlight w:val="none"/>
        </w:rPr>
      </w:pPr>
    </w:p>
    <w:p>
      <w:pPr>
        <w:pStyle w:val="7"/>
        <w:rPr>
          <w:color w:val="auto"/>
          <w:highlight w:val="none"/>
        </w:rPr>
      </w:pPr>
    </w:p>
    <w:p>
      <w:pPr>
        <w:pStyle w:val="7"/>
        <w:rPr>
          <w:color w:val="auto"/>
          <w:highlight w:val="none"/>
        </w:rPr>
      </w:pPr>
    </w:p>
    <w:p>
      <w:pPr>
        <w:jc w:val="center"/>
        <w:rPr>
          <w:rFonts w:ascii="黑体" w:hAnsi="黑体" w:eastAsia="黑体"/>
          <w:color w:val="auto"/>
          <w:highlight w:val="none"/>
        </w:rPr>
      </w:pPr>
    </w:p>
    <w:p>
      <w:pPr>
        <w:jc w:val="center"/>
        <w:rPr>
          <w:rFonts w:ascii="黑体" w:hAnsi="黑体" w:eastAsia="黑体"/>
          <w:color w:val="auto"/>
          <w:highlight w:val="none"/>
        </w:rPr>
      </w:pPr>
      <w:r>
        <w:rPr>
          <w:rFonts w:hint="eastAsia" w:ascii="黑体" w:hAnsi="黑体" w:eastAsia="黑体"/>
          <w:color w:val="auto"/>
          <w:highlight w:val="none"/>
        </w:rPr>
        <w:t>报价一览表</w:t>
      </w:r>
    </w:p>
    <w:p>
      <w:pPr>
        <w:pStyle w:val="7"/>
        <w:rPr>
          <w:color w:val="auto"/>
          <w:highlight w:val="none"/>
        </w:rPr>
      </w:pPr>
    </w:p>
    <w:p>
      <w:pPr>
        <w:overflowPunct w:val="0"/>
        <w:spacing w:line="460" w:lineRule="exact"/>
        <w:rPr>
          <w:color w:val="auto"/>
          <w:highlight w:val="none"/>
        </w:rPr>
      </w:pPr>
      <w:r>
        <w:rPr>
          <w:rFonts w:hint="eastAsia"/>
          <w:color w:val="auto"/>
          <w:highlight w:val="none"/>
        </w:rPr>
        <w:t>单位：元/（人民币）</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62"/>
        <w:gridCol w:w="1455"/>
        <w:gridCol w:w="1438"/>
        <w:gridCol w:w="1559"/>
        <w:gridCol w:w="1418"/>
        <w:gridCol w:w="1418"/>
        <w:gridCol w:w="14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303" w:type="pct"/>
            <w:vAlign w:val="center"/>
          </w:tcPr>
          <w:p>
            <w:pPr>
              <w:overflowPunct w:val="0"/>
              <w:spacing w:line="460" w:lineRule="exact"/>
              <w:jc w:val="center"/>
              <w:rPr>
                <w:b/>
                <w:color w:val="auto"/>
                <w:highlight w:val="none"/>
              </w:rPr>
            </w:pPr>
            <w:r>
              <w:rPr>
                <w:rFonts w:hint="eastAsia"/>
                <w:b/>
                <w:color w:val="auto"/>
                <w:highlight w:val="none"/>
              </w:rPr>
              <w:t>序号</w:t>
            </w:r>
          </w:p>
        </w:tc>
        <w:tc>
          <w:tcPr>
            <w:tcW w:w="783" w:type="pct"/>
            <w:vAlign w:val="center"/>
          </w:tcPr>
          <w:p>
            <w:pPr>
              <w:overflowPunct w:val="0"/>
              <w:spacing w:line="460" w:lineRule="exact"/>
              <w:jc w:val="center"/>
              <w:rPr>
                <w:b/>
                <w:color w:val="auto"/>
                <w:highlight w:val="none"/>
              </w:rPr>
            </w:pPr>
            <w:r>
              <w:rPr>
                <w:rFonts w:hint="eastAsia"/>
                <w:b/>
                <w:color w:val="auto"/>
                <w:highlight w:val="none"/>
              </w:rPr>
              <w:t>项目名称</w:t>
            </w:r>
          </w:p>
        </w:tc>
        <w:tc>
          <w:tcPr>
            <w:tcW w:w="774" w:type="pct"/>
            <w:vAlign w:val="center"/>
          </w:tcPr>
          <w:p>
            <w:pPr>
              <w:overflowPunct w:val="0"/>
              <w:spacing w:line="460" w:lineRule="exact"/>
              <w:jc w:val="center"/>
              <w:rPr>
                <w:b/>
                <w:color w:val="auto"/>
                <w:highlight w:val="none"/>
              </w:rPr>
            </w:pPr>
            <w:r>
              <w:rPr>
                <w:rFonts w:hint="eastAsia"/>
                <w:b/>
                <w:color w:val="auto"/>
                <w:highlight w:val="none"/>
              </w:rPr>
              <w:t>总报价（元）</w:t>
            </w:r>
          </w:p>
        </w:tc>
        <w:tc>
          <w:tcPr>
            <w:tcW w:w="839" w:type="pct"/>
            <w:vAlign w:val="center"/>
          </w:tcPr>
          <w:p>
            <w:pPr>
              <w:overflowPunct w:val="0"/>
              <w:spacing w:line="460" w:lineRule="exact"/>
              <w:jc w:val="center"/>
              <w:rPr>
                <w:rFonts w:hint="eastAsia" w:eastAsia="宋体"/>
                <w:b/>
                <w:color w:val="auto"/>
                <w:highlight w:val="none"/>
                <w:lang w:eastAsia="zh-CN"/>
              </w:rPr>
            </w:pPr>
            <w:r>
              <w:rPr>
                <w:rFonts w:hint="eastAsia"/>
                <w:b/>
                <w:color w:val="auto"/>
                <w:highlight w:val="none"/>
              </w:rPr>
              <w:t>采购</w:t>
            </w:r>
            <w:r>
              <w:rPr>
                <w:rFonts w:hint="eastAsia"/>
                <w:b/>
                <w:color w:val="auto"/>
                <w:highlight w:val="none"/>
                <w:lang w:eastAsia="zh-CN"/>
              </w:rPr>
              <w:t>内容</w:t>
            </w:r>
          </w:p>
        </w:tc>
        <w:tc>
          <w:tcPr>
            <w:tcW w:w="763" w:type="pct"/>
            <w:vAlign w:val="center"/>
          </w:tcPr>
          <w:p>
            <w:pPr>
              <w:overflowPunct w:val="0"/>
              <w:spacing w:line="460" w:lineRule="exact"/>
              <w:jc w:val="center"/>
              <w:rPr>
                <w:b/>
                <w:color w:val="auto"/>
                <w:highlight w:val="none"/>
              </w:rPr>
            </w:pPr>
            <w:r>
              <w:rPr>
                <w:rFonts w:hint="eastAsia"/>
                <w:b/>
                <w:color w:val="auto"/>
                <w:highlight w:val="none"/>
              </w:rPr>
              <w:t>采购范围</w:t>
            </w:r>
          </w:p>
        </w:tc>
        <w:tc>
          <w:tcPr>
            <w:tcW w:w="763" w:type="pct"/>
            <w:vAlign w:val="center"/>
          </w:tcPr>
          <w:p>
            <w:pPr>
              <w:overflowPunct w:val="0"/>
              <w:spacing w:line="460" w:lineRule="exact"/>
              <w:jc w:val="center"/>
              <w:rPr>
                <w:b/>
                <w:color w:val="auto"/>
                <w:highlight w:val="none"/>
              </w:rPr>
            </w:pPr>
            <w:r>
              <w:rPr>
                <w:rFonts w:hint="eastAsia"/>
                <w:b/>
                <w:color w:val="auto"/>
                <w:highlight w:val="none"/>
              </w:rPr>
              <w:t>服务对象</w:t>
            </w:r>
            <w:r>
              <w:rPr>
                <w:b/>
                <w:color w:val="auto"/>
                <w:highlight w:val="none"/>
              </w:rPr>
              <w:t>/服务区域</w:t>
            </w:r>
          </w:p>
        </w:tc>
        <w:tc>
          <w:tcPr>
            <w:tcW w:w="771" w:type="pct"/>
            <w:vAlign w:val="center"/>
          </w:tcPr>
          <w:p>
            <w:pPr>
              <w:overflowPunct w:val="0"/>
              <w:spacing w:line="460" w:lineRule="exact"/>
              <w:jc w:val="center"/>
              <w:rPr>
                <w:b/>
                <w:color w:val="auto"/>
                <w:highlight w:val="none"/>
              </w:rPr>
            </w:pPr>
            <w:r>
              <w:rPr>
                <w:rFonts w:hint="eastAsia"/>
                <w:b/>
                <w:color w:val="auto"/>
                <w:highlight w:val="none"/>
              </w:rPr>
              <w:t>项目交付期限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303" w:type="pct"/>
            <w:vAlign w:val="center"/>
          </w:tcPr>
          <w:p>
            <w:pPr>
              <w:overflowPunct w:val="0"/>
              <w:spacing w:line="460" w:lineRule="exact"/>
              <w:jc w:val="center"/>
              <w:rPr>
                <w:color w:val="auto"/>
                <w:highlight w:val="none"/>
              </w:rPr>
            </w:pPr>
          </w:p>
        </w:tc>
        <w:tc>
          <w:tcPr>
            <w:tcW w:w="783" w:type="pct"/>
            <w:vAlign w:val="center"/>
          </w:tcPr>
          <w:p>
            <w:pPr>
              <w:overflowPunct w:val="0"/>
              <w:spacing w:line="460" w:lineRule="exact"/>
              <w:jc w:val="center"/>
              <w:rPr>
                <w:rFonts w:hint="eastAsia" w:eastAsia="宋体"/>
                <w:color w:val="auto"/>
                <w:highlight w:val="none"/>
                <w:lang w:eastAsia="zh-CN"/>
              </w:rPr>
            </w:pPr>
            <w:r>
              <w:rPr>
                <w:rFonts w:hint="eastAsia"/>
                <w:color w:val="auto"/>
                <w:highlight w:val="none"/>
                <w:lang w:eastAsia="zh-CN"/>
              </w:rPr>
              <w:t>尼勒克县基层阵地及公共服务管理设施建设项目</w:t>
            </w:r>
          </w:p>
        </w:tc>
        <w:tc>
          <w:tcPr>
            <w:tcW w:w="774" w:type="pct"/>
            <w:vAlign w:val="center"/>
          </w:tcPr>
          <w:p>
            <w:pPr>
              <w:overflowPunct w:val="0"/>
              <w:spacing w:line="460" w:lineRule="exact"/>
              <w:jc w:val="center"/>
              <w:rPr>
                <w:color w:val="auto"/>
                <w:highlight w:val="none"/>
              </w:rPr>
            </w:pPr>
          </w:p>
        </w:tc>
        <w:tc>
          <w:tcPr>
            <w:tcW w:w="839" w:type="pct"/>
            <w:vAlign w:val="center"/>
          </w:tcPr>
          <w:p>
            <w:pPr>
              <w:jc w:val="center"/>
              <w:rPr>
                <w:rFonts w:cs="宋体"/>
                <w:color w:val="auto"/>
                <w:highlight w:val="none"/>
              </w:rPr>
            </w:pPr>
          </w:p>
        </w:tc>
        <w:tc>
          <w:tcPr>
            <w:tcW w:w="763" w:type="pct"/>
            <w:vAlign w:val="center"/>
          </w:tcPr>
          <w:p>
            <w:pPr>
              <w:jc w:val="center"/>
              <w:rPr>
                <w:rFonts w:cs="宋体"/>
                <w:color w:val="auto"/>
                <w:highlight w:val="none"/>
              </w:rPr>
            </w:pPr>
          </w:p>
        </w:tc>
        <w:tc>
          <w:tcPr>
            <w:tcW w:w="763" w:type="pct"/>
            <w:vAlign w:val="center"/>
          </w:tcPr>
          <w:p>
            <w:pPr>
              <w:rPr>
                <w:rFonts w:cs="宋体"/>
                <w:color w:val="auto"/>
                <w:highlight w:val="none"/>
              </w:rPr>
            </w:pPr>
          </w:p>
        </w:tc>
        <w:tc>
          <w:tcPr>
            <w:tcW w:w="771" w:type="pct"/>
            <w:vAlign w:val="center"/>
          </w:tcPr>
          <w:p>
            <w:pPr>
              <w:overflowPunct w:val="0"/>
              <w:spacing w:line="46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1086" w:type="pct"/>
            <w:gridSpan w:val="2"/>
            <w:vAlign w:val="center"/>
          </w:tcPr>
          <w:p>
            <w:pPr>
              <w:overflowPunct w:val="0"/>
              <w:spacing w:line="460" w:lineRule="exact"/>
              <w:jc w:val="center"/>
              <w:rPr>
                <w:color w:val="auto"/>
                <w:highlight w:val="none"/>
              </w:rPr>
            </w:pPr>
            <w:r>
              <w:rPr>
                <w:rFonts w:hint="eastAsia"/>
                <w:color w:val="auto"/>
                <w:highlight w:val="none"/>
              </w:rPr>
              <w:t>总报价</w:t>
            </w:r>
          </w:p>
        </w:tc>
        <w:tc>
          <w:tcPr>
            <w:tcW w:w="3913" w:type="pct"/>
            <w:gridSpan w:val="5"/>
          </w:tcPr>
          <w:p>
            <w:pPr>
              <w:overflowPunct w:val="0"/>
              <w:spacing w:line="460" w:lineRule="exact"/>
              <w:jc w:val="center"/>
              <w:rPr>
                <w:color w:val="auto"/>
                <w:highlight w:val="none"/>
              </w:rPr>
            </w:pPr>
            <w:r>
              <w:rPr>
                <w:rFonts w:hint="eastAsia"/>
                <w:color w:val="auto"/>
                <w:highlight w:val="none"/>
                <w:lang w:eastAsia="zh-CN"/>
              </w:rPr>
              <w:t>小写：</w:t>
            </w:r>
            <w:r>
              <w:rPr>
                <w:rFonts w:hint="eastAsia"/>
                <w:color w:val="auto"/>
                <w:highlight w:val="none"/>
              </w:rPr>
              <w:t>（大写</w:t>
            </w:r>
            <w:r>
              <w:rPr>
                <w:rFonts w:hint="eastAsia"/>
                <w:color w:val="auto"/>
                <w:highlight w:val="none"/>
                <w:lang w:eastAsia="zh-CN"/>
              </w:rPr>
              <w:t>：</w:t>
            </w:r>
            <w:r>
              <w:rPr>
                <w:rFonts w:hint="eastAsia"/>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1086" w:type="pct"/>
            <w:gridSpan w:val="2"/>
            <w:vAlign w:val="center"/>
          </w:tcPr>
          <w:p>
            <w:pPr>
              <w:overflowPunct w:val="0"/>
              <w:spacing w:line="460" w:lineRule="exact"/>
              <w:jc w:val="center"/>
              <w:rPr>
                <w:color w:val="auto"/>
                <w:highlight w:val="none"/>
              </w:rPr>
            </w:pPr>
            <w:r>
              <w:rPr>
                <w:rFonts w:hint="eastAsia"/>
                <w:color w:val="auto"/>
                <w:highlight w:val="none"/>
              </w:rPr>
              <w:t>备注</w:t>
            </w:r>
          </w:p>
        </w:tc>
        <w:tc>
          <w:tcPr>
            <w:tcW w:w="3913" w:type="pct"/>
            <w:gridSpan w:val="5"/>
          </w:tcPr>
          <w:p>
            <w:pPr>
              <w:pStyle w:val="41"/>
              <w:ind w:firstLine="0" w:firstLineChars="0"/>
              <w:rPr>
                <w:color w:val="auto"/>
                <w:szCs w:val="24"/>
                <w:highlight w:val="none"/>
              </w:rPr>
            </w:pPr>
            <w:r>
              <w:rPr>
                <w:rFonts w:hint="eastAsia"/>
                <w:color w:val="auto"/>
                <w:szCs w:val="24"/>
                <w:highlight w:val="none"/>
              </w:rPr>
              <w:t>包括投标人所提供货物/服务的运输费、人员费用、设备费用、税费及其他有关的为完成本项目发生的所有费用。</w:t>
            </w:r>
          </w:p>
        </w:tc>
      </w:tr>
    </w:tbl>
    <w:p>
      <w:pPr>
        <w:pStyle w:val="7"/>
        <w:rPr>
          <w:color w:val="auto"/>
          <w:highlight w:val="none"/>
        </w:rPr>
      </w:pPr>
    </w:p>
    <w:p>
      <w:pPr>
        <w:ind w:firstLine="480" w:firstLineChars="200"/>
        <w:rPr>
          <w:color w:val="auto"/>
          <w:highlight w:val="none"/>
        </w:rPr>
      </w:pPr>
      <w:r>
        <w:rPr>
          <w:rFonts w:hint="eastAsia"/>
          <w:color w:val="auto"/>
          <w:highlight w:val="none"/>
        </w:rPr>
        <w:t>投标人名称(公章)：</w:t>
      </w:r>
    </w:p>
    <w:p>
      <w:pPr>
        <w:ind w:firstLine="482" w:firstLineChars="200"/>
        <w:rPr>
          <w:b/>
          <w:bCs/>
          <w:color w:val="auto"/>
          <w:highlight w:val="none"/>
        </w:rPr>
      </w:pPr>
    </w:p>
    <w:p>
      <w:pPr>
        <w:spacing w:line="370" w:lineRule="exact"/>
        <w:ind w:firstLine="360" w:firstLineChars="150"/>
        <w:jc w:val="left"/>
        <w:rPr>
          <w:color w:val="auto"/>
          <w:highlight w:val="none"/>
        </w:rPr>
      </w:pPr>
      <w:r>
        <w:rPr>
          <w:rFonts w:hint="eastAsia"/>
          <w:color w:val="auto"/>
          <w:highlight w:val="none"/>
        </w:rPr>
        <w:t>法定代表人（签字或盖章）：</w:t>
      </w:r>
    </w:p>
    <w:p>
      <w:pPr>
        <w:ind w:firstLine="480" w:firstLineChars="200"/>
        <w:rPr>
          <w:color w:val="auto"/>
          <w:highlight w:val="none"/>
        </w:rPr>
      </w:pPr>
    </w:p>
    <w:p>
      <w:pPr>
        <w:ind w:firstLine="480" w:firstLineChars="200"/>
        <w:rPr>
          <w:color w:val="auto"/>
          <w:highlight w:val="none"/>
        </w:rPr>
      </w:pPr>
      <w:r>
        <w:rPr>
          <w:color w:val="auto"/>
          <w:highlight w:val="none"/>
        </w:rPr>
        <w:t>日期：</w:t>
      </w:r>
      <w:r>
        <w:rPr>
          <w:rFonts w:hint="eastAsia"/>
          <w:color w:val="auto"/>
          <w:highlight w:val="none"/>
        </w:rPr>
        <w:t xml:space="preserve">    </w:t>
      </w:r>
      <w:r>
        <w:rPr>
          <w:color w:val="auto"/>
          <w:highlight w:val="none"/>
        </w:rPr>
        <w:t>年  月 日</w:t>
      </w:r>
    </w:p>
    <w:p>
      <w:pPr>
        <w:ind w:firstLine="480" w:firstLineChars="200"/>
        <w:rPr>
          <w:color w:val="auto"/>
          <w:highlight w:val="none"/>
        </w:rPr>
      </w:pPr>
    </w:p>
    <w:p>
      <w:pPr>
        <w:pStyle w:val="7"/>
        <w:rPr>
          <w:color w:val="auto"/>
          <w:highlight w:val="none"/>
        </w:rPr>
      </w:pPr>
    </w:p>
    <w:p>
      <w:pPr>
        <w:pStyle w:val="7"/>
        <w:rPr>
          <w:color w:val="auto"/>
          <w:highlight w:val="none"/>
        </w:rPr>
      </w:pPr>
    </w:p>
    <w:p>
      <w:pPr>
        <w:pStyle w:val="30"/>
        <w:rPr>
          <w:color w:val="auto"/>
          <w:highlight w:val="none"/>
        </w:rPr>
      </w:pPr>
    </w:p>
    <w:p>
      <w:pPr>
        <w:pStyle w:val="29"/>
        <w:ind w:firstLine="420"/>
        <w:rPr>
          <w:color w:val="auto"/>
          <w:highlight w:val="none"/>
        </w:rPr>
      </w:pPr>
    </w:p>
    <w:p>
      <w:pPr>
        <w:rPr>
          <w:color w:val="auto"/>
          <w:highlight w:val="none"/>
        </w:rPr>
      </w:pPr>
    </w:p>
    <w:p>
      <w:pPr>
        <w:pStyle w:val="5"/>
        <w:rPr>
          <w:color w:val="auto"/>
          <w:highlight w:val="none"/>
        </w:rPr>
      </w:pPr>
    </w:p>
    <w:p>
      <w:pPr>
        <w:pStyle w:val="20"/>
        <w:ind w:firstLine="0" w:firstLineChars="0"/>
        <w:rPr>
          <w:color w:val="auto"/>
          <w:highlight w:val="none"/>
        </w:rPr>
      </w:pPr>
    </w:p>
    <w:p>
      <w:pPr>
        <w:jc w:val="center"/>
        <w:rPr>
          <w:rFonts w:hint="eastAsia" w:ascii="黑体" w:hAnsi="黑体" w:eastAsia="黑体"/>
          <w:color w:val="auto"/>
          <w:highlight w:val="none"/>
        </w:rPr>
      </w:pPr>
      <w:r>
        <w:rPr>
          <w:rFonts w:hint="eastAsia" w:ascii="黑体" w:hAnsi="黑体" w:eastAsia="黑体"/>
          <w:color w:val="auto"/>
          <w:highlight w:val="none"/>
        </w:rPr>
        <w:t>报价清单明细表</w:t>
      </w:r>
    </w:p>
    <w:p>
      <w:pPr>
        <w:jc w:val="center"/>
        <w:rPr>
          <w:rFonts w:cs="宋体"/>
          <w:color w:val="auto"/>
          <w:highlight w:val="none"/>
        </w:rPr>
      </w:pPr>
      <w:r>
        <w:rPr>
          <w:rFonts w:hint="eastAsia" w:ascii="黑体" w:hAnsi="黑体" w:eastAsia="黑体"/>
          <w:color w:val="auto"/>
          <w:highlight w:val="none"/>
          <w:lang w:eastAsia="zh-CN"/>
        </w:rPr>
        <w:t>（后附项目具体需求明细）</w:t>
      </w:r>
    </w:p>
    <w:tbl>
      <w:tblPr>
        <w:tblStyle w:val="22"/>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525"/>
        <w:gridCol w:w="673"/>
        <w:gridCol w:w="3801"/>
        <w:gridCol w:w="436"/>
        <w:gridCol w:w="440"/>
        <w:gridCol w:w="905"/>
        <w:gridCol w:w="898"/>
        <w:gridCol w:w="470"/>
        <w:gridCol w:w="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类别</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规格、技术参数、性能及要求</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cs="宋体"/>
                <w:b/>
                <w:bCs/>
                <w:color w:val="auto"/>
                <w:sz w:val="22"/>
                <w:szCs w:val="22"/>
                <w:highlight w:val="none"/>
              </w:rPr>
              <w:t>单价（元）</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cs="宋体"/>
                <w:b/>
                <w:bCs/>
                <w:color w:val="auto"/>
                <w:sz w:val="22"/>
                <w:szCs w:val="22"/>
                <w:highlight w:val="none"/>
              </w:rPr>
              <w:t>合价（元）</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cs="宋体"/>
                <w:b/>
                <w:bCs/>
                <w:color w:val="auto"/>
                <w:sz w:val="22"/>
                <w:szCs w:val="22"/>
                <w:highlight w:val="none"/>
              </w:rPr>
              <w:t>品牌/厂家</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b/>
                <w:bCs/>
                <w:color w:val="auto"/>
                <w:sz w:val="22"/>
                <w:szCs w:val="22"/>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b/>
                <w:bCs/>
                <w:color w:val="auto"/>
                <w:sz w:val="22"/>
                <w:szCs w:val="22"/>
                <w:highlight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b/>
                <w:bCs/>
                <w:color w:val="auto"/>
                <w:sz w:val="22"/>
                <w:szCs w:val="22"/>
                <w:highlight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b/>
                <w:bCs/>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b/>
                <w:bCs/>
                <w:color w:val="auto"/>
                <w:sz w:val="22"/>
                <w:szCs w:val="22"/>
                <w:highlight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b/>
                <w:bCs/>
                <w:color w:val="auto"/>
                <w:sz w:val="22"/>
                <w:szCs w:val="22"/>
                <w:highlight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b/>
                <w:bCs/>
                <w:color w:val="auto"/>
                <w:sz w:val="22"/>
                <w:szCs w:val="22"/>
                <w:highlight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b/>
                <w:bCs/>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91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s="宋体"/>
                <w:color w:val="auto"/>
                <w:sz w:val="22"/>
                <w:szCs w:val="22"/>
                <w:highlight w:val="none"/>
              </w:rPr>
              <w:t>合价:小写：（大写：）</w:t>
            </w:r>
          </w:p>
        </w:tc>
      </w:tr>
    </w:tbl>
    <w:p>
      <w:pPr>
        <w:ind w:right="960"/>
        <w:rPr>
          <w:rFonts w:cs="宋体"/>
          <w:color w:val="auto"/>
          <w:highlight w:val="none"/>
        </w:rPr>
      </w:pPr>
    </w:p>
    <w:p>
      <w:pPr>
        <w:ind w:right="960"/>
        <w:rPr>
          <w:rFonts w:cs="宋体"/>
          <w:color w:val="auto"/>
          <w:highlight w:val="none"/>
        </w:rPr>
      </w:pPr>
      <w:r>
        <w:rPr>
          <w:rFonts w:cs="宋体"/>
          <w:color w:val="auto"/>
          <w:highlight w:val="none"/>
        </w:rPr>
        <w:t>投标人名称（公章）：</w:t>
      </w:r>
    </w:p>
    <w:p>
      <w:pPr>
        <w:ind w:right="960"/>
        <w:jc w:val="left"/>
        <w:rPr>
          <w:rFonts w:cs="宋体"/>
          <w:color w:val="auto"/>
          <w:highlight w:val="none"/>
        </w:rPr>
      </w:pPr>
      <w:r>
        <w:rPr>
          <w:rFonts w:hint="eastAsia" w:cs="宋体"/>
          <w:color w:val="auto"/>
          <w:highlight w:val="none"/>
        </w:rPr>
        <w:t>法定代表人（签字或盖章）：</w:t>
      </w:r>
      <w:r>
        <w:rPr>
          <w:rFonts w:cs="宋体"/>
          <w:color w:val="auto"/>
          <w:highlight w:val="none"/>
        </w:rPr>
        <w:t>_______________</w:t>
      </w:r>
    </w:p>
    <w:p>
      <w:pPr>
        <w:ind w:right="960"/>
        <w:rPr>
          <w:rFonts w:cs="宋体"/>
          <w:color w:val="auto"/>
          <w:highlight w:val="none"/>
        </w:rPr>
      </w:pPr>
      <w:r>
        <w:rPr>
          <w:rFonts w:cs="宋体"/>
          <w:color w:val="auto"/>
          <w:highlight w:val="none"/>
        </w:rPr>
        <w:t>日期：</w:t>
      </w:r>
      <w:r>
        <w:rPr>
          <w:rFonts w:hint="eastAsia" w:cs="宋体"/>
          <w:color w:val="auto"/>
          <w:highlight w:val="none"/>
        </w:rPr>
        <w:t xml:space="preserve">      </w:t>
      </w:r>
      <w:r>
        <w:rPr>
          <w:rFonts w:cs="宋体"/>
          <w:color w:val="auto"/>
          <w:highlight w:val="none"/>
        </w:rPr>
        <w:t>年    月    日</w:t>
      </w:r>
    </w:p>
    <w:p>
      <w:pPr>
        <w:pStyle w:val="7"/>
        <w:rPr>
          <w:color w:val="auto"/>
          <w:highlight w:val="none"/>
        </w:rPr>
      </w:pPr>
    </w:p>
    <w:p>
      <w:pPr>
        <w:pStyle w:val="30"/>
        <w:rPr>
          <w:color w:val="auto"/>
          <w:highlight w:val="none"/>
        </w:rPr>
      </w:pPr>
    </w:p>
    <w:p>
      <w:pPr>
        <w:pStyle w:val="29"/>
        <w:ind w:firstLine="420"/>
        <w:rPr>
          <w:color w:val="auto"/>
          <w:highlight w:val="none"/>
        </w:rPr>
      </w:pPr>
    </w:p>
    <w:p>
      <w:pPr>
        <w:rPr>
          <w:color w:val="auto"/>
          <w:highlight w:val="none"/>
        </w:rPr>
      </w:pPr>
    </w:p>
    <w:p>
      <w:pPr>
        <w:pStyle w:val="5"/>
        <w:rPr>
          <w:color w:val="auto"/>
          <w:highlight w:val="none"/>
        </w:rPr>
      </w:pPr>
    </w:p>
    <w:p>
      <w:pPr>
        <w:pStyle w:val="6"/>
        <w:ind w:left="1440"/>
        <w:rPr>
          <w:color w:val="auto"/>
          <w:highlight w:val="none"/>
        </w:rPr>
      </w:pPr>
    </w:p>
    <w:p>
      <w:pPr>
        <w:rPr>
          <w:color w:val="auto"/>
          <w:highlight w:val="none"/>
        </w:rPr>
      </w:pPr>
    </w:p>
    <w:p>
      <w:pPr>
        <w:pStyle w:val="5"/>
        <w:rPr>
          <w:color w:val="auto"/>
          <w:highlight w:val="none"/>
        </w:rPr>
      </w:pPr>
    </w:p>
    <w:p>
      <w:pPr>
        <w:pStyle w:val="6"/>
        <w:ind w:left="1440"/>
        <w:rPr>
          <w:color w:val="auto"/>
          <w:highlight w:val="none"/>
        </w:rPr>
      </w:pPr>
    </w:p>
    <w:p>
      <w:pPr>
        <w:rPr>
          <w:color w:val="auto"/>
          <w:highlight w:val="none"/>
        </w:rPr>
      </w:pPr>
    </w:p>
    <w:p>
      <w:pPr>
        <w:pStyle w:val="5"/>
        <w:rPr>
          <w:color w:val="auto"/>
          <w:highlight w:val="none"/>
        </w:rPr>
      </w:pPr>
    </w:p>
    <w:p>
      <w:pPr>
        <w:pStyle w:val="6"/>
        <w:ind w:left="1440"/>
        <w:rPr>
          <w:color w:val="auto"/>
          <w:highlight w:val="none"/>
        </w:rPr>
      </w:pPr>
    </w:p>
    <w:p>
      <w:pPr>
        <w:rPr>
          <w:color w:val="auto"/>
          <w:highlight w:val="none"/>
        </w:rPr>
      </w:pPr>
    </w:p>
    <w:p>
      <w:pPr>
        <w:pStyle w:val="5"/>
        <w:rPr>
          <w:color w:val="auto"/>
          <w:highlight w:val="none"/>
        </w:rPr>
      </w:pPr>
    </w:p>
    <w:p>
      <w:pPr>
        <w:pStyle w:val="6"/>
        <w:ind w:left="1440"/>
        <w:rPr>
          <w:color w:val="auto"/>
          <w:highlight w:val="none"/>
        </w:rPr>
      </w:pPr>
    </w:p>
    <w:p>
      <w:pPr>
        <w:rPr>
          <w:color w:val="auto"/>
          <w:highlight w:val="none"/>
        </w:rPr>
      </w:pPr>
    </w:p>
    <w:p>
      <w:pPr>
        <w:pStyle w:val="6"/>
        <w:ind w:left="0" w:leftChars="0"/>
        <w:rPr>
          <w:color w:val="auto"/>
          <w:highlight w:val="none"/>
        </w:rPr>
      </w:pPr>
    </w:p>
    <w:p>
      <w:pPr>
        <w:pStyle w:val="7"/>
        <w:jc w:val="center"/>
        <w:rPr>
          <w:rFonts w:hint="eastAsia" w:ascii="黑体" w:hAnsi="黑体" w:eastAsia="黑体"/>
          <w:color w:val="auto"/>
          <w:highlight w:val="none"/>
        </w:rPr>
      </w:pPr>
      <w:r>
        <w:rPr>
          <w:rFonts w:hint="eastAsia" w:ascii="黑体" w:hAnsi="黑体" w:eastAsia="黑体"/>
          <w:color w:val="auto"/>
          <w:highlight w:val="none"/>
        </w:rPr>
        <w:t>投标参数规格偏离表</w:t>
      </w:r>
    </w:p>
    <w:p>
      <w:pPr>
        <w:pStyle w:val="30"/>
        <w:jc w:val="center"/>
        <w:rPr>
          <w:rFonts w:hint="eastAsia"/>
          <w:color w:val="auto"/>
          <w:highlight w:val="none"/>
        </w:rPr>
      </w:pPr>
      <w:r>
        <w:rPr>
          <w:rFonts w:hint="eastAsia"/>
          <w:color w:val="auto"/>
          <w:highlight w:val="none"/>
        </w:rPr>
        <w:t>（后附项目具体需求明细）</w:t>
      </w:r>
    </w:p>
    <w:tbl>
      <w:tblPr>
        <w:tblStyle w:val="22"/>
        <w:tblW w:w="957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
        <w:gridCol w:w="637"/>
        <w:gridCol w:w="1133"/>
        <w:gridCol w:w="4406"/>
        <w:gridCol w:w="447"/>
        <w:gridCol w:w="447"/>
        <w:gridCol w:w="814"/>
        <w:gridCol w:w="840"/>
        <w:gridCol w:w="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类别</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型号规格</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投标企业参标的型号规格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正偏离/负偏离/无偏离</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b/>
                <w:bCs/>
                <w:i w:val="0"/>
                <w:iCs w:val="0"/>
                <w:color w:val="auto"/>
                <w:kern w:val="0"/>
                <w:sz w:val="21"/>
                <w:szCs w:val="21"/>
                <w:highlight w:val="none"/>
                <w:u w:val="none"/>
                <w:lang w:val="en-US" w:eastAsia="zh-CN" w:bidi="ar"/>
              </w:rPr>
            </w:pPr>
          </w:p>
        </w:tc>
      </w:tr>
    </w:tbl>
    <w:p>
      <w:pPr>
        <w:ind w:right="960"/>
        <w:rPr>
          <w:rFonts w:hint="eastAsia" w:cs="宋体"/>
          <w:color w:val="auto"/>
          <w:highlight w:val="none"/>
        </w:rPr>
      </w:pPr>
    </w:p>
    <w:p>
      <w:pPr>
        <w:ind w:right="960"/>
        <w:rPr>
          <w:rFonts w:hint="eastAsia" w:cs="宋体"/>
          <w:color w:val="auto"/>
          <w:highlight w:val="none"/>
        </w:rPr>
      </w:pPr>
    </w:p>
    <w:p>
      <w:pPr>
        <w:ind w:right="960"/>
        <w:rPr>
          <w:rFonts w:hint="eastAsia" w:cs="宋体"/>
          <w:color w:val="auto"/>
          <w:highlight w:val="none"/>
        </w:rPr>
      </w:pPr>
    </w:p>
    <w:p>
      <w:pPr>
        <w:ind w:right="960"/>
        <w:rPr>
          <w:rFonts w:cs="宋体"/>
          <w:color w:val="auto"/>
          <w:highlight w:val="none"/>
        </w:rPr>
      </w:pPr>
      <w:r>
        <w:rPr>
          <w:rFonts w:hint="eastAsia" w:cs="宋体"/>
          <w:color w:val="auto"/>
          <w:highlight w:val="none"/>
        </w:rPr>
        <w:t>注：本项目不允许负偏离</w:t>
      </w:r>
    </w:p>
    <w:p>
      <w:pPr>
        <w:ind w:right="960"/>
        <w:rPr>
          <w:rFonts w:cs="宋体"/>
          <w:color w:val="auto"/>
          <w:highlight w:val="none"/>
        </w:rPr>
      </w:pPr>
    </w:p>
    <w:p>
      <w:pPr>
        <w:pStyle w:val="5"/>
        <w:rPr>
          <w:color w:val="auto"/>
          <w:highlight w:val="none"/>
        </w:rPr>
      </w:pPr>
    </w:p>
    <w:p>
      <w:pPr>
        <w:ind w:right="960"/>
        <w:rPr>
          <w:rFonts w:cs="宋体"/>
          <w:color w:val="auto"/>
          <w:highlight w:val="none"/>
        </w:rPr>
      </w:pPr>
      <w:r>
        <w:rPr>
          <w:rFonts w:cs="宋体"/>
          <w:color w:val="auto"/>
          <w:highlight w:val="none"/>
        </w:rPr>
        <w:t>投标人名称（公章）：</w:t>
      </w:r>
    </w:p>
    <w:p>
      <w:pPr>
        <w:ind w:right="960"/>
        <w:rPr>
          <w:rFonts w:cs="宋体"/>
          <w:color w:val="auto"/>
          <w:highlight w:val="none"/>
        </w:rPr>
      </w:pPr>
      <w:r>
        <w:rPr>
          <w:rFonts w:cs="宋体"/>
          <w:color w:val="auto"/>
          <w:highlight w:val="none"/>
        </w:rPr>
        <w:t>                                 </w:t>
      </w:r>
      <w:r>
        <w:rPr>
          <w:rFonts w:hint="eastAsia" w:cs="宋体"/>
          <w:color w:val="auto"/>
          <w:highlight w:val="none"/>
        </w:rPr>
        <w:t>法定代表人（签字或盖章）：</w:t>
      </w:r>
      <w:r>
        <w:rPr>
          <w:rFonts w:cs="宋体"/>
          <w:color w:val="auto"/>
          <w:highlight w:val="none"/>
        </w:rPr>
        <w:t>_______________________</w:t>
      </w:r>
    </w:p>
    <w:p>
      <w:pPr>
        <w:ind w:right="960"/>
        <w:rPr>
          <w:rFonts w:cs="宋体"/>
          <w:color w:val="auto"/>
          <w:highlight w:val="none"/>
        </w:rPr>
      </w:pPr>
      <w:r>
        <w:rPr>
          <w:rFonts w:hint="eastAsia" w:cs="宋体"/>
          <w:color w:val="auto"/>
          <w:highlight w:val="none"/>
        </w:rPr>
        <w:t xml:space="preserve"> </w:t>
      </w:r>
      <w:r>
        <w:rPr>
          <w:rFonts w:cs="宋体"/>
          <w:color w:val="auto"/>
          <w:highlight w:val="none"/>
        </w:rPr>
        <w:t>  </w:t>
      </w:r>
      <w:r>
        <w:rPr>
          <w:rFonts w:hint="eastAsia" w:cs="宋体"/>
          <w:color w:val="auto"/>
          <w:highlight w:val="none"/>
        </w:rPr>
        <w:t xml:space="preserve">            </w:t>
      </w:r>
      <w:r>
        <w:rPr>
          <w:rFonts w:cs="宋体"/>
          <w:color w:val="auto"/>
          <w:highlight w:val="none"/>
        </w:rPr>
        <w:t>                         日期：</w:t>
      </w:r>
      <w:r>
        <w:rPr>
          <w:rFonts w:hint="eastAsia" w:cs="宋体"/>
          <w:color w:val="auto"/>
          <w:highlight w:val="none"/>
        </w:rPr>
        <w:t xml:space="preserve">          </w:t>
      </w:r>
      <w:r>
        <w:rPr>
          <w:rFonts w:cs="宋体"/>
          <w:color w:val="auto"/>
          <w:highlight w:val="none"/>
        </w:rPr>
        <w:t>年    月    日</w:t>
      </w:r>
    </w:p>
    <w:p>
      <w:pPr>
        <w:spacing w:line="400" w:lineRule="exact"/>
        <w:ind w:right="480"/>
        <w:jc w:val="center"/>
        <w:outlineLvl w:val="1"/>
        <w:rPr>
          <w:b/>
          <w:color w:val="auto"/>
          <w:sz w:val="30"/>
          <w:szCs w:val="30"/>
          <w:highlight w:val="none"/>
        </w:rPr>
      </w:pPr>
    </w:p>
    <w:p>
      <w:pPr>
        <w:spacing w:line="400" w:lineRule="exact"/>
        <w:ind w:right="480"/>
        <w:outlineLvl w:val="1"/>
        <w:rPr>
          <w:b/>
          <w:color w:val="auto"/>
          <w:sz w:val="30"/>
          <w:szCs w:val="30"/>
          <w:highlight w:val="none"/>
        </w:rPr>
      </w:pPr>
    </w:p>
    <w:p>
      <w:pPr>
        <w:spacing w:line="400" w:lineRule="exact"/>
        <w:ind w:right="480"/>
        <w:jc w:val="center"/>
        <w:outlineLvl w:val="1"/>
        <w:rPr>
          <w:rFonts w:hint="eastAsia"/>
          <w:b/>
          <w:color w:val="auto"/>
          <w:sz w:val="30"/>
          <w:szCs w:val="30"/>
          <w:highlight w:val="none"/>
        </w:rPr>
      </w:pPr>
    </w:p>
    <w:p>
      <w:pPr>
        <w:spacing w:line="400" w:lineRule="exact"/>
        <w:ind w:right="480"/>
        <w:jc w:val="center"/>
        <w:outlineLvl w:val="1"/>
        <w:rPr>
          <w:rFonts w:hint="eastAsia"/>
          <w:b/>
          <w:color w:val="auto"/>
          <w:sz w:val="30"/>
          <w:szCs w:val="30"/>
          <w:highlight w:val="none"/>
        </w:rPr>
      </w:pPr>
    </w:p>
    <w:p>
      <w:pPr>
        <w:spacing w:line="400" w:lineRule="exact"/>
        <w:ind w:right="480"/>
        <w:jc w:val="center"/>
        <w:outlineLvl w:val="1"/>
        <w:rPr>
          <w:rFonts w:hint="eastAsia"/>
          <w:b/>
          <w:color w:val="auto"/>
          <w:sz w:val="30"/>
          <w:szCs w:val="30"/>
          <w:highlight w:val="none"/>
        </w:rPr>
      </w:pPr>
    </w:p>
    <w:p>
      <w:pPr>
        <w:spacing w:line="400" w:lineRule="exact"/>
        <w:ind w:right="480"/>
        <w:jc w:val="center"/>
        <w:outlineLvl w:val="1"/>
        <w:rPr>
          <w:rFonts w:hint="eastAsia"/>
          <w:b/>
          <w:color w:val="auto"/>
          <w:sz w:val="30"/>
          <w:szCs w:val="30"/>
          <w:highlight w:val="none"/>
        </w:rPr>
      </w:pPr>
    </w:p>
    <w:p>
      <w:pPr>
        <w:spacing w:line="400" w:lineRule="exact"/>
        <w:ind w:right="480"/>
        <w:jc w:val="center"/>
        <w:outlineLvl w:val="1"/>
        <w:rPr>
          <w:rFonts w:hint="eastAsia"/>
          <w:b/>
          <w:color w:val="auto"/>
          <w:sz w:val="30"/>
          <w:szCs w:val="30"/>
          <w:highlight w:val="none"/>
        </w:rPr>
      </w:pPr>
    </w:p>
    <w:p>
      <w:pPr>
        <w:spacing w:line="400" w:lineRule="exact"/>
        <w:ind w:right="480"/>
        <w:jc w:val="center"/>
        <w:outlineLvl w:val="1"/>
        <w:rPr>
          <w:rFonts w:hint="eastAsia"/>
          <w:b/>
          <w:color w:val="auto"/>
          <w:sz w:val="30"/>
          <w:szCs w:val="30"/>
          <w:highlight w:val="none"/>
        </w:rPr>
      </w:pPr>
    </w:p>
    <w:p>
      <w:pPr>
        <w:spacing w:line="400" w:lineRule="exact"/>
        <w:ind w:right="480"/>
        <w:jc w:val="center"/>
        <w:outlineLvl w:val="1"/>
        <w:rPr>
          <w:b/>
          <w:color w:val="auto"/>
          <w:sz w:val="30"/>
          <w:szCs w:val="30"/>
          <w:highlight w:val="none"/>
        </w:rPr>
      </w:pPr>
      <w:r>
        <w:rPr>
          <w:rFonts w:hint="eastAsia"/>
          <w:b/>
          <w:color w:val="auto"/>
          <w:sz w:val="30"/>
          <w:szCs w:val="30"/>
          <w:highlight w:val="none"/>
        </w:rPr>
        <w:t>法定代表人身份证明</w:t>
      </w:r>
    </w:p>
    <w:p>
      <w:pPr>
        <w:spacing w:line="400" w:lineRule="exact"/>
        <w:rPr>
          <w:bCs/>
          <w:color w:val="auto"/>
          <w:highlight w:val="none"/>
        </w:rPr>
      </w:pPr>
    </w:p>
    <w:p>
      <w:pPr>
        <w:spacing w:line="400" w:lineRule="exact"/>
        <w:rPr>
          <w:bCs/>
          <w:color w:val="auto"/>
          <w:highlight w:val="none"/>
        </w:rPr>
      </w:pPr>
    </w:p>
    <w:p>
      <w:pPr>
        <w:spacing w:line="400" w:lineRule="exact"/>
        <w:rPr>
          <w:bCs/>
          <w:color w:val="auto"/>
          <w:highlight w:val="none"/>
        </w:rPr>
      </w:pPr>
    </w:p>
    <w:p>
      <w:pPr>
        <w:spacing w:line="400" w:lineRule="exact"/>
        <w:ind w:firstLine="720" w:firstLineChars="300"/>
        <w:rPr>
          <w:color w:val="auto"/>
          <w:highlight w:val="none"/>
          <w:u w:val="single"/>
        </w:rPr>
      </w:pPr>
      <w:r>
        <w:rPr>
          <w:rFonts w:hint="eastAsia"/>
          <w:color w:val="auto"/>
          <w:highlight w:val="none"/>
        </w:rPr>
        <w:t>投标人名称：</w:t>
      </w:r>
      <w:r>
        <w:rPr>
          <w:rFonts w:hint="eastAsia"/>
          <w:color w:val="auto"/>
          <w:highlight w:val="none"/>
          <w:u w:val="single"/>
        </w:rPr>
        <w:t xml:space="preserve">                                                 </w:t>
      </w:r>
    </w:p>
    <w:p>
      <w:pPr>
        <w:spacing w:line="400" w:lineRule="exact"/>
        <w:ind w:firstLine="720" w:firstLineChars="300"/>
        <w:rPr>
          <w:color w:val="auto"/>
          <w:highlight w:val="none"/>
          <w:u w:val="single"/>
        </w:rPr>
      </w:pPr>
      <w:r>
        <w:rPr>
          <w:rFonts w:hint="eastAsia"/>
          <w:color w:val="auto"/>
          <w:highlight w:val="none"/>
        </w:rPr>
        <w:t>投标人类型：</w:t>
      </w:r>
      <w:r>
        <w:rPr>
          <w:rFonts w:hint="eastAsia"/>
          <w:color w:val="auto"/>
          <w:highlight w:val="none"/>
          <w:u w:val="single"/>
        </w:rPr>
        <w:t xml:space="preserve">                                                 </w:t>
      </w:r>
    </w:p>
    <w:p>
      <w:pPr>
        <w:spacing w:line="400" w:lineRule="exact"/>
        <w:ind w:firstLine="720" w:firstLineChars="300"/>
        <w:rPr>
          <w:color w:val="auto"/>
          <w:highlight w:val="none"/>
          <w:u w:val="single"/>
        </w:rPr>
      </w:pPr>
      <w:r>
        <w:rPr>
          <w:rFonts w:hint="eastAsia"/>
          <w:color w:val="auto"/>
          <w:highlight w:val="none"/>
        </w:rPr>
        <w:t>地    址：</w:t>
      </w:r>
      <w:r>
        <w:rPr>
          <w:rFonts w:hint="eastAsia"/>
          <w:color w:val="auto"/>
          <w:highlight w:val="none"/>
          <w:u w:val="single"/>
        </w:rPr>
        <w:t xml:space="preserve">                                                   </w:t>
      </w:r>
    </w:p>
    <w:p>
      <w:pPr>
        <w:spacing w:line="400" w:lineRule="exact"/>
        <w:ind w:firstLine="720" w:firstLineChars="300"/>
        <w:rPr>
          <w:color w:val="auto"/>
          <w:highlight w:val="none"/>
          <w:u w:val="single"/>
        </w:rPr>
      </w:pPr>
      <w:r>
        <w:rPr>
          <w:rFonts w:hint="eastAsia"/>
          <w:color w:val="auto"/>
          <w:highlight w:val="none"/>
        </w:rPr>
        <w:t>营业期限：</w:t>
      </w:r>
      <w:r>
        <w:rPr>
          <w:rFonts w:hint="eastAsia"/>
          <w:color w:val="auto"/>
          <w:highlight w:val="none"/>
          <w:u w:val="single"/>
        </w:rPr>
        <w:t xml:space="preserve">                                                   </w:t>
      </w:r>
    </w:p>
    <w:p>
      <w:pPr>
        <w:spacing w:line="400" w:lineRule="exact"/>
        <w:ind w:firstLine="720" w:firstLineChars="300"/>
        <w:rPr>
          <w:color w:val="auto"/>
          <w:highlight w:val="none"/>
          <w:u w:val="single"/>
        </w:rPr>
      </w:pPr>
      <w:r>
        <w:rPr>
          <w:rFonts w:hint="eastAsia"/>
          <w:color w:val="auto"/>
          <w:highlight w:val="none"/>
        </w:rPr>
        <w:t>成立时间：</w:t>
      </w:r>
      <w:r>
        <w:rPr>
          <w:rFonts w:hint="eastAsia"/>
          <w:color w:val="auto"/>
          <w:highlight w:val="none"/>
          <w:u w:val="single"/>
        </w:rPr>
        <w:t xml:space="preserve">                                                   </w:t>
      </w:r>
    </w:p>
    <w:p>
      <w:pPr>
        <w:spacing w:line="400" w:lineRule="exact"/>
        <w:ind w:firstLine="720" w:firstLineChars="300"/>
        <w:rPr>
          <w:color w:val="auto"/>
          <w:highlight w:val="none"/>
        </w:rPr>
      </w:pPr>
      <w:r>
        <w:rPr>
          <w:rFonts w:hint="eastAsia"/>
          <w:color w:val="auto"/>
          <w:highlight w:val="none"/>
        </w:rPr>
        <w:t>姓名：</w:t>
      </w:r>
      <w:r>
        <w:rPr>
          <w:rFonts w:hint="eastAsia"/>
          <w:color w:val="auto"/>
          <w:highlight w:val="none"/>
          <w:u w:val="single"/>
        </w:rPr>
        <w:t xml:space="preserve">                   </w:t>
      </w:r>
      <w:r>
        <w:rPr>
          <w:rFonts w:hint="eastAsia"/>
          <w:color w:val="auto"/>
          <w:highlight w:val="none"/>
        </w:rPr>
        <w:t xml:space="preserve">     性别：</w:t>
      </w:r>
      <w:r>
        <w:rPr>
          <w:rFonts w:hint="eastAsia"/>
          <w:color w:val="auto"/>
          <w:highlight w:val="none"/>
          <w:u w:val="single"/>
        </w:rPr>
        <w:t xml:space="preserve">                </w:t>
      </w:r>
    </w:p>
    <w:p>
      <w:pPr>
        <w:spacing w:line="400" w:lineRule="exact"/>
        <w:ind w:firstLine="720" w:firstLineChars="300"/>
        <w:rPr>
          <w:color w:val="auto"/>
          <w:highlight w:val="none"/>
          <w:u w:val="singl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pPr>
        <w:spacing w:line="400" w:lineRule="exact"/>
        <w:ind w:firstLine="720" w:firstLineChars="300"/>
        <w:rPr>
          <w:bCs/>
          <w:color w:val="auto"/>
          <w:highlight w:val="none"/>
        </w:rPr>
      </w:pPr>
      <w:r>
        <w:rPr>
          <w:rFonts w:hint="eastAsia"/>
          <w:color w:val="auto"/>
          <w:highlight w:val="none"/>
        </w:rPr>
        <w:t xml:space="preserve">系 </w:t>
      </w:r>
      <w:r>
        <w:rPr>
          <w:rFonts w:hint="eastAsia"/>
          <w:color w:val="auto"/>
          <w:highlight w:val="none"/>
          <w:u w:val="single"/>
        </w:rPr>
        <w:t xml:space="preserve">           </w:t>
      </w:r>
      <w:r>
        <w:rPr>
          <w:rFonts w:hint="eastAsia"/>
          <w:color w:val="auto"/>
          <w:highlight w:val="none"/>
        </w:rPr>
        <w:t>（竞标人名称）</w:t>
      </w:r>
      <w:r>
        <w:rPr>
          <w:rFonts w:hint="eastAsia"/>
          <w:color w:val="auto"/>
          <w:highlight w:val="none"/>
          <w:u w:val="single"/>
        </w:rPr>
        <w:t xml:space="preserve">               </w:t>
      </w:r>
      <w:r>
        <w:rPr>
          <w:rFonts w:hint="eastAsia"/>
          <w:color w:val="auto"/>
          <w:highlight w:val="none"/>
        </w:rPr>
        <w:t>的法定代表人</w:t>
      </w:r>
      <w:r>
        <w:rPr>
          <w:rFonts w:hint="eastAsia"/>
          <w:bCs/>
          <w:color w:val="auto"/>
          <w:highlight w:val="none"/>
        </w:rPr>
        <w:t>。</w:t>
      </w:r>
    </w:p>
    <w:p>
      <w:pPr>
        <w:spacing w:line="400" w:lineRule="exact"/>
        <w:ind w:firstLine="240" w:firstLineChars="100"/>
        <w:rPr>
          <w:color w:val="auto"/>
          <w:highlight w:val="none"/>
        </w:rPr>
      </w:pPr>
    </w:p>
    <w:p>
      <w:pPr>
        <w:spacing w:line="400" w:lineRule="exact"/>
        <w:ind w:firstLine="240" w:firstLineChars="100"/>
        <w:rPr>
          <w:color w:val="auto"/>
          <w:highlight w:val="none"/>
        </w:rPr>
      </w:pPr>
      <w:r>
        <w:rPr>
          <w:rFonts w:hint="eastAsia"/>
          <w:color w:val="auto"/>
          <w:highlight w:val="none"/>
        </w:rPr>
        <w:t xml:space="preserve">    特此证明。</w:t>
      </w:r>
    </w:p>
    <w:p>
      <w:pPr>
        <w:spacing w:line="400" w:lineRule="exact"/>
        <w:ind w:firstLine="720" w:firstLineChars="300"/>
        <w:rPr>
          <w:bCs/>
          <w:color w:val="auto"/>
          <w:highlight w:val="none"/>
        </w:rPr>
      </w:pPr>
    </w:p>
    <w:p>
      <w:pPr>
        <w:spacing w:line="400" w:lineRule="exact"/>
        <w:ind w:firstLine="720" w:firstLineChars="300"/>
        <w:rPr>
          <w:bCs/>
          <w:color w:val="auto"/>
          <w:highlight w:val="none"/>
        </w:rPr>
      </w:pPr>
    </w:p>
    <w:p>
      <w:pPr>
        <w:spacing w:line="400" w:lineRule="exact"/>
        <w:rPr>
          <w:bCs/>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2616835</wp:posOffset>
                </wp:positionH>
                <wp:positionV relativeFrom="paragraph">
                  <wp:posOffset>156210</wp:posOffset>
                </wp:positionV>
                <wp:extent cx="2696210" cy="1781175"/>
                <wp:effectExtent l="4445" t="4445" r="23495" b="5080"/>
                <wp:wrapNone/>
                <wp:docPr id="3" name="文本框 3"/>
                <wp:cNvGraphicFramePr/>
                <a:graphic xmlns:a="http://schemas.openxmlformats.org/drawingml/2006/main">
                  <a:graphicData uri="http://schemas.microsoft.com/office/word/2010/wordprocessingShape">
                    <wps:wsp>
                      <wps:cNvSpPr txBox="1"/>
                      <wps:spPr>
                        <a:xfrm>
                          <a:off x="0" y="0"/>
                          <a:ext cx="2696210" cy="1781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xml:space="preserve">                 </w:t>
                            </w:r>
                          </w:p>
                          <w:p/>
                          <w:p/>
                          <w:p>
                            <w:r>
                              <w:rPr>
                                <w:rFonts w:hint="eastAsia"/>
                              </w:rPr>
                              <w:t>附法人身份证复印件反面</w:t>
                            </w:r>
                          </w:p>
                        </w:txbxContent>
                      </wps:txbx>
                      <wps:bodyPr upright="1"/>
                    </wps:wsp>
                  </a:graphicData>
                </a:graphic>
              </wp:anchor>
            </w:drawing>
          </mc:Choice>
          <mc:Fallback>
            <w:pict>
              <v:shape id="_x0000_s1026" o:spid="_x0000_s1026" o:spt="202" type="#_x0000_t202" style="position:absolute;left:0pt;margin-left:206.05pt;margin-top:12.3pt;height:140.25pt;width:212.3pt;z-index:251661312;mso-width-relative:page;mso-height-relative:page;" fillcolor="#FFFFFF" filled="t" stroked="t" coordsize="21600,21600" o:gfxdata="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C4KBXaAAAACgEAAA8AAAAA&#10;AAAAAQAgAAAAIgAAAGRycy9kb3ducmV2LnhtbFBLAQIUABQAAAAIAIdO4kA1LcfaEgIAAEUEAAAO&#10;AAAAAAAAAAEAIAAAACkBAABkcnMvZTJvRG9jLnhtbFBLBQYAAAAABgAGAFkBAACtBQAAAAA=&#10;">
                <v:fill on="t" focussize="0,0"/>
                <v:stroke color="#000000" joinstyle="miter"/>
                <v:imagedata o:title=""/>
                <o:lock v:ext="edit" aspectratio="f"/>
                <v:textbox>
                  <w:txbxContent>
                    <w:p>
                      <w:r>
                        <w:rPr>
                          <w:rFonts w:hint="eastAsia"/>
                        </w:rPr>
                        <w:t xml:space="preserve">                 </w:t>
                      </w:r>
                    </w:p>
                    <w:p/>
                    <w:p/>
                    <w:p>
                      <w:r>
                        <w:rPr>
                          <w:rFonts w:hint="eastAsia"/>
                        </w:rPr>
                        <w:t>附法人身份证复印件反面</w:t>
                      </w:r>
                    </w:p>
                  </w:txbxContent>
                </v:textbox>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-231140</wp:posOffset>
                </wp:positionH>
                <wp:positionV relativeFrom="paragraph">
                  <wp:posOffset>146685</wp:posOffset>
                </wp:positionV>
                <wp:extent cx="2618740" cy="1790700"/>
                <wp:effectExtent l="4445" t="4445" r="5715" b="14605"/>
                <wp:wrapNone/>
                <wp:docPr id="5" name="文本框 5"/>
                <wp:cNvGraphicFramePr/>
                <a:graphic xmlns:a="http://schemas.openxmlformats.org/drawingml/2006/main">
                  <a:graphicData uri="http://schemas.microsoft.com/office/word/2010/wordprocessingShape">
                    <wps:wsp>
                      <wps:cNvSpPr txBox="1"/>
                      <wps:spPr>
                        <a:xfrm>
                          <a:off x="0" y="0"/>
                          <a:ext cx="2618740" cy="1790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xml:space="preserve">                 </w:t>
                            </w:r>
                          </w:p>
                          <w:p/>
                          <w:p/>
                          <w:p>
                            <w:r>
                              <w:rPr>
                                <w:rFonts w:hint="eastAsia"/>
                              </w:rPr>
                              <w:t>附法人身份证复印件正面</w:t>
                            </w:r>
                          </w:p>
                        </w:txbxContent>
                      </wps:txbx>
                      <wps:bodyPr upright="1"/>
                    </wps:wsp>
                  </a:graphicData>
                </a:graphic>
              </wp:anchor>
            </w:drawing>
          </mc:Choice>
          <mc:Fallback>
            <w:pict>
              <v:shape id="_x0000_s1026" o:spid="_x0000_s1026" o:spt="202" type="#_x0000_t202" style="position:absolute;left:0pt;margin-left:-18.2pt;margin-top:11.55pt;height:141pt;width:206.2pt;z-index:251660288;mso-width-relative:page;mso-height-relative:page;" fillcolor="#FFFFFF" filled="t" stroked="t" coordsize="21600,21600" o:gfxdata="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8nJR22QAAAAoBAAAPAAAA&#10;AAAAAAEAIAAAACIAAABkcnMvZG93bnJldi54bWxQSwECFAAUAAAACACHTuJAu/WEfhQCAABFBAAA&#10;DgAAAAAAAAABACAAAAAoAQAAZHJzL2Uyb0RvYy54bWxQSwUGAAAAAAYABgBZAQAArgUAAAAA&#10;">
                <v:fill on="t" focussize="0,0"/>
                <v:stroke color="#000000" joinstyle="miter"/>
                <v:imagedata o:title=""/>
                <o:lock v:ext="edit" aspectratio="f"/>
                <v:textbox>
                  <w:txbxContent>
                    <w:p>
                      <w:r>
                        <w:rPr>
                          <w:rFonts w:hint="eastAsia"/>
                        </w:rPr>
                        <w:t xml:space="preserve">                 </w:t>
                      </w:r>
                    </w:p>
                    <w:p/>
                    <w:p/>
                    <w:p>
                      <w:r>
                        <w:rPr>
                          <w:rFonts w:hint="eastAsia"/>
                        </w:rPr>
                        <w:t>附法人身份证复印件正面</w:t>
                      </w:r>
                    </w:p>
                  </w:txbxContent>
                </v:textbox>
              </v:shape>
            </w:pict>
          </mc:Fallback>
        </mc:AlternateContent>
      </w:r>
    </w:p>
    <w:p>
      <w:pPr>
        <w:spacing w:line="400" w:lineRule="exact"/>
        <w:rPr>
          <w:bCs/>
          <w:color w:val="auto"/>
          <w:highlight w:val="none"/>
        </w:rPr>
      </w:pPr>
    </w:p>
    <w:p>
      <w:pPr>
        <w:spacing w:line="400" w:lineRule="exact"/>
        <w:rPr>
          <w:bCs/>
          <w:color w:val="auto"/>
          <w:highlight w:val="none"/>
        </w:rPr>
      </w:pPr>
    </w:p>
    <w:p>
      <w:pPr>
        <w:spacing w:line="400" w:lineRule="exact"/>
        <w:rPr>
          <w:bCs/>
          <w:color w:val="auto"/>
          <w:highlight w:val="none"/>
        </w:rPr>
      </w:pPr>
    </w:p>
    <w:p>
      <w:pPr>
        <w:wordWrap w:val="0"/>
        <w:spacing w:line="400" w:lineRule="exact"/>
        <w:jc w:val="right"/>
        <w:rPr>
          <w:color w:val="auto"/>
          <w:highlight w:val="none"/>
        </w:rPr>
      </w:pPr>
      <w:r>
        <w:rPr>
          <w:rFonts w:hint="eastAsia"/>
          <w:color w:val="auto"/>
          <w:highlight w:val="none"/>
        </w:rPr>
        <w:t xml:space="preserve">   </w:t>
      </w:r>
    </w:p>
    <w:p>
      <w:pPr>
        <w:spacing w:line="400" w:lineRule="exact"/>
        <w:jc w:val="right"/>
        <w:rPr>
          <w:color w:val="auto"/>
          <w:highlight w:val="none"/>
        </w:rPr>
      </w:pPr>
    </w:p>
    <w:p>
      <w:pPr>
        <w:spacing w:line="400" w:lineRule="exact"/>
        <w:jc w:val="right"/>
        <w:rPr>
          <w:color w:val="auto"/>
          <w:highlight w:val="none"/>
        </w:rPr>
      </w:pPr>
    </w:p>
    <w:p>
      <w:pPr>
        <w:spacing w:line="400" w:lineRule="exact"/>
        <w:jc w:val="right"/>
        <w:rPr>
          <w:color w:val="auto"/>
          <w:highlight w:val="none"/>
        </w:rPr>
      </w:pPr>
    </w:p>
    <w:p>
      <w:pPr>
        <w:spacing w:line="400" w:lineRule="exact"/>
        <w:jc w:val="right"/>
        <w:rPr>
          <w:color w:val="auto"/>
          <w:highlight w:val="none"/>
        </w:rPr>
      </w:pPr>
    </w:p>
    <w:p>
      <w:pPr>
        <w:ind w:right="480"/>
        <w:rPr>
          <w:color w:val="auto"/>
          <w:highlight w:val="none"/>
        </w:rPr>
      </w:pPr>
    </w:p>
    <w:p>
      <w:pPr>
        <w:pStyle w:val="46"/>
        <w:snapToGrid w:val="0"/>
        <w:ind w:firstLine="480" w:firstLineChars="200"/>
        <w:jc w:val="center"/>
        <w:rPr>
          <w:rFonts w:ascii="宋体" w:hAnsi="宋体" w:cs="宋体"/>
          <w:color w:val="auto"/>
          <w:sz w:val="24"/>
          <w:highlight w:val="none"/>
          <w:u w:val="single"/>
        </w:rPr>
      </w:pPr>
      <w:r>
        <w:rPr>
          <w:rFonts w:hint="eastAsia" w:ascii="宋体" w:hAnsi="宋体" w:cs="宋体"/>
          <w:color w:val="auto"/>
          <w:sz w:val="24"/>
          <w:highlight w:val="none"/>
        </w:rPr>
        <w:t xml:space="preserve">    投标人名称(公章)：</w:t>
      </w:r>
      <w:r>
        <w:rPr>
          <w:rFonts w:hint="eastAsia" w:ascii="宋体" w:hAnsi="宋体" w:cs="宋体"/>
          <w:color w:val="auto"/>
          <w:sz w:val="24"/>
          <w:highlight w:val="none"/>
          <w:u w:val="single"/>
        </w:rPr>
        <w:t xml:space="preserve">                    </w:t>
      </w:r>
    </w:p>
    <w:p>
      <w:pPr>
        <w:pStyle w:val="46"/>
        <w:snapToGrid w:val="0"/>
        <w:ind w:firstLine="480" w:firstLineChars="200"/>
        <w:jc w:val="center"/>
        <w:rPr>
          <w:rFonts w:ascii="宋体" w:hAnsi="宋体"/>
          <w:color w:val="auto"/>
          <w:sz w:val="24"/>
          <w:highlight w:val="none"/>
        </w:rPr>
      </w:pPr>
      <w:r>
        <w:rPr>
          <w:rFonts w:hint="eastAsia" w:ascii="宋体" w:hAnsi="宋体"/>
          <w:color w:val="auto"/>
          <w:sz w:val="24"/>
          <w:highlight w:val="none"/>
        </w:rPr>
        <w:t xml:space="preserve">     </w:t>
      </w:r>
    </w:p>
    <w:p>
      <w:pPr>
        <w:pStyle w:val="46"/>
        <w:snapToGrid w:val="0"/>
        <w:ind w:firstLine="480" w:firstLineChars="200"/>
        <w:jc w:val="center"/>
        <w:rPr>
          <w:rFonts w:ascii="宋体" w:hAnsi="宋体" w:cs="宋体"/>
          <w:color w:val="auto"/>
          <w:sz w:val="24"/>
          <w:highlight w:val="none"/>
        </w:rPr>
      </w:pPr>
      <w:r>
        <w:rPr>
          <w:rFonts w:hint="eastAsia" w:ascii="宋体" w:hAnsi="宋体"/>
          <w:color w:val="auto"/>
          <w:sz w:val="24"/>
          <w:highlight w:val="none"/>
        </w:rPr>
        <w:t xml:space="preserve">      法定代表人（签字或盖章）：</w:t>
      </w:r>
      <w:r>
        <w:rPr>
          <w:rFonts w:hint="eastAsia" w:ascii="宋体" w:hAnsi="宋体"/>
          <w:color w:val="auto"/>
          <w:sz w:val="24"/>
          <w:highlight w:val="none"/>
          <w:u w:val="single"/>
        </w:rPr>
        <w:t xml:space="preserve">                   </w:t>
      </w:r>
      <w:r>
        <w:rPr>
          <w:rFonts w:hint="eastAsia" w:ascii="宋体" w:hAnsi="宋体" w:cs="宋体"/>
          <w:color w:val="auto"/>
          <w:sz w:val="24"/>
          <w:highlight w:val="none"/>
        </w:rPr>
        <w:t xml:space="preserve">                                                             </w:t>
      </w:r>
    </w:p>
    <w:p>
      <w:pPr>
        <w:spacing w:line="400" w:lineRule="exact"/>
        <w:jc w:val="center"/>
        <w:rPr>
          <w:rFonts w:cs="宋体"/>
          <w:color w:val="auto"/>
          <w:highlight w:val="none"/>
        </w:rPr>
      </w:pPr>
      <w:r>
        <w:rPr>
          <w:rFonts w:hint="eastAsia" w:cs="宋体"/>
          <w:color w:val="auto"/>
          <w:highlight w:val="none"/>
        </w:rPr>
        <w:t xml:space="preserve">                                       </w:t>
      </w:r>
    </w:p>
    <w:p>
      <w:pPr>
        <w:spacing w:line="400" w:lineRule="exact"/>
        <w:jc w:val="center"/>
        <w:rPr>
          <w:b/>
          <w:color w:val="auto"/>
          <w:highlight w:val="none"/>
        </w:rPr>
      </w:pPr>
      <w:r>
        <w:rPr>
          <w:rFonts w:hint="eastAsia" w:cs="宋体"/>
          <w:color w:val="auto"/>
          <w:highlight w:val="none"/>
        </w:rPr>
        <w:t xml:space="preserve">                                        日   期： </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w:t>
      </w:r>
    </w:p>
    <w:p>
      <w:pPr>
        <w:jc w:val="center"/>
        <w:rPr>
          <w:b/>
          <w:bCs/>
          <w:color w:val="auto"/>
          <w:highlight w:val="none"/>
        </w:rPr>
      </w:pPr>
    </w:p>
    <w:p>
      <w:pPr>
        <w:pStyle w:val="7"/>
        <w:rPr>
          <w:color w:val="auto"/>
          <w:highlight w:val="none"/>
        </w:rPr>
      </w:pPr>
    </w:p>
    <w:p>
      <w:pPr>
        <w:pStyle w:val="46"/>
        <w:snapToGrid w:val="0"/>
        <w:spacing w:line="360" w:lineRule="atLeast"/>
        <w:jc w:val="center"/>
        <w:outlineLvl w:val="1"/>
        <w:rPr>
          <w:rFonts w:ascii="宋体" w:hAnsi="宋体"/>
          <w:b/>
          <w:color w:val="auto"/>
          <w:sz w:val="30"/>
          <w:szCs w:val="30"/>
          <w:highlight w:val="none"/>
        </w:rPr>
      </w:pPr>
    </w:p>
    <w:p>
      <w:pPr>
        <w:pStyle w:val="46"/>
        <w:snapToGrid w:val="0"/>
        <w:spacing w:line="360" w:lineRule="atLeast"/>
        <w:jc w:val="center"/>
        <w:outlineLvl w:val="1"/>
        <w:rPr>
          <w:rFonts w:ascii="宋体" w:hAnsi="宋体"/>
          <w:b/>
          <w:color w:val="auto"/>
          <w:sz w:val="30"/>
          <w:szCs w:val="30"/>
          <w:highlight w:val="none"/>
        </w:rPr>
      </w:pPr>
      <w:r>
        <w:rPr>
          <w:rFonts w:hint="eastAsia" w:ascii="宋体" w:hAnsi="宋体"/>
          <w:b/>
          <w:color w:val="auto"/>
          <w:sz w:val="30"/>
          <w:szCs w:val="30"/>
          <w:highlight w:val="none"/>
        </w:rPr>
        <w:t>法定代表人授权委托书</w:t>
      </w:r>
    </w:p>
    <w:p>
      <w:pPr>
        <w:pStyle w:val="46"/>
        <w:snapToGrid w:val="0"/>
        <w:spacing w:line="360" w:lineRule="atLeast"/>
        <w:ind w:firstLine="855"/>
        <w:jc w:val="center"/>
        <w:rPr>
          <w:rFonts w:ascii="宋体" w:hAnsi="宋体"/>
          <w:b/>
          <w:color w:val="auto"/>
          <w:sz w:val="21"/>
          <w:szCs w:val="21"/>
          <w:highlight w:val="none"/>
        </w:rPr>
      </w:pPr>
    </w:p>
    <w:p>
      <w:pPr>
        <w:ind w:firstLine="480" w:firstLineChars="200"/>
        <w:rPr>
          <w:rFonts w:cs="宋体"/>
          <w:color w:val="auto"/>
          <w:highlight w:val="none"/>
        </w:rPr>
      </w:pPr>
      <w:r>
        <w:rPr>
          <w:rFonts w:hint="eastAsia" w:cs="宋体"/>
          <w:color w:val="auto"/>
          <w:highlight w:val="none"/>
        </w:rPr>
        <w:t>本人</w:t>
      </w:r>
      <w:r>
        <w:rPr>
          <w:rFonts w:hint="eastAsia" w:cs="宋体"/>
          <w:color w:val="auto"/>
          <w:highlight w:val="none"/>
          <w:u w:val="single"/>
        </w:rPr>
        <w:t xml:space="preserve">   （姓名）         </w:t>
      </w:r>
      <w:r>
        <w:rPr>
          <w:rFonts w:hint="eastAsia" w:cs="宋体"/>
          <w:color w:val="auto"/>
          <w:highlight w:val="none"/>
        </w:rPr>
        <w:t>系</w:t>
      </w:r>
      <w:r>
        <w:rPr>
          <w:rFonts w:hint="eastAsia" w:cs="宋体"/>
          <w:color w:val="auto"/>
          <w:highlight w:val="none"/>
          <w:u w:val="single"/>
        </w:rPr>
        <w:t xml:space="preserve">         （投标人名称）                  </w:t>
      </w:r>
      <w:r>
        <w:rPr>
          <w:rFonts w:hint="eastAsia" w:cs="宋体"/>
          <w:color w:val="auto"/>
          <w:highlight w:val="none"/>
        </w:rPr>
        <w:t>的法定代表人（单位负责人），现授权</w:t>
      </w:r>
      <w:r>
        <w:rPr>
          <w:rFonts w:hint="eastAsia" w:cs="宋体"/>
          <w:color w:val="auto"/>
          <w:highlight w:val="none"/>
          <w:u w:val="single"/>
        </w:rPr>
        <w:t xml:space="preserve">     （姓名）             </w:t>
      </w:r>
      <w:r>
        <w:rPr>
          <w:rFonts w:hint="eastAsia" w:cs="宋体"/>
          <w:color w:val="auto"/>
          <w:highlight w:val="none"/>
        </w:rPr>
        <w:t>为我方代理人参加</w:t>
      </w:r>
      <w:r>
        <w:rPr>
          <w:rFonts w:hint="eastAsia" w:cs="宋体"/>
          <w:color w:val="auto"/>
          <w:highlight w:val="none"/>
          <w:u w:val="single"/>
        </w:rPr>
        <w:t xml:space="preserve">          (项目名称)                  </w:t>
      </w:r>
      <w:r>
        <w:rPr>
          <w:rFonts w:hint="eastAsia" w:cs="宋体"/>
          <w:color w:val="auto"/>
          <w:highlight w:val="none"/>
        </w:rPr>
        <w:t>的招投标活动，并以我方名义签署、澄清确认、递交、撤回、修改设备采购招标项目投标文件、签订合同和处理有关事宜，其法律后果由我方承担。</w:t>
      </w:r>
    </w:p>
    <w:p>
      <w:pPr>
        <w:ind w:firstLine="480" w:firstLineChars="200"/>
        <w:rPr>
          <w:rFonts w:cs="宋体"/>
          <w:color w:val="auto"/>
          <w:highlight w:val="none"/>
        </w:rPr>
      </w:pPr>
      <w:r>
        <w:rPr>
          <w:rFonts w:hint="eastAsia" w:cs="宋体"/>
          <w:color w:val="auto"/>
          <w:highlight w:val="none"/>
        </w:rPr>
        <w:t>委托期限：</w:t>
      </w:r>
      <w:r>
        <w:rPr>
          <w:rFonts w:hint="eastAsia" w:cs="宋体"/>
          <w:color w:val="auto"/>
          <w:highlight w:val="none"/>
          <w:u w:val="single"/>
        </w:rPr>
        <w:t xml:space="preserve">                          </w:t>
      </w:r>
      <w:r>
        <w:rPr>
          <w:rFonts w:hint="eastAsia" w:cs="宋体"/>
          <w:color w:val="auto"/>
          <w:highlight w:val="none"/>
        </w:rPr>
        <w:t>。</w:t>
      </w:r>
    </w:p>
    <w:p>
      <w:pPr>
        <w:ind w:firstLine="480" w:firstLineChars="200"/>
        <w:rPr>
          <w:rFonts w:cs="宋体"/>
          <w:color w:val="auto"/>
          <w:highlight w:val="none"/>
        </w:rPr>
      </w:pPr>
      <w:r>
        <w:rPr>
          <w:rFonts w:hint="eastAsia" w:cs="宋体"/>
          <w:color w:val="auto"/>
          <w:highlight w:val="none"/>
        </w:rPr>
        <w:t>授权代理人无转委托权。</w:t>
      </w:r>
      <w:r>
        <w:rPr>
          <w:rFonts w:hint="eastAsia"/>
          <w:color w:val="auto"/>
          <w:highlight w:val="none"/>
        </w:rPr>
        <w:t>特此委托。</w:t>
      </w:r>
    </w:p>
    <w:p>
      <w:pPr>
        <w:rPr>
          <w:color w:val="auto"/>
          <w:highlight w:val="none"/>
        </w:rPr>
      </w:pPr>
    </w:p>
    <w:p>
      <w:pPr>
        <w:rPr>
          <w:color w:val="auto"/>
          <w:highlight w:val="none"/>
          <w:u w:val="thick"/>
        </w:rPr>
      </w:pPr>
      <w:r>
        <w:rPr>
          <w:rFonts w:hint="eastAsia"/>
          <w:color w:val="auto"/>
          <w:highlight w:val="none"/>
        </w:rPr>
        <w:t>投标单位名称（盖章）：</w:t>
      </w:r>
      <w:r>
        <w:rPr>
          <w:rFonts w:hint="eastAsia"/>
          <w:color w:val="auto"/>
          <w:highlight w:val="none"/>
          <w:u w:val="thick"/>
        </w:rPr>
        <w:t xml:space="preserve">                                                         </w:t>
      </w:r>
    </w:p>
    <w:p>
      <w:pPr>
        <w:rPr>
          <w:color w:val="auto"/>
          <w:highlight w:val="none"/>
          <w:u w:val="single"/>
        </w:rPr>
      </w:pPr>
      <w:r>
        <w:rPr>
          <w:rFonts w:hint="eastAsia"/>
          <w:color w:val="auto"/>
          <w:highlight w:val="none"/>
        </w:rPr>
        <w:t>法定代表人（签字或盖章）：</w:t>
      </w:r>
      <w:r>
        <w:rPr>
          <w:rFonts w:hint="eastAsia"/>
          <w:color w:val="auto"/>
          <w:highlight w:val="none"/>
          <w:u w:val="single"/>
        </w:rPr>
        <w:t xml:space="preserve">                                                              </w:t>
      </w:r>
    </w:p>
    <w:p>
      <w:pPr>
        <w:rPr>
          <w:color w:val="auto"/>
          <w:highlight w:val="none"/>
          <w:u w:val="single"/>
        </w:rPr>
      </w:pPr>
      <w:r>
        <w:rPr>
          <w:rFonts w:hint="eastAsia"/>
          <w:color w:val="auto"/>
          <w:highlight w:val="none"/>
        </w:rPr>
        <w:t>授权</w:t>
      </w:r>
      <w:r>
        <w:rPr>
          <w:rFonts w:hint="eastAsia" w:cs="宋体"/>
          <w:color w:val="auto"/>
          <w:highlight w:val="none"/>
        </w:rPr>
        <w:t>代理</w:t>
      </w:r>
      <w:r>
        <w:rPr>
          <w:rFonts w:hint="eastAsia"/>
          <w:color w:val="auto"/>
          <w:highlight w:val="none"/>
        </w:rPr>
        <w:t>人（签字或盖章）：</w:t>
      </w:r>
      <w:r>
        <w:rPr>
          <w:rFonts w:hint="eastAsia"/>
          <w:color w:val="auto"/>
          <w:highlight w:val="none"/>
          <w:u w:val="single"/>
        </w:rPr>
        <w:t xml:space="preserve">                                                                 </w:t>
      </w:r>
    </w:p>
    <w:p>
      <w:pPr>
        <w:rPr>
          <w:color w:val="auto"/>
          <w:highlight w:val="none"/>
        </w:rPr>
      </w:pPr>
      <w:r>
        <w:rPr>
          <w:rFonts w:hint="eastAsia"/>
          <w:color w:val="auto"/>
          <w:highlight w:val="none"/>
        </w:rPr>
        <w:t>日              期：</w:t>
      </w:r>
      <w:r>
        <w:rPr>
          <w:rFonts w:hint="eastAsia"/>
          <w:color w:val="auto"/>
          <w:highlight w:val="none"/>
          <w:u w:val="single"/>
        </w:rPr>
        <w:t xml:space="preserve">    年   月   日                                                         </w:t>
      </w:r>
    </w:p>
    <w:p>
      <w:pPr>
        <w:rPr>
          <w:color w:val="auto"/>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3022600</wp:posOffset>
                </wp:positionH>
                <wp:positionV relativeFrom="paragraph">
                  <wp:posOffset>116840</wp:posOffset>
                </wp:positionV>
                <wp:extent cx="2902585" cy="1649730"/>
                <wp:effectExtent l="4445" t="4445" r="7620" b="22225"/>
                <wp:wrapNone/>
                <wp:docPr id="9" name="文本框 9"/>
                <wp:cNvGraphicFramePr/>
                <a:graphic xmlns:a="http://schemas.openxmlformats.org/drawingml/2006/main">
                  <a:graphicData uri="http://schemas.microsoft.com/office/word/2010/wordprocessingShape">
                    <wps:wsp>
                      <wps:cNvSpPr txBox="1"/>
                      <wps:spPr>
                        <a:xfrm>
                          <a:off x="0" y="0"/>
                          <a:ext cx="2902585" cy="16497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r>
                              <w:rPr>
                                <w:rFonts w:hint="eastAsia"/>
                              </w:rPr>
                              <w:t>附法定代表人身份证复印件反面</w:t>
                            </w:r>
                          </w:p>
                        </w:txbxContent>
                      </wps:txbx>
                      <wps:bodyPr upright="1"/>
                    </wps:wsp>
                  </a:graphicData>
                </a:graphic>
              </wp:anchor>
            </w:drawing>
          </mc:Choice>
          <mc:Fallback>
            <w:pict>
              <v:shape id="_x0000_s1026" o:spid="_x0000_s1026" o:spt="202" type="#_x0000_t202" style="position:absolute;left:0pt;margin-left:238pt;margin-top:9.2pt;height:129.9pt;width:228.55pt;z-index:251663360;mso-width-relative:page;mso-height-relative:page;" fillcolor="#FFFFFF" filled="t" stroked="t" coordsize="21600,21600" o:gfxdata="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Jr4/ZAAAACgEAAA8AAAAA&#10;AAAAAQAgAAAAIgAAAGRycy9kb3ducmV2LnhtbFBLAQIUABQAAAAIAIdO4kAk7WZQEwIAAEUEAAAO&#10;AAAAAAAAAAEAIAAAACgBAABkcnMvZTJvRG9jLnhtbFBLBQYAAAAABgAGAFkBAACtBQAAAAA=&#10;">
                <v:fill on="t" focussize="0,0"/>
                <v:stroke color="#000000" joinstyle="miter"/>
                <v:imagedata o:title=""/>
                <o:lock v:ext="edit" aspectratio="f"/>
                <v:textbox>
                  <w:txbxContent>
                    <w:p/>
                    <w:p/>
                    <w:p/>
                    <w:p>
                      <w:r>
                        <w:rPr>
                          <w:rFonts w:hint="eastAsia"/>
                        </w:rPr>
                        <w:t>附法定代表人身份证复印件反面</w:t>
                      </w:r>
                    </w:p>
                  </w:txbxContent>
                </v:textbox>
              </v:shap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-103505</wp:posOffset>
                </wp:positionH>
                <wp:positionV relativeFrom="paragraph">
                  <wp:posOffset>109855</wp:posOffset>
                </wp:positionV>
                <wp:extent cx="2761615" cy="1656080"/>
                <wp:effectExtent l="4445" t="4445" r="15240" b="15875"/>
                <wp:wrapNone/>
                <wp:docPr id="8" name="文本框 8"/>
                <wp:cNvGraphicFramePr/>
                <a:graphic xmlns:a="http://schemas.openxmlformats.org/drawingml/2006/main">
                  <a:graphicData uri="http://schemas.microsoft.com/office/word/2010/wordprocessingShape">
                    <wps:wsp>
                      <wps:cNvSpPr txBox="1"/>
                      <wps:spPr>
                        <a:xfrm>
                          <a:off x="0" y="0"/>
                          <a:ext cx="2761615" cy="1656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r>
                              <w:rPr>
                                <w:rFonts w:hint="eastAsia"/>
                              </w:rPr>
                              <w:t>附法定代表人身份证复印件正面</w:t>
                            </w:r>
                          </w:p>
                        </w:txbxContent>
                      </wps:txbx>
                      <wps:bodyPr upright="1"/>
                    </wps:wsp>
                  </a:graphicData>
                </a:graphic>
              </wp:anchor>
            </w:drawing>
          </mc:Choice>
          <mc:Fallback>
            <w:pict>
              <v:shape id="_x0000_s1026" o:spid="_x0000_s1026" o:spt="202" type="#_x0000_t202" style="position:absolute;left:0pt;margin-left:-8.15pt;margin-top:8.65pt;height:130.4pt;width:217.45pt;z-index:251662336;mso-width-relative:page;mso-height-relative:page;" fillcolor="#FFFFFF" filled="t" stroked="t" coordsize="21600,21600" o:gfxdata="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i5tnnaAAAACgEAAA8AAAAA&#10;AAAAAQAgAAAAIgAAAGRycy9kb3ducmV2LnhtbFBLAQIUABQAAAAIAIdO4kBbetqsEgIAAEUEAAAO&#10;AAAAAAAAAAEAIAAAACkBAABkcnMvZTJvRG9jLnhtbFBLBQYAAAAABgAGAFkBAACtBQAAAAA=&#10;">
                <v:fill on="t" focussize="0,0"/>
                <v:stroke color="#000000" joinstyle="miter"/>
                <v:imagedata o:title=""/>
                <o:lock v:ext="edit" aspectratio="f"/>
                <v:textbox>
                  <w:txbxContent>
                    <w:p/>
                    <w:p/>
                    <w:p/>
                    <w:p>
                      <w:r>
                        <w:rPr>
                          <w:rFonts w:hint="eastAsia"/>
                        </w:rPr>
                        <w:t>附法定代表人身份证复印件正面</w:t>
                      </w:r>
                    </w:p>
                  </w:txbxContent>
                </v:textbox>
              </v:shape>
            </w:pict>
          </mc:Fallback>
        </mc:AlternateConten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r>
        <w:rPr>
          <w:rFonts w:hint="eastAsia"/>
          <w:color w:val="auto"/>
          <w:highlight w:val="none"/>
        </w:rPr>
        <w:t xml:space="preserve">                                                         </w: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2990215</wp:posOffset>
                </wp:positionH>
                <wp:positionV relativeFrom="paragraph">
                  <wp:posOffset>240665</wp:posOffset>
                </wp:positionV>
                <wp:extent cx="2972435" cy="1779905"/>
                <wp:effectExtent l="4445" t="4445" r="13970" b="6350"/>
                <wp:wrapNone/>
                <wp:docPr id="6" name="文本框 6"/>
                <wp:cNvGraphicFramePr/>
                <a:graphic xmlns:a="http://schemas.openxmlformats.org/drawingml/2006/main">
                  <a:graphicData uri="http://schemas.microsoft.com/office/word/2010/wordprocessingShape">
                    <wps:wsp>
                      <wps:cNvSpPr txBox="1"/>
                      <wps:spPr>
                        <a:xfrm>
                          <a:off x="0" y="0"/>
                          <a:ext cx="2972435" cy="17799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r>
                              <w:rPr>
                                <w:rFonts w:hint="eastAsia"/>
                              </w:rPr>
                              <w:t>附委托人身份证复印件反面</w:t>
                            </w:r>
                          </w:p>
                        </w:txbxContent>
                      </wps:txbx>
                      <wps:bodyPr upright="1"/>
                    </wps:wsp>
                  </a:graphicData>
                </a:graphic>
              </wp:anchor>
            </w:drawing>
          </mc:Choice>
          <mc:Fallback>
            <w:pict>
              <v:shape id="_x0000_s1026" o:spid="_x0000_s1026" o:spt="202" type="#_x0000_t202" style="position:absolute;left:0pt;margin-left:235.45pt;margin-top:18.95pt;height:140.15pt;width:234.05pt;z-index:251665408;mso-width-relative:page;mso-height-relative:page;" fillcolor="#FFFFFF" filled="t" stroked="t" coordsize="21600,21600" o:gfxdata="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vhGbdkAAAAKAQAADwAAAAAA&#10;AAABACAAAAAiAAAAZHJzL2Rvd25yZXYueG1sUEsBAhQAFAAAAAgAh07iQP8m/M8SAgAARQQAAA4A&#10;AAAAAAAAAQAgAAAAKAEAAGRycy9lMm9Eb2MueG1sUEsFBgAAAAAGAAYAWQEAAKwFAAAAAA==&#10;">
                <v:fill on="t" focussize="0,0"/>
                <v:stroke color="#000000" joinstyle="miter"/>
                <v:imagedata o:title=""/>
                <o:lock v:ext="edit" aspectratio="f"/>
                <v:textbox>
                  <w:txbxContent>
                    <w:p/>
                    <w:p/>
                    <w:p/>
                    <w:p>
                      <w:r>
                        <w:rPr>
                          <w:rFonts w:hint="eastAsia"/>
                        </w:rPr>
                        <w:t>附委托人身份证复印件反面</w:t>
                      </w:r>
                    </w:p>
                  </w:txbxContent>
                </v:textbox>
              </v:shap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-98425</wp:posOffset>
                </wp:positionH>
                <wp:positionV relativeFrom="paragraph">
                  <wp:posOffset>229870</wp:posOffset>
                </wp:positionV>
                <wp:extent cx="2761615" cy="1775460"/>
                <wp:effectExtent l="4445" t="5080" r="15240" b="10160"/>
                <wp:wrapNone/>
                <wp:docPr id="7" name="文本框 7"/>
                <wp:cNvGraphicFramePr/>
                <a:graphic xmlns:a="http://schemas.openxmlformats.org/drawingml/2006/main">
                  <a:graphicData uri="http://schemas.microsoft.com/office/word/2010/wordprocessingShape">
                    <wps:wsp>
                      <wps:cNvSpPr txBox="1"/>
                      <wps:spPr>
                        <a:xfrm>
                          <a:off x="0" y="0"/>
                          <a:ext cx="2761615" cy="1775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r>
                              <w:rPr>
                                <w:rFonts w:hint="eastAsia"/>
                              </w:rPr>
                              <w:t>附委托人身份证复印件正面</w:t>
                            </w:r>
                          </w:p>
                        </w:txbxContent>
                      </wps:txbx>
                      <wps:bodyPr upright="1"/>
                    </wps:wsp>
                  </a:graphicData>
                </a:graphic>
              </wp:anchor>
            </w:drawing>
          </mc:Choice>
          <mc:Fallback>
            <w:pict>
              <v:shape id="_x0000_s1026" o:spid="_x0000_s1026" o:spt="202" type="#_x0000_t202" style="position:absolute;left:0pt;margin-left:-7.75pt;margin-top:18.1pt;height:139.8pt;width:217.45pt;z-index:251664384;mso-width-relative:page;mso-height-relative:page;" fillcolor="#FFFFFF" filled="t" stroked="t" coordsize="21600,21600" o:gfxdata="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AzHv/2gAAAAoBAAAPAAAA&#10;AAAAAAEAIAAAACIAAABkcnMvZG93bnJldi54bWxQSwECFAAUAAAACACHTuJA3X/t1xMCAABFBAAA&#10;DgAAAAAAAAABACAAAAApAQAAZHJzL2Uyb0RvYy54bWxQSwUGAAAAAAYABgBZAQAArgUAAAAA&#10;">
                <v:fill on="t" focussize="0,0"/>
                <v:stroke color="#000000" joinstyle="miter"/>
                <v:imagedata o:title=""/>
                <o:lock v:ext="edit" aspectratio="f"/>
                <v:textbox>
                  <w:txbxContent>
                    <w:p/>
                    <w:p/>
                    <w:p/>
                    <w:p>
                      <w:r>
                        <w:rPr>
                          <w:rFonts w:hint="eastAsia"/>
                        </w:rPr>
                        <w:t>附委托人身份证复印件正面</w:t>
                      </w:r>
                    </w:p>
                  </w:txbxContent>
                </v:textbox>
              </v:shape>
            </w:pict>
          </mc:Fallback>
        </mc:AlternateConten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500" w:lineRule="exact"/>
        <w:outlineLvl w:val="1"/>
        <w:rPr>
          <w:color w:val="auto"/>
          <w:highlight w:val="none"/>
        </w:rPr>
      </w:pPr>
    </w:p>
    <w:p>
      <w:pPr>
        <w:rPr>
          <w:color w:val="auto"/>
          <w:highlight w:val="none"/>
        </w:rPr>
      </w:pPr>
    </w:p>
    <w:p>
      <w:pPr>
        <w:pStyle w:val="2"/>
        <w:rPr>
          <w:color w:val="auto"/>
          <w:highlight w:val="none"/>
        </w:rPr>
      </w:pPr>
    </w:p>
    <w:p>
      <w:pPr>
        <w:rPr>
          <w:rFonts w:cs="宋体"/>
          <w:b/>
          <w:color w:val="auto"/>
          <w:highlight w:val="none"/>
        </w:rPr>
      </w:pPr>
      <w:r>
        <w:rPr>
          <w:rFonts w:cs="宋体"/>
          <w:b/>
          <w:color w:val="auto"/>
          <w:highlight w:val="none"/>
        </w:rPr>
        <w:t>参加政府采购活动前3年内在经营活动中没有重大违法记录的书面声明(参考格式)</w:t>
      </w:r>
    </w:p>
    <w:p>
      <w:pPr>
        <w:pStyle w:val="7"/>
        <w:rPr>
          <w:color w:val="auto"/>
          <w:highlight w:val="none"/>
        </w:rPr>
      </w:pPr>
    </w:p>
    <w:p>
      <w:pPr>
        <w:tabs>
          <w:tab w:val="left" w:pos="5580"/>
        </w:tabs>
        <w:spacing w:line="480" w:lineRule="exact"/>
        <w:jc w:val="center"/>
        <w:rPr>
          <w:rFonts w:ascii="黑体" w:hAnsi="黑体" w:eastAsia="黑体"/>
          <w:bCs/>
          <w:color w:val="auto"/>
          <w:highlight w:val="none"/>
        </w:rPr>
      </w:pPr>
      <w:r>
        <w:rPr>
          <w:rFonts w:ascii="黑体" w:hAnsi="黑体" w:eastAsia="黑体"/>
          <w:bCs/>
          <w:color w:val="auto"/>
          <w:highlight w:val="none"/>
        </w:rPr>
        <w:t>声  明</w:t>
      </w:r>
    </w:p>
    <w:p>
      <w:pPr>
        <w:rPr>
          <w:rFonts w:cs="宋体"/>
          <w:color w:val="auto"/>
          <w:highlight w:val="none"/>
        </w:rPr>
      </w:pPr>
    </w:p>
    <w:p>
      <w:pPr>
        <w:rPr>
          <w:rFonts w:cs="宋体"/>
          <w:color w:val="auto"/>
          <w:highlight w:val="none"/>
        </w:rPr>
      </w:pPr>
      <w:r>
        <w:rPr>
          <w:rFonts w:cs="宋体"/>
          <w:color w:val="auto"/>
          <w:highlight w:val="none"/>
        </w:rPr>
        <w:t>   我公司郑重声明：参加本次政府采购活动前 3 年内，我公司在经营活动中没有因违法经营受到刑事处罚或者责令停产停业、吊销许可证或者执照、较大数额罚款等行政处罚。</w:t>
      </w:r>
    </w:p>
    <w:p>
      <w:pPr>
        <w:rPr>
          <w:rFonts w:cs="宋体"/>
          <w:color w:val="auto"/>
          <w:highlight w:val="none"/>
        </w:rPr>
      </w:pPr>
      <w:r>
        <w:rPr>
          <w:rFonts w:cs="宋体"/>
          <w:color w:val="auto"/>
          <w:highlight w:val="none"/>
        </w:rPr>
        <w:t>                                     </w:t>
      </w:r>
      <w:r>
        <w:rPr>
          <w:rFonts w:hint="eastAsia" w:cs="宋体"/>
          <w:color w:val="auto"/>
          <w:highlight w:val="none"/>
        </w:rPr>
        <w:t xml:space="preserve">                                      </w:t>
      </w:r>
      <w:r>
        <w:rPr>
          <w:rFonts w:cs="宋体"/>
          <w:color w:val="auto"/>
          <w:highlight w:val="none"/>
        </w:rPr>
        <w:t>投标人名称（公章）：</w:t>
      </w:r>
    </w:p>
    <w:p>
      <w:pPr>
        <w:rPr>
          <w:rFonts w:cs="宋体"/>
          <w:color w:val="auto"/>
          <w:highlight w:val="none"/>
        </w:rPr>
      </w:pPr>
      <w:r>
        <w:rPr>
          <w:rFonts w:cs="宋体"/>
          <w:color w:val="auto"/>
          <w:highlight w:val="none"/>
        </w:rPr>
        <w:t>                                    </w:t>
      </w:r>
      <w:r>
        <w:rPr>
          <w:rFonts w:hint="eastAsia" w:cs="宋体"/>
          <w:color w:val="auto"/>
          <w:highlight w:val="none"/>
        </w:rPr>
        <w:t xml:space="preserve">           </w:t>
      </w:r>
      <w:r>
        <w:rPr>
          <w:rFonts w:cs="宋体"/>
          <w:color w:val="auto"/>
          <w:highlight w:val="none"/>
        </w:rPr>
        <w:t> </w:t>
      </w:r>
      <w:r>
        <w:rPr>
          <w:rFonts w:hint="eastAsia" w:cs="宋体"/>
          <w:color w:val="auto"/>
          <w:highlight w:val="none"/>
        </w:rPr>
        <w:t xml:space="preserve">                 法定代表人或</w:t>
      </w:r>
      <w:r>
        <w:rPr>
          <w:rFonts w:cs="宋体"/>
          <w:color w:val="auto"/>
          <w:highlight w:val="none"/>
        </w:rPr>
        <w:t>授权代表签字：_______________________</w:t>
      </w:r>
    </w:p>
    <w:p>
      <w:pPr>
        <w:rPr>
          <w:rFonts w:cs="宋体"/>
          <w:color w:val="auto"/>
          <w:highlight w:val="none"/>
        </w:rPr>
      </w:pPr>
      <w:r>
        <w:rPr>
          <w:rFonts w:hint="eastAsia" w:cs="宋体"/>
          <w:color w:val="auto"/>
          <w:highlight w:val="none"/>
        </w:rPr>
        <w:t xml:space="preserve"> </w:t>
      </w:r>
      <w:r>
        <w:rPr>
          <w:rFonts w:cs="宋体"/>
          <w:color w:val="auto"/>
          <w:highlight w:val="none"/>
        </w:rPr>
        <w:t>  </w:t>
      </w:r>
      <w:r>
        <w:rPr>
          <w:rFonts w:hint="eastAsia" w:cs="宋体"/>
          <w:color w:val="auto"/>
          <w:highlight w:val="none"/>
        </w:rPr>
        <w:t xml:space="preserve">            </w:t>
      </w:r>
      <w:r>
        <w:rPr>
          <w:rFonts w:cs="宋体"/>
          <w:color w:val="auto"/>
          <w:highlight w:val="none"/>
        </w:rPr>
        <w:t>                                  </w:t>
      </w:r>
      <w:r>
        <w:rPr>
          <w:rFonts w:hint="eastAsia" w:cs="宋体"/>
          <w:color w:val="auto"/>
          <w:highlight w:val="none"/>
        </w:rPr>
        <w:t xml:space="preserve">                 </w:t>
      </w:r>
      <w:r>
        <w:rPr>
          <w:rFonts w:cs="宋体"/>
          <w:color w:val="auto"/>
          <w:highlight w:val="none"/>
        </w:rPr>
        <w:t xml:space="preserve">          日期：</w:t>
      </w:r>
      <w:r>
        <w:rPr>
          <w:rFonts w:hint="eastAsia" w:cs="宋体"/>
          <w:color w:val="auto"/>
          <w:highlight w:val="none"/>
        </w:rPr>
        <w:t xml:space="preserve">          </w:t>
      </w:r>
      <w:r>
        <w:rPr>
          <w:rFonts w:cs="宋体"/>
          <w:color w:val="auto"/>
          <w:highlight w:val="none"/>
        </w:rPr>
        <w:t>年    月    日</w:t>
      </w:r>
    </w:p>
    <w:p>
      <w:pPr>
        <w:rPr>
          <w:i/>
          <w:color w:val="auto"/>
          <w:highlight w:val="none"/>
          <w:u w:val="single"/>
        </w:rPr>
      </w:pPr>
    </w:p>
    <w:p>
      <w:pPr>
        <w:rPr>
          <w:i/>
          <w:color w:val="auto"/>
          <w:highlight w:val="none"/>
          <w:u w:val="single"/>
        </w:rPr>
      </w:pPr>
    </w:p>
    <w:p>
      <w:pPr>
        <w:ind w:firstLine="480" w:firstLineChars="200"/>
        <w:rPr>
          <w:rFonts w:ascii="仿宋" w:hAnsi="仿宋" w:cs="宋体"/>
          <w:color w:val="auto"/>
          <w:highlight w:val="none"/>
        </w:rPr>
      </w:pPr>
    </w:p>
    <w:p>
      <w:pPr>
        <w:ind w:firstLine="480" w:firstLineChars="200"/>
        <w:rPr>
          <w:rFonts w:ascii="仿宋" w:hAnsi="仿宋" w:cs="宋体"/>
          <w:color w:val="auto"/>
          <w:highlight w:val="none"/>
        </w:rPr>
      </w:pPr>
    </w:p>
    <w:p>
      <w:pPr>
        <w:ind w:firstLine="480" w:firstLineChars="200"/>
        <w:rPr>
          <w:rFonts w:ascii="仿宋" w:hAnsi="仿宋" w:cs="宋体"/>
          <w:color w:val="auto"/>
          <w:highlight w:val="none"/>
        </w:rPr>
      </w:pPr>
    </w:p>
    <w:p>
      <w:pPr>
        <w:ind w:firstLine="480" w:firstLineChars="200"/>
        <w:rPr>
          <w:rFonts w:ascii="仿宋" w:hAnsi="仿宋" w:cs="宋体"/>
          <w:color w:val="auto"/>
          <w:highlight w:val="none"/>
        </w:rPr>
      </w:pPr>
    </w:p>
    <w:p>
      <w:pPr>
        <w:jc w:val="center"/>
        <w:rPr>
          <w:rFonts w:ascii="黑体" w:hAnsi="黑体" w:eastAsia="黑体"/>
          <w:color w:val="auto"/>
          <w:highlight w:val="none"/>
        </w:rPr>
      </w:pPr>
    </w:p>
    <w:p>
      <w:pPr>
        <w:jc w:val="center"/>
        <w:rPr>
          <w:rFonts w:ascii="黑体" w:hAnsi="黑体" w:eastAsia="黑体"/>
          <w:color w:val="auto"/>
          <w:highlight w:val="none"/>
        </w:rPr>
      </w:pPr>
    </w:p>
    <w:p>
      <w:pPr>
        <w:pStyle w:val="5"/>
        <w:rPr>
          <w:rFonts w:ascii="黑体" w:hAnsi="黑体" w:eastAsia="黑体"/>
          <w:color w:val="auto"/>
          <w:highlight w:val="none"/>
        </w:rPr>
      </w:pPr>
    </w:p>
    <w:p>
      <w:pPr>
        <w:pStyle w:val="5"/>
        <w:rPr>
          <w:rFonts w:ascii="黑体" w:hAnsi="黑体" w:eastAsia="黑体"/>
          <w:color w:val="auto"/>
          <w:highlight w:val="none"/>
        </w:rPr>
      </w:pPr>
    </w:p>
    <w:p>
      <w:pPr>
        <w:pStyle w:val="5"/>
        <w:rPr>
          <w:rFonts w:ascii="黑体" w:hAnsi="黑体" w:eastAsia="黑体"/>
          <w:color w:val="auto"/>
          <w:highlight w:val="none"/>
        </w:rPr>
      </w:pPr>
    </w:p>
    <w:p>
      <w:pPr>
        <w:pStyle w:val="5"/>
        <w:rPr>
          <w:rFonts w:ascii="黑体" w:hAnsi="黑体" w:eastAsia="黑体"/>
          <w:color w:val="auto"/>
          <w:highlight w:val="none"/>
        </w:rPr>
      </w:pPr>
    </w:p>
    <w:p>
      <w:pPr>
        <w:pStyle w:val="5"/>
        <w:rPr>
          <w:rFonts w:ascii="黑体" w:hAnsi="黑体" w:eastAsia="黑体"/>
          <w:color w:val="auto"/>
          <w:highlight w:val="none"/>
        </w:rPr>
      </w:pPr>
    </w:p>
    <w:p>
      <w:pPr>
        <w:pStyle w:val="5"/>
        <w:rPr>
          <w:rFonts w:ascii="黑体" w:hAnsi="黑体" w:eastAsia="黑体"/>
          <w:color w:val="auto"/>
          <w:highlight w:val="none"/>
        </w:rPr>
      </w:pPr>
    </w:p>
    <w:p>
      <w:pPr>
        <w:pStyle w:val="5"/>
        <w:rPr>
          <w:rFonts w:ascii="黑体" w:hAnsi="黑体" w:eastAsia="黑体"/>
          <w:color w:val="auto"/>
          <w:highlight w:val="none"/>
        </w:rPr>
      </w:pPr>
    </w:p>
    <w:p>
      <w:pPr>
        <w:pStyle w:val="5"/>
        <w:rPr>
          <w:rFonts w:ascii="黑体" w:hAnsi="黑体" w:eastAsia="黑体"/>
          <w:color w:val="auto"/>
          <w:highlight w:val="none"/>
        </w:rPr>
      </w:pPr>
    </w:p>
    <w:p>
      <w:pPr>
        <w:pStyle w:val="5"/>
        <w:rPr>
          <w:rFonts w:ascii="黑体" w:hAnsi="黑体" w:eastAsia="黑体"/>
          <w:color w:val="auto"/>
          <w:highlight w:val="none"/>
        </w:rPr>
      </w:pPr>
    </w:p>
    <w:p>
      <w:pPr>
        <w:pStyle w:val="5"/>
        <w:rPr>
          <w:rFonts w:ascii="黑体" w:hAnsi="黑体" w:eastAsia="黑体"/>
          <w:color w:val="auto"/>
          <w:highlight w:val="none"/>
        </w:rPr>
      </w:pPr>
    </w:p>
    <w:p>
      <w:pPr>
        <w:jc w:val="center"/>
        <w:outlineLvl w:val="1"/>
        <w:rPr>
          <w:rFonts w:cs="宋体"/>
          <w:b/>
          <w:bCs/>
          <w:color w:val="auto"/>
          <w:szCs w:val="18"/>
          <w:highlight w:val="none"/>
        </w:rPr>
      </w:pPr>
      <w:r>
        <w:rPr>
          <w:rFonts w:hint="eastAsia" w:cs="宋体"/>
          <w:b/>
          <w:bCs/>
          <w:color w:val="auto"/>
          <w:szCs w:val="18"/>
          <w:highlight w:val="none"/>
        </w:rPr>
        <w:t>其他资料（财务审计报告或财务报表、社保证明、完税证明、投标保证金缴纳凭证等资料）</w:t>
      </w:r>
    </w:p>
    <w:p>
      <w:pPr>
        <w:pStyle w:val="5"/>
        <w:rPr>
          <w:rFonts w:ascii="黑体" w:hAnsi="黑体" w:eastAsia="黑体"/>
          <w:color w:val="auto"/>
          <w:highlight w:val="none"/>
        </w:rPr>
      </w:pPr>
    </w:p>
    <w:p>
      <w:pPr>
        <w:jc w:val="center"/>
        <w:rPr>
          <w:rFonts w:ascii="黑体" w:hAnsi="黑体" w:eastAsia="黑体"/>
          <w:color w:val="auto"/>
          <w:highlight w:val="none"/>
        </w:rPr>
      </w:pPr>
    </w:p>
    <w:p>
      <w:pPr>
        <w:jc w:val="center"/>
        <w:rPr>
          <w:rFonts w:ascii="黑体" w:hAnsi="黑体" w:eastAsia="黑体"/>
          <w:color w:val="auto"/>
          <w:highlight w:val="none"/>
        </w:rPr>
      </w:pPr>
    </w:p>
    <w:p>
      <w:pPr>
        <w:jc w:val="center"/>
        <w:rPr>
          <w:rFonts w:ascii="黑体" w:hAnsi="黑体" w:eastAsia="黑体"/>
          <w:color w:val="auto"/>
          <w:highlight w:val="none"/>
        </w:rPr>
      </w:pPr>
    </w:p>
    <w:p>
      <w:pPr>
        <w:jc w:val="center"/>
        <w:rPr>
          <w:rFonts w:ascii="黑体" w:hAnsi="黑体" w:eastAsia="黑体"/>
          <w:color w:val="auto"/>
          <w:highlight w:val="none"/>
        </w:rPr>
      </w:pPr>
    </w:p>
    <w:p>
      <w:pPr>
        <w:jc w:val="center"/>
        <w:rPr>
          <w:rFonts w:ascii="黑体" w:hAnsi="黑体" w:eastAsia="黑体"/>
          <w:color w:val="auto"/>
          <w:highlight w:val="none"/>
        </w:rPr>
      </w:pPr>
    </w:p>
    <w:p>
      <w:pPr>
        <w:pStyle w:val="7"/>
        <w:rPr>
          <w:rFonts w:ascii="黑体" w:hAnsi="黑体" w:eastAsia="黑体"/>
          <w:color w:val="auto"/>
          <w:highlight w:val="none"/>
        </w:rPr>
      </w:pPr>
    </w:p>
    <w:p>
      <w:pPr>
        <w:pStyle w:val="7"/>
        <w:rPr>
          <w:rFonts w:ascii="黑体" w:hAnsi="黑体" w:eastAsia="黑体"/>
          <w:color w:val="auto"/>
          <w:highlight w:val="none"/>
        </w:rPr>
      </w:pPr>
    </w:p>
    <w:p>
      <w:pPr>
        <w:pStyle w:val="7"/>
        <w:rPr>
          <w:rFonts w:ascii="黑体" w:hAnsi="黑体" w:eastAsia="黑体"/>
          <w:color w:val="auto"/>
          <w:highlight w:val="none"/>
        </w:rPr>
      </w:pPr>
    </w:p>
    <w:p>
      <w:pPr>
        <w:pStyle w:val="7"/>
        <w:rPr>
          <w:rFonts w:ascii="黑体" w:hAnsi="黑体" w:eastAsia="黑体"/>
          <w:color w:val="auto"/>
          <w:highlight w:val="none"/>
        </w:rPr>
      </w:pPr>
    </w:p>
    <w:p>
      <w:pPr>
        <w:pStyle w:val="7"/>
        <w:rPr>
          <w:rFonts w:ascii="黑体" w:hAnsi="黑体" w:eastAsia="黑体"/>
          <w:color w:val="auto"/>
          <w:highlight w:val="none"/>
        </w:rPr>
      </w:pPr>
    </w:p>
    <w:p>
      <w:pPr>
        <w:pStyle w:val="7"/>
        <w:rPr>
          <w:rFonts w:ascii="黑体" w:hAnsi="黑体" w:eastAsia="黑体"/>
          <w:color w:val="auto"/>
          <w:highlight w:val="none"/>
        </w:rPr>
      </w:pPr>
    </w:p>
    <w:p>
      <w:pPr>
        <w:pStyle w:val="7"/>
        <w:rPr>
          <w:rFonts w:ascii="黑体" w:hAnsi="黑体" w:eastAsia="黑体"/>
          <w:color w:val="auto"/>
          <w:highlight w:val="none"/>
        </w:rPr>
      </w:pPr>
    </w:p>
    <w:p>
      <w:pPr>
        <w:pStyle w:val="7"/>
        <w:rPr>
          <w:rFonts w:ascii="黑体" w:hAnsi="黑体" w:eastAsia="黑体"/>
          <w:color w:val="auto"/>
          <w:highlight w:val="none"/>
        </w:rPr>
      </w:pPr>
    </w:p>
    <w:p>
      <w:pPr>
        <w:pStyle w:val="7"/>
        <w:rPr>
          <w:rFonts w:ascii="黑体" w:hAnsi="黑体" w:eastAsia="黑体"/>
          <w:color w:val="auto"/>
          <w:highlight w:val="none"/>
        </w:rPr>
      </w:pPr>
    </w:p>
    <w:p>
      <w:pPr>
        <w:pStyle w:val="7"/>
        <w:rPr>
          <w:rFonts w:ascii="黑体" w:hAnsi="黑体" w:eastAsia="黑体"/>
          <w:color w:val="auto"/>
          <w:highlight w:val="none"/>
        </w:rPr>
      </w:pPr>
    </w:p>
    <w:p>
      <w:pPr>
        <w:pStyle w:val="7"/>
        <w:rPr>
          <w:rFonts w:ascii="黑体" w:hAnsi="黑体" w:eastAsia="黑体"/>
          <w:color w:val="auto"/>
          <w:highlight w:val="none"/>
        </w:rPr>
      </w:pPr>
    </w:p>
    <w:p>
      <w:pPr>
        <w:pStyle w:val="7"/>
        <w:rPr>
          <w:rFonts w:ascii="黑体" w:hAnsi="黑体" w:eastAsia="黑体"/>
          <w:color w:val="auto"/>
          <w:highlight w:val="none"/>
        </w:rPr>
      </w:pPr>
    </w:p>
    <w:p>
      <w:pPr>
        <w:pStyle w:val="7"/>
        <w:rPr>
          <w:rFonts w:ascii="黑体" w:hAnsi="黑体" w:eastAsia="黑体"/>
          <w:color w:val="auto"/>
          <w:highlight w:val="none"/>
        </w:rPr>
      </w:pPr>
    </w:p>
    <w:p>
      <w:pPr>
        <w:pStyle w:val="7"/>
        <w:rPr>
          <w:rFonts w:ascii="黑体" w:hAnsi="黑体" w:eastAsia="黑体"/>
          <w:color w:val="auto"/>
          <w:highlight w:val="none"/>
        </w:rPr>
      </w:pPr>
    </w:p>
    <w:p>
      <w:pPr>
        <w:rPr>
          <w:rFonts w:ascii="黑体" w:hAnsi="黑体" w:eastAsia="黑体"/>
          <w:color w:val="auto"/>
          <w:highlight w:val="none"/>
        </w:rPr>
      </w:pPr>
    </w:p>
    <w:p>
      <w:pPr>
        <w:pStyle w:val="7"/>
        <w:rPr>
          <w:color w:val="auto"/>
          <w:highlight w:val="none"/>
        </w:rPr>
      </w:pPr>
    </w:p>
    <w:p>
      <w:pPr>
        <w:spacing w:line="480" w:lineRule="auto"/>
        <w:jc w:val="center"/>
        <w:rPr>
          <w:rFonts w:cs="宋体"/>
          <w:b/>
          <w:bCs/>
          <w:color w:val="auto"/>
          <w:szCs w:val="18"/>
          <w:highlight w:val="none"/>
        </w:rPr>
      </w:pPr>
      <w:r>
        <w:rPr>
          <w:rFonts w:hint="eastAsia" w:cs="宋体"/>
          <w:b/>
          <w:bCs/>
          <w:color w:val="auto"/>
          <w:szCs w:val="18"/>
          <w:highlight w:val="none"/>
        </w:rPr>
        <w:t>投标人基本情况表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941"/>
        <w:gridCol w:w="264"/>
        <w:gridCol w:w="1007"/>
        <w:gridCol w:w="847"/>
        <w:gridCol w:w="502"/>
        <w:gridCol w:w="1310"/>
        <w:gridCol w:w="275"/>
        <w:gridCol w:w="745"/>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pct"/>
            <w:vAlign w:val="center"/>
          </w:tcPr>
          <w:p>
            <w:pPr>
              <w:jc w:val="center"/>
              <w:rPr>
                <w:color w:val="auto"/>
                <w:highlight w:val="none"/>
              </w:rPr>
            </w:pPr>
            <w:r>
              <w:rPr>
                <w:rFonts w:hint="eastAsia"/>
                <w:color w:val="auto"/>
                <w:highlight w:val="none"/>
              </w:rPr>
              <w:t>投标人名称</w:t>
            </w:r>
          </w:p>
        </w:tc>
        <w:tc>
          <w:tcPr>
            <w:tcW w:w="3972" w:type="pct"/>
            <w:gridSpan w:val="9"/>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pct"/>
            <w:vAlign w:val="center"/>
          </w:tcPr>
          <w:p>
            <w:pPr>
              <w:jc w:val="center"/>
              <w:rPr>
                <w:color w:val="auto"/>
                <w:highlight w:val="none"/>
              </w:rPr>
            </w:pPr>
            <w:r>
              <w:rPr>
                <w:rFonts w:hint="eastAsia"/>
                <w:color w:val="auto"/>
                <w:highlight w:val="none"/>
              </w:rPr>
              <w:t>注册地址</w:t>
            </w:r>
          </w:p>
        </w:tc>
        <w:tc>
          <w:tcPr>
            <w:tcW w:w="1917" w:type="pct"/>
            <w:gridSpan w:val="5"/>
            <w:vAlign w:val="center"/>
          </w:tcPr>
          <w:p>
            <w:pPr>
              <w:jc w:val="center"/>
              <w:rPr>
                <w:color w:val="auto"/>
                <w:highlight w:val="none"/>
              </w:rPr>
            </w:pPr>
          </w:p>
        </w:tc>
        <w:tc>
          <w:tcPr>
            <w:tcW w:w="705" w:type="pct"/>
            <w:vAlign w:val="center"/>
          </w:tcPr>
          <w:p>
            <w:pPr>
              <w:jc w:val="center"/>
              <w:rPr>
                <w:color w:val="auto"/>
                <w:highlight w:val="none"/>
              </w:rPr>
            </w:pPr>
            <w:r>
              <w:rPr>
                <w:rFonts w:hint="eastAsia"/>
                <w:color w:val="auto"/>
                <w:highlight w:val="none"/>
              </w:rPr>
              <w:t>邮政编码</w:t>
            </w:r>
          </w:p>
        </w:tc>
        <w:tc>
          <w:tcPr>
            <w:tcW w:w="1350" w:type="pct"/>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pct"/>
            <w:vMerge w:val="restart"/>
            <w:vAlign w:val="center"/>
          </w:tcPr>
          <w:p>
            <w:pPr>
              <w:jc w:val="center"/>
              <w:rPr>
                <w:color w:val="auto"/>
                <w:highlight w:val="none"/>
              </w:rPr>
            </w:pPr>
            <w:r>
              <w:rPr>
                <w:rFonts w:hint="eastAsia"/>
                <w:color w:val="auto"/>
                <w:highlight w:val="none"/>
              </w:rPr>
              <w:t>联系方式</w:t>
            </w:r>
          </w:p>
        </w:tc>
        <w:tc>
          <w:tcPr>
            <w:tcW w:w="649" w:type="pct"/>
            <w:gridSpan w:val="2"/>
            <w:vAlign w:val="center"/>
          </w:tcPr>
          <w:p>
            <w:pPr>
              <w:jc w:val="center"/>
              <w:rPr>
                <w:color w:val="auto"/>
                <w:highlight w:val="none"/>
              </w:rPr>
            </w:pPr>
            <w:r>
              <w:rPr>
                <w:rFonts w:hint="eastAsia"/>
                <w:color w:val="auto"/>
                <w:highlight w:val="none"/>
              </w:rPr>
              <w:t>联系人</w:t>
            </w:r>
          </w:p>
        </w:tc>
        <w:tc>
          <w:tcPr>
            <w:tcW w:w="1268" w:type="pct"/>
            <w:gridSpan w:val="3"/>
            <w:vAlign w:val="center"/>
          </w:tcPr>
          <w:p>
            <w:pPr>
              <w:jc w:val="center"/>
              <w:rPr>
                <w:color w:val="auto"/>
                <w:highlight w:val="none"/>
              </w:rPr>
            </w:pPr>
          </w:p>
        </w:tc>
        <w:tc>
          <w:tcPr>
            <w:tcW w:w="705" w:type="pct"/>
            <w:vAlign w:val="center"/>
          </w:tcPr>
          <w:p>
            <w:pPr>
              <w:jc w:val="center"/>
              <w:rPr>
                <w:color w:val="auto"/>
                <w:highlight w:val="none"/>
              </w:rPr>
            </w:pPr>
            <w:r>
              <w:rPr>
                <w:rFonts w:hint="eastAsia"/>
                <w:color w:val="auto"/>
                <w:highlight w:val="none"/>
              </w:rPr>
              <w:t>电  话</w:t>
            </w:r>
          </w:p>
        </w:tc>
        <w:tc>
          <w:tcPr>
            <w:tcW w:w="1350" w:type="pct"/>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pct"/>
            <w:vMerge w:val="continue"/>
            <w:vAlign w:val="center"/>
          </w:tcPr>
          <w:p>
            <w:pPr>
              <w:jc w:val="center"/>
              <w:rPr>
                <w:color w:val="auto"/>
                <w:highlight w:val="none"/>
              </w:rPr>
            </w:pPr>
          </w:p>
        </w:tc>
        <w:tc>
          <w:tcPr>
            <w:tcW w:w="649" w:type="pct"/>
            <w:gridSpan w:val="2"/>
            <w:vAlign w:val="center"/>
          </w:tcPr>
          <w:p>
            <w:pPr>
              <w:jc w:val="center"/>
              <w:rPr>
                <w:color w:val="auto"/>
                <w:highlight w:val="none"/>
              </w:rPr>
            </w:pPr>
            <w:r>
              <w:rPr>
                <w:rFonts w:hint="eastAsia"/>
                <w:color w:val="auto"/>
                <w:highlight w:val="none"/>
              </w:rPr>
              <w:t>传  真</w:t>
            </w:r>
          </w:p>
        </w:tc>
        <w:tc>
          <w:tcPr>
            <w:tcW w:w="1268" w:type="pct"/>
            <w:gridSpan w:val="3"/>
            <w:vAlign w:val="center"/>
          </w:tcPr>
          <w:p>
            <w:pPr>
              <w:jc w:val="center"/>
              <w:rPr>
                <w:color w:val="auto"/>
                <w:highlight w:val="none"/>
              </w:rPr>
            </w:pPr>
          </w:p>
        </w:tc>
        <w:tc>
          <w:tcPr>
            <w:tcW w:w="705" w:type="pct"/>
            <w:vAlign w:val="center"/>
          </w:tcPr>
          <w:p>
            <w:pPr>
              <w:jc w:val="center"/>
              <w:rPr>
                <w:color w:val="auto"/>
                <w:highlight w:val="none"/>
              </w:rPr>
            </w:pPr>
            <w:r>
              <w:rPr>
                <w:rFonts w:hint="eastAsia"/>
                <w:color w:val="auto"/>
                <w:highlight w:val="none"/>
              </w:rPr>
              <w:t>网  址</w:t>
            </w:r>
          </w:p>
        </w:tc>
        <w:tc>
          <w:tcPr>
            <w:tcW w:w="1350" w:type="pct"/>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28" w:type="pct"/>
            <w:vAlign w:val="center"/>
          </w:tcPr>
          <w:p>
            <w:pPr>
              <w:jc w:val="center"/>
              <w:rPr>
                <w:color w:val="auto"/>
                <w:highlight w:val="none"/>
              </w:rPr>
            </w:pPr>
            <w:r>
              <w:rPr>
                <w:rFonts w:hint="eastAsia"/>
                <w:color w:val="auto"/>
                <w:highlight w:val="none"/>
              </w:rPr>
              <w:t>组织结构</w:t>
            </w:r>
          </w:p>
        </w:tc>
        <w:tc>
          <w:tcPr>
            <w:tcW w:w="3972" w:type="pct"/>
            <w:gridSpan w:val="9"/>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pct"/>
            <w:vAlign w:val="center"/>
          </w:tcPr>
          <w:p>
            <w:pPr>
              <w:jc w:val="center"/>
              <w:rPr>
                <w:color w:val="auto"/>
                <w:highlight w:val="none"/>
              </w:rPr>
            </w:pPr>
            <w:r>
              <w:rPr>
                <w:rFonts w:hint="eastAsia"/>
                <w:color w:val="auto"/>
                <w:highlight w:val="none"/>
              </w:rPr>
              <w:t>法定代表人</w:t>
            </w:r>
          </w:p>
        </w:tc>
        <w:tc>
          <w:tcPr>
            <w:tcW w:w="507" w:type="pct"/>
            <w:vAlign w:val="center"/>
          </w:tcPr>
          <w:p>
            <w:pPr>
              <w:jc w:val="center"/>
              <w:rPr>
                <w:color w:val="auto"/>
                <w:highlight w:val="none"/>
              </w:rPr>
            </w:pPr>
            <w:r>
              <w:rPr>
                <w:rFonts w:hint="eastAsia"/>
                <w:color w:val="auto"/>
                <w:highlight w:val="none"/>
              </w:rPr>
              <w:t>姓名</w:t>
            </w:r>
          </w:p>
        </w:tc>
        <w:tc>
          <w:tcPr>
            <w:tcW w:w="684" w:type="pct"/>
            <w:gridSpan w:val="2"/>
            <w:vAlign w:val="center"/>
          </w:tcPr>
          <w:p>
            <w:pPr>
              <w:jc w:val="center"/>
              <w:rPr>
                <w:color w:val="auto"/>
                <w:highlight w:val="none"/>
              </w:rPr>
            </w:pPr>
          </w:p>
        </w:tc>
        <w:tc>
          <w:tcPr>
            <w:tcW w:w="726" w:type="pct"/>
            <w:gridSpan w:val="2"/>
            <w:vAlign w:val="center"/>
          </w:tcPr>
          <w:p>
            <w:pPr>
              <w:jc w:val="center"/>
              <w:rPr>
                <w:color w:val="auto"/>
                <w:highlight w:val="none"/>
              </w:rPr>
            </w:pPr>
            <w:r>
              <w:rPr>
                <w:rFonts w:hint="eastAsia"/>
                <w:color w:val="auto"/>
                <w:highlight w:val="none"/>
              </w:rPr>
              <w:t>技术职称</w:t>
            </w:r>
          </w:p>
        </w:tc>
        <w:tc>
          <w:tcPr>
            <w:tcW w:w="852" w:type="pct"/>
            <w:gridSpan w:val="2"/>
            <w:vAlign w:val="center"/>
          </w:tcPr>
          <w:p>
            <w:pPr>
              <w:jc w:val="center"/>
              <w:rPr>
                <w:color w:val="auto"/>
                <w:highlight w:val="none"/>
              </w:rPr>
            </w:pPr>
          </w:p>
        </w:tc>
        <w:tc>
          <w:tcPr>
            <w:tcW w:w="401" w:type="pct"/>
            <w:vAlign w:val="center"/>
          </w:tcPr>
          <w:p>
            <w:pPr>
              <w:jc w:val="center"/>
              <w:rPr>
                <w:color w:val="auto"/>
                <w:highlight w:val="none"/>
              </w:rPr>
            </w:pPr>
            <w:r>
              <w:rPr>
                <w:rFonts w:hint="eastAsia"/>
                <w:color w:val="auto"/>
                <w:highlight w:val="none"/>
              </w:rPr>
              <w:t>电话</w:t>
            </w:r>
          </w:p>
        </w:tc>
        <w:tc>
          <w:tcPr>
            <w:tcW w:w="802" w:type="pct"/>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pct"/>
            <w:vAlign w:val="center"/>
          </w:tcPr>
          <w:p>
            <w:pPr>
              <w:jc w:val="center"/>
              <w:rPr>
                <w:color w:val="auto"/>
                <w:highlight w:val="none"/>
              </w:rPr>
            </w:pPr>
            <w:r>
              <w:rPr>
                <w:rFonts w:hint="eastAsia"/>
                <w:color w:val="auto"/>
                <w:highlight w:val="none"/>
              </w:rPr>
              <w:t>技术负责人</w:t>
            </w:r>
          </w:p>
        </w:tc>
        <w:tc>
          <w:tcPr>
            <w:tcW w:w="507" w:type="pct"/>
            <w:vAlign w:val="center"/>
          </w:tcPr>
          <w:p>
            <w:pPr>
              <w:jc w:val="center"/>
              <w:rPr>
                <w:color w:val="auto"/>
                <w:highlight w:val="none"/>
              </w:rPr>
            </w:pPr>
            <w:r>
              <w:rPr>
                <w:rFonts w:hint="eastAsia"/>
                <w:color w:val="auto"/>
                <w:highlight w:val="none"/>
              </w:rPr>
              <w:t>姓名</w:t>
            </w:r>
          </w:p>
        </w:tc>
        <w:tc>
          <w:tcPr>
            <w:tcW w:w="684" w:type="pct"/>
            <w:gridSpan w:val="2"/>
            <w:vAlign w:val="center"/>
          </w:tcPr>
          <w:p>
            <w:pPr>
              <w:jc w:val="center"/>
              <w:rPr>
                <w:color w:val="auto"/>
                <w:highlight w:val="none"/>
              </w:rPr>
            </w:pPr>
          </w:p>
        </w:tc>
        <w:tc>
          <w:tcPr>
            <w:tcW w:w="726" w:type="pct"/>
            <w:gridSpan w:val="2"/>
            <w:vAlign w:val="center"/>
          </w:tcPr>
          <w:p>
            <w:pPr>
              <w:jc w:val="center"/>
              <w:rPr>
                <w:color w:val="auto"/>
                <w:highlight w:val="none"/>
              </w:rPr>
            </w:pPr>
            <w:r>
              <w:rPr>
                <w:rFonts w:hint="eastAsia"/>
                <w:color w:val="auto"/>
                <w:highlight w:val="none"/>
              </w:rPr>
              <w:t>技术职称</w:t>
            </w:r>
          </w:p>
        </w:tc>
        <w:tc>
          <w:tcPr>
            <w:tcW w:w="852" w:type="pct"/>
            <w:gridSpan w:val="2"/>
            <w:vAlign w:val="center"/>
          </w:tcPr>
          <w:p>
            <w:pPr>
              <w:jc w:val="center"/>
              <w:rPr>
                <w:color w:val="auto"/>
                <w:highlight w:val="none"/>
              </w:rPr>
            </w:pPr>
          </w:p>
        </w:tc>
        <w:tc>
          <w:tcPr>
            <w:tcW w:w="401" w:type="pct"/>
            <w:vAlign w:val="center"/>
          </w:tcPr>
          <w:p>
            <w:pPr>
              <w:jc w:val="center"/>
              <w:rPr>
                <w:color w:val="auto"/>
                <w:highlight w:val="none"/>
              </w:rPr>
            </w:pPr>
            <w:r>
              <w:rPr>
                <w:rFonts w:hint="eastAsia"/>
                <w:color w:val="auto"/>
                <w:highlight w:val="none"/>
              </w:rPr>
              <w:t>电话</w:t>
            </w:r>
          </w:p>
        </w:tc>
        <w:tc>
          <w:tcPr>
            <w:tcW w:w="802" w:type="pct"/>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pct"/>
            <w:vAlign w:val="center"/>
          </w:tcPr>
          <w:p>
            <w:pPr>
              <w:jc w:val="center"/>
              <w:rPr>
                <w:color w:val="auto"/>
                <w:highlight w:val="none"/>
              </w:rPr>
            </w:pPr>
            <w:r>
              <w:rPr>
                <w:rFonts w:hint="eastAsia"/>
                <w:color w:val="auto"/>
                <w:highlight w:val="none"/>
              </w:rPr>
              <w:t>成立时间</w:t>
            </w:r>
          </w:p>
        </w:tc>
        <w:tc>
          <w:tcPr>
            <w:tcW w:w="1191" w:type="pct"/>
            <w:gridSpan w:val="3"/>
            <w:vAlign w:val="center"/>
          </w:tcPr>
          <w:p>
            <w:pPr>
              <w:jc w:val="center"/>
              <w:rPr>
                <w:color w:val="auto"/>
                <w:highlight w:val="none"/>
              </w:rPr>
            </w:pPr>
          </w:p>
        </w:tc>
        <w:tc>
          <w:tcPr>
            <w:tcW w:w="2781" w:type="pct"/>
            <w:gridSpan w:val="6"/>
            <w:vAlign w:val="center"/>
          </w:tcPr>
          <w:p>
            <w:pPr>
              <w:jc w:val="center"/>
              <w:rPr>
                <w:color w:val="auto"/>
                <w:highlight w:val="none"/>
              </w:rPr>
            </w:pPr>
            <w:r>
              <w:rPr>
                <w:rFonts w:hint="eastAsia"/>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pct"/>
            <w:vAlign w:val="center"/>
          </w:tcPr>
          <w:p>
            <w:pPr>
              <w:jc w:val="center"/>
              <w:rPr>
                <w:color w:val="auto"/>
                <w:highlight w:val="none"/>
              </w:rPr>
            </w:pPr>
            <w:r>
              <w:rPr>
                <w:rFonts w:hint="eastAsia"/>
                <w:color w:val="auto"/>
                <w:highlight w:val="none"/>
              </w:rPr>
              <w:t>企业资质</w:t>
            </w:r>
          </w:p>
        </w:tc>
        <w:tc>
          <w:tcPr>
            <w:tcW w:w="1191" w:type="pct"/>
            <w:gridSpan w:val="3"/>
            <w:vAlign w:val="center"/>
          </w:tcPr>
          <w:p>
            <w:pPr>
              <w:jc w:val="center"/>
              <w:rPr>
                <w:color w:val="auto"/>
                <w:highlight w:val="none"/>
              </w:rPr>
            </w:pPr>
          </w:p>
        </w:tc>
        <w:tc>
          <w:tcPr>
            <w:tcW w:w="456" w:type="pct"/>
            <w:vMerge w:val="restart"/>
            <w:vAlign w:val="center"/>
          </w:tcPr>
          <w:p>
            <w:pPr>
              <w:jc w:val="center"/>
              <w:rPr>
                <w:color w:val="auto"/>
                <w:highlight w:val="none"/>
              </w:rPr>
            </w:pPr>
            <w:r>
              <w:rPr>
                <w:rFonts w:hint="eastAsia"/>
                <w:color w:val="auto"/>
                <w:highlight w:val="none"/>
              </w:rPr>
              <w:t>其中</w:t>
            </w:r>
          </w:p>
        </w:tc>
        <w:tc>
          <w:tcPr>
            <w:tcW w:w="1123" w:type="pct"/>
            <w:gridSpan w:val="3"/>
            <w:vMerge w:val="restart"/>
            <w:vAlign w:val="center"/>
          </w:tcPr>
          <w:p>
            <w:pPr>
              <w:jc w:val="center"/>
              <w:rPr>
                <w:color w:val="auto"/>
                <w:highlight w:val="none"/>
              </w:rPr>
            </w:pPr>
            <w:r>
              <w:rPr>
                <w:rFonts w:hint="eastAsia"/>
                <w:color w:val="auto"/>
                <w:highlight w:val="none"/>
              </w:rPr>
              <w:t>高级职称</w:t>
            </w:r>
          </w:p>
        </w:tc>
        <w:tc>
          <w:tcPr>
            <w:tcW w:w="1202" w:type="pct"/>
            <w:gridSpan w:val="2"/>
            <w:vMerge w:val="restart"/>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pct"/>
            <w:vAlign w:val="center"/>
          </w:tcPr>
          <w:p>
            <w:pPr>
              <w:jc w:val="center"/>
              <w:rPr>
                <w:color w:val="auto"/>
                <w:highlight w:val="none"/>
              </w:rPr>
            </w:pPr>
            <w:r>
              <w:rPr>
                <w:rFonts w:hint="eastAsia"/>
                <w:color w:val="auto"/>
                <w:highlight w:val="none"/>
              </w:rPr>
              <w:t>营业执照号</w:t>
            </w:r>
          </w:p>
        </w:tc>
        <w:tc>
          <w:tcPr>
            <w:tcW w:w="1191" w:type="pct"/>
            <w:gridSpan w:val="3"/>
            <w:vAlign w:val="center"/>
          </w:tcPr>
          <w:p>
            <w:pPr>
              <w:jc w:val="center"/>
              <w:rPr>
                <w:color w:val="auto"/>
                <w:highlight w:val="none"/>
              </w:rPr>
            </w:pPr>
          </w:p>
        </w:tc>
        <w:tc>
          <w:tcPr>
            <w:tcW w:w="456" w:type="pct"/>
            <w:vMerge w:val="continue"/>
            <w:vAlign w:val="center"/>
          </w:tcPr>
          <w:p>
            <w:pPr>
              <w:jc w:val="center"/>
              <w:rPr>
                <w:color w:val="auto"/>
                <w:highlight w:val="none"/>
              </w:rPr>
            </w:pPr>
          </w:p>
        </w:tc>
        <w:tc>
          <w:tcPr>
            <w:tcW w:w="1123" w:type="pct"/>
            <w:gridSpan w:val="3"/>
            <w:vMerge w:val="continue"/>
            <w:vAlign w:val="center"/>
          </w:tcPr>
          <w:p>
            <w:pPr>
              <w:jc w:val="center"/>
              <w:rPr>
                <w:color w:val="auto"/>
                <w:highlight w:val="none"/>
              </w:rPr>
            </w:pPr>
          </w:p>
        </w:tc>
        <w:tc>
          <w:tcPr>
            <w:tcW w:w="1202" w:type="pct"/>
            <w:gridSpan w:val="2"/>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pct"/>
            <w:vAlign w:val="center"/>
          </w:tcPr>
          <w:p>
            <w:pPr>
              <w:jc w:val="center"/>
              <w:rPr>
                <w:color w:val="auto"/>
                <w:highlight w:val="none"/>
              </w:rPr>
            </w:pPr>
            <w:r>
              <w:rPr>
                <w:rFonts w:hint="eastAsia"/>
                <w:color w:val="auto"/>
                <w:highlight w:val="none"/>
              </w:rPr>
              <w:t>注册资金</w:t>
            </w:r>
          </w:p>
        </w:tc>
        <w:tc>
          <w:tcPr>
            <w:tcW w:w="1191" w:type="pct"/>
            <w:gridSpan w:val="3"/>
            <w:vAlign w:val="center"/>
          </w:tcPr>
          <w:p>
            <w:pPr>
              <w:jc w:val="center"/>
              <w:rPr>
                <w:color w:val="auto"/>
                <w:highlight w:val="none"/>
              </w:rPr>
            </w:pPr>
          </w:p>
        </w:tc>
        <w:tc>
          <w:tcPr>
            <w:tcW w:w="456" w:type="pct"/>
            <w:vMerge w:val="continue"/>
            <w:vAlign w:val="center"/>
          </w:tcPr>
          <w:p>
            <w:pPr>
              <w:jc w:val="center"/>
              <w:rPr>
                <w:color w:val="auto"/>
                <w:highlight w:val="none"/>
              </w:rPr>
            </w:pPr>
          </w:p>
        </w:tc>
        <w:tc>
          <w:tcPr>
            <w:tcW w:w="1123" w:type="pct"/>
            <w:gridSpan w:val="3"/>
            <w:vMerge w:val="restart"/>
            <w:vAlign w:val="center"/>
          </w:tcPr>
          <w:p>
            <w:pPr>
              <w:jc w:val="center"/>
              <w:rPr>
                <w:color w:val="auto"/>
                <w:highlight w:val="none"/>
              </w:rPr>
            </w:pPr>
            <w:r>
              <w:rPr>
                <w:rFonts w:hint="eastAsia"/>
                <w:color w:val="auto"/>
                <w:highlight w:val="none"/>
              </w:rPr>
              <w:t>中级职称</w:t>
            </w:r>
          </w:p>
        </w:tc>
        <w:tc>
          <w:tcPr>
            <w:tcW w:w="1202" w:type="pct"/>
            <w:gridSpan w:val="2"/>
            <w:vMerge w:val="restart"/>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8" w:type="pct"/>
            <w:vAlign w:val="center"/>
          </w:tcPr>
          <w:p>
            <w:pPr>
              <w:jc w:val="center"/>
              <w:rPr>
                <w:color w:val="auto"/>
                <w:highlight w:val="none"/>
              </w:rPr>
            </w:pPr>
            <w:r>
              <w:rPr>
                <w:rFonts w:hint="eastAsia"/>
                <w:color w:val="auto"/>
                <w:highlight w:val="none"/>
              </w:rPr>
              <w:t>开户银行</w:t>
            </w:r>
          </w:p>
        </w:tc>
        <w:tc>
          <w:tcPr>
            <w:tcW w:w="1191" w:type="pct"/>
            <w:gridSpan w:val="3"/>
            <w:vAlign w:val="center"/>
          </w:tcPr>
          <w:p>
            <w:pPr>
              <w:jc w:val="center"/>
              <w:rPr>
                <w:color w:val="auto"/>
                <w:highlight w:val="none"/>
              </w:rPr>
            </w:pPr>
          </w:p>
        </w:tc>
        <w:tc>
          <w:tcPr>
            <w:tcW w:w="456" w:type="pct"/>
            <w:vMerge w:val="continue"/>
            <w:vAlign w:val="center"/>
          </w:tcPr>
          <w:p>
            <w:pPr>
              <w:jc w:val="center"/>
              <w:rPr>
                <w:color w:val="auto"/>
                <w:highlight w:val="none"/>
              </w:rPr>
            </w:pPr>
          </w:p>
        </w:tc>
        <w:tc>
          <w:tcPr>
            <w:tcW w:w="1123" w:type="pct"/>
            <w:gridSpan w:val="3"/>
            <w:vMerge w:val="continue"/>
            <w:vAlign w:val="center"/>
          </w:tcPr>
          <w:p>
            <w:pPr>
              <w:jc w:val="center"/>
              <w:rPr>
                <w:color w:val="auto"/>
                <w:highlight w:val="none"/>
              </w:rPr>
            </w:pPr>
          </w:p>
        </w:tc>
        <w:tc>
          <w:tcPr>
            <w:tcW w:w="1202" w:type="pct"/>
            <w:gridSpan w:val="2"/>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28" w:type="pct"/>
            <w:vAlign w:val="center"/>
          </w:tcPr>
          <w:p>
            <w:pPr>
              <w:jc w:val="center"/>
              <w:rPr>
                <w:color w:val="auto"/>
                <w:highlight w:val="none"/>
              </w:rPr>
            </w:pPr>
            <w:r>
              <w:rPr>
                <w:rFonts w:hint="eastAsia"/>
                <w:color w:val="auto"/>
                <w:highlight w:val="none"/>
              </w:rPr>
              <w:t>账号</w:t>
            </w:r>
          </w:p>
        </w:tc>
        <w:tc>
          <w:tcPr>
            <w:tcW w:w="1191" w:type="pct"/>
            <w:gridSpan w:val="3"/>
            <w:vAlign w:val="center"/>
          </w:tcPr>
          <w:p>
            <w:pPr>
              <w:jc w:val="center"/>
              <w:rPr>
                <w:color w:val="auto"/>
                <w:highlight w:val="none"/>
              </w:rPr>
            </w:pPr>
          </w:p>
        </w:tc>
        <w:tc>
          <w:tcPr>
            <w:tcW w:w="456" w:type="pct"/>
            <w:vMerge w:val="continue"/>
            <w:vAlign w:val="center"/>
          </w:tcPr>
          <w:p>
            <w:pPr>
              <w:jc w:val="center"/>
              <w:rPr>
                <w:color w:val="auto"/>
                <w:highlight w:val="none"/>
              </w:rPr>
            </w:pPr>
          </w:p>
        </w:tc>
        <w:tc>
          <w:tcPr>
            <w:tcW w:w="1123" w:type="pct"/>
            <w:gridSpan w:val="3"/>
            <w:vAlign w:val="center"/>
          </w:tcPr>
          <w:p>
            <w:pPr>
              <w:jc w:val="center"/>
              <w:rPr>
                <w:color w:val="auto"/>
                <w:highlight w:val="none"/>
              </w:rPr>
            </w:pPr>
            <w:r>
              <w:rPr>
                <w:rFonts w:hint="eastAsia"/>
                <w:color w:val="auto"/>
                <w:highlight w:val="none"/>
              </w:rPr>
              <w:t>其他人员</w:t>
            </w:r>
          </w:p>
        </w:tc>
        <w:tc>
          <w:tcPr>
            <w:tcW w:w="1202" w:type="pct"/>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28" w:type="pct"/>
            <w:vAlign w:val="center"/>
          </w:tcPr>
          <w:p>
            <w:pPr>
              <w:jc w:val="center"/>
              <w:rPr>
                <w:color w:val="auto"/>
                <w:highlight w:val="none"/>
              </w:rPr>
            </w:pPr>
            <w:r>
              <w:rPr>
                <w:rFonts w:hint="eastAsia"/>
                <w:color w:val="auto"/>
                <w:highlight w:val="none"/>
              </w:rPr>
              <w:t>经营范围</w:t>
            </w:r>
          </w:p>
        </w:tc>
        <w:tc>
          <w:tcPr>
            <w:tcW w:w="3972" w:type="pct"/>
            <w:gridSpan w:val="9"/>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28" w:type="pct"/>
            <w:vAlign w:val="center"/>
          </w:tcPr>
          <w:p>
            <w:pPr>
              <w:jc w:val="center"/>
              <w:rPr>
                <w:color w:val="auto"/>
                <w:highlight w:val="none"/>
              </w:rPr>
            </w:pPr>
            <w:r>
              <w:rPr>
                <w:rFonts w:hint="eastAsia"/>
                <w:color w:val="auto"/>
                <w:highlight w:val="none"/>
              </w:rPr>
              <w:t>备注</w:t>
            </w:r>
          </w:p>
        </w:tc>
        <w:tc>
          <w:tcPr>
            <w:tcW w:w="3972" w:type="pct"/>
            <w:gridSpan w:val="9"/>
            <w:vAlign w:val="center"/>
          </w:tcPr>
          <w:p>
            <w:pPr>
              <w:jc w:val="center"/>
              <w:rPr>
                <w:color w:val="auto"/>
                <w:highlight w:val="none"/>
              </w:rPr>
            </w:pPr>
          </w:p>
        </w:tc>
      </w:tr>
    </w:tbl>
    <w:p>
      <w:pPr>
        <w:rPr>
          <w:color w:val="auto"/>
          <w:highlight w:val="none"/>
        </w:rPr>
      </w:pPr>
    </w:p>
    <w:p>
      <w:pPr>
        <w:widowControl/>
        <w:jc w:val="center"/>
        <w:rPr>
          <w:rFonts w:cs="宋体"/>
          <w:b/>
          <w:color w:val="auto"/>
          <w:sz w:val="36"/>
          <w:szCs w:val="36"/>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widowControl/>
        <w:jc w:val="center"/>
        <w:rPr>
          <w:color w:val="auto"/>
          <w:highlight w:val="none"/>
        </w:rPr>
      </w:pPr>
      <w:r>
        <w:rPr>
          <w:rFonts w:hint="eastAsia" w:cs="宋体"/>
          <w:b/>
          <w:color w:val="auto"/>
          <w:sz w:val="36"/>
          <w:szCs w:val="36"/>
          <w:highlight w:val="none"/>
        </w:rPr>
        <w:t>中小企业声明函（如有）</w:t>
      </w:r>
    </w:p>
    <w:p>
      <w:pPr>
        <w:widowControl/>
        <w:spacing w:line="440" w:lineRule="exact"/>
        <w:ind w:firstLine="480" w:firstLineChars="200"/>
        <w:jc w:val="left"/>
        <w:rPr>
          <w:rFonts w:cs="宋体"/>
          <w:color w:val="auto"/>
          <w:highlight w:val="none"/>
        </w:rPr>
      </w:pPr>
      <w:r>
        <w:rPr>
          <w:rFonts w:hint="eastAsia" w:cs="宋体"/>
          <w:color w:val="auto"/>
          <w:highlight w:val="none"/>
        </w:rPr>
        <w:t>本公司（联合体）郑重声明，根据《政府采购促进中小企业发展管理办法》（财库﹝2020﹞46号）的规定，本公司（联合体）参加</w:t>
      </w:r>
      <w:r>
        <w:rPr>
          <w:rFonts w:hint="eastAsia" w:cs="宋体"/>
          <w:color w:val="auto"/>
          <w:highlight w:val="none"/>
          <w:u w:val="single"/>
        </w:rPr>
        <w:t xml:space="preserve">  （单位名称）  </w:t>
      </w:r>
      <w:r>
        <w:rPr>
          <w:rFonts w:hint="eastAsia" w:cs="宋体"/>
          <w:color w:val="auto"/>
          <w:highlight w:val="none"/>
        </w:rPr>
        <w:t>的</w:t>
      </w:r>
      <w:r>
        <w:rPr>
          <w:rFonts w:hint="eastAsia" w:cs="宋体"/>
          <w:color w:val="auto"/>
          <w:highlight w:val="none"/>
          <w:u w:val="single"/>
        </w:rPr>
        <w:t xml:space="preserve">  （项目名称）  </w:t>
      </w:r>
      <w:r>
        <w:rPr>
          <w:rFonts w:hint="eastAsia" w:cs="宋体"/>
          <w:color w:val="auto"/>
          <w:highlight w:val="none"/>
        </w:rPr>
        <w:t xml:space="preserve">采购活动，提供的货物（服务）全部由符合政策要求的中小企业制造。相关企业（含联合体中的中小企业、签订分包意向协议的中小企业）的具体情况如下： </w:t>
      </w:r>
    </w:p>
    <w:p>
      <w:pPr>
        <w:widowControl/>
        <w:numPr>
          <w:ilvl w:val="0"/>
          <w:numId w:val="6"/>
        </w:numPr>
        <w:spacing w:line="440" w:lineRule="exact"/>
        <w:ind w:firstLine="480" w:firstLineChars="200"/>
        <w:jc w:val="left"/>
        <w:rPr>
          <w:rFonts w:cs="宋体"/>
          <w:color w:val="auto"/>
          <w:highlight w:val="none"/>
        </w:rPr>
      </w:pPr>
      <w:r>
        <w:rPr>
          <w:rFonts w:hint="eastAsia" w:cs="宋体"/>
          <w:color w:val="auto"/>
          <w:highlight w:val="none"/>
          <w:u w:val="single"/>
        </w:rPr>
        <w:t xml:space="preserve"> （标的名称）  </w:t>
      </w:r>
      <w:r>
        <w:rPr>
          <w:rFonts w:hint="eastAsia" w:cs="宋体"/>
          <w:color w:val="auto"/>
          <w:highlight w:val="none"/>
        </w:rPr>
        <w:t>，属于</w:t>
      </w:r>
      <w:r>
        <w:rPr>
          <w:rFonts w:hint="eastAsia" w:cs="宋体"/>
          <w:color w:val="auto"/>
          <w:highlight w:val="none"/>
          <w:u w:val="single"/>
        </w:rPr>
        <w:t xml:space="preserve">  （采购文件中明确的所属行业） </w:t>
      </w:r>
      <w:r>
        <w:rPr>
          <w:rFonts w:hint="eastAsia" w:cs="宋体"/>
          <w:color w:val="auto"/>
          <w:highlight w:val="none"/>
        </w:rPr>
        <w:t>行业；制造商为</w:t>
      </w:r>
      <w:r>
        <w:rPr>
          <w:rFonts w:hint="eastAsia" w:cs="宋体"/>
          <w:color w:val="auto"/>
          <w:highlight w:val="none"/>
          <w:u w:val="single"/>
        </w:rPr>
        <w:t xml:space="preserve">  （企业名称）  </w:t>
      </w:r>
      <w:r>
        <w:rPr>
          <w:rFonts w:hint="eastAsia" w:cs="宋体"/>
          <w:color w:val="auto"/>
          <w:highlight w:val="none"/>
        </w:rPr>
        <w:t>，从业人员</w:t>
      </w:r>
      <w:r>
        <w:rPr>
          <w:rFonts w:hint="eastAsia" w:cs="宋体"/>
          <w:color w:val="auto"/>
          <w:highlight w:val="none"/>
          <w:u w:val="single"/>
        </w:rPr>
        <w:t xml:space="preserve">       </w:t>
      </w:r>
      <w:r>
        <w:rPr>
          <w:rFonts w:hint="eastAsia" w:cs="宋体"/>
          <w:color w:val="auto"/>
          <w:highlight w:val="none"/>
        </w:rPr>
        <w:t>人，营业收入为</w:t>
      </w:r>
      <w:r>
        <w:rPr>
          <w:rFonts w:hint="eastAsia" w:cs="宋体"/>
          <w:color w:val="auto"/>
          <w:highlight w:val="none"/>
          <w:u w:val="single"/>
        </w:rPr>
        <w:t xml:space="preserve">        </w:t>
      </w:r>
      <w:r>
        <w:rPr>
          <w:rFonts w:hint="eastAsia" w:cs="宋体"/>
          <w:color w:val="auto"/>
          <w:highlight w:val="none"/>
        </w:rPr>
        <w:t>万元，资产总额为</w:t>
      </w:r>
      <w:r>
        <w:rPr>
          <w:rFonts w:hint="eastAsia" w:cs="宋体"/>
          <w:color w:val="auto"/>
          <w:highlight w:val="none"/>
          <w:u w:val="single"/>
        </w:rPr>
        <w:t xml:space="preserve">        </w:t>
      </w:r>
      <w:r>
        <w:rPr>
          <w:rFonts w:hint="eastAsia" w:cs="宋体"/>
          <w:color w:val="auto"/>
          <w:highlight w:val="none"/>
        </w:rPr>
        <w:t>万元</w:t>
      </w:r>
      <w:r>
        <w:rPr>
          <w:rFonts w:hint="eastAsia" w:cs="宋体"/>
          <w:color w:val="auto"/>
          <w:highlight w:val="none"/>
          <w:vertAlign w:val="superscript"/>
        </w:rPr>
        <w:t>1</w:t>
      </w:r>
      <w:r>
        <w:rPr>
          <w:rFonts w:hint="eastAsia" w:cs="宋体"/>
          <w:color w:val="auto"/>
          <w:highlight w:val="none"/>
        </w:rPr>
        <w:t>，属于</w:t>
      </w:r>
      <w:r>
        <w:rPr>
          <w:rFonts w:hint="eastAsia" w:cs="宋体"/>
          <w:color w:val="auto"/>
          <w:highlight w:val="none"/>
          <w:u w:val="single"/>
        </w:rPr>
        <w:t>（中型企业、小型企业、微型企业）</w:t>
      </w:r>
      <w:r>
        <w:rPr>
          <w:rFonts w:hint="eastAsia" w:cs="宋体"/>
          <w:color w:val="auto"/>
          <w:highlight w:val="none"/>
        </w:rPr>
        <w:t xml:space="preserve">； </w:t>
      </w:r>
    </w:p>
    <w:p>
      <w:pPr>
        <w:widowControl/>
        <w:spacing w:line="440" w:lineRule="exact"/>
        <w:ind w:left="480" w:leftChars="200"/>
        <w:jc w:val="left"/>
        <w:rPr>
          <w:rFonts w:cs="宋体"/>
          <w:color w:val="auto"/>
          <w:highlight w:val="none"/>
        </w:rPr>
      </w:pPr>
    </w:p>
    <w:p>
      <w:pPr>
        <w:widowControl/>
        <w:spacing w:line="440" w:lineRule="exact"/>
        <w:ind w:firstLine="480" w:firstLineChars="200"/>
        <w:jc w:val="left"/>
        <w:rPr>
          <w:rFonts w:cs="宋体"/>
          <w:color w:val="auto"/>
          <w:highlight w:val="none"/>
        </w:rPr>
      </w:pPr>
      <w:r>
        <w:rPr>
          <w:rFonts w:hint="eastAsia" w:cs="宋体"/>
          <w:color w:val="auto"/>
          <w:highlight w:val="none"/>
        </w:rPr>
        <w:t>以上企业，不属于大企业的分支机构，不存在控股股东为大企业的情形，也不存在与大企业的负责人为同一人的情形。</w:t>
      </w:r>
    </w:p>
    <w:p>
      <w:pPr>
        <w:widowControl/>
        <w:spacing w:line="440" w:lineRule="exact"/>
        <w:ind w:firstLine="480" w:firstLineChars="200"/>
        <w:jc w:val="left"/>
        <w:rPr>
          <w:rFonts w:cs="宋体"/>
          <w:color w:val="auto"/>
          <w:highlight w:val="none"/>
        </w:rPr>
      </w:pPr>
      <w:r>
        <w:rPr>
          <w:rFonts w:hint="eastAsia" w:cs="宋体"/>
          <w:color w:val="auto"/>
          <w:highlight w:val="none"/>
        </w:rPr>
        <w:t xml:space="preserve">本企业对上述声明内容的真实性负责。如有虚假，将依法承担相应责任。 </w:t>
      </w:r>
    </w:p>
    <w:p>
      <w:pPr>
        <w:widowControl/>
        <w:spacing w:line="440" w:lineRule="exact"/>
        <w:jc w:val="left"/>
        <w:rPr>
          <w:rFonts w:cs="宋体"/>
          <w:color w:val="auto"/>
          <w:highlight w:val="none"/>
        </w:rPr>
      </w:pPr>
    </w:p>
    <w:p>
      <w:pPr>
        <w:widowControl/>
        <w:spacing w:line="440" w:lineRule="exact"/>
        <w:jc w:val="left"/>
        <w:rPr>
          <w:rFonts w:cs="宋体"/>
          <w:color w:val="auto"/>
          <w:highlight w:val="none"/>
        </w:rPr>
      </w:pPr>
    </w:p>
    <w:p>
      <w:pPr>
        <w:widowControl/>
        <w:spacing w:line="440" w:lineRule="exact"/>
        <w:jc w:val="left"/>
        <w:rPr>
          <w:rFonts w:cs="宋体"/>
          <w:color w:val="auto"/>
          <w:highlight w:val="none"/>
        </w:rPr>
      </w:pPr>
    </w:p>
    <w:p>
      <w:pPr>
        <w:widowControl/>
        <w:spacing w:line="440" w:lineRule="exact"/>
        <w:ind w:firstLine="4800" w:firstLineChars="2000"/>
        <w:jc w:val="left"/>
        <w:rPr>
          <w:rFonts w:cs="宋体"/>
          <w:color w:val="auto"/>
          <w:highlight w:val="none"/>
        </w:rPr>
      </w:pPr>
      <w:r>
        <w:rPr>
          <w:rFonts w:hint="eastAsia" w:cs="宋体"/>
          <w:color w:val="auto"/>
          <w:highlight w:val="none"/>
        </w:rPr>
        <w:t xml:space="preserve">企业名称（盖章）： </w:t>
      </w:r>
    </w:p>
    <w:p>
      <w:pPr>
        <w:widowControl/>
        <w:spacing w:line="440" w:lineRule="exact"/>
        <w:jc w:val="left"/>
        <w:rPr>
          <w:rFonts w:cs="宋体"/>
          <w:color w:val="auto"/>
          <w:highlight w:val="none"/>
        </w:rPr>
      </w:pPr>
    </w:p>
    <w:p>
      <w:pPr>
        <w:widowControl/>
        <w:spacing w:line="440" w:lineRule="exact"/>
        <w:ind w:firstLine="4800" w:firstLineChars="2000"/>
        <w:jc w:val="left"/>
        <w:rPr>
          <w:rFonts w:cs="宋体"/>
          <w:color w:val="auto"/>
          <w:highlight w:val="none"/>
        </w:rPr>
      </w:pPr>
      <w:r>
        <w:rPr>
          <w:rFonts w:hint="eastAsia" w:cs="宋体"/>
          <w:color w:val="auto"/>
          <w:highlight w:val="none"/>
        </w:rPr>
        <w:t xml:space="preserve">日 期： </w:t>
      </w:r>
    </w:p>
    <w:p>
      <w:pPr>
        <w:rPr>
          <w:color w:val="auto"/>
          <w:highlight w:val="none"/>
        </w:rPr>
      </w:pPr>
    </w:p>
    <w:p>
      <w:pPr>
        <w:rPr>
          <w:color w:val="auto"/>
          <w:highlight w:val="none"/>
        </w:rPr>
      </w:pPr>
    </w:p>
    <w:p>
      <w:pPr>
        <w:autoSpaceDE w:val="0"/>
        <w:autoSpaceDN w:val="0"/>
        <w:spacing w:line="500" w:lineRule="exact"/>
        <w:ind w:left="360" w:right="246" w:hanging="360" w:hangingChars="150"/>
        <w:rPr>
          <w:rFonts w:cs="宋体"/>
          <w:color w:val="auto"/>
          <w:highlight w:val="none"/>
        </w:rPr>
      </w:pPr>
      <w:r>
        <w:rPr>
          <w:rFonts w:hint="eastAsia" w:cs="宋体"/>
          <w:color w:val="auto"/>
          <w:highlight w:val="none"/>
        </w:rPr>
        <w:t>注:从业人员、营业收入、资产总额填报上一年度数据，无上一年度数据的新成立企业可不填报</w:t>
      </w:r>
    </w:p>
    <w:p>
      <w:pPr>
        <w:pStyle w:val="30"/>
        <w:rPr>
          <w:color w:val="auto"/>
          <w:highlight w:val="none"/>
        </w:rPr>
      </w:pPr>
    </w:p>
    <w:p>
      <w:pPr>
        <w:pStyle w:val="29"/>
        <w:ind w:firstLine="420"/>
        <w:rPr>
          <w:color w:val="auto"/>
          <w:highlight w:val="none"/>
        </w:rPr>
      </w:pPr>
    </w:p>
    <w:p>
      <w:pPr>
        <w:rPr>
          <w:color w:val="auto"/>
          <w:highlight w:val="none"/>
        </w:rPr>
      </w:pPr>
    </w:p>
    <w:p>
      <w:pPr>
        <w:pStyle w:val="4"/>
        <w:rPr>
          <w:color w:val="auto"/>
          <w:highlight w:val="none"/>
        </w:rPr>
      </w:pPr>
    </w:p>
    <w:p>
      <w:pPr>
        <w:pStyle w:val="7"/>
        <w:rPr>
          <w:color w:val="auto"/>
          <w:highlight w:val="none"/>
        </w:rPr>
      </w:pPr>
      <w:r>
        <w:rPr>
          <w:color w:val="auto"/>
          <w:highlight w:val="none"/>
        </w:rPr>
        <w:br w:type="page"/>
      </w:r>
    </w:p>
    <w:p>
      <w:pPr>
        <w:pStyle w:val="7"/>
        <w:rPr>
          <w:color w:val="auto"/>
          <w:highlight w:val="none"/>
        </w:rPr>
      </w:pPr>
    </w:p>
    <w:p>
      <w:pPr>
        <w:pStyle w:val="46"/>
        <w:snapToGrid w:val="0"/>
        <w:spacing w:line="360" w:lineRule="atLeast"/>
        <w:jc w:val="center"/>
        <w:outlineLvl w:val="1"/>
        <w:rPr>
          <w:rFonts w:ascii="宋体" w:hAnsi="宋体"/>
          <w:b/>
          <w:color w:val="auto"/>
          <w:sz w:val="30"/>
          <w:szCs w:val="30"/>
          <w:highlight w:val="none"/>
        </w:rPr>
      </w:pPr>
      <w:r>
        <w:rPr>
          <w:rFonts w:hint="eastAsia" w:ascii="宋体" w:hAnsi="宋体"/>
          <w:b/>
          <w:color w:val="auto"/>
          <w:sz w:val="30"/>
          <w:szCs w:val="30"/>
          <w:highlight w:val="none"/>
        </w:rPr>
        <w:t>政府采购诚信承诺书</w:t>
      </w:r>
    </w:p>
    <w:p>
      <w:pPr>
        <w:pStyle w:val="7"/>
        <w:jc w:val="left"/>
        <w:rPr>
          <w:bCs/>
          <w:color w:val="auto"/>
          <w:highlight w:val="none"/>
        </w:rPr>
      </w:pPr>
      <w:r>
        <w:rPr>
          <w:rFonts w:hint="eastAsia"/>
          <w:bCs/>
          <w:color w:val="auto"/>
          <w:highlight w:val="none"/>
          <w:u w:val="single"/>
        </w:rPr>
        <w:t>（采购人</w:t>
      </w:r>
      <w:r>
        <w:rPr>
          <w:rFonts w:hint="eastAsia"/>
          <w:bCs/>
          <w:color w:val="auto"/>
          <w:highlight w:val="none"/>
        </w:rPr>
        <w:t>）:</w:t>
      </w:r>
    </w:p>
    <w:p>
      <w:pPr>
        <w:pStyle w:val="7"/>
        <w:ind w:firstLine="720" w:firstLineChars="300"/>
        <w:rPr>
          <w:bCs/>
          <w:color w:val="auto"/>
          <w:highlight w:val="none"/>
        </w:rPr>
      </w:pPr>
      <w:r>
        <w:rPr>
          <w:rFonts w:hint="eastAsia"/>
          <w:bCs/>
          <w:color w:val="auto"/>
          <w:highlight w:val="none"/>
        </w:rPr>
        <w:t>我公司</w:t>
      </w:r>
      <w:r>
        <w:rPr>
          <w:rFonts w:hint="eastAsia"/>
          <w:bCs/>
          <w:color w:val="auto"/>
          <w:highlight w:val="none"/>
          <w:u w:val="single"/>
        </w:rPr>
        <w:t xml:space="preserve">          </w:t>
      </w:r>
      <w:r>
        <w:rPr>
          <w:rFonts w:hint="eastAsia"/>
          <w:bCs/>
          <w:color w:val="auto"/>
          <w:highlight w:val="none"/>
        </w:rPr>
        <w:t xml:space="preserve">（投标人名称）已详细阅读了 </w:t>
      </w:r>
      <w:r>
        <w:rPr>
          <w:rFonts w:hint="eastAsia"/>
          <w:bCs/>
          <w:color w:val="auto"/>
          <w:highlight w:val="none"/>
          <w:u w:val="single"/>
        </w:rPr>
        <w:t xml:space="preserve">        项目（项目编号： ）</w:t>
      </w:r>
      <w:r>
        <w:rPr>
          <w:rFonts w:hint="eastAsia"/>
          <w:bCs/>
          <w:color w:val="auto"/>
          <w:highlight w:val="none"/>
        </w:rPr>
        <w:t>招标文件，自愿参加本次投标，现就有关事项做出郑重承诺如下：</w:t>
      </w:r>
    </w:p>
    <w:p>
      <w:pPr>
        <w:pStyle w:val="7"/>
        <w:jc w:val="left"/>
        <w:rPr>
          <w:bCs/>
          <w:color w:val="auto"/>
          <w:highlight w:val="none"/>
        </w:rPr>
      </w:pPr>
      <w:r>
        <w:rPr>
          <w:rFonts w:hint="eastAsia"/>
          <w:bCs/>
          <w:color w:val="auto"/>
          <w:highlight w:val="none"/>
        </w:rPr>
        <w:t>一、诚信投标，材料真实。我公司保证所提供的全部材料、投标内容均真实、合法、有效，保证不出借或者借用其他企资质，不以他人名义投标，不弄虛作假。</w:t>
      </w:r>
    </w:p>
    <w:p>
      <w:pPr>
        <w:pStyle w:val="7"/>
        <w:jc w:val="center"/>
        <w:rPr>
          <w:bCs/>
          <w:color w:val="auto"/>
          <w:highlight w:val="none"/>
        </w:rPr>
      </w:pPr>
      <w:r>
        <w:rPr>
          <w:rFonts w:hint="eastAsia"/>
          <w:bCs/>
          <w:color w:val="auto"/>
          <w:highlight w:val="none"/>
        </w:rPr>
        <w:t>二、遵纪守法，公平竞争。不与其他投标人相互串通、哄抬价格，不排挤其他投标人不</w:t>
      </w:r>
    </w:p>
    <w:p>
      <w:pPr>
        <w:pStyle w:val="7"/>
        <w:jc w:val="left"/>
        <w:rPr>
          <w:bCs/>
          <w:color w:val="auto"/>
          <w:highlight w:val="none"/>
        </w:rPr>
      </w:pPr>
      <w:r>
        <w:rPr>
          <w:rFonts w:hint="eastAsia"/>
          <w:bCs/>
          <w:color w:val="auto"/>
          <w:highlight w:val="none"/>
        </w:rPr>
        <w:t>损害采购人的合法权益；不向评标委员会、采购人提供利益以牟取中标。</w:t>
      </w:r>
    </w:p>
    <w:p>
      <w:pPr>
        <w:pStyle w:val="7"/>
        <w:jc w:val="left"/>
        <w:rPr>
          <w:bCs/>
          <w:color w:val="auto"/>
          <w:highlight w:val="none"/>
        </w:rPr>
      </w:pPr>
      <w:r>
        <w:rPr>
          <w:rFonts w:hint="eastAsia"/>
          <w:bCs/>
          <w:color w:val="auto"/>
          <w:highlight w:val="none"/>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pPr>
        <w:pStyle w:val="7"/>
        <w:jc w:val="left"/>
        <w:rPr>
          <w:bCs/>
          <w:color w:val="auto"/>
          <w:highlight w:val="none"/>
        </w:rPr>
      </w:pPr>
      <w:r>
        <w:rPr>
          <w:rFonts w:hint="eastAsia"/>
          <w:bCs/>
          <w:color w:val="auto"/>
          <w:highlight w:val="none"/>
        </w:rPr>
        <w:t xml:space="preserve">    若有违反以上承诺内容的行为，我公司自愿接受取消投标资格、记入信用档案、没收履约保证金、媒体通报、1-3年内禁止参与政府采购等处罚；如已中标的，自动放弃中标资格，并承担全部法律责任；给采购人造成损失的，依法承担赔偿责任。</w:t>
      </w:r>
    </w:p>
    <w:p>
      <w:pPr>
        <w:pStyle w:val="7"/>
        <w:jc w:val="center"/>
        <w:rPr>
          <w:bCs/>
          <w:color w:val="auto"/>
          <w:highlight w:val="none"/>
        </w:rPr>
      </w:pPr>
    </w:p>
    <w:p>
      <w:pPr>
        <w:pStyle w:val="7"/>
        <w:jc w:val="center"/>
        <w:rPr>
          <w:bCs/>
          <w:color w:val="auto"/>
          <w:highlight w:val="none"/>
        </w:rPr>
      </w:pPr>
      <w:r>
        <w:rPr>
          <w:rFonts w:hint="eastAsia"/>
          <w:bCs/>
          <w:color w:val="auto"/>
          <w:highlight w:val="none"/>
        </w:rPr>
        <w:t>投标人名称（公章）:</w:t>
      </w:r>
    </w:p>
    <w:p>
      <w:pPr>
        <w:pStyle w:val="7"/>
        <w:jc w:val="center"/>
        <w:rPr>
          <w:bCs/>
          <w:color w:val="auto"/>
          <w:highlight w:val="none"/>
        </w:rPr>
      </w:pPr>
      <w:r>
        <w:rPr>
          <w:rFonts w:hint="eastAsia"/>
          <w:bCs/>
          <w:color w:val="auto"/>
          <w:highlight w:val="none"/>
        </w:rPr>
        <w:t>法定代表人（签字或盖章）:</w:t>
      </w:r>
    </w:p>
    <w:p>
      <w:pPr>
        <w:pStyle w:val="7"/>
        <w:jc w:val="center"/>
        <w:rPr>
          <w:bCs/>
          <w:color w:val="auto"/>
          <w:highlight w:val="none"/>
        </w:rPr>
      </w:pPr>
      <w:r>
        <w:rPr>
          <w:rFonts w:hint="eastAsia"/>
          <w:bCs/>
          <w:color w:val="auto"/>
          <w:highlight w:val="none"/>
        </w:rPr>
        <w:t>日期：    年  月   日</w:t>
      </w:r>
    </w:p>
    <w:p>
      <w:pPr>
        <w:pStyle w:val="7"/>
        <w:jc w:val="center"/>
        <w:rPr>
          <w:b/>
          <w:color w:val="auto"/>
          <w:highlight w:val="none"/>
        </w:rPr>
      </w:pPr>
      <w:r>
        <w:rPr>
          <w:b/>
          <w:color w:val="auto"/>
          <w:highlight w:val="none"/>
        </w:rPr>
        <w:br w:type="page"/>
      </w:r>
    </w:p>
    <w:p>
      <w:pPr>
        <w:pStyle w:val="5"/>
        <w:spacing w:line="360" w:lineRule="exact"/>
        <w:ind w:firstLine="0" w:firstLineChars="0"/>
        <w:jc w:val="center"/>
        <w:rPr>
          <w:rFonts w:hAnsi="宋体" w:eastAsia="宋体" w:cs="宋体"/>
          <w:b/>
          <w:bCs/>
          <w:color w:val="auto"/>
          <w:sz w:val="28"/>
          <w:szCs w:val="28"/>
          <w:highlight w:val="none"/>
        </w:rPr>
      </w:pPr>
      <w:r>
        <w:rPr>
          <w:rFonts w:hint="eastAsia" w:hAnsi="宋体" w:eastAsia="宋体" w:cs="宋体"/>
          <w:b/>
          <w:bCs/>
          <w:color w:val="auto"/>
          <w:sz w:val="28"/>
          <w:szCs w:val="28"/>
          <w:highlight w:val="none"/>
        </w:rPr>
        <w:t>投标人认为有必要提供的其他证明文件。</w:t>
      </w:r>
    </w:p>
    <w:p>
      <w:pPr>
        <w:pStyle w:val="7"/>
        <w:rPr>
          <w:color w:val="auto"/>
          <w:highlight w:val="none"/>
        </w:rPr>
      </w:pPr>
    </w:p>
    <w:p>
      <w:pPr>
        <w:pStyle w:val="4"/>
        <w:rPr>
          <w:color w:val="auto"/>
          <w:highlight w:val="none"/>
        </w:rPr>
      </w:pPr>
    </w:p>
    <w:sectPr>
      <w:pgSz w:w="11906" w:h="16838"/>
      <w:pgMar w:top="1440" w:right="1417" w:bottom="1440" w:left="1417"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PowerPlusWaterMarkObject40189" o:spid="_x0000_s2049" o:spt="136" type="#_x0000_t136" style="position:absolute;left:0pt;height:54.7pt;width:586.5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新疆登冠工程项目管理有限公司"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CBEAC"/>
    <w:multiLevelType w:val="singleLevel"/>
    <w:tmpl w:val="E17CBEAC"/>
    <w:lvl w:ilvl="0" w:tentative="0">
      <w:start w:val="1"/>
      <w:numFmt w:val="decimal"/>
      <w:suff w:val="space"/>
      <w:lvlText w:val="%1."/>
      <w:lvlJc w:val="left"/>
    </w:lvl>
  </w:abstractNum>
  <w:abstractNum w:abstractNumId="1">
    <w:nsid w:val="FB402666"/>
    <w:multiLevelType w:val="singleLevel"/>
    <w:tmpl w:val="FB402666"/>
    <w:lvl w:ilvl="0" w:tentative="0">
      <w:start w:val="1"/>
      <w:numFmt w:val="decimal"/>
      <w:suff w:val="nothing"/>
      <w:lvlText w:val="%1、"/>
      <w:lvlJc w:val="left"/>
    </w:lvl>
  </w:abstractNum>
  <w:abstractNum w:abstractNumId="2">
    <w:nsid w:val="FFFFFF88"/>
    <w:multiLevelType w:val="singleLevel"/>
    <w:tmpl w:val="FFFFFF88"/>
    <w:lvl w:ilvl="0" w:tentative="0">
      <w:start w:val="1"/>
      <w:numFmt w:val="decimal"/>
      <w:lvlText w:val="%1."/>
      <w:lvlJc w:val="left"/>
      <w:pPr>
        <w:tabs>
          <w:tab w:val="left" w:pos="360"/>
        </w:tabs>
        <w:ind w:left="360" w:hanging="360"/>
      </w:pPr>
    </w:lvl>
  </w:abstractNum>
  <w:abstractNum w:abstractNumId="3">
    <w:nsid w:val="304A4D65"/>
    <w:multiLevelType w:val="multilevel"/>
    <w:tmpl w:val="304A4D65"/>
    <w:lvl w:ilvl="0" w:tentative="0">
      <w:start w:val="3"/>
      <w:numFmt w:val="japaneseCounting"/>
      <w:lvlText w:val="第%1章"/>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453B3942"/>
    <w:multiLevelType w:val="multilevel"/>
    <w:tmpl w:val="453B3942"/>
    <w:lvl w:ilvl="0" w:tentative="0">
      <w:start w:val="1"/>
      <w:numFmt w:val="decimal"/>
      <w:lvlText w:val="第%1章"/>
      <w:lvlJc w:val="left"/>
      <w:pPr>
        <w:tabs>
          <w:tab w:val="left" w:pos="851"/>
        </w:tabs>
        <w:ind w:left="0" w:firstLine="0"/>
      </w:pPr>
      <w:rPr>
        <w:rFonts w:hint="eastAsia"/>
      </w:rPr>
    </w:lvl>
    <w:lvl w:ilvl="1" w:tentative="0">
      <w:start w:val="1"/>
      <w:numFmt w:val="decimalZero"/>
      <w:isLgl/>
      <w:lvlText w:val="节 %1.%2"/>
      <w:lvlJc w:val="left"/>
      <w:pPr>
        <w:tabs>
          <w:tab w:val="left" w:pos="720"/>
        </w:tabs>
        <w:ind w:left="0" w:firstLine="0"/>
      </w:pPr>
      <w:rPr>
        <w:rFonts w:hint="eastAsia"/>
      </w:rPr>
    </w:lvl>
    <w:lvl w:ilvl="2" w:tentative="0">
      <w:start w:val="1"/>
      <w:numFmt w:val="lowerLetter"/>
      <w:pStyle w:val="42"/>
      <w:lvlText w:val="(%3)"/>
      <w:lvlJc w:val="left"/>
      <w:pPr>
        <w:tabs>
          <w:tab w:val="left" w:pos="720"/>
        </w:tabs>
        <w:ind w:left="720" w:hanging="432"/>
      </w:pPr>
      <w:rPr>
        <w:rFonts w:hint="eastAsia"/>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5">
    <w:nsid w:val="5734586F"/>
    <w:multiLevelType w:val="singleLevel"/>
    <w:tmpl w:val="5734586F"/>
    <w:lvl w:ilvl="0" w:tentative="0">
      <w:start w:val="1"/>
      <w:numFmt w:val="decimal"/>
      <w:suff w:val="nothing"/>
      <w:lvlText w:val="（%1）"/>
      <w:lvlJc w:val="left"/>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writeProtection w:cryptProviderType="rsaFull" w:cryptAlgorithmClass="hash" w:cryptAlgorithmType="typeAny" w:cryptAlgorithmSid="4" w:cryptSpinCount="100000" w:hash="5UO5iIhM9qV2xPg89yMlK/qP4DI=" w:salt="kBO1tH78UzrW3A0OO5y3iA=="/>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YTQ0YWVkMjczZTE3NDkyMjM2ZDlmODhjZTk3OWQifQ=="/>
  </w:docVars>
  <w:rsids>
    <w:rsidRoot w:val="420F0742"/>
    <w:rsid w:val="0000254F"/>
    <w:rsid w:val="00003062"/>
    <w:rsid w:val="000062D7"/>
    <w:rsid w:val="00007F51"/>
    <w:rsid w:val="000125AC"/>
    <w:rsid w:val="0001776D"/>
    <w:rsid w:val="0002300D"/>
    <w:rsid w:val="0002391F"/>
    <w:rsid w:val="000243FC"/>
    <w:rsid w:val="0002461D"/>
    <w:rsid w:val="000338B4"/>
    <w:rsid w:val="00033EF8"/>
    <w:rsid w:val="0004343D"/>
    <w:rsid w:val="00044144"/>
    <w:rsid w:val="0005147A"/>
    <w:rsid w:val="000524BB"/>
    <w:rsid w:val="00062DF7"/>
    <w:rsid w:val="000636F4"/>
    <w:rsid w:val="000657EA"/>
    <w:rsid w:val="00065908"/>
    <w:rsid w:val="00072C99"/>
    <w:rsid w:val="00075A9F"/>
    <w:rsid w:val="00076BDA"/>
    <w:rsid w:val="000800A0"/>
    <w:rsid w:val="000819F3"/>
    <w:rsid w:val="000854A4"/>
    <w:rsid w:val="00091C34"/>
    <w:rsid w:val="00097FE7"/>
    <w:rsid w:val="000A42F3"/>
    <w:rsid w:val="000A734E"/>
    <w:rsid w:val="000B2CCA"/>
    <w:rsid w:val="000B4A7E"/>
    <w:rsid w:val="000B5DFF"/>
    <w:rsid w:val="000B5F16"/>
    <w:rsid w:val="000C584F"/>
    <w:rsid w:val="000D25A4"/>
    <w:rsid w:val="000E0062"/>
    <w:rsid w:val="000F3134"/>
    <w:rsid w:val="000F32B7"/>
    <w:rsid w:val="000F4409"/>
    <w:rsid w:val="000F615E"/>
    <w:rsid w:val="00101649"/>
    <w:rsid w:val="00102497"/>
    <w:rsid w:val="001026A7"/>
    <w:rsid w:val="001047EE"/>
    <w:rsid w:val="001049CC"/>
    <w:rsid w:val="0010691C"/>
    <w:rsid w:val="0010709D"/>
    <w:rsid w:val="00107909"/>
    <w:rsid w:val="00110A97"/>
    <w:rsid w:val="0011398E"/>
    <w:rsid w:val="001161F6"/>
    <w:rsid w:val="00121C3C"/>
    <w:rsid w:val="00127002"/>
    <w:rsid w:val="00133C73"/>
    <w:rsid w:val="00135D0E"/>
    <w:rsid w:val="00150506"/>
    <w:rsid w:val="001531AC"/>
    <w:rsid w:val="00163DFB"/>
    <w:rsid w:val="001651D0"/>
    <w:rsid w:val="001651D2"/>
    <w:rsid w:val="001663BB"/>
    <w:rsid w:val="00170011"/>
    <w:rsid w:val="00185CC7"/>
    <w:rsid w:val="0018600E"/>
    <w:rsid w:val="00186280"/>
    <w:rsid w:val="001908D0"/>
    <w:rsid w:val="001A2ADE"/>
    <w:rsid w:val="001A5D84"/>
    <w:rsid w:val="001A6A71"/>
    <w:rsid w:val="001B5E02"/>
    <w:rsid w:val="001B6F37"/>
    <w:rsid w:val="001C18E1"/>
    <w:rsid w:val="001C223D"/>
    <w:rsid w:val="001C4462"/>
    <w:rsid w:val="001C4729"/>
    <w:rsid w:val="001C52A6"/>
    <w:rsid w:val="001C6DCC"/>
    <w:rsid w:val="001D001F"/>
    <w:rsid w:val="001D3659"/>
    <w:rsid w:val="001D5EE3"/>
    <w:rsid w:val="001D7EFA"/>
    <w:rsid w:val="001E07FC"/>
    <w:rsid w:val="001E66C3"/>
    <w:rsid w:val="001F1B66"/>
    <w:rsid w:val="001F2A42"/>
    <w:rsid w:val="0020747B"/>
    <w:rsid w:val="00210F91"/>
    <w:rsid w:val="00215010"/>
    <w:rsid w:val="00223BEC"/>
    <w:rsid w:val="00232705"/>
    <w:rsid w:val="00233CFE"/>
    <w:rsid w:val="002346EC"/>
    <w:rsid w:val="002366FC"/>
    <w:rsid w:val="0024046B"/>
    <w:rsid w:val="00243F18"/>
    <w:rsid w:val="00255B05"/>
    <w:rsid w:val="00256B64"/>
    <w:rsid w:val="002621A4"/>
    <w:rsid w:val="00262CC2"/>
    <w:rsid w:val="0027092D"/>
    <w:rsid w:val="00274F36"/>
    <w:rsid w:val="00277EA3"/>
    <w:rsid w:val="00277F64"/>
    <w:rsid w:val="002805F7"/>
    <w:rsid w:val="00281B98"/>
    <w:rsid w:val="00282EE6"/>
    <w:rsid w:val="002839C4"/>
    <w:rsid w:val="002843DA"/>
    <w:rsid w:val="002873C9"/>
    <w:rsid w:val="00291D26"/>
    <w:rsid w:val="002925BF"/>
    <w:rsid w:val="002A19A1"/>
    <w:rsid w:val="002A3395"/>
    <w:rsid w:val="002A3C4C"/>
    <w:rsid w:val="002A7FB4"/>
    <w:rsid w:val="002B2A16"/>
    <w:rsid w:val="002B3ACF"/>
    <w:rsid w:val="002B53D6"/>
    <w:rsid w:val="002E5970"/>
    <w:rsid w:val="002F2B60"/>
    <w:rsid w:val="00317387"/>
    <w:rsid w:val="0032249D"/>
    <w:rsid w:val="00322AA7"/>
    <w:rsid w:val="00322B3F"/>
    <w:rsid w:val="003257FE"/>
    <w:rsid w:val="00331841"/>
    <w:rsid w:val="00335E4E"/>
    <w:rsid w:val="00342D57"/>
    <w:rsid w:val="00345EB8"/>
    <w:rsid w:val="003474EE"/>
    <w:rsid w:val="003514DD"/>
    <w:rsid w:val="00354961"/>
    <w:rsid w:val="00357706"/>
    <w:rsid w:val="00373256"/>
    <w:rsid w:val="00375F0F"/>
    <w:rsid w:val="003762B7"/>
    <w:rsid w:val="003778E6"/>
    <w:rsid w:val="003809BD"/>
    <w:rsid w:val="00386F0A"/>
    <w:rsid w:val="00392BA0"/>
    <w:rsid w:val="003939D6"/>
    <w:rsid w:val="0039520B"/>
    <w:rsid w:val="003A0806"/>
    <w:rsid w:val="003A15D3"/>
    <w:rsid w:val="003C38DD"/>
    <w:rsid w:val="003C64B3"/>
    <w:rsid w:val="003D5A5C"/>
    <w:rsid w:val="003D5CF2"/>
    <w:rsid w:val="003E1F4B"/>
    <w:rsid w:val="003E3151"/>
    <w:rsid w:val="003E5D7D"/>
    <w:rsid w:val="003E648F"/>
    <w:rsid w:val="003E7BF1"/>
    <w:rsid w:val="003F088A"/>
    <w:rsid w:val="00400220"/>
    <w:rsid w:val="00402229"/>
    <w:rsid w:val="00417345"/>
    <w:rsid w:val="00427C3F"/>
    <w:rsid w:val="004320E2"/>
    <w:rsid w:val="0043347C"/>
    <w:rsid w:val="0045231D"/>
    <w:rsid w:val="00462DAD"/>
    <w:rsid w:val="0046702A"/>
    <w:rsid w:val="0047422E"/>
    <w:rsid w:val="00475D4B"/>
    <w:rsid w:val="004775D9"/>
    <w:rsid w:val="00481B9D"/>
    <w:rsid w:val="004859D8"/>
    <w:rsid w:val="00487B24"/>
    <w:rsid w:val="00491E26"/>
    <w:rsid w:val="00494777"/>
    <w:rsid w:val="00494958"/>
    <w:rsid w:val="004A2E99"/>
    <w:rsid w:val="004A5651"/>
    <w:rsid w:val="004A6151"/>
    <w:rsid w:val="004B6B5B"/>
    <w:rsid w:val="004C1353"/>
    <w:rsid w:val="004C3230"/>
    <w:rsid w:val="004C46D2"/>
    <w:rsid w:val="004C7E4C"/>
    <w:rsid w:val="004D15F5"/>
    <w:rsid w:val="004D3F74"/>
    <w:rsid w:val="004D61FD"/>
    <w:rsid w:val="004D650B"/>
    <w:rsid w:val="004E25F0"/>
    <w:rsid w:val="004E5433"/>
    <w:rsid w:val="004E65AE"/>
    <w:rsid w:val="00505000"/>
    <w:rsid w:val="005140F2"/>
    <w:rsid w:val="005214FE"/>
    <w:rsid w:val="00531DC2"/>
    <w:rsid w:val="0055125C"/>
    <w:rsid w:val="005529FD"/>
    <w:rsid w:val="00562A30"/>
    <w:rsid w:val="0056598B"/>
    <w:rsid w:val="00570030"/>
    <w:rsid w:val="00574AEC"/>
    <w:rsid w:val="005875BA"/>
    <w:rsid w:val="00595C1E"/>
    <w:rsid w:val="005B43C3"/>
    <w:rsid w:val="005B7C62"/>
    <w:rsid w:val="005C65D6"/>
    <w:rsid w:val="005D1BCC"/>
    <w:rsid w:val="005D48C4"/>
    <w:rsid w:val="005E429E"/>
    <w:rsid w:val="005E7D6D"/>
    <w:rsid w:val="005F0013"/>
    <w:rsid w:val="005F13EB"/>
    <w:rsid w:val="005F7197"/>
    <w:rsid w:val="00607163"/>
    <w:rsid w:val="00610CC1"/>
    <w:rsid w:val="00612CAE"/>
    <w:rsid w:val="006169B8"/>
    <w:rsid w:val="00622E99"/>
    <w:rsid w:val="00623CBF"/>
    <w:rsid w:val="00630681"/>
    <w:rsid w:val="00634A80"/>
    <w:rsid w:val="00637C15"/>
    <w:rsid w:val="00642B50"/>
    <w:rsid w:val="0064335C"/>
    <w:rsid w:val="00643A9F"/>
    <w:rsid w:val="00661216"/>
    <w:rsid w:val="006617E5"/>
    <w:rsid w:val="00667C46"/>
    <w:rsid w:val="00671AB6"/>
    <w:rsid w:val="00673652"/>
    <w:rsid w:val="0067439D"/>
    <w:rsid w:val="006810CE"/>
    <w:rsid w:val="006817FE"/>
    <w:rsid w:val="00684EE7"/>
    <w:rsid w:val="00686E9D"/>
    <w:rsid w:val="00687E0B"/>
    <w:rsid w:val="00691A21"/>
    <w:rsid w:val="006A1284"/>
    <w:rsid w:val="006A2173"/>
    <w:rsid w:val="006B1F04"/>
    <w:rsid w:val="006B79B5"/>
    <w:rsid w:val="006C3DEA"/>
    <w:rsid w:val="006C4CF9"/>
    <w:rsid w:val="006D23F0"/>
    <w:rsid w:val="006D6818"/>
    <w:rsid w:val="006D6AA7"/>
    <w:rsid w:val="006D75E7"/>
    <w:rsid w:val="006E154D"/>
    <w:rsid w:val="006E27DE"/>
    <w:rsid w:val="006E434D"/>
    <w:rsid w:val="006E5FDB"/>
    <w:rsid w:val="006F0F16"/>
    <w:rsid w:val="006F3C8D"/>
    <w:rsid w:val="007006E9"/>
    <w:rsid w:val="007034EE"/>
    <w:rsid w:val="00706EC5"/>
    <w:rsid w:val="0071217F"/>
    <w:rsid w:val="00715CF5"/>
    <w:rsid w:val="00724C0A"/>
    <w:rsid w:val="00724DE9"/>
    <w:rsid w:val="00726995"/>
    <w:rsid w:val="00734AB2"/>
    <w:rsid w:val="00737283"/>
    <w:rsid w:val="00742D22"/>
    <w:rsid w:val="00751547"/>
    <w:rsid w:val="007533B2"/>
    <w:rsid w:val="00753D20"/>
    <w:rsid w:val="00755494"/>
    <w:rsid w:val="00761053"/>
    <w:rsid w:val="007618D6"/>
    <w:rsid w:val="00761EAF"/>
    <w:rsid w:val="00766131"/>
    <w:rsid w:val="00771610"/>
    <w:rsid w:val="0077513D"/>
    <w:rsid w:val="0077720C"/>
    <w:rsid w:val="00777D35"/>
    <w:rsid w:val="00783179"/>
    <w:rsid w:val="00784B34"/>
    <w:rsid w:val="00784C2A"/>
    <w:rsid w:val="007853E0"/>
    <w:rsid w:val="007860C0"/>
    <w:rsid w:val="007954AD"/>
    <w:rsid w:val="007968CC"/>
    <w:rsid w:val="007A1BA5"/>
    <w:rsid w:val="007A30B1"/>
    <w:rsid w:val="007A6EA5"/>
    <w:rsid w:val="007B595E"/>
    <w:rsid w:val="007B76D1"/>
    <w:rsid w:val="007B7C7F"/>
    <w:rsid w:val="007C2AC1"/>
    <w:rsid w:val="007C552C"/>
    <w:rsid w:val="007D3EC5"/>
    <w:rsid w:val="007D45BC"/>
    <w:rsid w:val="007D6629"/>
    <w:rsid w:val="007E1478"/>
    <w:rsid w:val="007F4B60"/>
    <w:rsid w:val="007F5474"/>
    <w:rsid w:val="007F7CAB"/>
    <w:rsid w:val="008000CA"/>
    <w:rsid w:val="00801AD3"/>
    <w:rsid w:val="00801BDD"/>
    <w:rsid w:val="00807EFC"/>
    <w:rsid w:val="00813892"/>
    <w:rsid w:val="00814FD2"/>
    <w:rsid w:val="00820A99"/>
    <w:rsid w:val="00831DB3"/>
    <w:rsid w:val="008326DB"/>
    <w:rsid w:val="00833FF3"/>
    <w:rsid w:val="00844B4B"/>
    <w:rsid w:val="00845FB9"/>
    <w:rsid w:val="00850517"/>
    <w:rsid w:val="00857A2D"/>
    <w:rsid w:val="008621B5"/>
    <w:rsid w:val="0086362A"/>
    <w:rsid w:val="00863ACD"/>
    <w:rsid w:val="00864920"/>
    <w:rsid w:val="00864AB1"/>
    <w:rsid w:val="00870BFB"/>
    <w:rsid w:val="00871792"/>
    <w:rsid w:val="008809A4"/>
    <w:rsid w:val="00882A03"/>
    <w:rsid w:val="008879DC"/>
    <w:rsid w:val="008A0993"/>
    <w:rsid w:val="008A0A57"/>
    <w:rsid w:val="008A2513"/>
    <w:rsid w:val="008A58A1"/>
    <w:rsid w:val="008B1C10"/>
    <w:rsid w:val="008C2192"/>
    <w:rsid w:val="008D31DA"/>
    <w:rsid w:val="008D4BE9"/>
    <w:rsid w:val="008D6214"/>
    <w:rsid w:val="008E289F"/>
    <w:rsid w:val="008E6946"/>
    <w:rsid w:val="008F1AD3"/>
    <w:rsid w:val="008F3304"/>
    <w:rsid w:val="009001EA"/>
    <w:rsid w:val="009015FA"/>
    <w:rsid w:val="009066A7"/>
    <w:rsid w:val="00907470"/>
    <w:rsid w:val="00912A15"/>
    <w:rsid w:val="009221E4"/>
    <w:rsid w:val="00922994"/>
    <w:rsid w:val="00922C5F"/>
    <w:rsid w:val="009277E3"/>
    <w:rsid w:val="00927E70"/>
    <w:rsid w:val="00931AAA"/>
    <w:rsid w:val="00935F56"/>
    <w:rsid w:val="009426A2"/>
    <w:rsid w:val="009472D1"/>
    <w:rsid w:val="00953EF3"/>
    <w:rsid w:val="00953FC6"/>
    <w:rsid w:val="009746B4"/>
    <w:rsid w:val="009756D9"/>
    <w:rsid w:val="00975E49"/>
    <w:rsid w:val="0098136B"/>
    <w:rsid w:val="00982D6D"/>
    <w:rsid w:val="0099211F"/>
    <w:rsid w:val="009A592E"/>
    <w:rsid w:val="009A5F75"/>
    <w:rsid w:val="009B1EE5"/>
    <w:rsid w:val="009B321B"/>
    <w:rsid w:val="009C0E1C"/>
    <w:rsid w:val="009C18EF"/>
    <w:rsid w:val="009C3149"/>
    <w:rsid w:val="009C3329"/>
    <w:rsid w:val="009C49A7"/>
    <w:rsid w:val="009C6326"/>
    <w:rsid w:val="009C7949"/>
    <w:rsid w:val="009D05F8"/>
    <w:rsid w:val="009E7014"/>
    <w:rsid w:val="00A01FD9"/>
    <w:rsid w:val="00A22CA1"/>
    <w:rsid w:val="00A24A5F"/>
    <w:rsid w:val="00A2525E"/>
    <w:rsid w:val="00A27659"/>
    <w:rsid w:val="00A30923"/>
    <w:rsid w:val="00A32E1E"/>
    <w:rsid w:val="00A347D3"/>
    <w:rsid w:val="00A34D42"/>
    <w:rsid w:val="00A3626A"/>
    <w:rsid w:val="00A46183"/>
    <w:rsid w:val="00A542AF"/>
    <w:rsid w:val="00A614C5"/>
    <w:rsid w:val="00A6165D"/>
    <w:rsid w:val="00A65A15"/>
    <w:rsid w:val="00A65E00"/>
    <w:rsid w:val="00A75651"/>
    <w:rsid w:val="00A808A5"/>
    <w:rsid w:val="00A84DE4"/>
    <w:rsid w:val="00A9241D"/>
    <w:rsid w:val="00A95813"/>
    <w:rsid w:val="00A958D0"/>
    <w:rsid w:val="00A965C4"/>
    <w:rsid w:val="00AA3400"/>
    <w:rsid w:val="00AC06E0"/>
    <w:rsid w:val="00AC0D08"/>
    <w:rsid w:val="00AC10A1"/>
    <w:rsid w:val="00AD09C8"/>
    <w:rsid w:val="00AD1C2C"/>
    <w:rsid w:val="00AD7395"/>
    <w:rsid w:val="00AF30FE"/>
    <w:rsid w:val="00AF371F"/>
    <w:rsid w:val="00AF5A38"/>
    <w:rsid w:val="00AF5BC7"/>
    <w:rsid w:val="00B0043F"/>
    <w:rsid w:val="00B00E36"/>
    <w:rsid w:val="00B02202"/>
    <w:rsid w:val="00B03031"/>
    <w:rsid w:val="00B03154"/>
    <w:rsid w:val="00B074F6"/>
    <w:rsid w:val="00B10E6F"/>
    <w:rsid w:val="00B12FAE"/>
    <w:rsid w:val="00B21D9B"/>
    <w:rsid w:val="00B243CA"/>
    <w:rsid w:val="00B31308"/>
    <w:rsid w:val="00B32E38"/>
    <w:rsid w:val="00B33A9F"/>
    <w:rsid w:val="00B40D8E"/>
    <w:rsid w:val="00B43EB0"/>
    <w:rsid w:val="00B444B6"/>
    <w:rsid w:val="00B468EE"/>
    <w:rsid w:val="00B547DA"/>
    <w:rsid w:val="00B55AFC"/>
    <w:rsid w:val="00B55D0E"/>
    <w:rsid w:val="00B57D37"/>
    <w:rsid w:val="00B65A70"/>
    <w:rsid w:val="00B65DD5"/>
    <w:rsid w:val="00B710A3"/>
    <w:rsid w:val="00B746E6"/>
    <w:rsid w:val="00B753FA"/>
    <w:rsid w:val="00B81D1F"/>
    <w:rsid w:val="00B86D79"/>
    <w:rsid w:val="00B90467"/>
    <w:rsid w:val="00B90AD1"/>
    <w:rsid w:val="00B932D3"/>
    <w:rsid w:val="00B95378"/>
    <w:rsid w:val="00B96233"/>
    <w:rsid w:val="00BA0472"/>
    <w:rsid w:val="00BA1066"/>
    <w:rsid w:val="00BA2105"/>
    <w:rsid w:val="00BA38B3"/>
    <w:rsid w:val="00BB15E6"/>
    <w:rsid w:val="00BB384F"/>
    <w:rsid w:val="00BB6155"/>
    <w:rsid w:val="00BC2BEB"/>
    <w:rsid w:val="00BD3433"/>
    <w:rsid w:val="00BD409E"/>
    <w:rsid w:val="00BE171D"/>
    <w:rsid w:val="00BE6F04"/>
    <w:rsid w:val="00BF138F"/>
    <w:rsid w:val="00C0018F"/>
    <w:rsid w:val="00C0343D"/>
    <w:rsid w:val="00C05F16"/>
    <w:rsid w:val="00C1259B"/>
    <w:rsid w:val="00C2042E"/>
    <w:rsid w:val="00C206D4"/>
    <w:rsid w:val="00C20DE2"/>
    <w:rsid w:val="00C25DB3"/>
    <w:rsid w:val="00C43141"/>
    <w:rsid w:val="00C4336A"/>
    <w:rsid w:val="00C449A4"/>
    <w:rsid w:val="00C45C86"/>
    <w:rsid w:val="00C507A3"/>
    <w:rsid w:val="00C527B2"/>
    <w:rsid w:val="00C63052"/>
    <w:rsid w:val="00C64B1C"/>
    <w:rsid w:val="00C72FD5"/>
    <w:rsid w:val="00C755FD"/>
    <w:rsid w:val="00C76210"/>
    <w:rsid w:val="00C77F68"/>
    <w:rsid w:val="00C84233"/>
    <w:rsid w:val="00C8463E"/>
    <w:rsid w:val="00C84B76"/>
    <w:rsid w:val="00C8590B"/>
    <w:rsid w:val="00C868E9"/>
    <w:rsid w:val="00C87B9B"/>
    <w:rsid w:val="00C941B2"/>
    <w:rsid w:val="00CA0CB3"/>
    <w:rsid w:val="00CA102D"/>
    <w:rsid w:val="00CA612D"/>
    <w:rsid w:val="00CB189B"/>
    <w:rsid w:val="00CB2076"/>
    <w:rsid w:val="00CB4F9E"/>
    <w:rsid w:val="00CB51F4"/>
    <w:rsid w:val="00CC1CE9"/>
    <w:rsid w:val="00CC2A35"/>
    <w:rsid w:val="00CC439D"/>
    <w:rsid w:val="00CC4D6A"/>
    <w:rsid w:val="00CD4FE3"/>
    <w:rsid w:val="00CE5F40"/>
    <w:rsid w:val="00CE7BCA"/>
    <w:rsid w:val="00D0446E"/>
    <w:rsid w:val="00D06AE4"/>
    <w:rsid w:val="00D10802"/>
    <w:rsid w:val="00D1365F"/>
    <w:rsid w:val="00D142DB"/>
    <w:rsid w:val="00D17CAB"/>
    <w:rsid w:val="00D22A4A"/>
    <w:rsid w:val="00D27CC2"/>
    <w:rsid w:val="00D34B8B"/>
    <w:rsid w:val="00D43EBE"/>
    <w:rsid w:val="00D51F06"/>
    <w:rsid w:val="00D5651E"/>
    <w:rsid w:val="00D65173"/>
    <w:rsid w:val="00D65A87"/>
    <w:rsid w:val="00D76B00"/>
    <w:rsid w:val="00D80460"/>
    <w:rsid w:val="00D81E5B"/>
    <w:rsid w:val="00D869E9"/>
    <w:rsid w:val="00D86CB2"/>
    <w:rsid w:val="00D87487"/>
    <w:rsid w:val="00D93227"/>
    <w:rsid w:val="00D97C37"/>
    <w:rsid w:val="00DA2AF3"/>
    <w:rsid w:val="00DB1F78"/>
    <w:rsid w:val="00DB2029"/>
    <w:rsid w:val="00DC1753"/>
    <w:rsid w:val="00DC2222"/>
    <w:rsid w:val="00DC701D"/>
    <w:rsid w:val="00DE2DB5"/>
    <w:rsid w:val="00DE471D"/>
    <w:rsid w:val="00DE5398"/>
    <w:rsid w:val="00DE65AD"/>
    <w:rsid w:val="00DF08FF"/>
    <w:rsid w:val="00DF6B07"/>
    <w:rsid w:val="00E0045B"/>
    <w:rsid w:val="00E00968"/>
    <w:rsid w:val="00E054DD"/>
    <w:rsid w:val="00E0656A"/>
    <w:rsid w:val="00E1347C"/>
    <w:rsid w:val="00E14F61"/>
    <w:rsid w:val="00E153AF"/>
    <w:rsid w:val="00E16ED8"/>
    <w:rsid w:val="00E176E0"/>
    <w:rsid w:val="00E203AB"/>
    <w:rsid w:val="00E2115C"/>
    <w:rsid w:val="00E263A1"/>
    <w:rsid w:val="00E2697F"/>
    <w:rsid w:val="00E26E5B"/>
    <w:rsid w:val="00E31880"/>
    <w:rsid w:val="00E450CB"/>
    <w:rsid w:val="00E4604F"/>
    <w:rsid w:val="00E507F2"/>
    <w:rsid w:val="00E5111A"/>
    <w:rsid w:val="00E54102"/>
    <w:rsid w:val="00E633C3"/>
    <w:rsid w:val="00E76BDE"/>
    <w:rsid w:val="00E81D58"/>
    <w:rsid w:val="00E82AE1"/>
    <w:rsid w:val="00E86CAD"/>
    <w:rsid w:val="00EA0CFC"/>
    <w:rsid w:val="00EA2EA4"/>
    <w:rsid w:val="00EA3484"/>
    <w:rsid w:val="00EA4DA1"/>
    <w:rsid w:val="00EB322D"/>
    <w:rsid w:val="00EB62CA"/>
    <w:rsid w:val="00EB6DB3"/>
    <w:rsid w:val="00EC7C21"/>
    <w:rsid w:val="00ED0285"/>
    <w:rsid w:val="00ED527A"/>
    <w:rsid w:val="00ED5714"/>
    <w:rsid w:val="00ED72C6"/>
    <w:rsid w:val="00EF5420"/>
    <w:rsid w:val="00F03C46"/>
    <w:rsid w:val="00F12562"/>
    <w:rsid w:val="00F1408D"/>
    <w:rsid w:val="00F17470"/>
    <w:rsid w:val="00F17956"/>
    <w:rsid w:val="00F24D49"/>
    <w:rsid w:val="00F42DB7"/>
    <w:rsid w:val="00F45DB1"/>
    <w:rsid w:val="00F4723D"/>
    <w:rsid w:val="00F47398"/>
    <w:rsid w:val="00F679D3"/>
    <w:rsid w:val="00F7006B"/>
    <w:rsid w:val="00F9464A"/>
    <w:rsid w:val="00F94EEA"/>
    <w:rsid w:val="00F97DD9"/>
    <w:rsid w:val="00FA3AEB"/>
    <w:rsid w:val="00FA57BF"/>
    <w:rsid w:val="00FA69C7"/>
    <w:rsid w:val="00FA7BA8"/>
    <w:rsid w:val="00FC2B2D"/>
    <w:rsid w:val="00FC358B"/>
    <w:rsid w:val="00FC4B1F"/>
    <w:rsid w:val="00FC6619"/>
    <w:rsid w:val="00FD4C19"/>
    <w:rsid w:val="00FE094E"/>
    <w:rsid w:val="00FE1175"/>
    <w:rsid w:val="00FE587D"/>
    <w:rsid w:val="00FE7323"/>
    <w:rsid w:val="00FF0F22"/>
    <w:rsid w:val="00FF2BCD"/>
    <w:rsid w:val="011B42C3"/>
    <w:rsid w:val="011E420F"/>
    <w:rsid w:val="012B5A1E"/>
    <w:rsid w:val="01726C10"/>
    <w:rsid w:val="019422A6"/>
    <w:rsid w:val="01A14663"/>
    <w:rsid w:val="01AA23AC"/>
    <w:rsid w:val="01ED2E4E"/>
    <w:rsid w:val="01F35868"/>
    <w:rsid w:val="01F634A7"/>
    <w:rsid w:val="027F644D"/>
    <w:rsid w:val="0282028B"/>
    <w:rsid w:val="02C848FD"/>
    <w:rsid w:val="02D041D1"/>
    <w:rsid w:val="02DB150A"/>
    <w:rsid w:val="02EA335B"/>
    <w:rsid w:val="02F106F9"/>
    <w:rsid w:val="02F82CD6"/>
    <w:rsid w:val="031A4FB6"/>
    <w:rsid w:val="03276239"/>
    <w:rsid w:val="033226B2"/>
    <w:rsid w:val="034E22DA"/>
    <w:rsid w:val="035D73F7"/>
    <w:rsid w:val="03653EFA"/>
    <w:rsid w:val="037800D1"/>
    <w:rsid w:val="038A17A9"/>
    <w:rsid w:val="03B6515B"/>
    <w:rsid w:val="03B94730"/>
    <w:rsid w:val="03C42212"/>
    <w:rsid w:val="03CC0D86"/>
    <w:rsid w:val="03CD2196"/>
    <w:rsid w:val="03D13F17"/>
    <w:rsid w:val="03D15C71"/>
    <w:rsid w:val="040F3E66"/>
    <w:rsid w:val="042353E7"/>
    <w:rsid w:val="043758DA"/>
    <w:rsid w:val="04661ABE"/>
    <w:rsid w:val="04BA2023"/>
    <w:rsid w:val="050C25E6"/>
    <w:rsid w:val="05166709"/>
    <w:rsid w:val="051F632A"/>
    <w:rsid w:val="054516BB"/>
    <w:rsid w:val="056248B5"/>
    <w:rsid w:val="05EE6F09"/>
    <w:rsid w:val="05EF0A91"/>
    <w:rsid w:val="06414001"/>
    <w:rsid w:val="064E6EC7"/>
    <w:rsid w:val="06676238"/>
    <w:rsid w:val="06863460"/>
    <w:rsid w:val="068E7909"/>
    <w:rsid w:val="06912E66"/>
    <w:rsid w:val="06AD0047"/>
    <w:rsid w:val="06BC6524"/>
    <w:rsid w:val="06CA5AD2"/>
    <w:rsid w:val="06D319B9"/>
    <w:rsid w:val="06D51397"/>
    <w:rsid w:val="06F17515"/>
    <w:rsid w:val="06F25527"/>
    <w:rsid w:val="072C4A1E"/>
    <w:rsid w:val="07463B51"/>
    <w:rsid w:val="07726D11"/>
    <w:rsid w:val="07BE41E3"/>
    <w:rsid w:val="07D33129"/>
    <w:rsid w:val="07D864CB"/>
    <w:rsid w:val="081B56B1"/>
    <w:rsid w:val="08377331"/>
    <w:rsid w:val="087D14F1"/>
    <w:rsid w:val="087E2FF0"/>
    <w:rsid w:val="08890433"/>
    <w:rsid w:val="088F0CC1"/>
    <w:rsid w:val="0892348E"/>
    <w:rsid w:val="08A15FB9"/>
    <w:rsid w:val="08A75C64"/>
    <w:rsid w:val="08AF10B9"/>
    <w:rsid w:val="08B8461B"/>
    <w:rsid w:val="08BC5B0C"/>
    <w:rsid w:val="08D00C73"/>
    <w:rsid w:val="08E53060"/>
    <w:rsid w:val="08ED6768"/>
    <w:rsid w:val="090D2485"/>
    <w:rsid w:val="09151AF1"/>
    <w:rsid w:val="091F53F5"/>
    <w:rsid w:val="09322CD9"/>
    <w:rsid w:val="09350A91"/>
    <w:rsid w:val="09420E33"/>
    <w:rsid w:val="09643CF7"/>
    <w:rsid w:val="09DC38B3"/>
    <w:rsid w:val="09E365B4"/>
    <w:rsid w:val="09E454F4"/>
    <w:rsid w:val="0A09002F"/>
    <w:rsid w:val="0A0B43D2"/>
    <w:rsid w:val="0A557B50"/>
    <w:rsid w:val="0A731D73"/>
    <w:rsid w:val="0AAE3291"/>
    <w:rsid w:val="0AB747D5"/>
    <w:rsid w:val="0AE475FC"/>
    <w:rsid w:val="0AE83A30"/>
    <w:rsid w:val="0AF1595C"/>
    <w:rsid w:val="0AFC51E9"/>
    <w:rsid w:val="0B160348"/>
    <w:rsid w:val="0B224DC6"/>
    <w:rsid w:val="0B4D7DDE"/>
    <w:rsid w:val="0B565647"/>
    <w:rsid w:val="0B681363"/>
    <w:rsid w:val="0B6B0B2F"/>
    <w:rsid w:val="0B6F31C7"/>
    <w:rsid w:val="0B872A8F"/>
    <w:rsid w:val="0BC20C5B"/>
    <w:rsid w:val="0BC72494"/>
    <w:rsid w:val="0BE75A81"/>
    <w:rsid w:val="0C086845"/>
    <w:rsid w:val="0C1C1816"/>
    <w:rsid w:val="0C28668C"/>
    <w:rsid w:val="0C5419B8"/>
    <w:rsid w:val="0C7B4719"/>
    <w:rsid w:val="0CA618E9"/>
    <w:rsid w:val="0CD34F06"/>
    <w:rsid w:val="0CF1437C"/>
    <w:rsid w:val="0D1E70B9"/>
    <w:rsid w:val="0D230B23"/>
    <w:rsid w:val="0D321423"/>
    <w:rsid w:val="0D323180"/>
    <w:rsid w:val="0D5C1BAE"/>
    <w:rsid w:val="0D647EA7"/>
    <w:rsid w:val="0D73245D"/>
    <w:rsid w:val="0D7563D9"/>
    <w:rsid w:val="0D814152"/>
    <w:rsid w:val="0D881E78"/>
    <w:rsid w:val="0DBD51C5"/>
    <w:rsid w:val="0DC4748D"/>
    <w:rsid w:val="0DD35318"/>
    <w:rsid w:val="0DE25B5E"/>
    <w:rsid w:val="0DEC25A2"/>
    <w:rsid w:val="0DED4D10"/>
    <w:rsid w:val="0DF570E2"/>
    <w:rsid w:val="0E2759DB"/>
    <w:rsid w:val="0E2D7449"/>
    <w:rsid w:val="0E5E1C72"/>
    <w:rsid w:val="0E7C7E06"/>
    <w:rsid w:val="0E7E4193"/>
    <w:rsid w:val="0E897A28"/>
    <w:rsid w:val="0EDD17A1"/>
    <w:rsid w:val="0EE23C56"/>
    <w:rsid w:val="0EE83B3B"/>
    <w:rsid w:val="0EEA5BFB"/>
    <w:rsid w:val="0EFD406D"/>
    <w:rsid w:val="0F003045"/>
    <w:rsid w:val="0F0D4025"/>
    <w:rsid w:val="0F2C0E96"/>
    <w:rsid w:val="0F2F6B6D"/>
    <w:rsid w:val="0F653186"/>
    <w:rsid w:val="0F8139EE"/>
    <w:rsid w:val="0F81531C"/>
    <w:rsid w:val="0F865321"/>
    <w:rsid w:val="0F8F677F"/>
    <w:rsid w:val="0FA2140D"/>
    <w:rsid w:val="0FD334F1"/>
    <w:rsid w:val="0FE079E9"/>
    <w:rsid w:val="0FF020AD"/>
    <w:rsid w:val="0FF46EB8"/>
    <w:rsid w:val="10010F0F"/>
    <w:rsid w:val="10113D37"/>
    <w:rsid w:val="10134B9B"/>
    <w:rsid w:val="102B375E"/>
    <w:rsid w:val="104B76A8"/>
    <w:rsid w:val="107F2A45"/>
    <w:rsid w:val="108C6E69"/>
    <w:rsid w:val="10A85B33"/>
    <w:rsid w:val="10CF32FA"/>
    <w:rsid w:val="10D2460C"/>
    <w:rsid w:val="11097B1E"/>
    <w:rsid w:val="11173B04"/>
    <w:rsid w:val="11611043"/>
    <w:rsid w:val="116C4CCD"/>
    <w:rsid w:val="1178667A"/>
    <w:rsid w:val="11801655"/>
    <w:rsid w:val="11805072"/>
    <w:rsid w:val="1187497E"/>
    <w:rsid w:val="11B0062A"/>
    <w:rsid w:val="11B5752E"/>
    <w:rsid w:val="11D77697"/>
    <w:rsid w:val="11F17421"/>
    <w:rsid w:val="12170913"/>
    <w:rsid w:val="12273F43"/>
    <w:rsid w:val="12646A85"/>
    <w:rsid w:val="12977016"/>
    <w:rsid w:val="129D7756"/>
    <w:rsid w:val="12C86253"/>
    <w:rsid w:val="13073AD9"/>
    <w:rsid w:val="130B6CE1"/>
    <w:rsid w:val="131302AD"/>
    <w:rsid w:val="131630E1"/>
    <w:rsid w:val="1352490D"/>
    <w:rsid w:val="13861D75"/>
    <w:rsid w:val="139041FC"/>
    <w:rsid w:val="139433A7"/>
    <w:rsid w:val="139A52AB"/>
    <w:rsid w:val="139F5FAB"/>
    <w:rsid w:val="13D34972"/>
    <w:rsid w:val="13EA5BEE"/>
    <w:rsid w:val="13F36FC1"/>
    <w:rsid w:val="1407765C"/>
    <w:rsid w:val="141F5A61"/>
    <w:rsid w:val="143709C5"/>
    <w:rsid w:val="143B3EFA"/>
    <w:rsid w:val="143F6675"/>
    <w:rsid w:val="144D54A6"/>
    <w:rsid w:val="148231F8"/>
    <w:rsid w:val="14A63F43"/>
    <w:rsid w:val="14B81D98"/>
    <w:rsid w:val="14C25FD8"/>
    <w:rsid w:val="14DD25B2"/>
    <w:rsid w:val="14E2783E"/>
    <w:rsid w:val="15170559"/>
    <w:rsid w:val="151B1E7C"/>
    <w:rsid w:val="15292570"/>
    <w:rsid w:val="152A035D"/>
    <w:rsid w:val="152F6116"/>
    <w:rsid w:val="153F634C"/>
    <w:rsid w:val="154F4219"/>
    <w:rsid w:val="155623B1"/>
    <w:rsid w:val="15585745"/>
    <w:rsid w:val="15797E25"/>
    <w:rsid w:val="15835DC4"/>
    <w:rsid w:val="15837F64"/>
    <w:rsid w:val="15941E73"/>
    <w:rsid w:val="1597230C"/>
    <w:rsid w:val="160752E5"/>
    <w:rsid w:val="162B72FA"/>
    <w:rsid w:val="16452BF2"/>
    <w:rsid w:val="16457DB8"/>
    <w:rsid w:val="165112BA"/>
    <w:rsid w:val="16573B76"/>
    <w:rsid w:val="165A5CE1"/>
    <w:rsid w:val="166A5457"/>
    <w:rsid w:val="16867777"/>
    <w:rsid w:val="16984983"/>
    <w:rsid w:val="16B34C89"/>
    <w:rsid w:val="16E85962"/>
    <w:rsid w:val="16FE6619"/>
    <w:rsid w:val="175F6BC4"/>
    <w:rsid w:val="17AC6144"/>
    <w:rsid w:val="17B634C0"/>
    <w:rsid w:val="17BA6767"/>
    <w:rsid w:val="17D741C2"/>
    <w:rsid w:val="17DD6E5A"/>
    <w:rsid w:val="17F0365D"/>
    <w:rsid w:val="17F81D22"/>
    <w:rsid w:val="17FD07C2"/>
    <w:rsid w:val="180E0C2C"/>
    <w:rsid w:val="18127F67"/>
    <w:rsid w:val="18195A46"/>
    <w:rsid w:val="184A4222"/>
    <w:rsid w:val="18967D6F"/>
    <w:rsid w:val="18AC0EB3"/>
    <w:rsid w:val="18B02E83"/>
    <w:rsid w:val="18B50131"/>
    <w:rsid w:val="190F698A"/>
    <w:rsid w:val="193D34ED"/>
    <w:rsid w:val="1954439D"/>
    <w:rsid w:val="196119CC"/>
    <w:rsid w:val="196A616F"/>
    <w:rsid w:val="19A27D0C"/>
    <w:rsid w:val="19AE61A3"/>
    <w:rsid w:val="19B87118"/>
    <w:rsid w:val="19C35924"/>
    <w:rsid w:val="19C63F80"/>
    <w:rsid w:val="19C95A42"/>
    <w:rsid w:val="19D379B8"/>
    <w:rsid w:val="19F36A5B"/>
    <w:rsid w:val="1A00417F"/>
    <w:rsid w:val="1A0A156B"/>
    <w:rsid w:val="1A0E1F48"/>
    <w:rsid w:val="1A2F6EA3"/>
    <w:rsid w:val="1A325012"/>
    <w:rsid w:val="1A4A7280"/>
    <w:rsid w:val="1A5B60BE"/>
    <w:rsid w:val="1A5D3725"/>
    <w:rsid w:val="1A5D384F"/>
    <w:rsid w:val="1AB356C8"/>
    <w:rsid w:val="1AC953EE"/>
    <w:rsid w:val="1AFB705D"/>
    <w:rsid w:val="1B3D3830"/>
    <w:rsid w:val="1B43510F"/>
    <w:rsid w:val="1B605949"/>
    <w:rsid w:val="1B6C3646"/>
    <w:rsid w:val="1B886EE8"/>
    <w:rsid w:val="1BEB08A6"/>
    <w:rsid w:val="1C14444F"/>
    <w:rsid w:val="1C1B401A"/>
    <w:rsid w:val="1C416742"/>
    <w:rsid w:val="1C463390"/>
    <w:rsid w:val="1C636019"/>
    <w:rsid w:val="1C7634B7"/>
    <w:rsid w:val="1C910AE2"/>
    <w:rsid w:val="1C9D472D"/>
    <w:rsid w:val="1CB13893"/>
    <w:rsid w:val="1CB376DF"/>
    <w:rsid w:val="1CB67C60"/>
    <w:rsid w:val="1CBF1799"/>
    <w:rsid w:val="1D15393D"/>
    <w:rsid w:val="1D2E3C83"/>
    <w:rsid w:val="1D3935BA"/>
    <w:rsid w:val="1D3E1BCA"/>
    <w:rsid w:val="1D3E438F"/>
    <w:rsid w:val="1D435D42"/>
    <w:rsid w:val="1D4B77B1"/>
    <w:rsid w:val="1D7414B2"/>
    <w:rsid w:val="1D7A11C6"/>
    <w:rsid w:val="1D874B03"/>
    <w:rsid w:val="1D967CC7"/>
    <w:rsid w:val="1DBB0FCC"/>
    <w:rsid w:val="1DD552D8"/>
    <w:rsid w:val="1E03430E"/>
    <w:rsid w:val="1E1176ED"/>
    <w:rsid w:val="1E2F0A25"/>
    <w:rsid w:val="1E5C385E"/>
    <w:rsid w:val="1E792804"/>
    <w:rsid w:val="1E8D6982"/>
    <w:rsid w:val="1E950ABC"/>
    <w:rsid w:val="1E957CE3"/>
    <w:rsid w:val="1EA3501B"/>
    <w:rsid w:val="1EB72539"/>
    <w:rsid w:val="1EBF77F5"/>
    <w:rsid w:val="1EC021C1"/>
    <w:rsid w:val="1ECB72D5"/>
    <w:rsid w:val="1ECC71F8"/>
    <w:rsid w:val="1EE46C6B"/>
    <w:rsid w:val="1F163693"/>
    <w:rsid w:val="1F166408"/>
    <w:rsid w:val="1F202FED"/>
    <w:rsid w:val="1F2E39DA"/>
    <w:rsid w:val="1F35137D"/>
    <w:rsid w:val="1F7C631D"/>
    <w:rsid w:val="1F996E4C"/>
    <w:rsid w:val="1FC3413D"/>
    <w:rsid w:val="1FDC6E9A"/>
    <w:rsid w:val="1FDD1592"/>
    <w:rsid w:val="1FE8350A"/>
    <w:rsid w:val="1FF2342E"/>
    <w:rsid w:val="1FF32068"/>
    <w:rsid w:val="1FFF1387"/>
    <w:rsid w:val="2018019A"/>
    <w:rsid w:val="202C5D31"/>
    <w:rsid w:val="20454F12"/>
    <w:rsid w:val="20582C2B"/>
    <w:rsid w:val="205B6824"/>
    <w:rsid w:val="209F70E3"/>
    <w:rsid w:val="20A63B16"/>
    <w:rsid w:val="20AF28DF"/>
    <w:rsid w:val="20CB6357"/>
    <w:rsid w:val="20E4793C"/>
    <w:rsid w:val="20EA3584"/>
    <w:rsid w:val="20EE06A1"/>
    <w:rsid w:val="20FD5366"/>
    <w:rsid w:val="211D4A38"/>
    <w:rsid w:val="21463165"/>
    <w:rsid w:val="21664C6E"/>
    <w:rsid w:val="216E32DA"/>
    <w:rsid w:val="218940D0"/>
    <w:rsid w:val="21A033DC"/>
    <w:rsid w:val="21AE2AF0"/>
    <w:rsid w:val="21B05FF3"/>
    <w:rsid w:val="21CC3049"/>
    <w:rsid w:val="21CD688F"/>
    <w:rsid w:val="21EF0955"/>
    <w:rsid w:val="21FB4CAC"/>
    <w:rsid w:val="222E5EEA"/>
    <w:rsid w:val="22313706"/>
    <w:rsid w:val="22934B2C"/>
    <w:rsid w:val="22C94CCB"/>
    <w:rsid w:val="22DF78D7"/>
    <w:rsid w:val="23437CD1"/>
    <w:rsid w:val="236A33B3"/>
    <w:rsid w:val="237D2A60"/>
    <w:rsid w:val="239204D9"/>
    <w:rsid w:val="239D2A04"/>
    <w:rsid w:val="23A61C99"/>
    <w:rsid w:val="23AC7B95"/>
    <w:rsid w:val="23AF7BA9"/>
    <w:rsid w:val="241A2DB3"/>
    <w:rsid w:val="24335403"/>
    <w:rsid w:val="24373239"/>
    <w:rsid w:val="24683F62"/>
    <w:rsid w:val="246D3605"/>
    <w:rsid w:val="24957AC3"/>
    <w:rsid w:val="24A06F16"/>
    <w:rsid w:val="24AF4B7D"/>
    <w:rsid w:val="24B66A5D"/>
    <w:rsid w:val="24FD1D8D"/>
    <w:rsid w:val="250F6374"/>
    <w:rsid w:val="25120298"/>
    <w:rsid w:val="251663AC"/>
    <w:rsid w:val="25190412"/>
    <w:rsid w:val="2519050E"/>
    <w:rsid w:val="25216F1A"/>
    <w:rsid w:val="25222C6C"/>
    <w:rsid w:val="2550371D"/>
    <w:rsid w:val="25640F0D"/>
    <w:rsid w:val="25683B31"/>
    <w:rsid w:val="257343E5"/>
    <w:rsid w:val="25BF2EE7"/>
    <w:rsid w:val="25E679C5"/>
    <w:rsid w:val="26280CCE"/>
    <w:rsid w:val="264241E0"/>
    <w:rsid w:val="265E12A8"/>
    <w:rsid w:val="266A4721"/>
    <w:rsid w:val="266D7646"/>
    <w:rsid w:val="26CE7DDC"/>
    <w:rsid w:val="26D20F47"/>
    <w:rsid w:val="26D319FA"/>
    <w:rsid w:val="26D56603"/>
    <w:rsid w:val="26D925A7"/>
    <w:rsid w:val="270A253F"/>
    <w:rsid w:val="271A7958"/>
    <w:rsid w:val="272378B6"/>
    <w:rsid w:val="273852FE"/>
    <w:rsid w:val="27636A1B"/>
    <w:rsid w:val="27672558"/>
    <w:rsid w:val="277D2989"/>
    <w:rsid w:val="279A7D67"/>
    <w:rsid w:val="279C3511"/>
    <w:rsid w:val="27A60B01"/>
    <w:rsid w:val="27B1778D"/>
    <w:rsid w:val="27CA27B6"/>
    <w:rsid w:val="27DD5EA5"/>
    <w:rsid w:val="27DD5F13"/>
    <w:rsid w:val="27F7390C"/>
    <w:rsid w:val="27FE511D"/>
    <w:rsid w:val="280C78DB"/>
    <w:rsid w:val="28656F2B"/>
    <w:rsid w:val="286D200E"/>
    <w:rsid w:val="289742A6"/>
    <w:rsid w:val="289F7986"/>
    <w:rsid w:val="28DA71DD"/>
    <w:rsid w:val="28F37A02"/>
    <w:rsid w:val="2916264F"/>
    <w:rsid w:val="292D0EC0"/>
    <w:rsid w:val="29320046"/>
    <w:rsid w:val="29594F92"/>
    <w:rsid w:val="296223AB"/>
    <w:rsid w:val="297D7321"/>
    <w:rsid w:val="299E01E3"/>
    <w:rsid w:val="299F2651"/>
    <w:rsid w:val="29A033F0"/>
    <w:rsid w:val="29CE639C"/>
    <w:rsid w:val="29D37AAD"/>
    <w:rsid w:val="29EB11D7"/>
    <w:rsid w:val="2A104D2F"/>
    <w:rsid w:val="2A1B4665"/>
    <w:rsid w:val="2A22052D"/>
    <w:rsid w:val="2A240353"/>
    <w:rsid w:val="2A346239"/>
    <w:rsid w:val="2A7114FF"/>
    <w:rsid w:val="2A7643F4"/>
    <w:rsid w:val="2A8C49AD"/>
    <w:rsid w:val="2AD32E44"/>
    <w:rsid w:val="2AE62118"/>
    <w:rsid w:val="2AF7102C"/>
    <w:rsid w:val="2B225FC2"/>
    <w:rsid w:val="2B285689"/>
    <w:rsid w:val="2B2B5B66"/>
    <w:rsid w:val="2B302B94"/>
    <w:rsid w:val="2B460566"/>
    <w:rsid w:val="2B68257A"/>
    <w:rsid w:val="2B683772"/>
    <w:rsid w:val="2B964CE9"/>
    <w:rsid w:val="2BA97327"/>
    <w:rsid w:val="2BAF1FE4"/>
    <w:rsid w:val="2BBD51A6"/>
    <w:rsid w:val="2BD937A4"/>
    <w:rsid w:val="2BF81167"/>
    <w:rsid w:val="2C112B9A"/>
    <w:rsid w:val="2C11613D"/>
    <w:rsid w:val="2C3251F3"/>
    <w:rsid w:val="2C4B0DB1"/>
    <w:rsid w:val="2C4B3D34"/>
    <w:rsid w:val="2C4B7881"/>
    <w:rsid w:val="2C665D4F"/>
    <w:rsid w:val="2C745890"/>
    <w:rsid w:val="2C92220B"/>
    <w:rsid w:val="2C9860F7"/>
    <w:rsid w:val="2CA00E88"/>
    <w:rsid w:val="2CBC3952"/>
    <w:rsid w:val="2CC202F6"/>
    <w:rsid w:val="2D064315"/>
    <w:rsid w:val="2D1B3335"/>
    <w:rsid w:val="2D1B54A6"/>
    <w:rsid w:val="2D2676A2"/>
    <w:rsid w:val="2D2732B6"/>
    <w:rsid w:val="2D2D08D8"/>
    <w:rsid w:val="2D336C61"/>
    <w:rsid w:val="2D6E2021"/>
    <w:rsid w:val="2D963CD0"/>
    <w:rsid w:val="2D9A3DA9"/>
    <w:rsid w:val="2DDD2546"/>
    <w:rsid w:val="2DE5066C"/>
    <w:rsid w:val="2DE51610"/>
    <w:rsid w:val="2DFB2B8E"/>
    <w:rsid w:val="2E0A0581"/>
    <w:rsid w:val="2E1038C1"/>
    <w:rsid w:val="2E1C609B"/>
    <w:rsid w:val="2E2C59D2"/>
    <w:rsid w:val="2E4F127C"/>
    <w:rsid w:val="2E7D7A9A"/>
    <w:rsid w:val="2E907FC2"/>
    <w:rsid w:val="2E912D67"/>
    <w:rsid w:val="2EA97EC0"/>
    <w:rsid w:val="2EC929D3"/>
    <w:rsid w:val="2EF502C7"/>
    <w:rsid w:val="2F453689"/>
    <w:rsid w:val="2F4C5215"/>
    <w:rsid w:val="2F583F58"/>
    <w:rsid w:val="2F777E76"/>
    <w:rsid w:val="2F972A77"/>
    <w:rsid w:val="2FE673C2"/>
    <w:rsid w:val="2FFC13C0"/>
    <w:rsid w:val="30212A11"/>
    <w:rsid w:val="30580921"/>
    <w:rsid w:val="30647A57"/>
    <w:rsid w:val="307A22B9"/>
    <w:rsid w:val="308E73AB"/>
    <w:rsid w:val="30AC1121"/>
    <w:rsid w:val="30B11738"/>
    <w:rsid w:val="30FA685D"/>
    <w:rsid w:val="31071734"/>
    <w:rsid w:val="31530129"/>
    <w:rsid w:val="318743A4"/>
    <w:rsid w:val="320E3DD6"/>
    <w:rsid w:val="32462175"/>
    <w:rsid w:val="32485A56"/>
    <w:rsid w:val="325801DD"/>
    <w:rsid w:val="32620570"/>
    <w:rsid w:val="327B2BCA"/>
    <w:rsid w:val="32AA6335"/>
    <w:rsid w:val="32B936F5"/>
    <w:rsid w:val="32C43D29"/>
    <w:rsid w:val="32C962E7"/>
    <w:rsid w:val="32CC2C84"/>
    <w:rsid w:val="32EB0097"/>
    <w:rsid w:val="32F3150E"/>
    <w:rsid w:val="32F53AF0"/>
    <w:rsid w:val="32FE5E1F"/>
    <w:rsid w:val="3300120F"/>
    <w:rsid w:val="331704BD"/>
    <w:rsid w:val="333A7A3A"/>
    <w:rsid w:val="333B5E21"/>
    <w:rsid w:val="33775ADA"/>
    <w:rsid w:val="337A0A4C"/>
    <w:rsid w:val="337E467E"/>
    <w:rsid w:val="338D6377"/>
    <w:rsid w:val="33B36EF9"/>
    <w:rsid w:val="33BA4831"/>
    <w:rsid w:val="33CF4CCD"/>
    <w:rsid w:val="33D9618A"/>
    <w:rsid w:val="33DE516E"/>
    <w:rsid w:val="33F1045F"/>
    <w:rsid w:val="33F21081"/>
    <w:rsid w:val="340D61B9"/>
    <w:rsid w:val="342420E0"/>
    <w:rsid w:val="346A5C36"/>
    <w:rsid w:val="346C1061"/>
    <w:rsid w:val="34761FFC"/>
    <w:rsid w:val="34C454D1"/>
    <w:rsid w:val="34CC40D5"/>
    <w:rsid w:val="34E63B78"/>
    <w:rsid w:val="35127ED6"/>
    <w:rsid w:val="35347B28"/>
    <w:rsid w:val="35400FEC"/>
    <w:rsid w:val="35714A13"/>
    <w:rsid w:val="358040AC"/>
    <w:rsid w:val="35AB7AF8"/>
    <w:rsid w:val="35F37257"/>
    <w:rsid w:val="360520AC"/>
    <w:rsid w:val="360A3672"/>
    <w:rsid w:val="3617753B"/>
    <w:rsid w:val="361F05DB"/>
    <w:rsid w:val="36210193"/>
    <w:rsid w:val="36247A31"/>
    <w:rsid w:val="363B2579"/>
    <w:rsid w:val="365D1B2B"/>
    <w:rsid w:val="365F3573"/>
    <w:rsid w:val="368F38E1"/>
    <w:rsid w:val="369119A8"/>
    <w:rsid w:val="36970D66"/>
    <w:rsid w:val="36B8068B"/>
    <w:rsid w:val="36B80ABB"/>
    <w:rsid w:val="36CE1AE9"/>
    <w:rsid w:val="36F9224D"/>
    <w:rsid w:val="37002A16"/>
    <w:rsid w:val="3728540D"/>
    <w:rsid w:val="37680625"/>
    <w:rsid w:val="3791784A"/>
    <w:rsid w:val="37923EC3"/>
    <w:rsid w:val="37C777C6"/>
    <w:rsid w:val="37F73EE2"/>
    <w:rsid w:val="3814321D"/>
    <w:rsid w:val="381437E1"/>
    <w:rsid w:val="383D7BCA"/>
    <w:rsid w:val="383F2374"/>
    <w:rsid w:val="384F5A98"/>
    <w:rsid w:val="38606A54"/>
    <w:rsid w:val="386F47ED"/>
    <w:rsid w:val="38763457"/>
    <w:rsid w:val="388625B3"/>
    <w:rsid w:val="38BB682A"/>
    <w:rsid w:val="38BC25B7"/>
    <w:rsid w:val="38E46F8A"/>
    <w:rsid w:val="391A0DCC"/>
    <w:rsid w:val="396363BB"/>
    <w:rsid w:val="397A5562"/>
    <w:rsid w:val="397B107A"/>
    <w:rsid w:val="398703E6"/>
    <w:rsid w:val="39A542C3"/>
    <w:rsid w:val="39B47C56"/>
    <w:rsid w:val="39CA7B14"/>
    <w:rsid w:val="39D57199"/>
    <w:rsid w:val="39EF236D"/>
    <w:rsid w:val="39F71F7A"/>
    <w:rsid w:val="3A01169D"/>
    <w:rsid w:val="3A037670"/>
    <w:rsid w:val="3A314B98"/>
    <w:rsid w:val="3A3219D7"/>
    <w:rsid w:val="3A4D6F11"/>
    <w:rsid w:val="3A6616A5"/>
    <w:rsid w:val="3A685E7B"/>
    <w:rsid w:val="3A7701C5"/>
    <w:rsid w:val="3A824DB6"/>
    <w:rsid w:val="3AF92294"/>
    <w:rsid w:val="3AFA66DC"/>
    <w:rsid w:val="3AFC4B3E"/>
    <w:rsid w:val="3B004A2C"/>
    <w:rsid w:val="3B092D80"/>
    <w:rsid w:val="3B0C0BA7"/>
    <w:rsid w:val="3B4023C4"/>
    <w:rsid w:val="3B4248AA"/>
    <w:rsid w:val="3B4266B4"/>
    <w:rsid w:val="3B4930A0"/>
    <w:rsid w:val="3B562107"/>
    <w:rsid w:val="3B5D118B"/>
    <w:rsid w:val="3B674A8F"/>
    <w:rsid w:val="3B8F2FA7"/>
    <w:rsid w:val="3BA53AE6"/>
    <w:rsid w:val="3BA839AD"/>
    <w:rsid w:val="3BB528D5"/>
    <w:rsid w:val="3BBF3F3B"/>
    <w:rsid w:val="3BD6585C"/>
    <w:rsid w:val="3BE84441"/>
    <w:rsid w:val="3C0922FD"/>
    <w:rsid w:val="3C347928"/>
    <w:rsid w:val="3C664263"/>
    <w:rsid w:val="3C677F18"/>
    <w:rsid w:val="3C8319F2"/>
    <w:rsid w:val="3CB23E38"/>
    <w:rsid w:val="3CF8256F"/>
    <w:rsid w:val="3D3D7ACE"/>
    <w:rsid w:val="3D8E1145"/>
    <w:rsid w:val="3D9F6FAD"/>
    <w:rsid w:val="3DBF3C2B"/>
    <w:rsid w:val="3DD44975"/>
    <w:rsid w:val="3DE67CD8"/>
    <w:rsid w:val="3DE74F30"/>
    <w:rsid w:val="3DFA531F"/>
    <w:rsid w:val="3DFE2B7A"/>
    <w:rsid w:val="3E03627F"/>
    <w:rsid w:val="3E2241BA"/>
    <w:rsid w:val="3E3107F7"/>
    <w:rsid w:val="3E37280F"/>
    <w:rsid w:val="3E563125"/>
    <w:rsid w:val="3E610D5A"/>
    <w:rsid w:val="3E68343D"/>
    <w:rsid w:val="3E742FAF"/>
    <w:rsid w:val="3E743143"/>
    <w:rsid w:val="3E774B4D"/>
    <w:rsid w:val="3E786931"/>
    <w:rsid w:val="3E80118F"/>
    <w:rsid w:val="3E8C3AEC"/>
    <w:rsid w:val="3EA670DC"/>
    <w:rsid w:val="3EA77EFB"/>
    <w:rsid w:val="3EAE7FC1"/>
    <w:rsid w:val="3EB601F3"/>
    <w:rsid w:val="3EBB08A1"/>
    <w:rsid w:val="3ECF60F0"/>
    <w:rsid w:val="3EE33178"/>
    <w:rsid w:val="3EFF1D38"/>
    <w:rsid w:val="3F0A537A"/>
    <w:rsid w:val="3F0C7B2E"/>
    <w:rsid w:val="3F174AAA"/>
    <w:rsid w:val="3F221446"/>
    <w:rsid w:val="3F321A6F"/>
    <w:rsid w:val="3F377225"/>
    <w:rsid w:val="3F4B5C78"/>
    <w:rsid w:val="3F5B65DA"/>
    <w:rsid w:val="3F6A1814"/>
    <w:rsid w:val="3F8601DB"/>
    <w:rsid w:val="3F920AD0"/>
    <w:rsid w:val="3FAC77D1"/>
    <w:rsid w:val="3FBE2AC8"/>
    <w:rsid w:val="3FEA70F6"/>
    <w:rsid w:val="3FEC0727"/>
    <w:rsid w:val="3FF437C3"/>
    <w:rsid w:val="3FFF1273"/>
    <w:rsid w:val="40701274"/>
    <w:rsid w:val="4076185B"/>
    <w:rsid w:val="40AA45F5"/>
    <w:rsid w:val="40C11997"/>
    <w:rsid w:val="40E7626F"/>
    <w:rsid w:val="41026115"/>
    <w:rsid w:val="410E6C76"/>
    <w:rsid w:val="413C2F83"/>
    <w:rsid w:val="4142560D"/>
    <w:rsid w:val="41691C24"/>
    <w:rsid w:val="41694C81"/>
    <w:rsid w:val="417C34B1"/>
    <w:rsid w:val="41847752"/>
    <w:rsid w:val="418F0497"/>
    <w:rsid w:val="4199043D"/>
    <w:rsid w:val="41D50EFA"/>
    <w:rsid w:val="41E73114"/>
    <w:rsid w:val="41F63745"/>
    <w:rsid w:val="420F0742"/>
    <w:rsid w:val="421E08EC"/>
    <w:rsid w:val="422E59DD"/>
    <w:rsid w:val="423602A4"/>
    <w:rsid w:val="42423F71"/>
    <w:rsid w:val="425A2175"/>
    <w:rsid w:val="42645421"/>
    <w:rsid w:val="427D11EA"/>
    <w:rsid w:val="42945815"/>
    <w:rsid w:val="42A3644E"/>
    <w:rsid w:val="42B25EDB"/>
    <w:rsid w:val="42E32CCD"/>
    <w:rsid w:val="42FC69B7"/>
    <w:rsid w:val="43036368"/>
    <w:rsid w:val="430F505D"/>
    <w:rsid w:val="43261891"/>
    <w:rsid w:val="43281EDA"/>
    <w:rsid w:val="432C5E69"/>
    <w:rsid w:val="432E50B9"/>
    <w:rsid w:val="435E66CA"/>
    <w:rsid w:val="43637C02"/>
    <w:rsid w:val="43C550A5"/>
    <w:rsid w:val="43D71023"/>
    <w:rsid w:val="43E12CA0"/>
    <w:rsid w:val="43EE116A"/>
    <w:rsid w:val="43F34BBC"/>
    <w:rsid w:val="4400141E"/>
    <w:rsid w:val="440C0CA7"/>
    <w:rsid w:val="44182E4A"/>
    <w:rsid w:val="441E4B3F"/>
    <w:rsid w:val="442A2536"/>
    <w:rsid w:val="4434339F"/>
    <w:rsid w:val="44670C52"/>
    <w:rsid w:val="446D68B1"/>
    <w:rsid w:val="447C1AE2"/>
    <w:rsid w:val="447E374E"/>
    <w:rsid w:val="44AD6FC3"/>
    <w:rsid w:val="44BF3DB4"/>
    <w:rsid w:val="44C531DD"/>
    <w:rsid w:val="450507C9"/>
    <w:rsid w:val="45174CEF"/>
    <w:rsid w:val="45285311"/>
    <w:rsid w:val="453A6D0E"/>
    <w:rsid w:val="45433394"/>
    <w:rsid w:val="45931068"/>
    <w:rsid w:val="45D37224"/>
    <w:rsid w:val="463F5492"/>
    <w:rsid w:val="46485993"/>
    <w:rsid w:val="467E6B3E"/>
    <w:rsid w:val="467F47F5"/>
    <w:rsid w:val="46A26F58"/>
    <w:rsid w:val="46C67B9A"/>
    <w:rsid w:val="46D149CF"/>
    <w:rsid w:val="46F04A61"/>
    <w:rsid w:val="470A69B3"/>
    <w:rsid w:val="472403FE"/>
    <w:rsid w:val="473D645B"/>
    <w:rsid w:val="475B2BCE"/>
    <w:rsid w:val="476615BC"/>
    <w:rsid w:val="47947073"/>
    <w:rsid w:val="47A56EA3"/>
    <w:rsid w:val="47D83B67"/>
    <w:rsid w:val="48043620"/>
    <w:rsid w:val="4833576A"/>
    <w:rsid w:val="4856157C"/>
    <w:rsid w:val="48BC2E48"/>
    <w:rsid w:val="48D76FFB"/>
    <w:rsid w:val="48FB6450"/>
    <w:rsid w:val="4927479A"/>
    <w:rsid w:val="496C3ED7"/>
    <w:rsid w:val="49B20077"/>
    <w:rsid w:val="49BC2337"/>
    <w:rsid w:val="49E22EAE"/>
    <w:rsid w:val="49E84523"/>
    <w:rsid w:val="4A0B6552"/>
    <w:rsid w:val="4A371419"/>
    <w:rsid w:val="4A5D764B"/>
    <w:rsid w:val="4A7E3127"/>
    <w:rsid w:val="4A803AF4"/>
    <w:rsid w:val="4ABA4713"/>
    <w:rsid w:val="4AC8641E"/>
    <w:rsid w:val="4AD77E03"/>
    <w:rsid w:val="4AF60593"/>
    <w:rsid w:val="4AF9448D"/>
    <w:rsid w:val="4B0709C0"/>
    <w:rsid w:val="4B177DA3"/>
    <w:rsid w:val="4B220C39"/>
    <w:rsid w:val="4B23310E"/>
    <w:rsid w:val="4B263F46"/>
    <w:rsid w:val="4B77225C"/>
    <w:rsid w:val="4B825865"/>
    <w:rsid w:val="4B8979EB"/>
    <w:rsid w:val="4B9D28F8"/>
    <w:rsid w:val="4BCA5FAC"/>
    <w:rsid w:val="4C0B1DD7"/>
    <w:rsid w:val="4C517CF6"/>
    <w:rsid w:val="4C657233"/>
    <w:rsid w:val="4C810768"/>
    <w:rsid w:val="4CA5650C"/>
    <w:rsid w:val="4CA66B82"/>
    <w:rsid w:val="4CAC2ED9"/>
    <w:rsid w:val="4CD83824"/>
    <w:rsid w:val="4D191C4F"/>
    <w:rsid w:val="4D1D4CC9"/>
    <w:rsid w:val="4D220503"/>
    <w:rsid w:val="4D297B82"/>
    <w:rsid w:val="4D4F5275"/>
    <w:rsid w:val="4D8B49B6"/>
    <w:rsid w:val="4D921269"/>
    <w:rsid w:val="4D9E2ABE"/>
    <w:rsid w:val="4DC5483F"/>
    <w:rsid w:val="4DE85310"/>
    <w:rsid w:val="4DF2261E"/>
    <w:rsid w:val="4E16657E"/>
    <w:rsid w:val="4E18756F"/>
    <w:rsid w:val="4E451457"/>
    <w:rsid w:val="4E6456A2"/>
    <w:rsid w:val="4E7103DF"/>
    <w:rsid w:val="4E7B301F"/>
    <w:rsid w:val="4E7B594C"/>
    <w:rsid w:val="4E963C4D"/>
    <w:rsid w:val="4E9B374D"/>
    <w:rsid w:val="4E9C4EF1"/>
    <w:rsid w:val="4EA33CE1"/>
    <w:rsid w:val="4EAF765B"/>
    <w:rsid w:val="4EBC2FF6"/>
    <w:rsid w:val="4EEB3F7C"/>
    <w:rsid w:val="4EF676C9"/>
    <w:rsid w:val="4F2053F8"/>
    <w:rsid w:val="4F2E713E"/>
    <w:rsid w:val="4F440FD0"/>
    <w:rsid w:val="4F830E41"/>
    <w:rsid w:val="4F98056C"/>
    <w:rsid w:val="4FA16F30"/>
    <w:rsid w:val="4FA70683"/>
    <w:rsid w:val="4FBF7CEE"/>
    <w:rsid w:val="4FE84570"/>
    <w:rsid w:val="4FFE1E73"/>
    <w:rsid w:val="4FFE70AB"/>
    <w:rsid w:val="50043005"/>
    <w:rsid w:val="505B56BB"/>
    <w:rsid w:val="508D5E38"/>
    <w:rsid w:val="50A664D0"/>
    <w:rsid w:val="50B138A7"/>
    <w:rsid w:val="50B54CE7"/>
    <w:rsid w:val="50BD2394"/>
    <w:rsid w:val="50D2178B"/>
    <w:rsid w:val="50F43E5F"/>
    <w:rsid w:val="511A5E17"/>
    <w:rsid w:val="512D3577"/>
    <w:rsid w:val="513331DA"/>
    <w:rsid w:val="51810DBF"/>
    <w:rsid w:val="51954C0E"/>
    <w:rsid w:val="519E65A9"/>
    <w:rsid w:val="51E237D3"/>
    <w:rsid w:val="51E62684"/>
    <w:rsid w:val="5201785A"/>
    <w:rsid w:val="5231505F"/>
    <w:rsid w:val="52377D1C"/>
    <w:rsid w:val="524C67DD"/>
    <w:rsid w:val="526A0874"/>
    <w:rsid w:val="526C2A60"/>
    <w:rsid w:val="52930DF1"/>
    <w:rsid w:val="52C05939"/>
    <w:rsid w:val="52C9607F"/>
    <w:rsid w:val="52D17C33"/>
    <w:rsid w:val="52ED6575"/>
    <w:rsid w:val="530D0560"/>
    <w:rsid w:val="532754C8"/>
    <w:rsid w:val="53491C08"/>
    <w:rsid w:val="53556DC2"/>
    <w:rsid w:val="53A21BCD"/>
    <w:rsid w:val="53AF1317"/>
    <w:rsid w:val="53C13794"/>
    <w:rsid w:val="53CB5938"/>
    <w:rsid w:val="53E47AF0"/>
    <w:rsid w:val="53E5693B"/>
    <w:rsid w:val="53EB1D06"/>
    <w:rsid w:val="53EE7873"/>
    <w:rsid w:val="540D0356"/>
    <w:rsid w:val="54192FA6"/>
    <w:rsid w:val="541A0B68"/>
    <w:rsid w:val="541C02BF"/>
    <w:rsid w:val="54280617"/>
    <w:rsid w:val="546E5D99"/>
    <w:rsid w:val="548078B6"/>
    <w:rsid w:val="548E6597"/>
    <w:rsid w:val="549642E1"/>
    <w:rsid w:val="54A379AB"/>
    <w:rsid w:val="54A877C2"/>
    <w:rsid w:val="54BA6C71"/>
    <w:rsid w:val="54DB3B66"/>
    <w:rsid w:val="54FD1C48"/>
    <w:rsid w:val="55174B28"/>
    <w:rsid w:val="552E5411"/>
    <w:rsid w:val="555D5403"/>
    <w:rsid w:val="55601556"/>
    <w:rsid w:val="55913773"/>
    <w:rsid w:val="559A1A72"/>
    <w:rsid w:val="559C5CF1"/>
    <w:rsid w:val="55FD33CD"/>
    <w:rsid w:val="56201A9F"/>
    <w:rsid w:val="5622433F"/>
    <w:rsid w:val="563F0985"/>
    <w:rsid w:val="5645737C"/>
    <w:rsid w:val="564B5FA8"/>
    <w:rsid w:val="56601A65"/>
    <w:rsid w:val="567649A8"/>
    <w:rsid w:val="568122EB"/>
    <w:rsid w:val="56822BA7"/>
    <w:rsid w:val="569F1B29"/>
    <w:rsid w:val="56DE0D60"/>
    <w:rsid w:val="56FC7F30"/>
    <w:rsid w:val="57007C70"/>
    <w:rsid w:val="57177D39"/>
    <w:rsid w:val="57A24361"/>
    <w:rsid w:val="57CF6C42"/>
    <w:rsid w:val="57E13832"/>
    <w:rsid w:val="58063BBA"/>
    <w:rsid w:val="580D0CA2"/>
    <w:rsid w:val="5857081C"/>
    <w:rsid w:val="585C1C7A"/>
    <w:rsid w:val="5863087D"/>
    <w:rsid w:val="586D4828"/>
    <w:rsid w:val="58984226"/>
    <w:rsid w:val="58B77EC9"/>
    <w:rsid w:val="58B82DDE"/>
    <w:rsid w:val="58D272C0"/>
    <w:rsid w:val="590B128E"/>
    <w:rsid w:val="5917606C"/>
    <w:rsid w:val="591A040A"/>
    <w:rsid w:val="59351BAB"/>
    <w:rsid w:val="593644A1"/>
    <w:rsid w:val="59394491"/>
    <w:rsid w:val="594A27A0"/>
    <w:rsid w:val="594B7F92"/>
    <w:rsid w:val="59682022"/>
    <w:rsid w:val="596D2336"/>
    <w:rsid w:val="5971281D"/>
    <w:rsid w:val="599F213B"/>
    <w:rsid w:val="59AC6857"/>
    <w:rsid w:val="59DD17BD"/>
    <w:rsid w:val="59FC5B1B"/>
    <w:rsid w:val="5A1801CD"/>
    <w:rsid w:val="5A386CC9"/>
    <w:rsid w:val="5A565C9D"/>
    <w:rsid w:val="5A5C2EC6"/>
    <w:rsid w:val="5A7D0BC9"/>
    <w:rsid w:val="5A9A47D4"/>
    <w:rsid w:val="5AA24261"/>
    <w:rsid w:val="5AB13342"/>
    <w:rsid w:val="5AB75F5E"/>
    <w:rsid w:val="5AB94AC0"/>
    <w:rsid w:val="5AE0358F"/>
    <w:rsid w:val="5B013974"/>
    <w:rsid w:val="5B0173A6"/>
    <w:rsid w:val="5B0D481B"/>
    <w:rsid w:val="5B2C545E"/>
    <w:rsid w:val="5B325C2F"/>
    <w:rsid w:val="5B432643"/>
    <w:rsid w:val="5B435A44"/>
    <w:rsid w:val="5B4370FF"/>
    <w:rsid w:val="5B802463"/>
    <w:rsid w:val="5B814CAB"/>
    <w:rsid w:val="5BCF5558"/>
    <w:rsid w:val="5BE44811"/>
    <w:rsid w:val="5BFB25C2"/>
    <w:rsid w:val="5C057E92"/>
    <w:rsid w:val="5C0B6DF8"/>
    <w:rsid w:val="5C5A5A3E"/>
    <w:rsid w:val="5CDE6BAB"/>
    <w:rsid w:val="5CE4609D"/>
    <w:rsid w:val="5D0556C4"/>
    <w:rsid w:val="5D075B75"/>
    <w:rsid w:val="5D296121"/>
    <w:rsid w:val="5D964EAA"/>
    <w:rsid w:val="5DA27D50"/>
    <w:rsid w:val="5DCC1624"/>
    <w:rsid w:val="5DD46657"/>
    <w:rsid w:val="5E007206"/>
    <w:rsid w:val="5E4006A7"/>
    <w:rsid w:val="5E483C1C"/>
    <w:rsid w:val="5E5324EF"/>
    <w:rsid w:val="5E5862D2"/>
    <w:rsid w:val="5E602469"/>
    <w:rsid w:val="5E63325F"/>
    <w:rsid w:val="5E7F0DF1"/>
    <w:rsid w:val="5E850121"/>
    <w:rsid w:val="5E874580"/>
    <w:rsid w:val="5EA419C1"/>
    <w:rsid w:val="5EC92E5E"/>
    <w:rsid w:val="5ECB6A78"/>
    <w:rsid w:val="5ED5588F"/>
    <w:rsid w:val="5EDB4D93"/>
    <w:rsid w:val="5EF70745"/>
    <w:rsid w:val="5F000BCB"/>
    <w:rsid w:val="5F1B6B85"/>
    <w:rsid w:val="5F2E30BD"/>
    <w:rsid w:val="5F4F3092"/>
    <w:rsid w:val="5F5C7876"/>
    <w:rsid w:val="5F796C03"/>
    <w:rsid w:val="5FA62B85"/>
    <w:rsid w:val="5FE77FD2"/>
    <w:rsid w:val="5FED0664"/>
    <w:rsid w:val="60021376"/>
    <w:rsid w:val="601D646A"/>
    <w:rsid w:val="60267E82"/>
    <w:rsid w:val="60274530"/>
    <w:rsid w:val="60292953"/>
    <w:rsid w:val="602B58EC"/>
    <w:rsid w:val="603C6883"/>
    <w:rsid w:val="604366CF"/>
    <w:rsid w:val="60675220"/>
    <w:rsid w:val="609F6AD7"/>
    <w:rsid w:val="60B62814"/>
    <w:rsid w:val="60D1239C"/>
    <w:rsid w:val="60D87AE5"/>
    <w:rsid w:val="60E136C5"/>
    <w:rsid w:val="60EE11E4"/>
    <w:rsid w:val="60EE158F"/>
    <w:rsid w:val="60FF4D92"/>
    <w:rsid w:val="61097E15"/>
    <w:rsid w:val="6139570F"/>
    <w:rsid w:val="61573FA3"/>
    <w:rsid w:val="61900D84"/>
    <w:rsid w:val="61A27402"/>
    <w:rsid w:val="61A95E77"/>
    <w:rsid w:val="61D35ED7"/>
    <w:rsid w:val="62715D15"/>
    <w:rsid w:val="629B7F14"/>
    <w:rsid w:val="62A853EC"/>
    <w:rsid w:val="62B05180"/>
    <w:rsid w:val="62D86E4D"/>
    <w:rsid w:val="62DB4E2C"/>
    <w:rsid w:val="630A0FB8"/>
    <w:rsid w:val="63146887"/>
    <w:rsid w:val="633D4181"/>
    <w:rsid w:val="637C0B7E"/>
    <w:rsid w:val="63B5084C"/>
    <w:rsid w:val="63B512B5"/>
    <w:rsid w:val="63BA42AE"/>
    <w:rsid w:val="63DC3984"/>
    <w:rsid w:val="6417181C"/>
    <w:rsid w:val="64243EEB"/>
    <w:rsid w:val="64373096"/>
    <w:rsid w:val="64443534"/>
    <w:rsid w:val="644B7365"/>
    <w:rsid w:val="64626173"/>
    <w:rsid w:val="646E531C"/>
    <w:rsid w:val="648A374E"/>
    <w:rsid w:val="648C00B9"/>
    <w:rsid w:val="649148DD"/>
    <w:rsid w:val="649A107C"/>
    <w:rsid w:val="64B47132"/>
    <w:rsid w:val="64E36B0D"/>
    <w:rsid w:val="650451E4"/>
    <w:rsid w:val="652C68DA"/>
    <w:rsid w:val="653B00A0"/>
    <w:rsid w:val="658F3D78"/>
    <w:rsid w:val="65C9790D"/>
    <w:rsid w:val="65DF7513"/>
    <w:rsid w:val="65F71459"/>
    <w:rsid w:val="66182C54"/>
    <w:rsid w:val="661E6743"/>
    <w:rsid w:val="66474B7E"/>
    <w:rsid w:val="669F4356"/>
    <w:rsid w:val="66C37601"/>
    <w:rsid w:val="66CA3944"/>
    <w:rsid w:val="66CD767B"/>
    <w:rsid w:val="66F927DC"/>
    <w:rsid w:val="66FE71E5"/>
    <w:rsid w:val="671D76DA"/>
    <w:rsid w:val="672A61A6"/>
    <w:rsid w:val="6737099A"/>
    <w:rsid w:val="67405991"/>
    <w:rsid w:val="67495941"/>
    <w:rsid w:val="676302B9"/>
    <w:rsid w:val="677E25E3"/>
    <w:rsid w:val="6789462B"/>
    <w:rsid w:val="679F3165"/>
    <w:rsid w:val="67A206F9"/>
    <w:rsid w:val="67B46AB3"/>
    <w:rsid w:val="67B73FC2"/>
    <w:rsid w:val="67B96116"/>
    <w:rsid w:val="67C57A76"/>
    <w:rsid w:val="67C60ECD"/>
    <w:rsid w:val="68046A92"/>
    <w:rsid w:val="68076BB1"/>
    <w:rsid w:val="684C7374"/>
    <w:rsid w:val="686325DB"/>
    <w:rsid w:val="686B48F7"/>
    <w:rsid w:val="689A3347"/>
    <w:rsid w:val="689E1B8E"/>
    <w:rsid w:val="68C86A33"/>
    <w:rsid w:val="68F06CFA"/>
    <w:rsid w:val="68FD2534"/>
    <w:rsid w:val="69014878"/>
    <w:rsid w:val="6904717E"/>
    <w:rsid w:val="69147257"/>
    <w:rsid w:val="69342463"/>
    <w:rsid w:val="6960059C"/>
    <w:rsid w:val="697D7EF3"/>
    <w:rsid w:val="69856A6E"/>
    <w:rsid w:val="69F47206"/>
    <w:rsid w:val="69F84599"/>
    <w:rsid w:val="6A1C5724"/>
    <w:rsid w:val="6A410D55"/>
    <w:rsid w:val="6A826357"/>
    <w:rsid w:val="6A837084"/>
    <w:rsid w:val="6AA44925"/>
    <w:rsid w:val="6AB91E22"/>
    <w:rsid w:val="6ABE48E0"/>
    <w:rsid w:val="6AC66742"/>
    <w:rsid w:val="6AD541DF"/>
    <w:rsid w:val="6ADE42A1"/>
    <w:rsid w:val="6B25558D"/>
    <w:rsid w:val="6B340495"/>
    <w:rsid w:val="6B431FF2"/>
    <w:rsid w:val="6B475262"/>
    <w:rsid w:val="6B5B29B4"/>
    <w:rsid w:val="6B892678"/>
    <w:rsid w:val="6BA8068F"/>
    <w:rsid w:val="6BA81981"/>
    <w:rsid w:val="6BB70551"/>
    <w:rsid w:val="6C072A2C"/>
    <w:rsid w:val="6C221FD9"/>
    <w:rsid w:val="6C3A079D"/>
    <w:rsid w:val="6C3B4AB3"/>
    <w:rsid w:val="6C501F85"/>
    <w:rsid w:val="6C573A8E"/>
    <w:rsid w:val="6C677A6E"/>
    <w:rsid w:val="6C7330C9"/>
    <w:rsid w:val="6CC04E89"/>
    <w:rsid w:val="6CCB1A88"/>
    <w:rsid w:val="6CD970BB"/>
    <w:rsid w:val="6D831D7C"/>
    <w:rsid w:val="6DEA6D96"/>
    <w:rsid w:val="6DF12E36"/>
    <w:rsid w:val="6E147A4F"/>
    <w:rsid w:val="6E291C04"/>
    <w:rsid w:val="6E3675D3"/>
    <w:rsid w:val="6E4173C6"/>
    <w:rsid w:val="6E475F58"/>
    <w:rsid w:val="6E662E55"/>
    <w:rsid w:val="6E7F06E9"/>
    <w:rsid w:val="6EB74643"/>
    <w:rsid w:val="6ECD58F9"/>
    <w:rsid w:val="6EE262B8"/>
    <w:rsid w:val="6EF64F0A"/>
    <w:rsid w:val="6FAA69EE"/>
    <w:rsid w:val="6FB1554F"/>
    <w:rsid w:val="6FC6613E"/>
    <w:rsid w:val="6FE31D93"/>
    <w:rsid w:val="6FE5040E"/>
    <w:rsid w:val="70052C3B"/>
    <w:rsid w:val="70221520"/>
    <w:rsid w:val="704C0125"/>
    <w:rsid w:val="70526185"/>
    <w:rsid w:val="70531EFC"/>
    <w:rsid w:val="70A26BBB"/>
    <w:rsid w:val="70AE175A"/>
    <w:rsid w:val="70DA62D7"/>
    <w:rsid w:val="71220EF5"/>
    <w:rsid w:val="71286758"/>
    <w:rsid w:val="71306C7E"/>
    <w:rsid w:val="7131732A"/>
    <w:rsid w:val="71323825"/>
    <w:rsid w:val="71447D45"/>
    <w:rsid w:val="71684929"/>
    <w:rsid w:val="716E27FC"/>
    <w:rsid w:val="71752353"/>
    <w:rsid w:val="717C7337"/>
    <w:rsid w:val="7184391A"/>
    <w:rsid w:val="71A87F57"/>
    <w:rsid w:val="71A95E5E"/>
    <w:rsid w:val="71BD098F"/>
    <w:rsid w:val="71E61E00"/>
    <w:rsid w:val="720968DC"/>
    <w:rsid w:val="7214460D"/>
    <w:rsid w:val="723859BB"/>
    <w:rsid w:val="723E08BB"/>
    <w:rsid w:val="72430E5E"/>
    <w:rsid w:val="725C33CC"/>
    <w:rsid w:val="727E047C"/>
    <w:rsid w:val="728873AD"/>
    <w:rsid w:val="729C7592"/>
    <w:rsid w:val="72C50F73"/>
    <w:rsid w:val="72E04A90"/>
    <w:rsid w:val="72F334E4"/>
    <w:rsid w:val="731B6353"/>
    <w:rsid w:val="732032C4"/>
    <w:rsid w:val="733C3C28"/>
    <w:rsid w:val="733F2308"/>
    <w:rsid w:val="73472286"/>
    <w:rsid w:val="734B45D5"/>
    <w:rsid w:val="73647C7A"/>
    <w:rsid w:val="737B5020"/>
    <w:rsid w:val="73B6782D"/>
    <w:rsid w:val="73CB4141"/>
    <w:rsid w:val="74137894"/>
    <w:rsid w:val="741677CD"/>
    <w:rsid w:val="7429691E"/>
    <w:rsid w:val="744C531E"/>
    <w:rsid w:val="74820F33"/>
    <w:rsid w:val="748952F8"/>
    <w:rsid w:val="748C178A"/>
    <w:rsid w:val="74B56D87"/>
    <w:rsid w:val="74BB6A50"/>
    <w:rsid w:val="74C17671"/>
    <w:rsid w:val="74C7147F"/>
    <w:rsid w:val="74D8269A"/>
    <w:rsid w:val="74EA24DC"/>
    <w:rsid w:val="74F2447A"/>
    <w:rsid w:val="750B66BB"/>
    <w:rsid w:val="750B71C0"/>
    <w:rsid w:val="751B7610"/>
    <w:rsid w:val="75220020"/>
    <w:rsid w:val="754420FB"/>
    <w:rsid w:val="755A7D54"/>
    <w:rsid w:val="755E1E03"/>
    <w:rsid w:val="7563393F"/>
    <w:rsid w:val="75705230"/>
    <w:rsid w:val="7579336D"/>
    <w:rsid w:val="75882A7E"/>
    <w:rsid w:val="75C959F1"/>
    <w:rsid w:val="75FB7EF2"/>
    <w:rsid w:val="761644C1"/>
    <w:rsid w:val="76242D90"/>
    <w:rsid w:val="7624672B"/>
    <w:rsid w:val="762F7E5A"/>
    <w:rsid w:val="76312AE3"/>
    <w:rsid w:val="766F67EB"/>
    <w:rsid w:val="767945B8"/>
    <w:rsid w:val="767A4196"/>
    <w:rsid w:val="767E4D6C"/>
    <w:rsid w:val="76810643"/>
    <w:rsid w:val="76852B26"/>
    <w:rsid w:val="76863A38"/>
    <w:rsid w:val="76A317E4"/>
    <w:rsid w:val="76C715D5"/>
    <w:rsid w:val="76CA7722"/>
    <w:rsid w:val="76E64D2D"/>
    <w:rsid w:val="76ED6FCF"/>
    <w:rsid w:val="76FF646B"/>
    <w:rsid w:val="77023A26"/>
    <w:rsid w:val="774A408A"/>
    <w:rsid w:val="775C1AD6"/>
    <w:rsid w:val="77662037"/>
    <w:rsid w:val="77B75A5B"/>
    <w:rsid w:val="77DF5395"/>
    <w:rsid w:val="77FD165F"/>
    <w:rsid w:val="78303DAA"/>
    <w:rsid w:val="785357AC"/>
    <w:rsid w:val="786A15AD"/>
    <w:rsid w:val="78B169A4"/>
    <w:rsid w:val="78C57641"/>
    <w:rsid w:val="78CB1ACC"/>
    <w:rsid w:val="78D55C71"/>
    <w:rsid w:val="78D74424"/>
    <w:rsid w:val="78EE38FB"/>
    <w:rsid w:val="790017B3"/>
    <w:rsid w:val="79005B02"/>
    <w:rsid w:val="79117A73"/>
    <w:rsid w:val="79143567"/>
    <w:rsid w:val="792A5C74"/>
    <w:rsid w:val="79491659"/>
    <w:rsid w:val="794C5A99"/>
    <w:rsid w:val="7950053F"/>
    <w:rsid w:val="798320DD"/>
    <w:rsid w:val="798B6ADC"/>
    <w:rsid w:val="79A75199"/>
    <w:rsid w:val="79E42F70"/>
    <w:rsid w:val="7A246100"/>
    <w:rsid w:val="7A2C2959"/>
    <w:rsid w:val="7A3B69D4"/>
    <w:rsid w:val="7A3C392F"/>
    <w:rsid w:val="7A3C6131"/>
    <w:rsid w:val="7A471D18"/>
    <w:rsid w:val="7A4D74C6"/>
    <w:rsid w:val="7A70182E"/>
    <w:rsid w:val="7ADE7AFA"/>
    <w:rsid w:val="7AEF2663"/>
    <w:rsid w:val="7AF504FB"/>
    <w:rsid w:val="7AF91E5B"/>
    <w:rsid w:val="7B0837AE"/>
    <w:rsid w:val="7B4F1153"/>
    <w:rsid w:val="7B711D00"/>
    <w:rsid w:val="7B723883"/>
    <w:rsid w:val="7B841313"/>
    <w:rsid w:val="7BB56DF5"/>
    <w:rsid w:val="7BCC144B"/>
    <w:rsid w:val="7BD014E3"/>
    <w:rsid w:val="7BD0758E"/>
    <w:rsid w:val="7BF0138E"/>
    <w:rsid w:val="7BF33537"/>
    <w:rsid w:val="7C007808"/>
    <w:rsid w:val="7C0E0455"/>
    <w:rsid w:val="7C1273AF"/>
    <w:rsid w:val="7C2709DF"/>
    <w:rsid w:val="7C29339A"/>
    <w:rsid w:val="7C3D19D1"/>
    <w:rsid w:val="7C53145E"/>
    <w:rsid w:val="7C61459C"/>
    <w:rsid w:val="7C633BFC"/>
    <w:rsid w:val="7CBE4556"/>
    <w:rsid w:val="7CE6522A"/>
    <w:rsid w:val="7D253A1C"/>
    <w:rsid w:val="7D285757"/>
    <w:rsid w:val="7D344D85"/>
    <w:rsid w:val="7D636A76"/>
    <w:rsid w:val="7D767DF7"/>
    <w:rsid w:val="7D913F95"/>
    <w:rsid w:val="7DC51123"/>
    <w:rsid w:val="7DCE7F28"/>
    <w:rsid w:val="7DEE40F0"/>
    <w:rsid w:val="7E0C0EF8"/>
    <w:rsid w:val="7E514EAF"/>
    <w:rsid w:val="7E9E3DE8"/>
    <w:rsid w:val="7ED12CE5"/>
    <w:rsid w:val="7EDB5392"/>
    <w:rsid w:val="7EE65BB0"/>
    <w:rsid w:val="7EE8138A"/>
    <w:rsid w:val="7F043600"/>
    <w:rsid w:val="7F1E2CF0"/>
    <w:rsid w:val="7F6605FB"/>
    <w:rsid w:val="7F66415C"/>
    <w:rsid w:val="7F85342A"/>
    <w:rsid w:val="7F877A0B"/>
    <w:rsid w:val="7F887192"/>
    <w:rsid w:val="7F912972"/>
    <w:rsid w:val="7FE14D89"/>
    <w:rsid w:val="7FE42B76"/>
    <w:rsid w:val="7FE85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宋体" w:cstheme="minorBidi"/>
      <w:kern w:val="2"/>
      <w:sz w:val="24"/>
      <w:szCs w:val="24"/>
      <w:lang w:val="en-US" w:eastAsia="zh-CN" w:bidi="ar-SA"/>
    </w:rPr>
  </w:style>
  <w:style w:type="paragraph" w:styleId="3">
    <w:name w:val="heading 1"/>
    <w:basedOn w:val="1"/>
    <w:next w:val="1"/>
    <w:link w:val="48"/>
    <w:qFormat/>
    <w:uiPriority w:val="0"/>
    <w:pPr>
      <w:keepNext/>
      <w:keepLines/>
      <w:outlineLvl w:val="0"/>
    </w:pPr>
    <w:rPr>
      <w:b/>
      <w:kern w:val="44"/>
      <w:sz w:val="32"/>
    </w:rPr>
  </w:style>
  <w:style w:type="paragraph" w:styleId="2">
    <w:name w:val="heading 2"/>
    <w:basedOn w:val="1"/>
    <w:next w:val="1"/>
    <w:unhideWhenUsed/>
    <w:qFormat/>
    <w:uiPriority w:val="0"/>
    <w:pPr>
      <w:keepNext/>
      <w:keepLines/>
      <w:outlineLvl w:val="1"/>
    </w:pPr>
    <w:rPr>
      <w:b/>
      <w:sz w:val="30"/>
    </w:rPr>
  </w:style>
  <w:style w:type="paragraph" w:styleId="4">
    <w:name w:val="heading 3"/>
    <w:basedOn w:val="1"/>
    <w:next w:val="1"/>
    <w:unhideWhenUsed/>
    <w:qFormat/>
    <w:uiPriority w:val="0"/>
    <w:pPr>
      <w:keepNext/>
      <w:keepLines/>
      <w:outlineLvl w:val="2"/>
    </w:pPr>
    <w:rPr>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unhideWhenUsed/>
    <w:qFormat/>
    <w:uiPriority w:val="99"/>
    <w:pPr>
      <w:spacing w:line="240" w:lineRule="auto"/>
      <w:ind w:firstLine="420" w:firstLineChars="200"/>
    </w:pPr>
    <w:rPr>
      <w:rFonts w:asciiTheme="minorHAnsi" w:hAnsiTheme="minorHAnsi" w:eastAsiaTheme="minorEastAsia"/>
      <w:sz w:val="21"/>
    </w:rPr>
  </w:style>
  <w:style w:type="paragraph" w:styleId="6">
    <w:name w:val="toc 4"/>
    <w:basedOn w:val="1"/>
    <w:next w:val="1"/>
    <w:unhideWhenUsed/>
    <w:qFormat/>
    <w:uiPriority w:val="39"/>
    <w:pPr>
      <w:spacing w:line="240" w:lineRule="auto"/>
      <w:ind w:left="1260" w:leftChars="600"/>
    </w:pPr>
    <w:rPr>
      <w:rFonts w:asciiTheme="minorHAnsi" w:hAnsiTheme="minorHAnsi" w:eastAsiaTheme="minorEastAsia"/>
      <w:sz w:val="21"/>
    </w:rPr>
  </w:style>
  <w:style w:type="paragraph" w:styleId="7">
    <w:name w:val="Body Text"/>
    <w:basedOn w:val="1"/>
    <w:next w:val="1"/>
    <w:qFormat/>
    <w:uiPriority w:val="0"/>
    <w:pPr>
      <w:spacing w:after="120"/>
    </w:pPr>
    <w:rPr>
      <w:rFonts w:ascii="Verdana" w:hAnsi="Verdana"/>
    </w:rPr>
  </w:style>
  <w:style w:type="paragraph" w:styleId="8">
    <w:name w:val="Body Text Indent"/>
    <w:basedOn w:val="1"/>
    <w:semiHidden/>
    <w:unhideWhenUsed/>
    <w:qFormat/>
    <w:uiPriority w:val="99"/>
    <w:pPr>
      <w:spacing w:after="120"/>
      <w:ind w:left="420" w:leftChars="200"/>
    </w:pPr>
  </w:style>
  <w:style w:type="paragraph" w:styleId="9">
    <w:name w:val="Plain Text"/>
    <w:basedOn w:val="1"/>
    <w:qFormat/>
    <w:uiPriority w:val="0"/>
    <w:rPr>
      <w:rFonts w:ascii="宋体" w:hAnsi="Courier New"/>
      <w:kern w:val="0"/>
      <w:sz w:val="20"/>
      <w:szCs w:val="21"/>
    </w:rPr>
  </w:style>
  <w:style w:type="paragraph" w:styleId="10">
    <w:name w:val="Body Text Indent 2"/>
    <w:basedOn w:val="1"/>
    <w:link w:val="47"/>
    <w:qFormat/>
    <w:uiPriority w:val="0"/>
    <w:pPr>
      <w:spacing w:after="120" w:line="480" w:lineRule="auto"/>
      <w:ind w:left="420" w:leftChars="200"/>
    </w:pPr>
  </w:style>
  <w:style w:type="paragraph" w:styleId="11">
    <w:name w:val="Balloon Text"/>
    <w:basedOn w:val="1"/>
    <w:link w:val="34"/>
    <w:qFormat/>
    <w:uiPriority w:val="0"/>
    <w:pPr>
      <w:spacing w:line="240" w:lineRule="auto"/>
    </w:pPr>
    <w:rPr>
      <w:sz w:val="18"/>
      <w:szCs w:val="18"/>
    </w:rPr>
  </w:style>
  <w:style w:type="paragraph" w:styleId="12">
    <w:name w:val="footer"/>
    <w:basedOn w:val="1"/>
    <w:link w:val="36"/>
    <w:qFormat/>
    <w:uiPriority w:val="0"/>
    <w:pPr>
      <w:tabs>
        <w:tab w:val="center" w:pos="4153"/>
        <w:tab w:val="right" w:pos="8306"/>
      </w:tabs>
      <w:snapToGrid w:val="0"/>
      <w:spacing w:line="240" w:lineRule="auto"/>
      <w:jc w:val="left"/>
    </w:pPr>
    <w:rPr>
      <w:sz w:val="18"/>
      <w:szCs w:val="18"/>
    </w:rPr>
  </w:style>
  <w:style w:type="paragraph" w:styleId="13">
    <w:name w:val="header"/>
    <w:basedOn w:val="1"/>
    <w:link w:val="35"/>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unhideWhenUsed/>
    <w:qFormat/>
    <w:uiPriority w:val="39"/>
    <w:pPr>
      <w:spacing w:line="240" w:lineRule="auto"/>
    </w:pPr>
    <w:rPr>
      <w:rFonts w:ascii="Times New Roman" w:hAnsi="Times New Roman" w:cs="Times New Roman"/>
      <w:sz w:val="21"/>
    </w:rPr>
  </w:style>
  <w:style w:type="paragraph" w:styleId="15">
    <w:name w:val="List"/>
    <w:basedOn w:val="1"/>
    <w:qFormat/>
    <w:uiPriority w:val="0"/>
    <w:pPr>
      <w:ind w:left="200" w:hanging="200" w:hangingChars="200"/>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spacing w:after="120"/>
      <w:ind w:left="420" w:leftChars="200"/>
    </w:pPr>
    <w:rPr>
      <w:sz w:val="16"/>
      <w:szCs w:val="16"/>
    </w:rPr>
  </w:style>
  <w:style w:type="paragraph" w:styleId="18">
    <w:name w:val="Normal (Web)"/>
    <w:basedOn w:val="1"/>
    <w:qFormat/>
    <w:uiPriority w:val="0"/>
    <w:pPr>
      <w:widowControl/>
      <w:spacing w:before="100" w:beforeAutospacing="1" w:after="100" w:afterAutospacing="1"/>
      <w:jc w:val="left"/>
    </w:pPr>
    <w:rPr>
      <w:rFonts w:cs="宋体"/>
      <w:color w:val="000000"/>
      <w:kern w:val="0"/>
    </w:rPr>
  </w:style>
  <w:style w:type="paragraph" w:styleId="19">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20">
    <w:name w:val="Body Text First Indent"/>
    <w:basedOn w:val="7"/>
    <w:unhideWhenUsed/>
    <w:qFormat/>
    <w:uiPriority w:val="99"/>
    <w:pPr>
      <w:ind w:firstLine="420" w:firstLineChars="100"/>
    </w:pPr>
  </w:style>
  <w:style w:type="paragraph" w:styleId="21">
    <w:name w:val="Body Text First Indent 2"/>
    <w:basedOn w:val="8"/>
    <w:qFormat/>
    <w:uiPriority w:val="0"/>
    <w:pPr>
      <w:spacing w:after="0"/>
      <w:ind w:left="0" w:leftChars="0" w:firstLine="420" w:firstLineChars="200"/>
    </w:pPr>
    <w:rPr>
      <w:rFonts w:ascii="Calibri" w:hAnsi="Calibri"/>
    </w:rPr>
  </w:style>
  <w:style w:type="table" w:styleId="23">
    <w:name w:val="Table Grid"/>
    <w:basedOn w:val="22"/>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Emphasis"/>
    <w:basedOn w:val="24"/>
    <w:qFormat/>
    <w:uiPriority w:val="20"/>
    <w:rPr>
      <w:i/>
      <w:iCs/>
    </w:rPr>
  </w:style>
  <w:style w:type="character" w:styleId="27">
    <w:name w:val="Hyperlink"/>
    <w:basedOn w:val="24"/>
    <w:unhideWhenUsed/>
    <w:qFormat/>
    <w:uiPriority w:val="99"/>
    <w:rPr>
      <w:color w:val="0000FF"/>
      <w:u w:val="single"/>
    </w:rPr>
  </w:style>
  <w:style w:type="character" w:styleId="28">
    <w:name w:val="HTML Sample"/>
    <w:basedOn w:val="24"/>
    <w:qFormat/>
    <w:uiPriority w:val="0"/>
    <w:rPr>
      <w:rFonts w:ascii="Courier New" w:hAnsi="Courier New"/>
    </w:rPr>
  </w:style>
  <w:style w:type="paragraph" w:customStyle="1" w:styleId="29">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0">
    <w:name w:val="一级条标题"/>
    <w:basedOn w:val="31"/>
    <w:next w:val="29"/>
    <w:qFormat/>
    <w:uiPriority w:val="99"/>
    <w:pPr>
      <w:spacing w:line="240" w:lineRule="auto"/>
      <w:ind w:left="420"/>
      <w:outlineLvl w:val="2"/>
    </w:pPr>
  </w:style>
  <w:style w:type="paragraph" w:customStyle="1" w:styleId="31">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3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3">
    <w:name w:val="No Spacing"/>
    <w:qFormat/>
    <w:uiPriority w:val="1"/>
    <w:pPr>
      <w:widowControl w:val="0"/>
      <w:jc w:val="both"/>
    </w:pPr>
    <w:rPr>
      <w:rFonts w:ascii="Times New Roman" w:hAnsi="Times New Roman" w:eastAsia="等线" w:cs="Times New Roman"/>
      <w:kern w:val="2"/>
      <w:sz w:val="21"/>
      <w:szCs w:val="24"/>
      <w:lang w:val="en-US" w:eastAsia="zh-CN" w:bidi="ar-SA"/>
    </w:rPr>
  </w:style>
  <w:style w:type="character" w:customStyle="1" w:styleId="34">
    <w:name w:val="批注框文本 Char"/>
    <w:basedOn w:val="24"/>
    <w:link w:val="11"/>
    <w:qFormat/>
    <w:uiPriority w:val="0"/>
    <w:rPr>
      <w:rFonts w:ascii="宋体" w:hAnsi="宋体" w:cstheme="minorBidi"/>
      <w:kern w:val="2"/>
      <w:sz w:val="18"/>
      <w:szCs w:val="18"/>
    </w:rPr>
  </w:style>
  <w:style w:type="character" w:customStyle="1" w:styleId="35">
    <w:name w:val="页眉 Char"/>
    <w:basedOn w:val="24"/>
    <w:link w:val="13"/>
    <w:qFormat/>
    <w:uiPriority w:val="0"/>
    <w:rPr>
      <w:rFonts w:ascii="宋体" w:hAnsi="宋体" w:cstheme="minorBidi"/>
      <w:kern w:val="2"/>
      <w:sz w:val="18"/>
      <w:szCs w:val="18"/>
    </w:rPr>
  </w:style>
  <w:style w:type="character" w:customStyle="1" w:styleId="36">
    <w:name w:val="页脚 Char"/>
    <w:basedOn w:val="24"/>
    <w:link w:val="12"/>
    <w:qFormat/>
    <w:uiPriority w:val="0"/>
    <w:rPr>
      <w:rFonts w:ascii="宋体" w:hAnsi="宋体" w:cstheme="minorBidi"/>
      <w:kern w:val="2"/>
      <w:sz w:val="18"/>
      <w:szCs w:val="18"/>
    </w:rPr>
  </w:style>
  <w:style w:type="paragraph" w:styleId="37">
    <w:name w:val="List Paragraph"/>
    <w:basedOn w:val="1"/>
    <w:qFormat/>
    <w:uiPriority w:val="99"/>
    <w:pPr>
      <w:ind w:firstLine="420" w:firstLineChars="200"/>
    </w:pPr>
  </w:style>
  <w:style w:type="paragraph" w:customStyle="1" w:styleId="38">
    <w:name w:val="普通正文"/>
    <w:basedOn w:val="1"/>
    <w:qFormat/>
    <w:uiPriority w:val="0"/>
    <w:pPr>
      <w:spacing w:before="120" w:after="120"/>
      <w:ind w:firstLine="480"/>
      <w:jc w:val="left"/>
    </w:pPr>
    <w:rPr>
      <w:rFonts w:ascii="Arial" w:hAnsi="Arial"/>
    </w:rPr>
  </w:style>
  <w:style w:type="paragraph" w:customStyle="1" w:styleId="39">
    <w:name w:val="BodyText"/>
    <w:basedOn w:val="1"/>
    <w:next w:val="40"/>
    <w:qFormat/>
    <w:uiPriority w:val="0"/>
    <w:pPr>
      <w:spacing w:line="300" w:lineRule="auto"/>
      <w:jc w:val="center"/>
    </w:pPr>
  </w:style>
  <w:style w:type="paragraph" w:customStyle="1" w:styleId="40">
    <w:name w:val="TOC2"/>
    <w:basedOn w:val="1"/>
    <w:next w:val="1"/>
    <w:qFormat/>
    <w:uiPriority w:val="0"/>
    <w:pPr>
      <w:spacing w:line="410" w:lineRule="auto"/>
      <w:ind w:left="240" w:leftChars="100"/>
    </w:pPr>
    <w:rPr>
      <w:rFonts w:ascii="Calibri" w:hAnsi="Calibri"/>
    </w:rPr>
  </w:style>
  <w:style w:type="paragraph" w:customStyle="1" w:styleId="41">
    <w:name w:val="正文空2格  1."/>
    <w:basedOn w:val="1"/>
    <w:qFormat/>
    <w:uiPriority w:val="0"/>
    <w:pPr>
      <w:ind w:firstLine="480" w:firstLineChars="200"/>
    </w:pPr>
    <w:rPr>
      <w:rFonts w:cs="宋体"/>
      <w:szCs w:val="20"/>
    </w:rPr>
  </w:style>
  <w:style w:type="paragraph" w:customStyle="1" w:styleId="42">
    <w:name w:val="(符号)五标题1.1.1"/>
    <w:basedOn w:val="1"/>
    <w:qFormat/>
    <w:uiPriority w:val="0"/>
    <w:pPr>
      <w:numPr>
        <w:ilvl w:val="2"/>
        <w:numId w:val="1"/>
      </w:numPr>
      <w:tabs>
        <w:tab w:val="left" w:pos="862"/>
      </w:tabs>
      <w:spacing w:line="500" w:lineRule="exact"/>
    </w:pPr>
    <w:rPr>
      <w:rFonts w:cs="宋体"/>
      <w:color w:val="000000"/>
      <w:szCs w:val="20"/>
    </w:rPr>
  </w:style>
  <w:style w:type="paragraph" w:customStyle="1" w:styleId="43">
    <w:name w:val="（符号）三标题1.1"/>
    <w:basedOn w:val="1"/>
    <w:qFormat/>
    <w:uiPriority w:val="0"/>
    <w:pPr>
      <w:numPr>
        <w:ilvl w:val="1"/>
        <w:numId w:val="2"/>
      </w:numPr>
      <w:tabs>
        <w:tab w:val="left" w:pos="360"/>
        <w:tab w:val="left" w:pos="700"/>
      </w:tabs>
      <w:spacing w:line="500" w:lineRule="exact"/>
    </w:pPr>
  </w:style>
  <w:style w:type="paragraph" w:customStyle="1" w:styleId="44">
    <w:name w:val="样式3"/>
    <w:basedOn w:val="1"/>
    <w:next w:val="1"/>
    <w:qFormat/>
    <w:uiPriority w:val="0"/>
    <w:rPr>
      <w:rFonts w:ascii="Times New Roman"/>
      <w:sz w:val="21"/>
      <w:szCs w:val="20"/>
    </w:rPr>
  </w:style>
  <w:style w:type="paragraph" w:customStyle="1" w:styleId="45">
    <w:name w:val="样式5"/>
    <w:basedOn w:val="1"/>
    <w:qFormat/>
    <w:uiPriority w:val="0"/>
    <w:pPr>
      <w:ind w:firstLine="485" w:firstLineChars="202"/>
    </w:pPr>
    <w:rPr>
      <w:rFonts w:ascii="Times New Roman" w:hAnsi="Times New Roman" w:cs="宋体"/>
    </w:rPr>
  </w:style>
  <w:style w:type="paragraph" w:customStyle="1" w:styleId="4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character" w:customStyle="1" w:styleId="47">
    <w:name w:val="正文文本缩进 2 Char"/>
    <w:basedOn w:val="24"/>
    <w:link w:val="10"/>
    <w:qFormat/>
    <w:uiPriority w:val="0"/>
    <w:rPr>
      <w:rFonts w:ascii="宋体" w:hAnsi="宋体" w:cstheme="minorBidi"/>
      <w:kern w:val="2"/>
      <w:sz w:val="24"/>
      <w:szCs w:val="24"/>
    </w:rPr>
  </w:style>
  <w:style w:type="character" w:customStyle="1" w:styleId="48">
    <w:name w:val="标题 1 Char"/>
    <w:basedOn w:val="24"/>
    <w:link w:val="3"/>
    <w:qFormat/>
    <w:uiPriority w:val="0"/>
    <w:rPr>
      <w:rFonts w:ascii="宋体" w:hAnsi="宋体" w:cstheme="minorBidi"/>
      <w:b/>
      <w:kern w:val="44"/>
      <w:sz w:val="32"/>
      <w:szCs w:val="24"/>
    </w:rPr>
  </w:style>
  <w:style w:type="character" w:customStyle="1" w:styleId="49">
    <w:name w:val="font131"/>
    <w:basedOn w:val="24"/>
    <w:qFormat/>
    <w:uiPriority w:val="0"/>
    <w:rPr>
      <w:rFonts w:hint="default" w:ascii="仿宋_GB2312" w:eastAsia="仿宋_GB2312" w:cs="仿宋_GB2312"/>
      <w:color w:val="000000"/>
      <w:sz w:val="32"/>
      <w:szCs w:val="32"/>
      <w:u w:val="none"/>
    </w:rPr>
  </w:style>
  <w:style w:type="character" w:customStyle="1" w:styleId="50">
    <w:name w:val="font91"/>
    <w:basedOn w:val="24"/>
    <w:qFormat/>
    <w:uiPriority w:val="0"/>
    <w:rPr>
      <w:rFonts w:hint="eastAsia" w:ascii="宋体" w:hAnsi="宋体" w:eastAsia="宋体" w:cs="宋体"/>
      <w:color w:val="000000"/>
      <w:sz w:val="32"/>
      <w:szCs w:val="32"/>
      <w:u w:val="none"/>
    </w:rPr>
  </w:style>
  <w:style w:type="character" w:customStyle="1" w:styleId="51">
    <w:name w:val="font61"/>
    <w:basedOn w:val="24"/>
    <w:qFormat/>
    <w:uiPriority w:val="0"/>
    <w:rPr>
      <w:rFonts w:hint="default" w:ascii="Times New Roman" w:hAnsi="Times New Roman" w:cs="Times New Roman"/>
      <w:color w:val="000000"/>
      <w:sz w:val="32"/>
      <w:szCs w:val="32"/>
      <w:u w:val="none"/>
    </w:rPr>
  </w:style>
  <w:style w:type="character" w:customStyle="1" w:styleId="52">
    <w:name w:val="font71"/>
    <w:basedOn w:val="24"/>
    <w:qFormat/>
    <w:uiPriority w:val="0"/>
    <w:rPr>
      <w:rFonts w:hint="eastAsia" w:ascii="仿宋" w:hAnsi="仿宋" w:eastAsia="仿宋" w:cs="仿宋"/>
      <w:color w:val="000000"/>
      <w:sz w:val="32"/>
      <w:szCs w:val="32"/>
      <w:u w:val="none"/>
    </w:rPr>
  </w:style>
  <w:style w:type="character" w:customStyle="1" w:styleId="53">
    <w:name w:val="font11"/>
    <w:basedOn w:val="24"/>
    <w:qFormat/>
    <w:uiPriority w:val="0"/>
    <w:rPr>
      <w:rFonts w:hint="eastAsia" w:ascii="仿宋" w:hAnsi="仿宋" w:eastAsia="仿宋" w:cs="仿宋"/>
      <w:color w:val="000000"/>
      <w:sz w:val="28"/>
      <w:szCs w:val="28"/>
      <w:u w:val="none"/>
    </w:rPr>
  </w:style>
  <w:style w:type="character" w:customStyle="1" w:styleId="54">
    <w:name w:val="font111"/>
    <w:basedOn w:val="24"/>
    <w:qFormat/>
    <w:uiPriority w:val="0"/>
    <w:rPr>
      <w:rFonts w:hint="default" w:ascii="Times New Roman" w:hAnsi="Times New Roman" w:cs="Times New Roman"/>
      <w:color w:val="000000"/>
      <w:sz w:val="32"/>
      <w:szCs w:val="32"/>
      <w:u w:val="none"/>
    </w:rPr>
  </w:style>
  <w:style w:type="character" w:customStyle="1" w:styleId="55">
    <w:name w:val="font101"/>
    <w:basedOn w:val="24"/>
    <w:qFormat/>
    <w:uiPriority w:val="0"/>
    <w:rPr>
      <w:rFonts w:hint="eastAsia" w:ascii="宋体" w:hAnsi="宋体" w:eastAsia="宋体" w:cs="宋体"/>
      <w:color w:val="000000"/>
      <w:sz w:val="32"/>
      <w:szCs w:val="32"/>
      <w:u w:val="none"/>
    </w:rPr>
  </w:style>
  <w:style w:type="character" w:customStyle="1" w:styleId="56">
    <w:name w:val="font222"/>
    <w:basedOn w:val="24"/>
    <w:qFormat/>
    <w:uiPriority w:val="0"/>
    <w:rPr>
      <w:rFonts w:hint="default" w:ascii="仿宋_GB2312" w:eastAsia="仿宋_GB2312" w:cs="仿宋_GB2312"/>
      <w:color w:val="000000"/>
      <w:sz w:val="32"/>
      <w:szCs w:val="32"/>
      <w:u w:val="none"/>
    </w:rPr>
  </w:style>
  <w:style w:type="character" w:customStyle="1" w:styleId="57">
    <w:name w:val="font261"/>
    <w:basedOn w:val="24"/>
    <w:qFormat/>
    <w:uiPriority w:val="0"/>
    <w:rPr>
      <w:rFonts w:hint="default" w:ascii="仿宋_GB2312" w:eastAsia="仿宋_GB2312" w:cs="仿宋_GB2312"/>
      <w:color w:val="000000"/>
      <w:sz w:val="32"/>
      <w:szCs w:val="32"/>
      <w:u w:val="none"/>
    </w:rPr>
  </w:style>
  <w:style w:type="character" w:customStyle="1" w:styleId="58">
    <w:name w:val="font231"/>
    <w:basedOn w:val="24"/>
    <w:qFormat/>
    <w:uiPriority w:val="0"/>
    <w:rPr>
      <w:rFonts w:hint="default" w:ascii="仿宋_GB2312" w:eastAsia="仿宋_GB2312" w:cs="仿宋_GB2312"/>
      <w:color w:val="000000"/>
      <w:sz w:val="32"/>
      <w:szCs w:val="32"/>
      <w:u w:val="none"/>
    </w:rPr>
  </w:style>
  <w:style w:type="character" w:customStyle="1" w:styleId="59">
    <w:name w:val="font171"/>
    <w:basedOn w:val="24"/>
    <w:qFormat/>
    <w:uiPriority w:val="0"/>
    <w:rPr>
      <w:rFonts w:ascii="Calibri" w:hAnsi="Calibri" w:cs="Calibri"/>
      <w:color w:val="000000"/>
      <w:sz w:val="32"/>
      <w:szCs w:val="32"/>
      <w:u w:val="none"/>
    </w:rPr>
  </w:style>
  <w:style w:type="character" w:customStyle="1" w:styleId="60">
    <w:name w:val="font31"/>
    <w:basedOn w:val="24"/>
    <w:qFormat/>
    <w:uiPriority w:val="0"/>
    <w:rPr>
      <w:rFonts w:hint="eastAsia" w:ascii="宋体" w:hAnsi="宋体" w:eastAsia="宋体" w:cs="宋体"/>
      <w:color w:val="000000"/>
      <w:sz w:val="32"/>
      <w:szCs w:val="32"/>
      <w:u w:val="none"/>
    </w:rPr>
  </w:style>
  <w:style w:type="character" w:customStyle="1" w:styleId="61">
    <w:name w:val="font51"/>
    <w:basedOn w:val="24"/>
    <w:qFormat/>
    <w:uiPriority w:val="0"/>
    <w:rPr>
      <w:rFonts w:hint="default" w:ascii="Times New Roman" w:hAnsi="Times New Roman" w:cs="Times New Roman"/>
      <w:color w:val="000000"/>
      <w:sz w:val="32"/>
      <w:szCs w:val="32"/>
      <w:u w:val="none"/>
    </w:rPr>
  </w:style>
  <w:style w:type="character" w:customStyle="1" w:styleId="62">
    <w:name w:val="font201"/>
    <w:basedOn w:val="24"/>
    <w:qFormat/>
    <w:uiPriority w:val="0"/>
    <w:rPr>
      <w:rFonts w:hint="default" w:ascii="仿宋_GB2312" w:eastAsia="仿宋_GB2312" w:cs="仿宋_GB2312"/>
      <w:color w:val="000000"/>
      <w:sz w:val="32"/>
      <w:szCs w:val="32"/>
      <w:u w:val="none"/>
    </w:rPr>
  </w:style>
  <w:style w:type="character" w:customStyle="1" w:styleId="63">
    <w:name w:val="font41"/>
    <w:basedOn w:val="24"/>
    <w:qFormat/>
    <w:uiPriority w:val="0"/>
    <w:rPr>
      <w:rFonts w:hint="eastAsia" w:ascii="宋体" w:hAnsi="宋体" w:eastAsia="宋体" w:cs="宋体"/>
      <w:color w:val="000000"/>
      <w:sz w:val="32"/>
      <w:szCs w:val="32"/>
      <w:u w:val="none"/>
    </w:rPr>
  </w:style>
  <w:style w:type="character" w:customStyle="1" w:styleId="64">
    <w:name w:val="font81"/>
    <w:basedOn w:val="24"/>
    <w:qFormat/>
    <w:uiPriority w:val="0"/>
    <w:rPr>
      <w:rFonts w:hint="default" w:ascii="Times New Roman" w:hAnsi="Times New Roman" w:cs="Times New Roman"/>
      <w:color w:val="000000"/>
      <w:sz w:val="32"/>
      <w:szCs w:val="32"/>
      <w:u w:val="none"/>
    </w:rPr>
  </w:style>
  <w:style w:type="character" w:customStyle="1" w:styleId="65">
    <w:name w:val="font161"/>
    <w:basedOn w:val="24"/>
    <w:qFormat/>
    <w:uiPriority w:val="0"/>
    <w:rPr>
      <w:rFonts w:hint="default" w:ascii="Times New Roman" w:hAnsi="Times New Roman" w:cs="Times New Roman"/>
      <w:color w:val="000000"/>
      <w:sz w:val="28"/>
      <w:szCs w:val="28"/>
      <w:u w:val="none"/>
    </w:rPr>
  </w:style>
  <w:style w:type="character" w:customStyle="1" w:styleId="66">
    <w:name w:val="font22"/>
    <w:basedOn w:val="24"/>
    <w:qFormat/>
    <w:uiPriority w:val="0"/>
    <w:rPr>
      <w:rFonts w:ascii="Arial" w:hAnsi="Arial" w:cs="Arial"/>
      <w:color w:val="000000"/>
      <w:sz w:val="32"/>
      <w:szCs w:val="32"/>
      <w:u w:val="none"/>
    </w:rPr>
  </w:style>
  <w:style w:type="character" w:customStyle="1" w:styleId="67">
    <w:name w:val="font191"/>
    <w:basedOn w:val="24"/>
    <w:qFormat/>
    <w:uiPriority w:val="0"/>
    <w:rPr>
      <w:rFonts w:hint="default" w:ascii="仿宋_GB2312" w:eastAsia="仿宋_GB2312" w:cs="仿宋_GB2312"/>
      <w:color w:val="000000"/>
      <w:sz w:val="28"/>
      <w:szCs w:val="28"/>
      <w:u w:val="none"/>
    </w:rPr>
  </w:style>
  <w:style w:type="character" w:customStyle="1" w:styleId="68">
    <w:name w:val="font122"/>
    <w:basedOn w:val="24"/>
    <w:qFormat/>
    <w:uiPriority w:val="0"/>
    <w:rPr>
      <w:rFonts w:hint="default" w:ascii="仿宋_GB2312" w:eastAsia="仿宋_GB2312" w:cs="仿宋_GB2312"/>
      <w:color w:val="000000"/>
      <w:sz w:val="36"/>
      <w:szCs w:val="36"/>
      <w:u w:val="none"/>
    </w:rPr>
  </w:style>
  <w:style w:type="character" w:customStyle="1" w:styleId="69">
    <w:name w:val="font151"/>
    <w:basedOn w:val="24"/>
    <w:qFormat/>
    <w:uiPriority w:val="0"/>
    <w:rPr>
      <w:rFonts w:hint="default" w:ascii="仿宋_GB2312" w:eastAsia="仿宋_GB2312" w:cs="仿宋_GB2312"/>
      <w:color w:val="000000"/>
      <w:sz w:val="21"/>
      <w:szCs w:val="21"/>
      <w:u w:val="none"/>
    </w:rPr>
  </w:style>
  <w:style w:type="character" w:customStyle="1" w:styleId="70">
    <w:name w:val="font12"/>
    <w:basedOn w:val="24"/>
    <w:qFormat/>
    <w:uiPriority w:val="0"/>
    <w:rPr>
      <w:rFonts w:hint="default" w:ascii="Times New Roman" w:hAnsi="Times New Roman" w:cs="Times New Roman"/>
      <w:color w:val="000000"/>
      <w:sz w:val="21"/>
      <w:szCs w:val="21"/>
      <w:u w:val="none"/>
    </w:rPr>
  </w:style>
  <w:style w:type="character" w:customStyle="1" w:styleId="71">
    <w:name w:val="font01"/>
    <w:basedOn w:val="24"/>
    <w:qFormat/>
    <w:uiPriority w:val="0"/>
    <w:rPr>
      <w:rFonts w:hint="eastAsia" w:ascii="宋体" w:hAnsi="宋体" w:eastAsia="宋体" w:cs="宋体"/>
      <w:color w:val="000000"/>
      <w:sz w:val="22"/>
      <w:szCs w:val="22"/>
      <w:u w:val="none"/>
    </w:rPr>
  </w:style>
  <w:style w:type="character" w:customStyle="1" w:styleId="72">
    <w:name w:val="font141"/>
    <w:basedOn w:val="24"/>
    <w:qFormat/>
    <w:uiPriority w:val="0"/>
    <w:rPr>
      <w:rFonts w:hint="eastAsia" w:ascii="宋体" w:hAnsi="宋体" w:eastAsia="宋体" w:cs="宋体"/>
      <w:color w:val="000000"/>
      <w:sz w:val="32"/>
      <w:szCs w:val="32"/>
      <w:u w:val="none"/>
    </w:rPr>
  </w:style>
  <w:style w:type="character" w:customStyle="1" w:styleId="73">
    <w:name w:val="font301"/>
    <w:basedOn w:val="24"/>
    <w:qFormat/>
    <w:uiPriority w:val="0"/>
    <w:rPr>
      <w:rFonts w:hint="default" w:ascii="仿宋_GB2312" w:eastAsia="仿宋_GB2312" w:cs="仿宋_GB2312"/>
      <w:color w:val="000000"/>
      <w:sz w:val="32"/>
      <w:szCs w:val="32"/>
      <w:u w:val="none"/>
    </w:rPr>
  </w:style>
  <w:style w:type="character" w:customStyle="1" w:styleId="74">
    <w:name w:val="font112"/>
    <w:basedOn w:val="24"/>
    <w:qFormat/>
    <w:uiPriority w:val="0"/>
    <w:rPr>
      <w:rFonts w:hint="default" w:ascii="仿宋_GB2312" w:eastAsia="仿宋_GB2312" w:cs="仿宋_GB2312"/>
      <w:color w:val="000000"/>
      <w:sz w:val="32"/>
      <w:szCs w:val="32"/>
      <w:u w:val="none"/>
    </w:rPr>
  </w:style>
  <w:style w:type="character" w:customStyle="1" w:styleId="75">
    <w:name w:val="font341"/>
    <w:basedOn w:val="24"/>
    <w:qFormat/>
    <w:uiPriority w:val="0"/>
    <w:rPr>
      <w:rFonts w:hint="default" w:ascii="仿宋_GB2312" w:eastAsia="仿宋_GB2312" w:cs="仿宋_GB2312"/>
      <w:color w:val="000000"/>
      <w:sz w:val="32"/>
      <w:szCs w:val="32"/>
      <w:u w:val="none"/>
    </w:rPr>
  </w:style>
  <w:style w:type="character" w:customStyle="1" w:styleId="76">
    <w:name w:val="font312"/>
    <w:basedOn w:val="24"/>
    <w:qFormat/>
    <w:uiPriority w:val="0"/>
    <w:rPr>
      <w:rFonts w:hint="default" w:ascii="仿宋_GB2312" w:eastAsia="仿宋_GB2312" w:cs="仿宋_GB2312"/>
      <w:color w:val="000000"/>
      <w:sz w:val="32"/>
      <w:szCs w:val="32"/>
      <w:u w:val="none"/>
    </w:rPr>
  </w:style>
  <w:style w:type="character" w:customStyle="1" w:styleId="77">
    <w:name w:val="font251"/>
    <w:basedOn w:val="24"/>
    <w:qFormat/>
    <w:uiPriority w:val="0"/>
    <w:rPr>
      <w:rFonts w:ascii="Calibri" w:hAnsi="Calibri" w:cs="Calibri"/>
      <w:color w:val="000000"/>
      <w:sz w:val="32"/>
      <w:szCs w:val="32"/>
      <w:u w:val="none"/>
    </w:rPr>
  </w:style>
  <w:style w:type="character" w:customStyle="1" w:styleId="78">
    <w:name w:val="font281"/>
    <w:basedOn w:val="24"/>
    <w:qFormat/>
    <w:uiPriority w:val="0"/>
    <w:rPr>
      <w:rFonts w:hint="default" w:ascii="仿宋_GB2312" w:eastAsia="仿宋_GB2312" w:cs="仿宋_GB2312"/>
      <w:color w:val="000000"/>
      <w:sz w:val="32"/>
      <w:szCs w:val="32"/>
      <w:u w:val="none"/>
    </w:rPr>
  </w:style>
  <w:style w:type="character" w:customStyle="1" w:styleId="79">
    <w:name w:val="font121"/>
    <w:basedOn w:val="24"/>
    <w:qFormat/>
    <w:uiPriority w:val="0"/>
    <w:rPr>
      <w:rFonts w:hint="default" w:ascii="Times New Roman" w:hAnsi="Times New Roman" w:cs="Times New Roman"/>
      <w:color w:val="000000"/>
      <w:sz w:val="32"/>
      <w:szCs w:val="32"/>
      <w:u w:val="none"/>
    </w:rPr>
  </w:style>
  <w:style w:type="character" w:customStyle="1" w:styleId="80">
    <w:name w:val="font241"/>
    <w:basedOn w:val="24"/>
    <w:qFormat/>
    <w:uiPriority w:val="0"/>
    <w:rPr>
      <w:rFonts w:hint="default" w:ascii="Times New Roman" w:hAnsi="Times New Roman" w:cs="Times New Roman"/>
      <w:color w:val="000000"/>
      <w:sz w:val="28"/>
      <w:szCs w:val="28"/>
      <w:u w:val="none"/>
    </w:rPr>
  </w:style>
  <w:style w:type="character" w:customStyle="1" w:styleId="81">
    <w:name w:val="font271"/>
    <w:basedOn w:val="24"/>
    <w:qFormat/>
    <w:uiPriority w:val="0"/>
    <w:rPr>
      <w:rFonts w:hint="default" w:ascii="仿宋_GB2312" w:eastAsia="仿宋_GB2312" w:cs="仿宋_GB2312"/>
      <w:color w:val="000000"/>
      <w:sz w:val="28"/>
      <w:szCs w:val="28"/>
      <w:u w:val="none"/>
    </w:rPr>
  </w:style>
  <w:style w:type="character" w:customStyle="1" w:styleId="82">
    <w:name w:val="font21"/>
    <w:basedOn w:val="24"/>
    <w:qFormat/>
    <w:uiPriority w:val="0"/>
    <w:rPr>
      <w:rFonts w:hint="default" w:ascii="Times New Roman" w:hAnsi="Times New Roman" w:cs="Times New Roman"/>
      <w:color w:val="000000"/>
      <w:sz w:val="21"/>
      <w:szCs w:val="21"/>
      <w:u w:val="none"/>
    </w:rPr>
  </w:style>
  <w:style w:type="character" w:customStyle="1" w:styleId="83">
    <w:name w:val="font13"/>
    <w:basedOn w:val="24"/>
    <w:qFormat/>
    <w:uiPriority w:val="0"/>
    <w:rPr>
      <w:rFonts w:hint="eastAsia" w:ascii="仿宋" w:hAnsi="仿宋" w:eastAsia="仿宋" w:cs="仿宋"/>
      <w:color w:val="000000"/>
      <w:sz w:val="28"/>
      <w:szCs w:val="28"/>
      <w:u w:val="none"/>
    </w:rPr>
  </w:style>
  <w:style w:type="character" w:customStyle="1" w:styleId="84">
    <w:name w:val="font242"/>
    <w:basedOn w:val="24"/>
    <w:qFormat/>
    <w:uiPriority w:val="0"/>
    <w:rPr>
      <w:rFonts w:hint="default" w:ascii="Times New Roman" w:hAnsi="Times New Roman" w:cs="Times New Roman"/>
      <w:color w:val="000000"/>
      <w:sz w:val="28"/>
      <w:szCs w:val="28"/>
      <w:u w:val="none"/>
    </w:rPr>
  </w:style>
  <w:style w:type="character" w:customStyle="1" w:styleId="85">
    <w:name w:val="font24"/>
    <w:basedOn w:val="24"/>
    <w:qFormat/>
    <w:uiPriority w:val="0"/>
    <w:rPr>
      <w:rFonts w:hint="default" w:ascii="Times New Roman" w:hAnsi="Times New Roman" w:cs="Times New Roman"/>
      <w:color w:val="000000"/>
      <w:sz w:val="21"/>
      <w:szCs w:val="21"/>
      <w:u w:val="none"/>
    </w:rPr>
  </w:style>
  <w:style w:type="paragraph" w:customStyle="1" w:styleId="86">
    <w:name w:val="Default"/>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paragraph" w:customStyle="1" w:styleId="87">
    <w:name w:val="采购正文"/>
    <w:qFormat/>
    <w:uiPriority w:val="0"/>
    <w:pPr>
      <w:snapToGrid w:val="0"/>
      <w:spacing w:line="360" w:lineRule="auto"/>
      <w:ind w:firstLine="200" w:firstLineChars="200"/>
    </w:pPr>
    <w:rPr>
      <w:rFonts w:ascii="仿宋" w:hAnsi="仿宋" w:eastAsia="等线" w:cs="Times New Roman"/>
      <w:kern w:val="2"/>
      <w:sz w:val="24"/>
      <w:szCs w:val="24"/>
      <w:lang w:val="en-US" w:eastAsia="zh-CN" w:bidi="ar-SA"/>
    </w:rPr>
  </w:style>
  <w:style w:type="paragraph" w:customStyle="1" w:styleId="88">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89">
    <w:name w:val="正文文本_0"/>
    <w:basedOn w:val="90"/>
    <w:qFormat/>
    <w:uiPriority w:val="0"/>
    <w:pPr>
      <w:spacing w:after="120"/>
    </w:pPr>
    <w:rPr>
      <w:rFonts w:ascii="Calibri" w:hAnsi="Calibri" w:cs="Times New Roman"/>
      <w:szCs w:val="24"/>
    </w:rPr>
  </w:style>
  <w:style w:type="paragraph" w:customStyle="1" w:styleId="90">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Table Text"/>
    <w:basedOn w:val="1"/>
    <w:semiHidden/>
    <w:qFormat/>
    <w:uiPriority w:val="0"/>
    <w:rPr>
      <w:rFonts w:ascii="宋体" w:hAnsi="宋体" w:eastAsia="宋体" w:cs="宋体"/>
      <w:sz w:val="24"/>
      <w:szCs w:val="24"/>
      <w:lang w:val="en-US" w:eastAsia="en-US" w:bidi="ar-SA"/>
    </w:rPr>
  </w:style>
  <w:style w:type="table" w:customStyle="1" w:styleId="9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33007</Words>
  <Characters>37316</Characters>
  <Lines>716</Lines>
  <Paragraphs>201</Paragraphs>
  <TotalTime>3</TotalTime>
  <ScaleCrop>false</ScaleCrop>
  <LinksUpToDate>false</LinksUpToDate>
  <CharactersWithSpaces>41413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2022-08-16T13:13:00Z</dcterms:created>
  <dc:creator>Tanlent Fan</dc:creator>
  <cp:lastModifiedBy>112233</cp:lastModifiedBy>
  <cp:lastPrinted>2022-12-12T06:26:00Z</cp:lastPrinted>
  <dcterms:modified xsi:type="dcterms:W3CDTF">2023-08-25T02:08:48Z</dcterms:modified>
  <cp:revision>508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DB723100C91A4A45ACB793AF9E401409_13</vt:lpwstr>
  </property>
</Properties>
</file>