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D52FD">
      <w:pPr>
        <w:spacing w:line="360" w:lineRule="auto"/>
        <w:rPr>
          <w:rFonts w:ascii="黑体" w:hAnsi="黑体" w:eastAsia="黑体" w:cs="仿宋_GB2312"/>
          <w:sz w:val="32"/>
          <w:szCs w:val="32"/>
        </w:rPr>
      </w:pPr>
      <w:r>
        <w:rPr>
          <w:rFonts w:hint="eastAsia" w:ascii="黑体" w:hAnsi="黑体" w:eastAsia="黑体" w:cs="仿宋_GB2312"/>
          <w:sz w:val="32"/>
          <w:szCs w:val="32"/>
        </w:rPr>
        <w:t>附件3</w:t>
      </w:r>
    </w:p>
    <w:p w14:paraId="19397665">
      <w:pPr>
        <w:spacing w:line="48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（适用于不进行资格预审的公开招标项目）</w:t>
      </w:r>
    </w:p>
    <w:p w14:paraId="039BCEC1">
      <w:pPr>
        <w:spacing w:line="480" w:lineRule="exact"/>
        <w:jc w:val="center"/>
        <w:rPr>
          <w:rFonts w:ascii="仿宋_GB2312" w:hAnsi="仿宋_GB2312" w:eastAsia="仿宋_GB2312" w:cs="仿宋_GB2312"/>
          <w:b/>
          <w:sz w:val="32"/>
          <w:szCs w:val="32"/>
        </w:rPr>
      </w:pPr>
    </w:p>
    <w:p w14:paraId="6A01588A">
      <w:pPr>
        <w:spacing w:line="360" w:lineRule="auto"/>
        <w:ind w:firstLine="260" w:firstLineChars="50"/>
        <w:jc w:val="center"/>
        <w:rPr>
          <w:rFonts w:ascii="仿宋_GB2312" w:hAnsi="仿宋_GB2312" w:eastAsia="仿宋_GB2312" w:cs="仿宋_GB2312"/>
          <w:b/>
          <w:sz w:val="52"/>
          <w:szCs w:val="52"/>
        </w:rPr>
      </w:pPr>
    </w:p>
    <w:p w14:paraId="3C1B13F8">
      <w:pPr>
        <w:spacing w:line="360" w:lineRule="auto"/>
        <w:ind w:firstLine="260" w:firstLineChars="50"/>
        <w:jc w:val="center"/>
        <w:rPr>
          <w:rFonts w:ascii="仿宋_GB2312" w:hAnsi="仿宋_GB2312" w:eastAsia="仿宋_GB2312" w:cs="仿宋_GB2312"/>
          <w:b/>
          <w:sz w:val="52"/>
          <w:szCs w:val="52"/>
        </w:rPr>
      </w:pPr>
    </w:p>
    <w:p w14:paraId="48B77A9B">
      <w:pPr>
        <w:spacing w:line="360" w:lineRule="auto"/>
        <w:ind w:firstLine="260" w:firstLineChars="50"/>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奎屯市政府采购项目</w:t>
      </w:r>
    </w:p>
    <w:p w14:paraId="65B193FF">
      <w:pPr>
        <w:spacing w:line="360" w:lineRule="auto"/>
        <w:ind w:firstLine="120" w:firstLineChars="50"/>
        <w:jc w:val="center"/>
        <w:rPr>
          <w:rFonts w:ascii="仿宋_GB2312" w:hAnsi="仿宋_GB2312" w:eastAsia="仿宋_GB2312" w:cs="仿宋_GB2312"/>
          <w:b/>
          <w:sz w:val="24"/>
        </w:rPr>
      </w:pPr>
    </w:p>
    <w:p w14:paraId="0C366657">
      <w:pPr>
        <w:spacing w:line="360" w:lineRule="auto"/>
        <w:ind w:firstLine="240"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lang w:eastAsia="zh-CN"/>
        </w:rPr>
        <w:t>服务</w:t>
      </w:r>
      <w:r>
        <w:rPr>
          <w:rFonts w:hint="eastAsia" w:ascii="仿宋_GB2312" w:hAnsi="仿宋_GB2312" w:eastAsia="仿宋_GB2312" w:cs="仿宋_GB2312"/>
          <w:b/>
          <w:sz w:val="48"/>
          <w:szCs w:val="48"/>
        </w:rPr>
        <w:t>类公开招标</w:t>
      </w:r>
    </w:p>
    <w:p w14:paraId="0C619CBA">
      <w:pPr>
        <w:spacing w:line="360" w:lineRule="auto"/>
        <w:ind w:firstLine="120" w:firstLineChars="50"/>
        <w:jc w:val="center"/>
        <w:rPr>
          <w:rFonts w:ascii="仿宋_GB2312" w:hAnsi="仿宋_GB2312" w:eastAsia="仿宋_GB2312" w:cs="仿宋_GB2312"/>
          <w:b/>
          <w:sz w:val="24"/>
        </w:rPr>
      </w:pPr>
    </w:p>
    <w:p w14:paraId="1A282481">
      <w:pPr>
        <w:spacing w:line="360" w:lineRule="auto"/>
        <w:ind w:firstLine="240"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招标文件</w:t>
      </w:r>
    </w:p>
    <w:p w14:paraId="7EDDE736">
      <w:pPr>
        <w:spacing w:line="480" w:lineRule="exact"/>
        <w:jc w:val="center"/>
        <w:rPr>
          <w:rFonts w:ascii="仿宋_GB2312" w:hAnsi="仿宋_GB2312" w:eastAsia="仿宋_GB2312" w:cs="仿宋_GB2312"/>
          <w:b/>
          <w:sz w:val="24"/>
        </w:rPr>
      </w:pPr>
    </w:p>
    <w:p w14:paraId="6D253057">
      <w:pPr>
        <w:spacing w:line="480" w:lineRule="exact"/>
        <w:jc w:val="center"/>
        <w:rPr>
          <w:rFonts w:ascii="仿宋_GB2312" w:hAnsi="仿宋_GB2312" w:eastAsia="仿宋_GB2312" w:cs="仿宋_GB2312"/>
          <w:b/>
          <w:sz w:val="24"/>
        </w:rPr>
      </w:pPr>
    </w:p>
    <w:p w14:paraId="10C4364B">
      <w:pPr>
        <w:spacing w:line="480" w:lineRule="exact"/>
        <w:jc w:val="center"/>
        <w:rPr>
          <w:rFonts w:ascii="仿宋_GB2312" w:hAnsi="仿宋_GB2312" w:eastAsia="仿宋_GB2312" w:cs="仿宋_GB2312"/>
          <w:b/>
          <w:sz w:val="24"/>
        </w:rPr>
      </w:pPr>
    </w:p>
    <w:p w14:paraId="50648633">
      <w:pPr>
        <w:spacing w:line="480" w:lineRule="exact"/>
        <w:jc w:val="center"/>
        <w:rPr>
          <w:rFonts w:ascii="仿宋_GB2312" w:hAnsi="仿宋_GB2312" w:eastAsia="仿宋_GB2312" w:cs="仿宋_GB2312"/>
          <w:b/>
          <w:sz w:val="24"/>
        </w:rPr>
      </w:pPr>
    </w:p>
    <w:p w14:paraId="1059C7DA">
      <w:pPr>
        <w:spacing w:line="480" w:lineRule="exact"/>
        <w:jc w:val="center"/>
        <w:rPr>
          <w:rFonts w:ascii="仿宋_GB2312" w:hAnsi="仿宋_GB2312" w:eastAsia="仿宋_GB2312" w:cs="仿宋_GB2312"/>
          <w:b/>
          <w:sz w:val="24"/>
        </w:rPr>
      </w:pPr>
    </w:p>
    <w:p w14:paraId="072942BF">
      <w:pPr>
        <w:spacing w:line="480" w:lineRule="exact"/>
        <w:jc w:val="center"/>
        <w:rPr>
          <w:rFonts w:ascii="仿宋_GB2312" w:hAnsi="仿宋_GB2312" w:eastAsia="仿宋_GB2312" w:cs="仿宋_GB2312"/>
          <w:b/>
          <w:sz w:val="24"/>
        </w:rPr>
      </w:pPr>
    </w:p>
    <w:p w14:paraId="024ADF52">
      <w:pPr>
        <w:spacing w:line="480" w:lineRule="exact"/>
        <w:jc w:val="center"/>
        <w:rPr>
          <w:rFonts w:ascii="仿宋_GB2312" w:hAnsi="仿宋_GB2312" w:eastAsia="仿宋_GB2312" w:cs="仿宋_GB2312"/>
          <w:b/>
          <w:sz w:val="24"/>
        </w:rPr>
      </w:pPr>
    </w:p>
    <w:p w14:paraId="5617167D">
      <w:pPr>
        <w:spacing w:line="480" w:lineRule="exact"/>
        <w:jc w:val="center"/>
        <w:rPr>
          <w:rFonts w:ascii="仿宋_GB2312" w:hAnsi="仿宋_GB2312" w:eastAsia="仿宋_GB2312" w:cs="仿宋_GB2312"/>
          <w:b/>
          <w:sz w:val="24"/>
        </w:rPr>
      </w:pPr>
    </w:p>
    <w:p w14:paraId="7EA1D6D8">
      <w:pPr>
        <w:spacing w:line="480" w:lineRule="exact"/>
        <w:jc w:val="center"/>
        <w:rPr>
          <w:rFonts w:ascii="仿宋_GB2312" w:hAnsi="仿宋_GB2312" w:eastAsia="仿宋_GB2312" w:cs="仿宋_GB2312"/>
          <w:b/>
          <w:sz w:val="24"/>
        </w:rPr>
      </w:pPr>
    </w:p>
    <w:p w14:paraId="5BB245A8">
      <w:pPr>
        <w:spacing w:line="360" w:lineRule="auto"/>
        <w:ind w:left="359" w:leftChars="171" w:firstLine="482" w:firstLineChars="134"/>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项目名称：奎屯市第</w:t>
      </w:r>
      <w:r>
        <w:rPr>
          <w:rFonts w:hint="eastAsia" w:ascii="仿宋_GB2312" w:hAnsi="仿宋_GB2312" w:eastAsia="仿宋_GB2312" w:cs="仿宋_GB2312"/>
          <w:b/>
          <w:sz w:val="36"/>
          <w:szCs w:val="36"/>
          <w:lang w:eastAsia="zh-CN"/>
        </w:rPr>
        <w:t>七、第</w:t>
      </w:r>
      <w:r>
        <w:rPr>
          <w:rFonts w:hint="eastAsia" w:ascii="仿宋_GB2312" w:hAnsi="仿宋_GB2312" w:eastAsia="仿宋_GB2312" w:cs="仿宋_GB2312"/>
          <w:b/>
          <w:sz w:val="36"/>
          <w:szCs w:val="36"/>
        </w:rPr>
        <w:t>八中学物业管理</w:t>
      </w:r>
      <w:r>
        <w:rPr>
          <w:rFonts w:hint="eastAsia" w:ascii="仿宋_GB2312" w:hAnsi="仿宋_GB2312" w:eastAsia="仿宋_GB2312" w:cs="仿宋_GB2312"/>
          <w:b/>
          <w:sz w:val="36"/>
          <w:szCs w:val="36"/>
          <w:lang w:val="en-US" w:eastAsia="zh-CN"/>
        </w:rPr>
        <w:t>和</w:t>
      </w:r>
      <w:r>
        <w:rPr>
          <w:rFonts w:hint="eastAsia" w:ascii="仿宋_GB2312" w:hAnsi="仿宋_GB2312" w:eastAsia="仿宋_GB2312" w:cs="仿宋_GB2312"/>
          <w:b/>
          <w:sz w:val="36"/>
          <w:szCs w:val="36"/>
        </w:rPr>
        <w:t>后勤购买服务</w:t>
      </w:r>
    </w:p>
    <w:p w14:paraId="4D450595">
      <w:pPr>
        <w:spacing w:line="360" w:lineRule="auto"/>
        <w:ind w:firstLine="846" w:firstLineChars="235"/>
        <w:rPr>
          <w:rFonts w:hint="eastAsia" w:ascii="仿宋_GB2312" w:hAnsi="仿宋_GB2312" w:eastAsia="仿宋_GB2312" w:cs="仿宋_GB2312"/>
          <w:b/>
          <w:sz w:val="36"/>
          <w:szCs w:val="36"/>
          <w:lang w:val="en-US" w:eastAsia="zh-CN"/>
        </w:rPr>
      </w:pPr>
      <w:r>
        <w:rPr>
          <w:rFonts w:hint="eastAsia" w:ascii="仿宋_GB2312" w:hAnsi="仿宋_GB2312" w:eastAsia="仿宋_GB2312" w:cs="仿宋_GB2312"/>
          <w:b/>
          <w:sz w:val="36"/>
          <w:szCs w:val="36"/>
        </w:rPr>
        <w:t>采购单位：</w:t>
      </w:r>
      <w:r>
        <w:rPr>
          <w:rFonts w:hint="eastAsia" w:ascii="仿宋_GB2312" w:hAnsi="仿宋_GB2312" w:eastAsia="仿宋_GB2312" w:cs="仿宋_GB2312"/>
          <w:b/>
          <w:sz w:val="36"/>
          <w:szCs w:val="36"/>
          <w:lang w:val="en-US" w:eastAsia="zh-CN"/>
        </w:rPr>
        <w:t>奎屯市教育局</w:t>
      </w:r>
    </w:p>
    <w:p w14:paraId="6C1C95ED">
      <w:pPr>
        <w:spacing w:line="360" w:lineRule="auto"/>
        <w:ind w:firstLine="846" w:firstLineChars="235"/>
        <w:rPr>
          <w:rFonts w:hint="eastAsia" w:ascii="仿宋_GB2312" w:hAnsi="仿宋_GB2312" w:eastAsia="仿宋_GB2312" w:cs="仿宋_GB2312"/>
          <w:b/>
          <w:sz w:val="36"/>
          <w:szCs w:val="36"/>
          <w:highlight w:val="none"/>
          <w:lang w:val="en-US" w:eastAsia="zh-CN"/>
        </w:rPr>
      </w:pPr>
      <w:r>
        <w:rPr>
          <w:rFonts w:hint="eastAsia" w:ascii="仿宋_GB2312" w:hAnsi="仿宋_GB2312" w:eastAsia="仿宋_GB2312" w:cs="仿宋_GB2312"/>
          <w:b/>
          <w:sz w:val="36"/>
          <w:szCs w:val="36"/>
        </w:rPr>
        <w:t>项目编号：</w:t>
      </w:r>
      <w:r>
        <w:rPr>
          <w:rFonts w:hint="eastAsia" w:ascii="仿宋_GB2312" w:hAnsi="仿宋_GB2312" w:eastAsia="仿宋_GB2312" w:cs="仿宋_GB2312"/>
          <w:b/>
          <w:sz w:val="36"/>
          <w:szCs w:val="36"/>
          <w:highlight w:val="none"/>
        </w:rPr>
        <w:t>KTJY-GK202</w:t>
      </w:r>
      <w:r>
        <w:rPr>
          <w:rFonts w:hint="eastAsia" w:ascii="仿宋_GB2312" w:hAnsi="仿宋_GB2312" w:eastAsia="仿宋_GB2312" w:cs="仿宋_GB2312"/>
          <w:b/>
          <w:sz w:val="36"/>
          <w:szCs w:val="36"/>
          <w:highlight w:val="none"/>
          <w:lang w:val="en-US" w:eastAsia="zh-CN"/>
        </w:rPr>
        <w:t>5</w:t>
      </w:r>
      <w:r>
        <w:rPr>
          <w:rFonts w:hint="eastAsia" w:ascii="仿宋_GB2312" w:hAnsi="仿宋_GB2312" w:eastAsia="仿宋_GB2312" w:cs="仿宋_GB2312"/>
          <w:b/>
          <w:sz w:val="36"/>
          <w:szCs w:val="36"/>
          <w:highlight w:val="none"/>
        </w:rPr>
        <w:t>-00</w:t>
      </w:r>
      <w:r>
        <w:rPr>
          <w:rFonts w:hint="eastAsia" w:ascii="仿宋_GB2312" w:hAnsi="仿宋_GB2312" w:eastAsia="仿宋_GB2312" w:cs="仿宋_GB2312"/>
          <w:b/>
          <w:sz w:val="36"/>
          <w:szCs w:val="36"/>
          <w:highlight w:val="none"/>
          <w:lang w:val="en-US" w:eastAsia="zh-CN"/>
        </w:rPr>
        <w:t>2</w:t>
      </w:r>
    </w:p>
    <w:p w14:paraId="4104E1E7">
      <w:pPr>
        <w:spacing w:line="360" w:lineRule="auto"/>
        <w:ind w:firstLine="846" w:firstLineChars="235"/>
        <w:rPr>
          <w:rFonts w:ascii="仿宋_GB2312" w:hAnsi="仿宋_GB2312" w:eastAsia="仿宋_GB2312" w:cs="仿宋_GB2312"/>
          <w:b/>
          <w:bCs/>
          <w:sz w:val="44"/>
          <w:szCs w:val="44"/>
        </w:rPr>
      </w:pPr>
      <w:r>
        <w:rPr>
          <w:rFonts w:hint="eastAsia" w:ascii="仿宋_GB2312" w:hAnsi="仿宋_GB2312" w:eastAsia="仿宋_GB2312" w:cs="仿宋_GB2312"/>
          <w:b/>
          <w:sz w:val="36"/>
          <w:szCs w:val="36"/>
        </w:rPr>
        <w:t>编制单位：奎屯市政务服务中心</w:t>
      </w:r>
    </w:p>
    <w:p w14:paraId="63800D0D">
      <w:pPr>
        <w:pStyle w:val="28"/>
        <w:sectPr>
          <w:pgSz w:w="11906" w:h="16838"/>
          <w:pgMar w:top="1440" w:right="2125" w:bottom="1440" w:left="1803" w:header="851" w:footer="992" w:gutter="0"/>
          <w:pgNumType w:start="1"/>
          <w:cols w:space="720" w:num="1"/>
          <w:docGrid w:type="linesAndChars" w:linePitch="312" w:charSpace="0"/>
        </w:sectPr>
      </w:pPr>
    </w:p>
    <w:p w14:paraId="7284AFC0">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目  录</w:t>
      </w:r>
    </w:p>
    <w:p w14:paraId="614666C9">
      <w:pPr>
        <w:jc w:val="center"/>
        <w:rPr>
          <w:rFonts w:ascii="仿宋_GB2312" w:hAnsi="仿宋_GB2312" w:eastAsia="仿宋_GB2312" w:cs="仿宋_GB2312"/>
          <w:b/>
          <w:bCs/>
          <w:sz w:val="44"/>
          <w:szCs w:val="44"/>
        </w:rPr>
      </w:pPr>
    </w:p>
    <w:p w14:paraId="1C3514A8">
      <w:pPr>
        <w:pStyle w:val="17"/>
        <w:tabs>
          <w:tab w:val="right" w:leader="dot" w:pos="8300"/>
        </w:tabs>
        <w:spacing w:line="480" w:lineRule="auto"/>
        <w:rPr>
          <w:b/>
          <w:bCs/>
          <w:sz w:val="24"/>
        </w:rPr>
      </w:pPr>
      <w:r>
        <w:rPr>
          <w:b/>
          <w:bCs/>
          <w:sz w:val="24"/>
        </w:rPr>
        <w:fldChar w:fldCharType="begin"/>
      </w:r>
      <w:r>
        <w:rPr>
          <w:b/>
          <w:bCs/>
          <w:sz w:val="24"/>
        </w:rPr>
        <w:instrText xml:space="preserve">TOC \o "1-1" \h \u </w:instrText>
      </w:r>
      <w:r>
        <w:rPr>
          <w:b/>
          <w:bCs/>
          <w:sz w:val="24"/>
        </w:rPr>
        <w:fldChar w:fldCharType="separate"/>
      </w:r>
      <w:r>
        <w:fldChar w:fldCharType="begin"/>
      </w:r>
      <w:r>
        <w:instrText xml:space="preserve"> HYPERLINK \l "_Toc9521" </w:instrText>
      </w:r>
      <w:r>
        <w:fldChar w:fldCharType="separate"/>
      </w:r>
      <w:r>
        <w:rPr>
          <w:rFonts w:hint="eastAsia" w:ascii="仿宋_GB2312" w:hAnsi="仿宋_GB2312" w:eastAsia="仿宋_GB2312" w:cs="仿宋_GB2312"/>
          <w:b/>
          <w:bCs/>
          <w:sz w:val="24"/>
        </w:rPr>
        <w:t>招标公告</w:t>
      </w:r>
      <w:r>
        <w:rPr>
          <w:b/>
          <w:bCs/>
          <w:sz w:val="24"/>
        </w:rPr>
        <w:tab/>
      </w:r>
      <w:r>
        <w:rPr>
          <w:b/>
          <w:bCs/>
          <w:sz w:val="24"/>
        </w:rPr>
        <w:fldChar w:fldCharType="begin"/>
      </w:r>
      <w:r>
        <w:rPr>
          <w:b/>
          <w:bCs/>
          <w:sz w:val="24"/>
        </w:rPr>
        <w:instrText xml:space="preserve"> PAGEREF _Toc9521 </w:instrText>
      </w:r>
      <w:r>
        <w:rPr>
          <w:b/>
          <w:bCs/>
          <w:sz w:val="24"/>
        </w:rPr>
        <w:fldChar w:fldCharType="separate"/>
      </w:r>
      <w:r>
        <w:rPr>
          <w:b/>
          <w:bCs/>
          <w:sz w:val="24"/>
        </w:rPr>
        <w:t>1</w:t>
      </w:r>
      <w:r>
        <w:rPr>
          <w:b/>
          <w:bCs/>
          <w:sz w:val="24"/>
        </w:rPr>
        <w:fldChar w:fldCharType="end"/>
      </w:r>
      <w:r>
        <w:rPr>
          <w:b/>
          <w:bCs/>
          <w:sz w:val="24"/>
        </w:rPr>
        <w:fldChar w:fldCharType="end"/>
      </w:r>
    </w:p>
    <w:p w14:paraId="6C41CB08">
      <w:pPr>
        <w:pStyle w:val="17"/>
        <w:tabs>
          <w:tab w:val="right" w:leader="dot" w:pos="8300"/>
        </w:tabs>
        <w:spacing w:line="480" w:lineRule="auto"/>
        <w:rPr>
          <w:b/>
          <w:bCs/>
          <w:sz w:val="24"/>
        </w:rPr>
      </w:pPr>
      <w:r>
        <w:fldChar w:fldCharType="begin"/>
      </w:r>
      <w:r>
        <w:instrText xml:space="preserve"> HYPERLINK \l "_Toc27235" </w:instrText>
      </w:r>
      <w:r>
        <w:fldChar w:fldCharType="separate"/>
      </w:r>
      <w:r>
        <w:rPr>
          <w:rFonts w:hint="eastAsia" w:ascii="仿宋_GB2312" w:hAnsi="仿宋_GB2312" w:eastAsia="仿宋_GB2312" w:cs="仿宋_GB2312"/>
          <w:b/>
          <w:bCs/>
          <w:sz w:val="24"/>
        </w:rPr>
        <w:t>第一章 投标人须知</w:t>
      </w:r>
      <w:r>
        <w:rPr>
          <w:b/>
          <w:bCs/>
          <w:sz w:val="24"/>
        </w:rPr>
        <w:tab/>
      </w:r>
      <w:r>
        <w:rPr>
          <w:b/>
          <w:bCs/>
          <w:sz w:val="24"/>
        </w:rPr>
        <w:fldChar w:fldCharType="begin"/>
      </w:r>
      <w:r>
        <w:rPr>
          <w:b/>
          <w:bCs/>
          <w:sz w:val="24"/>
        </w:rPr>
        <w:instrText xml:space="preserve"> PAGEREF _Toc27235 </w:instrText>
      </w:r>
      <w:r>
        <w:rPr>
          <w:b/>
          <w:bCs/>
          <w:sz w:val="24"/>
        </w:rPr>
        <w:fldChar w:fldCharType="separate"/>
      </w:r>
      <w:r>
        <w:rPr>
          <w:b/>
          <w:bCs/>
          <w:sz w:val="24"/>
        </w:rPr>
        <w:t>5</w:t>
      </w:r>
      <w:r>
        <w:rPr>
          <w:b/>
          <w:bCs/>
          <w:sz w:val="24"/>
        </w:rPr>
        <w:fldChar w:fldCharType="end"/>
      </w:r>
      <w:r>
        <w:rPr>
          <w:b/>
          <w:bCs/>
          <w:sz w:val="24"/>
        </w:rPr>
        <w:fldChar w:fldCharType="end"/>
      </w:r>
    </w:p>
    <w:p w14:paraId="079E9F6B">
      <w:pPr>
        <w:pStyle w:val="17"/>
        <w:tabs>
          <w:tab w:val="right" w:leader="dot" w:pos="8300"/>
        </w:tabs>
        <w:spacing w:line="480" w:lineRule="auto"/>
        <w:rPr>
          <w:b/>
          <w:bCs/>
          <w:sz w:val="24"/>
        </w:rPr>
      </w:pPr>
      <w:r>
        <w:fldChar w:fldCharType="begin"/>
      </w:r>
      <w:r>
        <w:instrText xml:space="preserve"> HYPERLINK \l "_Toc13351" </w:instrText>
      </w:r>
      <w:r>
        <w:fldChar w:fldCharType="separate"/>
      </w:r>
      <w:r>
        <w:rPr>
          <w:rFonts w:hint="eastAsia" w:ascii="仿宋_GB2312" w:hAnsi="仿宋_GB2312" w:eastAsia="仿宋_GB2312" w:cs="仿宋_GB2312"/>
          <w:b/>
          <w:bCs/>
          <w:sz w:val="24"/>
        </w:rPr>
        <w:t>第二章 投标文件内容及格式</w:t>
      </w:r>
      <w:r>
        <w:rPr>
          <w:b/>
          <w:bCs/>
          <w:sz w:val="24"/>
        </w:rPr>
        <w:tab/>
      </w:r>
      <w:r>
        <w:rPr>
          <w:b/>
          <w:bCs/>
          <w:sz w:val="24"/>
        </w:rPr>
        <w:fldChar w:fldCharType="begin"/>
      </w:r>
      <w:r>
        <w:rPr>
          <w:b/>
          <w:bCs/>
          <w:sz w:val="24"/>
        </w:rPr>
        <w:instrText xml:space="preserve"> PAGEREF _Toc13351 </w:instrText>
      </w:r>
      <w:r>
        <w:rPr>
          <w:b/>
          <w:bCs/>
          <w:sz w:val="24"/>
        </w:rPr>
        <w:fldChar w:fldCharType="separate"/>
      </w:r>
      <w:r>
        <w:rPr>
          <w:b/>
          <w:bCs/>
          <w:sz w:val="24"/>
        </w:rPr>
        <w:t>18</w:t>
      </w:r>
      <w:r>
        <w:rPr>
          <w:b/>
          <w:bCs/>
          <w:sz w:val="24"/>
        </w:rPr>
        <w:fldChar w:fldCharType="end"/>
      </w:r>
      <w:r>
        <w:rPr>
          <w:b/>
          <w:bCs/>
          <w:sz w:val="24"/>
        </w:rPr>
        <w:fldChar w:fldCharType="end"/>
      </w:r>
    </w:p>
    <w:p w14:paraId="656B2916">
      <w:pPr>
        <w:pStyle w:val="17"/>
        <w:tabs>
          <w:tab w:val="right" w:leader="dot" w:pos="8300"/>
        </w:tabs>
        <w:spacing w:line="480" w:lineRule="auto"/>
        <w:rPr>
          <w:b/>
          <w:bCs/>
          <w:sz w:val="24"/>
        </w:rPr>
      </w:pPr>
      <w:r>
        <w:fldChar w:fldCharType="begin"/>
      </w:r>
      <w:r>
        <w:instrText xml:space="preserve"> HYPERLINK \l "_Toc11327" </w:instrText>
      </w:r>
      <w:r>
        <w:fldChar w:fldCharType="separate"/>
      </w:r>
      <w:r>
        <w:rPr>
          <w:rFonts w:hint="eastAsia" w:ascii="仿宋_GB2312" w:hAnsi="仿宋_GB2312" w:eastAsia="仿宋_GB2312" w:cs="仿宋_GB2312"/>
          <w:b/>
          <w:bCs/>
          <w:sz w:val="24"/>
        </w:rPr>
        <w:t>第三章 服务需求</w:t>
      </w:r>
      <w:r>
        <w:rPr>
          <w:b/>
          <w:bCs/>
          <w:sz w:val="24"/>
        </w:rPr>
        <w:tab/>
      </w:r>
      <w:r>
        <w:rPr>
          <w:b/>
          <w:bCs/>
          <w:sz w:val="24"/>
        </w:rPr>
        <w:fldChar w:fldCharType="begin"/>
      </w:r>
      <w:r>
        <w:rPr>
          <w:b/>
          <w:bCs/>
          <w:sz w:val="24"/>
        </w:rPr>
        <w:instrText xml:space="preserve"> PAGEREF _Toc11327 </w:instrText>
      </w:r>
      <w:r>
        <w:rPr>
          <w:b/>
          <w:bCs/>
          <w:sz w:val="24"/>
        </w:rPr>
        <w:fldChar w:fldCharType="separate"/>
      </w:r>
      <w:r>
        <w:rPr>
          <w:b/>
          <w:bCs/>
          <w:sz w:val="24"/>
        </w:rPr>
        <w:t>39</w:t>
      </w:r>
      <w:r>
        <w:rPr>
          <w:b/>
          <w:bCs/>
          <w:sz w:val="24"/>
        </w:rPr>
        <w:fldChar w:fldCharType="end"/>
      </w:r>
      <w:r>
        <w:rPr>
          <w:b/>
          <w:bCs/>
          <w:sz w:val="24"/>
        </w:rPr>
        <w:fldChar w:fldCharType="end"/>
      </w:r>
    </w:p>
    <w:p w14:paraId="409531AF">
      <w:pPr>
        <w:pStyle w:val="17"/>
        <w:tabs>
          <w:tab w:val="right" w:leader="dot" w:pos="8300"/>
        </w:tabs>
        <w:spacing w:line="480" w:lineRule="auto"/>
        <w:rPr>
          <w:b/>
          <w:bCs/>
          <w:sz w:val="24"/>
        </w:rPr>
      </w:pPr>
      <w:r>
        <w:fldChar w:fldCharType="begin"/>
      </w:r>
      <w:r>
        <w:instrText xml:space="preserve"> HYPERLINK \l "_Toc8062" </w:instrText>
      </w:r>
      <w:r>
        <w:fldChar w:fldCharType="separate"/>
      </w:r>
      <w:r>
        <w:rPr>
          <w:rFonts w:hint="eastAsia" w:ascii="仿宋_GB2312" w:hAnsi="仿宋_GB2312" w:eastAsia="仿宋_GB2312" w:cs="仿宋_GB2312"/>
          <w:b/>
          <w:bCs/>
          <w:sz w:val="24"/>
        </w:rPr>
        <w:t>第四章 评标方法</w:t>
      </w:r>
      <w:r>
        <w:rPr>
          <w:b/>
          <w:bCs/>
          <w:sz w:val="24"/>
        </w:rPr>
        <w:tab/>
      </w:r>
      <w:r>
        <w:rPr>
          <w:b/>
          <w:bCs/>
          <w:sz w:val="24"/>
        </w:rPr>
        <w:fldChar w:fldCharType="begin"/>
      </w:r>
      <w:r>
        <w:rPr>
          <w:b/>
          <w:bCs/>
          <w:sz w:val="24"/>
        </w:rPr>
        <w:instrText xml:space="preserve"> PAGEREF _Toc8062 </w:instrText>
      </w:r>
      <w:r>
        <w:rPr>
          <w:b/>
          <w:bCs/>
          <w:sz w:val="24"/>
        </w:rPr>
        <w:fldChar w:fldCharType="separate"/>
      </w:r>
      <w:r>
        <w:rPr>
          <w:b/>
          <w:bCs/>
          <w:sz w:val="24"/>
        </w:rPr>
        <w:t>99</w:t>
      </w:r>
      <w:r>
        <w:rPr>
          <w:b/>
          <w:bCs/>
          <w:sz w:val="24"/>
        </w:rPr>
        <w:fldChar w:fldCharType="end"/>
      </w:r>
      <w:r>
        <w:rPr>
          <w:b/>
          <w:bCs/>
          <w:sz w:val="24"/>
        </w:rPr>
        <w:fldChar w:fldCharType="end"/>
      </w:r>
    </w:p>
    <w:p w14:paraId="7E8006E0">
      <w:pPr>
        <w:pStyle w:val="17"/>
        <w:tabs>
          <w:tab w:val="right" w:leader="dot" w:pos="8300"/>
        </w:tabs>
        <w:spacing w:line="480" w:lineRule="auto"/>
        <w:rPr>
          <w:b/>
          <w:bCs/>
          <w:sz w:val="24"/>
        </w:rPr>
      </w:pPr>
      <w:r>
        <w:fldChar w:fldCharType="begin"/>
      </w:r>
      <w:r>
        <w:instrText xml:space="preserve"> HYPERLINK \l "_Toc24606" </w:instrText>
      </w:r>
      <w:r>
        <w:fldChar w:fldCharType="separate"/>
      </w:r>
      <w:r>
        <w:rPr>
          <w:rFonts w:hint="eastAsia" w:ascii="仿宋_GB2312" w:hAnsi="仿宋_GB2312" w:eastAsia="仿宋_GB2312" w:cs="仿宋_GB2312"/>
          <w:b/>
          <w:bCs/>
          <w:sz w:val="24"/>
        </w:rPr>
        <w:t>第五章 政府采购合同条款及格式</w:t>
      </w:r>
      <w:r>
        <w:rPr>
          <w:b/>
          <w:bCs/>
          <w:sz w:val="24"/>
        </w:rPr>
        <w:tab/>
      </w:r>
      <w:r>
        <w:rPr>
          <w:b/>
          <w:bCs/>
          <w:sz w:val="24"/>
        </w:rPr>
        <w:fldChar w:fldCharType="begin"/>
      </w:r>
      <w:r>
        <w:rPr>
          <w:b/>
          <w:bCs/>
          <w:sz w:val="24"/>
        </w:rPr>
        <w:instrText xml:space="preserve"> PAGEREF _Toc24606 </w:instrText>
      </w:r>
      <w:r>
        <w:rPr>
          <w:b/>
          <w:bCs/>
          <w:sz w:val="24"/>
        </w:rPr>
        <w:fldChar w:fldCharType="separate"/>
      </w:r>
      <w:r>
        <w:rPr>
          <w:b/>
          <w:bCs/>
          <w:sz w:val="24"/>
        </w:rPr>
        <w:t>108</w:t>
      </w:r>
      <w:r>
        <w:rPr>
          <w:b/>
          <w:bCs/>
          <w:sz w:val="24"/>
        </w:rPr>
        <w:fldChar w:fldCharType="end"/>
      </w:r>
      <w:r>
        <w:rPr>
          <w:b/>
          <w:bCs/>
          <w:sz w:val="24"/>
        </w:rPr>
        <w:fldChar w:fldCharType="end"/>
      </w:r>
    </w:p>
    <w:p w14:paraId="52B488F9">
      <w:pPr>
        <w:spacing w:line="480" w:lineRule="auto"/>
      </w:pPr>
      <w:r>
        <w:rPr>
          <w:b/>
          <w:bCs/>
          <w:sz w:val="24"/>
        </w:rPr>
        <w:fldChar w:fldCharType="end"/>
      </w:r>
    </w:p>
    <w:p w14:paraId="6F683959">
      <w:pPr>
        <w:pStyle w:val="3"/>
        <w:rPr>
          <w:rFonts w:ascii="仿宋_GB2312" w:hAnsi="仿宋_GB2312" w:eastAsia="仿宋_GB2312" w:cs="仿宋_GB2312"/>
        </w:rPr>
        <w:sectPr>
          <w:footerReference r:id="rId3" w:type="default"/>
          <w:pgSz w:w="11906" w:h="16838"/>
          <w:pgMar w:top="1440" w:right="1803" w:bottom="1440" w:left="1803" w:header="851" w:footer="992" w:gutter="0"/>
          <w:pgNumType w:start="1"/>
          <w:cols w:space="720" w:num="1"/>
          <w:docGrid w:type="linesAndChars" w:linePitch="312" w:charSpace="0"/>
        </w:sectPr>
      </w:pPr>
      <w:bookmarkStart w:id="0" w:name="_Toc1124_WPSOffice_Level1"/>
      <w:bookmarkStart w:id="1" w:name="_Toc9521"/>
      <w:bookmarkStart w:id="2" w:name="_Toc2983"/>
    </w:p>
    <w:p w14:paraId="1E412722">
      <w:pPr>
        <w:pStyle w:val="3"/>
        <w:rPr>
          <w:rFonts w:ascii="仿宋_GB2312" w:hAnsi="仿宋_GB2312" w:eastAsia="仿宋_GB2312" w:cs="仿宋_GB2312"/>
        </w:rPr>
      </w:pPr>
      <w:r>
        <w:rPr>
          <w:rFonts w:hint="eastAsia" w:ascii="仿宋_GB2312" w:hAnsi="仿宋_GB2312" w:eastAsia="仿宋_GB2312" w:cs="仿宋_GB2312"/>
          <w:lang w:val="en-US" w:eastAsia="zh-CN"/>
        </w:rPr>
        <w:t>奎屯市第七、第八中学物业管理和后勤购买服务招标</w:t>
      </w:r>
      <w:r>
        <w:rPr>
          <w:rFonts w:hint="eastAsia" w:ascii="仿宋_GB2312" w:hAnsi="仿宋_GB2312" w:eastAsia="仿宋_GB2312" w:cs="仿宋_GB2312"/>
        </w:rPr>
        <w:t>项目公告</w:t>
      </w:r>
      <w:bookmarkEnd w:id="0"/>
      <w:bookmarkEnd w:id="1"/>
      <w:bookmarkEnd w:id="2"/>
    </w:p>
    <w:p w14:paraId="544B3684">
      <w:pPr>
        <w:pBdr>
          <w:top w:val="single" w:color="auto" w:sz="4" w:space="1"/>
          <w:left w:val="single" w:color="auto" w:sz="4" w:space="4"/>
          <w:bottom w:val="single" w:color="auto" w:sz="4" w:space="1"/>
          <w:right w:val="single" w:color="auto" w:sz="4" w:space="4"/>
        </w:pBdr>
        <w:adjustRightInd w:val="0"/>
        <w:snapToGrid w:val="0"/>
        <w:spacing w:line="36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项目概况</w:t>
      </w:r>
    </w:p>
    <w:p w14:paraId="3F70F5BC">
      <w:pPr>
        <w:pBdr>
          <w:top w:val="single" w:color="auto" w:sz="4" w:space="1"/>
          <w:left w:val="single" w:color="auto" w:sz="4" w:space="4"/>
          <w:bottom w:val="single" w:color="auto" w:sz="4" w:space="1"/>
          <w:right w:val="single" w:color="auto" w:sz="4" w:space="4"/>
        </w:pBd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bCs/>
          <w:sz w:val="21"/>
          <w:szCs w:val="21"/>
          <w:lang w:val="en-US" w:eastAsia="zh-CN"/>
        </w:rPr>
        <w:t>奎屯市第七、第八中学物业管理和后勤购买服务</w:t>
      </w:r>
      <w:r>
        <w:rPr>
          <w:rFonts w:hint="eastAsia" w:ascii="仿宋_GB2312" w:hAnsi="仿宋_GB2312" w:eastAsia="仿宋_GB2312" w:cs="仿宋_GB2312"/>
          <w:lang w:val="en-US" w:eastAsia="zh-CN"/>
        </w:rPr>
        <w:t>项目</w:t>
      </w:r>
      <w:r>
        <w:rPr>
          <w:rFonts w:hint="eastAsia" w:ascii="仿宋_GB2312" w:hAnsi="仿宋_GB2312" w:eastAsia="仿宋_GB2312" w:cs="仿宋_GB2312"/>
          <w:szCs w:val="21"/>
        </w:rPr>
        <w:t>的潜在供应商应在</w:t>
      </w:r>
      <w:r>
        <w:rPr>
          <w:rFonts w:hint="eastAsia" w:ascii="仿宋_GB2312" w:hAnsi="仿宋_GB2312" w:eastAsia="仿宋_GB2312" w:cs="仿宋_GB2312"/>
          <w:szCs w:val="21"/>
          <w:u w:val="single"/>
        </w:rPr>
        <w:t>政采云平台（http://www.zcygov.cn/</w:t>
      </w:r>
      <w:r>
        <w:rPr>
          <w:rFonts w:hint="eastAsia" w:ascii="仿宋_GB2312" w:hAnsi="仿宋_GB2312" w:eastAsia="仿宋_GB2312" w:cs="仿宋_GB2312"/>
          <w:szCs w:val="21"/>
        </w:rPr>
        <w:t>获取招标文件，并于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color w:val="auto"/>
          <w:szCs w:val="21"/>
          <w:u w:val="single"/>
        </w:rPr>
        <w:t>202</w:t>
      </w:r>
      <w:r>
        <w:rPr>
          <w:rFonts w:hint="eastAsia" w:ascii="仿宋_GB2312" w:hAnsi="仿宋_GB2312" w:eastAsia="仿宋_GB2312" w:cs="仿宋_GB2312"/>
          <w:color w:val="auto"/>
          <w:szCs w:val="21"/>
          <w:u w:val="single"/>
          <w:lang w:val="en-US" w:eastAsia="zh-CN"/>
        </w:rPr>
        <w:t>5</w:t>
      </w:r>
      <w:r>
        <w:rPr>
          <w:rFonts w:hint="eastAsia" w:ascii="仿宋_GB2312" w:hAnsi="仿宋_GB2312" w:eastAsia="仿宋_GB2312" w:cs="仿宋_GB2312"/>
          <w:bCs/>
          <w:color w:val="auto"/>
          <w:szCs w:val="21"/>
          <w:u w:val="single"/>
        </w:rPr>
        <w:t>年</w:t>
      </w:r>
      <w:r>
        <w:rPr>
          <w:rFonts w:hint="eastAsia" w:ascii="仿宋_GB2312" w:hAnsi="仿宋_GB2312" w:eastAsia="仿宋_GB2312" w:cs="仿宋_GB2312"/>
          <w:bCs/>
          <w:color w:val="auto"/>
          <w:szCs w:val="21"/>
          <w:highlight w:val="none"/>
          <w:u w:val="single"/>
          <w:lang w:val="en-US" w:eastAsia="zh-CN"/>
        </w:rPr>
        <w:t>8</w:t>
      </w:r>
      <w:r>
        <w:rPr>
          <w:rFonts w:hint="eastAsia" w:ascii="仿宋_GB2312" w:hAnsi="仿宋_GB2312" w:eastAsia="仿宋_GB2312" w:cs="仿宋_GB2312"/>
          <w:bCs/>
          <w:color w:val="auto"/>
          <w:szCs w:val="21"/>
          <w:highlight w:val="none"/>
          <w:u w:val="single"/>
        </w:rPr>
        <w:t>月</w:t>
      </w:r>
      <w:r>
        <w:rPr>
          <w:rFonts w:hint="eastAsia" w:ascii="仿宋_GB2312" w:hAnsi="仿宋_GB2312" w:eastAsia="仿宋_GB2312" w:cs="仿宋_GB2312"/>
          <w:bCs/>
          <w:color w:val="auto"/>
          <w:szCs w:val="21"/>
          <w:highlight w:val="none"/>
          <w:u w:val="single"/>
          <w:lang w:val="en-US" w:eastAsia="zh-CN"/>
        </w:rPr>
        <w:t>8</w:t>
      </w:r>
      <w:r>
        <w:rPr>
          <w:rFonts w:hint="eastAsia" w:ascii="仿宋_GB2312" w:hAnsi="仿宋_GB2312" w:eastAsia="仿宋_GB2312" w:cs="仿宋_GB2312"/>
          <w:bCs/>
          <w:color w:val="auto"/>
          <w:szCs w:val="21"/>
          <w:highlight w:val="none"/>
          <w:u w:val="single"/>
        </w:rPr>
        <w:t>日</w:t>
      </w:r>
      <w:r>
        <w:rPr>
          <w:rFonts w:hint="eastAsia" w:ascii="仿宋_GB2312" w:hAnsi="仿宋_GB2312" w:eastAsia="仿宋_GB2312" w:cs="仿宋_GB2312"/>
          <w:bCs/>
          <w:szCs w:val="21"/>
          <w:u w:val="single"/>
        </w:rPr>
        <w:t>10点 30分（</w:t>
      </w:r>
      <w:r>
        <w:rPr>
          <w:rFonts w:hint="eastAsia" w:ascii="仿宋_GB2312" w:hAnsi="仿宋_GB2312" w:eastAsia="仿宋_GB2312" w:cs="仿宋_GB2312"/>
          <w:bCs/>
          <w:szCs w:val="21"/>
        </w:rPr>
        <w:t>北京时间）前递交投标文件</w:t>
      </w:r>
      <w:r>
        <w:rPr>
          <w:rFonts w:hint="eastAsia" w:ascii="仿宋_GB2312" w:hAnsi="仿宋_GB2312" w:eastAsia="仿宋_GB2312" w:cs="仿宋_GB2312"/>
          <w:szCs w:val="21"/>
        </w:rPr>
        <w:t>。</w:t>
      </w:r>
    </w:p>
    <w:p w14:paraId="718AEFEA">
      <w:pPr>
        <w:widowControl/>
        <w:adjustRightInd w:val="0"/>
        <w:snapToGrid w:val="0"/>
        <w:spacing w:line="360" w:lineRule="auto"/>
        <w:jc w:val="left"/>
        <w:rPr>
          <w:rFonts w:hint="eastAsia" w:ascii="仿宋" w:hAnsi="仿宋" w:cs="仿宋"/>
          <w:b/>
          <w:bCs/>
          <w:szCs w:val="21"/>
        </w:rPr>
      </w:pPr>
    </w:p>
    <w:p w14:paraId="46DF6530">
      <w:pPr>
        <w:widowControl/>
        <w:adjustRightInd w:val="0"/>
        <w:snapToGrid w:val="0"/>
        <w:spacing w:line="360" w:lineRule="auto"/>
        <w:jc w:val="left"/>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一、项目基本情况</w:t>
      </w:r>
    </w:p>
    <w:p w14:paraId="1CF3C068">
      <w:pPr>
        <w:adjustRightInd w:val="0"/>
        <w:snapToGrid w:val="0"/>
        <w:spacing w:line="360" w:lineRule="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项目编号：KTJY-GK202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-00</w:t>
      </w:r>
      <w:r>
        <w:rPr>
          <w:rFonts w:hint="eastAsia" w:ascii="仿宋_GB2312" w:hAnsi="仿宋_GB2312" w:eastAsia="仿宋_GB2312" w:cs="仿宋_GB2312"/>
          <w:sz w:val="21"/>
          <w:szCs w:val="21"/>
          <w:lang w:val="en-US" w:eastAsia="zh-CN"/>
        </w:rPr>
        <w:t>2</w:t>
      </w:r>
    </w:p>
    <w:p w14:paraId="056F7ED4">
      <w:pPr>
        <w:adjustRightInd w:val="0"/>
        <w:snapToGrid w:val="0"/>
        <w:spacing w:line="360" w:lineRule="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项目名称：</w:t>
      </w:r>
      <w:r>
        <w:rPr>
          <w:rFonts w:hint="eastAsia" w:ascii="仿宋_GB2312" w:hAnsi="仿宋_GB2312" w:eastAsia="仿宋_GB2312" w:cs="仿宋_GB2312"/>
          <w:sz w:val="21"/>
          <w:szCs w:val="21"/>
          <w:lang w:val="en-US" w:eastAsia="zh-CN"/>
        </w:rPr>
        <w:t>奎屯市第七、第八中学物业管理和后勤购买服务</w:t>
      </w:r>
    </w:p>
    <w:p w14:paraId="2D04E7BA">
      <w:pPr>
        <w:adjustRightInd w:val="0"/>
        <w:snapToGrid w:val="0"/>
        <w:spacing w:line="360" w:lineRule="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采购方式：公开招标</w:t>
      </w:r>
    </w:p>
    <w:p w14:paraId="0775BB08">
      <w:pPr>
        <w:adjustRightInd w:val="0"/>
        <w:snapToGrid w:val="0"/>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预算金额：</w:t>
      </w:r>
      <w:r>
        <w:rPr>
          <w:rFonts w:hint="eastAsia" w:ascii="仿宋_GB2312" w:hAnsi="仿宋_GB2312" w:eastAsia="仿宋_GB2312" w:cs="仿宋_GB2312"/>
          <w:sz w:val="21"/>
          <w:szCs w:val="21"/>
          <w:lang w:val="en-US" w:eastAsia="zh-CN"/>
        </w:rPr>
        <w:t>每年458万元，三年</w:t>
      </w:r>
      <w:r>
        <w:rPr>
          <w:rFonts w:hint="eastAsia" w:ascii="仿宋_GB2312" w:hAnsi="仿宋_GB2312" w:eastAsia="仿宋_GB2312" w:cs="仿宋_GB2312"/>
          <w:sz w:val="21"/>
          <w:szCs w:val="21"/>
          <w:highlight w:val="none"/>
          <w:lang w:val="en-US" w:eastAsia="zh-CN"/>
        </w:rPr>
        <w:t>1374</w:t>
      </w:r>
      <w:r>
        <w:rPr>
          <w:rFonts w:hint="eastAsia" w:ascii="仿宋_GB2312" w:hAnsi="仿宋_GB2312" w:eastAsia="仿宋_GB2312" w:cs="仿宋_GB2312"/>
          <w:bCs/>
          <w:color w:val="auto"/>
          <w:sz w:val="21"/>
          <w:szCs w:val="21"/>
          <w:highlight w:val="none"/>
          <w:lang w:val="en-US" w:eastAsia="zh-CN"/>
        </w:rPr>
        <w:t>万</w:t>
      </w:r>
      <w:r>
        <w:rPr>
          <w:rFonts w:hint="eastAsia" w:ascii="仿宋_GB2312" w:hAnsi="仿宋_GB2312" w:eastAsia="仿宋_GB2312" w:cs="仿宋_GB2312"/>
          <w:sz w:val="21"/>
          <w:szCs w:val="21"/>
        </w:rPr>
        <w:t>元</w:t>
      </w:r>
    </w:p>
    <w:p w14:paraId="0693B664">
      <w:pPr>
        <w:adjustRightInd w:val="0"/>
        <w:snapToGrid w:val="0"/>
        <w:spacing w:line="360" w:lineRule="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最高限价（如有）：</w:t>
      </w:r>
      <w:r>
        <w:rPr>
          <w:rFonts w:hint="eastAsia" w:ascii="仿宋_GB2312" w:hAnsi="仿宋_GB2312" w:eastAsia="仿宋_GB2312" w:cs="仿宋_GB2312"/>
          <w:sz w:val="21"/>
          <w:szCs w:val="21"/>
          <w:lang w:val="en-US" w:eastAsia="zh-CN"/>
        </w:rPr>
        <w:t>每年458万元，三年</w:t>
      </w:r>
      <w:r>
        <w:rPr>
          <w:rFonts w:hint="eastAsia" w:ascii="仿宋_GB2312" w:hAnsi="仿宋_GB2312" w:eastAsia="仿宋_GB2312" w:cs="仿宋_GB2312"/>
          <w:sz w:val="21"/>
          <w:szCs w:val="21"/>
          <w:highlight w:val="none"/>
          <w:lang w:val="en-US" w:eastAsia="zh-CN"/>
        </w:rPr>
        <w:t>1374</w:t>
      </w:r>
      <w:r>
        <w:rPr>
          <w:rFonts w:hint="eastAsia" w:ascii="仿宋_GB2312" w:hAnsi="仿宋_GB2312" w:eastAsia="仿宋_GB2312" w:cs="仿宋_GB2312"/>
          <w:bCs/>
          <w:color w:val="auto"/>
          <w:sz w:val="21"/>
          <w:szCs w:val="21"/>
          <w:highlight w:val="none"/>
          <w:lang w:val="en-US" w:eastAsia="zh-CN"/>
        </w:rPr>
        <w:t>万</w:t>
      </w:r>
      <w:r>
        <w:rPr>
          <w:rFonts w:hint="eastAsia" w:ascii="仿宋_GB2312" w:hAnsi="仿宋_GB2312" w:eastAsia="仿宋_GB2312" w:cs="仿宋_GB2312"/>
          <w:sz w:val="21"/>
          <w:szCs w:val="21"/>
        </w:rPr>
        <w:t>元</w:t>
      </w:r>
    </w:p>
    <w:p w14:paraId="27467C59">
      <w:pPr>
        <w:adjustRightInd w:val="0"/>
        <w:snapToGrid w:val="0"/>
        <w:spacing w:line="360" w:lineRule="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采购需求：</w:t>
      </w:r>
      <w:r>
        <w:rPr>
          <w:rFonts w:hint="eastAsia" w:ascii="仿宋_GB2312" w:hAnsi="仿宋_GB2312" w:eastAsia="仿宋_GB2312" w:cs="仿宋_GB2312"/>
          <w:sz w:val="21"/>
          <w:szCs w:val="21"/>
          <w:lang w:val="en-US" w:eastAsia="zh-CN"/>
        </w:rPr>
        <w:t>详见招标文件</w:t>
      </w:r>
    </w:p>
    <w:tbl>
      <w:tblPr>
        <w:tblStyle w:val="21"/>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2983"/>
        <w:gridCol w:w="1763"/>
        <w:gridCol w:w="1812"/>
      </w:tblGrid>
      <w:tr w14:paraId="34D59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983" w:type="dxa"/>
            <w:noWrap w:val="0"/>
            <w:vAlign w:val="center"/>
          </w:tcPr>
          <w:p w14:paraId="56A7C3F4">
            <w:pPr>
              <w:pStyle w:val="46"/>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项目名称</w:t>
            </w:r>
          </w:p>
        </w:tc>
        <w:tc>
          <w:tcPr>
            <w:tcW w:w="2983" w:type="dxa"/>
            <w:noWrap w:val="0"/>
            <w:vAlign w:val="center"/>
          </w:tcPr>
          <w:p w14:paraId="7B3170B0">
            <w:pPr>
              <w:pStyle w:val="46"/>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项目内容</w:t>
            </w:r>
          </w:p>
        </w:tc>
        <w:tc>
          <w:tcPr>
            <w:tcW w:w="1763" w:type="dxa"/>
            <w:noWrap w:val="0"/>
            <w:vAlign w:val="center"/>
          </w:tcPr>
          <w:p w14:paraId="69C18BEF">
            <w:pPr>
              <w:pStyle w:val="47"/>
              <w:widowControl/>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预算金额(万元)</w:t>
            </w:r>
          </w:p>
        </w:tc>
        <w:tc>
          <w:tcPr>
            <w:tcW w:w="1812" w:type="dxa"/>
            <w:noWrap w:val="0"/>
            <w:vAlign w:val="center"/>
          </w:tcPr>
          <w:p w14:paraId="6A8B9F4E">
            <w:pPr>
              <w:pStyle w:val="47"/>
              <w:widowControl/>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最高限价(万元)</w:t>
            </w:r>
          </w:p>
        </w:tc>
      </w:tr>
      <w:tr w14:paraId="36F45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1983" w:type="dxa"/>
            <w:noWrap w:val="0"/>
            <w:vAlign w:val="center"/>
          </w:tcPr>
          <w:p w14:paraId="5E108487">
            <w:pPr>
              <w:adjustRightInd w:val="0"/>
              <w:snapToGrid w:val="0"/>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bCs/>
                <w:sz w:val="21"/>
                <w:szCs w:val="21"/>
              </w:rPr>
              <w:t>奎屯市第</w:t>
            </w:r>
            <w:r>
              <w:rPr>
                <w:rFonts w:hint="eastAsia" w:ascii="仿宋_GB2312" w:hAnsi="仿宋_GB2312" w:eastAsia="仿宋_GB2312" w:cs="仿宋_GB2312"/>
                <w:bCs/>
                <w:sz w:val="21"/>
                <w:szCs w:val="21"/>
                <w:lang w:eastAsia="zh-CN"/>
              </w:rPr>
              <w:t>七、第</w:t>
            </w:r>
            <w:r>
              <w:rPr>
                <w:rFonts w:hint="eastAsia" w:ascii="仿宋_GB2312" w:hAnsi="仿宋_GB2312" w:eastAsia="仿宋_GB2312" w:cs="仿宋_GB2312"/>
                <w:bCs/>
                <w:sz w:val="21"/>
                <w:szCs w:val="21"/>
              </w:rPr>
              <w:t>八中学物业管理和后勤购买服务</w:t>
            </w:r>
          </w:p>
        </w:tc>
        <w:tc>
          <w:tcPr>
            <w:tcW w:w="2983" w:type="dxa"/>
            <w:noWrap w:val="0"/>
            <w:vAlign w:val="center"/>
          </w:tcPr>
          <w:p w14:paraId="6EBD2528">
            <w:pPr>
              <w:pStyle w:val="46"/>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1、物业管理服务2、后勤服务</w:t>
            </w:r>
          </w:p>
        </w:tc>
        <w:tc>
          <w:tcPr>
            <w:tcW w:w="1763" w:type="dxa"/>
            <w:noWrap w:val="0"/>
            <w:vAlign w:val="center"/>
          </w:tcPr>
          <w:p w14:paraId="3CE7B4F5">
            <w:pPr>
              <w:pStyle w:val="46"/>
              <w:spacing w:line="360" w:lineRule="auto"/>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458/年</w:t>
            </w:r>
          </w:p>
        </w:tc>
        <w:tc>
          <w:tcPr>
            <w:tcW w:w="1812" w:type="dxa"/>
            <w:noWrap w:val="0"/>
            <w:vAlign w:val="center"/>
          </w:tcPr>
          <w:p w14:paraId="769B08D9">
            <w:pPr>
              <w:pStyle w:val="46"/>
              <w:spacing w:line="360" w:lineRule="auto"/>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458/年</w:t>
            </w:r>
          </w:p>
        </w:tc>
      </w:tr>
      <w:tr w14:paraId="221C6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4966" w:type="dxa"/>
            <w:gridSpan w:val="2"/>
            <w:noWrap w:val="0"/>
            <w:vAlign w:val="center"/>
          </w:tcPr>
          <w:p w14:paraId="29645816">
            <w:pPr>
              <w:pStyle w:val="46"/>
              <w:spacing w:line="360" w:lineRule="auto"/>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预算合计(万元)/最高限价合计(万元)</w:t>
            </w:r>
          </w:p>
        </w:tc>
        <w:tc>
          <w:tcPr>
            <w:tcW w:w="1763" w:type="dxa"/>
            <w:noWrap w:val="0"/>
            <w:vAlign w:val="center"/>
          </w:tcPr>
          <w:p w14:paraId="29B95270">
            <w:pPr>
              <w:pStyle w:val="46"/>
              <w:spacing w:line="360" w:lineRule="auto"/>
              <w:jc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458/年</w:t>
            </w:r>
          </w:p>
        </w:tc>
        <w:tc>
          <w:tcPr>
            <w:tcW w:w="1812" w:type="dxa"/>
            <w:noWrap w:val="0"/>
            <w:vAlign w:val="center"/>
          </w:tcPr>
          <w:p w14:paraId="2DA2431E">
            <w:pPr>
              <w:pStyle w:val="46"/>
              <w:spacing w:line="360" w:lineRule="auto"/>
              <w:jc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458/年</w:t>
            </w:r>
          </w:p>
        </w:tc>
      </w:tr>
      <w:tr w14:paraId="56E46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4966" w:type="dxa"/>
            <w:gridSpan w:val="2"/>
            <w:noWrap w:val="0"/>
            <w:vAlign w:val="center"/>
          </w:tcPr>
          <w:p w14:paraId="7AB116E9">
            <w:pPr>
              <w:pStyle w:val="46"/>
              <w:spacing w:line="360" w:lineRule="auto"/>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预算合计(万元)</w:t>
            </w:r>
            <w:r>
              <w:rPr>
                <w:rFonts w:hint="eastAsia" w:ascii="仿宋_GB2312" w:hAnsi="仿宋_GB2312" w:eastAsia="仿宋_GB2312" w:cs="仿宋_GB2312"/>
                <w:sz w:val="21"/>
                <w:szCs w:val="21"/>
                <w:lang w:eastAsia="zh-CN"/>
              </w:rPr>
              <w:t>三年</w:t>
            </w:r>
            <w:r>
              <w:rPr>
                <w:rFonts w:hint="eastAsia" w:ascii="仿宋_GB2312" w:hAnsi="仿宋_GB2312" w:eastAsia="仿宋_GB2312" w:cs="仿宋_GB2312"/>
                <w:sz w:val="21"/>
                <w:szCs w:val="21"/>
              </w:rPr>
              <w:t>最高限价合计(万元)</w:t>
            </w:r>
          </w:p>
        </w:tc>
        <w:tc>
          <w:tcPr>
            <w:tcW w:w="1763" w:type="dxa"/>
            <w:noWrap w:val="0"/>
            <w:vAlign w:val="center"/>
          </w:tcPr>
          <w:p w14:paraId="652BCBC7">
            <w:pPr>
              <w:pStyle w:val="46"/>
              <w:spacing w:line="360" w:lineRule="auto"/>
              <w:jc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1374</w:t>
            </w:r>
          </w:p>
        </w:tc>
        <w:tc>
          <w:tcPr>
            <w:tcW w:w="1812" w:type="dxa"/>
            <w:noWrap w:val="0"/>
            <w:vAlign w:val="center"/>
          </w:tcPr>
          <w:p w14:paraId="59AE8C72">
            <w:pPr>
              <w:pStyle w:val="46"/>
              <w:spacing w:line="360" w:lineRule="auto"/>
              <w:jc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1374</w:t>
            </w:r>
          </w:p>
        </w:tc>
      </w:tr>
    </w:tbl>
    <w:p w14:paraId="5F11A40E">
      <w:pPr>
        <w:pStyle w:val="12"/>
        <w:rPr>
          <w:rFonts w:hint="eastAsia" w:ascii="仿宋_GB2312" w:hAnsi="仿宋_GB2312" w:eastAsia="仿宋_GB2312" w:cs="仿宋_GB2312"/>
          <w:sz w:val="21"/>
          <w:szCs w:val="21"/>
          <w:lang w:val="en-US" w:eastAsia="zh-CN"/>
        </w:rPr>
      </w:pPr>
    </w:p>
    <w:p w14:paraId="3494695B">
      <w:pPr>
        <w:pStyle w:val="44"/>
        <w:widowControl/>
        <w:snapToGrid w:val="0"/>
        <w:spacing w:line="360" w:lineRule="auto"/>
        <w:ind w:left="0" w:leftChars="0"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合同履行期限：</w:t>
      </w:r>
      <w:r>
        <w:rPr>
          <w:rFonts w:hint="eastAsia" w:ascii="仿宋_GB2312" w:hAnsi="仿宋_GB2312" w:eastAsia="仿宋_GB2312" w:cs="仿宋_GB2312"/>
          <w:sz w:val="21"/>
          <w:szCs w:val="21"/>
        </w:rPr>
        <w:t>本项目由奎屯市第</w:t>
      </w:r>
      <w:r>
        <w:rPr>
          <w:rFonts w:hint="eastAsia" w:ascii="仿宋_GB2312" w:hAnsi="仿宋_GB2312" w:eastAsia="仿宋_GB2312" w:cs="仿宋_GB2312"/>
          <w:sz w:val="21"/>
          <w:szCs w:val="21"/>
          <w:lang w:eastAsia="zh-CN"/>
        </w:rPr>
        <w:t>七</w:t>
      </w:r>
      <w:r>
        <w:rPr>
          <w:rFonts w:hint="eastAsia" w:ascii="仿宋_GB2312" w:hAnsi="仿宋_GB2312" w:eastAsia="仿宋_GB2312" w:cs="仿宋_GB2312"/>
          <w:sz w:val="21"/>
          <w:szCs w:val="21"/>
        </w:rPr>
        <w:t>中学、奎屯市第</w:t>
      </w:r>
      <w:r>
        <w:rPr>
          <w:rFonts w:hint="eastAsia" w:ascii="仿宋_GB2312" w:hAnsi="仿宋_GB2312" w:eastAsia="仿宋_GB2312" w:cs="仿宋_GB2312"/>
          <w:sz w:val="21"/>
          <w:szCs w:val="21"/>
          <w:lang w:eastAsia="zh-CN"/>
        </w:rPr>
        <w:t>八</w:t>
      </w:r>
      <w:r>
        <w:rPr>
          <w:rFonts w:hint="eastAsia" w:ascii="仿宋_GB2312" w:hAnsi="仿宋_GB2312" w:eastAsia="仿宋_GB2312" w:cs="仿宋_GB2312"/>
          <w:sz w:val="21"/>
          <w:szCs w:val="21"/>
        </w:rPr>
        <w:t>中学进行联合采购，总服务期限为</w:t>
      </w:r>
      <w:r>
        <w:rPr>
          <w:rFonts w:hint="eastAsia" w:ascii="仿宋_GB2312" w:hAnsi="仿宋_GB2312" w:eastAsia="仿宋_GB2312" w:cs="仿宋_GB2312"/>
          <w:sz w:val="21"/>
          <w:szCs w:val="21"/>
          <w:lang w:val="en-US" w:eastAsia="zh-CN"/>
        </w:rPr>
        <w:t>三</w:t>
      </w:r>
      <w:r>
        <w:rPr>
          <w:rFonts w:hint="eastAsia" w:ascii="仿宋_GB2312" w:hAnsi="仿宋_GB2312" w:eastAsia="仿宋_GB2312" w:cs="仿宋_GB2312"/>
          <w:sz w:val="21"/>
          <w:szCs w:val="21"/>
        </w:rPr>
        <w:t>年，采购合同每年签一次，第二年的采购合同根据中标人第一年履约考核情况而定，如甲方满意率达到85%以上，可根据满意率继续签订，以此类推第三年的采购合同签订。</w:t>
      </w:r>
      <w:r>
        <w:rPr>
          <w:rFonts w:hint="eastAsia" w:ascii="仿宋_GB2312" w:hAnsi="仿宋_GB2312" w:eastAsia="仿宋_GB2312" w:cs="仿宋_GB2312"/>
          <w:sz w:val="21"/>
          <w:szCs w:val="21"/>
          <w:lang w:val="en-US" w:eastAsia="zh-CN"/>
        </w:rPr>
        <w:t>所涉及价格处(开标一览表、服务价格明细表），</w:t>
      </w:r>
      <w:r>
        <w:rPr>
          <w:rFonts w:hint="eastAsia" w:ascii="仿宋_GB2312" w:hAnsi="仿宋_GB2312" w:eastAsia="仿宋_GB2312" w:cs="仿宋_GB2312"/>
          <w:sz w:val="21"/>
          <w:szCs w:val="21"/>
          <w:lang w:eastAsia="zh-CN"/>
        </w:rPr>
        <w:t>报价</w:t>
      </w:r>
      <w:r>
        <w:rPr>
          <w:rFonts w:hint="eastAsia" w:ascii="仿宋_GB2312" w:hAnsi="仿宋_GB2312" w:eastAsia="仿宋_GB2312" w:cs="仿宋_GB2312"/>
          <w:sz w:val="21"/>
          <w:szCs w:val="21"/>
          <w:lang w:val="en-US" w:eastAsia="zh-CN"/>
        </w:rPr>
        <w:t>分</w:t>
      </w:r>
      <w:r>
        <w:rPr>
          <w:rFonts w:hint="eastAsia" w:ascii="仿宋_GB2312" w:hAnsi="仿宋_GB2312" w:eastAsia="仿宋_GB2312" w:cs="仿宋_GB2312"/>
          <w:sz w:val="21"/>
          <w:szCs w:val="21"/>
          <w:lang w:eastAsia="zh-CN"/>
        </w:rPr>
        <w:t>年度报价(年度报价可以不一致，但是每年度报价不能超过458万），</w:t>
      </w:r>
      <w:r>
        <w:rPr>
          <w:rFonts w:hint="eastAsia" w:ascii="仿宋_GB2312" w:hAnsi="仿宋_GB2312" w:eastAsia="仿宋_GB2312" w:cs="仿宋_GB2312"/>
          <w:sz w:val="21"/>
          <w:szCs w:val="21"/>
          <w:lang w:val="en-US" w:eastAsia="zh-CN"/>
        </w:rPr>
        <w:t>并提供三年总价，</w:t>
      </w:r>
      <w:r>
        <w:rPr>
          <w:rFonts w:hint="eastAsia" w:ascii="仿宋_GB2312" w:hAnsi="仿宋_GB2312" w:eastAsia="仿宋_GB2312" w:cs="仿宋_GB2312"/>
          <w:sz w:val="21"/>
          <w:szCs w:val="21"/>
          <w:lang w:eastAsia="zh-CN"/>
        </w:rPr>
        <w:t>三年服务期总价不能超过1374万元。</w:t>
      </w:r>
    </w:p>
    <w:p w14:paraId="51B7C586">
      <w:pPr>
        <w:adjustRightInd w:val="0"/>
        <w:snapToGrid w:val="0"/>
        <w:spacing w:line="36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本项目需执行的政府采购政策：1、</w:t>
      </w:r>
      <w:r>
        <w:rPr>
          <w:rFonts w:hint="eastAsia" w:ascii="仿宋_GB2312" w:hAnsi="仿宋_GB2312" w:eastAsia="仿宋_GB2312" w:cs="仿宋_GB2312"/>
          <w:sz w:val="21"/>
          <w:szCs w:val="21"/>
          <w:lang w:val="en-US" w:eastAsia="zh-CN"/>
        </w:rPr>
        <w:t>本项目专门面向中小企业采购；2、</w:t>
      </w:r>
      <w:r>
        <w:rPr>
          <w:rFonts w:hint="eastAsia" w:ascii="仿宋_GB2312" w:hAnsi="仿宋_GB2312" w:eastAsia="仿宋_GB2312" w:cs="仿宋_GB2312"/>
          <w:sz w:val="21"/>
          <w:szCs w:val="21"/>
        </w:rPr>
        <w:t>政府采购促进中小企业发展政策（含残疾人福利企业和监狱企业）；</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、政府采购扶持不发达地区政策。</w:t>
      </w:r>
    </w:p>
    <w:p w14:paraId="0EDB3C85">
      <w:pPr>
        <w:adjustRightInd w:val="0"/>
        <w:snapToGrid w:val="0"/>
        <w:spacing w:line="36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本项目</w:t>
      </w:r>
      <w:r>
        <w:rPr>
          <w:rFonts w:hint="eastAsia" w:ascii="仿宋_GB2312" w:hAnsi="仿宋_GB2312" w:eastAsia="仿宋_GB2312" w:cs="仿宋_GB2312"/>
          <w:sz w:val="21"/>
          <w:szCs w:val="21"/>
          <w:lang w:eastAsia="zh-CN"/>
        </w:rPr>
        <w:t>不</w:t>
      </w:r>
      <w:r>
        <w:rPr>
          <w:rFonts w:hint="eastAsia" w:ascii="仿宋_GB2312" w:hAnsi="仿宋_GB2312" w:eastAsia="仿宋_GB2312" w:cs="仿宋_GB2312"/>
          <w:sz w:val="21"/>
          <w:szCs w:val="21"/>
        </w:rPr>
        <w:t>接受联合体投标。</w:t>
      </w:r>
    </w:p>
    <w:p w14:paraId="4B598C4F">
      <w:pPr>
        <w:adjustRightInd w:val="0"/>
        <w:snapToGrid w:val="0"/>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二、供应商的资格要求</w:t>
      </w:r>
      <w:r>
        <w:rPr>
          <w:rFonts w:hint="eastAsia" w:ascii="仿宋_GB2312" w:hAnsi="仿宋_GB2312" w:eastAsia="仿宋_GB2312" w:cs="仿宋_GB2312"/>
          <w:sz w:val="21"/>
          <w:szCs w:val="21"/>
        </w:rPr>
        <w:t>：</w:t>
      </w:r>
    </w:p>
    <w:p w14:paraId="4EE02140">
      <w:pPr>
        <w:adjustRightInd w:val="0"/>
        <w:snapToGrid w:val="0"/>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1.满足《中华人民共和国政府采购法》第二十二条规定；</w:t>
      </w:r>
    </w:p>
    <w:p w14:paraId="3D4828C0">
      <w:pPr>
        <w:adjustRightInd w:val="0"/>
        <w:snapToGrid w:val="0"/>
        <w:spacing w:line="360" w:lineRule="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2.落实政府采购政策需满足的资格要求：根据《政府采购促进中小企业发展管理办法》（财库﹝2020﹞46 号），按照中小企业十六个行业划型标准，本项目中小企业属于</w:t>
      </w:r>
      <w:r>
        <w:rPr>
          <w:rFonts w:hint="eastAsia" w:ascii="仿宋_GB2312" w:hAnsi="仿宋_GB2312" w:eastAsia="仿宋_GB2312" w:cs="仿宋_GB2312"/>
          <w:sz w:val="21"/>
          <w:szCs w:val="21"/>
          <w:lang w:val="en-US" w:eastAsia="zh-CN"/>
        </w:rPr>
        <w:t>物业管理</w:t>
      </w:r>
      <w:r>
        <w:rPr>
          <w:rFonts w:hint="eastAsia" w:ascii="仿宋_GB2312" w:hAnsi="仿宋_GB2312" w:eastAsia="仿宋_GB2312" w:cs="仿宋_GB2312"/>
          <w:sz w:val="21"/>
          <w:szCs w:val="21"/>
        </w:rPr>
        <w:t>服务业</w:t>
      </w:r>
      <w:r>
        <w:rPr>
          <w:rFonts w:hint="eastAsia" w:ascii="仿宋_GB2312" w:hAnsi="仿宋_GB2312" w:eastAsia="仿宋_GB2312" w:cs="仿宋_GB2312"/>
          <w:sz w:val="21"/>
          <w:szCs w:val="21"/>
          <w:lang w:val="en-US" w:eastAsia="zh-CN"/>
        </w:rPr>
        <w:t>;</w:t>
      </w:r>
    </w:p>
    <w:p w14:paraId="0779CE31">
      <w:pPr>
        <w:adjustRightInd w:val="0"/>
        <w:snapToGrid w:val="0"/>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3.本项目的特定资格要求：</w:t>
      </w:r>
    </w:p>
    <w:p w14:paraId="529E7A85">
      <w:pPr>
        <w:adjustRightInd w:val="0"/>
        <w:snapToGrid w:val="0"/>
        <w:spacing w:line="360" w:lineRule="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（1）投标人须出具营业执照副本复印件加盖公章；投标人必须是经中华人民共和国境内依法注册，具有有效的营业执照、组织机构代码证（三证合一企业无需提供），税务登记证（三证合一企业无需提供）；</w:t>
      </w:r>
    </w:p>
    <w:p w14:paraId="1FE0ECAE">
      <w:pPr>
        <w:adjustRightInd w:val="0"/>
        <w:snapToGrid w:val="0"/>
        <w:spacing w:line="360" w:lineRule="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法定代表人身份证（或社会保障卡、护照或公安部门的相关证明）复印件加盖公章；法定代表人的授权委托人身份证（或社会保障卡、护照或公安部门的相关证明）复印件加盖公章；法定代表人授权委托书原件应与所提供的身份证复印件一致；投标单位对提供有效证件的承诺（如提供的资格文件全部为原件则不需提供此承诺书）（原件）。</w:t>
      </w:r>
    </w:p>
    <w:p w14:paraId="4E07873A">
      <w:pPr>
        <w:adjustRightInd w:val="0"/>
        <w:snapToGrid w:val="0"/>
        <w:spacing w:line="360" w:lineRule="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rPr>
        <w:t>(3</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rPr>
        <w:t>投标人有依法缴纳税收和社会保障资金的良好记录：提供投标截止日前3个月依法缴纳税收和社会保障资金的相关材料。若供应商成立不满3个月，则提供自成立以来的相关证明材料；</w:t>
      </w:r>
    </w:p>
    <w:p w14:paraId="0748C639">
      <w:pPr>
        <w:adjustRightInd w:val="0"/>
        <w:snapToGrid w:val="0"/>
        <w:spacing w:line="360" w:lineRule="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w:t>
      </w:r>
      <w:r>
        <w:rPr>
          <w:rFonts w:hint="eastAsia" w:ascii="仿宋_GB2312" w:hAnsi="仿宋_GB2312" w:eastAsia="仿宋_GB2312" w:cs="仿宋_GB2312"/>
          <w:b w:val="0"/>
          <w:bCs w:val="0"/>
          <w:sz w:val="21"/>
          <w:szCs w:val="21"/>
          <w:lang w:val="en-US" w:eastAsia="zh-CN"/>
        </w:rPr>
        <w:t>4</w:t>
      </w:r>
      <w:r>
        <w:rPr>
          <w:rFonts w:hint="eastAsia" w:ascii="仿宋_GB2312" w:hAnsi="仿宋_GB2312" w:eastAsia="仿宋_GB2312" w:cs="仿宋_GB2312"/>
          <w:b w:val="0"/>
          <w:bCs w:val="0"/>
          <w:sz w:val="21"/>
          <w:szCs w:val="21"/>
        </w:rPr>
        <w:t>)投标人需提供参加政府采购活动前3年内在经营活动中没有重大违法记录的书面声明加盖投标人公章；</w:t>
      </w:r>
    </w:p>
    <w:p w14:paraId="4BB97DA1">
      <w:pPr>
        <w:adjustRightInd w:val="0"/>
        <w:snapToGrid w:val="0"/>
        <w:spacing w:line="360" w:lineRule="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w:t>
      </w:r>
      <w:r>
        <w:rPr>
          <w:rFonts w:hint="eastAsia" w:ascii="仿宋_GB2312" w:hAnsi="仿宋_GB2312" w:eastAsia="仿宋_GB2312" w:cs="仿宋_GB2312"/>
          <w:b w:val="0"/>
          <w:bCs w:val="0"/>
          <w:sz w:val="21"/>
          <w:szCs w:val="21"/>
          <w:lang w:val="en-US" w:eastAsia="zh-CN"/>
        </w:rPr>
        <w:t>5</w:t>
      </w:r>
      <w:r>
        <w:rPr>
          <w:rFonts w:hint="eastAsia" w:ascii="仿宋_GB2312" w:hAnsi="仿宋_GB2312" w:eastAsia="仿宋_GB2312" w:cs="仿宋_GB2312"/>
          <w:b w:val="0"/>
          <w:bCs w:val="0"/>
          <w:sz w:val="21"/>
          <w:szCs w:val="21"/>
        </w:rPr>
        <w:t>)拒绝被信用中国网站（www.creditchina.gov.cn）、中国政府采购网（www.ccgp.gov.cn）列入失信被执行人、重大税收违法案件当事人名单、政府采购严重违法失信行为记录名单的企业和个人参与项目投标；</w:t>
      </w:r>
    </w:p>
    <w:p w14:paraId="2F94CD51">
      <w:pPr>
        <w:adjustRightInd w:val="0"/>
        <w:snapToGrid w:val="0"/>
        <w:spacing w:line="360" w:lineRule="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w:t>
      </w:r>
      <w:r>
        <w:rPr>
          <w:rFonts w:hint="eastAsia" w:ascii="仿宋_GB2312" w:hAnsi="仿宋_GB2312" w:eastAsia="仿宋_GB2312" w:cs="仿宋_GB2312"/>
          <w:b w:val="0"/>
          <w:bCs w:val="0"/>
          <w:sz w:val="21"/>
          <w:szCs w:val="21"/>
          <w:lang w:val="en-US" w:eastAsia="zh-CN"/>
        </w:rPr>
        <w:t>6</w:t>
      </w:r>
      <w:r>
        <w:rPr>
          <w:rFonts w:hint="eastAsia" w:ascii="仿宋_GB2312" w:hAnsi="仿宋_GB2312" w:eastAsia="仿宋_GB2312" w:cs="仿宋_GB2312"/>
          <w:b w:val="0"/>
          <w:bCs w:val="0"/>
          <w:sz w:val="21"/>
          <w:szCs w:val="21"/>
        </w:rPr>
        <w:t>)本次招标不接受联合体投标，不允许分包或转包。</w:t>
      </w:r>
    </w:p>
    <w:p w14:paraId="508795F5">
      <w:pPr>
        <w:adjustRightInd w:val="0"/>
        <w:snapToGrid w:val="0"/>
        <w:spacing w:line="360" w:lineRule="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三、获取招标文件</w:t>
      </w:r>
    </w:p>
    <w:p w14:paraId="5FA0A8A4">
      <w:pPr>
        <w:adjustRightInd w:val="0"/>
        <w:snapToGrid w:val="0"/>
        <w:spacing w:line="360" w:lineRule="auto"/>
        <w:rPr>
          <w:rFonts w:hint="eastAsia" w:ascii="仿宋_GB2312" w:hAnsi="仿宋_GB2312" w:eastAsia="仿宋_GB2312" w:cs="仿宋_GB2312"/>
          <w:sz w:val="21"/>
          <w:szCs w:val="21"/>
          <w:highlight w:val="darkGreen"/>
        </w:rPr>
      </w:pPr>
      <w:r>
        <w:rPr>
          <w:rFonts w:hint="eastAsia" w:ascii="仿宋_GB2312" w:hAnsi="仿宋_GB2312" w:eastAsia="仿宋_GB2312" w:cs="仿宋_GB2312"/>
          <w:sz w:val="21"/>
          <w:szCs w:val="21"/>
        </w:rPr>
        <w:t>时间：</w:t>
      </w:r>
      <w:r>
        <w:rPr>
          <w:rFonts w:hint="eastAsia" w:ascii="仿宋_GB2312" w:hAnsi="仿宋_GB2312" w:eastAsia="仿宋_GB2312" w:cs="仿宋_GB2312"/>
          <w:sz w:val="21"/>
          <w:szCs w:val="21"/>
          <w:highlight w:val="none"/>
        </w:rPr>
        <w:t xml:space="preserve"> 202</w:t>
      </w:r>
      <w:r>
        <w:rPr>
          <w:rFonts w:hint="eastAsia" w:ascii="仿宋_GB2312" w:hAnsi="仿宋_GB2312" w:eastAsia="仿宋_GB2312" w:cs="仿宋_GB2312"/>
          <w:sz w:val="21"/>
          <w:szCs w:val="21"/>
          <w:highlight w:val="none"/>
          <w:lang w:val="en-US" w:eastAsia="zh-CN"/>
        </w:rPr>
        <w:t>5</w:t>
      </w:r>
      <w:r>
        <w:rPr>
          <w:rFonts w:hint="eastAsia" w:ascii="仿宋_GB2312" w:hAnsi="仿宋_GB2312" w:eastAsia="仿宋_GB2312" w:cs="仿宋_GB2312"/>
          <w:sz w:val="21"/>
          <w:szCs w:val="21"/>
          <w:highlight w:val="none"/>
        </w:rPr>
        <w:t>年</w:t>
      </w:r>
      <w:r>
        <w:rPr>
          <w:rFonts w:hint="eastAsia" w:ascii="仿宋_GB2312" w:hAnsi="仿宋_GB2312" w:eastAsia="仿宋_GB2312" w:cs="仿宋_GB2312"/>
          <w:color w:val="auto"/>
          <w:sz w:val="21"/>
          <w:szCs w:val="21"/>
          <w:highlight w:val="none"/>
          <w:lang w:val="en-US" w:eastAsia="zh-CN"/>
        </w:rPr>
        <w:t>7</w:t>
      </w:r>
      <w:r>
        <w:rPr>
          <w:rFonts w:hint="eastAsia" w:ascii="仿宋_GB2312" w:hAnsi="仿宋_GB2312" w:eastAsia="仿宋_GB2312" w:cs="仿宋_GB2312"/>
          <w:color w:val="auto"/>
          <w:sz w:val="21"/>
          <w:szCs w:val="21"/>
          <w:highlight w:val="none"/>
        </w:rPr>
        <w:t>月</w:t>
      </w:r>
      <w:r>
        <w:rPr>
          <w:rFonts w:hint="eastAsia" w:ascii="仿宋_GB2312" w:hAnsi="仿宋_GB2312" w:eastAsia="仿宋_GB2312" w:cs="仿宋_GB2312"/>
          <w:color w:val="auto"/>
          <w:sz w:val="21"/>
          <w:szCs w:val="21"/>
          <w:highlight w:val="none"/>
          <w:lang w:val="en-US" w:eastAsia="zh-CN"/>
        </w:rPr>
        <w:t>19</w:t>
      </w:r>
      <w:r>
        <w:rPr>
          <w:rFonts w:hint="eastAsia" w:ascii="仿宋_GB2312" w:hAnsi="仿宋_GB2312" w:eastAsia="仿宋_GB2312" w:cs="仿宋_GB2312"/>
          <w:color w:val="auto"/>
          <w:sz w:val="21"/>
          <w:szCs w:val="21"/>
          <w:highlight w:val="none"/>
        </w:rPr>
        <w:t>日至 202</w:t>
      </w:r>
      <w:r>
        <w:rPr>
          <w:rFonts w:hint="eastAsia" w:ascii="仿宋_GB2312" w:hAnsi="仿宋_GB2312" w:eastAsia="仿宋_GB2312" w:cs="仿宋_GB2312"/>
          <w:color w:val="auto"/>
          <w:sz w:val="21"/>
          <w:szCs w:val="21"/>
          <w:highlight w:val="none"/>
          <w:lang w:val="en-US" w:eastAsia="zh-CN"/>
        </w:rPr>
        <w:t>5</w:t>
      </w:r>
      <w:r>
        <w:rPr>
          <w:rFonts w:hint="eastAsia" w:ascii="仿宋_GB2312" w:hAnsi="仿宋_GB2312" w:eastAsia="仿宋_GB2312" w:cs="仿宋_GB2312"/>
          <w:color w:val="auto"/>
          <w:sz w:val="21"/>
          <w:szCs w:val="21"/>
          <w:highlight w:val="none"/>
        </w:rPr>
        <w:t>年</w:t>
      </w:r>
      <w:r>
        <w:rPr>
          <w:rFonts w:hint="eastAsia" w:ascii="仿宋_GB2312" w:hAnsi="仿宋_GB2312" w:eastAsia="仿宋_GB2312" w:cs="仿宋_GB2312"/>
          <w:color w:val="auto"/>
          <w:sz w:val="21"/>
          <w:szCs w:val="21"/>
          <w:highlight w:val="none"/>
          <w:lang w:val="en-US" w:eastAsia="zh-CN"/>
        </w:rPr>
        <w:t>7</w:t>
      </w:r>
      <w:r>
        <w:rPr>
          <w:rFonts w:hint="eastAsia" w:ascii="仿宋_GB2312" w:hAnsi="仿宋_GB2312" w:eastAsia="仿宋_GB2312" w:cs="仿宋_GB2312"/>
          <w:color w:val="auto"/>
          <w:sz w:val="21"/>
          <w:szCs w:val="21"/>
          <w:highlight w:val="none"/>
        </w:rPr>
        <w:t>月</w:t>
      </w:r>
      <w:r>
        <w:rPr>
          <w:rFonts w:hint="eastAsia" w:ascii="仿宋_GB2312" w:hAnsi="仿宋_GB2312" w:eastAsia="仿宋_GB2312" w:cs="仿宋_GB2312"/>
          <w:color w:val="auto"/>
          <w:sz w:val="21"/>
          <w:szCs w:val="21"/>
          <w:highlight w:val="none"/>
          <w:lang w:val="en-US" w:eastAsia="zh-CN"/>
        </w:rPr>
        <w:t>25</w:t>
      </w:r>
      <w:r>
        <w:rPr>
          <w:rFonts w:hint="eastAsia" w:ascii="仿宋_GB2312" w:hAnsi="仿宋_GB2312" w:eastAsia="仿宋_GB2312" w:cs="仿宋_GB2312"/>
          <w:color w:val="auto"/>
          <w:sz w:val="21"/>
          <w:szCs w:val="21"/>
          <w:highlight w:val="none"/>
        </w:rPr>
        <w:t>日 ，</w:t>
      </w:r>
      <w:r>
        <w:rPr>
          <w:rFonts w:hint="eastAsia" w:ascii="仿宋_GB2312" w:hAnsi="仿宋_GB2312" w:eastAsia="仿宋_GB2312" w:cs="仿宋_GB2312"/>
          <w:sz w:val="21"/>
          <w:szCs w:val="21"/>
          <w:highlight w:val="none"/>
        </w:rPr>
        <w:t>每天上午00:00至12:00，下午12:00至23:59（北京时间，法定节假日除外）</w:t>
      </w:r>
    </w:p>
    <w:p w14:paraId="168E1945">
      <w:pPr>
        <w:adjustRightInd w:val="0"/>
        <w:snapToGrid w:val="0"/>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地点：政采云平台（https://www.zcygov.cn/）</w:t>
      </w:r>
    </w:p>
    <w:p w14:paraId="4B01A645">
      <w:pPr>
        <w:adjustRightInd w:val="0"/>
        <w:snapToGrid w:val="0"/>
        <w:spacing w:line="360" w:lineRule="auto"/>
        <w:rPr>
          <w:rFonts w:hint="eastAsia" w:ascii="仿宋_GB2312" w:hAnsi="仿宋_GB2312" w:eastAsia="仿宋_GB2312" w:cs="仿宋_GB2312"/>
          <w:color w:val="auto"/>
          <w:sz w:val="21"/>
          <w:szCs w:val="21"/>
        </w:rPr>
      </w:pPr>
      <w:r>
        <w:rPr>
          <w:rFonts w:hint="eastAsia" w:ascii="仿宋_GB2312" w:hAnsi="仿宋_GB2312" w:eastAsia="仿宋_GB2312" w:cs="仿宋_GB2312"/>
          <w:sz w:val="21"/>
          <w:szCs w:val="21"/>
        </w:rPr>
        <w:t xml:space="preserve">方式：供应商登录政采云平台 </w:t>
      </w:r>
      <w:r>
        <w:rPr>
          <w:rFonts w:hint="eastAsia" w:ascii="仿宋_GB2312" w:hAnsi="仿宋_GB2312" w:eastAsia="仿宋_GB2312" w:cs="仿宋_GB2312"/>
          <w:color w:val="auto"/>
          <w:sz w:val="21"/>
          <w:szCs w:val="21"/>
        </w:rPr>
        <w:fldChar w:fldCharType="begin"/>
      </w:r>
      <w:r>
        <w:rPr>
          <w:rFonts w:hint="eastAsia" w:ascii="仿宋_GB2312" w:hAnsi="仿宋_GB2312" w:eastAsia="仿宋_GB2312" w:cs="仿宋_GB2312"/>
          <w:color w:val="auto"/>
          <w:sz w:val="21"/>
          <w:szCs w:val="21"/>
        </w:rPr>
        <w:instrText xml:space="preserve"> HYPERLINK "https://www.zcygov.cn/进入" </w:instrText>
      </w:r>
      <w:r>
        <w:rPr>
          <w:rFonts w:hint="eastAsia" w:ascii="仿宋_GB2312" w:hAnsi="仿宋_GB2312" w:eastAsia="仿宋_GB2312" w:cs="仿宋_GB2312"/>
          <w:color w:val="auto"/>
          <w:sz w:val="21"/>
          <w:szCs w:val="21"/>
        </w:rPr>
        <w:fldChar w:fldCharType="separate"/>
      </w:r>
      <w:r>
        <w:rPr>
          <w:rStyle w:val="25"/>
          <w:rFonts w:hint="eastAsia" w:ascii="仿宋_GB2312" w:hAnsi="仿宋_GB2312" w:eastAsia="仿宋_GB2312" w:cs="仿宋_GB2312"/>
          <w:color w:val="auto"/>
          <w:sz w:val="21"/>
          <w:szCs w:val="21"/>
        </w:rPr>
        <w:t>https://www.zcygov.cn/进入“项目采购”应用，在获取采购文件菜单中选择所要获取征集文件的项目，申请获取征集文件。</w:t>
      </w:r>
      <w:r>
        <w:rPr>
          <w:rStyle w:val="25"/>
          <w:rFonts w:hint="eastAsia" w:ascii="仿宋_GB2312" w:hAnsi="仿宋_GB2312" w:eastAsia="仿宋_GB2312" w:cs="仿宋_GB2312"/>
          <w:color w:val="auto"/>
          <w:sz w:val="21"/>
          <w:szCs w:val="21"/>
        </w:rPr>
        <w:fldChar w:fldCharType="end"/>
      </w:r>
    </w:p>
    <w:p w14:paraId="5C06CCE1">
      <w:pPr>
        <w:adjustRightInd w:val="0"/>
        <w:snapToGrid w:val="0"/>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售价：免费</w:t>
      </w:r>
    </w:p>
    <w:p w14:paraId="42AB24B3">
      <w:pPr>
        <w:adjustRightInd w:val="0"/>
        <w:snapToGrid w:val="0"/>
        <w:spacing w:line="360" w:lineRule="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四、提交投标文件截止时间、开标时间和地点</w:t>
      </w:r>
    </w:p>
    <w:p w14:paraId="196C02CD">
      <w:pPr>
        <w:adjustRightInd w:val="0"/>
        <w:snapToGrid w:val="0"/>
        <w:spacing w:line="360" w:lineRule="auto"/>
        <w:rPr>
          <w:rFonts w:hint="eastAsia" w:ascii="仿宋_GB2312" w:hAnsi="仿宋_GB2312" w:eastAsia="仿宋_GB2312" w:cs="仿宋_GB2312"/>
          <w:color w:val="auto"/>
          <w:sz w:val="21"/>
          <w:szCs w:val="21"/>
        </w:rPr>
      </w:pPr>
      <w:r>
        <w:rPr>
          <w:rFonts w:hint="eastAsia" w:ascii="仿宋_GB2312" w:hAnsi="仿宋_GB2312" w:eastAsia="仿宋_GB2312" w:cs="仿宋_GB2312"/>
          <w:sz w:val="21"/>
          <w:szCs w:val="21"/>
        </w:rPr>
        <w:t>提交响应文件截止时间</w:t>
      </w:r>
      <w:r>
        <w:rPr>
          <w:rFonts w:hint="eastAsia" w:ascii="仿宋_GB2312" w:hAnsi="仿宋_GB2312" w:eastAsia="仿宋_GB2312" w:cs="仿宋_GB2312"/>
          <w:sz w:val="21"/>
          <w:szCs w:val="21"/>
          <w:highlight w:val="none"/>
        </w:rPr>
        <w:t>：</w:t>
      </w:r>
      <w:r>
        <w:rPr>
          <w:rFonts w:hint="eastAsia" w:ascii="仿宋_GB2312" w:hAnsi="仿宋_GB2312" w:eastAsia="仿宋_GB2312" w:cs="仿宋_GB2312"/>
          <w:color w:val="auto"/>
          <w:sz w:val="21"/>
          <w:szCs w:val="21"/>
          <w:highlight w:val="none"/>
        </w:rPr>
        <w:t>202</w:t>
      </w:r>
      <w:r>
        <w:rPr>
          <w:rFonts w:hint="eastAsia" w:ascii="仿宋_GB2312" w:hAnsi="仿宋_GB2312" w:eastAsia="仿宋_GB2312" w:cs="仿宋_GB2312"/>
          <w:color w:val="auto"/>
          <w:sz w:val="21"/>
          <w:szCs w:val="21"/>
          <w:highlight w:val="none"/>
          <w:lang w:val="en-US" w:eastAsia="zh-CN"/>
        </w:rPr>
        <w:t>5</w:t>
      </w:r>
      <w:r>
        <w:rPr>
          <w:rFonts w:hint="eastAsia" w:ascii="仿宋_GB2312" w:hAnsi="仿宋_GB2312" w:eastAsia="仿宋_GB2312" w:cs="仿宋_GB2312"/>
          <w:color w:val="auto"/>
          <w:sz w:val="21"/>
          <w:szCs w:val="21"/>
          <w:highlight w:val="none"/>
        </w:rPr>
        <w:t>年</w:t>
      </w:r>
      <w:r>
        <w:rPr>
          <w:rFonts w:hint="eastAsia" w:ascii="仿宋_GB2312" w:hAnsi="仿宋_GB2312" w:eastAsia="仿宋_GB2312" w:cs="仿宋_GB2312"/>
          <w:color w:val="auto"/>
          <w:sz w:val="21"/>
          <w:szCs w:val="21"/>
          <w:highlight w:val="none"/>
          <w:lang w:val="en-US" w:eastAsia="zh-CN"/>
        </w:rPr>
        <w:t>8</w:t>
      </w:r>
      <w:r>
        <w:rPr>
          <w:rFonts w:hint="eastAsia" w:ascii="仿宋_GB2312" w:hAnsi="仿宋_GB2312" w:eastAsia="仿宋_GB2312" w:cs="仿宋_GB2312"/>
          <w:color w:val="auto"/>
          <w:sz w:val="21"/>
          <w:szCs w:val="21"/>
          <w:highlight w:val="none"/>
        </w:rPr>
        <w:t>月</w:t>
      </w:r>
      <w:r>
        <w:rPr>
          <w:rFonts w:hint="eastAsia" w:ascii="仿宋_GB2312" w:hAnsi="仿宋_GB2312" w:eastAsia="仿宋_GB2312" w:cs="仿宋_GB2312"/>
          <w:color w:val="auto"/>
          <w:sz w:val="21"/>
          <w:szCs w:val="21"/>
          <w:highlight w:val="none"/>
          <w:lang w:val="en-US" w:eastAsia="zh-CN"/>
        </w:rPr>
        <w:t>8</w:t>
      </w:r>
      <w:r>
        <w:rPr>
          <w:rFonts w:hint="eastAsia" w:ascii="仿宋_GB2312" w:hAnsi="仿宋_GB2312" w:eastAsia="仿宋_GB2312" w:cs="仿宋_GB2312"/>
          <w:color w:val="auto"/>
          <w:sz w:val="21"/>
          <w:szCs w:val="21"/>
          <w:highlight w:val="none"/>
        </w:rPr>
        <w:t>日10点30分（</w:t>
      </w:r>
      <w:r>
        <w:rPr>
          <w:rFonts w:hint="eastAsia" w:ascii="仿宋_GB2312" w:hAnsi="仿宋_GB2312" w:eastAsia="仿宋_GB2312" w:cs="仿宋_GB2312"/>
          <w:color w:val="auto"/>
          <w:sz w:val="21"/>
          <w:szCs w:val="21"/>
        </w:rPr>
        <w:t>北京时间）</w:t>
      </w:r>
    </w:p>
    <w:p w14:paraId="2A61B25D">
      <w:pPr>
        <w:adjustRightInd w:val="0"/>
        <w:snapToGrid w:val="0"/>
        <w:spacing w:line="360" w:lineRule="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响应地点：新疆政府采购网政采云平台（http://www.zcygov.cn/）在线递交响应文件</w:t>
      </w:r>
    </w:p>
    <w:p w14:paraId="33487619">
      <w:pPr>
        <w:adjustRightInd w:val="0"/>
        <w:snapToGrid w:val="0"/>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color w:val="auto"/>
          <w:sz w:val="21"/>
          <w:szCs w:val="21"/>
        </w:rPr>
        <w:t>开标时间：</w:t>
      </w:r>
      <w:r>
        <w:rPr>
          <w:rFonts w:hint="eastAsia" w:ascii="仿宋_GB2312" w:hAnsi="仿宋_GB2312" w:eastAsia="仿宋_GB2312" w:cs="仿宋_GB2312"/>
          <w:color w:val="auto"/>
          <w:sz w:val="21"/>
          <w:szCs w:val="21"/>
          <w:highlight w:val="none"/>
        </w:rPr>
        <w:t>202</w:t>
      </w:r>
      <w:r>
        <w:rPr>
          <w:rFonts w:hint="eastAsia" w:ascii="仿宋_GB2312" w:hAnsi="仿宋_GB2312" w:eastAsia="仿宋_GB2312" w:cs="仿宋_GB2312"/>
          <w:color w:val="auto"/>
          <w:sz w:val="21"/>
          <w:szCs w:val="21"/>
          <w:highlight w:val="none"/>
          <w:lang w:val="en-US" w:eastAsia="zh-CN"/>
        </w:rPr>
        <w:t>5</w:t>
      </w:r>
      <w:r>
        <w:rPr>
          <w:rFonts w:hint="eastAsia" w:ascii="仿宋_GB2312" w:hAnsi="仿宋_GB2312" w:eastAsia="仿宋_GB2312" w:cs="仿宋_GB2312"/>
          <w:color w:val="auto"/>
          <w:sz w:val="21"/>
          <w:szCs w:val="21"/>
          <w:highlight w:val="none"/>
        </w:rPr>
        <w:t>年</w:t>
      </w:r>
      <w:r>
        <w:rPr>
          <w:rFonts w:hint="eastAsia" w:ascii="仿宋_GB2312" w:hAnsi="仿宋_GB2312" w:eastAsia="仿宋_GB2312" w:cs="仿宋_GB2312"/>
          <w:color w:val="auto"/>
          <w:sz w:val="21"/>
          <w:szCs w:val="21"/>
          <w:highlight w:val="none"/>
          <w:lang w:val="en-US" w:eastAsia="zh-CN"/>
        </w:rPr>
        <w:t>8</w:t>
      </w:r>
      <w:r>
        <w:rPr>
          <w:rFonts w:hint="eastAsia" w:ascii="仿宋_GB2312" w:hAnsi="仿宋_GB2312" w:eastAsia="仿宋_GB2312" w:cs="仿宋_GB2312"/>
          <w:color w:val="auto"/>
          <w:sz w:val="21"/>
          <w:szCs w:val="21"/>
          <w:highlight w:val="none"/>
        </w:rPr>
        <w:t>月</w:t>
      </w:r>
      <w:r>
        <w:rPr>
          <w:rFonts w:hint="eastAsia" w:ascii="仿宋_GB2312" w:hAnsi="仿宋_GB2312" w:eastAsia="仿宋_GB2312" w:cs="仿宋_GB2312"/>
          <w:color w:val="auto"/>
          <w:sz w:val="21"/>
          <w:szCs w:val="21"/>
          <w:highlight w:val="none"/>
          <w:lang w:val="en-US" w:eastAsia="zh-CN"/>
        </w:rPr>
        <w:t>8</w:t>
      </w:r>
      <w:r>
        <w:rPr>
          <w:rFonts w:hint="eastAsia" w:ascii="仿宋_GB2312" w:hAnsi="仿宋_GB2312" w:eastAsia="仿宋_GB2312" w:cs="仿宋_GB2312"/>
          <w:color w:val="auto"/>
          <w:sz w:val="21"/>
          <w:szCs w:val="21"/>
          <w:highlight w:val="none"/>
        </w:rPr>
        <w:t>日10点30分（</w:t>
      </w:r>
      <w:r>
        <w:rPr>
          <w:rFonts w:hint="eastAsia" w:ascii="仿宋_GB2312" w:hAnsi="仿宋_GB2312" w:eastAsia="仿宋_GB2312" w:cs="仿宋_GB2312"/>
          <w:sz w:val="21"/>
          <w:szCs w:val="21"/>
        </w:rPr>
        <w:t>北京时间）</w:t>
      </w:r>
    </w:p>
    <w:p w14:paraId="15EA2AB9">
      <w:pPr>
        <w:adjustRightInd w:val="0"/>
        <w:snapToGrid w:val="0"/>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开标地点：供应商在政采云平台http://www.zcygov.cn/不见面开标大厅远程参加开标活动</w:t>
      </w:r>
    </w:p>
    <w:p w14:paraId="6EA2DBD4">
      <w:pPr>
        <w:adjustRightInd w:val="0"/>
        <w:snapToGrid w:val="0"/>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现场开标地点：奎屯市政务服务中心四楼</w:t>
      </w:r>
    </w:p>
    <w:p w14:paraId="68D61777">
      <w:pPr>
        <w:adjustRightInd w:val="0"/>
        <w:snapToGrid w:val="0"/>
        <w:spacing w:line="360" w:lineRule="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五、公告期限</w:t>
      </w:r>
    </w:p>
    <w:p w14:paraId="6E5B7F13">
      <w:pPr>
        <w:adjustRightInd w:val="0"/>
        <w:snapToGrid w:val="0"/>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自本公告发布之日起5个工作日。</w:t>
      </w:r>
    </w:p>
    <w:p w14:paraId="37847C4A">
      <w:pPr>
        <w:adjustRightInd w:val="0"/>
        <w:snapToGrid w:val="0"/>
        <w:spacing w:line="360" w:lineRule="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六、质疑与投诉</w:t>
      </w:r>
    </w:p>
    <w:p w14:paraId="06BA0B28">
      <w:pPr>
        <w:adjustRightInd w:val="0"/>
        <w:snapToGrid w:val="0"/>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供应商认为自己的权益受到损害的，可以在知道或者应知其权益受到损害之日起七个工作日内，向采购代理机构或采购人提出质疑。</w:t>
      </w:r>
    </w:p>
    <w:p w14:paraId="6AFF673A">
      <w:pPr>
        <w:adjustRightInd w:val="0"/>
        <w:snapToGrid w:val="0"/>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1、接收质疑函方式：书面纸质质疑函</w:t>
      </w:r>
    </w:p>
    <w:p w14:paraId="7DD4C2FE">
      <w:pPr>
        <w:adjustRightInd w:val="0"/>
        <w:snapToGrid w:val="0"/>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2、质疑函内容、格式：应符合《政府采购质疑和投诉办法》相关规定和财政部制定的《政府采购质疑函范本》格式。</w:t>
      </w:r>
    </w:p>
    <w:p w14:paraId="7E16F206">
      <w:pPr>
        <w:adjustRightInd w:val="0"/>
        <w:snapToGrid w:val="0"/>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质疑供应商对采购人、采购代理机构的答复不满意，或者采购人、采购代理机构未在规定时间内作出答复的，可以在答复期满后15个工作日内向本级财政部门提起投诉。</w:t>
      </w:r>
    </w:p>
    <w:p w14:paraId="77E42FBF">
      <w:pPr>
        <w:adjustRightInd w:val="0"/>
        <w:snapToGrid w:val="0"/>
        <w:spacing w:line="360" w:lineRule="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七、其他补充事宜</w:t>
      </w:r>
    </w:p>
    <w:p w14:paraId="7A424030">
      <w:pPr>
        <w:adjustRightInd w:val="0"/>
        <w:snapToGrid w:val="0"/>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特别提示：</w:t>
      </w:r>
    </w:p>
    <w:p w14:paraId="79E142B3">
      <w:pPr>
        <w:adjustRightInd w:val="0"/>
        <w:snapToGrid w:val="0"/>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本项目实行电子招投标，供应商需要使用CA加密设备，凡参加本项目须自行购买与政采云平台完成对接的CA设备，如需购买新疆CA数字证书可访问新疆数字证书认证中心官方网站（https://www.xjca.com.cn/）或下载“新疆政务通”APP自行进行申领，也可以到其全疆各服务机构现场办理。如已有兵团或公共资源使用的新疆CA数字证书，也可与新疆CA联系，申请增加电子证书即可，无需重复申领。</w:t>
      </w:r>
    </w:p>
    <w:p w14:paraId="0328B091">
      <w:pPr>
        <w:adjustRightInd w:val="0"/>
        <w:snapToGrid w:val="0"/>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2.各供应商应在开标前确保成为新疆维吾尔自治区政府采购网正式注册入库供应商，并完成CA数字证书申领。因未注册入库、未办理CA数字证书等原因造成无法投标或投标失败等后果由供应商自行承担。</w:t>
      </w:r>
    </w:p>
    <w:p w14:paraId="08387E2C">
      <w:pPr>
        <w:adjustRightInd w:val="0"/>
        <w:snapToGrid w:val="0"/>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3.供应商须登录政采云平台申请获取磋商文件，提前下载并安装政采云投标客户端、CA驱动程序后，通过政采云电子投标客户端制作响应文件，同时自行承担与投标有关的一切费用。</w:t>
      </w:r>
    </w:p>
    <w:p w14:paraId="04D47CC8">
      <w:pPr>
        <w:adjustRightInd w:val="0"/>
        <w:snapToGrid w:val="0"/>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供应商在使用政采云投标客户端时，建议使用WIN7（64位）及以上操作系统。客户端和驱动程序请至新疆政府采购网（http://www.ccgp-xinjiang.gov.cn/）下载专区查看，如有问题可拨打政采云客户服务热线400-881-7190进行咨询。如因供应商自身原因导致在规定时间内无法正常解密的（如：浏览器故障、未安装客户端和相关驱动、网络故障、加密CA与解密CA不一致等），采购中心/代理机构不予异常处理，视为供应商自动弃标。</w:t>
      </w:r>
    </w:p>
    <w:p w14:paraId="5F3AA2C1">
      <w:pPr>
        <w:adjustRightInd w:val="0"/>
        <w:snapToGrid w:val="0"/>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w:t>
      </w:r>
    </w:p>
    <w:p w14:paraId="23BDA3BB">
      <w:pPr>
        <w:adjustRightInd w:val="0"/>
        <w:snapToGrid w:val="0"/>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p w14:paraId="7ABFEDCA">
      <w:pPr>
        <w:adjustRightInd w:val="0"/>
        <w:snapToGrid w:val="0"/>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7.本项目落实的政府采购政策：</w:t>
      </w:r>
    </w:p>
    <w:p w14:paraId="4F411F73">
      <w:pPr>
        <w:adjustRightInd w:val="0"/>
        <w:snapToGrid w:val="0"/>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1）政府采购促进中小企业发展；</w:t>
      </w:r>
    </w:p>
    <w:p w14:paraId="7D08F224">
      <w:pPr>
        <w:adjustRightInd w:val="0"/>
        <w:snapToGrid w:val="0"/>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2）政府采购促进残疾人就业政策；</w:t>
      </w:r>
    </w:p>
    <w:p w14:paraId="520E623E">
      <w:pPr>
        <w:adjustRightInd w:val="0"/>
        <w:snapToGrid w:val="0"/>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3）扶持不发达地区和少数民族地区政策。</w:t>
      </w:r>
    </w:p>
    <w:p w14:paraId="3DE68C16">
      <w:pPr>
        <w:adjustRightInd w:val="0"/>
        <w:snapToGrid w:val="0"/>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供应商认为采购文件使自己的权益受到损害的，可以在知道或者应知道其权益受到损害之日起五个工作日内，以书面形式向征集人、采购代理机构提出质疑。质疑供应商对征集人、采购代理机构答复不满意或者征集人、采购代理机构未在规定的时间内作出答复的，可以在答复期满后十五个工作日内向同级政府采购监督管理部门投诉。</w:t>
      </w:r>
    </w:p>
    <w:p w14:paraId="23B1E96C">
      <w:pPr>
        <w:adjustRightInd w:val="0"/>
        <w:snapToGrid w:val="0"/>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9.其他内容详见采购文件。</w:t>
      </w:r>
    </w:p>
    <w:p w14:paraId="6BED4B56">
      <w:pPr>
        <w:adjustRightInd w:val="0"/>
        <w:snapToGrid w:val="0"/>
        <w:spacing w:line="360" w:lineRule="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八、对本次招标提出询问，请按以下方式联系。</w:t>
      </w:r>
    </w:p>
    <w:p w14:paraId="45918997">
      <w:pPr>
        <w:adjustRightInd w:val="0"/>
        <w:snapToGrid w:val="0"/>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1.采购人信息</w:t>
      </w:r>
    </w:p>
    <w:p w14:paraId="7465E0D6">
      <w:pPr>
        <w:adjustRightInd w:val="0"/>
        <w:snapToGrid w:val="0"/>
        <w:spacing w:line="360" w:lineRule="auto"/>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kern w:val="0"/>
          <w:sz w:val="21"/>
          <w:szCs w:val="21"/>
        </w:rPr>
        <w:t>名</w:t>
      </w: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t>称：</w:t>
      </w:r>
      <w:r>
        <w:rPr>
          <w:rFonts w:hint="eastAsia" w:ascii="仿宋_GB2312" w:hAnsi="仿宋_GB2312" w:eastAsia="仿宋_GB2312" w:cs="仿宋_GB2312"/>
          <w:kern w:val="0"/>
          <w:sz w:val="21"/>
          <w:szCs w:val="21"/>
          <w:lang w:val="en-US" w:eastAsia="zh-CN"/>
        </w:rPr>
        <w:t>奎屯市教育局</w:t>
      </w:r>
    </w:p>
    <w:p w14:paraId="10B81562">
      <w:pPr>
        <w:adjustRightInd w:val="0"/>
        <w:snapToGrid w:val="0"/>
        <w:spacing w:line="360" w:lineRule="auto"/>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地</w:t>
      </w:r>
      <w:r>
        <w:rPr>
          <w:rFonts w:hint="eastAsia" w:ascii="仿宋_GB2312" w:hAnsi="仿宋_GB2312" w:eastAsia="仿宋_GB2312" w:cs="仿宋_GB2312"/>
          <w:kern w:val="0"/>
          <w:sz w:val="21"/>
          <w:szCs w:val="21"/>
          <w:highlight w:val="none"/>
          <w:lang w:val="en-US" w:eastAsia="zh-CN"/>
        </w:rPr>
        <w:t xml:space="preserve"> </w:t>
      </w:r>
      <w:r>
        <w:rPr>
          <w:rFonts w:hint="eastAsia" w:ascii="仿宋_GB2312" w:hAnsi="仿宋_GB2312" w:eastAsia="仿宋_GB2312" w:cs="仿宋_GB2312"/>
          <w:kern w:val="0"/>
          <w:sz w:val="21"/>
          <w:szCs w:val="21"/>
          <w:highlight w:val="none"/>
        </w:rPr>
        <w:t>址：奎屯市乌苏街56号</w:t>
      </w:r>
    </w:p>
    <w:p w14:paraId="1447AC9D">
      <w:pPr>
        <w:adjustRightInd w:val="0"/>
        <w:snapToGrid w:val="0"/>
        <w:spacing w:line="360" w:lineRule="auto"/>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rPr>
        <w:t>联系方式：18009920887</w:t>
      </w:r>
    </w:p>
    <w:p w14:paraId="38DD7FD0">
      <w:pPr>
        <w:adjustRightInd w:val="0"/>
        <w:snapToGrid w:val="0"/>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2.采购代理机构信息</w:t>
      </w:r>
    </w:p>
    <w:p w14:paraId="6AB9344A">
      <w:pPr>
        <w:adjustRightInd w:val="0"/>
        <w:snapToGrid w:val="0"/>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名 称：奎屯市政务服务中心 </w:t>
      </w:r>
    </w:p>
    <w:p w14:paraId="608EA459">
      <w:pPr>
        <w:adjustRightInd w:val="0"/>
        <w:snapToGrid w:val="0"/>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地</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址：奎屯市北京西路20号  </w:t>
      </w:r>
    </w:p>
    <w:p w14:paraId="03362998">
      <w:pPr>
        <w:adjustRightInd w:val="0"/>
        <w:snapToGrid w:val="0"/>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联系方式：0992-3279228      </w:t>
      </w:r>
    </w:p>
    <w:p w14:paraId="3E5C3935">
      <w:pPr>
        <w:pStyle w:val="3"/>
        <w:snapToGrid w:val="0"/>
        <w:spacing w:before="312" w:beforeLines="100" w:after="312" w:afterLines="100" w:line="360" w:lineRule="auto"/>
        <w:rPr>
          <w:rFonts w:ascii="仿宋_GB2312" w:hAnsi="仿宋_GB2312" w:eastAsia="仿宋_GB2312" w:cs="仿宋_GB2312"/>
        </w:rPr>
      </w:pPr>
      <w:bookmarkStart w:id="3" w:name="_Toc17894"/>
      <w:bookmarkStart w:id="4" w:name="_Toc27235"/>
      <w:bookmarkStart w:id="5" w:name="_Toc26518_WPSOffice_Level1"/>
      <w:r>
        <w:rPr>
          <w:rFonts w:hint="eastAsia" w:ascii="仿宋_GB2312" w:hAnsi="仿宋_GB2312" w:eastAsia="仿宋_GB2312" w:cs="仿宋_GB2312"/>
          <w:sz w:val="21"/>
          <w:szCs w:val="21"/>
        </w:rPr>
        <w:br w:type="page"/>
      </w:r>
      <w:r>
        <w:rPr>
          <w:rFonts w:hint="eastAsia" w:ascii="仿宋_GB2312" w:hAnsi="仿宋_GB2312" w:eastAsia="仿宋_GB2312" w:cs="仿宋_GB2312"/>
        </w:rPr>
        <w:t>第一章 投标人须知</w:t>
      </w:r>
      <w:bookmarkEnd w:id="3"/>
      <w:bookmarkEnd w:id="4"/>
      <w:bookmarkEnd w:id="5"/>
    </w:p>
    <w:p w14:paraId="5C4DCC30">
      <w:pPr>
        <w:pStyle w:val="5"/>
        <w:adjustRightInd w:val="0"/>
        <w:snapToGrid w:val="0"/>
        <w:spacing w:before="0" w:after="0" w:line="360" w:lineRule="auto"/>
        <w:rPr>
          <w:rFonts w:ascii="仿宋_GB2312" w:hAnsi="仿宋_GB2312" w:eastAsia="仿宋_GB2312" w:cs="仿宋_GB2312"/>
          <w:sz w:val="32"/>
          <w:szCs w:val="36"/>
        </w:rPr>
      </w:pPr>
      <w:bookmarkStart w:id="6" w:name="_Toc18613_WPSOffice_Level2"/>
      <w:r>
        <w:rPr>
          <w:rFonts w:hint="eastAsia" w:ascii="仿宋_GB2312" w:hAnsi="仿宋_GB2312" w:eastAsia="仿宋_GB2312" w:cs="仿宋_GB2312"/>
          <w:sz w:val="32"/>
          <w:szCs w:val="36"/>
        </w:rPr>
        <w:t>一 投标人须知表</w:t>
      </w:r>
      <w:bookmarkEnd w:id="6"/>
    </w:p>
    <w:tbl>
      <w:tblPr>
        <w:tblStyle w:val="21"/>
        <w:tblW w:w="8760" w:type="dxa"/>
        <w:tblInd w:w="0" w:type="dxa"/>
        <w:tblLayout w:type="fixed"/>
        <w:tblCellMar>
          <w:top w:w="0" w:type="dxa"/>
          <w:left w:w="108" w:type="dxa"/>
          <w:bottom w:w="0" w:type="dxa"/>
          <w:right w:w="108" w:type="dxa"/>
        </w:tblCellMar>
      </w:tblPr>
      <w:tblGrid>
        <w:gridCol w:w="761"/>
        <w:gridCol w:w="1714"/>
        <w:gridCol w:w="6285"/>
      </w:tblGrid>
      <w:tr w14:paraId="4C14E603">
        <w:tblPrEx>
          <w:tblCellMar>
            <w:top w:w="0" w:type="dxa"/>
            <w:left w:w="108" w:type="dxa"/>
            <w:bottom w:w="0" w:type="dxa"/>
            <w:right w:w="108" w:type="dxa"/>
          </w:tblCellMar>
        </w:tblPrEx>
        <w:trPr>
          <w:trHeight w:val="556" w:hRule="atLeast"/>
          <w:tblHeader/>
        </w:trPr>
        <w:tc>
          <w:tcPr>
            <w:tcW w:w="761" w:type="dxa"/>
            <w:tcBorders>
              <w:top w:val="single" w:color="auto" w:sz="4" w:space="0"/>
              <w:left w:val="single" w:color="auto" w:sz="4" w:space="0"/>
              <w:bottom w:val="single" w:color="auto" w:sz="4" w:space="0"/>
              <w:right w:val="single" w:color="auto" w:sz="4" w:space="0"/>
            </w:tcBorders>
            <w:vAlign w:val="center"/>
          </w:tcPr>
          <w:p w14:paraId="2EDEFF91">
            <w:pPr>
              <w:widowControl/>
              <w:ind w:left="-69" w:leftChars="-33" w:right="-69" w:rightChars="-33"/>
              <w:jc w:val="center"/>
              <w:rPr>
                <w:rFonts w:ascii="仿宋_GB2312" w:hAnsi="仿宋_GB2312" w:eastAsia="仿宋_GB2312" w:cs="仿宋_GB2312"/>
                <w:kern w:val="0"/>
                <w:szCs w:val="21"/>
              </w:rPr>
            </w:pPr>
            <w:bookmarkStart w:id="7" w:name="招标项目基本内容及要求其他：Block"/>
            <w:bookmarkEnd w:id="7"/>
            <w:bookmarkStart w:id="8" w:name="sys_招标项目基本内容及要求：Block"/>
            <w:bookmarkEnd w:id="8"/>
            <w:bookmarkStart w:id="9" w:name="sys_招标项目基本内容及要求其他：Block"/>
            <w:bookmarkEnd w:id="9"/>
            <w:bookmarkStart w:id="10" w:name="招标项目基本内容及要求：Block"/>
            <w:bookmarkEnd w:id="10"/>
            <w:r>
              <w:rPr>
                <w:rFonts w:hint="eastAsia" w:ascii="仿宋_GB2312" w:hAnsi="仿宋_GB2312" w:eastAsia="仿宋_GB2312" w:cs="仿宋_GB2312"/>
                <w:kern w:val="0"/>
                <w:szCs w:val="21"/>
              </w:rPr>
              <w:t>条款号</w:t>
            </w:r>
          </w:p>
        </w:tc>
        <w:tc>
          <w:tcPr>
            <w:tcW w:w="1714" w:type="dxa"/>
            <w:tcBorders>
              <w:top w:val="single" w:color="auto" w:sz="4" w:space="0"/>
              <w:left w:val="single" w:color="auto" w:sz="4" w:space="0"/>
              <w:bottom w:val="single" w:color="auto" w:sz="4" w:space="0"/>
              <w:right w:val="single" w:color="auto" w:sz="4" w:space="0"/>
            </w:tcBorders>
            <w:vAlign w:val="center"/>
          </w:tcPr>
          <w:p w14:paraId="4944582A">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   目</w:t>
            </w:r>
          </w:p>
        </w:tc>
        <w:tc>
          <w:tcPr>
            <w:tcW w:w="6285" w:type="dxa"/>
            <w:tcBorders>
              <w:top w:val="single" w:color="auto" w:sz="4" w:space="0"/>
              <w:left w:val="single" w:color="auto" w:sz="4" w:space="0"/>
              <w:bottom w:val="single" w:color="auto" w:sz="4" w:space="0"/>
              <w:right w:val="single" w:color="auto" w:sz="4" w:space="0"/>
            </w:tcBorders>
            <w:vAlign w:val="center"/>
          </w:tcPr>
          <w:p w14:paraId="7996D2C6">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内     容</w:t>
            </w:r>
          </w:p>
        </w:tc>
      </w:tr>
      <w:tr w14:paraId="6DCC9869">
        <w:tblPrEx>
          <w:tblCellMar>
            <w:top w:w="0" w:type="dxa"/>
            <w:left w:w="108" w:type="dxa"/>
            <w:bottom w:w="0" w:type="dxa"/>
            <w:right w:w="108" w:type="dxa"/>
          </w:tblCellMar>
        </w:tblPrEx>
        <w:trPr>
          <w:trHeight w:val="1254" w:hRule="atLeast"/>
        </w:trPr>
        <w:tc>
          <w:tcPr>
            <w:tcW w:w="761" w:type="dxa"/>
            <w:tcBorders>
              <w:top w:val="single" w:color="auto" w:sz="4" w:space="0"/>
              <w:left w:val="single" w:color="auto" w:sz="4" w:space="0"/>
              <w:bottom w:val="single" w:color="auto" w:sz="4" w:space="0"/>
              <w:right w:val="single" w:color="auto" w:sz="4" w:space="0"/>
            </w:tcBorders>
            <w:vAlign w:val="center"/>
          </w:tcPr>
          <w:p w14:paraId="7B96D693">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w:t>
            </w:r>
          </w:p>
        </w:tc>
        <w:tc>
          <w:tcPr>
            <w:tcW w:w="1714" w:type="dxa"/>
            <w:tcBorders>
              <w:top w:val="single" w:color="auto" w:sz="4" w:space="0"/>
              <w:left w:val="single" w:color="auto" w:sz="4" w:space="0"/>
              <w:bottom w:val="single" w:color="auto" w:sz="4" w:space="0"/>
              <w:right w:val="single" w:color="auto" w:sz="4" w:space="0"/>
            </w:tcBorders>
            <w:vAlign w:val="center"/>
          </w:tcPr>
          <w:p w14:paraId="450B6A55">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采购人</w:t>
            </w:r>
          </w:p>
        </w:tc>
        <w:tc>
          <w:tcPr>
            <w:tcW w:w="6285" w:type="dxa"/>
            <w:tcBorders>
              <w:top w:val="single" w:color="auto" w:sz="4" w:space="0"/>
              <w:left w:val="single" w:color="auto" w:sz="4" w:space="0"/>
              <w:bottom w:val="single" w:color="auto" w:sz="4" w:space="0"/>
              <w:right w:val="single" w:color="auto" w:sz="4" w:space="0"/>
            </w:tcBorders>
            <w:vAlign w:val="center"/>
          </w:tcPr>
          <w:p w14:paraId="2D29731A">
            <w:pPr>
              <w:widowControl/>
              <w:jc w:val="left"/>
              <w:rPr>
                <w:rFonts w:ascii="仿宋_GB2312" w:hAnsi="仿宋_GB2312" w:eastAsia="仿宋_GB2312" w:cs="仿宋_GB2312"/>
                <w:kern w:val="0"/>
                <w:szCs w:val="21"/>
                <w:highlight w:val="none"/>
                <w:u w:val="single"/>
              </w:rPr>
            </w:pPr>
            <w:r>
              <w:rPr>
                <w:rFonts w:hint="eastAsia" w:ascii="仿宋_GB2312" w:hAnsi="仿宋_GB2312" w:eastAsia="仿宋_GB2312" w:cs="仿宋_GB2312"/>
                <w:kern w:val="0"/>
                <w:szCs w:val="21"/>
                <w:highlight w:val="none"/>
                <w:u w:val="single"/>
              </w:rPr>
              <w:t>名  称：</w:t>
            </w:r>
            <w:r>
              <w:rPr>
                <w:rFonts w:hint="eastAsia" w:ascii="仿宋_GB2312" w:hAnsi="仿宋_GB2312" w:eastAsia="仿宋_GB2312" w:cs="仿宋_GB2312"/>
                <w:kern w:val="0"/>
                <w:szCs w:val="21"/>
                <w:highlight w:val="none"/>
                <w:u w:val="single"/>
                <w:lang w:val="en-US" w:eastAsia="zh-CN"/>
              </w:rPr>
              <w:t>奎屯市教育局</w:t>
            </w:r>
            <w:r>
              <w:rPr>
                <w:rFonts w:hint="eastAsia" w:ascii="仿宋_GB2312" w:hAnsi="仿宋_GB2312" w:eastAsia="仿宋_GB2312" w:cs="仿宋_GB2312"/>
                <w:kern w:val="0"/>
                <w:szCs w:val="21"/>
                <w:highlight w:val="none"/>
                <w:u w:val="single"/>
              </w:rPr>
              <w:t xml:space="preserve"> </w:t>
            </w:r>
          </w:p>
          <w:p w14:paraId="50C4F1D8">
            <w:pPr>
              <w:widowControl/>
              <w:jc w:val="left"/>
              <w:rPr>
                <w:rFonts w:hint="eastAsia" w:ascii="仿宋_GB2312" w:hAnsi="仿宋_GB2312" w:eastAsia="仿宋_GB2312" w:cs="仿宋_GB2312"/>
                <w:kern w:val="0"/>
                <w:szCs w:val="21"/>
                <w:highlight w:val="none"/>
                <w:u w:val="single"/>
                <w:lang w:val="en-US" w:eastAsia="zh-CN"/>
              </w:rPr>
            </w:pPr>
            <w:r>
              <w:rPr>
                <w:rFonts w:hint="eastAsia" w:ascii="仿宋_GB2312" w:hAnsi="仿宋_GB2312" w:eastAsia="仿宋_GB2312" w:cs="仿宋_GB2312"/>
                <w:kern w:val="0"/>
                <w:szCs w:val="21"/>
                <w:highlight w:val="none"/>
                <w:u w:val="single"/>
              </w:rPr>
              <w:t>地  址：奎屯市乌苏街56号</w:t>
            </w:r>
          </w:p>
          <w:p w14:paraId="3D4D0622">
            <w:pPr>
              <w:widowControl/>
              <w:jc w:val="left"/>
              <w:rPr>
                <w:rFonts w:hint="eastAsia" w:ascii="仿宋_GB2312" w:hAnsi="仿宋_GB2312" w:eastAsia="仿宋_GB2312" w:cs="仿宋_GB2312"/>
                <w:kern w:val="0"/>
                <w:szCs w:val="21"/>
                <w:highlight w:val="none"/>
                <w:u w:val="single"/>
                <w:lang w:val="en-US" w:eastAsia="zh-CN"/>
              </w:rPr>
            </w:pPr>
            <w:r>
              <w:rPr>
                <w:rFonts w:hint="eastAsia" w:ascii="仿宋_GB2312" w:hAnsi="仿宋_GB2312" w:eastAsia="仿宋_GB2312" w:cs="仿宋_GB2312"/>
                <w:kern w:val="0"/>
                <w:szCs w:val="21"/>
                <w:highlight w:val="none"/>
                <w:u w:val="single"/>
              </w:rPr>
              <w:t>联系人：</w:t>
            </w:r>
            <w:r>
              <w:rPr>
                <w:rFonts w:hint="eastAsia" w:ascii="仿宋_GB2312" w:hAnsi="仿宋_GB2312" w:eastAsia="仿宋_GB2312" w:cs="仿宋_GB2312"/>
                <w:kern w:val="0"/>
                <w:szCs w:val="21"/>
                <w:highlight w:val="none"/>
                <w:u w:val="single"/>
                <w:lang w:val="en-US" w:eastAsia="zh-CN"/>
              </w:rPr>
              <w:t>苗飞</w:t>
            </w:r>
          </w:p>
          <w:p w14:paraId="48719673">
            <w:pPr>
              <w:widowControl/>
              <w:jc w:val="left"/>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u w:val="single"/>
              </w:rPr>
              <w:t>电  话：18009920887</w:t>
            </w:r>
          </w:p>
        </w:tc>
      </w:tr>
      <w:tr w14:paraId="0F3BECC3">
        <w:tblPrEx>
          <w:tblCellMar>
            <w:top w:w="0" w:type="dxa"/>
            <w:left w:w="108" w:type="dxa"/>
            <w:bottom w:w="0" w:type="dxa"/>
            <w:right w:w="108" w:type="dxa"/>
          </w:tblCellMar>
        </w:tblPrEx>
        <w:trPr>
          <w:trHeight w:val="1254" w:hRule="atLeast"/>
        </w:trPr>
        <w:tc>
          <w:tcPr>
            <w:tcW w:w="761" w:type="dxa"/>
            <w:tcBorders>
              <w:top w:val="single" w:color="auto" w:sz="4" w:space="0"/>
              <w:left w:val="single" w:color="auto" w:sz="4" w:space="0"/>
              <w:bottom w:val="single" w:color="auto" w:sz="4" w:space="0"/>
              <w:right w:val="single" w:color="auto" w:sz="4" w:space="0"/>
            </w:tcBorders>
            <w:vAlign w:val="center"/>
          </w:tcPr>
          <w:p w14:paraId="7508654F">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w:t>
            </w:r>
          </w:p>
        </w:tc>
        <w:tc>
          <w:tcPr>
            <w:tcW w:w="1714" w:type="dxa"/>
            <w:tcBorders>
              <w:top w:val="single" w:color="auto" w:sz="4" w:space="0"/>
              <w:left w:val="single" w:color="auto" w:sz="4" w:space="0"/>
              <w:bottom w:val="single" w:color="auto" w:sz="4" w:space="0"/>
              <w:right w:val="single" w:color="auto" w:sz="4" w:space="0"/>
            </w:tcBorders>
            <w:vAlign w:val="center"/>
          </w:tcPr>
          <w:p w14:paraId="5F7EB679">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采购代理机构</w:t>
            </w:r>
          </w:p>
        </w:tc>
        <w:tc>
          <w:tcPr>
            <w:tcW w:w="6285" w:type="dxa"/>
            <w:tcBorders>
              <w:top w:val="single" w:color="auto" w:sz="4" w:space="0"/>
              <w:left w:val="single" w:color="auto" w:sz="4" w:space="0"/>
              <w:bottom w:val="single" w:color="auto" w:sz="4" w:space="0"/>
              <w:right w:val="single" w:color="auto" w:sz="4" w:space="0"/>
            </w:tcBorders>
            <w:vAlign w:val="center"/>
          </w:tcPr>
          <w:p w14:paraId="7490E710">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u w:val="single"/>
              </w:rPr>
              <w:t>名</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rPr>
              <w:t>称：奎屯市政务服务中心</w:t>
            </w:r>
            <w:r>
              <w:rPr>
                <w:rFonts w:ascii="仿宋_GB2312" w:hAnsi="仿宋_GB2312" w:eastAsia="仿宋_GB2312" w:cs="仿宋_GB2312"/>
                <w:kern w:val="0"/>
                <w:szCs w:val="21"/>
                <w:u w:val="single"/>
              </w:rPr>
              <w:t> </w:t>
            </w:r>
          </w:p>
          <w:p w14:paraId="27095A01">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u w:val="single"/>
              </w:rPr>
              <w:t>地</w:t>
            </w:r>
            <w:r>
              <w:rPr>
                <w:rFonts w:ascii="仿宋_GB2312" w:hAnsi="仿宋_GB2312" w:eastAsia="仿宋_GB2312" w:cs="仿宋_GB2312"/>
                <w:kern w:val="0"/>
                <w:szCs w:val="21"/>
                <w:u w:val="single"/>
              </w:rPr>
              <w:t> </w:t>
            </w:r>
            <w:r>
              <w:rPr>
                <w:rFonts w:hint="eastAsia" w:ascii="仿宋_GB2312" w:hAnsi="仿宋_GB2312" w:eastAsia="仿宋_GB2312" w:cs="仿宋_GB2312"/>
                <w:kern w:val="0"/>
                <w:szCs w:val="21"/>
                <w:u w:val="single"/>
              </w:rPr>
              <w:t>址：奎屯市北京西路</w:t>
            </w:r>
            <w:r>
              <w:rPr>
                <w:rFonts w:ascii="仿宋_GB2312" w:hAnsi="仿宋_GB2312" w:eastAsia="仿宋_GB2312" w:cs="仿宋_GB2312"/>
                <w:kern w:val="0"/>
                <w:szCs w:val="21"/>
                <w:u w:val="single"/>
              </w:rPr>
              <w:t>20</w:t>
            </w:r>
            <w:r>
              <w:rPr>
                <w:rFonts w:hint="eastAsia" w:ascii="仿宋_GB2312" w:hAnsi="仿宋_GB2312" w:eastAsia="仿宋_GB2312" w:cs="仿宋_GB2312"/>
                <w:kern w:val="0"/>
                <w:szCs w:val="21"/>
                <w:u w:val="single"/>
              </w:rPr>
              <w:t>号</w:t>
            </w:r>
          </w:p>
          <w:p w14:paraId="5BF2DE52">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u w:val="single"/>
              </w:rPr>
              <w:t xml:space="preserve">联系方式：0992-3279228  </w:t>
            </w:r>
            <w:r>
              <w:rPr>
                <w:rFonts w:hint="eastAsia" w:ascii="仿宋_GB2312" w:hAnsi="仿宋_GB2312" w:eastAsia="仿宋_GB2312" w:cs="仿宋_GB2312"/>
                <w:kern w:val="0"/>
                <w:szCs w:val="21"/>
              </w:rPr>
              <w:t xml:space="preserve"> </w:t>
            </w:r>
          </w:p>
        </w:tc>
      </w:tr>
      <w:tr w14:paraId="3CC99FD0">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14:paraId="6CAC6CC4">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1.3.4</w:t>
            </w:r>
          </w:p>
        </w:tc>
        <w:tc>
          <w:tcPr>
            <w:tcW w:w="1714" w:type="dxa"/>
            <w:tcBorders>
              <w:top w:val="single" w:color="auto" w:sz="4" w:space="0"/>
              <w:left w:val="single" w:color="auto" w:sz="4" w:space="0"/>
              <w:bottom w:val="single" w:color="auto" w:sz="4" w:space="0"/>
              <w:right w:val="single" w:color="auto" w:sz="4" w:space="0"/>
            </w:tcBorders>
            <w:vAlign w:val="center"/>
          </w:tcPr>
          <w:p w14:paraId="7A423865">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合格供应商还要满足的其它资格条件</w:t>
            </w:r>
          </w:p>
        </w:tc>
        <w:tc>
          <w:tcPr>
            <w:tcW w:w="6285" w:type="dxa"/>
            <w:tcBorders>
              <w:top w:val="single" w:color="auto" w:sz="4" w:space="0"/>
              <w:left w:val="single" w:color="auto" w:sz="4" w:space="0"/>
              <w:bottom w:val="single" w:color="auto" w:sz="4" w:space="0"/>
              <w:right w:val="single" w:color="auto" w:sz="4" w:space="0"/>
            </w:tcBorders>
            <w:vAlign w:val="center"/>
          </w:tcPr>
          <w:p w14:paraId="70B63D0E">
            <w:pPr>
              <w:widowControl/>
              <w:jc w:val="left"/>
              <w:rPr>
                <w:rFonts w:ascii="仿宋_GB2312" w:hAnsi="仿宋_GB2312" w:eastAsia="仿宋_GB2312" w:cs="仿宋_GB2312"/>
                <w:kern w:val="0"/>
                <w:szCs w:val="21"/>
              </w:rPr>
            </w:pPr>
          </w:p>
        </w:tc>
      </w:tr>
      <w:tr w14:paraId="21E04E64">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14:paraId="16FCC9D3">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1.3.5</w:t>
            </w:r>
          </w:p>
        </w:tc>
        <w:tc>
          <w:tcPr>
            <w:tcW w:w="1714" w:type="dxa"/>
            <w:tcBorders>
              <w:top w:val="single" w:color="auto" w:sz="4" w:space="0"/>
              <w:left w:val="single" w:color="auto" w:sz="4" w:space="0"/>
              <w:bottom w:val="single" w:color="auto" w:sz="4" w:space="0"/>
              <w:right w:val="single" w:color="auto" w:sz="4" w:space="0"/>
            </w:tcBorders>
            <w:vAlign w:val="center"/>
          </w:tcPr>
          <w:p w14:paraId="39E12C50">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是否为专门面向</w:t>
            </w:r>
            <w:r>
              <w:rPr>
                <w:rFonts w:hint="eastAsia" w:ascii="仿宋_GB2312" w:hAnsi="仿宋_GB2312" w:eastAsia="仿宋_GB2312" w:cs="仿宋_GB2312"/>
                <w:szCs w:val="21"/>
              </w:rPr>
              <w:t>中小企业</w:t>
            </w:r>
            <w:r>
              <w:rPr>
                <w:rFonts w:hint="eastAsia" w:ascii="仿宋_GB2312" w:hAnsi="仿宋_GB2312" w:eastAsia="仿宋_GB2312" w:cs="仿宋_GB2312"/>
                <w:kern w:val="0"/>
                <w:szCs w:val="21"/>
              </w:rPr>
              <w:t>采购</w:t>
            </w:r>
          </w:p>
        </w:tc>
        <w:tc>
          <w:tcPr>
            <w:tcW w:w="6285" w:type="dxa"/>
            <w:tcBorders>
              <w:top w:val="single" w:color="auto" w:sz="4" w:space="0"/>
              <w:left w:val="single" w:color="auto" w:sz="4" w:space="0"/>
              <w:bottom w:val="single" w:color="auto" w:sz="4" w:space="0"/>
              <w:right w:val="single" w:color="auto" w:sz="4" w:space="0"/>
            </w:tcBorders>
            <w:vAlign w:val="center"/>
          </w:tcPr>
          <w:p w14:paraId="270C324F">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52"/>
            </w:r>
            <w:r>
              <w:rPr>
                <w:rFonts w:hint="eastAsia" w:ascii="仿宋_GB2312" w:hAnsi="仿宋_GB2312" w:eastAsia="仿宋_GB2312" w:cs="仿宋_GB2312"/>
                <w:kern w:val="0"/>
                <w:szCs w:val="21"/>
              </w:rPr>
              <w:t>是</w:t>
            </w:r>
          </w:p>
          <w:p w14:paraId="54D0635D">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否</w:t>
            </w:r>
          </w:p>
        </w:tc>
      </w:tr>
      <w:tr w14:paraId="34407476">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14:paraId="43E7ECCD">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1.3.6</w:t>
            </w:r>
          </w:p>
        </w:tc>
        <w:tc>
          <w:tcPr>
            <w:tcW w:w="1714" w:type="dxa"/>
            <w:tcBorders>
              <w:top w:val="single" w:color="auto" w:sz="4" w:space="0"/>
              <w:left w:val="single" w:color="auto" w:sz="4" w:space="0"/>
              <w:bottom w:val="single" w:color="auto" w:sz="4" w:space="0"/>
              <w:right w:val="single" w:color="auto" w:sz="4" w:space="0"/>
            </w:tcBorders>
            <w:vAlign w:val="center"/>
          </w:tcPr>
          <w:p w14:paraId="34FF6E1E">
            <w:pPr>
              <w:tabs>
                <w:tab w:val="left" w:pos="1425"/>
              </w:tabs>
              <w:jc w:val="center"/>
              <w:rPr>
                <w:rFonts w:ascii="仿宋_GB2312" w:hAnsi="仿宋_GB2312" w:eastAsia="仿宋_GB2312" w:cs="仿宋_GB2312"/>
                <w:kern w:val="0"/>
                <w:szCs w:val="21"/>
              </w:rPr>
            </w:pPr>
            <w:r>
              <w:rPr>
                <w:rFonts w:hint="eastAsia" w:ascii="仿宋_GB2312" w:hAnsi="仿宋_GB2312" w:eastAsia="仿宋_GB2312" w:cs="仿宋_GB2312"/>
                <w:szCs w:val="21"/>
              </w:rPr>
              <w:t>是否有政府强制采购的节能产品</w:t>
            </w:r>
          </w:p>
        </w:tc>
        <w:tc>
          <w:tcPr>
            <w:tcW w:w="6285" w:type="dxa"/>
            <w:tcBorders>
              <w:top w:val="single" w:color="auto" w:sz="4" w:space="0"/>
              <w:left w:val="single" w:color="auto" w:sz="4" w:space="0"/>
              <w:bottom w:val="single" w:color="auto" w:sz="4" w:space="0"/>
              <w:right w:val="single" w:color="auto" w:sz="4" w:space="0"/>
            </w:tcBorders>
            <w:vAlign w:val="center"/>
          </w:tcPr>
          <w:p w14:paraId="75504666">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有，具体产品为</w:t>
            </w:r>
            <w:r>
              <w:rPr>
                <w:rFonts w:hint="eastAsia" w:ascii="仿宋_GB2312" w:hAnsi="仿宋_GB2312" w:eastAsia="仿宋_GB2312" w:cs="仿宋_GB2312"/>
                <w:bCs/>
                <w:kern w:val="0"/>
                <w:szCs w:val="21"/>
                <w:u w:val="single"/>
              </w:rPr>
              <w:t xml:space="preserve">        </w:t>
            </w:r>
          </w:p>
          <w:p w14:paraId="4C3CEA61">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没有</w:t>
            </w:r>
          </w:p>
        </w:tc>
      </w:tr>
      <w:tr w14:paraId="6D6D9F82">
        <w:tblPrEx>
          <w:tblCellMar>
            <w:top w:w="0" w:type="dxa"/>
            <w:left w:w="108" w:type="dxa"/>
            <w:bottom w:w="0" w:type="dxa"/>
            <w:right w:w="108" w:type="dxa"/>
          </w:tblCellMar>
        </w:tblPrEx>
        <w:trPr>
          <w:trHeight w:val="321" w:hRule="atLeast"/>
        </w:trPr>
        <w:tc>
          <w:tcPr>
            <w:tcW w:w="761" w:type="dxa"/>
            <w:tcBorders>
              <w:top w:val="single" w:color="auto" w:sz="4" w:space="0"/>
              <w:left w:val="single" w:color="auto" w:sz="4" w:space="0"/>
              <w:bottom w:val="single" w:color="auto" w:sz="4" w:space="0"/>
              <w:right w:val="single" w:color="auto" w:sz="4" w:space="0"/>
            </w:tcBorders>
            <w:vAlign w:val="center"/>
          </w:tcPr>
          <w:p w14:paraId="73A1C3F0">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w:t>
            </w:r>
          </w:p>
        </w:tc>
        <w:tc>
          <w:tcPr>
            <w:tcW w:w="1714" w:type="dxa"/>
            <w:tcBorders>
              <w:top w:val="single" w:color="auto" w:sz="4" w:space="0"/>
              <w:left w:val="single" w:color="auto" w:sz="4" w:space="0"/>
              <w:bottom w:val="single" w:color="auto" w:sz="4" w:space="0"/>
              <w:right w:val="single" w:color="auto" w:sz="4" w:space="0"/>
            </w:tcBorders>
            <w:vAlign w:val="center"/>
          </w:tcPr>
          <w:p w14:paraId="622F272C">
            <w:pPr>
              <w:tabs>
                <w:tab w:val="left" w:pos="1425"/>
              </w:tabs>
              <w:jc w:val="center"/>
              <w:rPr>
                <w:rFonts w:ascii="仿宋_GB2312" w:hAnsi="仿宋_GB2312" w:eastAsia="仿宋_GB2312" w:cs="仿宋_GB2312"/>
                <w:b/>
                <w:kern w:val="0"/>
                <w:szCs w:val="21"/>
              </w:rPr>
            </w:pPr>
            <w:r>
              <w:rPr>
                <w:rFonts w:hint="eastAsia" w:ascii="仿宋_GB2312" w:hAnsi="仿宋_GB2312" w:eastAsia="仿宋_GB2312" w:cs="仿宋_GB2312"/>
                <w:bCs/>
                <w:kern w:val="0"/>
                <w:szCs w:val="21"/>
              </w:rPr>
              <w:t>是否允许联合体投标</w:t>
            </w:r>
          </w:p>
        </w:tc>
        <w:tc>
          <w:tcPr>
            <w:tcW w:w="6285" w:type="dxa"/>
            <w:tcBorders>
              <w:top w:val="single" w:color="auto" w:sz="4" w:space="0"/>
              <w:left w:val="single" w:color="auto" w:sz="4" w:space="0"/>
              <w:bottom w:val="single" w:color="auto" w:sz="4" w:space="0"/>
              <w:right w:val="single" w:color="auto" w:sz="4" w:space="0"/>
            </w:tcBorders>
            <w:vAlign w:val="center"/>
          </w:tcPr>
          <w:p w14:paraId="6462C6F5">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14:paraId="7CE2BCA8">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否</w:t>
            </w:r>
          </w:p>
        </w:tc>
      </w:tr>
      <w:tr w14:paraId="7EBEFFDA">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14:paraId="29E22B58">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1.4.8</w:t>
            </w:r>
          </w:p>
        </w:tc>
        <w:tc>
          <w:tcPr>
            <w:tcW w:w="1714" w:type="dxa"/>
            <w:tcBorders>
              <w:top w:val="single" w:color="auto" w:sz="4" w:space="0"/>
              <w:left w:val="single" w:color="auto" w:sz="4" w:space="0"/>
              <w:bottom w:val="single" w:color="auto" w:sz="4" w:space="0"/>
              <w:right w:val="single" w:color="auto" w:sz="4" w:space="0"/>
            </w:tcBorders>
            <w:vAlign w:val="center"/>
          </w:tcPr>
          <w:p w14:paraId="09F327CF">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联合体投标的其他资格要求</w:t>
            </w:r>
          </w:p>
        </w:tc>
        <w:tc>
          <w:tcPr>
            <w:tcW w:w="6285" w:type="dxa"/>
            <w:tcBorders>
              <w:top w:val="single" w:color="auto" w:sz="4" w:space="0"/>
              <w:left w:val="single" w:color="auto" w:sz="4" w:space="0"/>
              <w:bottom w:val="single" w:color="auto" w:sz="4" w:space="0"/>
              <w:right w:val="single" w:color="auto" w:sz="4" w:space="0"/>
            </w:tcBorders>
            <w:vAlign w:val="center"/>
          </w:tcPr>
          <w:p w14:paraId="218DABA8">
            <w:pPr>
              <w:rPr>
                <w:rFonts w:ascii="仿宋_GB2312" w:hAnsi="仿宋_GB2312" w:eastAsia="仿宋_GB2312" w:cs="仿宋_GB2312"/>
                <w:bCs/>
                <w:kern w:val="0"/>
                <w:szCs w:val="21"/>
              </w:rPr>
            </w:pPr>
          </w:p>
        </w:tc>
      </w:tr>
      <w:tr w14:paraId="6F30B9AF">
        <w:tblPrEx>
          <w:tblCellMar>
            <w:top w:w="0" w:type="dxa"/>
            <w:left w:w="108" w:type="dxa"/>
            <w:bottom w:w="0" w:type="dxa"/>
            <w:right w:w="108" w:type="dxa"/>
          </w:tblCellMar>
        </w:tblPrEx>
        <w:trPr>
          <w:trHeight w:val="943" w:hRule="atLeast"/>
        </w:trPr>
        <w:tc>
          <w:tcPr>
            <w:tcW w:w="761" w:type="dxa"/>
            <w:tcBorders>
              <w:top w:val="single" w:color="auto" w:sz="4" w:space="0"/>
              <w:left w:val="single" w:color="auto" w:sz="4" w:space="0"/>
              <w:bottom w:val="single" w:color="auto" w:sz="4" w:space="0"/>
              <w:right w:val="single" w:color="auto" w:sz="4" w:space="0"/>
            </w:tcBorders>
            <w:vAlign w:val="center"/>
          </w:tcPr>
          <w:p w14:paraId="573DF88E">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2.2</w:t>
            </w:r>
          </w:p>
        </w:tc>
        <w:tc>
          <w:tcPr>
            <w:tcW w:w="1714" w:type="dxa"/>
            <w:tcBorders>
              <w:top w:val="single" w:color="auto" w:sz="4" w:space="0"/>
              <w:left w:val="single" w:color="auto" w:sz="4" w:space="0"/>
              <w:bottom w:val="single" w:color="auto" w:sz="4" w:space="0"/>
              <w:right w:val="single" w:color="auto" w:sz="4" w:space="0"/>
            </w:tcBorders>
            <w:vAlign w:val="center"/>
          </w:tcPr>
          <w:p w14:paraId="6CF6E845">
            <w:pPr>
              <w:shd w:val="clear" w:color="auto" w:fill="FFFFFF"/>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项目预算金额、最高限价</w:t>
            </w:r>
          </w:p>
        </w:tc>
        <w:tc>
          <w:tcPr>
            <w:tcW w:w="6285" w:type="dxa"/>
            <w:tcBorders>
              <w:top w:val="single" w:color="auto" w:sz="4" w:space="0"/>
              <w:left w:val="single" w:color="auto" w:sz="4" w:space="0"/>
              <w:bottom w:val="single" w:color="auto" w:sz="4" w:space="0"/>
              <w:right w:val="single" w:color="auto" w:sz="4" w:space="0"/>
            </w:tcBorders>
            <w:vAlign w:val="center"/>
          </w:tcPr>
          <w:p w14:paraId="0A1B769C">
            <w:pPr>
              <w:rPr>
                <w:rFonts w:hint="default" w:ascii="仿宋_GB2312" w:hAnsi="仿宋_GB2312" w:eastAsia="仿宋_GB2312" w:cs="仿宋_GB2312"/>
                <w:bCs/>
                <w:kern w:val="0"/>
                <w:szCs w:val="21"/>
                <w:highlight w:val="none"/>
                <w:lang w:val="en-US" w:eastAsia="zh-CN"/>
              </w:rPr>
            </w:pPr>
            <w:r>
              <w:rPr>
                <w:rFonts w:hint="eastAsia" w:ascii="仿宋_GB2312" w:hAnsi="仿宋_GB2312" w:eastAsia="仿宋_GB2312" w:cs="仿宋_GB2312"/>
                <w:bCs/>
                <w:kern w:val="0"/>
                <w:szCs w:val="21"/>
              </w:rPr>
              <w:t>预算金额：</w:t>
            </w:r>
            <w:r>
              <w:rPr>
                <w:rFonts w:hint="eastAsia" w:ascii="仿宋_GB2312" w:hAnsi="仿宋_GB2312" w:eastAsia="仿宋_GB2312" w:cs="仿宋_GB2312"/>
                <w:bCs/>
                <w:kern w:val="0"/>
                <w:szCs w:val="21"/>
                <w:lang w:val="en-US" w:eastAsia="zh-CN"/>
              </w:rPr>
              <w:t>每年</w:t>
            </w:r>
            <w:r>
              <w:rPr>
                <w:rFonts w:hint="eastAsia" w:ascii="仿宋_GB2312" w:hAnsi="仿宋_GB2312" w:eastAsia="仿宋_GB2312" w:cs="仿宋_GB2312"/>
                <w:bCs/>
                <w:kern w:val="0"/>
                <w:szCs w:val="21"/>
                <w:highlight w:val="none"/>
                <w:lang w:val="en-US" w:eastAsia="zh-CN"/>
              </w:rPr>
              <w:t>458万元，三年1374万元</w:t>
            </w:r>
          </w:p>
          <w:p w14:paraId="74DBA73D">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highlight w:val="none"/>
              </w:rPr>
              <w:t>最高限价：</w:t>
            </w:r>
            <w:r>
              <w:rPr>
                <w:rFonts w:hint="eastAsia" w:ascii="仿宋_GB2312" w:hAnsi="仿宋_GB2312" w:eastAsia="仿宋_GB2312" w:cs="仿宋_GB2312"/>
                <w:bCs/>
                <w:kern w:val="0"/>
                <w:szCs w:val="21"/>
                <w:highlight w:val="none"/>
                <w:lang w:val="en-US" w:eastAsia="zh-CN"/>
              </w:rPr>
              <w:t>每年458万元，三年1374万元</w:t>
            </w:r>
          </w:p>
        </w:tc>
      </w:tr>
      <w:tr w14:paraId="784DA1AE">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14:paraId="648BD8B9">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1714" w:type="dxa"/>
            <w:tcBorders>
              <w:top w:val="single" w:color="auto" w:sz="4" w:space="0"/>
              <w:left w:val="single" w:color="auto" w:sz="4" w:space="0"/>
              <w:bottom w:val="single" w:color="auto" w:sz="4" w:space="0"/>
              <w:right w:val="single" w:color="auto" w:sz="4" w:space="0"/>
            </w:tcBorders>
            <w:vAlign w:val="center"/>
          </w:tcPr>
          <w:p w14:paraId="46807CE8">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计量单位</w:t>
            </w:r>
          </w:p>
        </w:tc>
        <w:tc>
          <w:tcPr>
            <w:tcW w:w="6285" w:type="dxa"/>
            <w:tcBorders>
              <w:top w:val="single" w:color="auto" w:sz="4" w:space="0"/>
              <w:left w:val="single" w:color="auto" w:sz="4" w:space="0"/>
              <w:bottom w:val="single" w:color="auto" w:sz="4" w:space="0"/>
              <w:right w:val="single" w:color="auto" w:sz="4" w:space="0"/>
            </w:tcBorders>
            <w:vAlign w:val="center"/>
          </w:tcPr>
          <w:p w14:paraId="2B90169E">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sym w:font="Wingdings 2" w:char="0052"/>
            </w:r>
            <w:r>
              <w:rPr>
                <w:rFonts w:hint="eastAsia" w:ascii="仿宋_GB2312" w:hAnsi="仿宋_GB2312" w:eastAsia="仿宋_GB2312" w:cs="仿宋_GB2312"/>
                <w:bCs/>
                <w:kern w:val="0"/>
                <w:szCs w:val="21"/>
              </w:rPr>
              <w:t>中华人民共和国法定计量单位</w:t>
            </w:r>
          </w:p>
          <w:p w14:paraId="5B8DE45D">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sym w:font="Wingdings 2" w:char="00A3"/>
            </w:r>
            <w:r>
              <w:rPr>
                <w:rFonts w:hint="eastAsia" w:ascii="仿宋_GB2312" w:hAnsi="仿宋_GB2312" w:eastAsia="仿宋_GB2312" w:cs="仿宋_GB2312"/>
                <w:bCs/>
                <w:kern w:val="0"/>
                <w:szCs w:val="21"/>
              </w:rPr>
              <w:t>其他：</w:t>
            </w:r>
            <w:r>
              <w:rPr>
                <w:rFonts w:hint="eastAsia" w:ascii="仿宋_GB2312" w:hAnsi="仿宋_GB2312" w:eastAsia="仿宋_GB2312" w:cs="仿宋_GB2312"/>
                <w:bCs/>
                <w:kern w:val="0"/>
                <w:szCs w:val="21"/>
                <w:u w:val="single"/>
              </w:rPr>
              <w:t xml:space="preserve">             </w:t>
            </w:r>
          </w:p>
        </w:tc>
      </w:tr>
      <w:tr w14:paraId="297ECB14">
        <w:tblPrEx>
          <w:tblCellMar>
            <w:top w:w="0" w:type="dxa"/>
            <w:left w:w="108" w:type="dxa"/>
            <w:bottom w:w="0" w:type="dxa"/>
            <w:right w:w="108" w:type="dxa"/>
          </w:tblCellMar>
        </w:tblPrEx>
        <w:trPr>
          <w:trHeight w:val="1875" w:hRule="atLeast"/>
        </w:trPr>
        <w:tc>
          <w:tcPr>
            <w:tcW w:w="761" w:type="dxa"/>
            <w:tcBorders>
              <w:top w:val="single" w:color="auto" w:sz="4" w:space="0"/>
              <w:left w:val="single" w:color="auto" w:sz="4" w:space="0"/>
              <w:bottom w:val="single" w:color="auto" w:sz="4" w:space="0"/>
              <w:right w:val="single" w:color="auto" w:sz="4" w:space="0"/>
            </w:tcBorders>
            <w:vAlign w:val="center"/>
          </w:tcPr>
          <w:p w14:paraId="0A2885B7">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6.1</w:t>
            </w:r>
          </w:p>
        </w:tc>
        <w:tc>
          <w:tcPr>
            <w:tcW w:w="1714" w:type="dxa"/>
            <w:tcBorders>
              <w:top w:val="single" w:color="auto" w:sz="4" w:space="0"/>
              <w:left w:val="single" w:color="auto" w:sz="4" w:space="0"/>
              <w:bottom w:val="single" w:color="auto" w:sz="4" w:space="0"/>
              <w:right w:val="single" w:color="auto" w:sz="4" w:space="0"/>
            </w:tcBorders>
            <w:vAlign w:val="center"/>
          </w:tcPr>
          <w:p w14:paraId="28C41439">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kern w:val="0"/>
                <w:szCs w:val="21"/>
              </w:rPr>
              <w:t>现场考察、开标前答疑会</w:t>
            </w:r>
          </w:p>
        </w:tc>
        <w:tc>
          <w:tcPr>
            <w:tcW w:w="6285" w:type="dxa"/>
            <w:tcBorders>
              <w:top w:val="single" w:color="auto" w:sz="4" w:space="0"/>
              <w:left w:val="single" w:color="auto" w:sz="4" w:space="0"/>
              <w:bottom w:val="single" w:color="auto" w:sz="4" w:space="0"/>
              <w:right w:val="single" w:color="auto" w:sz="4" w:space="0"/>
            </w:tcBorders>
            <w:vAlign w:val="center"/>
          </w:tcPr>
          <w:p w14:paraId="1487FD13">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不组织</w:t>
            </w:r>
          </w:p>
          <w:p w14:paraId="5D97B90F">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组织，时  间：</w:t>
            </w:r>
            <w:r>
              <w:rPr>
                <w:rFonts w:hint="eastAsia" w:ascii="仿宋_GB2312" w:hAnsi="仿宋_GB2312" w:eastAsia="仿宋_GB2312" w:cs="仿宋_GB2312"/>
                <w:bCs/>
                <w:kern w:val="0"/>
                <w:szCs w:val="21"/>
                <w:u w:val="single"/>
              </w:rPr>
              <w:t xml:space="preserve">         </w:t>
            </w:r>
          </w:p>
          <w:p w14:paraId="56C0E46D">
            <w:pPr>
              <w:widowControl/>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地  点：</w:t>
            </w:r>
            <w:r>
              <w:rPr>
                <w:rFonts w:hint="eastAsia" w:ascii="仿宋_GB2312" w:hAnsi="仿宋_GB2312" w:eastAsia="仿宋_GB2312" w:cs="仿宋_GB2312"/>
                <w:bCs/>
                <w:kern w:val="0"/>
                <w:szCs w:val="21"/>
                <w:u w:val="single"/>
              </w:rPr>
              <w:t xml:space="preserve">         </w:t>
            </w:r>
          </w:p>
          <w:p w14:paraId="5B6E6BEC">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联系人：</w:t>
            </w:r>
            <w:r>
              <w:rPr>
                <w:rFonts w:hint="eastAsia" w:ascii="仿宋_GB2312" w:hAnsi="仿宋_GB2312" w:eastAsia="仿宋_GB2312" w:cs="仿宋_GB2312"/>
                <w:bCs/>
                <w:kern w:val="0"/>
                <w:szCs w:val="21"/>
                <w:u w:val="single"/>
              </w:rPr>
              <w:t xml:space="preserve">         </w:t>
            </w:r>
          </w:p>
          <w:p w14:paraId="57B5D044">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bCs/>
                <w:kern w:val="0"/>
                <w:szCs w:val="21"/>
                <w:u w:val="single"/>
              </w:rPr>
              <w:t xml:space="preserve">         </w:t>
            </w:r>
          </w:p>
          <w:p w14:paraId="12E8FDD6">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组织，招标文件提供期限截止后以书面形式通知。</w:t>
            </w:r>
          </w:p>
        </w:tc>
      </w:tr>
      <w:tr w14:paraId="20784D19">
        <w:tblPrEx>
          <w:tblCellMar>
            <w:top w:w="0" w:type="dxa"/>
            <w:left w:w="108" w:type="dxa"/>
            <w:bottom w:w="0" w:type="dxa"/>
            <w:right w:w="108" w:type="dxa"/>
          </w:tblCellMar>
        </w:tblPrEx>
        <w:trPr>
          <w:trHeight w:val="6227" w:hRule="atLeast"/>
        </w:trPr>
        <w:tc>
          <w:tcPr>
            <w:tcW w:w="761" w:type="dxa"/>
            <w:tcBorders>
              <w:top w:val="single" w:color="auto" w:sz="4" w:space="0"/>
              <w:left w:val="single" w:color="auto" w:sz="4" w:space="0"/>
              <w:bottom w:val="single" w:color="auto" w:sz="4" w:space="0"/>
              <w:right w:val="single" w:color="auto" w:sz="4" w:space="0"/>
            </w:tcBorders>
            <w:vAlign w:val="center"/>
          </w:tcPr>
          <w:p w14:paraId="0B39BE40">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11.3</w:t>
            </w:r>
          </w:p>
        </w:tc>
        <w:tc>
          <w:tcPr>
            <w:tcW w:w="1714" w:type="dxa"/>
            <w:tcBorders>
              <w:top w:val="single" w:color="auto" w:sz="4" w:space="0"/>
              <w:left w:val="single" w:color="auto" w:sz="4" w:space="0"/>
              <w:bottom w:val="single" w:color="auto" w:sz="4" w:space="0"/>
              <w:right w:val="single" w:color="auto" w:sz="4" w:space="0"/>
            </w:tcBorders>
            <w:vAlign w:val="center"/>
          </w:tcPr>
          <w:p w14:paraId="6DC79AC3">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样品或演示</w:t>
            </w:r>
          </w:p>
        </w:tc>
        <w:tc>
          <w:tcPr>
            <w:tcW w:w="6285" w:type="dxa"/>
            <w:tcBorders>
              <w:top w:val="single" w:color="auto" w:sz="4" w:space="0"/>
              <w:left w:val="single" w:color="auto" w:sz="4" w:space="0"/>
              <w:bottom w:val="single" w:color="auto" w:sz="4" w:space="0"/>
              <w:right w:val="single" w:color="auto" w:sz="4" w:space="0"/>
            </w:tcBorders>
            <w:vAlign w:val="center"/>
          </w:tcPr>
          <w:p w14:paraId="536AF5D5">
            <w:pPr>
              <w:rPr>
                <w:rFonts w:ascii="仿宋_GB2312" w:hAnsi="仿宋_GB2312" w:eastAsia="仿宋_GB2312" w:cs="仿宋_GB2312"/>
                <w:kern w:val="0"/>
                <w:szCs w:val="21"/>
              </w:rPr>
            </w:pPr>
            <w:r>
              <w:rPr>
                <w:rFonts w:hint="eastAsia" w:ascii="仿宋_GB2312" w:hAnsi="仿宋_GB2312" w:eastAsia="仿宋_GB2312" w:cs="仿宋_GB2312"/>
                <w:kern w:val="0"/>
                <w:szCs w:val="21"/>
              </w:rPr>
              <w:t>■不需要</w:t>
            </w:r>
            <w:r>
              <w:rPr>
                <w:rFonts w:hint="eastAsia" w:ascii="仿宋_GB2312" w:hAnsi="仿宋_GB2312" w:eastAsia="仿宋_GB2312" w:cs="仿宋_GB2312"/>
                <w:bCs/>
                <w:kern w:val="0"/>
                <w:szCs w:val="21"/>
              </w:rPr>
              <w:t>提供样品</w:t>
            </w:r>
          </w:p>
          <w:p w14:paraId="234C3B13">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提供样品</w:t>
            </w:r>
          </w:p>
          <w:p w14:paraId="618CFCFD">
            <w:pPr>
              <w:rPr>
                <w:rFonts w:ascii="仿宋_GB2312" w:hAnsi="仿宋_GB2312" w:eastAsia="仿宋_GB2312" w:cs="仿宋_GB2312"/>
                <w:kern w:val="0"/>
                <w:szCs w:val="21"/>
              </w:rPr>
            </w:pPr>
            <w:r>
              <w:rPr>
                <w:rFonts w:hint="eastAsia" w:ascii="仿宋_GB2312" w:hAnsi="仿宋_GB2312" w:eastAsia="仿宋_GB2312" w:cs="仿宋_GB2312"/>
                <w:bCs/>
                <w:kern w:val="0"/>
                <w:szCs w:val="21"/>
              </w:rPr>
              <w:t xml:space="preserve">  </w:t>
            </w:r>
            <w:r>
              <w:rPr>
                <w:rFonts w:hint="eastAsia" w:ascii="仿宋_GB2312" w:hAnsi="仿宋_GB2312" w:eastAsia="仿宋_GB2312" w:cs="仿宋_GB2312"/>
                <w:kern w:val="0"/>
                <w:szCs w:val="21"/>
              </w:rPr>
              <w:t>1、递交样品的截止时间：</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年</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月</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日</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时（北京时间）</w:t>
            </w:r>
          </w:p>
          <w:p w14:paraId="458A15CB">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递交样品地点：</w:t>
            </w:r>
            <w:r>
              <w:rPr>
                <w:rFonts w:hint="eastAsia" w:ascii="仿宋_GB2312" w:hAnsi="仿宋_GB2312" w:eastAsia="仿宋_GB2312" w:cs="仿宋_GB2312"/>
                <w:kern w:val="0"/>
                <w:szCs w:val="21"/>
                <w:u w:val="single"/>
              </w:rPr>
              <w:t xml:space="preserve">                     </w:t>
            </w:r>
          </w:p>
          <w:p w14:paraId="490ED0DE">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递交样品联系人：</w:t>
            </w:r>
            <w:r>
              <w:rPr>
                <w:rFonts w:hint="eastAsia" w:ascii="仿宋_GB2312" w:hAnsi="仿宋_GB2312" w:eastAsia="仿宋_GB2312" w:cs="仿宋_GB2312"/>
                <w:kern w:val="0"/>
                <w:szCs w:val="21"/>
                <w:u w:val="single"/>
              </w:rPr>
              <w:t xml:space="preserve">                   </w:t>
            </w:r>
          </w:p>
          <w:p w14:paraId="4F800643">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递交样品联系电话：</w:t>
            </w:r>
            <w:r>
              <w:rPr>
                <w:rFonts w:hint="eastAsia" w:ascii="仿宋_GB2312" w:hAnsi="仿宋_GB2312" w:eastAsia="仿宋_GB2312" w:cs="仿宋_GB2312"/>
                <w:kern w:val="0"/>
                <w:szCs w:val="21"/>
                <w:u w:val="single"/>
              </w:rPr>
              <w:t xml:space="preserve">                 </w:t>
            </w:r>
          </w:p>
          <w:p w14:paraId="704818FD">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2、样品制作的标准和要求：</w:t>
            </w:r>
            <w:r>
              <w:rPr>
                <w:rFonts w:hint="eastAsia" w:ascii="仿宋_GB2312" w:hAnsi="仿宋_GB2312" w:eastAsia="仿宋_GB2312" w:cs="仿宋_GB2312"/>
                <w:kern w:val="0"/>
                <w:szCs w:val="21"/>
                <w:u w:val="single"/>
              </w:rPr>
              <w:t xml:space="preserve">             </w:t>
            </w:r>
          </w:p>
          <w:p w14:paraId="142C2682">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3、随样品提交相关检测报告要求：</w:t>
            </w:r>
            <w:r>
              <w:rPr>
                <w:rFonts w:hint="eastAsia" w:ascii="仿宋_GB2312" w:hAnsi="仿宋_GB2312" w:eastAsia="仿宋_GB2312" w:cs="仿宋_GB2312"/>
                <w:kern w:val="0"/>
                <w:szCs w:val="21"/>
                <w:u w:val="single"/>
              </w:rPr>
              <w:t xml:space="preserve">       </w:t>
            </w:r>
          </w:p>
          <w:p w14:paraId="2F832030">
            <w:pPr>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（包含是否要求提供、检测机构要求、检测内容等）</w:t>
            </w:r>
          </w:p>
          <w:p w14:paraId="61AAC751">
            <w:pPr>
              <w:numPr>
                <w:ilvl w:val="0"/>
                <w:numId w:val="2"/>
              </w:numPr>
              <w:rPr>
                <w:rFonts w:ascii="仿宋_GB2312" w:hAnsi="仿宋_GB2312" w:eastAsia="仿宋_GB2312" w:cs="仿宋_GB2312"/>
                <w:kern w:val="0"/>
                <w:szCs w:val="21"/>
              </w:rPr>
            </w:pPr>
            <w:r>
              <w:rPr>
                <w:rFonts w:hint="eastAsia" w:ascii="仿宋_GB2312" w:hAnsi="仿宋_GB2312" w:eastAsia="仿宋_GB2312" w:cs="仿宋_GB2312"/>
                <w:kern w:val="0"/>
                <w:szCs w:val="21"/>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行处理。</w:t>
            </w:r>
          </w:p>
          <w:p w14:paraId="682F74D7">
            <w:pPr>
              <w:ind w:left="210"/>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w:t>
            </w:r>
          </w:p>
          <w:p w14:paraId="015C91C1">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需要提供演示</w:t>
            </w:r>
          </w:p>
          <w:p w14:paraId="2A631EF9">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提供演示</w:t>
            </w:r>
          </w:p>
          <w:p w14:paraId="04C70AE3">
            <w:pPr>
              <w:rPr>
                <w:rFonts w:ascii="仿宋_GB2312" w:hAnsi="仿宋_GB2312" w:eastAsia="仿宋_GB2312" w:cs="仿宋_GB2312"/>
                <w:kern w:val="0"/>
                <w:szCs w:val="21"/>
              </w:rPr>
            </w:pPr>
            <w:r>
              <w:rPr>
                <w:rFonts w:hint="eastAsia" w:ascii="仿宋_GB2312" w:hAnsi="仿宋_GB2312" w:eastAsia="仿宋_GB2312" w:cs="仿宋_GB2312"/>
                <w:bCs/>
                <w:kern w:val="0"/>
                <w:szCs w:val="21"/>
              </w:rPr>
              <w:t xml:space="preserve">  </w:t>
            </w:r>
            <w:r>
              <w:rPr>
                <w:rFonts w:hint="eastAsia" w:ascii="仿宋_GB2312" w:hAnsi="仿宋_GB2312" w:eastAsia="仿宋_GB2312" w:cs="仿宋_GB2312"/>
                <w:kern w:val="0"/>
                <w:szCs w:val="21"/>
              </w:rPr>
              <w:t>1、演示时间：</w:t>
            </w:r>
            <w:r>
              <w:rPr>
                <w:rFonts w:hint="eastAsia" w:ascii="仿宋_GB2312" w:hAnsi="仿宋_GB2312" w:eastAsia="仿宋_GB2312" w:cs="仿宋_GB2312"/>
                <w:kern w:val="0"/>
                <w:szCs w:val="21"/>
                <w:u w:val="single"/>
              </w:rPr>
              <w:t xml:space="preserve">             </w:t>
            </w:r>
          </w:p>
          <w:p w14:paraId="3747A5C6">
            <w:pPr>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演示地点：</w:t>
            </w:r>
            <w:r>
              <w:rPr>
                <w:rFonts w:hint="eastAsia" w:ascii="仿宋_GB2312" w:hAnsi="仿宋_GB2312" w:eastAsia="仿宋_GB2312" w:cs="仿宋_GB2312"/>
                <w:kern w:val="0"/>
                <w:szCs w:val="21"/>
                <w:u w:val="single"/>
              </w:rPr>
              <w:t xml:space="preserve">             </w:t>
            </w:r>
          </w:p>
          <w:p w14:paraId="74B8BB4A">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演示顺序：</w:t>
            </w:r>
            <w:r>
              <w:rPr>
                <w:rFonts w:hint="eastAsia" w:ascii="仿宋_GB2312" w:hAnsi="仿宋_GB2312" w:eastAsia="仿宋_GB2312" w:cs="仿宋_GB2312"/>
                <w:kern w:val="0"/>
                <w:szCs w:val="21"/>
                <w:u w:val="single"/>
              </w:rPr>
              <w:t xml:space="preserve">             </w:t>
            </w:r>
          </w:p>
          <w:p w14:paraId="7DB7B3AF">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2、演示要求：</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（内容、设备等要求）</w:t>
            </w:r>
          </w:p>
        </w:tc>
      </w:tr>
      <w:tr w14:paraId="7969BA35">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14:paraId="339B1B60">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12.1</w:t>
            </w:r>
          </w:p>
        </w:tc>
        <w:tc>
          <w:tcPr>
            <w:tcW w:w="1714" w:type="dxa"/>
            <w:tcBorders>
              <w:top w:val="single" w:color="auto" w:sz="4" w:space="0"/>
              <w:left w:val="single" w:color="auto" w:sz="4" w:space="0"/>
              <w:bottom w:val="single" w:color="auto" w:sz="4" w:space="0"/>
              <w:right w:val="single" w:color="auto" w:sz="4" w:space="0"/>
            </w:tcBorders>
            <w:vAlign w:val="center"/>
          </w:tcPr>
          <w:p w14:paraId="6068E9E4">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投标报价货币要求</w:t>
            </w:r>
          </w:p>
        </w:tc>
        <w:tc>
          <w:tcPr>
            <w:tcW w:w="6285" w:type="dxa"/>
            <w:tcBorders>
              <w:top w:val="single" w:color="auto" w:sz="4" w:space="0"/>
              <w:left w:val="single" w:color="auto" w:sz="4" w:space="0"/>
              <w:bottom w:val="single" w:color="auto" w:sz="4" w:space="0"/>
              <w:right w:val="single" w:color="auto" w:sz="4" w:space="0"/>
            </w:tcBorders>
            <w:vAlign w:val="center"/>
          </w:tcPr>
          <w:p w14:paraId="0DC6222F">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所有投标均按</w:t>
            </w:r>
            <w:r>
              <w:rPr>
                <w:rFonts w:hint="eastAsia" w:ascii="仿宋_GB2312" w:hAnsi="仿宋_GB2312" w:eastAsia="仿宋_GB2312" w:cs="仿宋_GB2312"/>
                <w:kern w:val="0"/>
                <w:szCs w:val="21"/>
                <w:u w:val="single"/>
              </w:rPr>
              <w:t xml:space="preserve">   人民币   </w:t>
            </w:r>
            <w:r>
              <w:rPr>
                <w:rFonts w:hint="eastAsia" w:ascii="仿宋_GB2312" w:hAnsi="仿宋_GB2312" w:eastAsia="仿宋_GB2312" w:cs="仿宋_GB2312"/>
                <w:kern w:val="0"/>
                <w:szCs w:val="21"/>
              </w:rPr>
              <w:t>货币进行报价。</w:t>
            </w:r>
          </w:p>
          <w:p w14:paraId="631DE16A">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其它：</w:t>
            </w:r>
            <w:r>
              <w:rPr>
                <w:rFonts w:hint="eastAsia" w:ascii="仿宋_GB2312" w:hAnsi="仿宋_GB2312" w:eastAsia="仿宋_GB2312" w:cs="仿宋_GB2312"/>
                <w:kern w:val="0"/>
                <w:szCs w:val="21"/>
                <w:u w:val="single"/>
              </w:rPr>
              <w:t xml:space="preserve">               </w:t>
            </w:r>
          </w:p>
        </w:tc>
      </w:tr>
      <w:tr w14:paraId="7904503D">
        <w:tblPrEx>
          <w:tblCellMar>
            <w:top w:w="0" w:type="dxa"/>
            <w:left w:w="108" w:type="dxa"/>
            <w:bottom w:w="0" w:type="dxa"/>
            <w:right w:w="108" w:type="dxa"/>
          </w:tblCellMar>
        </w:tblPrEx>
        <w:trPr>
          <w:trHeight w:val="627" w:hRule="atLeast"/>
        </w:trPr>
        <w:tc>
          <w:tcPr>
            <w:tcW w:w="761" w:type="dxa"/>
            <w:tcBorders>
              <w:top w:val="single" w:color="auto" w:sz="4" w:space="0"/>
              <w:left w:val="single" w:color="auto" w:sz="8" w:space="0"/>
              <w:bottom w:val="single" w:color="auto" w:sz="8" w:space="0"/>
              <w:right w:val="single" w:color="auto" w:sz="4" w:space="0"/>
            </w:tcBorders>
            <w:vAlign w:val="center"/>
          </w:tcPr>
          <w:p w14:paraId="78E763A5">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13.1</w:t>
            </w:r>
          </w:p>
        </w:tc>
        <w:tc>
          <w:tcPr>
            <w:tcW w:w="1714" w:type="dxa"/>
            <w:tcBorders>
              <w:top w:val="single" w:color="auto" w:sz="4" w:space="0"/>
              <w:left w:val="single" w:color="auto" w:sz="4" w:space="0"/>
              <w:bottom w:val="single" w:color="auto" w:sz="8" w:space="0"/>
              <w:right w:val="single" w:color="auto" w:sz="8" w:space="0"/>
            </w:tcBorders>
            <w:vAlign w:val="center"/>
          </w:tcPr>
          <w:p w14:paraId="1F9CEB2C">
            <w:pPr>
              <w:jc w:val="center"/>
              <w:rPr>
                <w:rFonts w:ascii="仿宋_GB2312" w:hAnsi="仿宋_GB2312" w:eastAsia="仿宋_GB2312" w:cs="仿宋_GB2312"/>
                <w:szCs w:val="21"/>
              </w:rPr>
            </w:pPr>
            <w:r>
              <w:rPr>
                <w:rFonts w:hint="eastAsia" w:ascii="仿宋_GB2312" w:hAnsi="仿宋_GB2312" w:eastAsia="仿宋_GB2312" w:cs="仿宋_GB2312"/>
                <w:szCs w:val="21"/>
              </w:rPr>
              <w:t>投标保证金</w:t>
            </w:r>
          </w:p>
        </w:tc>
        <w:tc>
          <w:tcPr>
            <w:tcW w:w="6285" w:type="dxa"/>
            <w:tcBorders>
              <w:top w:val="single" w:color="auto" w:sz="4" w:space="0"/>
              <w:left w:val="nil"/>
              <w:bottom w:val="single" w:color="auto" w:sz="8" w:space="0"/>
              <w:right w:val="single" w:color="auto" w:sz="8" w:space="0"/>
            </w:tcBorders>
            <w:vAlign w:val="center"/>
          </w:tcPr>
          <w:p w14:paraId="74F2A7E4">
            <w:pPr>
              <w:rPr>
                <w:rFonts w:ascii="仿宋_GB2312" w:hAnsi="仿宋_GB2312" w:eastAsia="仿宋_GB2312" w:cs="仿宋_GB2312"/>
                <w:szCs w:val="21"/>
              </w:rPr>
            </w:pPr>
            <w:r>
              <w:rPr>
                <w:rFonts w:hint="eastAsia" w:ascii="仿宋_GB2312" w:hAnsi="仿宋_GB2312" w:eastAsia="仿宋_GB2312" w:cs="仿宋_GB2312"/>
                <w:szCs w:val="21"/>
              </w:rPr>
              <w:t>本项目不收取投标保证金</w:t>
            </w:r>
          </w:p>
        </w:tc>
      </w:tr>
      <w:tr w14:paraId="5839FA63">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8" w:space="0"/>
              <w:bottom w:val="single" w:color="auto" w:sz="8" w:space="0"/>
              <w:right w:val="single" w:color="auto" w:sz="4" w:space="0"/>
            </w:tcBorders>
            <w:vAlign w:val="center"/>
          </w:tcPr>
          <w:p w14:paraId="678C3724">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15.1</w:t>
            </w:r>
          </w:p>
        </w:tc>
        <w:tc>
          <w:tcPr>
            <w:tcW w:w="1714" w:type="dxa"/>
            <w:tcBorders>
              <w:top w:val="single" w:color="auto" w:sz="4" w:space="0"/>
              <w:left w:val="single" w:color="auto" w:sz="4" w:space="0"/>
              <w:bottom w:val="single" w:color="auto" w:sz="8" w:space="0"/>
              <w:right w:val="single" w:color="auto" w:sz="8" w:space="0"/>
            </w:tcBorders>
            <w:vAlign w:val="center"/>
          </w:tcPr>
          <w:p w14:paraId="412080F7">
            <w:pPr>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6285" w:type="dxa"/>
            <w:tcBorders>
              <w:top w:val="single" w:color="auto" w:sz="4" w:space="0"/>
              <w:left w:val="nil"/>
              <w:bottom w:val="single" w:color="auto" w:sz="8" w:space="0"/>
              <w:right w:val="single" w:color="auto" w:sz="8" w:space="0"/>
            </w:tcBorders>
            <w:vAlign w:val="center"/>
          </w:tcPr>
          <w:p w14:paraId="556392AF">
            <w:pPr>
              <w:pStyle w:val="9"/>
              <w:rPr>
                <w:rFonts w:ascii="仿宋_GB2312" w:hAnsi="仿宋_GB2312" w:eastAsia="仿宋_GB2312" w:cs="仿宋_GB2312"/>
                <w:kern w:val="0"/>
                <w:szCs w:val="21"/>
              </w:rPr>
            </w:pPr>
            <w:r>
              <w:rPr>
                <w:rFonts w:hint="eastAsia" w:ascii="仿宋_GB2312" w:hAnsi="仿宋_GB2312" w:eastAsia="仿宋_GB2312" w:cs="仿宋_GB2312"/>
                <w:kern w:val="0"/>
                <w:szCs w:val="21"/>
                <w:u w:val="single"/>
              </w:rPr>
              <w:t xml:space="preserve">  90  </w:t>
            </w:r>
            <w:r>
              <w:rPr>
                <w:rFonts w:hint="eastAsia" w:ascii="仿宋_GB2312" w:hAnsi="仿宋_GB2312" w:eastAsia="仿宋_GB2312" w:cs="仿宋_GB2312"/>
                <w:kern w:val="0"/>
                <w:szCs w:val="21"/>
              </w:rPr>
              <w:t>日历日</w:t>
            </w:r>
          </w:p>
        </w:tc>
      </w:tr>
      <w:tr w14:paraId="1AB21869">
        <w:tblPrEx>
          <w:tblCellMar>
            <w:top w:w="0" w:type="dxa"/>
            <w:left w:w="108" w:type="dxa"/>
            <w:bottom w:w="0" w:type="dxa"/>
            <w:right w:w="108" w:type="dxa"/>
          </w:tblCellMar>
        </w:tblPrEx>
        <w:trPr>
          <w:trHeight w:val="642" w:hRule="atLeast"/>
        </w:trPr>
        <w:tc>
          <w:tcPr>
            <w:tcW w:w="761" w:type="dxa"/>
            <w:tcBorders>
              <w:top w:val="nil"/>
              <w:left w:val="single" w:color="auto" w:sz="8" w:space="0"/>
              <w:bottom w:val="single" w:color="auto" w:sz="4" w:space="0"/>
              <w:right w:val="single" w:color="auto" w:sz="4" w:space="0"/>
            </w:tcBorders>
            <w:vAlign w:val="center"/>
          </w:tcPr>
          <w:p w14:paraId="6B779110">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16.1</w:t>
            </w:r>
          </w:p>
        </w:tc>
        <w:tc>
          <w:tcPr>
            <w:tcW w:w="1714" w:type="dxa"/>
            <w:tcBorders>
              <w:top w:val="nil"/>
              <w:left w:val="single" w:color="auto" w:sz="4" w:space="0"/>
              <w:bottom w:val="single" w:color="auto" w:sz="4" w:space="0"/>
              <w:right w:val="single" w:color="auto" w:sz="8" w:space="0"/>
            </w:tcBorders>
            <w:vAlign w:val="center"/>
          </w:tcPr>
          <w:p w14:paraId="44E90A15">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投标文件及电子文档</w:t>
            </w:r>
          </w:p>
        </w:tc>
        <w:tc>
          <w:tcPr>
            <w:tcW w:w="6285" w:type="dxa"/>
            <w:tcBorders>
              <w:top w:val="nil"/>
              <w:left w:val="nil"/>
              <w:bottom w:val="single" w:color="auto" w:sz="4" w:space="0"/>
              <w:right w:val="single" w:color="auto" w:sz="8" w:space="0"/>
            </w:tcBorders>
            <w:vAlign w:val="center"/>
          </w:tcPr>
          <w:p w14:paraId="2E8E31C0">
            <w:pPr>
              <w:widowControl/>
              <w:rPr>
                <w:rFonts w:ascii="仿宋_GB2312" w:hAnsi="仿宋_GB2312" w:eastAsia="仿宋_GB2312" w:cs="仿宋_GB2312"/>
                <w:kern w:val="0"/>
                <w:szCs w:val="21"/>
              </w:rPr>
            </w:pPr>
            <w:r>
              <w:rPr>
                <w:rFonts w:hint="eastAsia" w:ascii="仿宋_GB2312" w:hAnsi="仿宋_GB2312" w:eastAsia="仿宋_GB2312" w:cs="仿宋_GB2312"/>
                <w:szCs w:val="21"/>
                <w:lang w:val="zh-CN"/>
              </w:rPr>
              <w:t>加密的电子征集响应文件投标供应商应当在投标截止时间前，将生成的“电子加密响应文件”上传递交至“采购云平台”，投标截止时间以后上传递交的响应文件将被“政采云”平台拒收，开标时须使用 CA秘钥进行文件解密工作。</w:t>
            </w:r>
          </w:p>
        </w:tc>
      </w:tr>
      <w:tr w14:paraId="75BED1B8">
        <w:tblPrEx>
          <w:tblCellMar>
            <w:top w:w="0" w:type="dxa"/>
            <w:left w:w="108" w:type="dxa"/>
            <w:bottom w:w="0" w:type="dxa"/>
            <w:right w:w="108" w:type="dxa"/>
          </w:tblCellMar>
        </w:tblPrEx>
        <w:trPr>
          <w:trHeight w:val="632" w:hRule="atLeast"/>
        </w:trPr>
        <w:tc>
          <w:tcPr>
            <w:tcW w:w="761" w:type="dxa"/>
            <w:tcBorders>
              <w:top w:val="nil"/>
              <w:left w:val="single" w:color="auto" w:sz="8" w:space="0"/>
              <w:bottom w:val="single" w:color="auto" w:sz="4" w:space="0"/>
              <w:right w:val="single" w:color="auto" w:sz="4" w:space="0"/>
            </w:tcBorders>
            <w:vAlign w:val="center"/>
          </w:tcPr>
          <w:p w14:paraId="5FE279CA">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18.1</w:t>
            </w:r>
          </w:p>
        </w:tc>
        <w:tc>
          <w:tcPr>
            <w:tcW w:w="1714" w:type="dxa"/>
            <w:tcBorders>
              <w:top w:val="nil"/>
              <w:left w:val="single" w:color="auto" w:sz="4" w:space="0"/>
              <w:bottom w:val="single" w:color="auto" w:sz="4" w:space="0"/>
              <w:right w:val="single" w:color="auto" w:sz="8" w:space="0"/>
            </w:tcBorders>
            <w:vAlign w:val="center"/>
          </w:tcPr>
          <w:p w14:paraId="3E92860C">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递交投标文件截止时间、地点</w:t>
            </w:r>
          </w:p>
        </w:tc>
        <w:tc>
          <w:tcPr>
            <w:tcW w:w="6285" w:type="dxa"/>
            <w:tcBorders>
              <w:top w:val="nil"/>
              <w:left w:val="nil"/>
              <w:bottom w:val="single" w:color="auto" w:sz="4" w:space="0"/>
              <w:right w:val="single" w:color="auto" w:sz="8" w:space="0"/>
            </w:tcBorders>
            <w:vAlign w:val="center"/>
          </w:tcPr>
          <w:p w14:paraId="7910516C">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详见招标公告，以招标公告规定时间、地点为准。</w:t>
            </w:r>
          </w:p>
        </w:tc>
      </w:tr>
      <w:tr w14:paraId="1FB83C2C">
        <w:tblPrEx>
          <w:tblCellMar>
            <w:top w:w="0" w:type="dxa"/>
            <w:left w:w="108" w:type="dxa"/>
            <w:bottom w:w="0" w:type="dxa"/>
            <w:right w:w="108" w:type="dxa"/>
          </w:tblCellMar>
        </w:tblPrEx>
        <w:trPr>
          <w:trHeight w:val="614" w:hRule="atLeast"/>
        </w:trPr>
        <w:tc>
          <w:tcPr>
            <w:tcW w:w="761" w:type="dxa"/>
            <w:tcBorders>
              <w:top w:val="nil"/>
              <w:left w:val="single" w:color="auto" w:sz="8" w:space="0"/>
              <w:bottom w:val="single" w:color="auto" w:sz="4" w:space="0"/>
              <w:right w:val="single" w:color="auto" w:sz="4" w:space="0"/>
            </w:tcBorders>
            <w:vAlign w:val="center"/>
          </w:tcPr>
          <w:p w14:paraId="4352D20F">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20.1</w:t>
            </w:r>
          </w:p>
        </w:tc>
        <w:tc>
          <w:tcPr>
            <w:tcW w:w="1714" w:type="dxa"/>
            <w:tcBorders>
              <w:top w:val="nil"/>
              <w:left w:val="single" w:color="auto" w:sz="4" w:space="0"/>
              <w:bottom w:val="single" w:color="auto" w:sz="4" w:space="0"/>
              <w:right w:val="single" w:color="auto" w:sz="8" w:space="0"/>
            </w:tcBorders>
            <w:vAlign w:val="center"/>
          </w:tcPr>
          <w:p w14:paraId="5A666045">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开标时间、地点</w:t>
            </w:r>
          </w:p>
        </w:tc>
        <w:tc>
          <w:tcPr>
            <w:tcW w:w="6285" w:type="dxa"/>
            <w:tcBorders>
              <w:top w:val="nil"/>
              <w:left w:val="nil"/>
              <w:bottom w:val="single" w:color="auto" w:sz="4" w:space="0"/>
              <w:right w:val="single" w:color="auto" w:sz="8" w:space="0"/>
            </w:tcBorders>
            <w:vAlign w:val="center"/>
          </w:tcPr>
          <w:p w14:paraId="3801BB76">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详见招标公告，以招标公告规定时间、地点为准。</w:t>
            </w:r>
          </w:p>
        </w:tc>
      </w:tr>
      <w:tr w14:paraId="3DCBA4A7">
        <w:tblPrEx>
          <w:tblCellMar>
            <w:top w:w="0" w:type="dxa"/>
            <w:left w:w="108" w:type="dxa"/>
            <w:bottom w:w="0" w:type="dxa"/>
            <w:right w:w="108" w:type="dxa"/>
          </w:tblCellMar>
        </w:tblPrEx>
        <w:trPr>
          <w:trHeight w:val="614" w:hRule="atLeast"/>
        </w:trPr>
        <w:tc>
          <w:tcPr>
            <w:tcW w:w="761" w:type="dxa"/>
            <w:tcBorders>
              <w:top w:val="nil"/>
              <w:left w:val="single" w:color="auto" w:sz="8" w:space="0"/>
              <w:bottom w:val="single" w:color="auto" w:sz="4" w:space="0"/>
              <w:right w:val="single" w:color="auto" w:sz="4" w:space="0"/>
            </w:tcBorders>
            <w:vAlign w:val="center"/>
          </w:tcPr>
          <w:p w14:paraId="51C5B95B">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21</w:t>
            </w:r>
          </w:p>
        </w:tc>
        <w:tc>
          <w:tcPr>
            <w:tcW w:w="1714" w:type="dxa"/>
            <w:tcBorders>
              <w:top w:val="nil"/>
              <w:left w:val="single" w:color="auto" w:sz="4" w:space="0"/>
              <w:bottom w:val="single" w:color="auto" w:sz="4" w:space="0"/>
              <w:right w:val="single" w:color="auto" w:sz="8" w:space="0"/>
            </w:tcBorders>
            <w:vAlign w:val="center"/>
          </w:tcPr>
          <w:p w14:paraId="17A608EF">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评标委员会组成</w:t>
            </w:r>
          </w:p>
        </w:tc>
        <w:tc>
          <w:tcPr>
            <w:tcW w:w="6285" w:type="dxa"/>
            <w:tcBorders>
              <w:top w:val="nil"/>
              <w:left w:val="nil"/>
              <w:bottom w:val="single" w:color="auto" w:sz="4" w:space="0"/>
              <w:right w:val="single" w:color="auto" w:sz="8" w:space="0"/>
            </w:tcBorders>
            <w:vAlign w:val="center"/>
          </w:tcPr>
          <w:p w14:paraId="45A4FAA0">
            <w:pPr>
              <w:widowControl/>
              <w:rPr>
                <w:rFonts w:ascii="仿宋_GB2312" w:hAnsi="仿宋_GB2312" w:eastAsia="仿宋_GB2312" w:cs="仿宋_GB2312"/>
                <w:kern w:val="0"/>
                <w:szCs w:val="21"/>
              </w:rPr>
            </w:pPr>
            <w:r>
              <w:rPr>
                <w:rFonts w:hint="eastAsia" w:ascii="仿宋_GB2312" w:hAnsi="仿宋_GB2312" w:eastAsia="仿宋_GB2312" w:cs="仿宋_GB2312"/>
                <w:szCs w:val="21"/>
              </w:rPr>
              <w:t>评标委员会由采购人代</w:t>
            </w:r>
            <w:r>
              <w:rPr>
                <w:rFonts w:hint="eastAsia" w:ascii="仿宋_GB2312" w:hAnsi="仿宋_GB2312" w:eastAsia="仿宋_GB2312" w:cs="仿宋_GB2312"/>
                <w:szCs w:val="21"/>
                <w:highlight w:val="none"/>
              </w:rPr>
              <w:t>表</w:t>
            </w:r>
            <w:r>
              <w:rPr>
                <w:rFonts w:hint="eastAsia" w:ascii="仿宋_GB2312" w:hAnsi="仿宋_GB2312" w:eastAsia="仿宋_GB2312" w:cs="仿宋_GB2312"/>
                <w:szCs w:val="21"/>
                <w:highlight w:val="none"/>
                <w:u w:val="single"/>
                <w:lang w:val="en-US" w:eastAsia="zh-CN"/>
              </w:rPr>
              <w:t>1</w:t>
            </w:r>
            <w:r>
              <w:rPr>
                <w:rFonts w:hint="eastAsia" w:ascii="仿宋_GB2312" w:hAnsi="仿宋_GB2312" w:eastAsia="仿宋_GB2312" w:cs="仿宋_GB2312"/>
                <w:szCs w:val="21"/>
                <w:highlight w:val="none"/>
              </w:rPr>
              <w:t>人，评审专家</w:t>
            </w:r>
            <w:r>
              <w:rPr>
                <w:rFonts w:hint="eastAsia" w:ascii="仿宋_GB2312" w:hAnsi="仿宋_GB2312" w:eastAsia="仿宋_GB2312" w:cs="仿宋_GB2312"/>
                <w:szCs w:val="21"/>
                <w:highlight w:val="none"/>
                <w:u w:val="single"/>
                <w:lang w:val="en-US" w:eastAsia="zh-CN"/>
              </w:rPr>
              <w:t>6</w:t>
            </w:r>
            <w:r>
              <w:rPr>
                <w:rFonts w:hint="eastAsia" w:ascii="仿宋_GB2312" w:hAnsi="仿宋_GB2312" w:eastAsia="仿宋_GB2312" w:cs="仿宋_GB2312"/>
                <w:szCs w:val="21"/>
                <w:highlight w:val="none"/>
              </w:rPr>
              <w:t>人组成，共</w:t>
            </w:r>
            <w:r>
              <w:rPr>
                <w:rFonts w:hint="eastAsia" w:ascii="仿宋_GB2312" w:hAnsi="仿宋_GB2312" w:eastAsia="仿宋_GB2312" w:cs="仿宋_GB2312"/>
                <w:szCs w:val="21"/>
                <w:highlight w:val="none"/>
                <w:u w:val="single"/>
                <w:lang w:val="en-US" w:eastAsia="zh-CN"/>
              </w:rPr>
              <w:t>7</w:t>
            </w:r>
            <w:r>
              <w:rPr>
                <w:rFonts w:hint="eastAsia" w:ascii="仿宋_GB2312" w:hAnsi="仿宋_GB2312" w:eastAsia="仿宋_GB2312" w:cs="仿宋_GB2312"/>
                <w:szCs w:val="21"/>
                <w:highlight w:val="none"/>
              </w:rPr>
              <w:t xml:space="preserve">人。 </w:t>
            </w:r>
          </w:p>
        </w:tc>
      </w:tr>
      <w:tr w14:paraId="45F32E24">
        <w:tblPrEx>
          <w:tblCellMar>
            <w:top w:w="0" w:type="dxa"/>
            <w:left w:w="108" w:type="dxa"/>
            <w:bottom w:w="0" w:type="dxa"/>
            <w:right w:w="108" w:type="dxa"/>
          </w:tblCellMar>
        </w:tblPrEx>
        <w:trPr>
          <w:trHeight w:val="2186" w:hRule="atLeast"/>
        </w:trPr>
        <w:tc>
          <w:tcPr>
            <w:tcW w:w="761" w:type="dxa"/>
            <w:tcBorders>
              <w:top w:val="single" w:color="auto" w:sz="4" w:space="0"/>
              <w:left w:val="single" w:color="auto" w:sz="4" w:space="0"/>
              <w:bottom w:val="single" w:color="auto" w:sz="4" w:space="0"/>
              <w:right w:val="single" w:color="auto" w:sz="4" w:space="0"/>
            </w:tcBorders>
            <w:vAlign w:val="center"/>
          </w:tcPr>
          <w:p w14:paraId="7A858701">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25.1</w:t>
            </w:r>
          </w:p>
        </w:tc>
        <w:tc>
          <w:tcPr>
            <w:tcW w:w="1714" w:type="dxa"/>
            <w:tcBorders>
              <w:top w:val="single" w:color="auto" w:sz="4" w:space="0"/>
              <w:left w:val="single" w:color="auto" w:sz="4" w:space="0"/>
              <w:bottom w:val="single" w:color="auto" w:sz="4" w:space="0"/>
              <w:right w:val="single" w:color="auto" w:sz="4" w:space="0"/>
            </w:tcBorders>
            <w:vAlign w:val="center"/>
          </w:tcPr>
          <w:p w14:paraId="58E8E3AD">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样品的评审方法以及评审标准</w:t>
            </w:r>
          </w:p>
          <w:p w14:paraId="43CC5370">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演示的评审方法及评审标准</w:t>
            </w:r>
          </w:p>
        </w:tc>
        <w:tc>
          <w:tcPr>
            <w:tcW w:w="6285" w:type="dxa"/>
            <w:tcBorders>
              <w:top w:val="single" w:color="auto" w:sz="4" w:space="0"/>
              <w:left w:val="single" w:color="auto" w:sz="4" w:space="0"/>
              <w:bottom w:val="single" w:color="auto" w:sz="4" w:space="0"/>
              <w:right w:val="single" w:color="auto" w:sz="4" w:space="0"/>
            </w:tcBorders>
            <w:vAlign w:val="center"/>
          </w:tcPr>
          <w:p w14:paraId="5BE0AFB7">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bCs/>
                <w:kern w:val="0"/>
                <w:szCs w:val="21"/>
              </w:rPr>
              <w:t>样品：</w:t>
            </w:r>
          </w:p>
          <w:p w14:paraId="5F6DB254">
            <w:pPr>
              <w:rPr>
                <w:rFonts w:ascii="仿宋_GB2312" w:hAnsi="仿宋_GB2312" w:eastAsia="仿宋_GB2312" w:cs="仿宋_GB2312"/>
                <w:kern w:val="0"/>
                <w:szCs w:val="21"/>
              </w:rPr>
            </w:pPr>
            <w:r>
              <w:rPr>
                <w:rFonts w:hint="eastAsia" w:ascii="仿宋_GB2312" w:hAnsi="仿宋_GB2312" w:eastAsia="仿宋_GB2312" w:cs="仿宋_GB2312"/>
                <w:kern w:val="0"/>
                <w:szCs w:val="21"/>
              </w:rPr>
              <w:t>1、样品评审方法：</w:t>
            </w:r>
            <w:r>
              <w:rPr>
                <w:rFonts w:hint="eastAsia" w:ascii="仿宋_GB2312" w:hAnsi="仿宋_GB2312" w:eastAsia="仿宋_GB2312" w:cs="仿宋_GB2312"/>
                <w:kern w:val="0"/>
                <w:szCs w:val="21"/>
                <w:u w:val="single"/>
              </w:rPr>
              <w:t xml:space="preserve">              </w:t>
            </w:r>
          </w:p>
          <w:p w14:paraId="773F509C">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2、样品评审标准：</w:t>
            </w:r>
            <w:r>
              <w:rPr>
                <w:rFonts w:hint="eastAsia" w:ascii="仿宋_GB2312" w:hAnsi="仿宋_GB2312" w:eastAsia="仿宋_GB2312" w:cs="仿宋_GB2312"/>
                <w:kern w:val="0"/>
                <w:szCs w:val="21"/>
                <w:u w:val="single"/>
              </w:rPr>
              <w:t xml:space="preserve">              </w:t>
            </w:r>
          </w:p>
          <w:p w14:paraId="1DB81D0C">
            <w:pPr>
              <w:rPr>
                <w:rFonts w:ascii="仿宋_GB2312" w:hAnsi="仿宋_GB2312" w:eastAsia="仿宋_GB2312" w:cs="仿宋_GB2312"/>
                <w:kern w:val="0"/>
                <w:szCs w:val="21"/>
                <w:u w:val="single"/>
              </w:rPr>
            </w:pPr>
          </w:p>
          <w:p w14:paraId="464EB097">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演示：</w:t>
            </w:r>
          </w:p>
          <w:p w14:paraId="588BDE11">
            <w:pPr>
              <w:rPr>
                <w:rFonts w:ascii="仿宋_GB2312" w:hAnsi="仿宋_GB2312" w:eastAsia="仿宋_GB2312" w:cs="仿宋_GB2312"/>
                <w:kern w:val="0"/>
                <w:szCs w:val="21"/>
              </w:rPr>
            </w:pPr>
            <w:r>
              <w:rPr>
                <w:rFonts w:hint="eastAsia" w:ascii="仿宋_GB2312" w:hAnsi="仿宋_GB2312" w:eastAsia="仿宋_GB2312" w:cs="仿宋_GB2312"/>
                <w:kern w:val="0"/>
                <w:szCs w:val="21"/>
              </w:rPr>
              <w:t>1、演示评审方法：</w:t>
            </w:r>
            <w:r>
              <w:rPr>
                <w:rFonts w:hint="eastAsia" w:ascii="仿宋_GB2312" w:hAnsi="仿宋_GB2312" w:eastAsia="仿宋_GB2312" w:cs="仿宋_GB2312"/>
                <w:kern w:val="0"/>
                <w:szCs w:val="21"/>
                <w:u w:val="single"/>
              </w:rPr>
              <w:t xml:space="preserve">              </w:t>
            </w:r>
          </w:p>
          <w:p w14:paraId="40E92995">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2、演示评审标准：</w:t>
            </w:r>
            <w:r>
              <w:rPr>
                <w:rFonts w:hint="eastAsia" w:ascii="仿宋_GB2312" w:hAnsi="仿宋_GB2312" w:eastAsia="仿宋_GB2312" w:cs="仿宋_GB2312"/>
                <w:kern w:val="0"/>
                <w:szCs w:val="21"/>
                <w:u w:val="single"/>
              </w:rPr>
              <w:t xml:space="preserve">              </w:t>
            </w:r>
          </w:p>
        </w:tc>
      </w:tr>
      <w:tr w14:paraId="4F113258">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14:paraId="070F0793">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27.2</w:t>
            </w:r>
          </w:p>
        </w:tc>
        <w:tc>
          <w:tcPr>
            <w:tcW w:w="1714" w:type="dxa"/>
            <w:tcBorders>
              <w:top w:val="single" w:color="auto" w:sz="4" w:space="0"/>
              <w:left w:val="single" w:color="auto" w:sz="4" w:space="0"/>
              <w:bottom w:val="single" w:color="auto" w:sz="4" w:space="0"/>
              <w:right w:val="single" w:color="auto" w:sz="4" w:space="0"/>
            </w:tcBorders>
            <w:vAlign w:val="center"/>
          </w:tcPr>
          <w:p w14:paraId="11882C78">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评标办法</w:t>
            </w:r>
          </w:p>
        </w:tc>
        <w:tc>
          <w:tcPr>
            <w:tcW w:w="6285" w:type="dxa"/>
            <w:tcBorders>
              <w:top w:val="single" w:color="auto" w:sz="4" w:space="0"/>
              <w:left w:val="single" w:color="auto" w:sz="4" w:space="0"/>
              <w:bottom w:val="single" w:color="auto" w:sz="4" w:space="0"/>
              <w:right w:val="single" w:color="auto" w:sz="4" w:space="0"/>
            </w:tcBorders>
            <w:vAlign w:val="center"/>
          </w:tcPr>
          <w:p w14:paraId="27BFE8BC">
            <w:pPr>
              <w:widowControl/>
              <w:rPr>
                <w:rFonts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综合评分法</w:t>
            </w:r>
          </w:p>
          <w:p w14:paraId="6228C2DE">
            <w:pPr>
              <w:widowControl/>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最低评标价法 </w:t>
            </w:r>
          </w:p>
        </w:tc>
      </w:tr>
      <w:tr w14:paraId="257479C5">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14:paraId="674A249C">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29.2</w:t>
            </w:r>
          </w:p>
        </w:tc>
        <w:tc>
          <w:tcPr>
            <w:tcW w:w="1714" w:type="dxa"/>
            <w:tcBorders>
              <w:top w:val="single" w:color="auto" w:sz="4" w:space="0"/>
              <w:left w:val="single" w:color="auto" w:sz="4" w:space="0"/>
              <w:bottom w:val="single" w:color="auto" w:sz="4" w:space="0"/>
              <w:right w:val="single" w:color="auto" w:sz="4" w:space="0"/>
            </w:tcBorders>
            <w:vAlign w:val="center"/>
          </w:tcPr>
          <w:p w14:paraId="2218F39B">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推荐中标候选人的数量</w:t>
            </w:r>
          </w:p>
        </w:tc>
        <w:tc>
          <w:tcPr>
            <w:tcW w:w="6285" w:type="dxa"/>
            <w:tcBorders>
              <w:top w:val="single" w:color="auto" w:sz="4" w:space="0"/>
              <w:left w:val="single" w:color="auto" w:sz="4" w:space="0"/>
              <w:bottom w:val="single" w:color="auto" w:sz="4" w:space="0"/>
              <w:right w:val="single" w:color="auto" w:sz="4" w:space="0"/>
            </w:tcBorders>
            <w:vAlign w:val="center"/>
          </w:tcPr>
          <w:p w14:paraId="4320E500">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u w:val="single"/>
              </w:rPr>
              <w:t xml:space="preserve">       1       </w:t>
            </w:r>
          </w:p>
        </w:tc>
      </w:tr>
      <w:tr w14:paraId="2A58BAF4">
        <w:tblPrEx>
          <w:tblCellMar>
            <w:top w:w="0" w:type="dxa"/>
            <w:left w:w="108" w:type="dxa"/>
            <w:bottom w:w="0" w:type="dxa"/>
            <w:right w:w="108" w:type="dxa"/>
          </w:tblCellMar>
        </w:tblPrEx>
        <w:trPr>
          <w:trHeight w:val="943" w:hRule="atLeast"/>
        </w:trPr>
        <w:tc>
          <w:tcPr>
            <w:tcW w:w="761" w:type="dxa"/>
            <w:tcBorders>
              <w:top w:val="single" w:color="auto" w:sz="4" w:space="0"/>
              <w:left w:val="single" w:color="auto" w:sz="4" w:space="0"/>
              <w:bottom w:val="single" w:color="auto" w:sz="4" w:space="0"/>
              <w:right w:val="single" w:color="auto" w:sz="4" w:space="0"/>
            </w:tcBorders>
            <w:vAlign w:val="center"/>
          </w:tcPr>
          <w:p w14:paraId="30126056">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31</w:t>
            </w:r>
          </w:p>
        </w:tc>
        <w:tc>
          <w:tcPr>
            <w:tcW w:w="1714" w:type="dxa"/>
            <w:tcBorders>
              <w:top w:val="single" w:color="auto" w:sz="4" w:space="0"/>
              <w:left w:val="single" w:color="auto" w:sz="4" w:space="0"/>
              <w:bottom w:val="single" w:color="auto" w:sz="4" w:space="0"/>
              <w:right w:val="single" w:color="auto" w:sz="4" w:space="0"/>
            </w:tcBorders>
            <w:vAlign w:val="center"/>
          </w:tcPr>
          <w:p w14:paraId="3E1C668D">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确定中标人的方式</w:t>
            </w:r>
          </w:p>
        </w:tc>
        <w:tc>
          <w:tcPr>
            <w:tcW w:w="6285" w:type="dxa"/>
            <w:tcBorders>
              <w:top w:val="single" w:color="auto" w:sz="4" w:space="0"/>
              <w:left w:val="single" w:color="auto" w:sz="4" w:space="0"/>
              <w:bottom w:val="single" w:color="auto" w:sz="4" w:space="0"/>
              <w:right w:val="single" w:color="auto" w:sz="4" w:space="0"/>
            </w:tcBorders>
            <w:vAlign w:val="center"/>
          </w:tcPr>
          <w:p w14:paraId="376F0BF2">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中标人数量：</w:t>
            </w:r>
            <w:r>
              <w:rPr>
                <w:rFonts w:hint="eastAsia" w:ascii="仿宋_GB2312" w:hAnsi="仿宋_GB2312" w:eastAsia="仿宋_GB2312" w:cs="仿宋_GB2312"/>
                <w:kern w:val="0"/>
                <w:szCs w:val="21"/>
                <w:u w:val="single"/>
              </w:rPr>
              <w:t xml:space="preserve">   1   </w:t>
            </w:r>
          </w:p>
          <w:p w14:paraId="67AD4CDC">
            <w:pPr>
              <w:widowControl/>
              <w:rPr>
                <w:rFonts w:ascii="仿宋_GB2312" w:hAnsi="仿宋_GB2312" w:eastAsia="仿宋_GB2312" w:cs="仿宋_GB2312"/>
                <w:kern w:val="0"/>
                <w:szCs w:val="21"/>
                <w:u w:val="single"/>
              </w:rPr>
            </w:pPr>
            <w:r>
              <w:rPr>
                <w:rFonts w:hint="eastAsia" w:ascii="仿宋_GB2312" w:hAnsi="仿宋_GB2312" w:eastAsia="仿宋_GB2312" w:cs="仿宋_GB2312"/>
              </w:rPr>
              <w:t>■</w:t>
            </w:r>
            <w:r>
              <w:rPr>
                <w:rFonts w:hint="eastAsia" w:ascii="仿宋_GB2312" w:hAnsi="仿宋_GB2312" w:eastAsia="仿宋_GB2312" w:cs="仿宋_GB2312"/>
                <w:kern w:val="0"/>
                <w:szCs w:val="21"/>
              </w:rPr>
              <w:t>采购人委托评标委员会直接确定中标人</w:t>
            </w:r>
          </w:p>
          <w:p w14:paraId="38D09BD4">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采购人确定中标人</w:t>
            </w:r>
          </w:p>
        </w:tc>
      </w:tr>
      <w:tr w14:paraId="35A3D7B5">
        <w:tblPrEx>
          <w:tblCellMar>
            <w:top w:w="0" w:type="dxa"/>
            <w:left w:w="108" w:type="dxa"/>
            <w:bottom w:w="0" w:type="dxa"/>
            <w:right w:w="108" w:type="dxa"/>
          </w:tblCellMar>
        </w:tblPrEx>
        <w:trPr>
          <w:trHeight w:val="3119" w:hRule="atLeast"/>
        </w:trPr>
        <w:tc>
          <w:tcPr>
            <w:tcW w:w="761" w:type="dxa"/>
            <w:tcBorders>
              <w:top w:val="single" w:color="auto" w:sz="4" w:space="0"/>
              <w:left w:val="single" w:color="auto" w:sz="4" w:space="0"/>
              <w:bottom w:val="single" w:color="auto" w:sz="4" w:space="0"/>
              <w:right w:val="single" w:color="auto" w:sz="4" w:space="0"/>
            </w:tcBorders>
            <w:vAlign w:val="center"/>
          </w:tcPr>
          <w:p w14:paraId="269FB6BF">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35.1</w:t>
            </w:r>
          </w:p>
        </w:tc>
        <w:tc>
          <w:tcPr>
            <w:tcW w:w="1714" w:type="dxa"/>
            <w:tcBorders>
              <w:top w:val="single" w:color="auto" w:sz="4" w:space="0"/>
              <w:left w:val="single" w:color="auto" w:sz="4" w:space="0"/>
              <w:bottom w:val="single" w:color="auto" w:sz="4" w:space="0"/>
              <w:right w:val="single" w:color="auto" w:sz="4" w:space="0"/>
            </w:tcBorders>
            <w:vAlign w:val="center"/>
          </w:tcPr>
          <w:p w14:paraId="5EDECD1E">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szCs w:val="21"/>
              </w:rPr>
              <w:t>履约保证金</w:t>
            </w:r>
          </w:p>
        </w:tc>
        <w:tc>
          <w:tcPr>
            <w:tcW w:w="6285" w:type="dxa"/>
            <w:tcBorders>
              <w:top w:val="single" w:color="auto" w:sz="4" w:space="0"/>
              <w:left w:val="single" w:color="auto" w:sz="4" w:space="0"/>
              <w:bottom w:val="single" w:color="auto" w:sz="4" w:space="0"/>
              <w:right w:val="single" w:color="auto" w:sz="4" w:space="0"/>
            </w:tcBorders>
            <w:vAlign w:val="center"/>
          </w:tcPr>
          <w:p w14:paraId="0EEDB894">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szCs w:val="21"/>
              </w:rPr>
              <w:t>本项目履约保证金按照相关规定由采购人和中标人自行商定</w:t>
            </w:r>
          </w:p>
          <w:p w14:paraId="3EF4FF2C">
            <w:pPr>
              <w:shd w:val="clear" w:color="auto" w:fill="FFFFFF"/>
              <w:jc w:val="left"/>
              <w:rPr>
                <w:rFonts w:ascii="仿宋_GB2312" w:hAnsi="仿宋_GB2312" w:eastAsia="仿宋_GB2312" w:cs="仿宋_GB2312"/>
                <w:kern w:val="0"/>
                <w:szCs w:val="21"/>
              </w:rPr>
            </w:pPr>
            <w:r>
              <w:rPr>
                <w:rFonts w:hint="eastAsia" w:ascii="仿宋_GB2312" w:hAnsi="仿宋_GB2312" w:eastAsia="仿宋_GB2312" w:cs="仿宋_GB2312"/>
                <w:b/>
                <w:bCs/>
                <w:szCs w:val="21"/>
              </w:rPr>
              <w:t>（注：财政部门鼓励采用保函的方式递交履约保证金）</w:t>
            </w:r>
          </w:p>
        </w:tc>
      </w:tr>
      <w:tr w14:paraId="380C4510">
        <w:tblPrEx>
          <w:tblCellMar>
            <w:top w:w="0" w:type="dxa"/>
            <w:left w:w="108" w:type="dxa"/>
            <w:bottom w:w="0" w:type="dxa"/>
            <w:right w:w="108" w:type="dxa"/>
          </w:tblCellMar>
        </w:tblPrEx>
        <w:trPr>
          <w:trHeight w:val="1254" w:hRule="atLeast"/>
        </w:trPr>
        <w:tc>
          <w:tcPr>
            <w:tcW w:w="761" w:type="dxa"/>
            <w:tcBorders>
              <w:top w:val="nil"/>
              <w:left w:val="single" w:color="auto" w:sz="8" w:space="0"/>
              <w:bottom w:val="single" w:color="auto" w:sz="8" w:space="0"/>
              <w:right w:val="single" w:color="auto" w:sz="4" w:space="0"/>
            </w:tcBorders>
            <w:vAlign w:val="center"/>
          </w:tcPr>
          <w:p w14:paraId="7FA25369">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36</w:t>
            </w:r>
          </w:p>
        </w:tc>
        <w:tc>
          <w:tcPr>
            <w:tcW w:w="1714" w:type="dxa"/>
            <w:tcBorders>
              <w:top w:val="nil"/>
              <w:left w:val="single" w:color="auto" w:sz="4" w:space="0"/>
              <w:bottom w:val="single" w:color="auto" w:sz="8" w:space="0"/>
              <w:right w:val="single" w:color="auto" w:sz="8" w:space="0"/>
            </w:tcBorders>
            <w:vAlign w:val="center"/>
          </w:tcPr>
          <w:p w14:paraId="1AB5CDF5">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采购代理服务费</w:t>
            </w:r>
          </w:p>
        </w:tc>
        <w:tc>
          <w:tcPr>
            <w:tcW w:w="6285" w:type="dxa"/>
            <w:tcBorders>
              <w:top w:val="nil"/>
              <w:left w:val="nil"/>
              <w:bottom w:val="single" w:color="auto" w:sz="8" w:space="0"/>
              <w:right w:val="single" w:color="auto" w:sz="8" w:space="0"/>
            </w:tcBorders>
            <w:vAlign w:val="center"/>
          </w:tcPr>
          <w:p w14:paraId="5E7B9CB3">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本项目不收取</w:t>
            </w:r>
            <w:r>
              <w:rPr>
                <w:rFonts w:hint="eastAsia" w:ascii="仿宋_GB2312" w:hAnsi="仿宋_GB2312" w:eastAsia="仿宋_GB2312" w:cs="仿宋_GB2312"/>
                <w:kern w:val="0"/>
                <w:szCs w:val="21"/>
              </w:rPr>
              <w:t>采购代理服务费</w:t>
            </w:r>
          </w:p>
          <w:p w14:paraId="0286316C">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本项目收取</w:t>
            </w:r>
            <w:r>
              <w:rPr>
                <w:rFonts w:hint="eastAsia" w:ascii="仿宋_GB2312" w:hAnsi="仿宋_GB2312" w:eastAsia="仿宋_GB2312" w:cs="仿宋_GB2312"/>
                <w:kern w:val="0"/>
                <w:szCs w:val="21"/>
              </w:rPr>
              <w:t>采购代理服务费</w:t>
            </w:r>
          </w:p>
          <w:p w14:paraId="247826F2">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本项目采购代理服务费由</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向采购代理机构予以支付。</w:t>
            </w:r>
          </w:p>
          <w:p w14:paraId="67538285">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支付标准：</w:t>
            </w:r>
            <w:r>
              <w:rPr>
                <w:rFonts w:hint="eastAsia" w:ascii="仿宋_GB2312" w:hAnsi="仿宋_GB2312" w:eastAsia="仿宋_GB2312" w:cs="仿宋_GB2312"/>
                <w:kern w:val="0"/>
                <w:szCs w:val="21"/>
                <w:u w:val="single"/>
              </w:rPr>
              <w:t xml:space="preserve">              </w:t>
            </w:r>
          </w:p>
          <w:p w14:paraId="6C4F13F4">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支付形式：</w:t>
            </w:r>
            <w:r>
              <w:rPr>
                <w:rFonts w:hint="eastAsia" w:ascii="仿宋_GB2312" w:hAnsi="仿宋_GB2312" w:eastAsia="仿宋_GB2312" w:cs="仿宋_GB2312"/>
                <w:kern w:val="0"/>
                <w:szCs w:val="21"/>
                <w:u w:val="single"/>
              </w:rPr>
              <w:t xml:space="preserve">              </w:t>
            </w:r>
          </w:p>
          <w:p w14:paraId="05A697AF">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支付时间：</w:t>
            </w:r>
            <w:r>
              <w:rPr>
                <w:rFonts w:hint="eastAsia" w:ascii="仿宋_GB2312" w:hAnsi="仿宋_GB2312" w:eastAsia="仿宋_GB2312" w:cs="仿宋_GB2312"/>
                <w:kern w:val="0"/>
                <w:szCs w:val="21"/>
                <w:u w:val="single"/>
              </w:rPr>
              <w:t xml:space="preserve">              </w:t>
            </w:r>
          </w:p>
        </w:tc>
      </w:tr>
      <w:tr w14:paraId="642B42A5">
        <w:tblPrEx>
          <w:tblCellMar>
            <w:top w:w="0" w:type="dxa"/>
            <w:left w:w="108" w:type="dxa"/>
            <w:bottom w:w="0" w:type="dxa"/>
            <w:right w:w="108" w:type="dxa"/>
          </w:tblCellMar>
        </w:tblPrEx>
        <w:trPr>
          <w:trHeight w:val="3143" w:hRule="atLeast"/>
        </w:trPr>
        <w:tc>
          <w:tcPr>
            <w:tcW w:w="761" w:type="dxa"/>
            <w:tcBorders>
              <w:top w:val="single" w:color="auto" w:sz="4" w:space="0"/>
              <w:left w:val="single" w:color="auto" w:sz="8" w:space="0"/>
              <w:bottom w:val="single" w:color="auto" w:sz="8" w:space="0"/>
              <w:right w:val="single" w:color="auto" w:sz="4" w:space="0"/>
            </w:tcBorders>
            <w:vAlign w:val="center"/>
          </w:tcPr>
          <w:p w14:paraId="71A1C2D5">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39.3</w:t>
            </w:r>
          </w:p>
        </w:tc>
        <w:tc>
          <w:tcPr>
            <w:tcW w:w="1714" w:type="dxa"/>
            <w:tcBorders>
              <w:top w:val="single" w:color="auto" w:sz="4" w:space="0"/>
              <w:left w:val="single" w:color="auto" w:sz="4" w:space="0"/>
              <w:bottom w:val="single" w:color="auto" w:sz="8" w:space="0"/>
              <w:right w:val="single" w:color="auto" w:sz="8" w:space="0"/>
            </w:tcBorders>
            <w:vAlign w:val="center"/>
          </w:tcPr>
          <w:p w14:paraId="2F359E22">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质疑</w:t>
            </w:r>
          </w:p>
        </w:tc>
        <w:tc>
          <w:tcPr>
            <w:tcW w:w="6285" w:type="dxa"/>
            <w:tcBorders>
              <w:top w:val="single" w:color="auto" w:sz="4" w:space="0"/>
              <w:left w:val="nil"/>
              <w:bottom w:val="single" w:color="auto" w:sz="8" w:space="0"/>
              <w:right w:val="single" w:color="auto" w:sz="8" w:space="0"/>
            </w:tcBorders>
            <w:vAlign w:val="center"/>
          </w:tcPr>
          <w:p w14:paraId="4FBE16D8">
            <w:pPr>
              <w:widowControl/>
              <w:rPr>
                <w:rFonts w:ascii="仿宋_GB2312" w:hAnsi="仿宋_GB2312" w:eastAsia="仿宋_GB2312" w:cs="仿宋_GB2312"/>
                <w:szCs w:val="21"/>
              </w:rPr>
            </w:pPr>
            <w:r>
              <w:rPr>
                <w:rFonts w:hint="eastAsia" w:ascii="仿宋_GB2312" w:hAnsi="仿宋_GB2312" w:eastAsia="仿宋_GB2312" w:cs="仿宋_GB2312"/>
                <w:szCs w:val="21"/>
              </w:rPr>
              <w:t>一、投标人认为自己的权益受到损害的，可以在知道或者应知其权益受到损害之日起七个工作日内，向采购代理机构提出质疑。</w:t>
            </w:r>
          </w:p>
          <w:p w14:paraId="2F93C691">
            <w:pPr>
              <w:widowControl/>
              <w:rPr>
                <w:rFonts w:ascii="仿宋_GB2312" w:hAnsi="仿宋_GB2312" w:eastAsia="仿宋_GB2312" w:cs="仿宋_GB2312"/>
                <w:szCs w:val="21"/>
              </w:rPr>
            </w:pPr>
            <w:r>
              <w:rPr>
                <w:rFonts w:hint="eastAsia" w:ascii="仿宋_GB2312" w:hAnsi="仿宋_GB2312" w:eastAsia="仿宋_GB2312" w:cs="仿宋_GB2312"/>
                <w:szCs w:val="21"/>
              </w:rPr>
              <w:t>1、接收质疑函的方式：接收加盖单位公章的书面质疑函</w:t>
            </w:r>
          </w:p>
          <w:p w14:paraId="4B8775E3">
            <w:pPr>
              <w:widowControl/>
              <w:ind w:firstLine="420" w:firstLineChars="200"/>
              <w:rPr>
                <w:rFonts w:ascii="仿宋_GB2312" w:hAnsi="仿宋_GB2312" w:eastAsia="仿宋_GB2312" w:cs="仿宋_GB2312"/>
                <w:kern w:val="0"/>
                <w:szCs w:val="21"/>
                <w:u w:val="single"/>
              </w:rPr>
            </w:pPr>
            <w:r>
              <w:rPr>
                <w:rFonts w:hint="eastAsia" w:ascii="仿宋_GB2312" w:hAnsi="仿宋_GB2312" w:eastAsia="仿宋_GB2312" w:cs="仿宋_GB2312"/>
                <w:szCs w:val="21"/>
              </w:rPr>
              <w:t>联系单位：</w:t>
            </w:r>
            <w:r>
              <w:rPr>
                <w:rFonts w:hint="eastAsia" w:ascii="仿宋_GB2312" w:hAnsi="仿宋_GB2312" w:eastAsia="仿宋_GB2312" w:cs="仿宋_GB2312"/>
                <w:kern w:val="0"/>
                <w:szCs w:val="21"/>
                <w:u w:val="single"/>
              </w:rPr>
              <w:t xml:space="preserve">  奎屯市政务服务中心            </w:t>
            </w:r>
          </w:p>
          <w:p w14:paraId="3A066ECA">
            <w:pPr>
              <w:widowControl/>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联系电话：</w:t>
            </w:r>
            <w:r>
              <w:rPr>
                <w:rFonts w:hint="eastAsia" w:ascii="仿宋_GB2312" w:hAnsi="仿宋_GB2312" w:eastAsia="仿宋_GB2312" w:cs="仿宋_GB2312"/>
                <w:kern w:val="0"/>
                <w:szCs w:val="21"/>
                <w:u w:val="single"/>
              </w:rPr>
              <w:t xml:space="preserve">   0992-3279228           </w:t>
            </w:r>
          </w:p>
          <w:p w14:paraId="3C3E6AFC">
            <w:pPr>
              <w:widowControl/>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通讯地址：</w:t>
            </w:r>
            <w:r>
              <w:rPr>
                <w:rFonts w:hint="eastAsia" w:ascii="仿宋_GB2312" w:hAnsi="仿宋_GB2312" w:eastAsia="仿宋_GB2312" w:cs="仿宋_GB2312"/>
                <w:kern w:val="0"/>
                <w:szCs w:val="21"/>
                <w:u w:val="single"/>
              </w:rPr>
              <w:t xml:space="preserve">   奎屯市政务服务中心            </w:t>
            </w:r>
          </w:p>
          <w:p w14:paraId="6282160A">
            <w:pPr>
              <w:widowControl/>
              <w:rPr>
                <w:rFonts w:ascii="仿宋_GB2312" w:hAnsi="仿宋_GB2312" w:eastAsia="仿宋_GB2312" w:cs="仿宋_GB2312"/>
                <w:szCs w:val="21"/>
              </w:rPr>
            </w:pPr>
            <w:r>
              <w:rPr>
                <w:rFonts w:hint="eastAsia" w:ascii="仿宋_GB2312" w:hAnsi="仿宋_GB2312" w:eastAsia="仿宋_GB2312" w:cs="仿宋_GB2312"/>
                <w:szCs w:val="21"/>
              </w:rPr>
              <w:t>2、质疑函的内容、格式：应符合《政府采购质疑和投诉办法》相关规定和财政部门制定的《政府采购质疑函范本》格式。</w:t>
            </w:r>
          </w:p>
          <w:p w14:paraId="5FD3E93B">
            <w:pPr>
              <w:pStyle w:val="9"/>
              <w:rPr>
                <w:rFonts w:ascii="仿宋_GB2312" w:hAnsi="仿宋_GB2312" w:eastAsia="仿宋_GB2312" w:cs="仿宋_GB2312"/>
                <w:kern w:val="0"/>
                <w:szCs w:val="21"/>
              </w:rPr>
            </w:pPr>
            <w:r>
              <w:rPr>
                <w:rFonts w:hint="eastAsia" w:ascii="仿宋_GB2312" w:hAnsi="仿宋_GB2312" w:eastAsia="仿宋_GB2312" w:cs="仿宋_GB2312"/>
                <w:szCs w:val="21"/>
              </w:rPr>
              <w:t>二、投标人应在法定质疑期内一次性针对同一采购程序环节提出质疑，否则针对再次提出质疑将不予接收。（采购程序环节分为：</w:t>
            </w:r>
            <w:r>
              <w:rPr>
                <w:rFonts w:hint="eastAsia" w:ascii="仿宋_GB2312" w:hAnsi="仿宋_GB2312" w:eastAsia="仿宋_GB2312" w:cs="仿宋_GB2312"/>
                <w:kern w:val="0"/>
                <w:szCs w:val="21"/>
              </w:rPr>
              <w:t>招标</w:t>
            </w:r>
            <w:r>
              <w:rPr>
                <w:rFonts w:hint="eastAsia" w:ascii="仿宋_GB2312" w:hAnsi="仿宋_GB2312" w:eastAsia="仿宋_GB2312" w:cs="仿宋_GB2312"/>
                <w:szCs w:val="21"/>
              </w:rPr>
              <w:t>公告、招标文件、招标过程、中标结果）</w:t>
            </w:r>
          </w:p>
        </w:tc>
      </w:tr>
    </w:tbl>
    <w:p w14:paraId="38B899B2">
      <w:pPr>
        <w:rPr>
          <w:rFonts w:ascii="仿宋_GB2312" w:hAnsi="仿宋_GB2312" w:eastAsia="仿宋_GB2312" w:cs="仿宋_GB2312"/>
        </w:rPr>
      </w:pPr>
      <w:r>
        <w:rPr>
          <w:rFonts w:hint="eastAsia" w:ascii="仿宋_GB2312" w:hAnsi="仿宋_GB2312" w:eastAsia="仿宋_GB2312" w:cs="仿宋_GB2312"/>
        </w:rPr>
        <w:t>注：表格中“</w:t>
      </w:r>
      <w:r>
        <w:rPr>
          <w:rFonts w:hint="eastAsia" w:ascii="仿宋_GB2312" w:hAnsi="仿宋_GB2312" w:eastAsia="仿宋_GB2312" w:cs="仿宋_GB2312"/>
        </w:rPr>
        <w:sym w:font="Wingdings 2" w:char="0052"/>
      </w:r>
      <w:r>
        <w:rPr>
          <w:rFonts w:hint="eastAsia" w:ascii="仿宋_GB2312" w:hAnsi="仿宋_GB2312" w:eastAsia="仿宋_GB2312" w:cs="仿宋_GB2312"/>
        </w:rPr>
        <w:t>”项或“■”项为被选中项。</w:t>
      </w:r>
    </w:p>
    <w:p w14:paraId="1C12FD17">
      <w:pPr>
        <w:pStyle w:val="5"/>
        <w:adjustRightInd w:val="0"/>
        <w:snapToGrid w:val="0"/>
        <w:spacing w:before="0" w:after="0" w:line="360" w:lineRule="auto"/>
        <w:rPr>
          <w:rFonts w:ascii="仿宋_GB2312" w:hAnsi="仿宋_GB2312" w:eastAsia="仿宋_GB2312" w:cs="仿宋_GB2312"/>
          <w:sz w:val="32"/>
          <w:szCs w:val="36"/>
        </w:rPr>
      </w:pPr>
      <w:r>
        <w:rPr>
          <w:rFonts w:hint="eastAsia" w:ascii="仿宋_GB2312" w:hAnsi="仿宋_GB2312" w:eastAsia="仿宋_GB2312" w:cs="仿宋_GB2312"/>
          <w:sz w:val="21"/>
          <w:szCs w:val="21"/>
        </w:rPr>
        <w:br w:type="page"/>
      </w:r>
      <w:bookmarkStart w:id="11" w:name="_Toc30384_WPSOffice_Level2"/>
      <w:r>
        <w:rPr>
          <w:rFonts w:hint="eastAsia" w:ascii="仿宋_GB2312" w:hAnsi="仿宋_GB2312" w:eastAsia="仿宋_GB2312" w:cs="仿宋_GB2312"/>
          <w:sz w:val="32"/>
          <w:szCs w:val="36"/>
        </w:rPr>
        <w:t>二 总则</w:t>
      </w:r>
      <w:bookmarkEnd w:id="11"/>
    </w:p>
    <w:p w14:paraId="3F2189C4">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1.采购人、采购代理机构及投标人</w:t>
      </w:r>
    </w:p>
    <w:p w14:paraId="0BC8477E">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1.1采购人：是指依法进行政府采购的国家机关、事业单位、团体组织。本项目采购人见投标人须知表1.1条。</w:t>
      </w:r>
    </w:p>
    <w:p w14:paraId="282E2B5D">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1.2采购代理机构：是指集中采购机构或从事采购代理业务的社会中介机构，本项目的采购代理机构见投标人须知表1.2条。</w:t>
      </w:r>
    </w:p>
    <w:p w14:paraId="136B3916">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★1.3投标人：是指向采购人提供货物、工程或者服务的法人、非法人组织或者自然人。本项目的投标人及其投标服务须满足以下条件：</w:t>
      </w:r>
    </w:p>
    <w:p w14:paraId="644A1EF1">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1.3.1在中华人民共和国境内注册，能够独立承担民事责任，有生产或供应能力的本国供应商。</w:t>
      </w:r>
    </w:p>
    <w:p w14:paraId="4B2F29A0">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1.3.2符合《中华人民共和国政府采购法》第二十二条关于供应商条件的规定，遵守本项目采购人本级和上级财政部门关于政府采购的有关规定。</w:t>
      </w:r>
    </w:p>
    <w:p w14:paraId="3C41E789">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1.3.3以采购代理机构认可的方式获得了本项目的招标文件。</w:t>
      </w:r>
    </w:p>
    <w:p w14:paraId="77358696">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1.3.4符合投标人须知表1.3.4条中规定的资格条件。</w:t>
      </w:r>
    </w:p>
    <w:p w14:paraId="3C93B79A">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1.3.5若投标人须知表1.3.5条中写明专门面向中小企业采购的，如投标人为非中小企业且所投产品为非中小企业产品，其投标将被认定为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14:paraId="020A9D31">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1.3.6若投标人须知表1.3.6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14:paraId="08800739">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★1.4如投标人须知表1.4条中允许联合体投标，对联合体规定如下：</w:t>
      </w:r>
    </w:p>
    <w:p w14:paraId="5E6616B8">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1.4.1两个以上供应商可以组成一个投标联合体，以一个投标人的身份投标。</w:t>
      </w:r>
    </w:p>
    <w:p w14:paraId="27A803B1">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1.4.2联合体各方均应符合《中华人民共和国政府采购法》第二十二条规定的条件。</w:t>
      </w:r>
    </w:p>
    <w:p w14:paraId="6415ECC9">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1.4.3采购人根据采购项目对投标人的特殊要求，联合体中至少应当有一方符合相关规定。</w:t>
      </w:r>
    </w:p>
    <w:p w14:paraId="411A3F7D">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1.4.4联合体各方应签订共同投标协议，明确约定联合体各方承担的工作和相应的责任。</w:t>
      </w:r>
    </w:p>
    <w:p w14:paraId="7B21A173">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1.4.5大中型企业、其他自然人、法人或者非法人组织与小型、微型企业组成联合体共同参加投标，共同投标协议中应写明小型、微型企业的协议合同金额占到共同投标协议投标总金额的比例。</w:t>
      </w:r>
    </w:p>
    <w:p w14:paraId="2945FAA1">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1.4.6联合体中有同类资质的供应商按照联合体分工承担相同工作的，按照较低的资质等级确定联合体的资质等级。</w:t>
      </w:r>
    </w:p>
    <w:p w14:paraId="19DA7847">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1.4.7以联合体形式参加政府采购活动的，联合体各方不得再单独参加或者与其他供应商另外组成联合体参加本项目投标，否则相关投标将被认定为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14:paraId="3DE5A534">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（1）两个以上的自然人、法人或者其他组织可以组成一个联合体，以一个投标人的身份共同参加政府采购活动。</w:t>
      </w:r>
    </w:p>
    <w:p w14:paraId="3CD3CABA">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（2）联合体中标的，联合体各方应共同与采购人签订采购合同，就采购合同约定的事项对采购人承担连带责任。</w:t>
      </w:r>
    </w:p>
    <w:p w14:paraId="59A2FF90">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1.4.8对联合体投标的其他资格要求见投标人须知表1.4.8条。</w:t>
      </w:r>
    </w:p>
    <w:p w14:paraId="25EE1433">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★1.5单位负责人为同一人或者存在直接控股、管理关系的不同供应商，其相关投标将被认定为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14:paraId="77D59D90">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★1.6为本项目提供过整体设计、规范编制或者项目管理、监理、检测等服务的供应商，不得再参加本项目上述服务以外的其他采购活动，否则其投标将被认定为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14:paraId="2C8283AA">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★1.7投标人在投标过程中不得向采购人提供、给予任何有价值的物品，影响其正常决策行为。一经发现，其将被认定为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14:paraId="03451309">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2.资金来源</w:t>
      </w:r>
    </w:p>
    <w:p w14:paraId="53A237C3">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2.1本项目的采购人已获得足以支付本次招标后所签订的合同项下的资金（包括财政性资金和本项目采购中无法与财政性资金分割的非财政性资金）。</w:t>
      </w:r>
    </w:p>
    <w:p w14:paraId="45210FB1">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★2.2项目预算金额和分项或分包最高限价见投标人须知表2.2条。</w:t>
      </w:r>
    </w:p>
    <w:p w14:paraId="5369A939">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★2.3投标人报价超过招标文件规定的预算金额或者分项、分包最高限价的，其投标将被认定为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14:paraId="13D24BF6">
      <w:pPr>
        <w:adjustRightInd w:val="0"/>
        <w:snapToGrid w:val="0"/>
        <w:spacing w:line="360" w:lineRule="auto"/>
        <w:rPr>
          <w:rFonts w:ascii="仿宋_GB2312" w:hAnsi="仿宋_GB2312" w:eastAsia="仿宋_GB2312" w:cs="仿宋_GB2312"/>
          <w:b/>
          <w:bCs/>
          <w:szCs w:val="21"/>
        </w:rPr>
      </w:pPr>
      <w:bookmarkStart w:id="12" w:name="_Toc266951048"/>
      <w:r>
        <w:rPr>
          <w:rFonts w:hint="eastAsia" w:ascii="仿宋_GB2312" w:hAnsi="仿宋_GB2312" w:eastAsia="仿宋_GB2312" w:cs="仿宋_GB2312"/>
          <w:b/>
          <w:bCs/>
          <w:szCs w:val="21"/>
        </w:rPr>
        <w:t>3.语言文字</w:t>
      </w:r>
      <w:bookmarkEnd w:id="12"/>
    </w:p>
    <w:p w14:paraId="21CCA55D">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除专用术语外，与投标有关的语言均使用中文。必要时专用术语应附有中文注释。对不同文字文本投标文件的解释发生异议的，以中文文本为准。</w:t>
      </w:r>
    </w:p>
    <w:p w14:paraId="02DA0A3C">
      <w:pPr>
        <w:adjustRightInd w:val="0"/>
        <w:snapToGrid w:val="0"/>
        <w:spacing w:line="360" w:lineRule="auto"/>
        <w:rPr>
          <w:rFonts w:ascii="仿宋_GB2312" w:hAnsi="仿宋_GB2312" w:eastAsia="仿宋_GB2312" w:cs="仿宋_GB2312"/>
          <w:b/>
          <w:bCs/>
          <w:szCs w:val="21"/>
        </w:rPr>
      </w:pPr>
      <w:bookmarkStart w:id="13" w:name="_1.8_计量单位"/>
      <w:bookmarkEnd w:id="13"/>
      <w:bookmarkStart w:id="14" w:name="_Toc266951049"/>
      <w:r>
        <w:rPr>
          <w:rFonts w:hint="eastAsia" w:ascii="仿宋_GB2312" w:hAnsi="仿宋_GB2312" w:eastAsia="仿宋_GB2312" w:cs="仿宋_GB2312"/>
          <w:szCs w:val="21"/>
        </w:rPr>
        <w:t>★</w:t>
      </w:r>
      <w:r>
        <w:rPr>
          <w:rFonts w:hint="eastAsia" w:ascii="仿宋_GB2312" w:hAnsi="仿宋_GB2312" w:eastAsia="仿宋_GB2312" w:cs="仿宋_GB2312"/>
          <w:b/>
          <w:bCs/>
          <w:szCs w:val="21"/>
        </w:rPr>
        <w:t>4.计量单位</w:t>
      </w:r>
      <w:bookmarkEnd w:id="14"/>
    </w:p>
    <w:p w14:paraId="709AB6FC">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除投标人须知表4条中有特殊要求外，投标文件中所使用的计量单位，应采用中华人民共和国法定计量单位。</w:t>
      </w:r>
    </w:p>
    <w:p w14:paraId="19EF80C9">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5.投标费用</w:t>
      </w:r>
    </w:p>
    <w:p w14:paraId="4BFD50D6">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不论投标的结果如何，投标人应承担所有与投标有关的费用。</w:t>
      </w:r>
    </w:p>
    <w:p w14:paraId="157A8B68">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6.现场考察、开标前答疑会</w:t>
      </w:r>
    </w:p>
    <w:p w14:paraId="703C55E2">
      <w:pPr>
        <w:adjustRightInd w:val="0"/>
        <w:snapToGrid w:val="0"/>
        <w:spacing w:line="360" w:lineRule="auto"/>
        <w:rPr>
          <w:rFonts w:ascii="仿宋_GB2312" w:hAnsi="仿宋_GB2312" w:eastAsia="仿宋_GB2312" w:cs="仿宋_GB2312"/>
          <w:kern w:val="0"/>
          <w:szCs w:val="21"/>
        </w:rPr>
      </w:pPr>
      <w:bookmarkStart w:id="15" w:name="_1.10_投标预备会"/>
      <w:bookmarkEnd w:id="15"/>
      <w:r>
        <w:rPr>
          <w:rFonts w:hint="eastAsia" w:ascii="仿宋_GB2312" w:hAnsi="仿宋_GB2312" w:eastAsia="仿宋_GB2312" w:cs="仿宋_GB2312"/>
          <w:kern w:val="0"/>
          <w:szCs w:val="21"/>
        </w:rPr>
        <w:t>6.1</w:t>
      </w:r>
      <w:r>
        <w:fldChar w:fldCharType="begin"/>
      </w:r>
      <w:r>
        <w:instrText xml:space="preserve"> HYPERLINK \l "_踏勘现场" </w:instrText>
      </w:r>
      <w:r>
        <w:fldChar w:fldCharType="separate"/>
      </w:r>
      <w:r>
        <w:rPr>
          <w:rFonts w:hint="eastAsia" w:ascii="仿宋_GB2312" w:hAnsi="仿宋_GB2312" w:eastAsia="仿宋_GB2312" w:cs="仿宋_GB2312"/>
          <w:kern w:val="0"/>
          <w:szCs w:val="21"/>
        </w:rPr>
        <w:t>投标人须知表</w:t>
      </w:r>
      <w:r>
        <w:rPr>
          <w:rFonts w:hint="eastAsia" w:ascii="仿宋_GB2312" w:hAnsi="仿宋_GB2312" w:eastAsia="仿宋_GB2312" w:cs="仿宋_GB2312"/>
          <w:kern w:val="0"/>
          <w:szCs w:val="21"/>
        </w:rPr>
        <w:fldChar w:fldCharType="end"/>
      </w:r>
      <w:r>
        <w:rPr>
          <w:rFonts w:hint="eastAsia" w:ascii="仿宋_GB2312" w:hAnsi="仿宋_GB2312" w:eastAsia="仿宋_GB2312" w:cs="仿宋_GB2312"/>
          <w:kern w:val="0"/>
          <w:szCs w:val="21"/>
        </w:rPr>
        <w:t>6.1条规定组织现场考察或开标前答疑会的，采购人按规定的时间、地点组织投标人现场考察或开标前答疑会，或者在领取招标文件期限截止后以书面形式通知所有获取招标文件的潜在投标人。</w:t>
      </w:r>
    </w:p>
    <w:p w14:paraId="338088F1">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6.2</w:t>
      </w:r>
      <w:r>
        <w:rPr>
          <w:rFonts w:hint="eastAsia" w:ascii="仿宋_GB2312" w:hAnsi="仿宋_GB2312" w:eastAsia="仿宋_GB2312" w:cs="仿宋_GB2312"/>
          <w:kern w:val="0"/>
          <w:szCs w:val="21"/>
        </w:rPr>
        <w:t>由于未参加现场考察或标前答疑而导致对项目实际情况不了解，影响技术文件编制、</w:t>
      </w:r>
      <w:r>
        <w:fldChar w:fldCharType="begin"/>
      </w:r>
      <w: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fldChar w:fldCharType="separate"/>
      </w:r>
      <w:r>
        <w:rPr>
          <w:rFonts w:hint="eastAsia" w:ascii="仿宋_GB2312" w:hAnsi="仿宋_GB2312" w:eastAsia="仿宋_GB2312" w:cs="仿宋_GB2312"/>
          <w:kern w:val="0"/>
          <w:szCs w:val="21"/>
        </w:rPr>
        <w:t>投标报价</w:t>
      </w:r>
      <w:r>
        <w:rPr>
          <w:rFonts w:hint="eastAsia" w:ascii="仿宋_GB2312" w:hAnsi="仿宋_GB2312" w:eastAsia="仿宋_GB2312" w:cs="仿宋_GB2312"/>
          <w:kern w:val="0"/>
          <w:szCs w:val="21"/>
        </w:rPr>
        <w:fldChar w:fldCharType="end"/>
      </w:r>
      <w:r>
        <w:rPr>
          <w:rFonts w:hint="eastAsia" w:ascii="仿宋_GB2312" w:hAnsi="仿宋_GB2312" w:eastAsia="仿宋_GB2312" w:cs="仿宋_GB2312"/>
          <w:kern w:val="0"/>
          <w:szCs w:val="21"/>
        </w:rPr>
        <w:t>准确性、综合因素响应不全面等问题的，由投标人自行承担相应后果。</w:t>
      </w:r>
    </w:p>
    <w:p w14:paraId="66FA25BD">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6.3现场考察及参加标前答疑会所发生的费用及一切责任由投标人自行承担。</w:t>
      </w:r>
    </w:p>
    <w:p w14:paraId="6176667B">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7.适用法律</w:t>
      </w:r>
    </w:p>
    <w:p w14:paraId="5928872E">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14:paraId="14B5FEB3">
      <w:pPr>
        <w:pStyle w:val="5"/>
        <w:rPr>
          <w:rFonts w:ascii="仿宋_GB2312" w:hAnsi="仿宋_GB2312" w:eastAsia="仿宋_GB2312" w:cs="仿宋_GB2312"/>
          <w:sz w:val="32"/>
          <w:szCs w:val="28"/>
        </w:rPr>
      </w:pPr>
      <w:bookmarkStart w:id="16" w:name="_Toc10106_WPSOffice_Level2"/>
      <w:r>
        <w:rPr>
          <w:rFonts w:hint="eastAsia" w:ascii="仿宋_GB2312" w:hAnsi="仿宋_GB2312" w:eastAsia="仿宋_GB2312" w:cs="仿宋_GB2312"/>
          <w:sz w:val="32"/>
          <w:szCs w:val="28"/>
        </w:rPr>
        <w:t>三 招标文件</w:t>
      </w:r>
      <w:bookmarkEnd w:id="16"/>
    </w:p>
    <w:p w14:paraId="2064247B">
      <w:pPr>
        <w:tabs>
          <w:tab w:val="left" w:pos="312"/>
        </w:tabs>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8.招标文件构成</w:t>
      </w:r>
    </w:p>
    <w:p w14:paraId="5973A715">
      <w:pPr>
        <w:tabs>
          <w:tab w:val="left" w:pos="312"/>
        </w:tabs>
        <w:adjustRightInd w:val="0"/>
        <w:snapToGrid w:val="0"/>
        <w:spacing w:line="360" w:lineRule="auto"/>
        <w:rPr>
          <w:rFonts w:ascii="仿宋_GB2312" w:hAnsi="仿宋_GB2312" w:eastAsia="仿宋_GB2312" w:cs="仿宋_GB2312"/>
        </w:rPr>
      </w:pPr>
      <w:r>
        <w:rPr>
          <w:rFonts w:hint="eastAsia" w:ascii="仿宋_GB2312" w:hAnsi="仿宋_GB2312" w:eastAsia="仿宋_GB2312" w:cs="仿宋_GB2312"/>
          <w:szCs w:val="21"/>
        </w:rPr>
        <w:t>8.1招标</w:t>
      </w:r>
      <w:r>
        <w:rPr>
          <w:rFonts w:hint="eastAsia" w:ascii="仿宋_GB2312" w:hAnsi="仿宋_GB2312" w:eastAsia="仿宋_GB2312" w:cs="仿宋_GB2312"/>
        </w:rPr>
        <w:t>文件内容如下:</w:t>
      </w:r>
    </w:p>
    <w:p w14:paraId="41CD1EC3">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kern w:val="0"/>
          <w:szCs w:val="21"/>
        </w:rPr>
        <w:t>招标</w:t>
      </w:r>
      <w:r>
        <w:rPr>
          <w:rFonts w:hint="eastAsia" w:ascii="仿宋_GB2312" w:hAnsi="仿宋_GB2312" w:eastAsia="仿宋_GB2312" w:cs="仿宋_GB2312"/>
        </w:rPr>
        <w:t>公告</w:t>
      </w:r>
    </w:p>
    <w:p w14:paraId="5F14359D">
      <w:pPr>
        <w:numPr>
          <w:ilvl w:val="0"/>
          <w:numId w:val="3"/>
        </w:numPr>
        <w:adjustRightInd w:val="0"/>
        <w:snapToGrid w:val="0"/>
        <w:spacing w:line="360" w:lineRule="auto"/>
        <w:ind w:firstLine="420" w:firstLineChars="200"/>
        <w:rPr>
          <w:rFonts w:ascii="仿宋_GB2312" w:hAnsi="仿宋_GB2312" w:eastAsia="仿宋_GB2312" w:cs="仿宋_GB2312"/>
        </w:rPr>
      </w:pPr>
      <w:bookmarkStart w:id="17" w:name="_Toc24604_WPSOffice_Level2"/>
      <w:bookmarkStart w:id="18" w:name="_Toc188_WPSOffice_Level2"/>
      <w:bookmarkStart w:id="19" w:name="_Toc4961_WPSOffice_Level2"/>
      <w:bookmarkStart w:id="20" w:name="_Toc25935_WPSOffice_Level2"/>
      <w:r>
        <w:rPr>
          <w:rFonts w:hint="eastAsia" w:ascii="仿宋_GB2312" w:hAnsi="仿宋_GB2312" w:eastAsia="仿宋_GB2312" w:cs="仿宋_GB2312"/>
        </w:rPr>
        <w:t>投标人须知</w:t>
      </w:r>
      <w:bookmarkEnd w:id="17"/>
      <w:bookmarkEnd w:id="18"/>
      <w:bookmarkEnd w:id="19"/>
      <w:bookmarkEnd w:id="20"/>
    </w:p>
    <w:p w14:paraId="70F18FC5">
      <w:pPr>
        <w:adjustRightInd w:val="0"/>
        <w:snapToGrid w:val="0"/>
        <w:spacing w:line="360" w:lineRule="auto"/>
        <w:ind w:firstLine="420" w:firstLineChars="200"/>
        <w:rPr>
          <w:rFonts w:ascii="仿宋_GB2312" w:hAnsi="仿宋_GB2312" w:eastAsia="仿宋_GB2312" w:cs="仿宋_GB2312"/>
        </w:rPr>
      </w:pPr>
      <w:bookmarkStart w:id="21" w:name="_Toc2443_WPSOffice_Level2"/>
      <w:bookmarkStart w:id="22" w:name="_Toc13276_WPSOffice_Level2"/>
      <w:bookmarkStart w:id="23" w:name="_Toc32235_WPSOffice_Level2"/>
      <w:bookmarkStart w:id="24" w:name="_Toc31424_WPSOffice_Level2"/>
      <w:r>
        <w:rPr>
          <w:rFonts w:hint="eastAsia" w:ascii="仿宋_GB2312" w:hAnsi="仿宋_GB2312" w:eastAsia="仿宋_GB2312" w:cs="仿宋_GB2312"/>
        </w:rPr>
        <w:t>第二章 投标文件内容及格式</w:t>
      </w:r>
      <w:bookmarkEnd w:id="21"/>
      <w:bookmarkEnd w:id="22"/>
      <w:bookmarkEnd w:id="23"/>
      <w:bookmarkEnd w:id="24"/>
    </w:p>
    <w:p w14:paraId="6DC19A05">
      <w:pPr>
        <w:adjustRightInd w:val="0"/>
        <w:snapToGrid w:val="0"/>
        <w:spacing w:line="360" w:lineRule="auto"/>
        <w:ind w:firstLine="420" w:firstLineChars="200"/>
        <w:rPr>
          <w:rFonts w:ascii="仿宋_GB2312" w:hAnsi="仿宋_GB2312" w:eastAsia="仿宋_GB2312" w:cs="仿宋_GB2312"/>
        </w:rPr>
      </w:pPr>
      <w:bookmarkStart w:id="25" w:name="_Toc7005_WPSOffice_Level2"/>
      <w:bookmarkStart w:id="26" w:name="_Toc16269_WPSOffice_Level2"/>
      <w:bookmarkStart w:id="27" w:name="_Toc4416_WPSOffice_Level2"/>
      <w:bookmarkStart w:id="28" w:name="_Toc24836_WPSOffice_Level2"/>
      <w:r>
        <w:rPr>
          <w:rFonts w:hint="eastAsia" w:ascii="仿宋_GB2312" w:hAnsi="仿宋_GB2312" w:eastAsia="仿宋_GB2312" w:cs="仿宋_GB2312"/>
        </w:rPr>
        <w:t>第三章 服务需求</w:t>
      </w:r>
      <w:bookmarkEnd w:id="25"/>
      <w:bookmarkEnd w:id="26"/>
      <w:bookmarkEnd w:id="27"/>
      <w:bookmarkEnd w:id="28"/>
    </w:p>
    <w:p w14:paraId="7CAB8509">
      <w:pPr>
        <w:adjustRightInd w:val="0"/>
        <w:snapToGrid w:val="0"/>
        <w:spacing w:line="360" w:lineRule="auto"/>
        <w:ind w:firstLine="420" w:firstLineChars="200"/>
        <w:rPr>
          <w:rFonts w:ascii="仿宋_GB2312" w:hAnsi="仿宋_GB2312" w:eastAsia="仿宋_GB2312" w:cs="仿宋_GB2312"/>
        </w:rPr>
      </w:pPr>
      <w:bookmarkStart w:id="29" w:name="_Toc23459_WPSOffice_Level2"/>
      <w:bookmarkStart w:id="30" w:name="_Toc16294_WPSOffice_Level2"/>
      <w:bookmarkStart w:id="31" w:name="_Toc25382_WPSOffice_Level2"/>
      <w:bookmarkStart w:id="32" w:name="_Toc16119_WPSOffice_Level2"/>
      <w:r>
        <w:rPr>
          <w:rFonts w:hint="eastAsia" w:ascii="仿宋_GB2312" w:hAnsi="仿宋_GB2312" w:eastAsia="仿宋_GB2312" w:cs="仿宋_GB2312"/>
        </w:rPr>
        <w:t>第四章 评标方法</w:t>
      </w:r>
      <w:bookmarkEnd w:id="29"/>
      <w:bookmarkEnd w:id="30"/>
      <w:bookmarkEnd w:id="31"/>
      <w:bookmarkEnd w:id="32"/>
    </w:p>
    <w:p w14:paraId="63FFD2EB">
      <w:pPr>
        <w:adjustRightInd w:val="0"/>
        <w:snapToGrid w:val="0"/>
        <w:spacing w:line="360" w:lineRule="auto"/>
        <w:ind w:firstLine="420" w:firstLineChars="200"/>
        <w:rPr>
          <w:rFonts w:ascii="仿宋_GB2312" w:hAnsi="仿宋_GB2312" w:eastAsia="仿宋_GB2312" w:cs="仿宋_GB2312"/>
        </w:rPr>
      </w:pPr>
      <w:bookmarkStart w:id="33" w:name="_Toc9629_WPSOffice_Level2"/>
      <w:bookmarkStart w:id="34" w:name="_Toc28106_WPSOffice_Level2"/>
      <w:bookmarkStart w:id="35" w:name="_Toc16368_WPSOffice_Level2"/>
      <w:bookmarkStart w:id="36" w:name="_Toc17794_WPSOffice_Level2"/>
      <w:r>
        <w:rPr>
          <w:rFonts w:hint="eastAsia" w:ascii="仿宋_GB2312" w:hAnsi="仿宋_GB2312" w:eastAsia="仿宋_GB2312" w:cs="仿宋_GB2312"/>
        </w:rPr>
        <w:t>第五章 政府采购合同条款及格式</w:t>
      </w:r>
      <w:bookmarkEnd w:id="33"/>
      <w:bookmarkEnd w:id="34"/>
      <w:bookmarkEnd w:id="35"/>
      <w:bookmarkEnd w:id="36"/>
    </w:p>
    <w:p w14:paraId="72F5C6CA">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★8.2投标人应认真阅读招标文件所有的事项、格式、条款等。如投标人没有按照招标文件要求提交资料，或者投标文件没有对招标文件做出实质性响应，可能导致其投标被认定为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14:paraId="5B4FDFF9">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9.招标文件的澄清与修改</w:t>
      </w:r>
    </w:p>
    <w:p w14:paraId="7271EBB6">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14:paraId="2A0D7B37">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9.2澄清或者修改的内容为招标文件的组成部分，对所有招标文件的收受人具有约束力。投标人在收到上述通知后，应及时向采购代理机构回函确认。</w:t>
      </w:r>
    </w:p>
    <w:p w14:paraId="44CD2E83">
      <w:pPr>
        <w:pStyle w:val="5"/>
        <w:rPr>
          <w:rFonts w:ascii="仿宋_GB2312" w:hAnsi="仿宋_GB2312" w:eastAsia="仿宋_GB2312" w:cs="仿宋_GB2312"/>
          <w:sz w:val="32"/>
          <w:szCs w:val="28"/>
        </w:rPr>
      </w:pPr>
      <w:bookmarkStart w:id="37" w:name="_Toc7415_WPSOffice_Level2"/>
      <w:r>
        <w:rPr>
          <w:rFonts w:hint="eastAsia" w:ascii="仿宋_GB2312" w:hAnsi="仿宋_GB2312" w:eastAsia="仿宋_GB2312" w:cs="仿宋_GB2312"/>
          <w:sz w:val="32"/>
          <w:szCs w:val="28"/>
        </w:rPr>
        <w:t>四 投标文件的编制</w:t>
      </w:r>
      <w:bookmarkEnd w:id="37"/>
    </w:p>
    <w:p w14:paraId="7EA00DFC">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10.投标范围</w:t>
      </w:r>
    </w:p>
    <w:p w14:paraId="6B3E5378">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10.1项目有分包的，投标人可对招标文件其中某一个分包或几个分包进行投标。</w:t>
      </w:r>
    </w:p>
    <w:p w14:paraId="0F67D1EC">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★10.2投标人应当对所投分包在招标文件“服务需求”中所列的所有服务内容进行投标，如仅响应分包中某一部分内容，其该包投标将被认定为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14:paraId="43852393">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10.3无论招标文件第三章 服务需求中是否要求，投标人所投的服务均应符合国家强制性标准。</w:t>
      </w:r>
    </w:p>
    <w:p w14:paraId="72272018">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11.投标文件构成</w:t>
      </w:r>
    </w:p>
    <w:p w14:paraId="0AB6EEAD">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★11.1投标人应完整地按招标文件提供的投标文件格式及要求编写投标文件。投标文件应包括资格证明文件、符合性证明文件、其它材料三部分。具体见第二章 投标文件内容及格式。</w:t>
      </w:r>
    </w:p>
    <w:p w14:paraId="387BDFEC">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★11.2投标人应按招标文件提供的格式编写投标文件。招标文件提供标准格式的按标准格式填列，未提供标准格式的可自行拟定。</w:t>
      </w:r>
    </w:p>
    <w:p w14:paraId="56B1CE0F">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11.3样品或演示要求详见投标人须知表11.3条。</w:t>
      </w:r>
    </w:p>
    <w:p w14:paraId="525F0178">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12.投标报价</w:t>
      </w:r>
    </w:p>
    <w:p w14:paraId="30469623">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12.1所有投标均按投标人须知表12.1条中要求货币进行报价。投标人的投标报价应遵守《中华人民共和国价格法》。同时，根据《中华人民共和国政府采购法》第三条的规定，为保证公平竞争，如有服务主体部分的赠与行为，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14:paraId="28373AB2">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12.2投标人应按招标文件要求在相关表格中标明投标服务及伴随货物的单价和总价，并由法定代表人（非法人组织的负责人）或其委托代理人签署。</w:t>
      </w:r>
    </w:p>
    <w:p w14:paraId="0B0204FF">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12.3投标人所报的各分项投标单价在合同履行过程中是固定不变的，不得以任何理由予以变更。任何包含价格调整要求的投标，其投标将被认定为</w:t>
      </w:r>
      <w:r>
        <w:rPr>
          <w:rFonts w:hint="eastAsia" w:ascii="仿宋_GB2312" w:hAnsi="仿宋_GB2312" w:eastAsia="仿宋_GB2312" w:cs="仿宋_GB2312"/>
          <w:b/>
          <w:bCs/>
          <w:szCs w:val="21"/>
        </w:rPr>
        <w:t>投标无效。</w:t>
      </w:r>
    </w:p>
    <w:p w14:paraId="36BB9267">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12.4每种服务只能有一个投标报价。采购人不接受具有附加条件的报价。</w:t>
      </w:r>
    </w:p>
    <w:p w14:paraId="3F77E4E2">
      <w:pPr>
        <w:adjustRightInd w:val="0"/>
        <w:snapToGrid w:val="0"/>
        <w:spacing w:line="360" w:lineRule="auto"/>
        <w:rPr>
          <w:rFonts w:ascii="仿宋_GB2312" w:hAnsi="仿宋_GB2312" w:eastAsia="仿宋_GB2312" w:cs="仿宋_GB2312"/>
          <w:szCs w:val="21"/>
        </w:rPr>
      </w:pPr>
      <w:bookmarkStart w:id="38" w:name="_Toc22507_WPSOffice_Level2"/>
      <w:bookmarkStart w:id="39" w:name="_Toc31973_WPSOffice_Level2"/>
      <w:r>
        <w:rPr>
          <w:rFonts w:hint="eastAsia" w:ascii="仿宋_GB2312" w:hAnsi="仿宋_GB2312" w:eastAsia="仿宋_GB2312" w:cs="仿宋_GB2312"/>
          <w:szCs w:val="21"/>
        </w:rPr>
        <w:t>12.5除非招标文件另有规定，报价原则上精确到小数点后两位。</w:t>
      </w:r>
      <w:bookmarkEnd w:id="38"/>
      <w:bookmarkEnd w:id="39"/>
    </w:p>
    <w:p w14:paraId="68942AFC">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★13.投标保证金</w:t>
      </w:r>
    </w:p>
    <w:p w14:paraId="25B653DD">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13.1投标人应提交投标人须知表13.1条中规定的投标保证金，并作为其投标的一部分。</w:t>
      </w:r>
    </w:p>
    <w:p w14:paraId="7711D8B1">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13.2投标保证金缴纳人、招标文件领取人、投标登记人和投标人必须为同一组织机构或联合体内不同成员单位，否则将视同未按招标文件规定交纳投标保证金。</w:t>
      </w:r>
    </w:p>
    <w:p w14:paraId="375748D3">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13.3投标人存在下列情形的，投标保证金不予退还:</w:t>
      </w:r>
    </w:p>
    <w:p w14:paraId="7955E3B5">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（1）在投标有效期内，投标人撤销投标的;</w:t>
      </w:r>
    </w:p>
    <w:p w14:paraId="56ED1A5A">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（2）中标后不按本须知第34条的规定与采购人签订合同的;</w:t>
      </w:r>
    </w:p>
    <w:p w14:paraId="6697C35C">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（3）中标后不按本须知第35条的规定提交履约保证金的;</w:t>
      </w:r>
    </w:p>
    <w:p w14:paraId="7A02C49E">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（4）中标后不按本须知第36条的规定缴纳采购代理服务费的;</w:t>
      </w:r>
    </w:p>
    <w:p w14:paraId="6813F4DF">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（5）存在其他违法违规行为的。</w:t>
      </w:r>
    </w:p>
    <w:p w14:paraId="6F4105C1">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13.4联合体投标的，可以由联合体中的一方或者共同提交投标保证金。以一方名义提交投标保证金的，对联合体各方均具有约束力。</w:t>
      </w:r>
    </w:p>
    <w:p w14:paraId="0D80B8A4">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13.5投标保证金的退还</w:t>
      </w:r>
    </w:p>
    <w:p w14:paraId="3CBDB4A0">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13.5.1中标人应在与采购人签订合同之日起5个工作日内，及时联系保证金收受机构办理投标保证金退还手续。</w:t>
      </w:r>
    </w:p>
    <w:p w14:paraId="12F041B3">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13.5.2未中标投标人的投标保证金将在中标通知书发出之日暨中标结果公告公布之日起5个工作日内无息退还。投标人应及时联系保证金收受机构办理退还投标保证金手续。</w:t>
      </w:r>
    </w:p>
    <w:p w14:paraId="2A2B4CD0">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13.5.3投标人在投标截止时间前撤回已提交的投标文件的，投标人应自采购人或者采购代理机构收到投标人书面撤回通知之日起５个工作日内，及时联系保证金收受机构办理投标保证金退还手续。</w:t>
      </w:r>
    </w:p>
    <w:p w14:paraId="4F93ABD5">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13.5.4政府采购投标担保函不予退回。</w:t>
      </w:r>
    </w:p>
    <w:p w14:paraId="645EF3F8">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13.6因投标人自身原因导致无法及时退还的，采购人或采购代理机构将不承担相应责任。</w:t>
      </w:r>
    </w:p>
    <w:p w14:paraId="1E72B431">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14.证明投标标的的合格性和符合招标文件规定的技术文件</w:t>
      </w:r>
    </w:p>
    <w:p w14:paraId="629D65EB">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14.1投标人应提交证明文件，证明其投标内容符合招标文件规定。该证明文件是投标文件的一部分。</w:t>
      </w:r>
    </w:p>
    <w:p w14:paraId="1E21D5B7">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14.2上条所述的证明文件，可以是文字资料、图纸和数据。</w:t>
      </w:r>
    </w:p>
    <w:p w14:paraId="227EB79A">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15.投标有效期</w:t>
      </w:r>
    </w:p>
    <w:p w14:paraId="09B78BAE">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15.1投标应在投标人须知表15.1条中规定的投标有效期内保持有效。投标有效期不满足要求的投标，其投标将被认定为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14:paraId="322D9FE5">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14:paraId="5BD0304F">
      <w:pPr>
        <w:numPr>
          <w:ilvl w:val="0"/>
          <w:numId w:val="4"/>
        </w:num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投标文件的签署及规定</w:t>
      </w:r>
      <w:bookmarkStart w:id="40" w:name="_Toc27725_WPSOffice_Level2"/>
    </w:p>
    <w:p w14:paraId="433BA020">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16.1、本项目实行电子招投标响应，供应商须登录政采云平台申请获取采购文件，并需要使用CA锁，登录政采云电子投标客户端制作响应文件，若供应商参与投标,自行承担与投标有关的一切费用。</w:t>
      </w:r>
    </w:p>
    <w:p w14:paraId="05421203">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16.2、各供应商应在开标前确保是新疆维吾尔自治区政府采购网正式注册入库的供应商，并完成CA数字证书申领。因未注册入库、未办理CA数字证书等原因造成无法投标或投标失败等后果的由供应商自行承担。</w:t>
      </w:r>
    </w:p>
    <w:p w14:paraId="0B85D39E">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16.3、供应商可前往新疆政府采购网（http://www.zcygov.cn/）下载专区，下载政采云电子投标客户端，安装完成后，可通过账号密码或CA登录客户端进行响应文件制作。在使用政采云电子投标客户端时，建议使用WIN7及以上操作系统。若对项目采购电子交易系统操作有疑问，可登录“政采云”平台（https://login.zcygov.cn/），点击右侧咨询小采，获取采小蜜智能服务管家帮助，或拨打政采云服务热线400-881-7190获取热线服务帮助。</w:t>
      </w:r>
    </w:p>
    <w:p w14:paraId="7F7A94EE">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16.4、供应商在开标时须携带制作加密电子响应文件所使用的CA锁，电脑须提前配置好浏览器（建议使用360浏览器或谷歌浏览器），以便开标时在线解密。</w:t>
      </w:r>
    </w:p>
    <w:p w14:paraId="544FF91C">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16.5、投标供应商应当在投标截止时间前，将生成的“电子加密响应文件”上传递交至“政采云”平台，投标截止时间以后上传递交的响应文件将被“政采云”平台拒收。</w:t>
      </w:r>
    </w:p>
    <w:p w14:paraId="5C2B3B34">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16.6、其他内容详见采购文件。</w:t>
      </w:r>
    </w:p>
    <w:p w14:paraId="32A38AB2">
      <w:pPr>
        <w:pStyle w:val="5"/>
        <w:adjustRightInd w:val="0"/>
        <w:snapToGrid w:val="0"/>
        <w:spacing w:before="312" w:beforeLines="100" w:after="0" w:line="360" w:lineRule="auto"/>
        <w:rPr>
          <w:rFonts w:ascii="仿宋_GB2312" w:hAnsi="仿宋_GB2312" w:eastAsia="仿宋_GB2312" w:cs="仿宋_GB2312"/>
          <w:b w:val="0"/>
          <w:sz w:val="21"/>
          <w:szCs w:val="21"/>
        </w:rPr>
      </w:pPr>
      <w:r>
        <w:rPr>
          <w:rFonts w:hint="eastAsia" w:ascii="仿宋_GB2312" w:hAnsi="仿宋_GB2312" w:eastAsia="仿宋_GB2312" w:cs="仿宋_GB2312"/>
        </w:rPr>
        <w:t>五 响应文件的递交</w:t>
      </w:r>
    </w:p>
    <w:bookmarkEnd w:id="40"/>
    <w:p w14:paraId="35A85B89">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★17.递交响应文件截止</w:t>
      </w:r>
    </w:p>
    <w:p w14:paraId="4833723E">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17.1、本项目为全流程电子开评标项目，供应商须在响应文件递交截止时间前制作并提交：</w:t>
      </w:r>
    </w:p>
    <w:p w14:paraId="5280C823">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加密的响应文件（jmbs格式），并在文件领取开始时间至响应文件递交截止时间前通过“政采云平台”上传；上传时必须得到电脑“上传成功”的确认。请供应商在上传时认真检查上传响应文件是否完整、正确。</w:t>
      </w:r>
    </w:p>
    <w:p w14:paraId="2964A290">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17.2文件格式所要求包含的全部资料应全部制作在响应文件内，严格按照本项目文件所有格式如实填写（不涉及的内容除外），不应存在漏项或缺项，否则将存在响应文件被拒绝的风险。</w:t>
      </w:r>
    </w:p>
    <w:p w14:paraId="3C33A360">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17.3响应文件以外的任何资料采购人将拒收。</w:t>
      </w:r>
    </w:p>
    <w:p w14:paraId="720795D6">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17.4供应商编辑电子响应文件时，根据文件要求用法人CA秘钥和企业CA秘钥进行签章制作；最后一步生成电子征集响应文件（jmbs格式）时，只能用本单位的企业CA秘钥加密。</w:t>
      </w:r>
    </w:p>
    <w:p w14:paraId="7CA37D7E">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17.5响应文件封面或扉页必须加盖供应商单位公章及法定代表人签字。供应商必须按照文件的规定和要求在指定位置签字或盖章。签字位置必须为法定代表人或委托代理人亲笔签名，使用CA锁电子签名或者亲笔签字后整页扫描上传，否则按无效投标处理。</w:t>
      </w:r>
    </w:p>
    <w:p w14:paraId="0963BF6C">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18. 投标文件的接收、修改与撤回</w:t>
      </w:r>
    </w:p>
    <w:p w14:paraId="178B82C3">
      <w:pPr>
        <w:adjustRightInd w:val="0"/>
        <w:snapToGrid w:val="0"/>
        <w:spacing w:line="360" w:lineRule="auto"/>
        <w:rPr>
          <w:rFonts w:ascii="仿宋_GB2312" w:hAnsi="仿宋_GB2312" w:eastAsia="仿宋_GB2312" w:cs="仿宋_GB2312"/>
          <w:szCs w:val="21"/>
        </w:rPr>
      </w:pPr>
      <w:bookmarkStart w:id="41" w:name="_Toc988_WPSOffice_Level2"/>
      <w:bookmarkStart w:id="42" w:name="_Toc4544_WPSOffice_Level2"/>
      <w:r>
        <w:rPr>
          <w:rFonts w:hint="eastAsia" w:ascii="仿宋_GB2312" w:hAnsi="仿宋_GB2312" w:eastAsia="仿宋_GB2312" w:cs="仿宋_GB2312"/>
          <w:szCs w:val="21"/>
        </w:rPr>
        <w:t>18.1 供应商在响应文件规定的递交截止时间前，将响应文件按供应商须知第16条规定解密递交。未按文件要求将加密递交的响应文件将被拒绝。</w:t>
      </w:r>
    </w:p>
    <w:p w14:paraId="555665AC">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18.2不接受邮寄的征集响应文件。</w:t>
      </w:r>
    </w:p>
    <w:p w14:paraId="4ED2BCE6">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18.3供应商在递交了征集响应文件后，可以修改或撤回其征集响应文件，但必须在规定的递交截止时间前，以书面形式通知采购代理机构。</w:t>
      </w:r>
    </w:p>
    <w:p w14:paraId="6579C7E5">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18.4在递交截止时间之后，供应商不得对其递交的征集响应文件作任何修改或撤回。</w:t>
      </w:r>
    </w:p>
    <w:p w14:paraId="2E83150E">
      <w:pPr>
        <w:adjustRightInd w:val="0"/>
        <w:snapToGrid w:val="0"/>
        <w:spacing w:line="360" w:lineRule="auto"/>
        <w:jc w:val="center"/>
        <w:rPr>
          <w:rFonts w:ascii="仿宋_GB2312" w:hAnsi="仿宋_GB2312" w:eastAsia="仿宋_GB2312" w:cs="仿宋_GB2312"/>
          <w:sz w:val="32"/>
          <w:szCs w:val="28"/>
        </w:rPr>
      </w:pPr>
      <w:r>
        <w:rPr>
          <w:rFonts w:hint="eastAsia" w:ascii="仿宋_GB2312" w:hAnsi="仿宋_GB2312" w:eastAsia="仿宋_GB2312" w:cs="仿宋_GB2312"/>
          <w:sz w:val="32"/>
          <w:szCs w:val="28"/>
        </w:rPr>
        <w:t>六 开标及评标</w:t>
      </w:r>
      <w:bookmarkEnd w:id="41"/>
    </w:p>
    <w:p w14:paraId="3000903C">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20.开标</w:t>
      </w:r>
    </w:p>
    <w:p w14:paraId="5615B6F8">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20.1开标</w:t>
      </w:r>
    </w:p>
    <w:p w14:paraId="4E6565B3">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20.1.1代理单位按照文件规定的时间，地点组织开标。响应文件递交截止时间前一小时内，各投标供应商的法定代表人或委托代理人均提前进入网上开标大厅，选择进入对应标段的开标会议区在线签到。</w:t>
      </w:r>
    </w:p>
    <w:p w14:paraId="56E40C8E">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20.1.2有重大偏离的响应文件将被拒绝。</w:t>
      </w:r>
    </w:p>
    <w:p w14:paraId="71BCC730">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20.1.3 开标程序</w:t>
      </w:r>
    </w:p>
    <w:p w14:paraId="73FFBFE2">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主持人按下列程序进行开标：</w:t>
      </w:r>
    </w:p>
    <w:p w14:paraId="6325C2D4">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1）主持人登录网上开标大厅，进入不见面开标系统，选择本项目进行网上开标。</w:t>
      </w:r>
    </w:p>
    <w:p w14:paraId="4A624E35">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2）各供应商的授权委托人或法定代表人需在响应文件递交截止时间前一小时内进入网上开标大厅。响应文件递交截止时间截止后，根据主持人的要求在规定的时间内进行征集响应文件的解密。</w:t>
      </w:r>
    </w:p>
    <w:p w14:paraId="7311E71C">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3）主持人在供应商全部解密响应文件成功后，导入全部投标响应文件，根据投标报价进行唱标环节。</w:t>
      </w:r>
    </w:p>
    <w:p w14:paraId="64DAF004">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4）唱标环节结束后，供应商确认有无异议，若供应商有异议，可一一作出答复，所有供应商确认无异议后开标结束。</w:t>
      </w:r>
    </w:p>
    <w:p w14:paraId="289E7038">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5）开标结束，采购代理机构对开标过程进行记录，并存档备查。转入评标阶段。</w:t>
      </w:r>
    </w:p>
    <w:p w14:paraId="6B471F02">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6）招标代理人对开标过程进行记录，并存档备查；</w:t>
      </w:r>
    </w:p>
    <w:p w14:paraId="39EC5F13">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21评标</w:t>
      </w:r>
    </w:p>
    <w:p w14:paraId="4A3FAE8E">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详见文件第四部分 评标办法</w:t>
      </w:r>
    </w:p>
    <w:p w14:paraId="202BB76B">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22响应文件的澄清</w:t>
      </w:r>
    </w:p>
    <w:p w14:paraId="2B86A7AB">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22.3.1评标委员会有权请供应商就响应文件中的有关问题予以书面说明和澄清。</w:t>
      </w:r>
    </w:p>
    <w:p w14:paraId="5D3AC374">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22.3.2 供应商对要求说明和澄清的问题应以书面形式明确答复，并应有法定代表人或其授权代表的签字。</w:t>
      </w:r>
    </w:p>
    <w:p w14:paraId="5CAF90EF">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22.3.3 供应商的澄清文件是响应文件的组成部分，并替代响应文件中被澄清的部分。</w:t>
      </w:r>
    </w:p>
    <w:p w14:paraId="08614FC7">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22.3.4 响应文件的澄清不得超出响应文件的范围或者改变投标的实质内容。</w:t>
      </w:r>
    </w:p>
    <w:p w14:paraId="6B047365">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23.废标条件</w:t>
      </w:r>
    </w:p>
    <w:p w14:paraId="4DB90A4F">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23.1未按照文件的规定提交投标保证金的；</w:t>
      </w:r>
    </w:p>
    <w:p w14:paraId="27955B14">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23.2响应文件未按征集文件要求签字、盖章的；</w:t>
      </w:r>
    </w:p>
    <w:p w14:paraId="6D23B962">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23.3不具备文件中规定的资格要求的；</w:t>
      </w:r>
    </w:p>
    <w:p w14:paraId="29D1C729">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23.4报价超过文件中规定的最高限价的；</w:t>
      </w:r>
    </w:p>
    <w:p w14:paraId="7017057B">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23.5投标截止时间以后送达；</w:t>
      </w:r>
    </w:p>
    <w:p w14:paraId="3EFC9244">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23.6无法人身份证明书的或无法定代表人出具的授权委托书的；</w:t>
      </w:r>
    </w:p>
    <w:p w14:paraId="039BEDDD">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23.7响应文件的内容不全、扫描件不清晰或者关键内容字迹模糊、无法辨认的；</w:t>
      </w:r>
    </w:p>
    <w:p w14:paraId="381BE7B5">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23.8供应商递交两份或多份内容不同的响应文件，或在一份响应文件中对同一招标货物报有两个或多个报价的；</w:t>
      </w:r>
    </w:p>
    <w:p w14:paraId="63E7A2D3">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23.9响应文件含有采购人不能接受的附加条件的；</w:t>
      </w:r>
    </w:p>
    <w:p w14:paraId="6AA783E1">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23.10供应商以他人名义投标、响应文件雷同或者以弄虚作假等方式投标的；</w:t>
      </w:r>
    </w:p>
    <w:p w14:paraId="49AAD83B">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23.11出现其他不符合法律法规和不满足文件实质性要求的其他情形；</w:t>
      </w:r>
    </w:p>
    <w:p w14:paraId="60807ECC">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23.12未按照文件格式制作响应文件的；</w:t>
      </w:r>
    </w:p>
    <w:p w14:paraId="0686F56B">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23.13响应文件中所附证件或证明材料无效不能实质性响应征集文件的；</w:t>
      </w:r>
    </w:p>
    <w:p w14:paraId="723A0480">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23.4如采购人所采购产品为政府强制采购产品，供应商所投产品不属于品目清单范围内或未在认证证书有效期内的。</w:t>
      </w:r>
    </w:p>
    <w:p w14:paraId="3832415D">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 xml:space="preserve">23.15文件中明确规定可以废标的其他情形；                     </w:t>
      </w:r>
    </w:p>
    <w:p w14:paraId="3CB8D2A8">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23.16违反法律、法规及有关规定的其他行为。</w:t>
      </w:r>
    </w:p>
    <w:p w14:paraId="10978A65">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24有下列情形之一的，视为供应商串通投标，其投标无效</w:t>
      </w:r>
    </w:p>
    <w:p w14:paraId="6D2B6B4E">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24.1不同供应商的响应文件由同一单位或者个人编制</w:t>
      </w:r>
    </w:p>
    <w:p w14:paraId="4F57C6FB">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24.2不同供应商委托同一单位或者个人办理投标事宜</w:t>
      </w:r>
    </w:p>
    <w:p w14:paraId="24E06B70">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24.3不同供应商的响应文件载明的项目管理成员或者联系人员为同一人</w:t>
      </w:r>
    </w:p>
    <w:p w14:paraId="6E843AA0">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24.4不同供应商的响应文件异常一致或者投标报价呈规律性差异</w:t>
      </w:r>
    </w:p>
    <w:p w14:paraId="002A31B6">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24.5不同供应商的响应文件互相混装</w:t>
      </w:r>
    </w:p>
    <w:p w14:paraId="167941B8">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24.6不同供应商的投标保证金从同一单位或者个人的账户转出。</w:t>
      </w:r>
    </w:p>
    <w:p w14:paraId="7DFB687D">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25其它</w:t>
      </w:r>
    </w:p>
    <w:p w14:paraId="25F7C631">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25.1评标委员会有权选择和拒绝供应商中标。评标委员会无义务向供应商进行任何有关评标的解释。</w:t>
      </w:r>
    </w:p>
    <w:p w14:paraId="7472DA09">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25.2供应商在评标过程中，所进行的力图影响评标结果的不符合招标规定的活动，可能导致其被取消中标资格。</w:t>
      </w:r>
    </w:p>
    <w:p w14:paraId="043EC6D3">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26.比较与评价</w:t>
      </w:r>
    </w:p>
    <w:p w14:paraId="0475265B">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26.1经符合性审查合格的投标文件，评标委员会将根据招标文件确定的评标方法和标准，对其技术部分和商务部分作进一步的比较和评价。</w:t>
      </w:r>
    </w:p>
    <w:p w14:paraId="41BC8F34">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26.2评标严格按照招标文件的要求和条件进行。根据实际情况，在投标人须知表27.2条中规定采用下列一种评标方法，详细评标标准见第四章 评标方法：</w:t>
      </w:r>
    </w:p>
    <w:p w14:paraId="27220769">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（1）最低评标价法，是指投标文件满足招标文件全部实质性要求，且投标报价最低的投标人为中标候选人的评标方法。</w:t>
      </w:r>
    </w:p>
    <w:p w14:paraId="4D3345F4">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（2）综合评分法，是指投标文件满足招标文件全部实质性要求，且按照评审因素的量化指标评审得分最高的投标人为中标候选人的评标方法。</w:t>
      </w:r>
    </w:p>
    <w:p w14:paraId="66A4C6B3">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26.3 根据《财政部 工业和信息化部关于印发&lt;政府采购促进中小企业发展管理办法&gt;的通知》（财库[2020]46号）、《财政部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或省级以上监狱管理局、戒毒管理局（含新疆生产建设兵团）出具的属于监狱企业的证明文件的投标人， 其投标报价扣除 10-20%后参与评审。具体详见第四章 评标方法。</w:t>
      </w:r>
    </w:p>
    <w:p w14:paraId="572988C8">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26.4 依据财政部、发展改革委、生态环境部等部门发布的品目清单和国家确定的认证机构出具的、处于有效期之内的节能产品、环境标志产品认证证书实施政府优先采购。具体优先采购办法详见第四章 评标方法。</w:t>
      </w:r>
    </w:p>
    <w:p w14:paraId="18091221">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26.5依据财政部 国务院扶贫办《关于运用政府采购政策支持脱贫攻坚的通知》（财库〔2019〕27 号）的规定，对于聘用建档立卡贫困人员物业公司的项目，在满足价格扣除条件且在投标文件中提交了《聘用建档立卡贫困人员物业公司声明函》的投标人，对其投标报价扣除后参与评审。对具体办法详见第四章 评标方法。</w:t>
      </w:r>
    </w:p>
    <w:p w14:paraId="66B870D4">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28.中标候选人的推荐原则及标准</w:t>
      </w:r>
    </w:p>
    <w:p w14:paraId="4A6B8AE0">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28.1除第32条规定外，评标委员会将根据评标标准，对实质上响应招标文件的投标人按下列方法进行排序，推荐中标候选人：</w:t>
      </w:r>
    </w:p>
    <w:p w14:paraId="3FA90BD2">
      <w:pPr>
        <w:adjustRightInd w:val="0"/>
        <w:snapToGrid w:val="0"/>
        <w:spacing w:line="360" w:lineRule="auto"/>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14:paraId="6D5CDFB5">
      <w:pPr>
        <w:adjustRightInd w:val="0"/>
        <w:snapToGrid w:val="0"/>
        <w:spacing w:line="360" w:lineRule="auto"/>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（2）采用综合评分法的，评标结果按评审后得分由高到低顺序排列。得分相同的，按第四章评标办法规定执行。</w:t>
      </w:r>
    </w:p>
    <w:p w14:paraId="68C5877B">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28.2评标委员会将根据评标标准，按投标人须知表29.2条中规定的数量推荐中标候选人。</w:t>
      </w:r>
    </w:p>
    <w:p w14:paraId="515C4F2C">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28.3因推荐中标候选人名单产生其他问题，由评标委员会集体研究处理。</w:t>
      </w:r>
    </w:p>
    <w:p w14:paraId="62E3BB26">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30.保密原则</w:t>
      </w:r>
    </w:p>
    <w:p w14:paraId="3EE232FA">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30.1评标将在严格保密的情况下进行。</w:t>
      </w:r>
    </w:p>
    <w:p w14:paraId="31E5540E">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30.2有关人员应当遵守评标工作纪律，不得泄露评审文件、评标情况和评标过程中获悉的国家秘密、商业秘密。</w:t>
      </w:r>
    </w:p>
    <w:p w14:paraId="698E869E">
      <w:pPr>
        <w:pStyle w:val="5"/>
        <w:rPr>
          <w:rFonts w:ascii="仿宋_GB2312" w:hAnsi="仿宋_GB2312" w:eastAsia="仿宋_GB2312" w:cs="仿宋_GB2312"/>
          <w:sz w:val="32"/>
          <w:szCs w:val="28"/>
        </w:rPr>
      </w:pPr>
      <w:r>
        <w:rPr>
          <w:rFonts w:hint="eastAsia" w:ascii="仿宋_GB2312" w:hAnsi="仿宋_GB2312" w:eastAsia="仿宋_GB2312" w:cs="仿宋_GB2312"/>
          <w:sz w:val="32"/>
          <w:szCs w:val="28"/>
        </w:rPr>
        <w:t>七 确定中标</w:t>
      </w:r>
      <w:bookmarkEnd w:id="42"/>
    </w:p>
    <w:p w14:paraId="2F2569E9">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31.确定中标人</w:t>
      </w:r>
    </w:p>
    <w:p w14:paraId="13F5F40B">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由采购人或者采购人委托评标委员会按照投标人须知表31中规定的方式确定中标人。</w:t>
      </w:r>
    </w:p>
    <w:p w14:paraId="3D38A2C4">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采购人在收到评标报告5个工作日内未按评标报告推荐的中标候选人顺序确定中标人，又不能说明合法理由的，视同按评标报告推荐的顺序确定排名第一的中标候选人为中标人。</w:t>
      </w:r>
    </w:p>
    <w:p w14:paraId="00958551">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★32.采购任务取消</w:t>
      </w:r>
    </w:p>
    <w:p w14:paraId="7F830886">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因重大变故采购任务取消时，采购人有权拒绝任何供应商中标，且对受影响的投标人不承担任何责任。</w:t>
      </w:r>
    </w:p>
    <w:p w14:paraId="3C18172A">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33.中标通知书</w:t>
      </w:r>
    </w:p>
    <w:p w14:paraId="56A58C14">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33.1采购人或者采购代理机构应当自中标人确定之日起2个工作日内，在</w:t>
      </w:r>
      <w:r>
        <w:rPr>
          <w:rFonts w:eastAsia="楷体"/>
          <w:sz w:val="24"/>
        </w:rPr>
        <w:t>新疆政府采购网</w:t>
      </w:r>
      <w:r>
        <w:rPr>
          <w:rFonts w:hint="eastAsia" w:ascii="仿宋_GB2312" w:hAnsi="仿宋_GB2312" w:eastAsia="仿宋_GB2312" w:cs="仿宋_GB2312"/>
          <w:szCs w:val="21"/>
        </w:rPr>
        <w:t>媒体上公告中标结果。同时向中标人发出中标通知书。</w:t>
      </w:r>
    </w:p>
    <w:p w14:paraId="75760AB6">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33.2中标通知书是合同的组成部分。</w:t>
      </w:r>
    </w:p>
    <w:p w14:paraId="481AE052">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34.签订合同</w:t>
      </w:r>
    </w:p>
    <w:p w14:paraId="7810ADF5">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34.1中标人应当自发出中标通知书之日起 30 日内，与采购人签订书面合同。</w:t>
      </w:r>
    </w:p>
    <w:p w14:paraId="61E5B675">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14:paraId="2DA68CF6">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34.3中标人拒绝与采购人签订合同的，采购人可以按照评标报告推荐的中标候选人名单排序，确定下一中标候选人为中标人，也可以重新开展政府采购活动。</w:t>
      </w:r>
    </w:p>
    <w:p w14:paraId="7D79DDF8">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35.履约保证金</w:t>
      </w:r>
    </w:p>
    <w:p w14:paraId="7BF668F9">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35.1中标人应按照投标人须知表35.1条规定向采购人缴纳履约保证金。</w:t>
      </w:r>
    </w:p>
    <w:p w14:paraId="4ACC7D87">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35.2 如果中标人没有按照上述履约保证金的规定执行，将视为拒绝签订合同并放弃中标资格，中标人的投标保证金将不予退还。在此情况下，采购人可确定下一中标候选人为中标人，也可以重新开展采购活动。</w:t>
      </w:r>
    </w:p>
    <w:p w14:paraId="06CD9495">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36.采购代理服务费</w:t>
      </w:r>
    </w:p>
    <w:p w14:paraId="5C9FC8A0">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中标人须按照投标须知表36条规定，向采购代理机构支付采购代理服务费。</w:t>
      </w:r>
    </w:p>
    <w:p w14:paraId="76B5543D">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37.廉洁自律规定</w:t>
      </w:r>
    </w:p>
    <w:p w14:paraId="0CEEF63E">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37.1 采购代理机构工作人员不得以不正当手段获取政府采购代理业务，不得与采购人、投标人恶意串通操纵政府采购活动。</w:t>
      </w:r>
    </w:p>
    <w:p w14:paraId="592FE654">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37.2 采购代理机构工作人员不得接受采购人或者投标人组织的宴请、旅游、娱乐，不得收受礼品、现金、有价证券等，不得向采购人或者投标人报销应当由个人承担的费用。</w:t>
      </w:r>
    </w:p>
    <w:p w14:paraId="3BFD2A1B">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38.人员回避</w:t>
      </w:r>
    </w:p>
    <w:p w14:paraId="73C83B23">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投标人认为采购人及其相关人员有法律法规所列与其他投标人有利害关系的，可以向采购人或采购代理机构书面提出回避申请，并说明理由。</w:t>
      </w:r>
    </w:p>
    <w:p w14:paraId="07DB3DB6">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39.质疑与接收</w:t>
      </w:r>
    </w:p>
    <w:p w14:paraId="5ABA5B48">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1CBCC4E6">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39.2质疑投标人应按照财政部门制定的《政府采购质疑函范本》格式和《政府采购质疑和投诉办法》的要求，在法定质疑期内以纸质形式提出质疑，针对同一采购程序环节的质疑应一次性提出。</w:t>
      </w:r>
    </w:p>
    <w:p w14:paraId="2DD1F7B0">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超出法定质疑期的、重复提出的、分次提出的或内容、形式不符合《政府采购质疑和投诉办法》的，质疑投标人将依法承担不利后果。</w:t>
      </w:r>
    </w:p>
    <w:p w14:paraId="14C074EE">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39.3采购代理机构质疑函接收部门、联系电话和通讯地址, 见投标人须知表39.3条。</w:t>
      </w:r>
    </w:p>
    <w:p w14:paraId="58216164">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40.履约验收</w:t>
      </w:r>
    </w:p>
    <w:p w14:paraId="72DFE173">
      <w:pPr>
        <w:adjustRightInd w:val="0"/>
        <w:snapToGrid w:val="0"/>
        <w:spacing w:line="360" w:lineRule="auto"/>
        <w:ind w:firstLine="420"/>
        <w:rPr>
          <w:rFonts w:ascii="仿宋_GB2312" w:hAnsi="仿宋_GB2312" w:eastAsia="仿宋_GB2312" w:cs="仿宋_GB2312"/>
          <w:szCs w:val="21"/>
        </w:rPr>
      </w:pPr>
      <w:r>
        <w:rPr>
          <w:rFonts w:hint="eastAsia" w:ascii="仿宋_GB2312" w:hAnsi="仿宋_GB2312" w:eastAsia="仿宋_GB2312" w:cs="仿宋_GB2312"/>
          <w:szCs w:val="21"/>
        </w:rPr>
        <w:t>本项目采购人及其委托的采购代理机构将严格按照政府采购相关法律法规的要求进行验收。</w:t>
      </w:r>
    </w:p>
    <w:p w14:paraId="161F04F1">
      <w:pPr>
        <w:adjustRightInd w:val="0"/>
        <w:snapToGrid w:val="0"/>
        <w:spacing w:line="360" w:lineRule="auto"/>
        <w:rPr>
          <w:rFonts w:ascii="仿宋_GB2312" w:hAnsi="仿宋_GB2312" w:eastAsia="仿宋_GB2312" w:cs="仿宋_GB2312"/>
          <w:szCs w:val="21"/>
        </w:rPr>
      </w:pPr>
    </w:p>
    <w:p w14:paraId="6BFBAC25">
      <w:pPr>
        <w:adjustRightInd w:val="0"/>
        <w:snapToGrid w:val="0"/>
        <w:spacing w:line="360" w:lineRule="auto"/>
        <w:rPr>
          <w:rFonts w:ascii="仿宋_GB2312" w:hAnsi="仿宋_GB2312" w:eastAsia="仿宋_GB2312" w:cs="仿宋_GB2312"/>
          <w:szCs w:val="21"/>
        </w:rPr>
      </w:pPr>
    </w:p>
    <w:p w14:paraId="1617200C">
      <w:pPr>
        <w:adjustRightInd w:val="0"/>
        <w:snapToGrid w:val="0"/>
        <w:spacing w:line="360" w:lineRule="auto"/>
        <w:ind w:firstLine="420"/>
        <w:rPr>
          <w:rFonts w:ascii="仿宋_GB2312" w:hAnsi="仿宋_GB2312" w:eastAsia="仿宋_GB2312" w:cs="仿宋_GB2312"/>
          <w:b/>
        </w:rPr>
        <w:sectPr>
          <w:footerReference r:id="rId4" w:type="default"/>
          <w:pgSz w:w="11906" w:h="16838"/>
          <w:pgMar w:top="1440" w:right="1803" w:bottom="1440" w:left="1803" w:header="851" w:footer="992" w:gutter="0"/>
          <w:pgNumType w:start="1"/>
          <w:cols w:space="720" w:num="1"/>
          <w:docGrid w:type="linesAndChars" w:linePitch="312" w:charSpace="0"/>
        </w:sectPr>
      </w:pPr>
    </w:p>
    <w:p w14:paraId="1D3E4991">
      <w:pPr>
        <w:pStyle w:val="3"/>
        <w:snapToGrid w:val="0"/>
        <w:spacing w:before="0" w:after="0"/>
        <w:rPr>
          <w:rFonts w:ascii="仿宋_GB2312" w:hAnsi="仿宋_GB2312" w:eastAsia="仿宋_GB2312" w:cs="仿宋_GB2312"/>
        </w:rPr>
      </w:pPr>
      <w:bookmarkStart w:id="43" w:name="_Toc17725_WPSOffice_Level1"/>
      <w:bookmarkStart w:id="44" w:name="_Toc20672"/>
      <w:bookmarkStart w:id="45" w:name="_Toc13351"/>
      <w:r>
        <w:rPr>
          <w:rFonts w:hint="eastAsia" w:ascii="仿宋_GB2312" w:hAnsi="仿宋_GB2312" w:eastAsia="仿宋_GB2312" w:cs="仿宋_GB2312"/>
        </w:rPr>
        <w:t>第二章 投标文件内容及格式</w:t>
      </w:r>
      <w:bookmarkEnd w:id="43"/>
      <w:bookmarkEnd w:id="44"/>
      <w:bookmarkEnd w:id="45"/>
    </w:p>
    <w:p w14:paraId="60C1E2AD">
      <w:pPr>
        <w:rPr>
          <w:rFonts w:ascii="仿宋_GB2312" w:hAnsi="仿宋_GB2312" w:eastAsia="仿宋_GB2312" w:cs="仿宋_GB2312"/>
          <w:b/>
          <w:sz w:val="24"/>
        </w:rPr>
      </w:pPr>
      <w:bookmarkStart w:id="46" w:name="投标文件内容及格式：Block"/>
      <w:bookmarkEnd w:id="46"/>
      <w:bookmarkStart w:id="47" w:name="sys_投标文件内容及格式：Block"/>
      <w:bookmarkEnd w:id="47"/>
      <w:bookmarkStart w:id="48" w:name="_Toc1538_WPSOffice_Level2"/>
      <w:bookmarkStart w:id="49" w:name="_Toc2481_WPSOffice_Level2"/>
      <w:r>
        <w:rPr>
          <w:rFonts w:hint="eastAsia" w:ascii="仿宋_GB2312" w:hAnsi="仿宋_GB2312" w:eastAsia="仿宋_GB2312" w:cs="仿宋_GB2312"/>
          <w:b/>
          <w:sz w:val="24"/>
        </w:rPr>
        <w:t>一、投标文件、电子文档的外封面、封口、封皮及目录</w:t>
      </w:r>
      <w:bookmarkEnd w:id="48"/>
      <w:bookmarkEnd w:id="49"/>
    </w:p>
    <w:tbl>
      <w:tblPr>
        <w:tblStyle w:val="21"/>
        <w:tblW w:w="8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953"/>
        <w:gridCol w:w="789"/>
      </w:tblGrid>
      <w:tr w14:paraId="1FA44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trPr>
        <w:tc>
          <w:tcPr>
            <w:tcW w:w="677" w:type="dxa"/>
            <w:vAlign w:val="center"/>
          </w:tcPr>
          <w:p w14:paraId="71AE2E52">
            <w:pPr>
              <w:widowControl/>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序号</w:t>
            </w:r>
          </w:p>
        </w:tc>
        <w:tc>
          <w:tcPr>
            <w:tcW w:w="6953" w:type="dxa"/>
            <w:vAlign w:val="center"/>
          </w:tcPr>
          <w:p w14:paraId="4749ADF3">
            <w:pPr>
              <w:widowControl/>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内容</w:t>
            </w:r>
          </w:p>
        </w:tc>
        <w:tc>
          <w:tcPr>
            <w:tcW w:w="789" w:type="dxa"/>
            <w:vAlign w:val="center"/>
          </w:tcPr>
          <w:p w14:paraId="52FDE1B5">
            <w:pPr>
              <w:widowControl/>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r>
      <w:tr w14:paraId="3662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77" w:type="dxa"/>
            <w:vAlign w:val="center"/>
          </w:tcPr>
          <w:p w14:paraId="7ED8F7E4">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6953" w:type="dxa"/>
            <w:vAlign w:val="center"/>
          </w:tcPr>
          <w:p w14:paraId="070F3A58">
            <w:pPr>
              <w:widowControl/>
              <w:adjustRightInd w:val="0"/>
              <w:snapToGrid w:val="0"/>
              <w:jc w:val="left"/>
              <w:rPr>
                <w:rFonts w:ascii="仿宋_GB2312" w:hAnsi="仿宋_GB2312" w:eastAsia="仿宋_GB2312" w:cs="仿宋_GB2312"/>
                <w:b/>
                <w:kern w:val="0"/>
                <w:szCs w:val="21"/>
              </w:rPr>
            </w:pPr>
            <w:r>
              <w:rPr>
                <w:rFonts w:hint="eastAsia" w:ascii="仿宋_GB2312" w:hAnsi="仿宋_GB2312" w:eastAsia="仿宋_GB2312" w:cs="仿宋_GB2312"/>
                <w:kern w:val="0"/>
                <w:szCs w:val="21"/>
              </w:rPr>
              <w:t>投标文件、电子文档的外封面及封口</w:t>
            </w:r>
          </w:p>
        </w:tc>
        <w:tc>
          <w:tcPr>
            <w:tcW w:w="789" w:type="dxa"/>
            <w:vAlign w:val="center"/>
          </w:tcPr>
          <w:p w14:paraId="7ABD69E5">
            <w:pPr>
              <w:widowControl/>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r>
      <w:tr w14:paraId="51E86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77" w:type="dxa"/>
            <w:vAlign w:val="center"/>
          </w:tcPr>
          <w:p w14:paraId="6C8FEC6D">
            <w:pPr>
              <w:widowControl/>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6953" w:type="dxa"/>
            <w:vAlign w:val="center"/>
          </w:tcPr>
          <w:p w14:paraId="19500BA6">
            <w:pPr>
              <w:widowControl/>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投标文件的封皮</w:t>
            </w:r>
          </w:p>
        </w:tc>
        <w:tc>
          <w:tcPr>
            <w:tcW w:w="789" w:type="dxa"/>
            <w:vAlign w:val="center"/>
          </w:tcPr>
          <w:p w14:paraId="038F5C9E">
            <w:pPr>
              <w:widowControl/>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r>
      <w:tr w14:paraId="28D07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77" w:type="dxa"/>
            <w:vAlign w:val="center"/>
          </w:tcPr>
          <w:p w14:paraId="77D87CBE">
            <w:pPr>
              <w:widowControl/>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6953" w:type="dxa"/>
            <w:vAlign w:val="center"/>
          </w:tcPr>
          <w:p w14:paraId="6AD5D733">
            <w:pPr>
              <w:widowControl/>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投标文件的目录</w:t>
            </w:r>
          </w:p>
        </w:tc>
        <w:tc>
          <w:tcPr>
            <w:tcW w:w="789" w:type="dxa"/>
            <w:vAlign w:val="center"/>
          </w:tcPr>
          <w:p w14:paraId="398C61BC">
            <w:pPr>
              <w:widowControl/>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r>
    </w:tbl>
    <w:p w14:paraId="674E9F59">
      <w:pPr>
        <w:snapToGrid w:val="0"/>
        <w:spacing w:before="159" w:beforeLines="50"/>
        <w:rPr>
          <w:rFonts w:ascii="仿宋_GB2312" w:hAnsi="仿宋_GB2312" w:eastAsia="仿宋_GB2312" w:cs="仿宋_GB2312"/>
          <w:b/>
          <w:sz w:val="24"/>
        </w:rPr>
      </w:pPr>
      <w:bookmarkStart w:id="50" w:name="_Toc1266_WPSOffice_Level2"/>
      <w:bookmarkStart w:id="51" w:name="_Toc31052_WPSOffice_Level2"/>
      <w:r>
        <w:rPr>
          <w:rFonts w:hint="eastAsia" w:ascii="仿宋_GB2312" w:hAnsi="仿宋_GB2312" w:eastAsia="仿宋_GB2312" w:cs="仿宋_GB2312"/>
          <w:b/>
          <w:sz w:val="24"/>
        </w:rPr>
        <w:t>二、资格证明材料</w:t>
      </w:r>
      <w:bookmarkEnd w:id="50"/>
      <w:bookmarkEnd w:id="51"/>
      <w:r>
        <w:rPr>
          <w:rFonts w:hint="eastAsia" w:ascii="仿宋_GB2312" w:hAnsi="仿宋_GB2312" w:eastAsia="仿宋_GB2312" w:cs="仿宋_GB2312"/>
          <w:b/>
          <w:sz w:val="24"/>
        </w:rPr>
        <w:t>（有一项不符合要求，不能进入下一阶段评审）</w:t>
      </w:r>
    </w:p>
    <w:tbl>
      <w:tblPr>
        <w:tblStyle w:val="21"/>
        <w:tblW w:w="8339" w:type="dxa"/>
        <w:tblInd w:w="0" w:type="dxa"/>
        <w:tblLayout w:type="fixed"/>
        <w:tblCellMar>
          <w:top w:w="0" w:type="dxa"/>
          <w:left w:w="0" w:type="dxa"/>
          <w:bottom w:w="0" w:type="dxa"/>
          <w:right w:w="0" w:type="dxa"/>
        </w:tblCellMar>
      </w:tblPr>
      <w:tblGrid>
        <w:gridCol w:w="666"/>
        <w:gridCol w:w="6924"/>
        <w:gridCol w:w="749"/>
      </w:tblGrid>
      <w:tr w14:paraId="25396F9E">
        <w:tblPrEx>
          <w:tblCellMar>
            <w:top w:w="0" w:type="dxa"/>
            <w:left w:w="0" w:type="dxa"/>
            <w:bottom w:w="0" w:type="dxa"/>
            <w:right w:w="0" w:type="dxa"/>
          </w:tblCellMar>
        </w:tblPrEx>
        <w:trPr>
          <w:trHeight w:val="312" w:hRule="atLeast"/>
          <w:tblHeader/>
        </w:trPr>
        <w:tc>
          <w:tcPr>
            <w:tcW w:w="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BDE7D4">
            <w:pPr>
              <w:adjustRightInd w:val="0"/>
              <w:snapToGrid w:val="0"/>
              <w:jc w:val="center"/>
              <w:rPr>
                <w:rFonts w:ascii="仿宋_GB2312" w:hAnsi="仿宋_GB2312" w:eastAsia="仿宋_GB2312" w:cs="仿宋_GB2312"/>
                <w:szCs w:val="21"/>
              </w:rPr>
            </w:pPr>
            <w:bookmarkStart w:id="52" w:name="sys_资格性证明材料：Document"/>
            <w:bookmarkStart w:id="53" w:name="资格性证明材料：Document"/>
            <w:r>
              <w:rPr>
                <w:rFonts w:hint="eastAsia" w:ascii="仿宋_GB2312" w:hAnsi="仿宋_GB2312" w:eastAsia="仿宋_GB2312" w:cs="仿宋_GB2312"/>
                <w:szCs w:val="21"/>
              </w:rPr>
              <w:t>序号</w:t>
            </w:r>
          </w:p>
        </w:tc>
        <w:tc>
          <w:tcPr>
            <w:tcW w:w="69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5E5D2D">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资格性证明材料</w:t>
            </w:r>
          </w:p>
        </w:tc>
        <w:tc>
          <w:tcPr>
            <w:tcW w:w="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EC182D">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格式</w:t>
            </w:r>
          </w:p>
        </w:tc>
      </w:tr>
      <w:tr w14:paraId="32E5ED72">
        <w:tblPrEx>
          <w:tblCellMar>
            <w:top w:w="0" w:type="dxa"/>
            <w:left w:w="0" w:type="dxa"/>
            <w:bottom w:w="0" w:type="dxa"/>
            <w:right w:w="0" w:type="dxa"/>
          </w:tblCellMar>
        </w:tblPrEx>
        <w:trPr>
          <w:trHeight w:val="916" w:hRule="atLeast"/>
        </w:trPr>
        <w:tc>
          <w:tcPr>
            <w:tcW w:w="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E2038F">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9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961F93">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营业执照或事业单位法人证书或执业许可证等证明文件复印件或自然人的身份证明复印件（自然人身份证明仅在自然人作为投标主体时适用）</w:t>
            </w:r>
          </w:p>
          <w:p w14:paraId="4A108D9B">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tc>
          <w:tcPr>
            <w:tcW w:w="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EAF61C">
            <w:pPr>
              <w:adjustRightInd w:val="0"/>
              <w:snapToGrid w:val="0"/>
              <w:jc w:val="center"/>
              <w:rPr>
                <w:rFonts w:ascii="仿宋_GB2312" w:hAnsi="仿宋_GB2312" w:eastAsia="仿宋_GB2312" w:cs="仿宋_GB2312"/>
                <w:szCs w:val="21"/>
              </w:rPr>
            </w:pPr>
          </w:p>
        </w:tc>
      </w:tr>
      <w:tr w14:paraId="5725AEBC">
        <w:tblPrEx>
          <w:tblCellMar>
            <w:top w:w="0" w:type="dxa"/>
            <w:left w:w="0" w:type="dxa"/>
            <w:bottom w:w="0" w:type="dxa"/>
            <w:right w:w="0" w:type="dxa"/>
          </w:tblCellMar>
        </w:tblPrEx>
        <w:trPr>
          <w:trHeight w:val="613" w:hRule="atLeast"/>
        </w:trPr>
        <w:tc>
          <w:tcPr>
            <w:tcW w:w="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B95CD6">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69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D5784EE">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组织机构代码证复印件（三证合一的不需提供）</w:t>
            </w:r>
          </w:p>
          <w:p w14:paraId="31C17648">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tc>
          <w:tcPr>
            <w:tcW w:w="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BB3CEB">
            <w:pPr>
              <w:adjustRightInd w:val="0"/>
              <w:snapToGrid w:val="0"/>
              <w:jc w:val="center"/>
              <w:rPr>
                <w:rFonts w:ascii="仿宋_GB2312" w:hAnsi="仿宋_GB2312" w:eastAsia="仿宋_GB2312" w:cs="仿宋_GB2312"/>
                <w:szCs w:val="21"/>
              </w:rPr>
            </w:pPr>
          </w:p>
        </w:tc>
      </w:tr>
      <w:tr w14:paraId="1E88924A">
        <w:tblPrEx>
          <w:tblCellMar>
            <w:top w:w="0" w:type="dxa"/>
            <w:left w:w="0" w:type="dxa"/>
            <w:bottom w:w="0" w:type="dxa"/>
            <w:right w:w="0" w:type="dxa"/>
          </w:tblCellMar>
        </w:tblPrEx>
        <w:trPr>
          <w:trHeight w:val="613" w:hRule="atLeast"/>
        </w:trPr>
        <w:tc>
          <w:tcPr>
            <w:tcW w:w="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657674">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69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24B4F34">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税务登记证复印件（三证合一的不需提供）</w:t>
            </w:r>
          </w:p>
          <w:p w14:paraId="4360C738">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tc>
          <w:tcPr>
            <w:tcW w:w="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4B0FB9">
            <w:pPr>
              <w:adjustRightInd w:val="0"/>
              <w:snapToGrid w:val="0"/>
              <w:jc w:val="center"/>
              <w:rPr>
                <w:rFonts w:ascii="仿宋_GB2312" w:hAnsi="仿宋_GB2312" w:eastAsia="仿宋_GB2312" w:cs="仿宋_GB2312"/>
                <w:szCs w:val="21"/>
              </w:rPr>
            </w:pPr>
          </w:p>
        </w:tc>
      </w:tr>
      <w:tr w14:paraId="7376D465">
        <w:tblPrEx>
          <w:tblCellMar>
            <w:top w:w="0" w:type="dxa"/>
            <w:left w:w="0" w:type="dxa"/>
            <w:bottom w:w="0" w:type="dxa"/>
            <w:right w:w="0" w:type="dxa"/>
          </w:tblCellMar>
        </w:tblPrEx>
        <w:trPr>
          <w:trHeight w:val="312" w:hRule="atLeast"/>
        </w:trPr>
        <w:tc>
          <w:tcPr>
            <w:tcW w:w="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E1C1AC">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69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DA0938">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法定代表人（或非法人组织负责人）身份证明书（自然人投标的无需提供）</w:t>
            </w:r>
          </w:p>
        </w:tc>
        <w:tc>
          <w:tcPr>
            <w:tcW w:w="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11B090">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4</w:t>
            </w:r>
          </w:p>
        </w:tc>
      </w:tr>
      <w:tr w14:paraId="647CCE16">
        <w:tblPrEx>
          <w:tblCellMar>
            <w:top w:w="0" w:type="dxa"/>
            <w:left w:w="0" w:type="dxa"/>
            <w:bottom w:w="0" w:type="dxa"/>
            <w:right w:w="0" w:type="dxa"/>
          </w:tblCellMar>
        </w:tblPrEx>
        <w:trPr>
          <w:trHeight w:val="613" w:hRule="atLeast"/>
        </w:trPr>
        <w:tc>
          <w:tcPr>
            <w:tcW w:w="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BD4DF7">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69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4B31A0">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法定代表人（或非法人组织负责人）授权委托书（授权委托人参加投标的须提供）</w:t>
            </w:r>
          </w:p>
        </w:tc>
        <w:tc>
          <w:tcPr>
            <w:tcW w:w="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7769B4">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5</w:t>
            </w:r>
          </w:p>
        </w:tc>
      </w:tr>
      <w:tr w14:paraId="46757F5F">
        <w:tblPrEx>
          <w:tblCellMar>
            <w:top w:w="0" w:type="dxa"/>
            <w:left w:w="0" w:type="dxa"/>
            <w:bottom w:w="0" w:type="dxa"/>
            <w:right w:w="0" w:type="dxa"/>
          </w:tblCellMar>
        </w:tblPrEx>
        <w:trPr>
          <w:trHeight w:val="1217" w:hRule="atLeast"/>
        </w:trPr>
        <w:tc>
          <w:tcPr>
            <w:tcW w:w="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34C092">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69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C5F4E3">
            <w:pPr>
              <w:adjustRightInd w:val="0"/>
              <w:snapToGrid w:val="0"/>
              <w:jc w:val="left"/>
              <w:rPr>
                <w:rFonts w:ascii="仿宋_GB2312" w:hAnsi="仿宋_GB2312" w:eastAsia="仿宋_GB2312" w:cs="仿宋_GB2312"/>
                <w:szCs w:val="21"/>
              </w:rPr>
            </w:pPr>
            <w:r>
              <w:rPr>
                <w:rFonts w:hint="eastAsia" w:ascii="仿宋" w:hAnsi="仿宋" w:cs="仿宋"/>
                <w:szCs w:val="21"/>
                <w:lang w:val="en-US" w:eastAsia="zh-CN"/>
              </w:rPr>
              <w:t>投标人须提供投标人所在地社会保险经办机构出具的“提交首次响应文件时间”前3个月内单位实缴社会保险费用证明原件，若供应商成立不满3个月，则提供自成立以来的单位实缴社会保险费用证明原件</w:t>
            </w:r>
            <w:r>
              <w:rPr>
                <w:rFonts w:hint="eastAsia" w:ascii="仿宋_GB2312" w:hAnsi="仿宋_GB2312" w:eastAsia="仿宋_GB2312" w:cs="仿宋_GB2312"/>
                <w:szCs w:val="21"/>
              </w:rPr>
              <w:t>（注：依法免税的投标人，应提供相关证明材料，包括相关法规要求原文及加盖单位公章的情况说明）</w:t>
            </w:r>
          </w:p>
          <w:p w14:paraId="79C6E882">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tc>
          <w:tcPr>
            <w:tcW w:w="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D92FB73">
            <w:pPr>
              <w:adjustRightInd w:val="0"/>
              <w:snapToGrid w:val="0"/>
              <w:jc w:val="center"/>
              <w:rPr>
                <w:rFonts w:ascii="仿宋_GB2312" w:hAnsi="仿宋_GB2312" w:eastAsia="仿宋_GB2312" w:cs="仿宋_GB2312"/>
                <w:szCs w:val="21"/>
              </w:rPr>
            </w:pPr>
          </w:p>
        </w:tc>
      </w:tr>
      <w:tr w14:paraId="54CF9015">
        <w:tblPrEx>
          <w:tblCellMar>
            <w:top w:w="0" w:type="dxa"/>
            <w:left w:w="0" w:type="dxa"/>
            <w:bottom w:w="0" w:type="dxa"/>
            <w:right w:w="0" w:type="dxa"/>
          </w:tblCellMar>
        </w:tblPrEx>
        <w:trPr>
          <w:trHeight w:val="1217" w:hRule="atLeast"/>
        </w:trPr>
        <w:tc>
          <w:tcPr>
            <w:tcW w:w="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61EEA8">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69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9E8103">
            <w:pPr>
              <w:adjustRightInd w:val="0"/>
              <w:snapToGrid w:val="0"/>
              <w:jc w:val="left"/>
              <w:rPr>
                <w:rFonts w:ascii="仿宋_GB2312" w:hAnsi="仿宋_GB2312" w:eastAsia="仿宋_GB2312" w:cs="仿宋_GB2312"/>
                <w:szCs w:val="21"/>
              </w:rPr>
            </w:pPr>
            <w:r>
              <w:rPr>
                <w:rFonts w:hint="eastAsia" w:ascii="仿宋" w:hAnsi="仿宋" w:cs="仿宋"/>
                <w:szCs w:val="21"/>
                <w:lang w:val="en-US" w:eastAsia="zh-CN"/>
              </w:rPr>
              <w:t>投标人须提供本单位营业执照所在地税务机关出具“提交首次响应文件时间”前3个月的税收证明原件；若供应商成立不满3个月，则提供自成立以来的税收证明原件</w:t>
            </w:r>
            <w:r>
              <w:rPr>
                <w:rFonts w:hint="eastAsia" w:ascii="仿宋_GB2312" w:hAnsi="仿宋_GB2312" w:eastAsia="仿宋_GB2312" w:cs="仿宋_GB2312"/>
                <w:szCs w:val="21"/>
              </w:rPr>
              <w:t>（注：依法不需要缴纳社会保障资金的投标人，应提供相关证明材料，包括相关法规要求原文及加盖公章的情况说明）</w:t>
            </w:r>
          </w:p>
          <w:p w14:paraId="362EF1F5">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tc>
          <w:tcPr>
            <w:tcW w:w="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5D8ED3">
            <w:pPr>
              <w:adjustRightInd w:val="0"/>
              <w:snapToGrid w:val="0"/>
              <w:jc w:val="center"/>
              <w:rPr>
                <w:rFonts w:ascii="仿宋_GB2312" w:hAnsi="仿宋_GB2312" w:eastAsia="仿宋_GB2312" w:cs="仿宋_GB2312"/>
                <w:szCs w:val="21"/>
              </w:rPr>
            </w:pPr>
          </w:p>
        </w:tc>
      </w:tr>
      <w:tr w14:paraId="55319CC0">
        <w:tblPrEx>
          <w:tblCellMar>
            <w:top w:w="0" w:type="dxa"/>
            <w:left w:w="0" w:type="dxa"/>
            <w:bottom w:w="0" w:type="dxa"/>
            <w:right w:w="0" w:type="dxa"/>
          </w:tblCellMar>
        </w:tblPrEx>
        <w:trPr>
          <w:trHeight w:val="613" w:hRule="atLeast"/>
        </w:trPr>
        <w:tc>
          <w:tcPr>
            <w:tcW w:w="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5AAF3D">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69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C52FB5">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参加政府采购活动前3年内在经营活动中没有重大违法记录的书面声明</w:t>
            </w:r>
          </w:p>
          <w:p w14:paraId="4D1E6944">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tc>
          <w:tcPr>
            <w:tcW w:w="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21C417">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8</w:t>
            </w:r>
          </w:p>
        </w:tc>
      </w:tr>
      <w:tr w14:paraId="0AEDF391">
        <w:tblPrEx>
          <w:tblCellMar>
            <w:top w:w="0" w:type="dxa"/>
            <w:left w:w="0" w:type="dxa"/>
            <w:bottom w:w="0" w:type="dxa"/>
            <w:right w:w="0" w:type="dxa"/>
          </w:tblCellMar>
        </w:tblPrEx>
        <w:trPr>
          <w:trHeight w:val="613" w:hRule="atLeast"/>
        </w:trPr>
        <w:tc>
          <w:tcPr>
            <w:tcW w:w="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8645E4">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69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020EE7">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其它资格证明文件（如适用，按投标人须知表1.3.4要求描述）</w:t>
            </w:r>
          </w:p>
          <w:p w14:paraId="2BD3624E">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tc>
          <w:tcPr>
            <w:tcW w:w="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B1EC49">
            <w:pPr>
              <w:adjustRightInd w:val="0"/>
              <w:snapToGrid w:val="0"/>
              <w:jc w:val="center"/>
              <w:rPr>
                <w:rFonts w:ascii="仿宋_GB2312" w:hAnsi="仿宋_GB2312" w:eastAsia="仿宋_GB2312" w:cs="仿宋_GB2312"/>
                <w:szCs w:val="21"/>
              </w:rPr>
            </w:pPr>
          </w:p>
        </w:tc>
      </w:tr>
      <w:tr w14:paraId="23B1894F">
        <w:tblPrEx>
          <w:tblCellMar>
            <w:top w:w="0" w:type="dxa"/>
            <w:left w:w="0" w:type="dxa"/>
            <w:bottom w:w="0" w:type="dxa"/>
            <w:right w:w="0" w:type="dxa"/>
          </w:tblCellMar>
        </w:tblPrEx>
        <w:trPr>
          <w:trHeight w:val="916" w:hRule="atLeast"/>
        </w:trPr>
        <w:tc>
          <w:tcPr>
            <w:tcW w:w="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252991">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14</w:t>
            </w:r>
          </w:p>
        </w:tc>
        <w:tc>
          <w:tcPr>
            <w:tcW w:w="69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E859E2">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信用记录（采购人或采购代理机构将按照招标文件规定的审查期间内进行查询）</w:t>
            </w:r>
          </w:p>
          <w:p w14:paraId="55DC7DEB">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联合体各方均需查询（如适用）</w:t>
            </w:r>
          </w:p>
        </w:tc>
        <w:tc>
          <w:tcPr>
            <w:tcW w:w="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3FD54D">
            <w:pPr>
              <w:adjustRightInd w:val="0"/>
              <w:snapToGrid w:val="0"/>
              <w:jc w:val="center"/>
              <w:rPr>
                <w:rFonts w:ascii="仿宋_GB2312" w:hAnsi="仿宋_GB2312" w:eastAsia="仿宋_GB2312" w:cs="仿宋_GB2312"/>
                <w:szCs w:val="21"/>
              </w:rPr>
            </w:pPr>
          </w:p>
        </w:tc>
      </w:tr>
      <w:tr w14:paraId="3366B7C7">
        <w:tblPrEx>
          <w:tblCellMar>
            <w:top w:w="0" w:type="dxa"/>
            <w:left w:w="0" w:type="dxa"/>
            <w:bottom w:w="0" w:type="dxa"/>
            <w:right w:w="0" w:type="dxa"/>
          </w:tblCellMar>
        </w:tblPrEx>
        <w:trPr>
          <w:trHeight w:val="916" w:hRule="atLeast"/>
        </w:trPr>
        <w:tc>
          <w:tcPr>
            <w:tcW w:w="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78A0E2">
            <w:pPr>
              <w:adjustRightInd w:val="0"/>
              <w:snapToGrid w:val="0"/>
              <w:jc w:val="center"/>
              <w:rPr>
                <w:rFonts w:hint="default" w:ascii="仿宋_GB2312" w:hAnsi="仿宋_GB2312" w:eastAsia="仿宋_GB2312" w:cs="仿宋_GB2312"/>
                <w:szCs w:val="21"/>
                <w:lang w:val="en-US" w:eastAsia="zh-CN"/>
              </w:rPr>
            </w:pPr>
            <w:bookmarkStart w:id="54" w:name="_Toc22359_WPSOffice_Level2"/>
            <w:bookmarkStart w:id="55" w:name="_Toc25206_WPSOffice_Level2"/>
            <w:r>
              <w:rPr>
                <w:rFonts w:hint="eastAsia" w:ascii="仿宋_GB2312" w:hAnsi="仿宋_GB2312" w:eastAsia="仿宋_GB2312" w:cs="仿宋_GB2312"/>
                <w:szCs w:val="21"/>
                <w:lang w:val="en-US" w:eastAsia="zh-CN"/>
              </w:rPr>
              <w:t>15</w:t>
            </w:r>
          </w:p>
        </w:tc>
        <w:tc>
          <w:tcPr>
            <w:tcW w:w="69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7BDB517">
            <w:pPr>
              <w:adjustRightInd w:val="0"/>
              <w:snapToGrid w:val="0"/>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kern w:val="0"/>
                <w:szCs w:val="21"/>
                <w:lang w:val="en-US" w:eastAsia="zh-CN"/>
              </w:rPr>
              <w:t>中小企业声明函</w:t>
            </w:r>
          </w:p>
        </w:tc>
        <w:tc>
          <w:tcPr>
            <w:tcW w:w="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E9E08C">
            <w:pPr>
              <w:adjustRightInd w:val="0"/>
              <w:snapToGrid w:val="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16</w:t>
            </w:r>
          </w:p>
        </w:tc>
      </w:tr>
    </w:tbl>
    <w:p w14:paraId="026527E5">
      <w:pPr>
        <w:snapToGrid w:val="0"/>
        <w:spacing w:before="159" w:beforeLines="50"/>
        <w:rPr>
          <w:rFonts w:hint="eastAsia" w:ascii="仿宋_GB2312" w:hAnsi="仿宋_GB2312" w:eastAsia="仿宋_GB2312" w:cs="仿宋_GB2312"/>
          <w:b/>
          <w:sz w:val="24"/>
        </w:rPr>
      </w:pPr>
    </w:p>
    <w:p w14:paraId="0797A761">
      <w:pPr>
        <w:snapToGrid w:val="0"/>
        <w:spacing w:before="159" w:beforeLines="50"/>
        <w:rPr>
          <w:rFonts w:hint="eastAsia" w:ascii="仿宋_GB2312" w:hAnsi="仿宋_GB2312" w:eastAsia="仿宋_GB2312" w:cs="仿宋_GB2312"/>
          <w:b/>
          <w:sz w:val="24"/>
        </w:rPr>
      </w:pPr>
    </w:p>
    <w:p w14:paraId="6D7E3C4E">
      <w:pPr>
        <w:snapToGrid w:val="0"/>
        <w:spacing w:before="159" w:beforeLines="50"/>
        <w:rPr>
          <w:rFonts w:ascii="仿宋_GB2312" w:hAnsi="仿宋_GB2312" w:eastAsia="仿宋_GB2312" w:cs="仿宋_GB2312"/>
          <w:b/>
          <w:sz w:val="24"/>
        </w:rPr>
      </w:pPr>
      <w:r>
        <w:rPr>
          <w:rFonts w:hint="eastAsia" w:ascii="仿宋_GB2312" w:hAnsi="仿宋_GB2312" w:eastAsia="仿宋_GB2312" w:cs="仿宋_GB2312"/>
          <w:b/>
          <w:sz w:val="24"/>
        </w:rPr>
        <w:t>三、符合性证明材料</w:t>
      </w:r>
      <w:bookmarkEnd w:id="54"/>
      <w:bookmarkEnd w:id="55"/>
      <w:r>
        <w:rPr>
          <w:rFonts w:hint="eastAsia" w:ascii="仿宋_GB2312" w:hAnsi="仿宋_GB2312" w:eastAsia="仿宋_GB2312" w:cs="仿宋_GB2312"/>
          <w:b/>
          <w:sz w:val="24"/>
        </w:rPr>
        <w:t>（有一项不符合要求，不能进入下一阶段评审）</w:t>
      </w:r>
    </w:p>
    <w:bookmarkEnd w:id="52"/>
    <w:bookmarkEnd w:id="53"/>
    <w:tbl>
      <w:tblPr>
        <w:tblStyle w:val="21"/>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6957"/>
        <w:gridCol w:w="770"/>
      </w:tblGrid>
      <w:tr w14:paraId="240C3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trPr>
        <w:tc>
          <w:tcPr>
            <w:tcW w:w="682" w:type="dxa"/>
            <w:vAlign w:val="center"/>
          </w:tcPr>
          <w:p w14:paraId="36115FB3">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序号</w:t>
            </w:r>
          </w:p>
        </w:tc>
        <w:tc>
          <w:tcPr>
            <w:tcW w:w="6957" w:type="dxa"/>
            <w:vAlign w:val="center"/>
          </w:tcPr>
          <w:p w14:paraId="78CA10D9">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符合性证明材料</w:t>
            </w:r>
          </w:p>
        </w:tc>
        <w:tc>
          <w:tcPr>
            <w:tcW w:w="770" w:type="dxa"/>
            <w:vAlign w:val="center"/>
          </w:tcPr>
          <w:p w14:paraId="69489F99">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r>
      <w:tr w14:paraId="5A1B7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82" w:type="dxa"/>
            <w:vAlign w:val="center"/>
          </w:tcPr>
          <w:p w14:paraId="4251A32C">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6957" w:type="dxa"/>
            <w:vAlign w:val="center"/>
          </w:tcPr>
          <w:p w14:paraId="4CB3401A">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投标函</w:t>
            </w:r>
          </w:p>
        </w:tc>
        <w:tc>
          <w:tcPr>
            <w:tcW w:w="770" w:type="dxa"/>
            <w:vAlign w:val="center"/>
          </w:tcPr>
          <w:p w14:paraId="007FA085">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w:t>
            </w:r>
          </w:p>
        </w:tc>
      </w:tr>
      <w:tr w14:paraId="3176A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82" w:type="dxa"/>
            <w:vAlign w:val="center"/>
          </w:tcPr>
          <w:p w14:paraId="721F7947">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6957" w:type="dxa"/>
            <w:vAlign w:val="center"/>
          </w:tcPr>
          <w:p w14:paraId="4C6DC270">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递交投标保证金证明材料复印件</w:t>
            </w:r>
          </w:p>
        </w:tc>
        <w:tc>
          <w:tcPr>
            <w:tcW w:w="770" w:type="dxa"/>
            <w:vAlign w:val="center"/>
          </w:tcPr>
          <w:p w14:paraId="5BC3E38F">
            <w:pPr>
              <w:adjustRightInd w:val="0"/>
              <w:snapToGrid w:val="0"/>
              <w:jc w:val="center"/>
              <w:rPr>
                <w:rFonts w:ascii="仿宋_GB2312" w:hAnsi="仿宋_GB2312" w:eastAsia="仿宋_GB2312" w:cs="仿宋_GB2312"/>
                <w:kern w:val="0"/>
                <w:szCs w:val="21"/>
              </w:rPr>
            </w:pPr>
          </w:p>
        </w:tc>
      </w:tr>
      <w:tr w14:paraId="5D99D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82" w:type="dxa"/>
            <w:vAlign w:val="center"/>
          </w:tcPr>
          <w:p w14:paraId="64F4573D">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6957" w:type="dxa"/>
            <w:vAlign w:val="center"/>
          </w:tcPr>
          <w:p w14:paraId="5BD2B0DA">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开标一览表</w:t>
            </w:r>
          </w:p>
        </w:tc>
        <w:tc>
          <w:tcPr>
            <w:tcW w:w="770" w:type="dxa"/>
            <w:vAlign w:val="center"/>
          </w:tcPr>
          <w:p w14:paraId="11F99200">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w:t>
            </w:r>
          </w:p>
        </w:tc>
      </w:tr>
      <w:tr w14:paraId="21C1B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82" w:type="dxa"/>
            <w:vAlign w:val="center"/>
          </w:tcPr>
          <w:p w14:paraId="3D412383">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6957" w:type="dxa"/>
            <w:vAlign w:val="center"/>
          </w:tcPr>
          <w:p w14:paraId="420844E0">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服务价格明细表</w:t>
            </w:r>
          </w:p>
        </w:tc>
        <w:tc>
          <w:tcPr>
            <w:tcW w:w="770" w:type="dxa"/>
            <w:vAlign w:val="center"/>
          </w:tcPr>
          <w:p w14:paraId="6AD96FCE">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w:t>
            </w:r>
          </w:p>
        </w:tc>
      </w:tr>
      <w:tr w14:paraId="263BE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82" w:type="dxa"/>
            <w:vAlign w:val="center"/>
          </w:tcPr>
          <w:p w14:paraId="2925890C">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6957" w:type="dxa"/>
            <w:vAlign w:val="center"/>
          </w:tcPr>
          <w:p w14:paraId="20C3AA39">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服务需求响应表</w:t>
            </w:r>
          </w:p>
        </w:tc>
        <w:tc>
          <w:tcPr>
            <w:tcW w:w="770" w:type="dxa"/>
            <w:vAlign w:val="center"/>
          </w:tcPr>
          <w:p w14:paraId="121B4CAF">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w:t>
            </w:r>
          </w:p>
        </w:tc>
      </w:tr>
      <w:tr w14:paraId="686BB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82" w:type="dxa"/>
            <w:vAlign w:val="center"/>
          </w:tcPr>
          <w:p w14:paraId="3700ACB0">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w:t>
            </w:r>
          </w:p>
        </w:tc>
        <w:tc>
          <w:tcPr>
            <w:tcW w:w="6957" w:type="dxa"/>
            <w:vAlign w:val="center"/>
          </w:tcPr>
          <w:p w14:paraId="6D9A89D0">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商务条款偏离表</w:t>
            </w:r>
          </w:p>
        </w:tc>
        <w:tc>
          <w:tcPr>
            <w:tcW w:w="770" w:type="dxa"/>
            <w:vAlign w:val="center"/>
          </w:tcPr>
          <w:p w14:paraId="75673DD5">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w:t>
            </w:r>
          </w:p>
        </w:tc>
      </w:tr>
      <w:tr w14:paraId="36D9D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82" w:type="dxa"/>
            <w:vAlign w:val="center"/>
          </w:tcPr>
          <w:p w14:paraId="0EF01A1E">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7</w:t>
            </w:r>
          </w:p>
        </w:tc>
        <w:tc>
          <w:tcPr>
            <w:tcW w:w="6957" w:type="dxa"/>
            <w:vAlign w:val="center"/>
          </w:tcPr>
          <w:p w14:paraId="1FAB94B9">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投标人关联单位说明</w:t>
            </w:r>
          </w:p>
        </w:tc>
        <w:tc>
          <w:tcPr>
            <w:tcW w:w="770" w:type="dxa"/>
            <w:vAlign w:val="center"/>
          </w:tcPr>
          <w:p w14:paraId="5C270DA7">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w:t>
            </w:r>
          </w:p>
        </w:tc>
      </w:tr>
      <w:tr w14:paraId="7FF6F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82" w:type="dxa"/>
            <w:vAlign w:val="center"/>
          </w:tcPr>
          <w:p w14:paraId="61FEAF8F">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kern w:val="0"/>
                <w:szCs w:val="21"/>
              </w:rPr>
              <w:t>8</w:t>
            </w:r>
          </w:p>
        </w:tc>
        <w:tc>
          <w:tcPr>
            <w:tcW w:w="6957" w:type="dxa"/>
            <w:vAlign w:val="center"/>
          </w:tcPr>
          <w:p w14:paraId="665B1E7A">
            <w:pPr>
              <w:adjustRightInd w:val="0"/>
              <w:snapToGrid w:val="0"/>
              <w:rPr>
                <w:rFonts w:ascii="仿宋_GB2312" w:hAnsi="仿宋_GB2312" w:eastAsia="仿宋_GB2312" w:cs="仿宋_GB2312"/>
                <w:b/>
                <w:szCs w:val="21"/>
              </w:rPr>
            </w:pPr>
            <w:r>
              <w:rPr>
                <w:rFonts w:hint="eastAsia" w:ascii="仿宋_GB2312" w:hAnsi="仿宋_GB2312" w:eastAsia="仿宋_GB2312" w:cs="仿宋_GB2312"/>
                <w:kern w:val="0"/>
                <w:szCs w:val="21"/>
              </w:rPr>
              <w:t>其他符合性证明材料</w:t>
            </w:r>
          </w:p>
        </w:tc>
        <w:tc>
          <w:tcPr>
            <w:tcW w:w="770" w:type="dxa"/>
            <w:vAlign w:val="center"/>
          </w:tcPr>
          <w:p w14:paraId="53E76B56">
            <w:pPr>
              <w:adjustRightInd w:val="0"/>
              <w:snapToGrid w:val="0"/>
              <w:jc w:val="center"/>
              <w:rPr>
                <w:rFonts w:ascii="仿宋_GB2312" w:hAnsi="仿宋_GB2312" w:eastAsia="仿宋_GB2312" w:cs="仿宋_GB2312"/>
                <w:kern w:val="0"/>
                <w:szCs w:val="21"/>
              </w:rPr>
            </w:pPr>
          </w:p>
        </w:tc>
      </w:tr>
    </w:tbl>
    <w:p w14:paraId="17DA66C6">
      <w:pPr>
        <w:snapToGrid w:val="0"/>
        <w:spacing w:before="159" w:beforeLines="50"/>
        <w:rPr>
          <w:rFonts w:ascii="仿宋_GB2312" w:hAnsi="仿宋_GB2312" w:eastAsia="仿宋_GB2312" w:cs="仿宋_GB2312"/>
          <w:b/>
          <w:sz w:val="24"/>
        </w:rPr>
      </w:pPr>
      <w:bookmarkStart w:id="56" w:name="_Toc27769_WPSOffice_Level2"/>
      <w:bookmarkStart w:id="57" w:name="_Toc24432_WPSOffice_Level2"/>
      <w:r>
        <w:rPr>
          <w:rFonts w:hint="eastAsia" w:ascii="仿宋_GB2312" w:hAnsi="仿宋_GB2312" w:eastAsia="仿宋_GB2312" w:cs="仿宋_GB2312"/>
          <w:b/>
          <w:sz w:val="24"/>
        </w:rPr>
        <w:t>四、其他材料</w:t>
      </w:r>
      <w:bookmarkEnd w:id="56"/>
      <w:bookmarkEnd w:id="57"/>
      <w:r>
        <w:rPr>
          <w:rFonts w:hint="eastAsia" w:ascii="仿宋_GB2312" w:hAnsi="仿宋_GB2312" w:eastAsia="仿宋_GB2312" w:cs="仿宋_GB2312"/>
          <w:b/>
          <w:sz w:val="24"/>
        </w:rPr>
        <w:t>（如有，请提供；如未提供，投标文件不作无效处理）</w:t>
      </w:r>
    </w:p>
    <w:tbl>
      <w:tblPr>
        <w:tblStyle w:val="21"/>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6957"/>
        <w:gridCol w:w="770"/>
      </w:tblGrid>
      <w:tr w14:paraId="50DD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682" w:type="dxa"/>
            <w:vAlign w:val="center"/>
          </w:tcPr>
          <w:p w14:paraId="12E527B9">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序号</w:t>
            </w:r>
          </w:p>
        </w:tc>
        <w:tc>
          <w:tcPr>
            <w:tcW w:w="6957" w:type="dxa"/>
            <w:vAlign w:val="center"/>
          </w:tcPr>
          <w:p w14:paraId="094845D1">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其他材料</w:t>
            </w:r>
          </w:p>
        </w:tc>
        <w:tc>
          <w:tcPr>
            <w:tcW w:w="770" w:type="dxa"/>
            <w:vAlign w:val="center"/>
          </w:tcPr>
          <w:p w14:paraId="783DDDC2">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r>
      <w:tr w14:paraId="307EC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82" w:type="dxa"/>
            <w:vAlign w:val="center"/>
          </w:tcPr>
          <w:p w14:paraId="3C1ED215">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6957" w:type="dxa"/>
            <w:vAlign w:val="center"/>
          </w:tcPr>
          <w:p w14:paraId="638B47F0">
            <w:pPr>
              <w:adjustRightInd w:val="0"/>
              <w:snapToGrid w:val="0"/>
              <w:ind w:left="25" w:leftChars="12"/>
              <w:rPr>
                <w:rFonts w:ascii="仿宋_GB2312" w:hAnsi="仿宋_GB2312" w:eastAsia="仿宋_GB2312" w:cs="仿宋_GB2312"/>
                <w:kern w:val="0"/>
                <w:szCs w:val="21"/>
              </w:rPr>
            </w:pPr>
            <w:r>
              <w:rPr>
                <w:rFonts w:hint="eastAsia" w:ascii="仿宋_GB2312" w:hAnsi="仿宋_GB2312" w:eastAsia="仿宋_GB2312" w:cs="仿宋_GB2312"/>
                <w:kern w:val="0"/>
                <w:szCs w:val="21"/>
              </w:rPr>
              <w:t>监狱企业证明文件</w:t>
            </w:r>
          </w:p>
        </w:tc>
        <w:tc>
          <w:tcPr>
            <w:tcW w:w="770" w:type="dxa"/>
            <w:vAlign w:val="center"/>
          </w:tcPr>
          <w:p w14:paraId="3400F36E">
            <w:pPr>
              <w:adjustRightInd w:val="0"/>
              <w:snapToGrid w:val="0"/>
              <w:jc w:val="center"/>
              <w:rPr>
                <w:rFonts w:ascii="仿宋_GB2312" w:hAnsi="仿宋_GB2312" w:eastAsia="仿宋_GB2312" w:cs="仿宋_GB2312"/>
                <w:kern w:val="0"/>
                <w:szCs w:val="21"/>
              </w:rPr>
            </w:pPr>
          </w:p>
        </w:tc>
      </w:tr>
      <w:tr w14:paraId="5AD95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82" w:type="dxa"/>
            <w:vAlign w:val="center"/>
          </w:tcPr>
          <w:p w14:paraId="4C34CC7C">
            <w:pPr>
              <w:adjustRightInd w:val="0"/>
              <w:snapToGrid w:val="0"/>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val="en-US" w:eastAsia="zh-CN"/>
              </w:rPr>
              <w:t>2</w:t>
            </w:r>
          </w:p>
        </w:tc>
        <w:tc>
          <w:tcPr>
            <w:tcW w:w="6957" w:type="dxa"/>
            <w:vAlign w:val="center"/>
          </w:tcPr>
          <w:p w14:paraId="4ABCDE26">
            <w:pPr>
              <w:adjustRightInd w:val="0"/>
              <w:snapToGrid w:val="0"/>
              <w:ind w:left="25" w:leftChars="12"/>
              <w:rPr>
                <w:rFonts w:ascii="仿宋_GB2312" w:hAnsi="仿宋_GB2312" w:eastAsia="仿宋_GB2312" w:cs="仿宋_GB2312"/>
                <w:kern w:val="0"/>
                <w:szCs w:val="21"/>
              </w:rPr>
            </w:pPr>
            <w:r>
              <w:rPr>
                <w:rFonts w:hint="eastAsia" w:ascii="仿宋_GB2312" w:hAnsi="仿宋_GB2312" w:eastAsia="仿宋_GB2312" w:cs="仿宋_GB2312"/>
                <w:szCs w:val="21"/>
              </w:rPr>
              <w:t>制造商企业（单位）类型声明函</w:t>
            </w:r>
          </w:p>
        </w:tc>
        <w:tc>
          <w:tcPr>
            <w:tcW w:w="770" w:type="dxa"/>
            <w:vAlign w:val="center"/>
          </w:tcPr>
          <w:p w14:paraId="5782C56C">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17</w:t>
            </w:r>
          </w:p>
        </w:tc>
      </w:tr>
      <w:tr w14:paraId="4D34D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82" w:type="dxa"/>
            <w:vAlign w:val="center"/>
          </w:tcPr>
          <w:p w14:paraId="66AF2452">
            <w:pPr>
              <w:adjustRightInd w:val="0"/>
              <w:snapToGrid w:val="0"/>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val="en-US" w:eastAsia="zh-CN"/>
              </w:rPr>
              <w:t>3</w:t>
            </w:r>
          </w:p>
        </w:tc>
        <w:tc>
          <w:tcPr>
            <w:tcW w:w="6957" w:type="dxa"/>
            <w:vAlign w:val="center"/>
          </w:tcPr>
          <w:p w14:paraId="22F675BB">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残疾人福利性单位声明函</w:t>
            </w:r>
          </w:p>
        </w:tc>
        <w:tc>
          <w:tcPr>
            <w:tcW w:w="770" w:type="dxa"/>
            <w:vAlign w:val="center"/>
          </w:tcPr>
          <w:p w14:paraId="33AB21F8">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18</w:t>
            </w:r>
          </w:p>
        </w:tc>
      </w:tr>
      <w:tr w14:paraId="736A9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82" w:type="dxa"/>
            <w:vAlign w:val="center"/>
          </w:tcPr>
          <w:p w14:paraId="16908D26">
            <w:pPr>
              <w:adjustRightInd w:val="0"/>
              <w:snapToGrid w:val="0"/>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val="en-US" w:eastAsia="zh-CN"/>
              </w:rPr>
              <w:t>4</w:t>
            </w:r>
          </w:p>
        </w:tc>
        <w:tc>
          <w:tcPr>
            <w:tcW w:w="6957" w:type="dxa"/>
            <w:vAlign w:val="center"/>
          </w:tcPr>
          <w:p w14:paraId="15ADD481">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聘用建档立卡贫困人员物业公司声明函</w:t>
            </w:r>
          </w:p>
        </w:tc>
        <w:tc>
          <w:tcPr>
            <w:tcW w:w="770" w:type="dxa"/>
            <w:vAlign w:val="center"/>
          </w:tcPr>
          <w:p w14:paraId="3279FE11">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19</w:t>
            </w:r>
          </w:p>
        </w:tc>
      </w:tr>
      <w:tr w14:paraId="054F9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82" w:type="dxa"/>
            <w:vAlign w:val="center"/>
          </w:tcPr>
          <w:p w14:paraId="2622DB2C">
            <w:pPr>
              <w:adjustRightInd w:val="0"/>
              <w:snapToGrid w:val="0"/>
              <w:jc w:val="center"/>
              <w:rPr>
                <w:rFonts w:ascii="仿宋_GB2312" w:hAnsi="仿宋_GB2312" w:eastAsia="仿宋_GB2312" w:cs="仿宋_GB2312"/>
                <w:kern w:val="0"/>
                <w:szCs w:val="21"/>
              </w:rPr>
            </w:pPr>
          </w:p>
        </w:tc>
        <w:tc>
          <w:tcPr>
            <w:tcW w:w="6957" w:type="dxa"/>
            <w:vAlign w:val="center"/>
          </w:tcPr>
          <w:p w14:paraId="78363922">
            <w:pPr>
              <w:pStyle w:val="39"/>
              <w:adjustRightInd w:val="0"/>
              <w:snapToGrid w:val="0"/>
              <w:ind w:left="25" w:leftChars="12" w:firstLine="0" w:firstLineChars="0"/>
              <w:rPr>
                <w:rFonts w:hint="eastAsia" w:ascii="仿宋_GB2312" w:hAnsi="仿宋_GB2312" w:eastAsia="仿宋_GB2312" w:cs="仿宋_GB2312"/>
                <w:kern w:val="0"/>
                <w:szCs w:val="21"/>
                <w:lang w:val="en-US" w:eastAsia="zh-CN"/>
              </w:rPr>
            </w:pPr>
          </w:p>
        </w:tc>
        <w:tc>
          <w:tcPr>
            <w:tcW w:w="770" w:type="dxa"/>
            <w:vAlign w:val="center"/>
          </w:tcPr>
          <w:p w14:paraId="5A37D23F">
            <w:pPr>
              <w:adjustRightInd w:val="0"/>
              <w:snapToGrid w:val="0"/>
              <w:jc w:val="center"/>
              <w:rPr>
                <w:rFonts w:hint="default" w:ascii="仿宋_GB2312" w:hAnsi="仿宋_GB2312" w:eastAsia="仿宋_GB2312" w:cs="仿宋_GB2312"/>
                <w:kern w:val="0"/>
                <w:szCs w:val="21"/>
                <w:lang w:val="en-US" w:eastAsia="zh-CN"/>
              </w:rPr>
            </w:pPr>
          </w:p>
        </w:tc>
      </w:tr>
    </w:tbl>
    <w:p w14:paraId="10322952">
      <w:pPr>
        <w:adjustRightInd w:val="0"/>
        <w:snapToGrid w:val="0"/>
        <w:spacing w:line="300" w:lineRule="exact"/>
        <w:ind w:firstLine="480" w:firstLineChars="200"/>
        <w:rPr>
          <w:rFonts w:ascii="仿宋_GB2312" w:hAnsi="仿宋_GB2312" w:eastAsia="仿宋_GB2312" w:cs="仿宋_GB2312"/>
          <w:b/>
          <w:sz w:val="24"/>
        </w:rPr>
      </w:pPr>
      <w:r>
        <w:rPr>
          <w:rFonts w:hint="eastAsia" w:ascii="仿宋_GB2312" w:hAnsi="仿宋_GB2312" w:eastAsia="仿宋_GB2312" w:cs="仿宋_GB2312"/>
          <w:b/>
          <w:sz w:val="24"/>
        </w:rPr>
        <w:t xml:space="preserve"> </w:t>
      </w:r>
      <w:bookmarkStart w:id="58" w:name="_Toc23127_WPSOffice_Level2"/>
      <w:bookmarkStart w:id="59" w:name="_Toc24011_WPSOffice_Level2"/>
      <w:r>
        <w:rPr>
          <w:rFonts w:hint="eastAsia" w:ascii="仿宋_GB2312" w:hAnsi="仿宋_GB2312" w:eastAsia="仿宋_GB2312" w:cs="仿宋_GB2312"/>
          <w:b/>
          <w:sz w:val="24"/>
        </w:rPr>
        <w:t>重要提示：</w:t>
      </w:r>
      <w:bookmarkEnd w:id="58"/>
      <w:bookmarkEnd w:id="59"/>
    </w:p>
    <w:p w14:paraId="30D2F438">
      <w:pPr>
        <w:adjustRightInd w:val="0"/>
        <w:snapToGrid w:val="0"/>
        <w:spacing w:line="3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1、投标人提供的证明材料，除需要投标人填报或有特殊说明外，均须按要求提供。</w:t>
      </w:r>
      <w:r>
        <w:rPr>
          <w:rFonts w:hint="eastAsia" w:ascii="仿宋_GB2312" w:hAnsi="仿宋_GB2312" w:eastAsia="仿宋_GB2312" w:cs="仿宋_GB2312"/>
          <w:b/>
          <w:bCs/>
          <w:szCs w:val="21"/>
        </w:rPr>
        <w:t xml:space="preserve"> </w:t>
      </w:r>
    </w:p>
    <w:p w14:paraId="78CF2CAC">
      <w:pPr>
        <w:adjustRightInd w:val="0"/>
        <w:snapToGrid w:val="0"/>
        <w:spacing w:line="3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2、投标人在编制投标文件时，对于给定格式的文件内容，必须按照给定的标准格式进行填报；对于没有给定标准格式的文件内容，可以由投标人自行设计。</w:t>
      </w:r>
    </w:p>
    <w:p w14:paraId="1E7B7C8B">
      <w:pPr>
        <w:adjustRightInd w:val="0"/>
        <w:snapToGrid w:val="0"/>
        <w:spacing w:line="3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3、投标文件应用中文书写。投标文件中所附或所引用的材料不是中文时，应附中文译本，并加盖公章（自然人投标的，无需加盖单位公章，需要签字）。</w:t>
      </w:r>
    </w:p>
    <w:p w14:paraId="65D95BCD">
      <w:pPr>
        <w:adjustRightInd w:val="0"/>
        <w:snapToGrid w:val="0"/>
        <w:spacing w:line="300" w:lineRule="exact"/>
        <w:ind w:firstLine="420" w:firstLineChars="200"/>
        <w:rPr>
          <w:rFonts w:ascii="仿宋_GB2312" w:hAnsi="仿宋_GB2312" w:eastAsia="仿宋_GB2312" w:cs="仿宋_GB2312"/>
        </w:rPr>
      </w:pPr>
      <w:r>
        <w:rPr>
          <w:rFonts w:hint="eastAsia" w:ascii="仿宋_GB2312" w:hAnsi="仿宋_GB2312" w:eastAsia="仿宋_GB2312" w:cs="仿宋_GB2312"/>
          <w:szCs w:val="21"/>
        </w:rPr>
        <w:t>4、</w:t>
      </w:r>
      <w:r>
        <w:rPr>
          <w:rFonts w:hint="eastAsia" w:ascii="仿宋_GB2312" w:hAnsi="仿宋_GB2312" w:eastAsia="仿宋_GB2312" w:cs="仿宋_GB2312"/>
          <w:b/>
          <w:bCs/>
          <w:szCs w:val="21"/>
        </w:rPr>
        <w:t>“资格证明材料”</w:t>
      </w:r>
      <w:r>
        <w:rPr>
          <w:rFonts w:hint="eastAsia" w:ascii="仿宋_GB2312" w:hAnsi="仿宋_GB2312" w:eastAsia="仿宋_GB2312" w:cs="仿宋_GB2312"/>
        </w:rPr>
        <w:t>所列内容即为采购项目的资格审查条件，有一项不符合要求，不能进入下一阶段评审。</w:t>
      </w:r>
    </w:p>
    <w:p w14:paraId="2E6E0C9E">
      <w:pPr>
        <w:adjustRightInd w:val="0"/>
        <w:snapToGrid w:val="0"/>
        <w:spacing w:line="300" w:lineRule="exact"/>
        <w:ind w:firstLine="420" w:firstLineChars="200"/>
        <w:rPr>
          <w:rFonts w:ascii="仿宋_GB2312" w:hAnsi="仿宋_GB2312" w:eastAsia="仿宋_GB2312" w:cs="仿宋_GB2312"/>
        </w:rPr>
      </w:pPr>
      <w:r>
        <w:rPr>
          <w:rFonts w:hint="eastAsia" w:ascii="仿宋_GB2312" w:hAnsi="仿宋_GB2312" w:eastAsia="仿宋_GB2312" w:cs="仿宋_GB2312"/>
        </w:rPr>
        <w:t>5、</w:t>
      </w:r>
      <w:r>
        <w:rPr>
          <w:rFonts w:hint="eastAsia" w:ascii="仿宋_GB2312" w:hAnsi="仿宋_GB2312" w:eastAsia="仿宋_GB2312" w:cs="仿宋_GB2312"/>
          <w:b/>
          <w:bCs/>
          <w:szCs w:val="21"/>
        </w:rPr>
        <w:t>“符合性证明材料”</w:t>
      </w:r>
      <w:r>
        <w:rPr>
          <w:rFonts w:hint="eastAsia" w:ascii="仿宋_GB2312" w:hAnsi="仿宋_GB2312" w:eastAsia="仿宋_GB2312" w:cs="仿宋_GB2312"/>
        </w:rPr>
        <w:t>所列内容即为采购项目的符合性审查条件，有一项不符合要求，不能进入下一阶段评审。</w:t>
      </w:r>
    </w:p>
    <w:p w14:paraId="3634231C">
      <w:pPr>
        <w:adjustRightInd w:val="0"/>
        <w:snapToGrid w:val="0"/>
        <w:spacing w:line="3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rPr>
        <w:t>6、</w:t>
      </w:r>
      <w:r>
        <w:rPr>
          <w:rFonts w:hint="eastAsia" w:ascii="仿宋_GB2312" w:hAnsi="仿宋_GB2312" w:eastAsia="仿宋_GB2312" w:cs="仿宋_GB2312"/>
          <w:szCs w:val="21"/>
        </w:rPr>
        <w:t>“其他材料”</w:t>
      </w:r>
    </w:p>
    <w:p w14:paraId="5DB5B0D9">
      <w:pPr>
        <w:adjustRightInd w:val="0"/>
        <w:snapToGrid w:val="0"/>
        <w:spacing w:line="300" w:lineRule="exact"/>
        <w:ind w:firstLine="420" w:firstLineChars="200"/>
        <w:rPr>
          <w:rFonts w:ascii="仿宋_GB2312" w:hAnsi="仿宋_GB2312" w:eastAsia="仿宋_GB2312" w:cs="仿宋_GB2312"/>
          <w:kern w:val="0"/>
          <w:szCs w:val="21"/>
        </w:rPr>
      </w:pPr>
      <w:r>
        <w:rPr>
          <w:rFonts w:hint="eastAsia" w:ascii="仿宋_GB2312" w:hAnsi="仿宋_GB2312" w:eastAsia="仿宋_GB2312" w:cs="仿宋_GB2312"/>
          <w:szCs w:val="21"/>
        </w:rPr>
        <w:t>（1）</w:t>
      </w:r>
      <w:r>
        <w:rPr>
          <w:rFonts w:hint="eastAsia" w:ascii="仿宋_GB2312" w:hAnsi="仿宋_GB2312" w:eastAsia="仿宋_GB2312" w:cs="仿宋_GB2312"/>
          <w:kern w:val="0"/>
          <w:szCs w:val="21"/>
        </w:rPr>
        <w:t>综合评分法：</w:t>
      </w:r>
      <w:r>
        <w:rPr>
          <w:rFonts w:hint="eastAsia" w:ascii="仿宋_GB2312" w:hAnsi="仿宋_GB2312" w:eastAsia="仿宋_GB2312" w:cs="仿宋_GB2312"/>
          <w:szCs w:val="21"/>
        </w:rPr>
        <w:t>投标人可就</w:t>
      </w:r>
      <w:r>
        <w:rPr>
          <w:rFonts w:hint="eastAsia" w:ascii="仿宋_GB2312" w:hAnsi="仿宋_GB2312" w:eastAsia="仿宋_GB2312" w:cs="仿宋_GB2312"/>
          <w:kern w:val="0"/>
          <w:szCs w:val="21"/>
        </w:rPr>
        <w:t>招标文件要求以及评分细则中各项要求提供相应材料。</w:t>
      </w:r>
    </w:p>
    <w:p w14:paraId="0D3CAD11">
      <w:pPr>
        <w:adjustRightInd w:val="0"/>
        <w:snapToGrid w:val="0"/>
        <w:spacing w:line="3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w:t>
      </w:r>
      <w:r>
        <w:rPr>
          <w:rFonts w:hint="eastAsia" w:ascii="仿宋_GB2312" w:hAnsi="仿宋_GB2312" w:eastAsia="仿宋_GB2312" w:cs="仿宋_GB2312"/>
          <w:kern w:val="0"/>
          <w:szCs w:val="21"/>
        </w:rPr>
        <w:t>最低评标价法：</w:t>
      </w:r>
      <w:r>
        <w:rPr>
          <w:rFonts w:hint="eastAsia" w:ascii="仿宋_GB2312" w:hAnsi="仿宋_GB2312" w:eastAsia="仿宋_GB2312" w:cs="仿宋_GB2312"/>
          <w:szCs w:val="21"/>
        </w:rPr>
        <w:t>投标人可就</w:t>
      </w:r>
      <w:r>
        <w:rPr>
          <w:rFonts w:hint="eastAsia" w:ascii="仿宋_GB2312" w:hAnsi="仿宋_GB2312" w:eastAsia="仿宋_GB2312" w:cs="仿宋_GB2312"/>
          <w:kern w:val="0"/>
          <w:szCs w:val="21"/>
        </w:rPr>
        <w:t>招标文件要求提供相应材料。</w:t>
      </w:r>
    </w:p>
    <w:p w14:paraId="4D617824">
      <w:pPr>
        <w:rPr>
          <w:rFonts w:ascii="仿宋_GB2312" w:hAnsi="仿宋_GB2312" w:eastAsia="仿宋_GB2312" w:cs="仿宋_GB2312"/>
        </w:rPr>
      </w:pPr>
      <w:r>
        <w:rPr>
          <w:rFonts w:hint="eastAsia" w:ascii="仿宋_GB2312" w:hAnsi="仿宋_GB2312" w:eastAsia="仿宋_GB2312" w:cs="仿宋_GB2312"/>
        </w:rPr>
        <w:br w:type="page"/>
      </w:r>
    </w:p>
    <w:p w14:paraId="33ECF867">
      <w:pPr>
        <w:pStyle w:val="5"/>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w:t>
      </w:r>
    </w:p>
    <w:p w14:paraId="760F5C3E">
      <w:pPr>
        <w:jc w:val="center"/>
        <w:rPr>
          <w:rFonts w:ascii="仿宋_GB2312" w:hAnsi="仿宋_GB2312" w:eastAsia="仿宋_GB2312" w:cs="仿宋_GB2312"/>
          <w:b/>
          <w:bCs/>
          <w:sz w:val="32"/>
          <w:szCs w:val="32"/>
        </w:rPr>
      </w:pPr>
      <w:bookmarkStart w:id="60" w:name="_Toc26322_WPSOffice_Level2"/>
      <w:bookmarkStart w:id="61" w:name="_Toc21090_WPSOffice_Level2"/>
      <w:r>
        <w:rPr>
          <w:rFonts w:hint="eastAsia" w:ascii="仿宋_GB2312" w:hAnsi="仿宋_GB2312" w:eastAsia="仿宋_GB2312" w:cs="仿宋_GB2312"/>
          <w:b/>
          <w:bCs/>
          <w:sz w:val="32"/>
          <w:szCs w:val="32"/>
        </w:rPr>
        <w:t>投标文件、电子文档外封面、封口格式</w:t>
      </w:r>
      <w:bookmarkEnd w:id="60"/>
      <w:bookmarkEnd w:id="61"/>
    </w:p>
    <w:p w14:paraId="5E4F4D2B">
      <w:pPr>
        <w:rPr>
          <w:rFonts w:ascii="仿宋_GB2312" w:hAnsi="仿宋_GB2312" w:eastAsia="仿宋_GB2312" w:cs="仿宋_GB2312"/>
        </w:rPr>
      </w:pPr>
      <w:r>
        <w:rPr>
          <w:rFonts w:hint="eastAsia" w:ascii="仿宋_GB2312" w:hAnsi="仿宋_GB2312" w:eastAsia="仿宋_GB2312" w:cs="仿宋_GB2312"/>
          <w:sz w:val="28"/>
          <w:szCs w:val="28"/>
        </w:rPr>
        <w:t>封面格式：</w:t>
      </w:r>
    </w:p>
    <w:tbl>
      <w:tblPr>
        <w:tblStyle w:val="21"/>
        <w:tblW w:w="596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960"/>
      </w:tblGrid>
      <w:tr w14:paraId="7072AC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90" w:hRule="atLeast"/>
          <w:jc w:val="center"/>
        </w:trPr>
        <w:tc>
          <w:tcPr>
            <w:tcW w:w="5960" w:type="dxa"/>
          </w:tcPr>
          <w:p w14:paraId="3C4BCB96">
            <w:pPr>
              <w:jc w:val="center"/>
              <w:rPr>
                <w:rFonts w:ascii="仿宋_GB2312" w:hAnsi="仿宋_GB2312" w:eastAsia="仿宋_GB2312" w:cs="仿宋_GB2312"/>
                <w:b/>
                <w:bCs/>
              </w:rPr>
            </w:pPr>
          </w:p>
          <w:p w14:paraId="3024BBDB">
            <w:pPr>
              <w:jc w:val="center"/>
              <w:rPr>
                <w:rFonts w:ascii="仿宋_GB2312" w:hAnsi="仿宋_GB2312" w:eastAsia="仿宋_GB2312" w:cs="仿宋_GB2312"/>
                <w:b/>
                <w:bCs/>
              </w:rPr>
            </w:pPr>
          </w:p>
          <w:p w14:paraId="61BA7512">
            <w:pPr>
              <w:jc w:val="center"/>
              <w:rPr>
                <w:rFonts w:ascii="仿宋_GB2312" w:hAnsi="仿宋_GB2312" w:eastAsia="仿宋_GB2312" w:cs="仿宋_GB2312"/>
                <w:b/>
                <w:bCs/>
              </w:rPr>
            </w:pPr>
          </w:p>
          <w:p w14:paraId="5576339B">
            <w:pPr>
              <w:jc w:val="center"/>
              <w:rPr>
                <w:rFonts w:ascii="仿宋_GB2312" w:hAnsi="仿宋_GB2312" w:eastAsia="仿宋_GB2312" w:cs="仿宋_GB2312"/>
                <w:b/>
                <w:bCs/>
              </w:rPr>
            </w:pPr>
          </w:p>
          <w:p w14:paraId="02DC5B05">
            <w:pPr>
              <w:jc w:val="center"/>
              <w:rPr>
                <w:rFonts w:ascii="仿宋_GB2312" w:hAnsi="仿宋_GB2312" w:eastAsia="仿宋_GB2312" w:cs="仿宋_GB2312"/>
                <w:b/>
                <w:bCs/>
              </w:rPr>
            </w:pPr>
          </w:p>
          <w:p w14:paraId="78FAD97D">
            <w:pPr>
              <w:jc w:val="center"/>
              <w:rPr>
                <w:rFonts w:ascii="仿宋_GB2312" w:hAnsi="仿宋_GB2312" w:eastAsia="仿宋_GB2312" w:cs="仿宋_GB2312"/>
                <w:b/>
                <w:bCs/>
              </w:rPr>
            </w:pPr>
            <w:r>
              <w:rPr>
                <w:rFonts w:hint="eastAsia" w:ascii="仿宋_GB2312" w:hAnsi="仿宋_GB2312" w:eastAsia="仿宋_GB2312" w:cs="仿宋_GB2312"/>
                <w:b/>
                <w:bCs/>
                <w:sz w:val="44"/>
                <w:szCs w:val="52"/>
              </w:rPr>
              <w:t>投标文件/电子文档</w:t>
            </w:r>
          </w:p>
          <w:p w14:paraId="6090D5D0">
            <w:pPr>
              <w:jc w:val="left"/>
              <w:rPr>
                <w:rFonts w:ascii="仿宋_GB2312" w:hAnsi="仿宋_GB2312" w:eastAsia="仿宋_GB2312" w:cs="仿宋_GB2312"/>
              </w:rPr>
            </w:pPr>
          </w:p>
          <w:p w14:paraId="7ADB2E5C">
            <w:pPr>
              <w:jc w:val="left"/>
              <w:rPr>
                <w:rFonts w:ascii="仿宋_GB2312" w:hAnsi="仿宋_GB2312" w:eastAsia="仿宋_GB2312" w:cs="仿宋_GB2312"/>
              </w:rPr>
            </w:pPr>
          </w:p>
          <w:p w14:paraId="6DF95027">
            <w:pPr>
              <w:jc w:val="left"/>
              <w:rPr>
                <w:rFonts w:ascii="仿宋_GB2312" w:hAnsi="仿宋_GB2312" w:eastAsia="仿宋_GB2312" w:cs="仿宋_GB2312"/>
              </w:rPr>
            </w:pPr>
          </w:p>
          <w:p w14:paraId="7086E16B">
            <w:pPr>
              <w:jc w:val="left"/>
              <w:rPr>
                <w:rFonts w:ascii="仿宋_GB2312" w:hAnsi="仿宋_GB2312" w:eastAsia="仿宋_GB2312" w:cs="仿宋_GB2312"/>
              </w:rPr>
            </w:pPr>
          </w:p>
          <w:p w14:paraId="6A408C8B">
            <w:pPr>
              <w:jc w:val="left"/>
              <w:rPr>
                <w:rFonts w:ascii="仿宋_GB2312" w:hAnsi="仿宋_GB2312" w:eastAsia="仿宋_GB2312" w:cs="仿宋_GB2312"/>
              </w:rPr>
            </w:pPr>
          </w:p>
          <w:p w14:paraId="78E87196">
            <w:pPr>
              <w:jc w:val="left"/>
              <w:rPr>
                <w:rFonts w:ascii="仿宋_GB2312" w:hAnsi="仿宋_GB2312" w:eastAsia="仿宋_GB2312" w:cs="仿宋_GB2312"/>
              </w:rPr>
            </w:pPr>
          </w:p>
          <w:p w14:paraId="04287A07">
            <w:pPr>
              <w:jc w:val="left"/>
              <w:rPr>
                <w:rFonts w:ascii="仿宋_GB2312" w:hAnsi="仿宋_GB2312" w:eastAsia="仿宋_GB2312" w:cs="仿宋_GB2312"/>
              </w:rPr>
            </w:pPr>
          </w:p>
          <w:p w14:paraId="4EB4789A">
            <w:pPr>
              <w:jc w:val="left"/>
              <w:rPr>
                <w:rFonts w:ascii="仿宋_GB2312" w:hAnsi="仿宋_GB2312" w:eastAsia="仿宋_GB2312" w:cs="仿宋_GB2312"/>
              </w:rPr>
            </w:pPr>
            <w:r>
              <w:rPr>
                <w:rFonts w:hint="eastAsia" w:ascii="仿宋_GB2312" w:hAnsi="仿宋_GB2312" w:eastAsia="仿宋_GB2312" w:cs="仿宋_GB2312"/>
              </w:rPr>
              <w:t>所投包号：第  包</w:t>
            </w:r>
          </w:p>
          <w:p w14:paraId="5ED29766">
            <w:pPr>
              <w:jc w:val="left"/>
              <w:rPr>
                <w:rFonts w:ascii="仿宋_GB2312" w:hAnsi="仿宋_GB2312" w:eastAsia="仿宋_GB2312" w:cs="仿宋_GB2312"/>
              </w:rPr>
            </w:pPr>
          </w:p>
          <w:p w14:paraId="0C355620">
            <w:pPr>
              <w:jc w:val="left"/>
              <w:rPr>
                <w:rFonts w:ascii="仿宋_GB2312" w:hAnsi="仿宋_GB2312" w:eastAsia="仿宋_GB2312" w:cs="仿宋_GB2312"/>
              </w:rPr>
            </w:pPr>
            <w:r>
              <w:rPr>
                <w:rFonts w:hint="eastAsia" w:ascii="仿宋_GB2312" w:hAnsi="仿宋_GB2312" w:eastAsia="仿宋_GB2312" w:cs="仿宋_GB2312"/>
              </w:rPr>
              <w:t>项目名称：</w:t>
            </w:r>
          </w:p>
          <w:p w14:paraId="1844DA1D">
            <w:pPr>
              <w:jc w:val="left"/>
              <w:rPr>
                <w:rFonts w:ascii="仿宋_GB2312" w:hAnsi="仿宋_GB2312" w:eastAsia="仿宋_GB2312" w:cs="仿宋_GB2312"/>
              </w:rPr>
            </w:pPr>
          </w:p>
          <w:p w14:paraId="4560C87D">
            <w:pPr>
              <w:jc w:val="left"/>
              <w:rPr>
                <w:rFonts w:ascii="仿宋_GB2312" w:hAnsi="仿宋_GB2312" w:eastAsia="仿宋_GB2312" w:cs="仿宋_GB2312"/>
              </w:rPr>
            </w:pPr>
            <w:r>
              <w:rPr>
                <w:rFonts w:hint="eastAsia" w:ascii="仿宋_GB2312" w:hAnsi="仿宋_GB2312" w:eastAsia="仿宋_GB2312" w:cs="仿宋_GB2312"/>
              </w:rPr>
              <w:t>项目编号：</w:t>
            </w:r>
          </w:p>
          <w:p w14:paraId="0711CF7B">
            <w:pPr>
              <w:jc w:val="center"/>
              <w:rPr>
                <w:rFonts w:ascii="仿宋_GB2312" w:hAnsi="仿宋_GB2312" w:eastAsia="仿宋_GB2312" w:cs="仿宋_GB2312"/>
              </w:rPr>
            </w:pPr>
          </w:p>
          <w:p w14:paraId="034FC39E">
            <w:pPr>
              <w:jc w:val="center"/>
              <w:rPr>
                <w:rFonts w:ascii="仿宋_GB2312" w:hAnsi="仿宋_GB2312" w:eastAsia="仿宋_GB2312" w:cs="仿宋_GB2312"/>
              </w:rPr>
            </w:pPr>
          </w:p>
          <w:p w14:paraId="065C1340">
            <w:pPr>
              <w:jc w:val="center"/>
              <w:rPr>
                <w:rFonts w:ascii="仿宋_GB2312" w:hAnsi="仿宋_GB2312" w:eastAsia="仿宋_GB2312" w:cs="仿宋_GB2312"/>
              </w:rPr>
            </w:pPr>
          </w:p>
          <w:p w14:paraId="6DBC06D8">
            <w:pPr>
              <w:jc w:val="left"/>
              <w:rPr>
                <w:rFonts w:ascii="仿宋_GB2312" w:hAnsi="仿宋_GB2312" w:eastAsia="仿宋_GB2312" w:cs="仿宋_GB2312"/>
              </w:rPr>
            </w:pPr>
            <w:r>
              <w:rPr>
                <w:rFonts w:hint="eastAsia" w:ascii="仿宋_GB2312" w:hAnsi="仿宋_GB2312" w:eastAsia="仿宋_GB2312" w:cs="仿宋_GB2312"/>
              </w:rPr>
              <w:t>投标人名称（加盖单位公章）</w:t>
            </w:r>
          </w:p>
        </w:tc>
      </w:tr>
    </w:tbl>
    <w:p w14:paraId="33375975">
      <w:pPr>
        <w:rPr>
          <w:rFonts w:ascii="仿宋_GB2312" w:hAnsi="仿宋_GB2312" w:eastAsia="仿宋_GB2312" w:cs="仿宋_GB2312"/>
        </w:rPr>
      </w:pPr>
    </w:p>
    <w:p w14:paraId="5D3C5896">
      <w:pPr>
        <w:rPr>
          <w:rFonts w:ascii="仿宋_GB2312" w:hAnsi="仿宋_GB2312" w:eastAsia="仿宋_GB2312" w:cs="仿宋_GB2312"/>
        </w:rPr>
      </w:pPr>
    </w:p>
    <w:p w14:paraId="7F615842">
      <w:pPr>
        <w:rPr>
          <w:rFonts w:ascii="仿宋_GB2312" w:hAnsi="仿宋_GB2312" w:eastAsia="仿宋_GB2312" w:cs="仿宋_GB2312"/>
        </w:rPr>
      </w:pPr>
      <w:r>
        <w:rPr>
          <w:rFonts w:hint="eastAsia" w:ascii="仿宋_GB2312" w:hAnsi="仿宋_GB2312" w:eastAsia="仿宋_GB2312" w:cs="仿宋_GB2312"/>
          <w:sz w:val="24"/>
          <w:szCs w:val="32"/>
        </w:rPr>
        <w:t>封口格式：</w:t>
      </w:r>
    </w:p>
    <w:tbl>
      <w:tblPr>
        <w:tblStyle w:val="21"/>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0"/>
      </w:tblGrid>
      <w:tr w14:paraId="3B2C6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8220" w:type="dxa"/>
            <w:tcBorders>
              <w:top w:val="single" w:color="auto" w:sz="4" w:space="0"/>
              <w:left w:val="single" w:color="auto" w:sz="4" w:space="0"/>
              <w:bottom w:val="single" w:color="auto" w:sz="4" w:space="0"/>
              <w:right w:val="single" w:color="auto" w:sz="4" w:space="0"/>
            </w:tcBorders>
            <w:vAlign w:val="center"/>
          </w:tcPr>
          <w:p w14:paraId="629ED5AE">
            <w:pPr>
              <w:jc w:val="center"/>
              <w:rPr>
                <w:rFonts w:ascii="仿宋_GB2312" w:hAnsi="仿宋_GB2312" w:eastAsia="仿宋_GB2312" w:cs="仿宋_GB2312"/>
              </w:rPr>
            </w:pPr>
            <w:r>
              <w:rPr>
                <w:rFonts w:hint="eastAsia" w:ascii="仿宋_GB2312" w:hAnsi="仿宋_GB2312" w:eastAsia="仿宋_GB2312" w:cs="仿宋_GB2312"/>
              </w:rPr>
              <w:t>——于   年  月  日   时之前不准启封（公章）——</w:t>
            </w:r>
          </w:p>
        </w:tc>
      </w:tr>
    </w:tbl>
    <w:p w14:paraId="2EA3CEF9">
      <w:pPr>
        <w:rPr>
          <w:rFonts w:ascii="仿宋_GB2312" w:hAnsi="仿宋_GB2312" w:eastAsia="仿宋_GB2312" w:cs="仿宋_GB2312"/>
        </w:rPr>
      </w:pPr>
    </w:p>
    <w:p w14:paraId="47C515FF">
      <w:pPr>
        <w:rPr>
          <w:rFonts w:ascii="仿宋_GB2312" w:hAnsi="仿宋_GB2312" w:eastAsia="仿宋_GB2312" w:cs="仿宋_GB2312"/>
        </w:rPr>
      </w:pPr>
    </w:p>
    <w:p w14:paraId="68B99009">
      <w:pPr>
        <w:rPr>
          <w:rFonts w:ascii="仿宋_GB2312" w:hAnsi="仿宋_GB2312" w:eastAsia="仿宋_GB2312" w:cs="仿宋_GB2312"/>
          <w:b/>
          <w:sz w:val="28"/>
          <w:szCs w:val="28"/>
        </w:rPr>
      </w:pPr>
      <w:r>
        <w:rPr>
          <w:rFonts w:hint="eastAsia" w:ascii="仿宋_GB2312" w:hAnsi="仿宋_GB2312" w:eastAsia="仿宋_GB2312" w:cs="仿宋_GB2312"/>
          <w:b/>
          <w:sz w:val="28"/>
          <w:szCs w:val="28"/>
        </w:rPr>
        <w:br w:type="page"/>
      </w:r>
    </w:p>
    <w:p w14:paraId="67C4E7EF">
      <w:pPr>
        <w:pStyle w:val="5"/>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格式2</w:t>
      </w:r>
    </w:p>
    <w:p w14:paraId="730BDE56">
      <w:pPr>
        <w:jc w:val="center"/>
        <w:rPr>
          <w:rFonts w:ascii="仿宋_GB2312" w:hAnsi="仿宋_GB2312" w:eastAsia="仿宋_GB2312" w:cs="仿宋_GB2312"/>
          <w:b/>
          <w:bCs/>
          <w:sz w:val="32"/>
          <w:szCs w:val="32"/>
        </w:rPr>
      </w:pPr>
      <w:r>
        <w:rPr>
          <w:rFonts w:ascii="仿宋_GB2312" w:hAnsi="仿宋_GB2312" w:eastAsia="仿宋_GB2312" w:cs="仿宋_GB2312"/>
          <w:sz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2B7C81B">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wrap="square" upright="1"/>
                    </wps:wsp>
                  </a:graphicData>
                </a:graphic>
              </wp:anchor>
            </w:drawing>
          </mc:Choice>
          <mc:Fallback>
            <w:pict>
              <v:shape id="_x0000_s1026" o:spid="_x0000_s1026" o:spt="202" type="#_x0000_t202" style="position:absolute;left:0pt;margin-left:305.4pt;margin-top:28.45pt;height:44.35pt;width:98.7pt;z-index:251659264;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1XXs+2QAAAAoB&#10;AAAPAAAAAAAAAAEAIAAAACIAAABkcnMvZG93bnJldi54bWxQSwECFAAUAAAACACHTuJAIeVfCRoC&#10;AABSBAAADgAAAAAAAAABACAAAAAoAQAAZHJzL2Uyb0RvYy54bWxQSwUGAAAAAAYABgBZAQAAtAUA&#10;AAAA&#10;">
                <v:fill on="t" focussize="0,0"/>
                <v:stroke color="#000000" joinstyle="miter"/>
                <v:imagedata o:title=""/>
                <o:lock v:ext="edit" aspectratio="f"/>
                <v:textbox>
                  <w:txbxContent>
                    <w:p w14:paraId="42B7C81B">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仿宋_GB2312" w:hAnsi="仿宋_GB2312" w:eastAsia="仿宋_GB2312" w:cs="仿宋_GB2312"/>
          <w:b/>
          <w:bCs/>
          <w:sz w:val="32"/>
          <w:szCs w:val="32"/>
        </w:rPr>
        <w:t>投标文件的封皮</w:t>
      </w:r>
    </w:p>
    <w:p w14:paraId="4047E9FD">
      <w:pPr>
        <w:rPr>
          <w:rFonts w:ascii="仿宋_GB2312" w:hAnsi="仿宋_GB2312" w:eastAsia="仿宋_GB2312" w:cs="仿宋_GB2312"/>
        </w:rPr>
      </w:pPr>
    </w:p>
    <w:p w14:paraId="42B537F0">
      <w:pPr>
        <w:rPr>
          <w:rFonts w:ascii="仿宋_GB2312" w:hAnsi="仿宋_GB2312" w:eastAsia="仿宋_GB2312" w:cs="仿宋_GB2312"/>
        </w:rPr>
      </w:pPr>
    </w:p>
    <w:p w14:paraId="020614E8">
      <w:pPr>
        <w:rPr>
          <w:rFonts w:ascii="仿宋_GB2312" w:hAnsi="仿宋_GB2312" w:eastAsia="仿宋_GB2312" w:cs="仿宋_GB2312"/>
        </w:rPr>
      </w:pPr>
    </w:p>
    <w:p w14:paraId="448C61AD">
      <w:pPr>
        <w:rPr>
          <w:rFonts w:ascii="仿宋_GB2312" w:hAnsi="仿宋_GB2312" w:eastAsia="仿宋_GB2312" w:cs="仿宋_GB2312"/>
        </w:rPr>
      </w:pPr>
    </w:p>
    <w:p w14:paraId="26DC3A99">
      <w:pPr>
        <w:rPr>
          <w:rFonts w:ascii="仿宋_GB2312" w:hAnsi="仿宋_GB2312" w:eastAsia="仿宋_GB2312" w:cs="仿宋_GB2312"/>
        </w:rPr>
      </w:pPr>
    </w:p>
    <w:p w14:paraId="1B469242">
      <w:pPr>
        <w:rPr>
          <w:rFonts w:ascii="仿宋_GB2312" w:hAnsi="仿宋_GB2312" w:eastAsia="仿宋_GB2312" w:cs="仿宋_GB2312"/>
        </w:rPr>
      </w:pPr>
    </w:p>
    <w:p w14:paraId="1B44FB1B">
      <w:pPr>
        <w:jc w:val="center"/>
        <w:rPr>
          <w:rFonts w:ascii="仿宋_GB2312" w:hAnsi="仿宋_GB2312" w:eastAsia="仿宋_GB2312" w:cs="仿宋_GB2312"/>
          <w:b/>
          <w:bCs/>
          <w:sz w:val="52"/>
          <w:szCs w:val="52"/>
        </w:rPr>
      </w:pPr>
      <w:r>
        <w:rPr>
          <w:rFonts w:hint="eastAsia" w:ascii="仿宋_GB2312" w:hAnsi="仿宋_GB2312" w:eastAsia="仿宋_GB2312" w:cs="仿宋_GB2312"/>
          <w:b/>
          <w:bCs/>
          <w:sz w:val="52"/>
          <w:szCs w:val="52"/>
        </w:rPr>
        <w:t>投  标  文  件</w:t>
      </w:r>
    </w:p>
    <w:p w14:paraId="28B82936">
      <w:pPr>
        <w:rPr>
          <w:rFonts w:ascii="仿宋_GB2312" w:hAnsi="仿宋_GB2312" w:eastAsia="仿宋_GB2312" w:cs="仿宋_GB2312"/>
        </w:rPr>
      </w:pPr>
    </w:p>
    <w:p w14:paraId="01B1FEE0">
      <w:pPr>
        <w:rPr>
          <w:rFonts w:ascii="仿宋_GB2312" w:hAnsi="仿宋_GB2312" w:eastAsia="仿宋_GB2312" w:cs="仿宋_GB2312"/>
        </w:rPr>
      </w:pPr>
    </w:p>
    <w:p w14:paraId="1CEF0BB4">
      <w:pPr>
        <w:rPr>
          <w:rFonts w:ascii="仿宋_GB2312" w:hAnsi="仿宋_GB2312" w:eastAsia="仿宋_GB2312" w:cs="仿宋_GB2312"/>
        </w:rPr>
      </w:pPr>
    </w:p>
    <w:p w14:paraId="2E2E915C">
      <w:pPr>
        <w:rPr>
          <w:rFonts w:ascii="仿宋_GB2312" w:hAnsi="仿宋_GB2312" w:eastAsia="仿宋_GB2312" w:cs="仿宋_GB2312"/>
          <w:sz w:val="28"/>
          <w:szCs w:val="28"/>
        </w:rPr>
      </w:pPr>
    </w:p>
    <w:p w14:paraId="18744429">
      <w:pPr>
        <w:rPr>
          <w:rFonts w:ascii="仿宋_GB2312" w:hAnsi="仿宋_GB2312" w:eastAsia="仿宋_GB2312" w:cs="仿宋_GB2312"/>
          <w:sz w:val="28"/>
          <w:szCs w:val="28"/>
        </w:rPr>
      </w:pPr>
    </w:p>
    <w:p w14:paraId="4058F00F">
      <w:pPr>
        <w:rPr>
          <w:rFonts w:ascii="仿宋_GB2312" w:hAnsi="仿宋_GB2312" w:eastAsia="仿宋_GB2312" w:cs="仿宋_GB2312"/>
          <w:sz w:val="28"/>
          <w:szCs w:val="28"/>
        </w:rPr>
      </w:pPr>
    </w:p>
    <w:p w14:paraId="0D70F117">
      <w:pPr>
        <w:rPr>
          <w:rFonts w:ascii="仿宋_GB2312" w:hAnsi="仿宋_GB2312" w:eastAsia="仿宋_GB2312" w:cs="仿宋_GB2312"/>
          <w:sz w:val="28"/>
          <w:szCs w:val="28"/>
        </w:rPr>
      </w:pPr>
    </w:p>
    <w:p w14:paraId="0CD8FEBF">
      <w:pPr>
        <w:rPr>
          <w:rFonts w:ascii="仿宋_GB2312" w:hAnsi="仿宋_GB2312" w:eastAsia="仿宋_GB2312" w:cs="仿宋_GB2312"/>
          <w:sz w:val="28"/>
          <w:szCs w:val="28"/>
        </w:rPr>
      </w:pPr>
    </w:p>
    <w:p w14:paraId="20BAED2E">
      <w:pPr>
        <w:rPr>
          <w:rFonts w:ascii="仿宋_GB2312" w:hAnsi="仿宋_GB2312" w:eastAsia="仿宋_GB2312" w:cs="仿宋_GB2312"/>
          <w:sz w:val="28"/>
          <w:szCs w:val="28"/>
        </w:rPr>
      </w:pPr>
    </w:p>
    <w:p w14:paraId="445580D6">
      <w:pPr>
        <w:rPr>
          <w:rFonts w:ascii="仿宋_GB2312" w:hAnsi="仿宋_GB2312" w:eastAsia="仿宋_GB2312" w:cs="仿宋_GB2312"/>
          <w:sz w:val="28"/>
          <w:szCs w:val="28"/>
        </w:rPr>
      </w:pPr>
    </w:p>
    <w:p w14:paraId="030793B8">
      <w:pPr>
        <w:rPr>
          <w:rFonts w:ascii="仿宋_GB2312" w:hAnsi="仿宋_GB2312" w:eastAsia="仿宋_GB2312" w:cs="仿宋_GB2312"/>
          <w:sz w:val="28"/>
          <w:szCs w:val="28"/>
        </w:rPr>
      </w:pPr>
    </w:p>
    <w:p w14:paraId="698B8AA0">
      <w:pPr>
        <w:rPr>
          <w:rFonts w:ascii="仿宋_GB2312" w:hAnsi="仿宋_GB2312" w:eastAsia="仿宋_GB2312" w:cs="仿宋_GB2312"/>
          <w:sz w:val="28"/>
          <w:szCs w:val="28"/>
        </w:rPr>
      </w:pPr>
      <w:r>
        <w:rPr>
          <w:rFonts w:hint="eastAsia" w:ascii="仿宋_GB2312" w:hAnsi="仿宋_GB2312" w:eastAsia="仿宋_GB2312" w:cs="仿宋_GB2312"/>
          <w:sz w:val="28"/>
          <w:szCs w:val="28"/>
        </w:rPr>
        <w:t>所投包号：第  包</w:t>
      </w:r>
    </w:p>
    <w:p w14:paraId="290A14EC">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p w14:paraId="52A00844">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项目编号：</w:t>
      </w:r>
    </w:p>
    <w:p w14:paraId="3ABA8E94">
      <w:pPr>
        <w:rPr>
          <w:rFonts w:ascii="仿宋_GB2312" w:hAnsi="仿宋_GB2312" w:eastAsia="仿宋_GB2312" w:cs="仿宋_GB2312"/>
          <w:sz w:val="28"/>
          <w:szCs w:val="28"/>
        </w:rPr>
      </w:pPr>
      <w:r>
        <w:rPr>
          <w:rFonts w:hint="eastAsia" w:ascii="仿宋_GB2312" w:hAnsi="仿宋_GB2312" w:eastAsia="仿宋_GB2312" w:cs="仿宋_GB2312"/>
          <w:sz w:val="28"/>
          <w:szCs w:val="28"/>
        </w:rPr>
        <w:t>投标人名称 ：</w:t>
      </w:r>
    </w:p>
    <w:p w14:paraId="0CF0FA47">
      <w:pPr>
        <w:rPr>
          <w:rFonts w:ascii="仿宋_GB2312" w:hAnsi="仿宋_GB2312" w:eastAsia="仿宋_GB2312" w:cs="仿宋_GB2312"/>
          <w:sz w:val="28"/>
          <w:szCs w:val="28"/>
        </w:rPr>
      </w:pPr>
      <w:r>
        <w:rPr>
          <w:rFonts w:hint="eastAsia" w:ascii="仿宋_GB2312" w:hAnsi="仿宋_GB2312" w:eastAsia="仿宋_GB2312" w:cs="仿宋_GB2312"/>
          <w:sz w:val="28"/>
          <w:szCs w:val="28"/>
        </w:rPr>
        <w:br w:type="page"/>
      </w:r>
    </w:p>
    <w:p w14:paraId="6C5A35A2">
      <w:pPr>
        <w:pStyle w:val="5"/>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格式3</w:t>
      </w:r>
    </w:p>
    <w:p w14:paraId="5FB9CCB3">
      <w:pPr>
        <w:spacing w:before="319" w:beforeLines="100" w:after="319" w:afterLines="100" w:line="360" w:lineRule="auto"/>
        <w:ind w:right="-21" w:rightChars="-10"/>
        <w:jc w:val="center"/>
        <w:rPr>
          <w:rFonts w:ascii="仿宋_GB2312" w:hAnsi="仿宋_GB2312" w:eastAsia="仿宋_GB2312" w:cs="仿宋_GB2312"/>
          <w:b/>
          <w:sz w:val="32"/>
          <w:szCs w:val="32"/>
        </w:rPr>
      </w:pPr>
      <w:bookmarkStart w:id="62" w:name="_Toc21414_WPSOffice_Level2"/>
      <w:bookmarkStart w:id="63" w:name="_Toc2304_WPSOffice_Level2"/>
      <w:r>
        <w:rPr>
          <w:rFonts w:hint="eastAsia" w:ascii="仿宋_GB2312" w:hAnsi="仿宋_GB2312" w:eastAsia="仿宋_GB2312" w:cs="仿宋_GB2312"/>
          <w:b/>
          <w:sz w:val="32"/>
          <w:szCs w:val="32"/>
        </w:rPr>
        <w:t>目  录</w:t>
      </w:r>
      <w:bookmarkEnd w:id="62"/>
      <w:bookmarkEnd w:id="63"/>
    </w:p>
    <w:p w14:paraId="5C25AE61">
      <w:pPr>
        <w:rPr>
          <w:rFonts w:ascii="仿宋_GB2312" w:hAnsi="仿宋_GB2312" w:eastAsia="仿宋_GB2312" w:cs="仿宋_GB2312"/>
        </w:rPr>
      </w:pPr>
      <w:bookmarkStart w:id="64" w:name="_Toc30940_WPSOffice_Level2"/>
      <w:bookmarkStart w:id="65" w:name="_Toc7636_WPSOffice_Level2"/>
      <w:r>
        <w:rPr>
          <w:rFonts w:hint="eastAsia" w:ascii="仿宋_GB2312" w:hAnsi="仿宋_GB2312" w:eastAsia="仿宋_GB2312" w:cs="仿宋_GB2312"/>
        </w:rPr>
        <w:t>一、资格证明材料</w:t>
      </w:r>
      <w:bookmarkEnd w:id="64"/>
      <w:bookmarkEnd w:id="65"/>
    </w:p>
    <w:p w14:paraId="720826E6">
      <w:pPr>
        <w:rPr>
          <w:rFonts w:ascii="仿宋_GB2312" w:hAnsi="仿宋_GB2312" w:eastAsia="仿宋_GB2312" w:cs="仿宋_GB2312"/>
        </w:rPr>
      </w:pPr>
      <w:r>
        <w:rPr>
          <w:rFonts w:hint="eastAsia" w:ascii="仿宋_GB2312" w:hAnsi="仿宋_GB2312" w:eastAsia="仿宋_GB2312" w:cs="仿宋_GB2312"/>
        </w:rPr>
        <w:t>……</w:t>
      </w:r>
    </w:p>
    <w:p w14:paraId="01A12ED9">
      <w:pPr>
        <w:rPr>
          <w:rFonts w:ascii="仿宋_GB2312" w:hAnsi="仿宋_GB2312" w:eastAsia="仿宋_GB2312" w:cs="仿宋_GB2312"/>
        </w:rPr>
      </w:pPr>
      <w:bookmarkStart w:id="66" w:name="_Toc13950_WPSOffice_Level2"/>
      <w:bookmarkStart w:id="67" w:name="_Toc31702_WPSOffice_Level2"/>
      <w:r>
        <w:rPr>
          <w:rFonts w:hint="eastAsia" w:ascii="仿宋_GB2312" w:hAnsi="仿宋_GB2312" w:eastAsia="仿宋_GB2312" w:cs="仿宋_GB2312"/>
        </w:rPr>
        <w:t>二、符合性证明材料</w:t>
      </w:r>
      <w:bookmarkEnd w:id="66"/>
      <w:bookmarkEnd w:id="67"/>
    </w:p>
    <w:p w14:paraId="69E3C448">
      <w:pPr>
        <w:rPr>
          <w:rFonts w:ascii="仿宋_GB2312" w:hAnsi="仿宋_GB2312" w:eastAsia="仿宋_GB2312" w:cs="仿宋_GB2312"/>
        </w:rPr>
      </w:pPr>
      <w:r>
        <w:rPr>
          <w:rFonts w:hint="eastAsia" w:ascii="仿宋_GB2312" w:hAnsi="仿宋_GB2312" w:eastAsia="仿宋_GB2312" w:cs="仿宋_GB2312"/>
        </w:rPr>
        <w:t>……</w:t>
      </w:r>
    </w:p>
    <w:p w14:paraId="47560644">
      <w:pPr>
        <w:rPr>
          <w:rFonts w:ascii="仿宋_GB2312" w:hAnsi="仿宋_GB2312" w:eastAsia="仿宋_GB2312" w:cs="仿宋_GB2312"/>
        </w:rPr>
      </w:pPr>
      <w:bookmarkStart w:id="68" w:name="_Toc9090_WPSOffice_Level2"/>
      <w:bookmarkStart w:id="69" w:name="_Toc14854_WPSOffice_Level2"/>
      <w:r>
        <w:rPr>
          <w:rFonts w:hint="eastAsia" w:ascii="仿宋_GB2312" w:hAnsi="仿宋_GB2312" w:eastAsia="仿宋_GB2312" w:cs="仿宋_GB2312"/>
        </w:rPr>
        <w:t>三、其它材料</w:t>
      </w:r>
      <w:bookmarkEnd w:id="68"/>
      <w:bookmarkEnd w:id="69"/>
    </w:p>
    <w:p w14:paraId="30A57B90">
      <w:pPr>
        <w:rPr>
          <w:rFonts w:ascii="仿宋_GB2312" w:hAnsi="仿宋_GB2312" w:eastAsia="仿宋_GB2312" w:cs="仿宋_GB2312"/>
          <w:szCs w:val="21"/>
        </w:rPr>
      </w:pPr>
      <w:r>
        <w:rPr>
          <w:rFonts w:hint="eastAsia" w:ascii="仿宋_GB2312" w:hAnsi="仿宋_GB2312" w:eastAsia="仿宋_GB2312" w:cs="仿宋_GB2312"/>
          <w:szCs w:val="21"/>
        </w:rPr>
        <w:t>……</w:t>
      </w:r>
    </w:p>
    <w:p w14:paraId="5EA9FFE9">
      <w:pPr>
        <w:rPr>
          <w:rFonts w:ascii="仿宋_GB2312" w:hAnsi="仿宋_GB2312" w:eastAsia="仿宋_GB2312" w:cs="仿宋_GB2312"/>
          <w:szCs w:val="21"/>
        </w:rPr>
      </w:pPr>
    </w:p>
    <w:p w14:paraId="729CB667">
      <w:pPr>
        <w:rPr>
          <w:rFonts w:ascii="仿宋_GB2312" w:hAnsi="仿宋_GB2312" w:eastAsia="仿宋_GB2312" w:cs="仿宋_GB2312"/>
          <w:szCs w:val="21"/>
        </w:rPr>
      </w:pPr>
    </w:p>
    <w:p w14:paraId="01339D3B">
      <w:pPr>
        <w:rPr>
          <w:rFonts w:ascii="仿宋_GB2312" w:hAnsi="仿宋_GB2312" w:eastAsia="仿宋_GB2312" w:cs="仿宋_GB2312"/>
          <w:szCs w:val="21"/>
        </w:rPr>
      </w:pPr>
    </w:p>
    <w:p w14:paraId="61D8EE50">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我单位的投标文件由资格证明材料、符合性证明材料和其它材料三部分组成，在此加盖单位公章并由法定代表人（或非法人组织负责人）或其授权委托人签字，保证投标文件中所有材料真实、有效。</w:t>
      </w:r>
    </w:p>
    <w:p w14:paraId="5F552E7F">
      <w:pPr>
        <w:rPr>
          <w:rFonts w:ascii="仿宋_GB2312" w:hAnsi="仿宋_GB2312" w:eastAsia="仿宋_GB2312" w:cs="仿宋_GB2312"/>
        </w:rPr>
      </w:pPr>
    </w:p>
    <w:p w14:paraId="7F2AF392">
      <w:pPr>
        <w:rPr>
          <w:rFonts w:ascii="仿宋_GB2312" w:hAnsi="仿宋_GB2312" w:eastAsia="仿宋_GB2312" w:cs="仿宋_GB2312"/>
        </w:rPr>
      </w:pPr>
    </w:p>
    <w:p w14:paraId="63DDBA62">
      <w:pPr>
        <w:rPr>
          <w:rFonts w:ascii="仿宋_GB2312" w:hAnsi="仿宋_GB2312" w:eastAsia="仿宋_GB2312" w:cs="仿宋_GB2312"/>
        </w:rPr>
      </w:pPr>
    </w:p>
    <w:p w14:paraId="3AC2296F">
      <w:pPr>
        <w:rPr>
          <w:rFonts w:ascii="仿宋_GB2312" w:hAnsi="仿宋_GB2312" w:eastAsia="仿宋_GB2312" w:cs="仿宋_GB2312"/>
        </w:rPr>
      </w:pPr>
    </w:p>
    <w:p w14:paraId="7CB92B6E">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14:paraId="374CB408">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14:paraId="47B8B6A1">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14:paraId="371667A5">
      <w:pPr>
        <w:pStyle w:val="5"/>
        <w:adjustRightInd w:val="0"/>
        <w:snapToGrid w:val="0"/>
        <w:spacing w:before="0" w:after="0" w:line="240" w:lineRule="auto"/>
        <w:jc w:val="left"/>
        <w:rPr>
          <w:rFonts w:ascii="仿宋_GB2312" w:hAnsi="仿宋_GB2312" w:eastAsia="仿宋_GB2312" w:cs="仿宋_GB2312"/>
          <w:b w:val="0"/>
          <w:bCs/>
          <w:sz w:val="32"/>
          <w:szCs w:val="32"/>
        </w:rPr>
      </w:pPr>
      <w:r>
        <w:rPr>
          <w:rFonts w:hint="eastAsia" w:ascii="仿宋_GB2312" w:hAnsi="仿宋_GB2312" w:eastAsia="仿宋_GB2312" w:cs="仿宋_GB2312"/>
        </w:rPr>
        <w:br w:type="page"/>
      </w:r>
      <w:r>
        <w:rPr>
          <w:rFonts w:hint="eastAsia" w:ascii="仿宋_GB2312" w:hAnsi="仿宋_GB2312" w:eastAsia="仿宋_GB2312" w:cs="仿宋_GB2312"/>
          <w:szCs w:val="28"/>
        </w:rPr>
        <w:t>格式4</w:t>
      </w:r>
      <w:bookmarkStart w:id="70" w:name="_Toc16924_WPSOffice_Level2"/>
      <w:bookmarkStart w:id="71" w:name="_Toc3401_WPSOffice_Level2"/>
    </w:p>
    <w:p w14:paraId="5521E467">
      <w:pPr>
        <w:spacing w:before="319" w:beforeLines="100" w:after="319"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法定代表人（或非法人组织负责人）身份证明书</w:t>
      </w:r>
      <w:bookmarkEnd w:id="70"/>
      <w:bookmarkEnd w:id="71"/>
    </w:p>
    <w:p w14:paraId="5BC3562F">
      <w:pPr>
        <w:spacing w:line="360" w:lineRule="auto"/>
        <w:ind w:firstLine="840" w:firstLineChars="400"/>
        <w:rPr>
          <w:rFonts w:ascii="仿宋_GB2312" w:hAnsi="仿宋_GB2312" w:eastAsia="仿宋_GB2312" w:cs="仿宋_GB2312"/>
          <w:szCs w:val="21"/>
        </w:rPr>
      </w:pPr>
      <w:r>
        <w:rPr>
          <w:rFonts w:hint="eastAsia" w:ascii="仿宋_GB2312" w:hAnsi="仿宋_GB2312" w:eastAsia="仿宋_GB2312" w:cs="仿宋_GB2312"/>
          <w:szCs w:val="21"/>
        </w:rPr>
        <w:t>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，性别：</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，出生日期：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，现任职务：</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，系</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（投标人名称）的法定代表人（或非法人组织负责人）。</w:t>
      </w:r>
    </w:p>
    <w:p w14:paraId="4304E513">
      <w:pPr>
        <w:rPr>
          <w:rFonts w:ascii="仿宋_GB2312" w:hAnsi="仿宋_GB2312" w:eastAsia="仿宋_GB2312" w:cs="仿宋_GB2312"/>
          <w:szCs w:val="21"/>
        </w:rPr>
      </w:pPr>
      <w:r>
        <w:rPr>
          <w:rFonts w:hint="eastAsia" w:ascii="仿宋_GB2312" w:hAnsi="仿宋_GB2312" w:eastAsia="仿宋_GB2312" w:cs="仿宋_GB2312"/>
          <w:szCs w:val="21"/>
        </w:rPr>
        <w:t xml:space="preserve">            </w:t>
      </w:r>
    </w:p>
    <w:p w14:paraId="58C9FF9B">
      <w:pPr>
        <w:rPr>
          <w:rFonts w:ascii="仿宋_GB2312" w:hAnsi="仿宋_GB2312" w:eastAsia="仿宋_GB2312" w:cs="仿宋_GB2312"/>
          <w:szCs w:val="21"/>
        </w:rPr>
      </w:pPr>
      <w:r>
        <w:rPr>
          <w:rFonts w:hint="eastAsia" w:ascii="仿宋_GB2312" w:hAnsi="仿宋_GB2312" w:eastAsia="仿宋_GB2312" w:cs="仿宋_GB2312"/>
          <w:szCs w:val="21"/>
        </w:rPr>
        <w:t>特此证明。</w:t>
      </w:r>
    </w:p>
    <w:p w14:paraId="3C6D6E23">
      <w:pPr>
        <w:rPr>
          <w:rFonts w:ascii="仿宋_GB2312" w:hAnsi="仿宋_GB2312" w:eastAsia="仿宋_GB2312" w:cs="仿宋_GB2312"/>
          <w:szCs w:val="21"/>
        </w:rPr>
      </w:pPr>
    </w:p>
    <w:p w14:paraId="6229D650">
      <w:pPr>
        <w:rPr>
          <w:rFonts w:ascii="仿宋_GB2312" w:hAnsi="仿宋_GB2312" w:eastAsia="仿宋_GB2312" w:cs="仿宋_GB2312"/>
          <w:szCs w:val="21"/>
        </w:rPr>
      </w:pPr>
    </w:p>
    <w:p w14:paraId="485F6C74">
      <w:pPr>
        <w:rPr>
          <w:rFonts w:ascii="仿宋_GB2312" w:hAnsi="仿宋_GB2312" w:eastAsia="仿宋_GB2312" w:cs="仿宋_GB2312"/>
          <w:szCs w:val="21"/>
        </w:rPr>
      </w:pPr>
    </w:p>
    <w:tbl>
      <w:tblPr>
        <w:tblStyle w:val="21"/>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14:paraId="67DFB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14:paraId="42BD5889">
            <w:pPr>
              <w:jc w:val="center"/>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（※法定代表人（或非法人组织负责人）身份证正、反面复印件※）</w:t>
            </w:r>
          </w:p>
        </w:tc>
      </w:tr>
    </w:tbl>
    <w:p w14:paraId="4D528EC1">
      <w:pPr>
        <w:rPr>
          <w:rFonts w:ascii="仿宋_GB2312" w:hAnsi="仿宋_GB2312" w:eastAsia="仿宋_GB2312" w:cs="仿宋_GB2312"/>
          <w:szCs w:val="21"/>
        </w:rPr>
      </w:pPr>
    </w:p>
    <w:p w14:paraId="43A7A789">
      <w:pPr>
        <w:rPr>
          <w:rFonts w:ascii="仿宋_GB2312" w:hAnsi="仿宋_GB2312" w:eastAsia="仿宋_GB2312" w:cs="仿宋_GB2312"/>
          <w:szCs w:val="21"/>
        </w:rPr>
      </w:pPr>
    </w:p>
    <w:p w14:paraId="0554C2A0">
      <w:pPr>
        <w:rPr>
          <w:rFonts w:ascii="仿宋_GB2312" w:hAnsi="仿宋_GB2312" w:eastAsia="仿宋_GB2312" w:cs="仿宋_GB2312"/>
          <w:szCs w:val="21"/>
        </w:rPr>
      </w:pPr>
    </w:p>
    <w:p w14:paraId="52982C8F">
      <w:pPr>
        <w:rPr>
          <w:rFonts w:ascii="仿宋_GB2312" w:hAnsi="仿宋_GB2312" w:eastAsia="仿宋_GB2312" w:cs="仿宋_GB2312"/>
          <w:szCs w:val="21"/>
        </w:rPr>
      </w:pPr>
    </w:p>
    <w:p w14:paraId="58BAE8E6">
      <w:pPr>
        <w:rPr>
          <w:rFonts w:ascii="仿宋_GB2312" w:hAnsi="仿宋_GB2312" w:eastAsia="仿宋_GB2312" w:cs="仿宋_GB2312"/>
          <w:szCs w:val="21"/>
        </w:rPr>
      </w:pPr>
    </w:p>
    <w:p w14:paraId="6D3F84E9">
      <w:pPr>
        <w:rPr>
          <w:rFonts w:ascii="仿宋_GB2312" w:hAnsi="仿宋_GB2312" w:eastAsia="仿宋_GB2312" w:cs="仿宋_GB2312"/>
          <w:szCs w:val="21"/>
        </w:rPr>
      </w:pPr>
    </w:p>
    <w:p w14:paraId="34F19333">
      <w:pPr>
        <w:rPr>
          <w:rFonts w:ascii="仿宋_GB2312" w:hAnsi="仿宋_GB2312" w:eastAsia="仿宋_GB2312" w:cs="仿宋_GB2312"/>
          <w:szCs w:val="21"/>
        </w:rPr>
      </w:pPr>
    </w:p>
    <w:p w14:paraId="02308C76">
      <w:pPr>
        <w:spacing w:line="480" w:lineRule="auto"/>
        <w:rPr>
          <w:rFonts w:ascii="仿宋_GB2312" w:hAnsi="仿宋_GB2312" w:eastAsia="仿宋_GB2312" w:cs="仿宋_GB2312"/>
          <w:u w:val="single"/>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14:paraId="3485E66B">
      <w:pPr>
        <w:rPr>
          <w:rFonts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14:paraId="5AA8B85C">
      <w:pPr>
        <w:rPr>
          <w:rFonts w:ascii="仿宋_GB2312" w:hAnsi="仿宋_GB2312" w:eastAsia="仿宋_GB2312" w:cs="仿宋_GB2312"/>
          <w:szCs w:val="21"/>
        </w:rPr>
      </w:pPr>
      <w:r>
        <w:rPr>
          <w:rFonts w:hint="eastAsia" w:ascii="仿宋_GB2312" w:hAnsi="仿宋_GB2312" w:eastAsia="仿宋_GB2312" w:cs="仿宋_GB2312"/>
          <w:szCs w:val="21"/>
        </w:rPr>
        <w:br w:type="page"/>
      </w:r>
    </w:p>
    <w:p w14:paraId="065963D3">
      <w:pPr>
        <w:pStyle w:val="5"/>
        <w:adjustRightInd w:val="0"/>
        <w:snapToGrid w:val="0"/>
        <w:spacing w:before="0" w:after="0" w:line="240" w:lineRule="auto"/>
        <w:jc w:val="left"/>
        <w:rPr>
          <w:rFonts w:ascii="仿宋_GB2312" w:hAnsi="仿宋_GB2312" w:eastAsia="仿宋_GB2312" w:cs="仿宋_GB2312"/>
          <w:b w:val="0"/>
          <w:bCs/>
          <w:sz w:val="32"/>
          <w:szCs w:val="32"/>
        </w:rPr>
      </w:pPr>
      <w:r>
        <w:rPr>
          <w:rFonts w:hint="eastAsia" w:ascii="仿宋_GB2312" w:hAnsi="仿宋_GB2312" w:eastAsia="仿宋_GB2312" w:cs="仿宋_GB2312"/>
          <w:szCs w:val="28"/>
        </w:rPr>
        <w:t>格式5</w:t>
      </w:r>
      <w:bookmarkStart w:id="72" w:name="_Toc21833_WPSOffice_Level2"/>
      <w:bookmarkStart w:id="73" w:name="_Toc122_WPSOffice_Level2"/>
    </w:p>
    <w:p w14:paraId="080832CC">
      <w:pPr>
        <w:spacing w:before="319" w:beforeLines="100" w:after="319"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法定代表人（或非法人组织负责人）授权委托书</w:t>
      </w:r>
      <w:bookmarkEnd w:id="72"/>
      <w:bookmarkEnd w:id="73"/>
    </w:p>
    <w:p w14:paraId="69053EF7">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单位名称：</w:t>
      </w:r>
      <w:r>
        <w:rPr>
          <w:rFonts w:hint="eastAsia" w:ascii="仿宋_GB2312" w:hAnsi="仿宋_GB2312" w:eastAsia="仿宋_GB2312" w:cs="仿宋_GB2312"/>
          <w:szCs w:val="21"/>
          <w:u w:val="single"/>
        </w:rPr>
        <w:t xml:space="preserve">                </w:t>
      </w:r>
    </w:p>
    <w:p w14:paraId="5E310C3E">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14:paraId="2EA23172">
      <w:pPr>
        <w:tabs>
          <w:tab w:val="left" w:pos="5205"/>
        </w:tabs>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住所地：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ab/>
      </w:r>
    </w:p>
    <w:p w14:paraId="56EA4231">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授权委托人姓名：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14:paraId="2FE2CC68">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工作单位：</w:t>
      </w:r>
      <w:r>
        <w:rPr>
          <w:rFonts w:hint="eastAsia" w:ascii="仿宋_GB2312" w:hAnsi="仿宋_GB2312" w:eastAsia="仿宋_GB2312" w:cs="仿宋_GB2312"/>
          <w:szCs w:val="21"/>
          <w:u w:val="single"/>
        </w:rPr>
        <w:t xml:space="preserve">                  </w:t>
      </w:r>
    </w:p>
    <w:p w14:paraId="4306DD21">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电话：</w:t>
      </w:r>
      <w:r>
        <w:rPr>
          <w:rFonts w:hint="eastAsia" w:ascii="仿宋_GB2312" w:hAnsi="仿宋_GB2312" w:eastAsia="仿宋_GB2312" w:cs="仿宋_GB2312"/>
          <w:szCs w:val="21"/>
          <w:u w:val="single"/>
        </w:rPr>
        <w:t xml:space="preserve">               </w:t>
      </w:r>
    </w:p>
    <w:p w14:paraId="303B33C7">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现委托</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就</w:t>
      </w:r>
      <w:r>
        <w:rPr>
          <w:rFonts w:hint="eastAsia" w:ascii="仿宋_GB2312" w:hAnsi="仿宋_GB2312" w:eastAsia="仿宋_GB2312" w:cs="仿宋_GB2312"/>
          <w:szCs w:val="21"/>
          <w:u w:val="single"/>
        </w:rPr>
        <w:t>（项目编号、项目名称、包号）</w:t>
      </w:r>
      <w:r>
        <w:rPr>
          <w:rFonts w:hint="eastAsia" w:ascii="仿宋_GB2312" w:hAnsi="仿宋_GB2312" w:eastAsia="仿宋_GB2312" w:cs="仿宋_GB2312"/>
          <w:szCs w:val="21"/>
        </w:rPr>
        <w:t>投标中，以我单位名义处理一切与之有关的事务。</w:t>
      </w:r>
    </w:p>
    <w:p w14:paraId="2ABCF06A">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本授权书于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日签字或盖章生效，无转委托，特此声明。</w:t>
      </w:r>
    </w:p>
    <w:p w14:paraId="15DF8AC0">
      <w:pPr>
        <w:spacing w:line="360" w:lineRule="auto"/>
        <w:rPr>
          <w:rFonts w:ascii="仿宋_GB2312" w:hAnsi="仿宋_GB2312" w:eastAsia="仿宋_GB2312" w:cs="仿宋_GB2312"/>
          <w:szCs w:val="21"/>
        </w:rPr>
      </w:pPr>
    </w:p>
    <w:tbl>
      <w:tblPr>
        <w:tblStyle w:val="21"/>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14:paraId="44A0F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14:paraId="47DCA987">
            <w:pPr>
              <w:jc w:val="center"/>
              <w:rPr>
                <w:rFonts w:ascii="仿宋_GB2312" w:hAnsi="仿宋_GB2312" w:eastAsia="仿宋_GB2312" w:cs="仿宋_GB2312"/>
                <w:szCs w:val="21"/>
              </w:rPr>
            </w:pPr>
            <w:r>
              <w:rPr>
                <w:rFonts w:hint="eastAsia" w:ascii="仿宋_GB2312" w:hAnsi="仿宋_GB2312" w:eastAsia="仿宋_GB2312" w:cs="仿宋_GB2312"/>
                <w:szCs w:val="21"/>
              </w:rPr>
              <w:t>（※授权委托人身份证正、反面复印件※）</w:t>
            </w:r>
          </w:p>
        </w:tc>
      </w:tr>
    </w:tbl>
    <w:p w14:paraId="48F525AA">
      <w:pPr>
        <w:spacing w:line="360" w:lineRule="auto"/>
        <w:rPr>
          <w:rFonts w:ascii="仿宋_GB2312" w:hAnsi="仿宋_GB2312" w:eastAsia="仿宋_GB2312" w:cs="仿宋_GB2312"/>
          <w:szCs w:val="21"/>
        </w:rPr>
      </w:pPr>
    </w:p>
    <w:p w14:paraId="0441A49A">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委托人（加盖单位公章）：</w:t>
      </w:r>
      <w:r>
        <w:rPr>
          <w:rFonts w:hint="eastAsia" w:ascii="仿宋_GB2312" w:hAnsi="仿宋_GB2312" w:eastAsia="仿宋_GB2312" w:cs="仿宋_GB2312"/>
          <w:szCs w:val="21"/>
          <w:u w:val="single"/>
        </w:rPr>
        <w:t xml:space="preserve">              </w:t>
      </w:r>
    </w:p>
    <w:p w14:paraId="514E8B9E">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法定代表人（或非法人组织负责人）（签字或盖章）：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14:paraId="0EB5DE5C">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授权委托人（签字或盖章）：</w:t>
      </w:r>
      <w:r>
        <w:rPr>
          <w:rFonts w:hint="eastAsia" w:ascii="仿宋_GB2312" w:hAnsi="仿宋_GB2312" w:eastAsia="仿宋_GB2312" w:cs="仿宋_GB2312"/>
          <w:szCs w:val="21"/>
          <w:u w:val="single"/>
        </w:rPr>
        <w:t xml:space="preserve">              </w:t>
      </w:r>
    </w:p>
    <w:p w14:paraId="6CDACD99">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详细通讯地址：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邮政编码 ：</w:t>
      </w:r>
      <w:r>
        <w:rPr>
          <w:rFonts w:hint="eastAsia" w:ascii="仿宋_GB2312" w:hAnsi="仿宋_GB2312" w:eastAsia="仿宋_GB2312" w:cs="仿宋_GB2312"/>
          <w:szCs w:val="21"/>
          <w:u w:val="single"/>
        </w:rPr>
        <w:t xml:space="preserve">              </w:t>
      </w:r>
    </w:p>
    <w:p w14:paraId="39B42AB2">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传        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     话：</w:t>
      </w:r>
      <w:r>
        <w:rPr>
          <w:rFonts w:hint="eastAsia" w:ascii="仿宋_GB2312" w:hAnsi="仿宋_GB2312" w:eastAsia="仿宋_GB2312" w:cs="仿宋_GB2312"/>
          <w:szCs w:val="21"/>
          <w:u w:val="single"/>
        </w:rPr>
        <w:t xml:space="preserve">              </w:t>
      </w:r>
    </w:p>
    <w:p w14:paraId="3D876B0B">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14:paraId="2174AFF6">
      <w:pPr>
        <w:rPr>
          <w:rFonts w:ascii="仿宋_GB2312" w:hAnsi="仿宋_GB2312" w:eastAsia="仿宋_GB2312" w:cs="仿宋_GB2312"/>
          <w:szCs w:val="28"/>
        </w:rPr>
      </w:pPr>
      <w:r>
        <w:rPr>
          <w:rFonts w:hint="eastAsia" w:ascii="仿宋_GB2312" w:hAnsi="仿宋_GB2312" w:eastAsia="仿宋_GB2312" w:cs="仿宋_GB2312"/>
          <w:szCs w:val="28"/>
        </w:rPr>
        <w:br w:type="page"/>
      </w:r>
    </w:p>
    <w:p w14:paraId="13A8ADEA">
      <w:pPr>
        <w:pStyle w:val="5"/>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格式6</w:t>
      </w:r>
    </w:p>
    <w:p w14:paraId="25FDD34A">
      <w:pPr>
        <w:spacing w:before="319" w:beforeLines="100" w:after="319"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具有良好的商业信誉和健全的财务会计制度的承诺函</w:t>
      </w:r>
    </w:p>
    <w:p w14:paraId="2E1D74B8">
      <w:pPr>
        <w:spacing w:before="319" w:beforeLines="100" w:after="319" w:afterLines="100" w:line="480" w:lineRule="exact"/>
        <w:ind w:right="630" w:rightChars="3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（格式自拟）</w:t>
      </w:r>
    </w:p>
    <w:p w14:paraId="3C246A26">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466F3FBA">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58E9DEA4">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54C4FE41">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4D0E94A5">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254AC06C">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3C76F881">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44DC6E75">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28E2E21B">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5C8AD3A9">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14:paraId="21D660DE">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授权委托人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14:paraId="25FFA491">
      <w:pPr>
        <w:adjustRightInd w:val="0"/>
        <w:snapToGrid w:val="0"/>
        <w:spacing w:line="360" w:lineRule="auto"/>
        <w:ind w:right="105" w:rightChars="50"/>
        <w:jc w:val="left"/>
        <w:rPr>
          <w:rFonts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14:paraId="4D8AA526">
      <w:pPr>
        <w:adjustRightInd w:val="0"/>
        <w:snapToGrid w:val="0"/>
        <w:spacing w:line="360" w:lineRule="auto"/>
        <w:ind w:right="105" w:rightChars="50"/>
        <w:jc w:val="left"/>
        <w:rPr>
          <w:rFonts w:ascii="仿宋_GB2312" w:hAnsi="仿宋_GB2312" w:eastAsia="仿宋_GB2312" w:cs="仿宋_GB2312"/>
          <w:u w:val="single"/>
        </w:rPr>
      </w:pPr>
    </w:p>
    <w:p w14:paraId="1A30CB32">
      <w:pPr>
        <w:rPr>
          <w:rFonts w:ascii="仿宋_GB2312" w:hAnsi="仿宋_GB2312" w:eastAsia="仿宋_GB2312" w:cs="仿宋_GB2312"/>
          <w:szCs w:val="28"/>
        </w:rPr>
      </w:pPr>
      <w:r>
        <w:rPr>
          <w:rFonts w:hint="eastAsia" w:ascii="仿宋_GB2312" w:hAnsi="仿宋_GB2312" w:eastAsia="仿宋_GB2312" w:cs="仿宋_GB2312"/>
          <w:szCs w:val="28"/>
        </w:rPr>
        <w:br w:type="page"/>
      </w:r>
    </w:p>
    <w:p w14:paraId="560B304D">
      <w:pPr>
        <w:pStyle w:val="5"/>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格式7</w:t>
      </w:r>
    </w:p>
    <w:p w14:paraId="5E3CE490">
      <w:pPr>
        <w:spacing w:before="319" w:beforeLines="100" w:after="319" w:afterLines="100" w:line="360" w:lineRule="auto"/>
        <w:ind w:right="-21" w:rightChars="-10"/>
        <w:jc w:val="center"/>
        <w:rPr>
          <w:rFonts w:ascii="仿宋_GB2312" w:hAnsi="仿宋_GB2312" w:eastAsia="仿宋_GB2312" w:cs="仿宋_GB2312"/>
          <w:b/>
          <w:sz w:val="32"/>
          <w:szCs w:val="32"/>
        </w:rPr>
      </w:pPr>
      <w:bookmarkStart w:id="74" w:name="_Toc12037_WPSOffice_Level2"/>
      <w:bookmarkStart w:id="75" w:name="_Toc23728_WPSOffice_Level2"/>
      <w:r>
        <w:rPr>
          <w:rFonts w:hint="eastAsia" w:ascii="仿宋_GB2312" w:hAnsi="仿宋_GB2312" w:eastAsia="仿宋_GB2312" w:cs="仿宋_GB2312"/>
          <w:b/>
          <w:sz w:val="32"/>
          <w:szCs w:val="32"/>
        </w:rPr>
        <w:t>具备履行合同所必需的设备和专业技术能力声明函</w:t>
      </w:r>
      <w:bookmarkEnd w:id="74"/>
      <w:bookmarkEnd w:id="75"/>
    </w:p>
    <w:p w14:paraId="3E19766C">
      <w:pPr>
        <w:spacing w:before="319" w:beforeLines="100" w:after="319" w:afterLines="100" w:line="480" w:lineRule="exact"/>
        <w:ind w:right="630" w:rightChars="300"/>
        <w:jc w:val="center"/>
        <w:rPr>
          <w:rFonts w:ascii="仿宋_GB2312" w:hAnsi="仿宋_GB2312" w:eastAsia="仿宋_GB2312" w:cs="仿宋_GB2312"/>
          <w:sz w:val="28"/>
          <w:szCs w:val="28"/>
        </w:rPr>
      </w:pPr>
      <w:bookmarkStart w:id="76" w:name="_Toc1917_WPSOffice_Level2"/>
      <w:bookmarkStart w:id="77" w:name="_Toc28831_WPSOffice_Level2"/>
      <w:r>
        <w:rPr>
          <w:rFonts w:hint="eastAsia" w:ascii="仿宋_GB2312" w:hAnsi="仿宋_GB2312" w:eastAsia="仿宋_GB2312" w:cs="仿宋_GB2312"/>
          <w:sz w:val="28"/>
          <w:szCs w:val="28"/>
        </w:rPr>
        <w:t>（格式自拟）</w:t>
      </w:r>
      <w:bookmarkEnd w:id="76"/>
      <w:bookmarkEnd w:id="77"/>
    </w:p>
    <w:p w14:paraId="67129EBE">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1A84DADA">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27AC39C7">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2DAAD8D6">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4B511087">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76FAAF63">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5B8BA2B7">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69F22395">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14:paraId="4EEE5B83">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授权委托人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14:paraId="566BD415">
      <w:pPr>
        <w:adjustRightInd w:val="0"/>
        <w:snapToGrid w:val="0"/>
        <w:spacing w:line="360" w:lineRule="auto"/>
        <w:ind w:right="105" w:rightChars="50"/>
        <w:jc w:val="left"/>
        <w:rPr>
          <w:rFonts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14:paraId="2BF33C1B">
      <w:pPr>
        <w:adjustRightInd w:val="0"/>
        <w:snapToGrid w:val="0"/>
        <w:spacing w:line="360" w:lineRule="auto"/>
        <w:ind w:right="105" w:rightChars="50"/>
        <w:jc w:val="left"/>
        <w:rPr>
          <w:rFonts w:ascii="仿宋_GB2312" w:hAnsi="仿宋_GB2312" w:eastAsia="仿宋_GB2312" w:cs="仿宋_GB2312"/>
          <w:u w:val="single"/>
        </w:rPr>
      </w:pPr>
    </w:p>
    <w:p w14:paraId="061D1010">
      <w:pPr>
        <w:adjustRightInd w:val="0"/>
        <w:snapToGrid w:val="0"/>
        <w:spacing w:line="360" w:lineRule="auto"/>
        <w:ind w:right="105" w:rightChars="50"/>
        <w:jc w:val="left"/>
        <w:rPr>
          <w:rFonts w:ascii="仿宋_GB2312" w:hAnsi="仿宋_GB2312" w:eastAsia="仿宋_GB2312" w:cs="仿宋_GB2312"/>
          <w:u w:val="single"/>
        </w:rPr>
      </w:pPr>
    </w:p>
    <w:p w14:paraId="4CB8F2EF">
      <w:pPr>
        <w:adjustRightInd w:val="0"/>
        <w:snapToGrid w:val="0"/>
        <w:spacing w:line="360" w:lineRule="auto"/>
        <w:ind w:right="105" w:rightChars="5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br w:type="page"/>
      </w:r>
    </w:p>
    <w:p w14:paraId="0DC6A516">
      <w:pPr>
        <w:pStyle w:val="5"/>
        <w:adjustRightInd w:val="0"/>
        <w:snapToGrid w:val="0"/>
        <w:spacing w:before="0" w:after="0" w:line="240" w:lineRule="auto"/>
        <w:jc w:val="left"/>
        <w:rPr>
          <w:rFonts w:ascii="仿宋_GB2312" w:hAnsi="仿宋_GB2312" w:eastAsia="仿宋_GB2312" w:cs="仿宋_GB2312"/>
        </w:rPr>
      </w:pPr>
      <w:r>
        <w:rPr>
          <w:rFonts w:hint="eastAsia" w:ascii="仿宋_GB2312" w:hAnsi="仿宋_GB2312" w:eastAsia="仿宋_GB2312" w:cs="仿宋_GB2312"/>
          <w:szCs w:val="28"/>
        </w:rPr>
        <w:t>格式8</w:t>
      </w:r>
    </w:p>
    <w:p w14:paraId="00551FF0">
      <w:pPr>
        <w:spacing w:before="319" w:beforeLines="100" w:after="319" w:afterLines="100" w:line="480" w:lineRule="exact"/>
        <w:ind w:right="630" w:rightChars="300"/>
        <w:jc w:val="center"/>
        <w:rPr>
          <w:rFonts w:ascii="仿宋_GB2312" w:hAnsi="仿宋_GB2312" w:eastAsia="仿宋_GB2312" w:cs="仿宋_GB2312"/>
          <w:b/>
          <w:sz w:val="32"/>
          <w:szCs w:val="32"/>
        </w:rPr>
      </w:pPr>
      <w:r>
        <w:rPr>
          <w:rFonts w:hint="eastAsia" w:ascii="仿宋_GB2312" w:hAnsi="仿宋_GB2312" w:eastAsia="仿宋_GB2312" w:cs="仿宋_GB2312"/>
          <w:b/>
          <w:sz w:val="44"/>
          <w:szCs w:val="44"/>
        </w:rPr>
        <w:t xml:space="preserve">  </w:t>
      </w:r>
      <w:r>
        <w:rPr>
          <w:rFonts w:hint="eastAsia" w:ascii="仿宋_GB2312" w:hAnsi="仿宋_GB2312" w:eastAsia="仿宋_GB2312" w:cs="仿宋_GB2312"/>
          <w:b/>
          <w:sz w:val="32"/>
          <w:szCs w:val="32"/>
        </w:rPr>
        <w:t xml:space="preserve"> </w:t>
      </w:r>
      <w:bookmarkStart w:id="78" w:name="_Toc11967_WPSOffice_Level2"/>
      <w:bookmarkStart w:id="79" w:name="_Toc7498_WPSOffice_Level2"/>
      <w:r>
        <w:rPr>
          <w:rFonts w:hint="eastAsia" w:ascii="仿宋_GB2312" w:hAnsi="仿宋_GB2312" w:eastAsia="仿宋_GB2312" w:cs="仿宋_GB2312"/>
          <w:b/>
          <w:sz w:val="32"/>
          <w:szCs w:val="32"/>
        </w:rPr>
        <w:t>参加政府采购活动前3年内在经营活动中没有重大违法记录的书面声明</w:t>
      </w:r>
      <w:bookmarkEnd w:id="78"/>
      <w:bookmarkEnd w:id="79"/>
    </w:p>
    <w:p w14:paraId="29A90B77">
      <w:pPr>
        <w:spacing w:line="360" w:lineRule="auto"/>
        <w:ind w:right="630" w:rightChars="300"/>
        <w:rPr>
          <w:rFonts w:ascii="仿宋_GB2312" w:hAnsi="仿宋_GB2312" w:eastAsia="仿宋_GB2312" w:cs="仿宋_GB2312"/>
          <w:b/>
          <w:szCs w:val="21"/>
        </w:rPr>
      </w:pPr>
      <w:r>
        <w:rPr>
          <w:rFonts w:hint="eastAsia" w:ascii="仿宋_GB2312" w:hAnsi="仿宋_GB2312" w:eastAsia="仿宋_GB2312" w:cs="仿宋_GB2312"/>
          <w:b/>
          <w:szCs w:val="21"/>
          <w:u w:val="single"/>
        </w:rPr>
        <w:t xml:space="preserve">（采购人或采购代理机构名称） </w:t>
      </w:r>
      <w:r>
        <w:rPr>
          <w:rFonts w:hint="eastAsia" w:ascii="仿宋_GB2312" w:hAnsi="仿宋_GB2312" w:eastAsia="仿宋_GB2312" w:cs="仿宋_GB2312"/>
          <w:b/>
          <w:szCs w:val="21"/>
        </w:rPr>
        <w:t xml:space="preserve"> ：</w:t>
      </w:r>
    </w:p>
    <w:p w14:paraId="1D9E92D3">
      <w:pPr>
        <w:spacing w:line="360" w:lineRule="auto"/>
        <w:ind w:right="-21" w:rightChars="-10" w:firstLine="493" w:firstLineChars="235"/>
        <w:rPr>
          <w:rFonts w:ascii="仿宋_GB2312" w:hAnsi="仿宋_GB2312" w:eastAsia="仿宋_GB2312" w:cs="仿宋_GB2312"/>
          <w:szCs w:val="21"/>
        </w:rPr>
      </w:pPr>
      <w:r>
        <w:rPr>
          <w:rFonts w:hint="eastAsia" w:ascii="仿宋_GB2312" w:hAnsi="仿宋_GB2312" w:eastAsia="仿宋_GB2312" w:cs="仿宋_GB2312"/>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14:paraId="5C9D8BD4">
      <w:pPr>
        <w:tabs>
          <w:tab w:val="left" w:pos="10065"/>
        </w:tabs>
        <w:spacing w:line="360" w:lineRule="auto"/>
        <w:ind w:right="-21" w:rightChars="-10" w:firstLine="371" w:firstLineChars="177"/>
        <w:rPr>
          <w:rFonts w:ascii="仿宋_GB2312" w:hAnsi="仿宋_GB2312" w:eastAsia="仿宋_GB2312" w:cs="仿宋_GB2312"/>
          <w:szCs w:val="21"/>
        </w:rPr>
      </w:pPr>
      <w:r>
        <w:rPr>
          <w:rFonts w:hint="eastAsia" w:ascii="仿宋_GB2312" w:hAnsi="仿宋_GB2312" w:eastAsia="仿宋_GB2312" w:cs="仿宋_GB2312"/>
          <w:szCs w:val="21"/>
        </w:rPr>
        <w:t>如发现我单位提供的声明函不实时，我单位将按照《政府采购法》有关提供虚假材料的规定，接受处罚。</w:t>
      </w:r>
    </w:p>
    <w:p w14:paraId="37F5C0C0">
      <w:pPr>
        <w:spacing w:line="360" w:lineRule="auto"/>
        <w:ind w:right="1050" w:rightChars="50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特此声明。</w:t>
      </w:r>
    </w:p>
    <w:p w14:paraId="22FF267A">
      <w:pPr>
        <w:spacing w:line="500" w:lineRule="exact"/>
        <w:ind w:right="1050" w:rightChars="500"/>
        <w:rPr>
          <w:rFonts w:ascii="仿宋_GB2312" w:hAnsi="仿宋_GB2312" w:eastAsia="仿宋_GB2312" w:cs="仿宋_GB2312"/>
          <w:szCs w:val="21"/>
        </w:rPr>
      </w:pPr>
    </w:p>
    <w:p w14:paraId="25617B5B">
      <w:pPr>
        <w:spacing w:before="159" w:beforeLines="50" w:after="159" w:afterLines="50" w:line="400" w:lineRule="exact"/>
        <w:ind w:right="1050" w:rightChars="500"/>
        <w:rPr>
          <w:rFonts w:ascii="仿宋_GB2312" w:hAnsi="仿宋_GB2312" w:eastAsia="仿宋_GB2312" w:cs="仿宋_GB2312"/>
          <w:szCs w:val="21"/>
        </w:rPr>
      </w:pPr>
    </w:p>
    <w:p w14:paraId="16E6330F">
      <w:pPr>
        <w:spacing w:before="159" w:beforeLines="50" w:after="159" w:afterLines="50" w:line="400" w:lineRule="exact"/>
        <w:ind w:right="1050" w:rightChars="500"/>
        <w:rPr>
          <w:rFonts w:ascii="仿宋_GB2312" w:hAnsi="仿宋_GB2312" w:eastAsia="仿宋_GB2312" w:cs="仿宋_GB2312"/>
          <w:szCs w:val="21"/>
        </w:rPr>
      </w:pPr>
    </w:p>
    <w:p w14:paraId="0BDBF99F">
      <w:pPr>
        <w:spacing w:before="159" w:beforeLines="50" w:after="159" w:afterLines="50" w:line="400" w:lineRule="exact"/>
        <w:ind w:right="1050" w:rightChars="500"/>
        <w:rPr>
          <w:rFonts w:ascii="仿宋_GB2312" w:hAnsi="仿宋_GB2312" w:eastAsia="仿宋_GB2312" w:cs="仿宋_GB2312"/>
          <w:szCs w:val="21"/>
        </w:rPr>
      </w:pPr>
    </w:p>
    <w:p w14:paraId="03552351">
      <w:pPr>
        <w:spacing w:line="360" w:lineRule="exact"/>
        <w:ind w:right="1050" w:rightChars="500"/>
        <w:rPr>
          <w:rFonts w:ascii="仿宋_GB2312" w:hAnsi="仿宋_GB2312" w:eastAsia="仿宋_GB2312" w:cs="仿宋_GB2312"/>
          <w:szCs w:val="21"/>
        </w:rPr>
      </w:pPr>
    </w:p>
    <w:p w14:paraId="230B83FD">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14:paraId="33DDD001">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授权委托人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14:paraId="33886F9E">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14:paraId="6461B0D5">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br w:type="page"/>
      </w:r>
    </w:p>
    <w:p w14:paraId="515DB73A">
      <w:pPr>
        <w:pStyle w:val="5"/>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格式9</w:t>
      </w:r>
    </w:p>
    <w:p w14:paraId="11D1D2AE">
      <w:pPr>
        <w:spacing w:before="319" w:beforeLines="100" w:after="319" w:afterLines="100" w:line="360" w:lineRule="auto"/>
        <w:ind w:right="-21" w:rightChars="-10"/>
        <w:jc w:val="center"/>
        <w:rPr>
          <w:rFonts w:ascii="仿宋_GB2312" w:hAnsi="仿宋_GB2312" w:eastAsia="仿宋_GB2312" w:cs="仿宋_GB2312"/>
          <w:b/>
          <w:sz w:val="32"/>
          <w:szCs w:val="32"/>
        </w:rPr>
      </w:pPr>
      <w:bookmarkStart w:id="80" w:name="_Toc16873_WPSOffice_Level2"/>
      <w:bookmarkStart w:id="81" w:name="_Toc30548_WPSOffice_Level2"/>
      <w:r>
        <w:rPr>
          <w:rFonts w:hint="eastAsia" w:ascii="仿宋_GB2312" w:hAnsi="仿宋_GB2312" w:eastAsia="仿宋_GB2312" w:cs="仿宋_GB2312"/>
          <w:b/>
          <w:sz w:val="32"/>
          <w:szCs w:val="32"/>
        </w:rPr>
        <w:t>联合体协议书</w:t>
      </w:r>
      <w:bookmarkEnd w:id="80"/>
      <w:bookmarkEnd w:id="81"/>
    </w:p>
    <w:p w14:paraId="23DAA411">
      <w:pPr>
        <w:pStyle w:val="13"/>
        <w:spacing w:line="360" w:lineRule="auto"/>
        <w:rPr>
          <w:rFonts w:ascii="仿宋_GB2312" w:hAnsi="仿宋_GB2312" w:eastAsia="仿宋_GB2312" w:cs="仿宋_GB2312"/>
        </w:rPr>
      </w:pPr>
      <w:r>
        <w:rPr>
          <w:rFonts w:hint="eastAsia" w:ascii="仿宋_GB2312" w:hAnsi="仿宋_GB2312" w:eastAsia="仿宋_GB2312" w:cs="仿宋_GB2312"/>
          <w:u w:val="single"/>
        </w:rPr>
        <w:t>(采购人或采购代理机构)</w:t>
      </w:r>
      <w:r>
        <w:rPr>
          <w:rFonts w:hint="eastAsia" w:ascii="仿宋_GB2312" w:hAnsi="仿宋_GB2312" w:eastAsia="仿宋_GB2312" w:cs="仿宋_GB2312"/>
        </w:rPr>
        <w:t>：</w:t>
      </w:r>
    </w:p>
    <w:p w14:paraId="522736A3">
      <w:pPr>
        <w:pStyle w:val="13"/>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经研究，我方决定自愿组成联合体共同参加</w:t>
      </w:r>
      <w:r>
        <w:rPr>
          <w:rFonts w:hint="eastAsia" w:ascii="仿宋_GB2312" w:hAnsi="仿宋_GB2312" w:eastAsia="仿宋_GB2312" w:cs="仿宋_GB2312"/>
          <w:u w:val="single"/>
        </w:rPr>
        <w:t>(项目名称、项目编号、包号)</w:t>
      </w:r>
      <w:r>
        <w:rPr>
          <w:rFonts w:hint="eastAsia" w:ascii="仿宋_GB2312" w:hAnsi="仿宋_GB2312" w:eastAsia="仿宋_GB2312" w:cs="仿宋_GB2312"/>
        </w:rPr>
        <w:t>项目的投标。现就联合体投标事宜订立如下协议：</w:t>
      </w:r>
    </w:p>
    <w:p w14:paraId="149D86A6">
      <w:pPr>
        <w:pStyle w:val="13"/>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一、联合体成员：</w:t>
      </w:r>
    </w:p>
    <w:p w14:paraId="7BA6C57C">
      <w:pPr>
        <w:pStyle w:val="13"/>
        <w:spacing w:line="360" w:lineRule="auto"/>
        <w:ind w:firstLine="420" w:firstLineChars="200"/>
        <w:rPr>
          <w:rFonts w:ascii="仿宋_GB2312" w:hAnsi="仿宋_GB2312" w:eastAsia="仿宋_GB2312" w:cs="仿宋_GB2312"/>
          <w:u w:val="single"/>
        </w:rPr>
      </w:pPr>
      <w:bookmarkStart w:id="82" w:name="_Toc23749_WPSOffice_Level2"/>
      <w:bookmarkStart w:id="83" w:name="_Toc15561_WPSOffice_Level2"/>
      <w:r>
        <w:rPr>
          <w:rFonts w:hint="eastAsia" w:ascii="仿宋_GB2312" w:hAnsi="仿宋_GB2312" w:eastAsia="仿宋_GB2312" w:cs="仿宋_GB2312"/>
        </w:rPr>
        <w:t>1.</w:t>
      </w:r>
      <w:bookmarkEnd w:id="82"/>
      <w:bookmarkEnd w:id="83"/>
      <w:r>
        <w:rPr>
          <w:rFonts w:hint="eastAsia" w:ascii="仿宋_GB2312" w:hAnsi="仿宋_GB2312" w:eastAsia="仿宋_GB2312" w:cs="仿宋_GB2312"/>
          <w:u w:val="single"/>
        </w:rPr>
        <w:t xml:space="preserve">                  </w:t>
      </w:r>
    </w:p>
    <w:p w14:paraId="7B1C705C">
      <w:pPr>
        <w:pStyle w:val="13"/>
        <w:spacing w:line="360" w:lineRule="auto"/>
        <w:ind w:firstLine="420" w:firstLineChars="200"/>
        <w:rPr>
          <w:rFonts w:ascii="仿宋_GB2312" w:hAnsi="仿宋_GB2312" w:eastAsia="仿宋_GB2312" w:cs="仿宋_GB2312"/>
        </w:rPr>
      </w:pPr>
      <w:bookmarkStart w:id="84" w:name="_Toc405_WPSOffice_Level2"/>
      <w:bookmarkStart w:id="85" w:name="_Toc22173_WPSOffice_Level2"/>
      <w:r>
        <w:rPr>
          <w:rFonts w:hint="eastAsia" w:ascii="仿宋_GB2312" w:hAnsi="仿宋_GB2312" w:eastAsia="仿宋_GB2312" w:cs="仿宋_GB2312"/>
        </w:rPr>
        <w:t>2.</w:t>
      </w:r>
      <w:bookmarkEnd w:id="84"/>
      <w:bookmarkEnd w:id="85"/>
      <w:r>
        <w:rPr>
          <w:rFonts w:hint="eastAsia" w:ascii="仿宋_GB2312" w:hAnsi="仿宋_GB2312" w:eastAsia="仿宋_GB2312" w:cs="仿宋_GB2312"/>
          <w:u w:val="single"/>
        </w:rPr>
        <w:t xml:space="preserve">                  </w:t>
      </w:r>
    </w:p>
    <w:p w14:paraId="663C757A">
      <w:pPr>
        <w:pStyle w:val="13"/>
        <w:spacing w:line="360" w:lineRule="auto"/>
        <w:ind w:firstLine="420" w:firstLineChars="200"/>
        <w:rPr>
          <w:rFonts w:ascii="仿宋_GB2312" w:hAnsi="仿宋_GB2312" w:eastAsia="仿宋_GB2312" w:cs="仿宋_GB2312"/>
        </w:rPr>
      </w:pPr>
      <w:bookmarkStart w:id="86" w:name="_Toc7084_WPSOffice_Level2"/>
      <w:bookmarkStart w:id="87" w:name="_Toc23482_WPSOffice_Level2"/>
      <w:r>
        <w:rPr>
          <w:rFonts w:hint="eastAsia" w:ascii="仿宋_GB2312" w:hAnsi="仿宋_GB2312" w:eastAsia="仿宋_GB2312" w:cs="仿宋_GB2312"/>
        </w:rPr>
        <w:t>3.</w:t>
      </w:r>
      <w:bookmarkEnd w:id="86"/>
      <w:bookmarkEnd w:id="87"/>
      <w:r>
        <w:rPr>
          <w:rFonts w:hint="eastAsia" w:ascii="仿宋_GB2312" w:hAnsi="仿宋_GB2312" w:eastAsia="仿宋_GB2312" w:cs="仿宋_GB2312"/>
          <w:u w:val="single"/>
        </w:rPr>
        <w:t xml:space="preserve">                  </w:t>
      </w:r>
    </w:p>
    <w:p w14:paraId="0B08928E">
      <w:pPr>
        <w:pStyle w:val="13"/>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二、</w:t>
      </w:r>
      <w:r>
        <w:rPr>
          <w:rFonts w:hint="eastAsia" w:ascii="仿宋_GB2312" w:hAnsi="仿宋_GB2312" w:eastAsia="仿宋_GB2312" w:cs="仿宋_GB2312"/>
          <w:u w:val="single"/>
        </w:rPr>
        <w:t>(某成员单位名称)</w:t>
      </w:r>
      <w:r>
        <w:rPr>
          <w:rFonts w:hint="eastAsia" w:ascii="仿宋_GB2312" w:hAnsi="仿宋_GB2312" w:eastAsia="仿宋_GB2312" w:cs="仿宋_GB2312"/>
        </w:rPr>
        <w:t>为(联合体名称)牵头人。</w:t>
      </w:r>
    </w:p>
    <w:p w14:paraId="733B616D">
      <w:pPr>
        <w:pStyle w:val="13"/>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14:paraId="58077F76">
      <w:pPr>
        <w:pStyle w:val="13"/>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四、联合体将严格按照招标文件的各项要求，递交投标文件，参加投标，履行中标义务和中标后的合同，并向采购人承担连带责任。</w:t>
      </w:r>
    </w:p>
    <w:p w14:paraId="2166375D">
      <w:pPr>
        <w:pStyle w:val="13"/>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五、联合体各成员单位内部的职责分工如下：</w:t>
      </w:r>
      <w:r>
        <w:rPr>
          <w:rFonts w:hint="eastAsia" w:ascii="仿宋_GB2312" w:hAnsi="仿宋_GB2312" w:eastAsia="仿宋_GB2312" w:cs="仿宋_GB2312"/>
          <w:u w:val="single"/>
        </w:rPr>
        <w:t xml:space="preserve">                  </w:t>
      </w:r>
      <w:r>
        <w:rPr>
          <w:rFonts w:hint="eastAsia" w:ascii="仿宋_GB2312" w:hAnsi="仿宋_GB2312" w:eastAsia="仿宋_GB2312" w:cs="仿宋_GB2312"/>
        </w:rPr>
        <w:t>。按照本条上述分工，联合体成员单位各自所承担的合同工作量比例如下：</w:t>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14:paraId="59D4ED89">
      <w:pPr>
        <w:pStyle w:val="13"/>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六、本协议书自签署之日起生效，合同履行完毕后自动失效。</w:t>
      </w:r>
    </w:p>
    <w:p w14:paraId="36BF68B7">
      <w:pPr>
        <w:pStyle w:val="13"/>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七、本协议书一式</w:t>
      </w:r>
      <w:r>
        <w:rPr>
          <w:rFonts w:hint="eastAsia" w:ascii="仿宋_GB2312" w:hAnsi="仿宋_GB2312" w:eastAsia="仿宋_GB2312" w:cs="仿宋_GB2312"/>
          <w:u w:val="single"/>
        </w:rPr>
        <w:t xml:space="preserve">  </w:t>
      </w:r>
      <w:r>
        <w:rPr>
          <w:rFonts w:hint="eastAsia" w:ascii="仿宋_GB2312" w:hAnsi="仿宋_GB2312" w:eastAsia="仿宋_GB2312" w:cs="仿宋_GB2312"/>
        </w:rPr>
        <w:t>份，联合体成员和采购人各执</w:t>
      </w:r>
      <w:r>
        <w:rPr>
          <w:rFonts w:hint="eastAsia" w:ascii="仿宋_GB2312" w:hAnsi="仿宋_GB2312" w:eastAsia="仿宋_GB2312" w:cs="仿宋_GB2312"/>
          <w:u w:val="single"/>
        </w:rPr>
        <w:t xml:space="preserve">  </w:t>
      </w:r>
      <w:r>
        <w:rPr>
          <w:rFonts w:hint="eastAsia" w:ascii="仿宋_GB2312" w:hAnsi="仿宋_GB2312" w:eastAsia="仿宋_GB2312" w:cs="仿宋_GB2312"/>
        </w:rPr>
        <w:t>份。</w:t>
      </w:r>
    </w:p>
    <w:p w14:paraId="2FD6475D">
      <w:pPr>
        <w:pStyle w:val="13"/>
        <w:spacing w:line="360" w:lineRule="auto"/>
        <w:ind w:firstLine="420" w:firstLineChars="200"/>
        <w:rPr>
          <w:rFonts w:ascii="仿宋_GB2312" w:hAnsi="仿宋_GB2312" w:eastAsia="仿宋_GB2312" w:cs="仿宋_GB2312"/>
        </w:rPr>
      </w:pPr>
    </w:p>
    <w:p w14:paraId="687C30FF">
      <w:pPr>
        <w:pStyle w:val="13"/>
        <w:spacing w:line="360" w:lineRule="auto"/>
        <w:rPr>
          <w:rFonts w:ascii="仿宋_GB2312" w:hAnsi="仿宋_GB2312" w:eastAsia="仿宋_GB2312" w:cs="仿宋_GB2312"/>
          <w:u w:val="single"/>
        </w:rPr>
      </w:pPr>
      <w:r>
        <w:rPr>
          <w:rFonts w:hint="eastAsia" w:ascii="仿宋_GB2312" w:hAnsi="仿宋_GB2312" w:eastAsia="仿宋_GB2312" w:cs="仿宋_GB2312"/>
        </w:rPr>
        <w:t>牵头人名称(加盖单位公章)：</w:t>
      </w:r>
      <w:r>
        <w:rPr>
          <w:rFonts w:hint="eastAsia" w:ascii="仿宋_GB2312" w:hAnsi="仿宋_GB2312" w:eastAsia="仿宋_GB2312" w:cs="仿宋_GB2312"/>
          <w:u w:val="single"/>
        </w:rPr>
        <w:t xml:space="preserve">                            </w:t>
      </w:r>
    </w:p>
    <w:p w14:paraId="54F27B5A">
      <w:pPr>
        <w:pStyle w:val="13"/>
        <w:spacing w:line="360" w:lineRule="auto"/>
        <w:rPr>
          <w:rFonts w:ascii="仿宋_GB2312" w:hAnsi="仿宋_GB2312" w:eastAsia="仿宋_GB2312" w:cs="仿宋_GB2312"/>
        </w:rPr>
      </w:pPr>
      <w:r>
        <w:rPr>
          <w:rFonts w:hint="eastAsia" w:ascii="仿宋_GB2312" w:hAnsi="仿宋_GB2312" w:eastAsia="仿宋_GB2312" w:cs="仿宋_GB2312"/>
        </w:rPr>
        <w:t>法定代表人或其授权委托人(签字或盖章)：</w:t>
      </w:r>
      <w:r>
        <w:rPr>
          <w:rFonts w:hint="eastAsia" w:ascii="仿宋_GB2312" w:hAnsi="仿宋_GB2312" w:eastAsia="仿宋_GB2312" w:cs="仿宋_GB2312"/>
          <w:u w:val="single"/>
        </w:rPr>
        <w:t xml:space="preserve">                  </w:t>
      </w:r>
    </w:p>
    <w:p w14:paraId="4F8136AB">
      <w:pPr>
        <w:pStyle w:val="13"/>
        <w:spacing w:line="360" w:lineRule="auto"/>
        <w:ind w:firstLine="420" w:firstLineChars="200"/>
        <w:rPr>
          <w:rFonts w:ascii="仿宋_GB2312" w:hAnsi="仿宋_GB2312" w:eastAsia="仿宋_GB2312" w:cs="仿宋_GB2312"/>
        </w:rPr>
      </w:pPr>
    </w:p>
    <w:p w14:paraId="74E496A7">
      <w:pPr>
        <w:pStyle w:val="13"/>
        <w:spacing w:line="360" w:lineRule="auto"/>
        <w:rPr>
          <w:rFonts w:ascii="仿宋_GB2312" w:hAnsi="仿宋_GB2312" w:eastAsia="仿宋_GB2312" w:cs="仿宋_GB2312"/>
          <w:u w:val="single"/>
        </w:rPr>
      </w:pPr>
      <w:r>
        <w:rPr>
          <w:rFonts w:hint="eastAsia" w:ascii="仿宋_GB2312" w:hAnsi="仿宋_GB2312" w:eastAsia="仿宋_GB2312" w:cs="仿宋_GB2312"/>
        </w:rPr>
        <w:t>成员名称(加盖单位公章)：</w:t>
      </w:r>
      <w:r>
        <w:rPr>
          <w:rFonts w:hint="eastAsia" w:ascii="仿宋_GB2312" w:hAnsi="仿宋_GB2312" w:eastAsia="仿宋_GB2312" w:cs="仿宋_GB2312"/>
          <w:u w:val="single"/>
        </w:rPr>
        <w:t xml:space="preserve">                              </w:t>
      </w:r>
    </w:p>
    <w:p w14:paraId="36F9349D">
      <w:pPr>
        <w:pStyle w:val="13"/>
        <w:spacing w:line="360" w:lineRule="auto"/>
        <w:rPr>
          <w:rFonts w:ascii="仿宋_GB2312" w:hAnsi="仿宋_GB2312" w:eastAsia="仿宋_GB2312" w:cs="仿宋_GB2312"/>
          <w:u w:val="single"/>
        </w:rPr>
      </w:pPr>
      <w:r>
        <w:rPr>
          <w:rFonts w:hint="eastAsia" w:ascii="仿宋_GB2312" w:hAnsi="仿宋_GB2312" w:eastAsia="仿宋_GB2312" w:cs="仿宋_GB2312"/>
        </w:rPr>
        <w:t>法定代表人或其授权委托人(签字或盖章)：</w:t>
      </w:r>
      <w:r>
        <w:rPr>
          <w:rFonts w:hint="eastAsia" w:ascii="仿宋_GB2312" w:hAnsi="仿宋_GB2312" w:eastAsia="仿宋_GB2312" w:cs="仿宋_GB2312"/>
          <w:u w:val="single"/>
        </w:rPr>
        <w:t xml:space="preserve">                  </w:t>
      </w:r>
    </w:p>
    <w:p w14:paraId="45E513FE">
      <w:pPr>
        <w:spacing w:line="360" w:lineRule="exact"/>
        <w:ind w:right="1050" w:rightChars="500"/>
        <w:jc w:val="left"/>
        <w:rPr>
          <w:rFonts w:ascii="仿宋_GB2312" w:hAnsi="仿宋_GB2312" w:eastAsia="仿宋_GB2312" w:cs="仿宋_GB2312"/>
          <w:szCs w:val="21"/>
          <w:u w:val="single"/>
        </w:rPr>
      </w:pPr>
      <w:r>
        <w:rPr>
          <w:rFonts w:hint="eastAsia" w:ascii="仿宋_GB2312" w:hAnsi="仿宋_GB2312" w:eastAsia="仿宋_GB2312" w:cs="仿宋_GB2312"/>
          <w:szCs w:val="21"/>
        </w:rPr>
        <w:t>日期：</w:t>
      </w:r>
      <w:r>
        <w:rPr>
          <w:rFonts w:hint="eastAsia" w:ascii="仿宋_GB2312" w:hAnsi="仿宋_GB2312" w:eastAsia="仿宋_GB2312" w:cs="仿宋_GB2312"/>
          <w:u w:val="single"/>
        </w:rPr>
        <w:t xml:space="preserve">              </w:t>
      </w:r>
      <w:r>
        <w:rPr>
          <w:rFonts w:hint="eastAsia" w:ascii="仿宋_GB2312" w:hAnsi="仿宋_GB2312" w:eastAsia="仿宋_GB2312" w:cs="仿宋_GB2312"/>
          <w:szCs w:val="21"/>
        </w:rPr>
        <w:t xml:space="preserve"> </w:t>
      </w:r>
    </w:p>
    <w:p w14:paraId="553702E3">
      <w:pPr>
        <w:adjustRightInd w:val="0"/>
        <w:snapToGrid w:val="0"/>
        <w:spacing w:line="360" w:lineRule="auto"/>
        <w:ind w:right="105" w:rightChars="50" w:firstLine="560"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br w:type="page"/>
      </w:r>
    </w:p>
    <w:p w14:paraId="09A3DAD1">
      <w:pPr>
        <w:pStyle w:val="5"/>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格式10</w:t>
      </w:r>
    </w:p>
    <w:p w14:paraId="049F43FA">
      <w:pPr>
        <w:spacing w:before="319" w:beforeLines="100" w:after="319" w:afterLines="100" w:line="360" w:lineRule="auto"/>
        <w:ind w:right="-21" w:rightChars="-10"/>
        <w:jc w:val="center"/>
        <w:rPr>
          <w:rFonts w:ascii="仿宋_GB2312" w:hAnsi="仿宋_GB2312" w:eastAsia="仿宋_GB2312" w:cs="仿宋_GB2312"/>
          <w:b/>
          <w:sz w:val="32"/>
          <w:szCs w:val="32"/>
        </w:rPr>
      </w:pPr>
      <w:bookmarkStart w:id="88" w:name="_Toc24841_WPSOffice_Level2"/>
      <w:bookmarkStart w:id="89" w:name="_Toc14782_WPSOffice_Level2"/>
      <w:r>
        <w:rPr>
          <w:rFonts w:hint="eastAsia" w:ascii="仿宋_GB2312" w:hAnsi="仿宋_GB2312" w:eastAsia="仿宋_GB2312" w:cs="仿宋_GB2312"/>
          <w:b/>
          <w:sz w:val="32"/>
          <w:szCs w:val="32"/>
        </w:rPr>
        <w:t>投标函</w:t>
      </w:r>
      <w:bookmarkEnd w:id="88"/>
      <w:bookmarkEnd w:id="89"/>
    </w:p>
    <w:p w14:paraId="18FE8EA7">
      <w:pPr>
        <w:adjustRightInd w:val="0"/>
        <w:snapToGrid w:val="0"/>
        <w:spacing w:line="360" w:lineRule="auto"/>
        <w:ind w:right="630" w:rightChars="300"/>
        <w:rPr>
          <w:rFonts w:ascii="仿宋_GB2312" w:hAnsi="仿宋_GB2312" w:eastAsia="仿宋_GB2312" w:cs="仿宋_GB2312"/>
          <w:szCs w:val="21"/>
          <w:u w:val="single"/>
        </w:rPr>
      </w:pPr>
      <w:r>
        <w:rPr>
          <w:rFonts w:hint="eastAsia" w:ascii="仿宋_GB2312" w:hAnsi="仿宋_GB2312" w:eastAsia="仿宋_GB2312" w:cs="仿宋_GB2312"/>
          <w:szCs w:val="21"/>
          <w:u w:val="single"/>
        </w:rPr>
        <w:t>（采购人或采购代理机构）：</w:t>
      </w:r>
    </w:p>
    <w:p w14:paraId="126A9853">
      <w:pPr>
        <w:adjustRightInd w:val="0"/>
        <w:snapToGrid w:val="0"/>
        <w:spacing w:line="360" w:lineRule="auto"/>
        <w:ind w:right="-21" w:rightChars="-10" w:firstLine="420"/>
        <w:rPr>
          <w:rFonts w:ascii="仿宋_GB2312" w:hAnsi="仿宋_GB2312" w:eastAsia="仿宋_GB2312" w:cs="仿宋_GB2312"/>
          <w:szCs w:val="21"/>
        </w:rPr>
      </w:pPr>
      <w:r>
        <w:rPr>
          <w:rFonts w:hint="eastAsia" w:ascii="仿宋_GB2312" w:hAnsi="仿宋_GB2312" w:eastAsia="仿宋_GB2312" w:cs="仿宋_GB2312"/>
          <w:szCs w:val="21"/>
        </w:rPr>
        <w:t>根据贵方</w:t>
      </w:r>
      <w:r>
        <w:rPr>
          <w:rFonts w:hint="eastAsia" w:ascii="仿宋_GB2312" w:hAnsi="仿宋_GB2312" w:eastAsia="仿宋_GB2312" w:cs="仿宋_GB2312"/>
          <w:szCs w:val="21"/>
          <w:u w:val="single"/>
        </w:rPr>
        <w:t>(项目名称)</w:t>
      </w:r>
      <w:r>
        <w:rPr>
          <w:rFonts w:hint="eastAsia" w:ascii="仿宋_GB2312" w:hAnsi="仿宋_GB2312" w:eastAsia="仿宋_GB2312" w:cs="仿宋_GB2312"/>
          <w:szCs w:val="21"/>
        </w:rPr>
        <w:t>项目的招标公告</w:t>
      </w:r>
      <w:r>
        <w:rPr>
          <w:rFonts w:hint="eastAsia" w:ascii="仿宋_GB2312" w:hAnsi="仿宋_GB2312" w:eastAsia="仿宋_GB2312" w:cs="仿宋_GB2312"/>
          <w:szCs w:val="21"/>
          <w:u w:val="single"/>
        </w:rPr>
        <w:t>(招标编号)</w:t>
      </w:r>
      <w:r>
        <w:rPr>
          <w:rFonts w:hint="eastAsia" w:ascii="仿宋_GB2312" w:hAnsi="仿宋_GB2312" w:eastAsia="仿宋_GB2312" w:cs="仿宋_GB2312"/>
          <w:szCs w:val="21"/>
        </w:rPr>
        <w:t>,签字代表</w:t>
      </w:r>
      <w:r>
        <w:rPr>
          <w:rFonts w:hint="eastAsia" w:ascii="仿宋_GB2312" w:hAnsi="仿宋_GB2312" w:eastAsia="仿宋_GB2312" w:cs="仿宋_GB2312"/>
          <w:szCs w:val="21"/>
          <w:u w:val="single"/>
        </w:rPr>
        <w:t>(姓名、职务)</w:t>
      </w:r>
      <w:r>
        <w:rPr>
          <w:rFonts w:hint="eastAsia" w:ascii="仿宋_GB2312" w:hAnsi="仿宋_GB2312" w:eastAsia="仿宋_GB2312" w:cs="仿宋_GB2312"/>
          <w:szCs w:val="21"/>
        </w:rPr>
        <w:t>经正式授权并代表投标人</w:t>
      </w:r>
      <w:r>
        <w:rPr>
          <w:rFonts w:hint="eastAsia" w:ascii="仿宋_GB2312" w:hAnsi="仿宋_GB2312" w:eastAsia="仿宋_GB2312" w:cs="仿宋_GB2312"/>
          <w:szCs w:val="21"/>
          <w:u w:val="single"/>
        </w:rPr>
        <w:t>（名称、地址）</w:t>
      </w:r>
      <w:r>
        <w:rPr>
          <w:rFonts w:hint="eastAsia" w:ascii="仿宋_GB2312" w:hAnsi="仿宋_GB2312" w:eastAsia="仿宋_GB2312" w:cs="仿宋_GB2312"/>
          <w:szCs w:val="21"/>
        </w:rPr>
        <w:t>提交下述文件</w:t>
      </w:r>
    </w:p>
    <w:p w14:paraId="5EE6BE39">
      <w:pPr>
        <w:adjustRightInd w:val="0"/>
        <w:snapToGrid w:val="0"/>
        <w:spacing w:line="360" w:lineRule="auto"/>
        <w:ind w:right="-21" w:rightChars="-10" w:firstLine="420"/>
        <w:rPr>
          <w:rFonts w:ascii="仿宋_GB2312" w:hAnsi="仿宋_GB2312" w:eastAsia="仿宋_GB2312" w:cs="仿宋_GB2312"/>
          <w:szCs w:val="21"/>
        </w:rPr>
      </w:pPr>
      <w:r>
        <w:rPr>
          <w:rFonts w:hint="eastAsia" w:ascii="仿宋_GB2312" w:hAnsi="仿宋_GB2312" w:eastAsia="仿宋_GB2312" w:cs="仿宋_GB2312"/>
          <w:szCs w:val="21"/>
        </w:rPr>
        <w:t>1、加密的电子征集响应文件（jmbs），应在文件领取开始时间至征集响应文件递交截止时间前通过 “新疆政采云平台”上传，开标时须使用 CA 秘钥进行文件解密工作。</w:t>
      </w:r>
    </w:p>
    <w:p w14:paraId="01C5A618">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2、未加密的电子征集响应文件（jmbs格式）壹份，Word版本壹份，在开标截止时间前上传至政采云与开标现场解密的电子征集响应文件一致。</w:t>
      </w:r>
    </w:p>
    <w:p w14:paraId="3CBD3FB1">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3、以</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形式出具的金额为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人民币元的投标保证金。并同时宣布愿意遵守下列条款：</w:t>
      </w:r>
    </w:p>
    <w:p w14:paraId="40393DBB">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据此，签字代表宣布同意如下：</w:t>
      </w:r>
    </w:p>
    <w:p w14:paraId="3B2EAD34">
      <w:pPr>
        <w:numPr>
          <w:ilvl w:val="0"/>
          <w:numId w:val="5"/>
        </w:num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本项目投标总价详见开标一览表。</w:t>
      </w:r>
    </w:p>
    <w:p w14:paraId="7C9BCFC7">
      <w:pPr>
        <w:numPr>
          <w:ilvl w:val="0"/>
          <w:numId w:val="5"/>
        </w:num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本投标有效期为自递交投标文件截止之日起</w:t>
      </w:r>
      <w:r>
        <w:rPr>
          <w:rFonts w:hint="eastAsia" w:ascii="仿宋_GB2312" w:hAnsi="仿宋_GB2312" w:eastAsia="仿宋_GB2312" w:cs="仿宋_GB2312"/>
          <w:szCs w:val="21"/>
          <w:u w:val="single"/>
        </w:rPr>
        <w:t>90</w:t>
      </w:r>
      <w:r>
        <w:rPr>
          <w:rFonts w:hint="eastAsia" w:ascii="仿宋_GB2312" w:hAnsi="仿宋_GB2312" w:eastAsia="仿宋_GB2312" w:cs="仿宋_GB2312"/>
          <w:szCs w:val="21"/>
        </w:rPr>
        <w:t>日历日。</w:t>
      </w:r>
    </w:p>
    <w:p w14:paraId="7274DE3A">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（3）已详细审查全部招标文件，包括所有补充通知（如果有的话）。</w:t>
      </w:r>
    </w:p>
    <w:p w14:paraId="5420606C">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（4）在规定的开标时间后，遵守招标文件中有关保证金的规定。</w:t>
      </w:r>
    </w:p>
    <w:p w14:paraId="4C14B274">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（5）我方不是为本项目提供整体设计、规范编制或者项目管理、监理、检测等服务的供应商，我方不是采购代理机构的附属机构。</w:t>
      </w:r>
    </w:p>
    <w:p w14:paraId="098CBFE5">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（6）在领取中标通知书的同时按招标文件规定的形式，向采购代理机构一次性支付采购代理服务费（适用于中标人支付采购代理服务费情形）。</w:t>
      </w:r>
    </w:p>
    <w:p w14:paraId="7F749A7F">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（7）按照贵方可能要求，提供与其投标有关的一切数据或资料，完全理解贵方不一定接受最低价的投标或收到的任何投标。</w:t>
      </w:r>
    </w:p>
    <w:p w14:paraId="2877880C">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（8）按照招标文件的规定履行合同责任和义务。</w:t>
      </w:r>
    </w:p>
    <w:p w14:paraId="1E907C41">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（9）我方承诺投标文件中的证明材料真实、合法、有效。</w:t>
      </w:r>
    </w:p>
    <w:p w14:paraId="19216837">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其他事项：</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w:t>
      </w:r>
    </w:p>
    <w:p w14:paraId="33281083">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与本项目有关的一切往来通讯请寄</w:t>
      </w:r>
    </w:p>
    <w:p w14:paraId="5D9D4572">
      <w:pPr>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传真：</w:t>
      </w:r>
      <w:r>
        <w:rPr>
          <w:rFonts w:hint="eastAsia" w:ascii="仿宋_GB2312" w:hAnsi="仿宋_GB2312" w:eastAsia="仿宋_GB2312" w:cs="仿宋_GB2312"/>
          <w:szCs w:val="21"/>
          <w:u w:val="single"/>
        </w:rPr>
        <w:t xml:space="preserve">                         </w:t>
      </w:r>
    </w:p>
    <w:p w14:paraId="7A205E3F">
      <w:pPr>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电话：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电子邮件：</w:t>
      </w:r>
      <w:r>
        <w:rPr>
          <w:rFonts w:hint="eastAsia" w:ascii="仿宋_GB2312" w:hAnsi="仿宋_GB2312" w:eastAsia="仿宋_GB2312" w:cs="仿宋_GB2312"/>
          <w:szCs w:val="21"/>
          <w:u w:val="single"/>
        </w:rPr>
        <w:t xml:space="preserve">                     </w:t>
      </w:r>
    </w:p>
    <w:p w14:paraId="2C0D56CF">
      <w:pPr>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法定代表人（非法人组织负责人）或其授权委托人（签字或盖章）：</w:t>
      </w:r>
      <w:r>
        <w:rPr>
          <w:rFonts w:hint="eastAsia" w:ascii="仿宋_GB2312" w:hAnsi="仿宋_GB2312" w:eastAsia="仿宋_GB2312" w:cs="仿宋_GB2312"/>
          <w:szCs w:val="21"/>
          <w:u w:val="single"/>
        </w:rPr>
        <w:t xml:space="preserve">       </w:t>
      </w:r>
    </w:p>
    <w:p w14:paraId="07EA33C2">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投标人名称（加盖单位公章）：</w:t>
      </w:r>
      <w:r>
        <w:rPr>
          <w:rFonts w:hint="eastAsia" w:ascii="仿宋_GB2312" w:hAnsi="仿宋_GB2312" w:eastAsia="仿宋_GB2312" w:cs="仿宋_GB2312"/>
          <w:szCs w:val="21"/>
          <w:u w:val="single"/>
        </w:rPr>
        <w:t xml:space="preserve">          </w:t>
      </w:r>
    </w:p>
    <w:p w14:paraId="7887077A">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投标人开户银行（全称）：</w:t>
      </w:r>
      <w:r>
        <w:rPr>
          <w:rFonts w:hint="eastAsia" w:ascii="仿宋_GB2312" w:hAnsi="仿宋_GB2312" w:eastAsia="仿宋_GB2312" w:cs="仿宋_GB2312"/>
          <w:szCs w:val="21"/>
          <w:u w:val="single"/>
        </w:rPr>
        <w:t xml:space="preserve">              </w:t>
      </w:r>
    </w:p>
    <w:p w14:paraId="14A80146">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投标人银行账号：</w:t>
      </w:r>
      <w:r>
        <w:rPr>
          <w:rFonts w:hint="eastAsia" w:ascii="仿宋_GB2312" w:hAnsi="仿宋_GB2312" w:eastAsia="仿宋_GB2312" w:cs="仿宋_GB2312"/>
          <w:szCs w:val="21"/>
          <w:u w:val="single"/>
        </w:rPr>
        <w:t xml:space="preserve">                      </w:t>
      </w:r>
    </w:p>
    <w:p w14:paraId="0D0190DF">
      <w:pPr>
        <w:adjustRightInd w:val="0"/>
        <w:snapToGrid w:val="0"/>
        <w:spacing w:line="360" w:lineRule="auto"/>
        <w:ind w:right="1050" w:rightChars="500"/>
        <w:rPr>
          <w:rFonts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14:paraId="505EC79B">
      <w:pPr>
        <w:adjustRightInd w:val="0"/>
        <w:snapToGrid w:val="0"/>
        <w:spacing w:line="360" w:lineRule="auto"/>
        <w:ind w:right="1050" w:rightChars="500" w:firstLine="476" w:firstLineChars="227"/>
        <w:rPr>
          <w:rFonts w:ascii="仿宋_GB2312" w:hAnsi="仿宋_GB2312" w:eastAsia="仿宋_GB2312" w:cs="仿宋_GB2312"/>
          <w:szCs w:val="21"/>
        </w:rPr>
      </w:pPr>
    </w:p>
    <w:p w14:paraId="2035322F">
      <w:pPr>
        <w:pStyle w:val="5"/>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格式11</w:t>
      </w:r>
    </w:p>
    <w:p w14:paraId="75D71A7D">
      <w:pPr>
        <w:adjustRightInd w:val="0"/>
        <w:snapToGrid w:val="0"/>
        <w:spacing w:before="319" w:beforeLines="100" w:after="319" w:afterLines="100" w:line="360" w:lineRule="auto"/>
        <w:ind w:right="105" w:rightChars="50"/>
        <w:jc w:val="center"/>
        <w:rPr>
          <w:rFonts w:ascii="仿宋_GB2312" w:hAnsi="仿宋_GB2312" w:eastAsia="仿宋_GB2312" w:cs="仿宋_GB2312"/>
          <w:b/>
          <w:bCs/>
          <w:sz w:val="32"/>
          <w:szCs w:val="32"/>
        </w:rPr>
      </w:pPr>
      <w:bookmarkStart w:id="90" w:name="_Toc2673_WPSOffice_Level2"/>
      <w:bookmarkStart w:id="91" w:name="_Toc11267_WPSOffice_Level2"/>
      <w:r>
        <w:rPr>
          <w:rFonts w:hint="eastAsia" w:ascii="仿宋_GB2312" w:hAnsi="仿宋_GB2312" w:eastAsia="仿宋_GB2312" w:cs="仿宋_GB2312"/>
          <w:b/>
          <w:bCs/>
          <w:sz w:val="32"/>
          <w:szCs w:val="32"/>
        </w:rPr>
        <w:t>开标一览表</w:t>
      </w:r>
      <w:bookmarkEnd w:id="90"/>
      <w:bookmarkEnd w:id="91"/>
    </w:p>
    <w:p w14:paraId="09FA9E7A">
      <w:pPr>
        <w:adjustRightInd w:val="0"/>
        <w:snapToGrid w:val="0"/>
        <w:spacing w:line="360" w:lineRule="auto"/>
        <w:ind w:right="105" w:rightChars="50"/>
        <w:jc w:val="left"/>
        <w:rPr>
          <w:rFonts w:ascii="仿宋_GB2312" w:hAnsi="仿宋_GB2312" w:eastAsia="仿宋_GB2312" w:cs="仿宋_GB2312"/>
          <w:b/>
          <w:bCs/>
          <w:szCs w:val="21"/>
        </w:rPr>
      </w:pPr>
      <w:r>
        <w:rPr>
          <w:rFonts w:hint="eastAsia" w:ascii="仿宋_GB2312" w:hAnsi="仿宋_GB2312" w:eastAsia="仿宋_GB2312" w:cs="仿宋_GB2312"/>
          <w:b/>
          <w:bCs/>
          <w:szCs w:val="21"/>
        </w:rPr>
        <w:t>包号：                                                      报价单位：</w:t>
      </w:r>
    </w:p>
    <w:tbl>
      <w:tblPr>
        <w:tblStyle w:val="21"/>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2373"/>
        <w:gridCol w:w="1309"/>
        <w:gridCol w:w="1109"/>
        <w:gridCol w:w="1252"/>
        <w:gridCol w:w="951"/>
      </w:tblGrid>
      <w:tr w14:paraId="42D2F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549" w:type="dxa"/>
            <w:vAlign w:val="center"/>
          </w:tcPr>
          <w:p w14:paraId="5D5A29F9">
            <w:pPr>
              <w:adjustRightInd w:val="0"/>
              <w:snapToGrid w:val="0"/>
              <w:ind w:left="-54"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服务名称</w:t>
            </w:r>
          </w:p>
        </w:tc>
        <w:tc>
          <w:tcPr>
            <w:tcW w:w="2373" w:type="dxa"/>
            <w:vAlign w:val="center"/>
          </w:tcPr>
          <w:p w14:paraId="33A3817C">
            <w:pPr>
              <w:adjustRightInd w:val="0"/>
              <w:snapToGrid w:val="0"/>
              <w:ind w:left="-54"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投标总价</w:t>
            </w:r>
          </w:p>
        </w:tc>
        <w:tc>
          <w:tcPr>
            <w:tcW w:w="1309" w:type="dxa"/>
            <w:vAlign w:val="center"/>
          </w:tcPr>
          <w:p w14:paraId="42DF7ECA">
            <w:pPr>
              <w:adjustRightInd w:val="0"/>
              <w:snapToGrid w:val="0"/>
              <w:ind w:left="-54"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投标保证金</w:t>
            </w:r>
          </w:p>
        </w:tc>
        <w:tc>
          <w:tcPr>
            <w:tcW w:w="1109" w:type="dxa"/>
            <w:vAlign w:val="center"/>
          </w:tcPr>
          <w:p w14:paraId="24ED3F99">
            <w:pPr>
              <w:adjustRightInd w:val="0"/>
              <w:snapToGrid w:val="0"/>
              <w:ind w:right="-33" w:rightChars="-16"/>
              <w:jc w:val="center"/>
              <w:rPr>
                <w:rFonts w:ascii="仿宋_GB2312" w:hAnsi="仿宋_GB2312" w:eastAsia="仿宋_GB2312" w:cs="仿宋_GB2312"/>
                <w:szCs w:val="21"/>
              </w:rPr>
            </w:pPr>
            <w:r>
              <w:rPr>
                <w:rFonts w:hint="eastAsia" w:ascii="仿宋_GB2312" w:hAnsi="仿宋_GB2312" w:eastAsia="仿宋_GB2312" w:cs="仿宋_GB2312"/>
                <w:szCs w:val="21"/>
              </w:rPr>
              <w:t>履约期限</w:t>
            </w:r>
          </w:p>
        </w:tc>
        <w:tc>
          <w:tcPr>
            <w:tcW w:w="1252" w:type="dxa"/>
            <w:vAlign w:val="center"/>
          </w:tcPr>
          <w:p w14:paraId="11D60511">
            <w:pPr>
              <w:adjustRightInd w:val="0"/>
              <w:snapToGrid w:val="0"/>
              <w:ind w:right="-42" w:rightChars="-20"/>
              <w:jc w:val="center"/>
              <w:rPr>
                <w:rFonts w:ascii="仿宋_GB2312" w:hAnsi="仿宋_GB2312" w:eastAsia="仿宋_GB2312" w:cs="仿宋_GB2312"/>
                <w:szCs w:val="21"/>
              </w:rPr>
            </w:pPr>
            <w:r>
              <w:rPr>
                <w:rFonts w:hint="eastAsia" w:ascii="仿宋_GB2312" w:hAnsi="仿宋_GB2312" w:eastAsia="仿宋_GB2312" w:cs="仿宋_GB2312"/>
                <w:szCs w:val="21"/>
              </w:rPr>
              <w:t>履约地点</w:t>
            </w:r>
          </w:p>
        </w:tc>
        <w:tc>
          <w:tcPr>
            <w:tcW w:w="951" w:type="dxa"/>
            <w:vAlign w:val="center"/>
          </w:tcPr>
          <w:p w14:paraId="601F582C">
            <w:pPr>
              <w:adjustRightInd w:val="0"/>
              <w:snapToGrid w:val="0"/>
              <w:ind w:left="-54"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14:paraId="77569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549" w:type="dxa"/>
            <w:vAlign w:val="center"/>
          </w:tcPr>
          <w:p w14:paraId="13654993">
            <w:pPr>
              <w:adjustRightInd w:val="0"/>
              <w:snapToGrid w:val="0"/>
              <w:ind w:left="-54" w:leftChars="-26" w:right="-46" w:rightChars="-22"/>
              <w:jc w:val="center"/>
              <w:rPr>
                <w:rFonts w:ascii="仿宋_GB2312" w:hAnsi="仿宋_GB2312" w:eastAsia="仿宋_GB2312" w:cs="仿宋_GB2312"/>
                <w:szCs w:val="21"/>
              </w:rPr>
            </w:pPr>
          </w:p>
        </w:tc>
        <w:tc>
          <w:tcPr>
            <w:tcW w:w="2373" w:type="dxa"/>
            <w:vAlign w:val="center"/>
          </w:tcPr>
          <w:p w14:paraId="36C3BF57">
            <w:pPr>
              <w:adjustRightInd w:val="0"/>
              <w:snapToGrid w:val="0"/>
              <w:ind w:left="-54" w:leftChars="-26" w:right="-46" w:rightChars="-22"/>
              <w:jc w:val="left"/>
              <w:rPr>
                <w:rFonts w:ascii="仿宋_GB2312" w:hAnsi="仿宋_GB2312" w:eastAsia="仿宋_GB2312" w:cs="仿宋_GB2312"/>
                <w:szCs w:val="21"/>
              </w:rPr>
            </w:pPr>
            <w:r>
              <w:rPr>
                <w:rFonts w:hint="eastAsia" w:ascii="仿宋_GB2312" w:hAnsi="仿宋_GB2312" w:eastAsia="仿宋_GB2312" w:cs="仿宋_GB2312"/>
                <w:szCs w:val="21"/>
              </w:rPr>
              <w:t>小写：</w:t>
            </w:r>
          </w:p>
          <w:p w14:paraId="65AE9542">
            <w:pPr>
              <w:adjustRightInd w:val="0"/>
              <w:snapToGrid w:val="0"/>
              <w:ind w:left="-54" w:leftChars="-26" w:right="-46" w:rightChars="-22"/>
              <w:jc w:val="left"/>
              <w:rPr>
                <w:rFonts w:ascii="仿宋_GB2312" w:hAnsi="仿宋_GB2312" w:eastAsia="仿宋_GB2312" w:cs="仿宋_GB2312"/>
                <w:szCs w:val="21"/>
              </w:rPr>
            </w:pPr>
            <w:r>
              <w:rPr>
                <w:rFonts w:hint="eastAsia" w:ascii="仿宋_GB2312" w:hAnsi="仿宋_GB2312" w:eastAsia="仿宋_GB2312" w:cs="仿宋_GB2312"/>
                <w:szCs w:val="21"/>
              </w:rPr>
              <w:t>大写：</w:t>
            </w:r>
          </w:p>
        </w:tc>
        <w:tc>
          <w:tcPr>
            <w:tcW w:w="1309" w:type="dxa"/>
            <w:vAlign w:val="center"/>
          </w:tcPr>
          <w:p w14:paraId="6783BA86">
            <w:pPr>
              <w:adjustRightInd w:val="0"/>
              <w:snapToGrid w:val="0"/>
              <w:ind w:left="-54" w:leftChars="-26" w:right="-46" w:rightChars="-22"/>
              <w:jc w:val="center"/>
              <w:rPr>
                <w:rFonts w:ascii="仿宋_GB2312" w:hAnsi="仿宋_GB2312" w:eastAsia="仿宋_GB2312" w:cs="仿宋_GB2312"/>
                <w:szCs w:val="21"/>
              </w:rPr>
            </w:pPr>
          </w:p>
        </w:tc>
        <w:tc>
          <w:tcPr>
            <w:tcW w:w="1109" w:type="dxa"/>
            <w:vAlign w:val="center"/>
          </w:tcPr>
          <w:p w14:paraId="4D1E0122">
            <w:pPr>
              <w:adjustRightInd w:val="0"/>
              <w:snapToGrid w:val="0"/>
              <w:ind w:left="-54" w:leftChars="-26" w:right="-46" w:rightChars="-22"/>
              <w:jc w:val="center"/>
              <w:rPr>
                <w:rFonts w:ascii="仿宋_GB2312" w:hAnsi="仿宋_GB2312" w:eastAsia="仿宋_GB2312" w:cs="仿宋_GB2312"/>
                <w:szCs w:val="21"/>
              </w:rPr>
            </w:pPr>
          </w:p>
        </w:tc>
        <w:tc>
          <w:tcPr>
            <w:tcW w:w="1252" w:type="dxa"/>
            <w:vAlign w:val="center"/>
          </w:tcPr>
          <w:p w14:paraId="23085E76">
            <w:pPr>
              <w:adjustRightInd w:val="0"/>
              <w:snapToGrid w:val="0"/>
              <w:ind w:left="-54" w:leftChars="-26" w:right="-46" w:rightChars="-22"/>
              <w:jc w:val="center"/>
              <w:rPr>
                <w:rFonts w:ascii="仿宋_GB2312" w:hAnsi="仿宋_GB2312" w:eastAsia="仿宋_GB2312" w:cs="仿宋_GB2312"/>
                <w:szCs w:val="21"/>
              </w:rPr>
            </w:pPr>
          </w:p>
        </w:tc>
        <w:tc>
          <w:tcPr>
            <w:tcW w:w="951" w:type="dxa"/>
            <w:vAlign w:val="center"/>
          </w:tcPr>
          <w:p w14:paraId="7AF6661C">
            <w:pPr>
              <w:adjustRightInd w:val="0"/>
              <w:snapToGrid w:val="0"/>
              <w:ind w:left="-54" w:leftChars="-26" w:right="-46" w:rightChars="-22"/>
              <w:jc w:val="center"/>
              <w:rPr>
                <w:rFonts w:ascii="仿宋_GB2312" w:hAnsi="仿宋_GB2312" w:eastAsia="仿宋_GB2312" w:cs="仿宋_GB2312"/>
                <w:szCs w:val="21"/>
              </w:rPr>
            </w:pPr>
          </w:p>
        </w:tc>
      </w:tr>
    </w:tbl>
    <w:p w14:paraId="2AD1B49E">
      <w:pPr>
        <w:adjustRightInd w:val="0"/>
        <w:snapToGrid w:val="0"/>
        <w:spacing w:line="360" w:lineRule="auto"/>
        <w:ind w:right="105" w:rightChars="50" w:firstLine="420" w:firstLineChars="200"/>
        <w:jc w:val="left"/>
        <w:rPr>
          <w:rFonts w:ascii="仿宋_GB2312" w:hAnsi="仿宋_GB2312" w:eastAsia="仿宋_GB2312" w:cs="仿宋_GB2312"/>
          <w:szCs w:val="21"/>
        </w:rPr>
      </w:pPr>
    </w:p>
    <w:p w14:paraId="7121AABF">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注：此表中，投标总价应和服务价格明细表的总价相一致。</w:t>
      </w:r>
    </w:p>
    <w:p w14:paraId="51328065">
      <w:pPr>
        <w:adjustRightInd w:val="0"/>
        <w:snapToGrid w:val="0"/>
        <w:spacing w:line="360" w:lineRule="auto"/>
        <w:ind w:right="105" w:rightChars="50"/>
        <w:jc w:val="left"/>
        <w:rPr>
          <w:rFonts w:ascii="仿宋_GB2312" w:hAnsi="仿宋_GB2312" w:eastAsia="仿宋_GB2312" w:cs="仿宋_GB2312"/>
          <w:szCs w:val="21"/>
        </w:rPr>
      </w:pPr>
    </w:p>
    <w:p w14:paraId="0EEB2443">
      <w:pPr>
        <w:adjustRightInd w:val="0"/>
        <w:snapToGrid w:val="0"/>
        <w:spacing w:line="360" w:lineRule="auto"/>
        <w:ind w:right="105" w:rightChars="50"/>
        <w:jc w:val="left"/>
        <w:rPr>
          <w:rFonts w:ascii="仿宋_GB2312" w:hAnsi="仿宋_GB2312" w:eastAsia="仿宋_GB2312" w:cs="仿宋_GB2312"/>
          <w:szCs w:val="21"/>
        </w:rPr>
      </w:pPr>
    </w:p>
    <w:p w14:paraId="09F7D4AC">
      <w:pPr>
        <w:adjustRightInd w:val="0"/>
        <w:snapToGrid w:val="0"/>
        <w:spacing w:line="360" w:lineRule="auto"/>
        <w:ind w:right="105" w:rightChars="50"/>
        <w:jc w:val="left"/>
        <w:rPr>
          <w:rFonts w:ascii="仿宋_GB2312" w:hAnsi="仿宋_GB2312" w:eastAsia="仿宋_GB2312" w:cs="仿宋_GB2312"/>
          <w:szCs w:val="21"/>
        </w:rPr>
      </w:pPr>
    </w:p>
    <w:p w14:paraId="244F0AB8">
      <w:pPr>
        <w:adjustRightInd w:val="0"/>
        <w:snapToGrid w:val="0"/>
        <w:spacing w:line="360" w:lineRule="auto"/>
        <w:ind w:right="105" w:rightChars="50"/>
        <w:jc w:val="left"/>
        <w:rPr>
          <w:rFonts w:ascii="仿宋_GB2312" w:hAnsi="仿宋_GB2312" w:eastAsia="仿宋_GB2312" w:cs="仿宋_GB2312"/>
          <w:szCs w:val="21"/>
        </w:rPr>
      </w:pPr>
    </w:p>
    <w:p w14:paraId="41AECD04">
      <w:pPr>
        <w:adjustRightInd w:val="0"/>
        <w:snapToGrid w:val="0"/>
        <w:spacing w:line="360" w:lineRule="auto"/>
        <w:ind w:right="105" w:rightChars="50"/>
        <w:jc w:val="left"/>
        <w:rPr>
          <w:rFonts w:ascii="仿宋_GB2312" w:hAnsi="仿宋_GB2312" w:eastAsia="仿宋_GB2312" w:cs="仿宋_GB2312"/>
          <w:szCs w:val="21"/>
        </w:rPr>
      </w:pPr>
    </w:p>
    <w:p w14:paraId="4C768C68">
      <w:pPr>
        <w:adjustRightInd w:val="0"/>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14:paraId="6EFD0FF8">
      <w:pPr>
        <w:adjustRightInd w:val="0"/>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授权委托人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14:paraId="601EB828">
      <w:pPr>
        <w:adjustRightInd w:val="0"/>
        <w:snapToGrid w:val="0"/>
        <w:spacing w:line="480" w:lineRule="auto"/>
        <w:ind w:right="1050" w:rightChars="500"/>
        <w:rPr>
          <w:rFonts w:ascii="仿宋_GB2312" w:hAnsi="仿宋_GB2312" w:eastAsia="仿宋_GB2312" w:cs="仿宋_GB2312"/>
          <w:szCs w:val="21"/>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r>
        <w:rPr>
          <w:rFonts w:hint="eastAsia" w:ascii="仿宋_GB2312" w:hAnsi="仿宋_GB2312" w:eastAsia="仿宋_GB2312" w:cs="仿宋_GB2312"/>
          <w:szCs w:val="21"/>
        </w:rPr>
        <w:t xml:space="preserve"> </w:t>
      </w:r>
    </w:p>
    <w:p w14:paraId="489FD517">
      <w:pPr>
        <w:adjustRightInd w:val="0"/>
        <w:snapToGrid w:val="0"/>
        <w:spacing w:line="480" w:lineRule="auto"/>
        <w:ind w:right="1050" w:rightChars="500"/>
        <w:rPr>
          <w:rFonts w:ascii="仿宋_GB2312" w:hAnsi="仿宋_GB2312" w:eastAsia="仿宋_GB2312" w:cs="仿宋_GB2312"/>
          <w:szCs w:val="21"/>
        </w:rPr>
      </w:pPr>
    </w:p>
    <w:p w14:paraId="6BEBFF33">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br w:type="page"/>
      </w:r>
    </w:p>
    <w:p w14:paraId="5C37B16F">
      <w:pPr>
        <w:pStyle w:val="5"/>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格式12</w:t>
      </w:r>
    </w:p>
    <w:p w14:paraId="4F9D16CB">
      <w:pPr>
        <w:adjustRightInd w:val="0"/>
        <w:snapToGrid w:val="0"/>
        <w:spacing w:before="319" w:beforeLines="100" w:after="319" w:afterLines="100" w:line="360" w:lineRule="auto"/>
        <w:ind w:right="105" w:rightChars="5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服务价格明细表</w:t>
      </w:r>
    </w:p>
    <w:p w14:paraId="780D309F">
      <w:pPr>
        <w:adjustRightInd w:val="0"/>
        <w:snapToGrid w:val="0"/>
        <w:spacing w:line="360" w:lineRule="auto"/>
        <w:ind w:right="105" w:rightChars="50"/>
        <w:jc w:val="left"/>
        <w:rPr>
          <w:rFonts w:ascii="仿宋_GB2312" w:hAnsi="仿宋_GB2312" w:eastAsia="仿宋_GB2312" w:cs="仿宋_GB2312"/>
          <w:b/>
          <w:bCs/>
          <w:szCs w:val="21"/>
        </w:rPr>
      </w:pPr>
      <w:r>
        <w:rPr>
          <w:rFonts w:hint="eastAsia" w:ascii="仿宋_GB2312" w:hAnsi="仿宋_GB2312" w:eastAsia="仿宋_GB2312" w:cs="仿宋_GB2312"/>
          <w:b/>
          <w:bCs/>
          <w:szCs w:val="21"/>
        </w:rPr>
        <w:t>包号：                                                    报价单位：</w:t>
      </w:r>
    </w:p>
    <w:tbl>
      <w:tblPr>
        <w:tblStyle w:val="21"/>
        <w:tblW w:w="8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3078"/>
        <w:gridCol w:w="1228"/>
        <w:gridCol w:w="1238"/>
        <w:gridCol w:w="1457"/>
      </w:tblGrid>
      <w:tr w14:paraId="77433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14:paraId="65012F05">
            <w:pPr>
              <w:adjustRightInd w:val="0"/>
              <w:snapToGrid w:val="0"/>
              <w:ind w:left="-65" w:leftChars="-31"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3078" w:type="dxa"/>
            <w:vAlign w:val="center"/>
          </w:tcPr>
          <w:p w14:paraId="5A0EC208">
            <w:pPr>
              <w:adjustRightInd w:val="0"/>
              <w:snapToGrid w:val="0"/>
              <w:ind w:left="-65" w:leftChars="-31"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服务名称</w:t>
            </w:r>
          </w:p>
        </w:tc>
        <w:tc>
          <w:tcPr>
            <w:tcW w:w="1228" w:type="dxa"/>
            <w:vAlign w:val="center"/>
          </w:tcPr>
          <w:p w14:paraId="591ED4A4">
            <w:pPr>
              <w:adjustRightInd w:val="0"/>
              <w:snapToGrid w:val="0"/>
              <w:ind w:left="-65" w:leftChars="-31"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单价</w:t>
            </w:r>
          </w:p>
        </w:tc>
        <w:tc>
          <w:tcPr>
            <w:tcW w:w="1238" w:type="dxa"/>
            <w:vAlign w:val="center"/>
          </w:tcPr>
          <w:p w14:paraId="1F09D0BD">
            <w:pPr>
              <w:adjustRightInd w:val="0"/>
              <w:snapToGrid w:val="0"/>
              <w:ind w:left="-65" w:leftChars="-31"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总价</w:t>
            </w:r>
          </w:p>
        </w:tc>
        <w:tc>
          <w:tcPr>
            <w:tcW w:w="1457" w:type="dxa"/>
            <w:vAlign w:val="center"/>
          </w:tcPr>
          <w:p w14:paraId="4089F236">
            <w:pPr>
              <w:adjustRightInd w:val="0"/>
              <w:snapToGrid w:val="0"/>
              <w:ind w:left="-65" w:leftChars="-31"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14:paraId="1E811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14:paraId="3F122221">
            <w:pPr>
              <w:adjustRightInd w:val="0"/>
              <w:snapToGrid w:val="0"/>
              <w:ind w:right="105" w:rightChars="50"/>
              <w:jc w:val="center"/>
              <w:rPr>
                <w:rFonts w:ascii="仿宋_GB2312" w:hAnsi="仿宋_GB2312" w:eastAsia="仿宋_GB2312" w:cs="仿宋_GB2312"/>
                <w:szCs w:val="21"/>
              </w:rPr>
            </w:pPr>
          </w:p>
        </w:tc>
        <w:tc>
          <w:tcPr>
            <w:tcW w:w="3078" w:type="dxa"/>
            <w:vAlign w:val="center"/>
          </w:tcPr>
          <w:p w14:paraId="50B3D6F8">
            <w:pPr>
              <w:adjustRightInd w:val="0"/>
              <w:snapToGrid w:val="0"/>
              <w:ind w:right="105" w:rightChars="50"/>
              <w:jc w:val="center"/>
              <w:rPr>
                <w:rFonts w:ascii="仿宋_GB2312" w:hAnsi="仿宋_GB2312" w:eastAsia="仿宋_GB2312" w:cs="仿宋_GB2312"/>
                <w:szCs w:val="21"/>
              </w:rPr>
            </w:pPr>
          </w:p>
        </w:tc>
        <w:tc>
          <w:tcPr>
            <w:tcW w:w="1228" w:type="dxa"/>
            <w:vAlign w:val="center"/>
          </w:tcPr>
          <w:p w14:paraId="5501A3EF">
            <w:pPr>
              <w:adjustRightInd w:val="0"/>
              <w:snapToGrid w:val="0"/>
              <w:ind w:right="105" w:rightChars="50"/>
              <w:jc w:val="center"/>
              <w:rPr>
                <w:rFonts w:ascii="仿宋_GB2312" w:hAnsi="仿宋_GB2312" w:eastAsia="仿宋_GB2312" w:cs="仿宋_GB2312"/>
                <w:szCs w:val="21"/>
              </w:rPr>
            </w:pPr>
          </w:p>
        </w:tc>
        <w:tc>
          <w:tcPr>
            <w:tcW w:w="1238" w:type="dxa"/>
            <w:vAlign w:val="center"/>
          </w:tcPr>
          <w:p w14:paraId="6EAB7650">
            <w:pPr>
              <w:adjustRightInd w:val="0"/>
              <w:snapToGrid w:val="0"/>
              <w:ind w:right="105" w:rightChars="50"/>
              <w:jc w:val="center"/>
              <w:rPr>
                <w:rFonts w:ascii="仿宋_GB2312" w:hAnsi="仿宋_GB2312" w:eastAsia="仿宋_GB2312" w:cs="仿宋_GB2312"/>
                <w:szCs w:val="21"/>
              </w:rPr>
            </w:pPr>
          </w:p>
        </w:tc>
        <w:tc>
          <w:tcPr>
            <w:tcW w:w="1457" w:type="dxa"/>
            <w:vAlign w:val="center"/>
          </w:tcPr>
          <w:p w14:paraId="00DE8595">
            <w:pPr>
              <w:adjustRightInd w:val="0"/>
              <w:snapToGrid w:val="0"/>
              <w:ind w:right="105" w:rightChars="50"/>
              <w:jc w:val="center"/>
              <w:rPr>
                <w:rFonts w:ascii="仿宋_GB2312" w:hAnsi="仿宋_GB2312" w:eastAsia="仿宋_GB2312" w:cs="仿宋_GB2312"/>
                <w:szCs w:val="21"/>
              </w:rPr>
            </w:pPr>
          </w:p>
        </w:tc>
      </w:tr>
      <w:tr w14:paraId="0A2B6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14:paraId="07C99F30">
            <w:pPr>
              <w:adjustRightInd w:val="0"/>
              <w:snapToGrid w:val="0"/>
              <w:ind w:right="105" w:rightChars="50"/>
              <w:jc w:val="center"/>
              <w:rPr>
                <w:rFonts w:ascii="仿宋_GB2312" w:hAnsi="仿宋_GB2312" w:eastAsia="仿宋_GB2312" w:cs="仿宋_GB2312"/>
                <w:szCs w:val="21"/>
              </w:rPr>
            </w:pPr>
          </w:p>
        </w:tc>
        <w:tc>
          <w:tcPr>
            <w:tcW w:w="3078" w:type="dxa"/>
            <w:vAlign w:val="center"/>
          </w:tcPr>
          <w:p w14:paraId="5ACE6CAC">
            <w:pPr>
              <w:adjustRightInd w:val="0"/>
              <w:snapToGrid w:val="0"/>
              <w:ind w:right="105" w:rightChars="50"/>
              <w:jc w:val="center"/>
              <w:rPr>
                <w:rFonts w:ascii="仿宋_GB2312" w:hAnsi="仿宋_GB2312" w:eastAsia="仿宋_GB2312" w:cs="仿宋_GB2312"/>
                <w:szCs w:val="21"/>
              </w:rPr>
            </w:pPr>
          </w:p>
        </w:tc>
        <w:tc>
          <w:tcPr>
            <w:tcW w:w="1228" w:type="dxa"/>
            <w:vAlign w:val="center"/>
          </w:tcPr>
          <w:p w14:paraId="554A64E5">
            <w:pPr>
              <w:adjustRightInd w:val="0"/>
              <w:snapToGrid w:val="0"/>
              <w:ind w:right="105" w:rightChars="50"/>
              <w:jc w:val="center"/>
              <w:rPr>
                <w:rFonts w:ascii="仿宋_GB2312" w:hAnsi="仿宋_GB2312" w:eastAsia="仿宋_GB2312" w:cs="仿宋_GB2312"/>
                <w:szCs w:val="21"/>
              </w:rPr>
            </w:pPr>
          </w:p>
        </w:tc>
        <w:tc>
          <w:tcPr>
            <w:tcW w:w="1238" w:type="dxa"/>
            <w:vAlign w:val="center"/>
          </w:tcPr>
          <w:p w14:paraId="26BB0957">
            <w:pPr>
              <w:adjustRightInd w:val="0"/>
              <w:snapToGrid w:val="0"/>
              <w:ind w:right="105" w:rightChars="50"/>
              <w:jc w:val="center"/>
              <w:rPr>
                <w:rFonts w:ascii="仿宋_GB2312" w:hAnsi="仿宋_GB2312" w:eastAsia="仿宋_GB2312" w:cs="仿宋_GB2312"/>
                <w:szCs w:val="21"/>
              </w:rPr>
            </w:pPr>
          </w:p>
        </w:tc>
        <w:tc>
          <w:tcPr>
            <w:tcW w:w="1457" w:type="dxa"/>
            <w:vAlign w:val="center"/>
          </w:tcPr>
          <w:p w14:paraId="507D0354">
            <w:pPr>
              <w:adjustRightInd w:val="0"/>
              <w:snapToGrid w:val="0"/>
              <w:ind w:right="105" w:rightChars="50"/>
              <w:jc w:val="center"/>
              <w:rPr>
                <w:rFonts w:ascii="仿宋_GB2312" w:hAnsi="仿宋_GB2312" w:eastAsia="仿宋_GB2312" w:cs="仿宋_GB2312"/>
                <w:szCs w:val="21"/>
              </w:rPr>
            </w:pPr>
          </w:p>
        </w:tc>
      </w:tr>
      <w:tr w14:paraId="17C30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14:paraId="39647B30">
            <w:pPr>
              <w:adjustRightInd w:val="0"/>
              <w:snapToGrid w:val="0"/>
              <w:ind w:right="105" w:rightChars="50"/>
              <w:jc w:val="center"/>
              <w:rPr>
                <w:rFonts w:ascii="仿宋_GB2312" w:hAnsi="仿宋_GB2312" w:eastAsia="仿宋_GB2312" w:cs="仿宋_GB2312"/>
                <w:szCs w:val="21"/>
              </w:rPr>
            </w:pPr>
          </w:p>
        </w:tc>
        <w:tc>
          <w:tcPr>
            <w:tcW w:w="3078" w:type="dxa"/>
            <w:vAlign w:val="center"/>
          </w:tcPr>
          <w:p w14:paraId="3F9707C0">
            <w:pPr>
              <w:adjustRightInd w:val="0"/>
              <w:snapToGrid w:val="0"/>
              <w:ind w:right="105" w:rightChars="50"/>
              <w:jc w:val="center"/>
              <w:rPr>
                <w:rFonts w:ascii="仿宋_GB2312" w:hAnsi="仿宋_GB2312" w:eastAsia="仿宋_GB2312" w:cs="仿宋_GB2312"/>
                <w:szCs w:val="21"/>
              </w:rPr>
            </w:pPr>
          </w:p>
        </w:tc>
        <w:tc>
          <w:tcPr>
            <w:tcW w:w="1228" w:type="dxa"/>
            <w:vAlign w:val="center"/>
          </w:tcPr>
          <w:p w14:paraId="2886054A">
            <w:pPr>
              <w:adjustRightInd w:val="0"/>
              <w:snapToGrid w:val="0"/>
              <w:ind w:right="105" w:rightChars="50"/>
              <w:jc w:val="center"/>
              <w:rPr>
                <w:rFonts w:ascii="仿宋_GB2312" w:hAnsi="仿宋_GB2312" w:eastAsia="仿宋_GB2312" w:cs="仿宋_GB2312"/>
                <w:szCs w:val="21"/>
              </w:rPr>
            </w:pPr>
          </w:p>
        </w:tc>
        <w:tc>
          <w:tcPr>
            <w:tcW w:w="1238" w:type="dxa"/>
            <w:vAlign w:val="center"/>
          </w:tcPr>
          <w:p w14:paraId="7A582939">
            <w:pPr>
              <w:adjustRightInd w:val="0"/>
              <w:snapToGrid w:val="0"/>
              <w:ind w:right="105" w:rightChars="50"/>
              <w:jc w:val="center"/>
              <w:rPr>
                <w:rFonts w:ascii="仿宋_GB2312" w:hAnsi="仿宋_GB2312" w:eastAsia="仿宋_GB2312" w:cs="仿宋_GB2312"/>
                <w:szCs w:val="21"/>
              </w:rPr>
            </w:pPr>
          </w:p>
        </w:tc>
        <w:tc>
          <w:tcPr>
            <w:tcW w:w="1457" w:type="dxa"/>
            <w:vAlign w:val="center"/>
          </w:tcPr>
          <w:p w14:paraId="47137DBF">
            <w:pPr>
              <w:adjustRightInd w:val="0"/>
              <w:snapToGrid w:val="0"/>
              <w:ind w:right="105" w:rightChars="50"/>
              <w:jc w:val="center"/>
              <w:rPr>
                <w:rFonts w:ascii="仿宋_GB2312" w:hAnsi="仿宋_GB2312" w:eastAsia="仿宋_GB2312" w:cs="仿宋_GB2312"/>
                <w:szCs w:val="21"/>
              </w:rPr>
            </w:pPr>
          </w:p>
        </w:tc>
      </w:tr>
      <w:tr w14:paraId="08C08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14:paraId="407E59ED">
            <w:pPr>
              <w:adjustRightInd w:val="0"/>
              <w:snapToGrid w:val="0"/>
              <w:ind w:right="105" w:rightChars="50"/>
              <w:jc w:val="center"/>
              <w:rPr>
                <w:rFonts w:ascii="仿宋_GB2312" w:hAnsi="仿宋_GB2312" w:eastAsia="仿宋_GB2312" w:cs="仿宋_GB2312"/>
                <w:szCs w:val="21"/>
              </w:rPr>
            </w:pPr>
          </w:p>
        </w:tc>
        <w:tc>
          <w:tcPr>
            <w:tcW w:w="3078" w:type="dxa"/>
            <w:vAlign w:val="center"/>
          </w:tcPr>
          <w:p w14:paraId="2E8B8D8A">
            <w:pPr>
              <w:adjustRightInd w:val="0"/>
              <w:snapToGrid w:val="0"/>
              <w:ind w:right="105" w:rightChars="50"/>
              <w:jc w:val="center"/>
              <w:rPr>
                <w:rFonts w:ascii="仿宋_GB2312" w:hAnsi="仿宋_GB2312" w:eastAsia="仿宋_GB2312" w:cs="仿宋_GB2312"/>
                <w:szCs w:val="21"/>
              </w:rPr>
            </w:pPr>
          </w:p>
        </w:tc>
        <w:tc>
          <w:tcPr>
            <w:tcW w:w="1228" w:type="dxa"/>
            <w:vAlign w:val="center"/>
          </w:tcPr>
          <w:p w14:paraId="749BE4E9">
            <w:pPr>
              <w:adjustRightInd w:val="0"/>
              <w:snapToGrid w:val="0"/>
              <w:ind w:right="105" w:rightChars="50"/>
              <w:jc w:val="center"/>
              <w:rPr>
                <w:rFonts w:ascii="仿宋_GB2312" w:hAnsi="仿宋_GB2312" w:eastAsia="仿宋_GB2312" w:cs="仿宋_GB2312"/>
                <w:szCs w:val="21"/>
              </w:rPr>
            </w:pPr>
          </w:p>
        </w:tc>
        <w:tc>
          <w:tcPr>
            <w:tcW w:w="1238" w:type="dxa"/>
            <w:vAlign w:val="center"/>
          </w:tcPr>
          <w:p w14:paraId="7E766794">
            <w:pPr>
              <w:adjustRightInd w:val="0"/>
              <w:snapToGrid w:val="0"/>
              <w:ind w:right="105" w:rightChars="50"/>
              <w:jc w:val="center"/>
              <w:rPr>
                <w:rFonts w:ascii="仿宋_GB2312" w:hAnsi="仿宋_GB2312" w:eastAsia="仿宋_GB2312" w:cs="仿宋_GB2312"/>
                <w:szCs w:val="21"/>
              </w:rPr>
            </w:pPr>
          </w:p>
        </w:tc>
        <w:tc>
          <w:tcPr>
            <w:tcW w:w="1457" w:type="dxa"/>
            <w:vAlign w:val="center"/>
          </w:tcPr>
          <w:p w14:paraId="088322CA">
            <w:pPr>
              <w:adjustRightInd w:val="0"/>
              <w:snapToGrid w:val="0"/>
              <w:ind w:right="105" w:rightChars="50"/>
              <w:jc w:val="center"/>
              <w:rPr>
                <w:rFonts w:ascii="仿宋_GB2312" w:hAnsi="仿宋_GB2312" w:eastAsia="仿宋_GB2312" w:cs="仿宋_GB2312"/>
                <w:szCs w:val="21"/>
              </w:rPr>
            </w:pPr>
          </w:p>
        </w:tc>
      </w:tr>
      <w:tr w14:paraId="4AD4E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14:paraId="38D43A1D">
            <w:pPr>
              <w:adjustRightInd w:val="0"/>
              <w:snapToGrid w:val="0"/>
              <w:ind w:right="105" w:rightChars="50"/>
              <w:jc w:val="center"/>
              <w:rPr>
                <w:rFonts w:ascii="仿宋_GB2312" w:hAnsi="仿宋_GB2312" w:eastAsia="仿宋_GB2312" w:cs="仿宋_GB2312"/>
                <w:szCs w:val="21"/>
              </w:rPr>
            </w:pPr>
          </w:p>
        </w:tc>
        <w:tc>
          <w:tcPr>
            <w:tcW w:w="3078" w:type="dxa"/>
            <w:vAlign w:val="center"/>
          </w:tcPr>
          <w:p w14:paraId="3A09D75C">
            <w:pPr>
              <w:adjustRightInd w:val="0"/>
              <w:snapToGrid w:val="0"/>
              <w:ind w:right="105" w:rightChars="50"/>
              <w:jc w:val="center"/>
              <w:rPr>
                <w:rFonts w:ascii="仿宋_GB2312" w:hAnsi="仿宋_GB2312" w:eastAsia="仿宋_GB2312" w:cs="仿宋_GB2312"/>
                <w:szCs w:val="21"/>
              </w:rPr>
            </w:pPr>
          </w:p>
        </w:tc>
        <w:tc>
          <w:tcPr>
            <w:tcW w:w="1228" w:type="dxa"/>
            <w:vAlign w:val="center"/>
          </w:tcPr>
          <w:p w14:paraId="27F36DDA">
            <w:pPr>
              <w:adjustRightInd w:val="0"/>
              <w:snapToGrid w:val="0"/>
              <w:ind w:right="105" w:rightChars="50"/>
              <w:jc w:val="center"/>
              <w:rPr>
                <w:rFonts w:ascii="仿宋_GB2312" w:hAnsi="仿宋_GB2312" w:eastAsia="仿宋_GB2312" w:cs="仿宋_GB2312"/>
                <w:szCs w:val="21"/>
              </w:rPr>
            </w:pPr>
          </w:p>
        </w:tc>
        <w:tc>
          <w:tcPr>
            <w:tcW w:w="1238" w:type="dxa"/>
            <w:vAlign w:val="center"/>
          </w:tcPr>
          <w:p w14:paraId="57434D00">
            <w:pPr>
              <w:adjustRightInd w:val="0"/>
              <w:snapToGrid w:val="0"/>
              <w:ind w:right="105" w:rightChars="50"/>
              <w:jc w:val="center"/>
              <w:rPr>
                <w:rFonts w:ascii="仿宋_GB2312" w:hAnsi="仿宋_GB2312" w:eastAsia="仿宋_GB2312" w:cs="仿宋_GB2312"/>
                <w:szCs w:val="21"/>
              </w:rPr>
            </w:pPr>
          </w:p>
        </w:tc>
        <w:tc>
          <w:tcPr>
            <w:tcW w:w="1457" w:type="dxa"/>
            <w:vAlign w:val="center"/>
          </w:tcPr>
          <w:p w14:paraId="01E61721">
            <w:pPr>
              <w:adjustRightInd w:val="0"/>
              <w:snapToGrid w:val="0"/>
              <w:ind w:right="105" w:rightChars="50"/>
              <w:jc w:val="center"/>
              <w:rPr>
                <w:rFonts w:ascii="仿宋_GB2312" w:hAnsi="仿宋_GB2312" w:eastAsia="仿宋_GB2312" w:cs="仿宋_GB2312"/>
                <w:szCs w:val="21"/>
              </w:rPr>
            </w:pPr>
          </w:p>
        </w:tc>
      </w:tr>
      <w:tr w14:paraId="3978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14:paraId="0AF19A65">
            <w:pPr>
              <w:adjustRightInd w:val="0"/>
              <w:snapToGrid w:val="0"/>
              <w:ind w:right="105" w:rightChars="50"/>
              <w:jc w:val="center"/>
              <w:rPr>
                <w:rFonts w:ascii="仿宋_GB2312" w:hAnsi="仿宋_GB2312" w:eastAsia="仿宋_GB2312" w:cs="仿宋_GB2312"/>
                <w:szCs w:val="21"/>
              </w:rPr>
            </w:pPr>
          </w:p>
        </w:tc>
        <w:tc>
          <w:tcPr>
            <w:tcW w:w="3078" w:type="dxa"/>
            <w:vAlign w:val="center"/>
          </w:tcPr>
          <w:p w14:paraId="0D0F0C08">
            <w:pPr>
              <w:adjustRightInd w:val="0"/>
              <w:snapToGrid w:val="0"/>
              <w:ind w:right="105" w:rightChars="50"/>
              <w:jc w:val="center"/>
              <w:rPr>
                <w:rFonts w:ascii="仿宋_GB2312" w:hAnsi="仿宋_GB2312" w:eastAsia="仿宋_GB2312" w:cs="仿宋_GB2312"/>
                <w:szCs w:val="21"/>
              </w:rPr>
            </w:pPr>
          </w:p>
        </w:tc>
        <w:tc>
          <w:tcPr>
            <w:tcW w:w="1228" w:type="dxa"/>
            <w:vAlign w:val="center"/>
          </w:tcPr>
          <w:p w14:paraId="218B1044">
            <w:pPr>
              <w:adjustRightInd w:val="0"/>
              <w:snapToGrid w:val="0"/>
              <w:ind w:right="105" w:rightChars="50"/>
              <w:jc w:val="center"/>
              <w:rPr>
                <w:rFonts w:ascii="仿宋_GB2312" w:hAnsi="仿宋_GB2312" w:eastAsia="仿宋_GB2312" w:cs="仿宋_GB2312"/>
                <w:szCs w:val="21"/>
              </w:rPr>
            </w:pPr>
          </w:p>
        </w:tc>
        <w:tc>
          <w:tcPr>
            <w:tcW w:w="1238" w:type="dxa"/>
            <w:vAlign w:val="center"/>
          </w:tcPr>
          <w:p w14:paraId="76D40E59">
            <w:pPr>
              <w:adjustRightInd w:val="0"/>
              <w:snapToGrid w:val="0"/>
              <w:ind w:right="105" w:rightChars="50"/>
              <w:jc w:val="center"/>
              <w:rPr>
                <w:rFonts w:ascii="仿宋_GB2312" w:hAnsi="仿宋_GB2312" w:eastAsia="仿宋_GB2312" w:cs="仿宋_GB2312"/>
                <w:szCs w:val="21"/>
              </w:rPr>
            </w:pPr>
          </w:p>
        </w:tc>
        <w:tc>
          <w:tcPr>
            <w:tcW w:w="1457" w:type="dxa"/>
            <w:vAlign w:val="center"/>
          </w:tcPr>
          <w:p w14:paraId="7E1B6EEB">
            <w:pPr>
              <w:adjustRightInd w:val="0"/>
              <w:snapToGrid w:val="0"/>
              <w:ind w:right="105" w:rightChars="50"/>
              <w:jc w:val="center"/>
              <w:rPr>
                <w:rFonts w:ascii="仿宋_GB2312" w:hAnsi="仿宋_GB2312" w:eastAsia="仿宋_GB2312" w:cs="仿宋_GB2312"/>
                <w:szCs w:val="21"/>
              </w:rPr>
            </w:pPr>
          </w:p>
        </w:tc>
      </w:tr>
      <w:tr w14:paraId="033F0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14:paraId="6F916BAC">
            <w:pPr>
              <w:adjustRightInd w:val="0"/>
              <w:snapToGrid w:val="0"/>
              <w:ind w:right="105" w:rightChars="50"/>
              <w:jc w:val="center"/>
              <w:rPr>
                <w:rFonts w:ascii="仿宋_GB2312" w:hAnsi="仿宋_GB2312" w:eastAsia="仿宋_GB2312" w:cs="仿宋_GB2312"/>
                <w:szCs w:val="21"/>
              </w:rPr>
            </w:pPr>
          </w:p>
        </w:tc>
        <w:tc>
          <w:tcPr>
            <w:tcW w:w="3078" w:type="dxa"/>
            <w:vAlign w:val="center"/>
          </w:tcPr>
          <w:p w14:paraId="4F6268DF">
            <w:pPr>
              <w:adjustRightInd w:val="0"/>
              <w:snapToGrid w:val="0"/>
              <w:ind w:right="105" w:rightChars="50"/>
              <w:jc w:val="center"/>
              <w:rPr>
                <w:rFonts w:ascii="仿宋_GB2312" w:hAnsi="仿宋_GB2312" w:eastAsia="仿宋_GB2312" w:cs="仿宋_GB2312"/>
                <w:szCs w:val="21"/>
              </w:rPr>
            </w:pPr>
          </w:p>
        </w:tc>
        <w:tc>
          <w:tcPr>
            <w:tcW w:w="1228" w:type="dxa"/>
            <w:vAlign w:val="center"/>
          </w:tcPr>
          <w:p w14:paraId="5F2CA9CC">
            <w:pPr>
              <w:adjustRightInd w:val="0"/>
              <w:snapToGrid w:val="0"/>
              <w:ind w:right="105" w:rightChars="50"/>
              <w:jc w:val="center"/>
              <w:rPr>
                <w:rFonts w:ascii="仿宋_GB2312" w:hAnsi="仿宋_GB2312" w:eastAsia="仿宋_GB2312" w:cs="仿宋_GB2312"/>
                <w:szCs w:val="21"/>
              </w:rPr>
            </w:pPr>
          </w:p>
        </w:tc>
        <w:tc>
          <w:tcPr>
            <w:tcW w:w="1238" w:type="dxa"/>
            <w:vAlign w:val="center"/>
          </w:tcPr>
          <w:p w14:paraId="274C6DCE">
            <w:pPr>
              <w:adjustRightInd w:val="0"/>
              <w:snapToGrid w:val="0"/>
              <w:ind w:right="105" w:rightChars="50"/>
              <w:jc w:val="center"/>
              <w:rPr>
                <w:rFonts w:ascii="仿宋_GB2312" w:hAnsi="仿宋_GB2312" w:eastAsia="仿宋_GB2312" w:cs="仿宋_GB2312"/>
                <w:szCs w:val="21"/>
              </w:rPr>
            </w:pPr>
          </w:p>
        </w:tc>
        <w:tc>
          <w:tcPr>
            <w:tcW w:w="1457" w:type="dxa"/>
            <w:vAlign w:val="center"/>
          </w:tcPr>
          <w:p w14:paraId="7189EC4F">
            <w:pPr>
              <w:adjustRightInd w:val="0"/>
              <w:snapToGrid w:val="0"/>
              <w:ind w:right="105" w:rightChars="50"/>
              <w:jc w:val="center"/>
              <w:rPr>
                <w:rFonts w:ascii="仿宋_GB2312" w:hAnsi="仿宋_GB2312" w:eastAsia="仿宋_GB2312" w:cs="仿宋_GB2312"/>
                <w:szCs w:val="21"/>
              </w:rPr>
            </w:pPr>
          </w:p>
        </w:tc>
      </w:tr>
      <w:tr w14:paraId="6D7CB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089" w:type="dxa"/>
            <w:gridSpan w:val="2"/>
            <w:vAlign w:val="center"/>
          </w:tcPr>
          <w:p w14:paraId="1270107A">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总价</w:t>
            </w:r>
          </w:p>
        </w:tc>
        <w:tc>
          <w:tcPr>
            <w:tcW w:w="1228" w:type="dxa"/>
            <w:vAlign w:val="center"/>
          </w:tcPr>
          <w:p w14:paraId="1285D85C">
            <w:pPr>
              <w:adjustRightInd w:val="0"/>
              <w:snapToGrid w:val="0"/>
              <w:ind w:right="105" w:rightChars="50"/>
              <w:jc w:val="center"/>
              <w:rPr>
                <w:rFonts w:ascii="仿宋_GB2312" w:hAnsi="仿宋_GB2312" w:eastAsia="仿宋_GB2312" w:cs="仿宋_GB2312"/>
                <w:szCs w:val="21"/>
              </w:rPr>
            </w:pPr>
          </w:p>
        </w:tc>
        <w:tc>
          <w:tcPr>
            <w:tcW w:w="1238" w:type="dxa"/>
            <w:vAlign w:val="center"/>
          </w:tcPr>
          <w:p w14:paraId="019DF0B8">
            <w:pPr>
              <w:adjustRightInd w:val="0"/>
              <w:snapToGrid w:val="0"/>
              <w:ind w:right="105" w:rightChars="50"/>
              <w:jc w:val="center"/>
              <w:rPr>
                <w:rFonts w:ascii="仿宋_GB2312" w:hAnsi="仿宋_GB2312" w:eastAsia="仿宋_GB2312" w:cs="仿宋_GB2312"/>
                <w:szCs w:val="21"/>
              </w:rPr>
            </w:pPr>
          </w:p>
        </w:tc>
        <w:tc>
          <w:tcPr>
            <w:tcW w:w="1457" w:type="dxa"/>
            <w:vAlign w:val="center"/>
          </w:tcPr>
          <w:p w14:paraId="0BF6F5D8">
            <w:pPr>
              <w:adjustRightInd w:val="0"/>
              <w:snapToGrid w:val="0"/>
              <w:ind w:right="105" w:rightChars="50"/>
              <w:jc w:val="center"/>
              <w:rPr>
                <w:rFonts w:ascii="仿宋_GB2312" w:hAnsi="仿宋_GB2312" w:eastAsia="仿宋_GB2312" w:cs="仿宋_GB2312"/>
                <w:szCs w:val="21"/>
              </w:rPr>
            </w:pPr>
          </w:p>
        </w:tc>
      </w:tr>
    </w:tbl>
    <w:p w14:paraId="0091A1AD">
      <w:pPr>
        <w:adjustRightInd w:val="0"/>
        <w:snapToGrid w:val="0"/>
        <w:spacing w:line="360" w:lineRule="auto"/>
        <w:ind w:right="105" w:rightChars="50"/>
        <w:jc w:val="left"/>
        <w:rPr>
          <w:rFonts w:ascii="仿宋_GB2312" w:hAnsi="仿宋_GB2312" w:eastAsia="仿宋_GB2312" w:cs="仿宋_GB2312"/>
          <w:szCs w:val="21"/>
        </w:rPr>
      </w:pPr>
    </w:p>
    <w:p w14:paraId="4CC7385D">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注：1.此表中，总价应和开标一览表的投标总价相一致。</w:t>
      </w:r>
    </w:p>
    <w:p w14:paraId="31D75436">
      <w:pPr>
        <w:adjustRightInd w:val="0"/>
        <w:snapToGrid w:val="0"/>
        <w:spacing w:line="360" w:lineRule="auto"/>
        <w:ind w:right="105" w:rightChars="50" w:firstLine="840" w:firstLineChars="400"/>
        <w:jc w:val="left"/>
        <w:rPr>
          <w:rFonts w:ascii="仿宋_GB2312" w:hAnsi="仿宋_GB2312" w:eastAsia="仿宋_GB2312" w:cs="仿宋_GB2312"/>
          <w:szCs w:val="21"/>
        </w:rPr>
      </w:pPr>
      <w:r>
        <w:rPr>
          <w:rFonts w:hint="eastAsia" w:ascii="仿宋_GB2312" w:hAnsi="仿宋_GB2312" w:eastAsia="仿宋_GB2312" w:cs="仿宋_GB2312"/>
          <w:szCs w:val="21"/>
        </w:rPr>
        <w:t>2.本表可根据实际情况进行拓展。</w:t>
      </w:r>
    </w:p>
    <w:p w14:paraId="57CDADF8">
      <w:pPr>
        <w:adjustRightInd w:val="0"/>
        <w:snapToGrid w:val="0"/>
        <w:spacing w:line="360" w:lineRule="auto"/>
        <w:ind w:right="105" w:rightChars="50"/>
        <w:jc w:val="left"/>
        <w:rPr>
          <w:rFonts w:ascii="仿宋_GB2312" w:hAnsi="仿宋_GB2312" w:eastAsia="仿宋_GB2312" w:cs="仿宋_GB2312"/>
          <w:szCs w:val="21"/>
        </w:rPr>
      </w:pPr>
    </w:p>
    <w:p w14:paraId="41886CB8">
      <w:pPr>
        <w:adjustRightInd w:val="0"/>
        <w:snapToGrid w:val="0"/>
        <w:spacing w:line="360" w:lineRule="auto"/>
        <w:ind w:right="105" w:rightChars="50"/>
        <w:jc w:val="left"/>
        <w:rPr>
          <w:rFonts w:ascii="仿宋_GB2312" w:hAnsi="仿宋_GB2312" w:eastAsia="仿宋_GB2312" w:cs="仿宋_GB2312"/>
          <w:szCs w:val="21"/>
        </w:rPr>
      </w:pPr>
    </w:p>
    <w:p w14:paraId="053C8BD5">
      <w:pPr>
        <w:adjustRightInd w:val="0"/>
        <w:snapToGrid w:val="0"/>
        <w:spacing w:line="360" w:lineRule="auto"/>
        <w:ind w:right="105" w:rightChars="50"/>
        <w:jc w:val="left"/>
        <w:rPr>
          <w:rFonts w:ascii="仿宋_GB2312" w:hAnsi="仿宋_GB2312" w:eastAsia="仿宋_GB2312" w:cs="仿宋_GB2312"/>
          <w:szCs w:val="21"/>
        </w:rPr>
      </w:pPr>
    </w:p>
    <w:p w14:paraId="057C3BB1">
      <w:pPr>
        <w:adjustRightInd w:val="0"/>
        <w:snapToGrid w:val="0"/>
        <w:spacing w:line="360" w:lineRule="auto"/>
        <w:ind w:right="105" w:rightChars="50"/>
        <w:jc w:val="left"/>
        <w:rPr>
          <w:rFonts w:ascii="仿宋_GB2312" w:hAnsi="仿宋_GB2312" w:eastAsia="仿宋_GB2312" w:cs="仿宋_GB2312"/>
          <w:szCs w:val="21"/>
        </w:rPr>
      </w:pPr>
    </w:p>
    <w:p w14:paraId="318DD806">
      <w:pPr>
        <w:adjustRightInd w:val="0"/>
        <w:snapToGrid w:val="0"/>
        <w:spacing w:line="360" w:lineRule="auto"/>
        <w:ind w:right="105" w:rightChars="50"/>
        <w:jc w:val="left"/>
        <w:rPr>
          <w:rFonts w:ascii="仿宋_GB2312" w:hAnsi="仿宋_GB2312" w:eastAsia="仿宋_GB2312" w:cs="仿宋_GB2312"/>
          <w:szCs w:val="21"/>
        </w:rPr>
      </w:pPr>
    </w:p>
    <w:p w14:paraId="4E6ED180">
      <w:pPr>
        <w:adjustRightInd w:val="0"/>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14:paraId="4005D5D8">
      <w:pPr>
        <w:adjustRightInd w:val="0"/>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14:paraId="61917259">
      <w:pPr>
        <w:adjustRightInd w:val="0"/>
        <w:snapToGrid w:val="0"/>
        <w:spacing w:line="360" w:lineRule="auto"/>
        <w:ind w:right="1050" w:rightChars="500"/>
        <w:rPr>
          <w:rFonts w:ascii="仿宋_GB2312" w:hAnsi="仿宋_GB2312" w:eastAsia="仿宋_GB2312" w:cs="仿宋_GB2312"/>
          <w:szCs w:val="21"/>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r>
        <w:rPr>
          <w:rFonts w:hint="eastAsia" w:ascii="仿宋_GB2312" w:hAnsi="仿宋_GB2312" w:eastAsia="仿宋_GB2312" w:cs="仿宋_GB2312"/>
          <w:szCs w:val="21"/>
        </w:rPr>
        <w:t xml:space="preserve"> </w:t>
      </w:r>
    </w:p>
    <w:p w14:paraId="5BE9747D">
      <w:pPr>
        <w:adjustRightInd w:val="0"/>
        <w:snapToGrid w:val="0"/>
        <w:spacing w:line="360" w:lineRule="auto"/>
        <w:ind w:right="105" w:rightChars="50"/>
        <w:jc w:val="left"/>
        <w:rPr>
          <w:rFonts w:ascii="仿宋_GB2312" w:hAnsi="仿宋_GB2312" w:eastAsia="仿宋_GB2312" w:cs="仿宋_GB2312"/>
          <w:szCs w:val="21"/>
          <w:u w:val="single"/>
        </w:rPr>
      </w:pPr>
    </w:p>
    <w:p w14:paraId="7027A2EC">
      <w:pPr>
        <w:pStyle w:val="5"/>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br w:type="page"/>
      </w:r>
      <w:r>
        <w:rPr>
          <w:rFonts w:hint="eastAsia" w:ascii="仿宋_GB2312" w:hAnsi="仿宋_GB2312" w:eastAsia="仿宋_GB2312" w:cs="仿宋_GB2312"/>
          <w:szCs w:val="28"/>
        </w:rPr>
        <w:t>格式13</w:t>
      </w:r>
    </w:p>
    <w:p w14:paraId="2E56AEE8">
      <w:pPr>
        <w:adjustRightInd w:val="0"/>
        <w:snapToGrid w:val="0"/>
        <w:spacing w:before="319" w:beforeLines="100" w:line="360" w:lineRule="auto"/>
        <w:ind w:right="105" w:rightChars="50"/>
        <w:jc w:val="center"/>
        <w:rPr>
          <w:rFonts w:ascii="仿宋_GB2312" w:hAnsi="仿宋_GB2312" w:eastAsia="仿宋_GB2312" w:cs="仿宋_GB2312"/>
          <w:b/>
          <w:bCs/>
          <w:sz w:val="32"/>
          <w:szCs w:val="32"/>
        </w:rPr>
      </w:pPr>
      <w:bookmarkStart w:id="92" w:name="_Toc31555_WPSOffice_Level2"/>
      <w:bookmarkStart w:id="93" w:name="_Toc9235_WPSOffice_Level2"/>
      <w:r>
        <w:rPr>
          <w:rFonts w:hint="eastAsia" w:ascii="仿宋_GB2312" w:hAnsi="仿宋_GB2312" w:eastAsia="仿宋_GB2312" w:cs="仿宋_GB2312"/>
          <w:b/>
          <w:bCs/>
          <w:sz w:val="32"/>
          <w:szCs w:val="32"/>
        </w:rPr>
        <w:t>服务需求响应表</w:t>
      </w:r>
      <w:bookmarkEnd w:id="92"/>
      <w:bookmarkEnd w:id="93"/>
    </w:p>
    <w:tbl>
      <w:tblPr>
        <w:tblStyle w:val="2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3"/>
        <w:gridCol w:w="2452"/>
        <w:gridCol w:w="1118"/>
        <w:gridCol w:w="1166"/>
        <w:gridCol w:w="1118"/>
      </w:tblGrid>
      <w:tr w14:paraId="4D2F2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7" w:hRule="atLeast"/>
        </w:trPr>
        <w:tc>
          <w:tcPr>
            <w:tcW w:w="8897" w:type="dxa"/>
            <w:gridSpan w:val="5"/>
            <w:tcBorders>
              <w:top w:val="single" w:color="auto" w:sz="4" w:space="0"/>
              <w:left w:val="single" w:color="auto" w:sz="4" w:space="0"/>
              <w:bottom w:val="single" w:color="auto" w:sz="4" w:space="0"/>
              <w:right w:val="single" w:color="auto" w:sz="4" w:space="0"/>
            </w:tcBorders>
            <w:vAlign w:val="center"/>
          </w:tcPr>
          <w:p w14:paraId="178157BB">
            <w:pPr>
              <w:adjustRightInd w:val="0"/>
              <w:snapToGrid w:val="0"/>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包号/序号：</w:t>
            </w:r>
          </w:p>
          <w:p w14:paraId="61B36963">
            <w:pPr>
              <w:tabs>
                <w:tab w:val="left" w:pos="0"/>
              </w:tabs>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服务内容：</w:t>
            </w:r>
          </w:p>
        </w:tc>
      </w:tr>
      <w:tr w14:paraId="357F8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3043" w:type="dxa"/>
            <w:tcBorders>
              <w:top w:val="single" w:color="auto" w:sz="4" w:space="0"/>
              <w:left w:val="single" w:color="auto" w:sz="4" w:space="0"/>
              <w:bottom w:val="single" w:color="auto" w:sz="4" w:space="0"/>
              <w:right w:val="single" w:color="auto" w:sz="4" w:space="0"/>
            </w:tcBorders>
            <w:vAlign w:val="center"/>
          </w:tcPr>
          <w:p w14:paraId="12FA07C1">
            <w:pPr>
              <w:jc w:val="center"/>
              <w:rPr>
                <w:rFonts w:ascii="仿宋_GB2312" w:hAnsi="仿宋_GB2312" w:eastAsia="仿宋_GB2312" w:cs="仿宋_GB2312"/>
                <w:szCs w:val="21"/>
              </w:rPr>
            </w:pPr>
            <w:r>
              <w:rPr>
                <w:rFonts w:hint="eastAsia" w:ascii="仿宋_GB2312" w:hAnsi="仿宋_GB2312" w:eastAsia="仿宋_GB2312" w:cs="仿宋_GB2312"/>
                <w:szCs w:val="21"/>
              </w:rPr>
              <w:t>招标文件要求</w:t>
            </w:r>
          </w:p>
          <w:p w14:paraId="2C2D22FC">
            <w:pPr>
              <w:ind w:hanging="1"/>
              <w:rPr>
                <w:rFonts w:ascii="仿宋_GB2312" w:hAnsi="仿宋_GB2312" w:eastAsia="仿宋_GB2312" w:cs="仿宋_GB2312"/>
                <w:b/>
                <w:szCs w:val="21"/>
              </w:rPr>
            </w:pPr>
            <w:r>
              <w:rPr>
                <w:rFonts w:hint="eastAsia" w:ascii="仿宋_GB2312" w:hAnsi="仿宋_GB2312" w:eastAsia="仿宋_GB2312" w:cs="仿宋_GB2312"/>
                <w:b/>
                <w:sz w:val="18"/>
                <w:szCs w:val="18"/>
              </w:rPr>
              <w:t>重要提示：实质性要求及重要指标用★标注（“★”必须标注在序号前），★标注项不得负偏离，如果负偏离，则投标文件无效。</w:t>
            </w:r>
          </w:p>
        </w:tc>
        <w:tc>
          <w:tcPr>
            <w:tcW w:w="2452" w:type="dxa"/>
            <w:tcBorders>
              <w:top w:val="single" w:color="auto" w:sz="4" w:space="0"/>
              <w:left w:val="single" w:color="auto" w:sz="4" w:space="0"/>
              <w:bottom w:val="single" w:color="auto" w:sz="4" w:space="0"/>
              <w:right w:val="single" w:color="auto" w:sz="4" w:space="0"/>
            </w:tcBorders>
            <w:vAlign w:val="center"/>
          </w:tcPr>
          <w:p w14:paraId="55CE49B1">
            <w:pPr>
              <w:jc w:val="center"/>
              <w:rPr>
                <w:rFonts w:ascii="仿宋_GB2312" w:hAnsi="仿宋_GB2312" w:eastAsia="仿宋_GB2312" w:cs="仿宋_GB2312"/>
                <w:szCs w:val="21"/>
              </w:rPr>
            </w:pPr>
            <w:r>
              <w:rPr>
                <w:rFonts w:hint="eastAsia" w:ascii="仿宋_GB2312" w:hAnsi="仿宋_GB2312" w:eastAsia="仿宋_GB2312" w:cs="仿宋_GB2312"/>
                <w:szCs w:val="21"/>
              </w:rPr>
              <w:t>投标文件</w:t>
            </w:r>
          </w:p>
          <w:p w14:paraId="0CFC6B59">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响应内容</w:t>
            </w:r>
          </w:p>
        </w:tc>
        <w:tc>
          <w:tcPr>
            <w:tcW w:w="1118" w:type="dxa"/>
            <w:tcBorders>
              <w:top w:val="single" w:color="auto" w:sz="4" w:space="0"/>
              <w:left w:val="single" w:color="auto" w:sz="4" w:space="0"/>
              <w:bottom w:val="single" w:color="auto" w:sz="4" w:space="0"/>
              <w:right w:val="single" w:color="auto" w:sz="4" w:space="0"/>
            </w:tcBorders>
            <w:vAlign w:val="center"/>
          </w:tcPr>
          <w:p w14:paraId="5B4EA0C5">
            <w:pPr>
              <w:tabs>
                <w:tab w:val="left" w:pos="-75"/>
              </w:tabs>
              <w:spacing w:line="240" w:lineRule="exact"/>
              <w:ind w:right="-56" w:rightChars="-27"/>
              <w:jc w:val="center"/>
              <w:rPr>
                <w:rFonts w:ascii="仿宋_GB2312" w:hAnsi="仿宋_GB2312" w:eastAsia="仿宋_GB2312" w:cs="仿宋_GB2312"/>
                <w:kern w:val="0"/>
                <w:szCs w:val="21"/>
              </w:rPr>
            </w:pPr>
            <w:r>
              <w:rPr>
                <w:rFonts w:hint="eastAsia" w:ascii="仿宋_GB2312" w:hAnsi="仿宋_GB2312" w:eastAsia="仿宋_GB2312" w:cs="仿宋_GB2312"/>
                <w:szCs w:val="21"/>
              </w:rPr>
              <w:t>偏离程度</w:t>
            </w:r>
          </w:p>
        </w:tc>
        <w:tc>
          <w:tcPr>
            <w:tcW w:w="1166" w:type="dxa"/>
            <w:tcBorders>
              <w:top w:val="single" w:color="auto" w:sz="4" w:space="0"/>
              <w:left w:val="single" w:color="auto" w:sz="4" w:space="0"/>
              <w:bottom w:val="single" w:color="auto" w:sz="4" w:space="0"/>
              <w:right w:val="single" w:color="auto" w:sz="4" w:space="0"/>
            </w:tcBorders>
            <w:vAlign w:val="center"/>
          </w:tcPr>
          <w:p w14:paraId="18DBF65F">
            <w:pPr>
              <w:tabs>
                <w:tab w:val="left" w:pos="-75"/>
              </w:tabs>
              <w:spacing w:line="240" w:lineRule="exact"/>
              <w:ind w:right="-56" w:rightChars="-27"/>
              <w:jc w:val="center"/>
              <w:rPr>
                <w:rFonts w:ascii="仿宋_GB2312" w:hAnsi="仿宋_GB2312" w:eastAsia="仿宋_GB2312" w:cs="仿宋_GB2312"/>
                <w:kern w:val="0"/>
                <w:szCs w:val="21"/>
              </w:rPr>
            </w:pPr>
            <w:r>
              <w:rPr>
                <w:rFonts w:hint="eastAsia" w:ascii="仿宋_GB2312" w:hAnsi="仿宋_GB2312" w:eastAsia="仿宋_GB2312" w:cs="仿宋_GB2312"/>
                <w:szCs w:val="21"/>
              </w:rPr>
              <w:t>偏离说明</w:t>
            </w:r>
          </w:p>
        </w:tc>
        <w:tc>
          <w:tcPr>
            <w:tcW w:w="1118" w:type="dxa"/>
            <w:tcBorders>
              <w:top w:val="single" w:color="auto" w:sz="4" w:space="0"/>
              <w:left w:val="single" w:color="auto" w:sz="4" w:space="0"/>
              <w:bottom w:val="single" w:color="auto" w:sz="4" w:space="0"/>
              <w:right w:val="single" w:color="auto" w:sz="4" w:space="0"/>
            </w:tcBorders>
            <w:vAlign w:val="center"/>
          </w:tcPr>
          <w:p w14:paraId="363122EC">
            <w:pPr>
              <w:tabs>
                <w:tab w:val="left" w:pos="-75"/>
              </w:tabs>
              <w:spacing w:line="240" w:lineRule="exact"/>
              <w:ind w:right="-56" w:rightChars="-27"/>
              <w:jc w:val="center"/>
              <w:rPr>
                <w:rFonts w:ascii="仿宋_GB2312" w:hAnsi="仿宋_GB2312" w:eastAsia="仿宋_GB2312" w:cs="仿宋_GB2312"/>
                <w:kern w:val="0"/>
                <w:szCs w:val="21"/>
              </w:rPr>
            </w:pPr>
            <w:r>
              <w:rPr>
                <w:rFonts w:hint="eastAsia" w:ascii="仿宋_GB2312" w:hAnsi="仿宋_GB2312" w:eastAsia="仿宋_GB2312" w:cs="仿宋_GB2312"/>
                <w:szCs w:val="21"/>
              </w:rPr>
              <w:t>证明资料</w:t>
            </w:r>
          </w:p>
        </w:tc>
      </w:tr>
      <w:tr w14:paraId="419D4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3043" w:type="dxa"/>
            <w:tcBorders>
              <w:top w:val="single" w:color="auto" w:sz="4" w:space="0"/>
              <w:left w:val="single" w:color="auto" w:sz="4" w:space="0"/>
              <w:bottom w:val="single" w:color="auto" w:sz="4" w:space="0"/>
              <w:right w:val="single" w:color="auto" w:sz="4" w:space="0"/>
            </w:tcBorders>
            <w:vAlign w:val="center"/>
          </w:tcPr>
          <w:p w14:paraId="1929FC46">
            <w:pPr>
              <w:adjustRightInd w:val="0"/>
              <w:snapToGrid w:val="0"/>
              <w:ind w:hanging="1"/>
              <w:jc w:val="center"/>
              <w:rPr>
                <w:rFonts w:ascii="仿宋_GB2312" w:hAnsi="仿宋_GB2312" w:eastAsia="仿宋_GB2312" w:cs="仿宋_GB2312"/>
                <w:szCs w:val="21"/>
              </w:rPr>
            </w:pPr>
            <w:r>
              <w:rPr>
                <w:rFonts w:hint="eastAsia" w:ascii="仿宋_GB2312" w:hAnsi="仿宋_GB2312" w:eastAsia="仿宋_GB2312" w:cs="仿宋_GB2312"/>
                <w:szCs w:val="21"/>
              </w:rPr>
              <w:t>按服务需求填写</w:t>
            </w:r>
          </w:p>
        </w:tc>
        <w:tc>
          <w:tcPr>
            <w:tcW w:w="2452" w:type="dxa"/>
            <w:tcBorders>
              <w:top w:val="single" w:color="auto" w:sz="4" w:space="0"/>
              <w:left w:val="single" w:color="auto" w:sz="4" w:space="0"/>
              <w:bottom w:val="single" w:color="auto" w:sz="4" w:space="0"/>
              <w:right w:val="single" w:color="auto" w:sz="4" w:space="0"/>
            </w:tcBorders>
            <w:vAlign w:val="center"/>
          </w:tcPr>
          <w:p w14:paraId="37F553CE">
            <w:pPr>
              <w:tabs>
                <w:tab w:val="left" w:pos="0"/>
              </w:tabs>
              <w:adjustRightInd w:val="0"/>
              <w:snapToGrid w:val="0"/>
              <w:jc w:val="center"/>
              <w:rPr>
                <w:rFonts w:ascii="仿宋_GB2312" w:hAnsi="仿宋_GB2312" w:eastAsia="仿宋_GB2312" w:cs="仿宋_GB2312"/>
                <w:kern w:val="0"/>
                <w:szCs w:val="21"/>
              </w:rPr>
            </w:pPr>
          </w:p>
        </w:tc>
        <w:tc>
          <w:tcPr>
            <w:tcW w:w="1118" w:type="dxa"/>
            <w:tcBorders>
              <w:top w:val="single" w:color="auto" w:sz="4" w:space="0"/>
              <w:left w:val="single" w:color="auto" w:sz="4" w:space="0"/>
              <w:bottom w:val="single" w:color="auto" w:sz="4" w:space="0"/>
              <w:right w:val="single" w:color="auto" w:sz="4" w:space="0"/>
            </w:tcBorders>
            <w:vAlign w:val="center"/>
          </w:tcPr>
          <w:p w14:paraId="552E9C21">
            <w:pPr>
              <w:tabs>
                <w:tab w:val="left" w:pos="-75"/>
              </w:tabs>
              <w:spacing w:line="240" w:lineRule="exact"/>
              <w:ind w:right="-56" w:rightChars="-27"/>
              <w:jc w:val="center"/>
              <w:rPr>
                <w:rFonts w:ascii="仿宋_GB2312" w:hAnsi="仿宋_GB2312" w:eastAsia="仿宋_GB2312" w:cs="仿宋_GB2312"/>
                <w:kern w:val="0"/>
                <w:szCs w:val="21"/>
              </w:rPr>
            </w:pPr>
          </w:p>
        </w:tc>
        <w:tc>
          <w:tcPr>
            <w:tcW w:w="1166" w:type="dxa"/>
            <w:tcBorders>
              <w:top w:val="single" w:color="auto" w:sz="4" w:space="0"/>
              <w:left w:val="single" w:color="auto" w:sz="4" w:space="0"/>
              <w:bottom w:val="single" w:color="auto" w:sz="4" w:space="0"/>
              <w:right w:val="single" w:color="auto" w:sz="4" w:space="0"/>
            </w:tcBorders>
            <w:vAlign w:val="center"/>
          </w:tcPr>
          <w:p w14:paraId="7126CBAE">
            <w:pPr>
              <w:tabs>
                <w:tab w:val="left" w:pos="-75"/>
              </w:tabs>
              <w:spacing w:line="240" w:lineRule="exact"/>
              <w:ind w:right="-56" w:rightChars="-27"/>
              <w:jc w:val="center"/>
              <w:rPr>
                <w:rFonts w:ascii="仿宋_GB2312" w:hAnsi="仿宋_GB2312" w:eastAsia="仿宋_GB2312" w:cs="仿宋_GB2312"/>
                <w:kern w:val="0"/>
                <w:szCs w:val="21"/>
              </w:rPr>
            </w:pPr>
          </w:p>
        </w:tc>
        <w:tc>
          <w:tcPr>
            <w:tcW w:w="1118" w:type="dxa"/>
            <w:tcBorders>
              <w:top w:val="single" w:color="auto" w:sz="4" w:space="0"/>
              <w:left w:val="single" w:color="auto" w:sz="4" w:space="0"/>
              <w:bottom w:val="single" w:color="auto" w:sz="4" w:space="0"/>
              <w:right w:val="single" w:color="auto" w:sz="4" w:space="0"/>
            </w:tcBorders>
            <w:vAlign w:val="center"/>
          </w:tcPr>
          <w:p w14:paraId="66E2EDBF">
            <w:pPr>
              <w:tabs>
                <w:tab w:val="left" w:pos="-75"/>
              </w:tabs>
              <w:spacing w:line="240" w:lineRule="exact"/>
              <w:ind w:right="-56" w:rightChars="-27"/>
              <w:jc w:val="center"/>
              <w:rPr>
                <w:rFonts w:ascii="仿宋_GB2312" w:hAnsi="仿宋_GB2312" w:eastAsia="仿宋_GB2312" w:cs="仿宋_GB2312"/>
                <w:kern w:val="0"/>
                <w:szCs w:val="21"/>
              </w:rPr>
            </w:pPr>
          </w:p>
        </w:tc>
      </w:tr>
      <w:tr w14:paraId="440A4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1" w:hRule="atLeast"/>
        </w:trPr>
        <w:tc>
          <w:tcPr>
            <w:tcW w:w="3043" w:type="dxa"/>
            <w:tcBorders>
              <w:top w:val="single" w:color="auto" w:sz="4" w:space="0"/>
              <w:left w:val="single" w:color="auto" w:sz="4" w:space="0"/>
              <w:bottom w:val="single" w:color="auto" w:sz="4" w:space="0"/>
              <w:right w:val="single" w:color="auto" w:sz="4" w:space="0"/>
            </w:tcBorders>
            <w:vAlign w:val="center"/>
          </w:tcPr>
          <w:p w14:paraId="4FE4EDF5">
            <w:pPr>
              <w:adjustRightInd w:val="0"/>
              <w:snapToGrid w:val="0"/>
              <w:ind w:hanging="1"/>
              <w:jc w:val="center"/>
              <w:rPr>
                <w:rFonts w:ascii="仿宋_GB2312" w:hAnsi="仿宋_GB2312" w:eastAsia="仿宋_GB2312" w:cs="仿宋_GB2312"/>
                <w:szCs w:val="21"/>
              </w:rPr>
            </w:pPr>
            <w:r>
              <w:rPr>
                <w:rFonts w:hint="eastAsia" w:ascii="仿宋_GB2312" w:hAnsi="仿宋_GB2312" w:eastAsia="仿宋_GB2312" w:cs="仿宋_GB2312"/>
                <w:szCs w:val="21"/>
              </w:rPr>
              <w:t>其它</w:t>
            </w:r>
          </w:p>
        </w:tc>
        <w:tc>
          <w:tcPr>
            <w:tcW w:w="2452" w:type="dxa"/>
            <w:tcBorders>
              <w:top w:val="single" w:color="auto" w:sz="4" w:space="0"/>
              <w:left w:val="single" w:color="auto" w:sz="4" w:space="0"/>
              <w:bottom w:val="single" w:color="auto" w:sz="4" w:space="0"/>
              <w:right w:val="single" w:color="auto" w:sz="4" w:space="0"/>
            </w:tcBorders>
            <w:vAlign w:val="center"/>
          </w:tcPr>
          <w:p w14:paraId="73C3496F">
            <w:pPr>
              <w:tabs>
                <w:tab w:val="left" w:pos="0"/>
              </w:tabs>
              <w:adjustRightInd w:val="0"/>
              <w:snapToGrid w:val="0"/>
              <w:jc w:val="left"/>
              <w:rPr>
                <w:rFonts w:ascii="仿宋_GB2312" w:hAnsi="仿宋_GB2312" w:eastAsia="仿宋_GB2312" w:cs="仿宋_GB2312"/>
                <w:kern w:val="0"/>
                <w:szCs w:val="21"/>
              </w:rPr>
            </w:pPr>
            <w:r>
              <w:rPr>
                <w:rFonts w:hint="eastAsia" w:ascii="仿宋_GB2312" w:hAnsi="仿宋_GB2312" w:eastAsia="仿宋_GB2312" w:cs="仿宋_GB2312"/>
                <w:szCs w:val="21"/>
              </w:rPr>
              <w:t>采购单位未提供需求而投标人认为需说明及补充的内容在此填列</w:t>
            </w:r>
          </w:p>
        </w:tc>
        <w:tc>
          <w:tcPr>
            <w:tcW w:w="1118" w:type="dxa"/>
            <w:tcBorders>
              <w:top w:val="single" w:color="auto" w:sz="4" w:space="0"/>
              <w:left w:val="single" w:color="auto" w:sz="4" w:space="0"/>
              <w:bottom w:val="single" w:color="auto" w:sz="4" w:space="0"/>
              <w:right w:val="single" w:color="auto" w:sz="4" w:space="0"/>
            </w:tcBorders>
            <w:vAlign w:val="center"/>
          </w:tcPr>
          <w:p w14:paraId="05629A3D">
            <w:pPr>
              <w:tabs>
                <w:tab w:val="left" w:pos="-75"/>
              </w:tabs>
              <w:spacing w:line="240" w:lineRule="exact"/>
              <w:ind w:right="-56" w:rightChars="-27"/>
              <w:jc w:val="center"/>
              <w:rPr>
                <w:rFonts w:ascii="仿宋_GB2312" w:hAnsi="仿宋_GB2312" w:eastAsia="仿宋_GB2312" w:cs="仿宋_GB2312"/>
                <w:kern w:val="0"/>
                <w:szCs w:val="21"/>
              </w:rPr>
            </w:pPr>
          </w:p>
        </w:tc>
        <w:tc>
          <w:tcPr>
            <w:tcW w:w="1166" w:type="dxa"/>
            <w:tcBorders>
              <w:top w:val="single" w:color="auto" w:sz="4" w:space="0"/>
              <w:left w:val="single" w:color="auto" w:sz="4" w:space="0"/>
              <w:bottom w:val="single" w:color="auto" w:sz="4" w:space="0"/>
              <w:right w:val="single" w:color="auto" w:sz="4" w:space="0"/>
            </w:tcBorders>
            <w:vAlign w:val="center"/>
          </w:tcPr>
          <w:p w14:paraId="6FDC5DD7">
            <w:pPr>
              <w:tabs>
                <w:tab w:val="left" w:pos="-75"/>
              </w:tabs>
              <w:spacing w:line="240" w:lineRule="exact"/>
              <w:ind w:right="-56" w:rightChars="-27"/>
              <w:jc w:val="center"/>
              <w:rPr>
                <w:rFonts w:ascii="仿宋_GB2312" w:hAnsi="仿宋_GB2312" w:eastAsia="仿宋_GB2312" w:cs="仿宋_GB2312"/>
                <w:kern w:val="0"/>
                <w:szCs w:val="21"/>
              </w:rPr>
            </w:pPr>
          </w:p>
        </w:tc>
        <w:tc>
          <w:tcPr>
            <w:tcW w:w="1118" w:type="dxa"/>
            <w:tcBorders>
              <w:top w:val="single" w:color="auto" w:sz="4" w:space="0"/>
              <w:left w:val="single" w:color="auto" w:sz="4" w:space="0"/>
              <w:bottom w:val="single" w:color="auto" w:sz="4" w:space="0"/>
              <w:right w:val="single" w:color="auto" w:sz="4" w:space="0"/>
            </w:tcBorders>
            <w:vAlign w:val="center"/>
          </w:tcPr>
          <w:p w14:paraId="6409BB2F">
            <w:pPr>
              <w:tabs>
                <w:tab w:val="left" w:pos="-75"/>
              </w:tabs>
              <w:spacing w:line="240" w:lineRule="exact"/>
              <w:ind w:right="-56" w:rightChars="-27"/>
              <w:jc w:val="center"/>
              <w:rPr>
                <w:rFonts w:ascii="仿宋_GB2312" w:hAnsi="仿宋_GB2312" w:eastAsia="仿宋_GB2312" w:cs="仿宋_GB2312"/>
                <w:kern w:val="0"/>
                <w:szCs w:val="21"/>
              </w:rPr>
            </w:pPr>
          </w:p>
        </w:tc>
      </w:tr>
    </w:tbl>
    <w:p w14:paraId="55831792">
      <w:pPr>
        <w:adjustRightInd w:val="0"/>
        <w:snapToGrid w:val="0"/>
        <w:spacing w:line="360" w:lineRule="auto"/>
        <w:ind w:right="105" w:rightChars="50"/>
        <w:jc w:val="left"/>
        <w:rPr>
          <w:rFonts w:ascii="仿宋_GB2312" w:hAnsi="仿宋_GB2312" w:eastAsia="仿宋_GB2312" w:cs="仿宋_GB2312"/>
          <w:b/>
          <w:szCs w:val="21"/>
        </w:rPr>
      </w:pPr>
      <w:r>
        <w:rPr>
          <w:rFonts w:hint="eastAsia" w:ascii="仿宋_GB2312" w:hAnsi="仿宋_GB2312" w:eastAsia="仿宋_GB2312" w:cs="仿宋_GB2312"/>
          <w:b/>
          <w:szCs w:val="21"/>
        </w:rPr>
        <w:t>填表要求：</w:t>
      </w:r>
    </w:p>
    <w:p w14:paraId="2EE434A7">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1．“投标文件响应内容”一栏由投标人按照招标文件要求填写并进行逐项响应。</w:t>
      </w:r>
    </w:p>
    <w:p w14:paraId="7F296E02">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2．“偏离程度”一栏根据“投标文件响应内容”与招标文件逐项对照的结果填写。偏离必须用 “正偏离、负偏离或无偏离”三个名称中的一种进行标注。</w:t>
      </w:r>
    </w:p>
    <w:p w14:paraId="3799D19C">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3．“偏离说明”一栏由投标人对偏离的情况做详细说明。</w:t>
      </w:r>
    </w:p>
    <w:p w14:paraId="6E80BDB6">
      <w:pPr>
        <w:adjustRightInd w:val="0"/>
        <w:snapToGrid w:val="0"/>
        <w:spacing w:line="360" w:lineRule="auto"/>
        <w:rPr>
          <w:rFonts w:ascii="仿宋_GB2312" w:hAnsi="仿宋_GB2312" w:eastAsia="仿宋_GB2312" w:cs="仿宋_GB2312"/>
          <w:szCs w:val="21"/>
        </w:rPr>
      </w:pPr>
    </w:p>
    <w:p w14:paraId="34F62FA6">
      <w:pPr>
        <w:adjustRightInd w:val="0"/>
        <w:snapToGrid w:val="0"/>
        <w:spacing w:line="360" w:lineRule="auto"/>
        <w:rPr>
          <w:rFonts w:ascii="仿宋_GB2312" w:hAnsi="仿宋_GB2312" w:eastAsia="仿宋_GB2312" w:cs="仿宋_GB2312"/>
          <w:szCs w:val="21"/>
        </w:rPr>
      </w:pPr>
    </w:p>
    <w:p w14:paraId="03FECE66">
      <w:pPr>
        <w:adjustRightInd w:val="0"/>
        <w:snapToGrid w:val="0"/>
        <w:spacing w:line="360" w:lineRule="auto"/>
        <w:rPr>
          <w:rFonts w:ascii="仿宋_GB2312" w:hAnsi="仿宋_GB2312" w:eastAsia="仿宋_GB2312" w:cs="仿宋_GB2312"/>
          <w:szCs w:val="21"/>
        </w:rPr>
      </w:pPr>
    </w:p>
    <w:p w14:paraId="69D42FDA">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14:paraId="2880F588">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14:paraId="0E5E436E">
      <w:pPr>
        <w:adjustRightInd w:val="0"/>
        <w:snapToGrid w:val="0"/>
        <w:spacing w:line="36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r>
        <w:rPr>
          <w:rFonts w:hint="eastAsia" w:ascii="仿宋_GB2312" w:hAnsi="仿宋_GB2312" w:eastAsia="仿宋_GB2312" w:cs="仿宋_GB2312"/>
          <w:szCs w:val="21"/>
          <w:u w:val="single"/>
        </w:rPr>
        <w:t xml:space="preserve"> </w:t>
      </w:r>
    </w:p>
    <w:p w14:paraId="285D2DC9">
      <w:pPr>
        <w:adjustRightInd w:val="0"/>
        <w:snapToGrid w:val="0"/>
        <w:spacing w:line="360" w:lineRule="auto"/>
        <w:rPr>
          <w:rFonts w:ascii="仿宋_GB2312" w:hAnsi="仿宋_GB2312" w:eastAsia="仿宋_GB2312" w:cs="仿宋_GB2312"/>
          <w:szCs w:val="21"/>
        </w:rPr>
      </w:pPr>
    </w:p>
    <w:p w14:paraId="40F4C995">
      <w:pPr>
        <w:pStyle w:val="5"/>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b w:val="0"/>
          <w:szCs w:val="28"/>
        </w:rPr>
        <w:br w:type="page"/>
      </w:r>
      <w:r>
        <w:rPr>
          <w:rFonts w:hint="eastAsia" w:ascii="仿宋_GB2312" w:hAnsi="仿宋_GB2312" w:eastAsia="仿宋_GB2312" w:cs="仿宋_GB2312"/>
          <w:szCs w:val="28"/>
        </w:rPr>
        <w:t>格式14</w:t>
      </w:r>
    </w:p>
    <w:p w14:paraId="31BC323B">
      <w:pPr>
        <w:adjustRightInd w:val="0"/>
        <w:snapToGrid w:val="0"/>
        <w:ind w:right="105" w:rightChars="50"/>
        <w:jc w:val="center"/>
        <w:rPr>
          <w:rFonts w:ascii="仿宋_GB2312" w:hAnsi="仿宋_GB2312" w:eastAsia="仿宋_GB2312" w:cs="仿宋_GB2312"/>
          <w:b/>
          <w:bCs/>
          <w:sz w:val="32"/>
          <w:szCs w:val="32"/>
        </w:rPr>
      </w:pPr>
      <w:bookmarkStart w:id="94" w:name="_Toc4431_WPSOffice_Level2"/>
      <w:bookmarkStart w:id="95" w:name="_Toc8488_WPSOffice_Level2"/>
      <w:r>
        <w:rPr>
          <w:rFonts w:hint="eastAsia" w:ascii="仿宋_GB2312" w:hAnsi="仿宋_GB2312" w:eastAsia="仿宋_GB2312" w:cs="仿宋_GB2312"/>
          <w:b/>
          <w:bCs/>
          <w:sz w:val="32"/>
          <w:szCs w:val="32"/>
        </w:rPr>
        <w:t>商务条款偏离表</w:t>
      </w:r>
      <w:bookmarkEnd w:id="94"/>
      <w:bookmarkEnd w:id="95"/>
    </w:p>
    <w:p w14:paraId="561DC2C8">
      <w:pPr>
        <w:adjustRightInd w:val="0"/>
        <w:snapToGrid w:val="0"/>
        <w:spacing w:line="360" w:lineRule="auto"/>
        <w:ind w:right="105" w:rightChars="50"/>
        <w:jc w:val="left"/>
        <w:rPr>
          <w:rFonts w:ascii="仿宋_GB2312" w:hAnsi="仿宋_GB2312" w:eastAsia="仿宋_GB2312" w:cs="仿宋_GB2312"/>
          <w:b/>
          <w:bCs/>
          <w:szCs w:val="21"/>
        </w:rPr>
      </w:pPr>
      <w:r>
        <w:rPr>
          <w:rFonts w:hint="eastAsia" w:ascii="仿宋_GB2312" w:hAnsi="仿宋_GB2312" w:eastAsia="仿宋_GB2312" w:cs="仿宋_GB2312"/>
          <w:b/>
          <w:bCs/>
          <w:szCs w:val="21"/>
        </w:rPr>
        <w:t xml:space="preserve">包号： </w:t>
      </w:r>
    </w:p>
    <w:tbl>
      <w:tblPr>
        <w:tblStyle w:val="21"/>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3758"/>
        <w:gridCol w:w="2359"/>
        <w:gridCol w:w="1003"/>
        <w:gridCol w:w="893"/>
      </w:tblGrid>
      <w:tr w14:paraId="43F35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547" w:type="dxa"/>
            <w:vAlign w:val="center"/>
          </w:tcPr>
          <w:p w14:paraId="110673B7">
            <w:pPr>
              <w:adjustRightInd w:val="0"/>
              <w:snapToGrid w:val="0"/>
              <w:ind w:right="-48" w:rightChars="-23"/>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3758" w:type="dxa"/>
            <w:vAlign w:val="center"/>
          </w:tcPr>
          <w:p w14:paraId="64575381">
            <w:pPr>
              <w:adjustRightInd w:val="0"/>
              <w:snapToGrid w:val="0"/>
              <w:ind w:right="-73" w:rightChars="-35"/>
              <w:jc w:val="center"/>
              <w:rPr>
                <w:rFonts w:ascii="仿宋_GB2312" w:hAnsi="仿宋_GB2312" w:eastAsia="仿宋_GB2312" w:cs="仿宋_GB2312"/>
                <w:szCs w:val="21"/>
              </w:rPr>
            </w:pPr>
            <w:r>
              <w:rPr>
                <w:rFonts w:hint="eastAsia" w:ascii="仿宋_GB2312" w:hAnsi="仿宋_GB2312" w:eastAsia="仿宋_GB2312" w:cs="仿宋_GB2312"/>
                <w:szCs w:val="21"/>
              </w:rPr>
              <w:t>招标文件的商务条款</w:t>
            </w:r>
          </w:p>
          <w:p w14:paraId="3C4F0214">
            <w:pPr>
              <w:adjustRightInd w:val="0"/>
              <w:snapToGrid w:val="0"/>
              <w:ind w:right="-73" w:rightChars="-35"/>
              <w:jc w:val="center"/>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b/>
                <w:sz w:val="18"/>
                <w:szCs w:val="18"/>
              </w:rPr>
              <w:t>实质性要求及重要指标用★标注，★标注项不得负偏离，如果负偏离，则投标文件无效。</w:t>
            </w:r>
            <w:r>
              <w:rPr>
                <w:rFonts w:hint="eastAsia" w:ascii="仿宋_GB2312" w:hAnsi="仿宋_GB2312" w:eastAsia="仿宋_GB2312" w:cs="仿宋_GB2312"/>
                <w:szCs w:val="21"/>
              </w:rPr>
              <w:t>）</w:t>
            </w:r>
          </w:p>
        </w:tc>
        <w:tc>
          <w:tcPr>
            <w:tcW w:w="2359" w:type="dxa"/>
            <w:vAlign w:val="center"/>
          </w:tcPr>
          <w:p w14:paraId="42A89B78">
            <w:pPr>
              <w:adjustRightInd w:val="0"/>
              <w:snapToGrid w:val="0"/>
              <w:ind w:right="-107" w:rightChars="-51"/>
              <w:jc w:val="center"/>
              <w:rPr>
                <w:rFonts w:ascii="仿宋_GB2312" w:hAnsi="仿宋_GB2312" w:eastAsia="仿宋_GB2312" w:cs="仿宋_GB2312"/>
                <w:szCs w:val="21"/>
              </w:rPr>
            </w:pPr>
            <w:r>
              <w:rPr>
                <w:rFonts w:hint="eastAsia" w:ascii="仿宋_GB2312" w:hAnsi="仿宋_GB2312" w:eastAsia="仿宋_GB2312" w:cs="仿宋_GB2312"/>
                <w:szCs w:val="21"/>
              </w:rPr>
              <w:t>投标文件响应内容</w:t>
            </w:r>
          </w:p>
        </w:tc>
        <w:tc>
          <w:tcPr>
            <w:tcW w:w="1003" w:type="dxa"/>
            <w:vAlign w:val="center"/>
          </w:tcPr>
          <w:p w14:paraId="1BD61BFD">
            <w:pPr>
              <w:adjustRightInd w:val="0"/>
              <w:snapToGrid w:val="0"/>
              <w:ind w:left="-58" w:leftChars="-28" w:right="-105" w:rightChars="-50"/>
              <w:rPr>
                <w:rFonts w:ascii="仿宋_GB2312" w:hAnsi="仿宋_GB2312" w:eastAsia="仿宋_GB2312" w:cs="仿宋_GB2312"/>
                <w:szCs w:val="21"/>
              </w:rPr>
            </w:pPr>
            <w:r>
              <w:rPr>
                <w:rFonts w:hint="eastAsia" w:ascii="仿宋_GB2312" w:hAnsi="仿宋_GB2312" w:eastAsia="仿宋_GB2312" w:cs="仿宋_GB2312"/>
                <w:szCs w:val="21"/>
              </w:rPr>
              <w:t>偏离程度</w:t>
            </w:r>
          </w:p>
        </w:tc>
        <w:tc>
          <w:tcPr>
            <w:tcW w:w="893" w:type="dxa"/>
            <w:vAlign w:val="center"/>
          </w:tcPr>
          <w:p w14:paraId="02FC3AF1">
            <w:pPr>
              <w:adjustRightInd w:val="0"/>
              <w:snapToGrid w:val="0"/>
              <w:ind w:left="-58" w:leftChars="-28" w:right="-105" w:rightChars="-50"/>
              <w:rPr>
                <w:rFonts w:ascii="仿宋_GB2312" w:hAnsi="仿宋_GB2312" w:eastAsia="仿宋_GB2312" w:cs="仿宋_GB2312"/>
                <w:szCs w:val="21"/>
              </w:rPr>
            </w:pPr>
            <w:r>
              <w:rPr>
                <w:rFonts w:hint="eastAsia" w:ascii="仿宋_GB2312" w:hAnsi="仿宋_GB2312" w:eastAsia="仿宋_GB2312" w:cs="仿宋_GB2312"/>
                <w:szCs w:val="21"/>
              </w:rPr>
              <w:t>偏离说明</w:t>
            </w:r>
          </w:p>
        </w:tc>
      </w:tr>
      <w:tr w14:paraId="64A9B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547" w:type="dxa"/>
            <w:vAlign w:val="center"/>
          </w:tcPr>
          <w:p w14:paraId="78566BB8">
            <w:pPr>
              <w:adjustRightInd w:val="0"/>
              <w:snapToGrid w:val="0"/>
              <w:ind w:right="105" w:rightChars="50"/>
              <w:jc w:val="center"/>
              <w:rPr>
                <w:rFonts w:ascii="仿宋_GB2312" w:hAnsi="仿宋_GB2312" w:eastAsia="仿宋_GB2312" w:cs="仿宋_GB2312"/>
                <w:szCs w:val="21"/>
              </w:rPr>
            </w:pPr>
          </w:p>
        </w:tc>
        <w:tc>
          <w:tcPr>
            <w:tcW w:w="3758" w:type="dxa"/>
            <w:vAlign w:val="center"/>
          </w:tcPr>
          <w:p w14:paraId="4AB31D4A">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履约期限：</w:t>
            </w:r>
          </w:p>
        </w:tc>
        <w:tc>
          <w:tcPr>
            <w:tcW w:w="2359" w:type="dxa"/>
            <w:vAlign w:val="center"/>
          </w:tcPr>
          <w:p w14:paraId="03335206">
            <w:pPr>
              <w:adjustRightInd w:val="0"/>
              <w:snapToGrid w:val="0"/>
              <w:ind w:right="105" w:rightChars="50"/>
              <w:jc w:val="center"/>
              <w:rPr>
                <w:rFonts w:ascii="仿宋_GB2312" w:hAnsi="仿宋_GB2312" w:eastAsia="仿宋_GB2312" w:cs="仿宋_GB2312"/>
                <w:szCs w:val="21"/>
              </w:rPr>
            </w:pPr>
          </w:p>
        </w:tc>
        <w:tc>
          <w:tcPr>
            <w:tcW w:w="1003" w:type="dxa"/>
            <w:vAlign w:val="center"/>
          </w:tcPr>
          <w:p w14:paraId="0E92D62A">
            <w:pPr>
              <w:adjustRightInd w:val="0"/>
              <w:snapToGrid w:val="0"/>
              <w:ind w:right="105" w:rightChars="50"/>
              <w:jc w:val="center"/>
              <w:rPr>
                <w:rFonts w:ascii="仿宋_GB2312" w:hAnsi="仿宋_GB2312" w:eastAsia="仿宋_GB2312" w:cs="仿宋_GB2312"/>
                <w:szCs w:val="21"/>
              </w:rPr>
            </w:pPr>
          </w:p>
        </w:tc>
        <w:tc>
          <w:tcPr>
            <w:tcW w:w="893" w:type="dxa"/>
            <w:vAlign w:val="center"/>
          </w:tcPr>
          <w:p w14:paraId="0799AA7D">
            <w:pPr>
              <w:adjustRightInd w:val="0"/>
              <w:snapToGrid w:val="0"/>
              <w:ind w:right="105" w:rightChars="50"/>
              <w:jc w:val="center"/>
              <w:rPr>
                <w:rFonts w:ascii="仿宋_GB2312" w:hAnsi="仿宋_GB2312" w:eastAsia="仿宋_GB2312" w:cs="仿宋_GB2312"/>
                <w:szCs w:val="21"/>
              </w:rPr>
            </w:pPr>
          </w:p>
        </w:tc>
      </w:tr>
      <w:tr w14:paraId="54E40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547" w:type="dxa"/>
            <w:vAlign w:val="center"/>
          </w:tcPr>
          <w:p w14:paraId="0CDA4A0D">
            <w:pPr>
              <w:adjustRightInd w:val="0"/>
              <w:snapToGrid w:val="0"/>
              <w:ind w:right="105" w:rightChars="50"/>
              <w:jc w:val="center"/>
              <w:rPr>
                <w:rFonts w:ascii="仿宋_GB2312" w:hAnsi="仿宋_GB2312" w:eastAsia="仿宋_GB2312" w:cs="仿宋_GB2312"/>
                <w:szCs w:val="21"/>
              </w:rPr>
            </w:pPr>
          </w:p>
        </w:tc>
        <w:tc>
          <w:tcPr>
            <w:tcW w:w="3758" w:type="dxa"/>
            <w:vAlign w:val="center"/>
          </w:tcPr>
          <w:p w14:paraId="708A50B2">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履约地点：</w:t>
            </w:r>
          </w:p>
        </w:tc>
        <w:tc>
          <w:tcPr>
            <w:tcW w:w="2359" w:type="dxa"/>
            <w:vAlign w:val="center"/>
          </w:tcPr>
          <w:p w14:paraId="04525F6E">
            <w:pPr>
              <w:adjustRightInd w:val="0"/>
              <w:snapToGrid w:val="0"/>
              <w:ind w:right="105" w:rightChars="50"/>
              <w:jc w:val="center"/>
              <w:rPr>
                <w:rFonts w:ascii="仿宋_GB2312" w:hAnsi="仿宋_GB2312" w:eastAsia="仿宋_GB2312" w:cs="仿宋_GB2312"/>
                <w:szCs w:val="21"/>
              </w:rPr>
            </w:pPr>
          </w:p>
        </w:tc>
        <w:tc>
          <w:tcPr>
            <w:tcW w:w="1003" w:type="dxa"/>
            <w:vAlign w:val="center"/>
          </w:tcPr>
          <w:p w14:paraId="4E60A5BB">
            <w:pPr>
              <w:adjustRightInd w:val="0"/>
              <w:snapToGrid w:val="0"/>
              <w:ind w:right="105" w:rightChars="50"/>
              <w:jc w:val="center"/>
              <w:rPr>
                <w:rFonts w:ascii="仿宋_GB2312" w:hAnsi="仿宋_GB2312" w:eastAsia="仿宋_GB2312" w:cs="仿宋_GB2312"/>
                <w:szCs w:val="21"/>
              </w:rPr>
            </w:pPr>
          </w:p>
        </w:tc>
        <w:tc>
          <w:tcPr>
            <w:tcW w:w="893" w:type="dxa"/>
            <w:vAlign w:val="center"/>
          </w:tcPr>
          <w:p w14:paraId="71B27ABD">
            <w:pPr>
              <w:adjustRightInd w:val="0"/>
              <w:snapToGrid w:val="0"/>
              <w:ind w:right="105" w:rightChars="50"/>
              <w:jc w:val="center"/>
              <w:rPr>
                <w:rFonts w:ascii="仿宋_GB2312" w:hAnsi="仿宋_GB2312" w:eastAsia="仿宋_GB2312" w:cs="仿宋_GB2312"/>
                <w:szCs w:val="21"/>
              </w:rPr>
            </w:pPr>
          </w:p>
        </w:tc>
      </w:tr>
      <w:tr w14:paraId="64BB9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547" w:type="dxa"/>
            <w:vAlign w:val="center"/>
          </w:tcPr>
          <w:p w14:paraId="53383ACD">
            <w:pPr>
              <w:adjustRightInd w:val="0"/>
              <w:snapToGrid w:val="0"/>
              <w:ind w:right="105" w:rightChars="50"/>
              <w:jc w:val="center"/>
              <w:rPr>
                <w:rFonts w:ascii="仿宋_GB2312" w:hAnsi="仿宋_GB2312" w:eastAsia="仿宋_GB2312" w:cs="仿宋_GB2312"/>
                <w:szCs w:val="21"/>
              </w:rPr>
            </w:pPr>
          </w:p>
        </w:tc>
        <w:tc>
          <w:tcPr>
            <w:tcW w:w="3758" w:type="dxa"/>
            <w:vAlign w:val="center"/>
          </w:tcPr>
          <w:p w14:paraId="7BE18379">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付款方式及条件：</w:t>
            </w:r>
          </w:p>
        </w:tc>
        <w:tc>
          <w:tcPr>
            <w:tcW w:w="2359" w:type="dxa"/>
            <w:vAlign w:val="center"/>
          </w:tcPr>
          <w:p w14:paraId="08747B1D">
            <w:pPr>
              <w:adjustRightInd w:val="0"/>
              <w:snapToGrid w:val="0"/>
              <w:ind w:right="105" w:rightChars="50"/>
              <w:jc w:val="center"/>
              <w:rPr>
                <w:rFonts w:ascii="仿宋_GB2312" w:hAnsi="仿宋_GB2312" w:eastAsia="仿宋_GB2312" w:cs="仿宋_GB2312"/>
                <w:szCs w:val="21"/>
              </w:rPr>
            </w:pPr>
          </w:p>
        </w:tc>
        <w:tc>
          <w:tcPr>
            <w:tcW w:w="1003" w:type="dxa"/>
            <w:vAlign w:val="center"/>
          </w:tcPr>
          <w:p w14:paraId="70146106">
            <w:pPr>
              <w:adjustRightInd w:val="0"/>
              <w:snapToGrid w:val="0"/>
              <w:ind w:right="105" w:rightChars="50"/>
              <w:jc w:val="center"/>
              <w:rPr>
                <w:rFonts w:ascii="仿宋_GB2312" w:hAnsi="仿宋_GB2312" w:eastAsia="仿宋_GB2312" w:cs="仿宋_GB2312"/>
                <w:szCs w:val="21"/>
              </w:rPr>
            </w:pPr>
          </w:p>
        </w:tc>
        <w:tc>
          <w:tcPr>
            <w:tcW w:w="893" w:type="dxa"/>
            <w:vAlign w:val="center"/>
          </w:tcPr>
          <w:p w14:paraId="34E2414A">
            <w:pPr>
              <w:adjustRightInd w:val="0"/>
              <w:snapToGrid w:val="0"/>
              <w:ind w:right="105" w:rightChars="50"/>
              <w:jc w:val="center"/>
              <w:rPr>
                <w:rFonts w:ascii="仿宋_GB2312" w:hAnsi="仿宋_GB2312" w:eastAsia="仿宋_GB2312" w:cs="仿宋_GB2312"/>
                <w:szCs w:val="21"/>
              </w:rPr>
            </w:pPr>
          </w:p>
        </w:tc>
      </w:tr>
      <w:tr w14:paraId="42AB1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547" w:type="dxa"/>
            <w:vAlign w:val="center"/>
          </w:tcPr>
          <w:p w14:paraId="630C1358">
            <w:pPr>
              <w:adjustRightInd w:val="0"/>
              <w:snapToGrid w:val="0"/>
              <w:ind w:right="105" w:rightChars="50"/>
              <w:jc w:val="center"/>
              <w:rPr>
                <w:rFonts w:ascii="仿宋_GB2312" w:hAnsi="仿宋_GB2312" w:eastAsia="仿宋_GB2312" w:cs="仿宋_GB2312"/>
                <w:szCs w:val="21"/>
              </w:rPr>
            </w:pPr>
          </w:p>
        </w:tc>
        <w:tc>
          <w:tcPr>
            <w:tcW w:w="3758" w:type="dxa"/>
            <w:vAlign w:val="center"/>
          </w:tcPr>
          <w:p w14:paraId="0949E63E">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验收标准：</w:t>
            </w:r>
          </w:p>
          <w:p w14:paraId="5734BAD7">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验收程序：</w:t>
            </w:r>
          </w:p>
          <w:p w14:paraId="7F4DC2D9">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验收报告：</w:t>
            </w:r>
          </w:p>
          <w:p w14:paraId="532AAB7D">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组织验收主体：本项目的履约验收工作由采购人依法组织实施。</w:t>
            </w:r>
          </w:p>
        </w:tc>
        <w:tc>
          <w:tcPr>
            <w:tcW w:w="2359" w:type="dxa"/>
            <w:vAlign w:val="center"/>
          </w:tcPr>
          <w:p w14:paraId="156C6DD6">
            <w:pPr>
              <w:adjustRightInd w:val="0"/>
              <w:snapToGrid w:val="0"/>
              <w:ind w:right="105" w:rightChars="50"/>
              <w:jc w:val="center"/>
              <w:rPr>
                <w:rFonts w:ascii="仿宋_GB2312" w:hAnsi="仿宋_GB2312" w:eastAsia="仿宋_GB2312" w:cs="仿宋_GB2312"/>
                <w:szCs w:val="21"/>
              </w:rPr>
            </w:pPr>
          </w:p>
        </w:tc>
        <w:tc>
          <w:tcPr>
            <w:tcW w:w="1003" w:type="dxa"/>
            <w:vAlign w:val="center"/>
          </w:tcPr>
          <w:p w14:paraId="5EC3F02F">
            <w:pPr>
              <w:adjustRightInd w:val="0"/>
              <w:snapToGrid w:val="0"/>
              <w:ind w:right="105" w:rightChars="50"/>
              <w:jc w:val="center"/>
              <w:rPr>
                <w:rFonts w:ascii="仿宋_GB2312" w:hAnsi="仿宋_GB2312" w:eastAsia="仿宋_GB2312" w:cs="仿宋_GB2312"/>
                <w:szCs w:val="21"/>
              </w:rPr>
            </w:pPr>
          </w:p>
        </w:tc>
        <w:tc>
          <w:tcPr>
            <w:tcW w:w="893" w:type="dxa"/>
            <w:vAlign w:val="center"/>
          </w:tcPr>
          <w:p w14:paraId="224F0FD3">
            <w:pPr>
              <w:adjustRightInd w:val="0"/>
              <w:snapToGrid w:val="0"/>
              <w:ind w:right="105" w:rightChars="50"/>
              <w:jc w:val="center"/>
              <w:rPr>
                <w:rFonts w:ascii="仿宋_GB2312" w:hAnsi="仿宋_GB2312" w:eastAsia="仿宋_GB2312" w:cs="仿宋_GB2312"/>
                <w:szCs w:val="21"/>
              </w:rPr>
            </w:pPr>
          </w:p>
        </w:tc>
      </w:tr>
      <w:tr w14:paraId="3D1BA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547" w:type="dxa"/>
            <w:vAlign w:val="center"/>
          </w:tcPr>
          <w:p w14:paraId="7F28A99B">
            <w:pPr>
              <w:adjustRightInd w:val="0"/>
              <w:snapToGrid w:val="0"/>
              <w:ind w:right="105" w:rightChars="50"/>
              <w:jc w:val="center"/>
              <w:rPr>
                <w:rFonts w:ascii="仿宋_GB2312" w:hAnsi="仿宋_GB2312" w:eastAsia="仿宋_GB2312" w:cs="仿宋_GB2312"/>
                <w:szCs w:val="21"/>
              </w:rPr>
            </w:pPr>
          </w:p>
        </w:tc>
        <w:tc>
          <w:tcPr>
            <w:tcW w:w="3758" w:type="dxa"/>
            <w:vAlign w:val="center"/>
          </w:tcPr>
          <w:p w14:paraId="1E328A4B">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质量保证期：（  ）年</w:t>
            </w:r>
          </w:p>
        </w:tc>
        <w:tc>
          <w:tcPr>
            <w:tcW w:w="2359" w:type="dxa"/>
            <w:vAlign w:val="center"/>
          </w:tcPr>
          <w:p w14:paraId="23B2DAC8">
            <w:pPr>
              <w:adjustRightInd w:val="0"/>
              <w:snapToGrid w:val="0"/>
              <w:ind w:right="105" w:rightChars="50"/>
              <w:jc w:val="center"/>
              <w:rPr>
                <w:rFonts w:ascii="仿宋_GB2312" w:hAnsi="仿宋_GB2312" w:eastAsia="仿宋_GB2312" w:cs="仿宋_GB2312"/>
                <w:szCs w:val="21"/>
              </w:rPr>
            </w:pPr>
          </w:p>
        </w:tc>
        <w:tc>
          <w:tcPr>
            <w:tcW w:w="1003" w:type="dxa"/>
            <w:vAlign w:val="center"/>
          </w:tcPr>
          <w:p w14:paraId="53BED351">
            <w:pPr>
              <w:adjustRightInd w:val="0"/>
              <w:snapToGrid w:val="0"/>
              <w:ind w:right="105" w:rightChars="50"/>
              <w:jc w:val="center"/>
              <w:rPr>
                <w:rFonts w:ascii="仿宋_GB2312" w:hAnsi="仿宋_GB2312" w:eastAsia="仿宋_GB2312" w:cs="仿宋_GB2312"/>
                <w:szCs w:val="21"/>
              </w:rPr>
            </w:pPr>
          </w:p>
        </w:tc>
        <w:tc>
          <w:tcPr>
            <w:tcW w:w="893" w:type="dxa"/>
            <w:vAlign w:val="center"/>
          </w:tcPr>
          <w:p w14:paraId="0C48480F">
            <w:pPr>
              <w:adjustRightInd w:val="0"/>
              <w:snapToGrid w:val="0"/>
              <w:ind w:right="105" w:rightChars="50"/>
              <w:jc w:val="center"/>
              <w:rPr>
                <w:rFonts w:ascii="仿宋_GB2312" w:hAnsi="仿宋_GB2312" w:eastAsia="仿宋_GB2312" w:cs="仿宋_GB2312"/>
                <w:szCs w:val="21"/>
              </w:rPr>
            </w:pPr>
          </w:p>
        </w:tc>
      </w:tr>
      <w:tr w14:paraId="3F824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7" w:type="dxa"/>
            <w:vAlign w:val="center"/>
          </w:tcPr>
          <w:p w14:paraId="4415787B">
            <w:pPr>
              <w:adjustRightInd w:val="0"/>
              <w:snapToGrid w:val="0"/>
              <w:ind w:right="105" w:rightChars="50"/>
              <w:jc w:val="center"/>
              <w:rPr>
                <w:rFonts w:ascii="仿宋_GB2312" w:hAnsi="仿宋_GB2312" w:eastAsia="仿宋_GB2312" w:cs="仿宋_GB2312"/>
                <w:szCs w:val="21"/>
              </w:rPr>
            </w:pPr>
          </w:p>
        </w:tc>
        <w:tc>
          <w:tcPr>
            <w:tcW w:w="3758" w:type="dxa"/>
            <w:vAlign w:val="center"/>
          </w:tcPr>
          <w:p w14:paraId="707E94D7">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保修期内上门免费服务，终身维修，提供配件：（    ）年</w:t>
            </w:r>
          </w:p>
        </w:tc>
        <w:tc>
          <w:tcPr>
            <w:tcW w:w="2359" w:type="dxa"/>
            <w:vAlign w:val="center"/>
          </w:tcPr>
          <w:p w14:paraId="066CD780">
            <w:pPr>
              <w:adjustRightInd w:val="0"/>
              <w:snapToGrid w:val="0"/>
              <w:ind w:right="105" w:rightChars="50"/>
              <w:jc w:val="center"/>
              <w:rPr>
                <w:rFonts w:ascii="仿宋_GB2312" w:hAnsi="仿宋_GB2312" w:eastAsia="仿宋_GB2312" w:cs="仿宋_GB2312"/>
                <w:szCs w:val="21"/>
              </w:rPr>
            </w:pPr>
          </w:p>
        </w:tc>
        <w:tc>
          <w:tcPr>
            <w:tcW w:w="1003" w:type="dxa"/>
            <w:vAlign w:val="center"/>
          </w:tcPr>
          <w:p w14:paraId="3510F8FA">
            <w:pPr>
              <w:adjustRightInd w:val="0"/>
              <w:snapToGrid w:val="0"/>
              <w:ind w:right="105" w:rightChars="50"/>
              <w:jc w:val="center"/>
              <w:rPr>
                <w:rFonts w:ascii="仿宋_GB2312" w:hAnsi="仿宋_GB2312" w:eastAsia="仿宋_GB2312" w:cs="仿宋_GB2312"/>
                <w:szCs w:val="21"/>
              </w:rPr>
            </w:pPr>
          </w:p>
        </w:tc>
        <w:tc>
          <w:tcPr>
            <w:tcW w:w="893" w:type="dxa"/>
            <w:vAlign w:val="center"/>
          </w:tcPr>
          <w:p w14:paraId="3ACA362A">
            <w:pPr>
              <w:adjustRightInd w:val="0"/>
              <w:snapToGrid w:val="0"/>
              <w:ind w:right="105" w:rightChars="50"/>
              <w:jc w:val="center"/>
              <w:rPr>
                <w:rFonts w:ascii="仿宋_GB2312" w:hAnsi="仿宋_GB2312" w:eastAsia="仿宋_GB2312" w:cs="仿宋_GB2312"/>
                <w:szCs w:val="21"/>
              </w:rPr>
            </w:pPr>
          </w:p>
        </w:tc>
      </w:tr>
      <w:tr w14:paraId="6213E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547" w:type="dxa"/>
            <w:vAlign w:val="center"/>
          </w:tcPr>
          <w:p w14:paraId="621B5AE3">
            <w:pPr>
              <w:adjustRightInd w:val="0"/>
              <w:snapToGrid w:val="0"/>
              <w:ind w:right="105" w:rightChars="50"/>
              <w:jc w:val="center"/>
              <w:rPr>
                <w:rFonts w:ascii="仿宋_GB2312" w:hAnsi="仿宋_GB2312" w:eastAsia="仿宋_GB2312" w:cs="仿宋_GB2312"/>
                <w:szCs w:val="21"/>
              </w:rPr>
            </w:pPr>
          </w:p>
        </w:tc>
        <w:tc>
          <w:tcPr>
            <w:tcW w:w="3758" w:type="dxa"/>
            <w:vAlign w:val="center"/>
          </w:tcPr>
          <w:p w14:paraId="34680E93">
            <w:pPr>
              <w:adjustRightInd w:val="0"/>
              <w:snapToGrid w:val="0"/>
              <w:ind w:hanging="1"/>
              <w:rPr>
                <w:rFonts w:ascii="仿宋_GB2312" w:hAnsi="仿宋_GB2312" w:eastAsia="仿宋_GB2312" w:cs="仿宋_GB2312"/>
                <w:szCs w:val="21"/>
              </w:rPr>
            </w:pPr>
            <w:r>
              <w:rPr>
                <w:rFonts w:hint="eastAsia" w:ascii="仿宋_GB2312" w:hAnsi="仿宋_GB2312" w:eastAsia="仿宋_GB2312" w:cs="仿宋_GB2312"/>
                <w:szCs w:val="21"/>
              </w:rPr>
              <w:t>热线支持：</w:t>
            </w:r>
          </w:p>
          <w:p w14:paraId="7C501A4D">
            <w:pPr>
              <w:adjustRightInd w:val="0"/>
              <w:snapToGrid w:val="0"/>
              <w:ind w:hanging="1"/>
              <w:rPr>
                <w:rFonts w:ascii="仿宋_GB2312" w:hAnsi="仿宋_GB2312" w:eastAsia="仿宋_GB2312" w:cs="仿宋_GB2312"/>
                <w:szCs w:val="21"/>
              </w:rPr>
            </w:pPr>
            <w:r>
              <w:rPr>
                <w:rFonts w:hint="eastAsia" w:ascii="仿宋_GB2312" w:hAnsi="仿宋_GB2312" w:eastAsia="仿宋_GB2312" w:cs="仿宋_GB2312"/>
                <w:szCs w:val="21"/>
              </w:rPr>
              <w:t>现场支持：（    ）小时内响应；（     ）小时内到达</w:t>
            </w:r>
          </w:p>
        </w:tc>
        <w:tc>
          <w:tcPr>
            <w:tcW w:w="2359" w:type="dxa"/>
            <w:vAlign w:val="center"/>
          </w:tcPr>
          <w:p w14:paraId="6125B05F">
            <w:pPr>
              <w:adjustRightInd w:val="0"/>
              <w:snapToGrid w:val="0"/>
              <w:ind w:right="105" w:rightChars="50"/>
              <w:jc w:val="center"/>
              <w:rPr>
                <w:rFonts w:ascii="仿宋_GB2312" w:hAnsi="仿宋_GB2312" w:eastAsia="仿宋_GB2312" w:cs="仿宋_GB2312"/>
                <w:szCs w:val="21"/>
              </w:rPr>
            </w:pPr>
          </w:p>
        </w:tc>
        <w:tc>
          <w:tcPr>
            <w:tcW w:w="1003" w:type="dxa"/>
            <w:vAlign w:val="center"/>
          </w:tcPr>
          <w:p w14:paraId="4CDC60FE">
            <w:pPr>
              <w:adjustRightInd w:val="0"/>
              <w:snapToGrid w:val="0"/>
              <w:ind w:right="105" w:rightChars="50"/>
              <w:jc w:val="center"/>
              <w:rPr>
                <w:rFonts w:ascii="仿宋_GB2312" w:hAnsi="仿宋_GB2312" w:eastAsia="仿宋_GB2312" w:cs="仿宋_GB2312"/>
                <w:szCs w:val="21"/>
              </w:rPr>
            </w:pPr>
          </w:p>
        </w:tc>
        <w:tc>
          <w:tcPr>
            <w:tcW w:w="893" w:type="dxa"/>
            <w:vAlign w:val="center"/>
          </w:tcPr>
          <w:p w14:paraId="5B1400E8">
            <w:pPr>
              <w:adjustRightInd w:val="0"/>
              <w:snapToGrid w:val="0"/>
              <w:ind w:right="105" w:rightChars="50"/>
              <w:jc w:val="center"/>
              <w:rPr>
                <w:rFonts w:ascii="仿宋_GB2312" w:hAnsi="仿宋_GB2312" w:eastAsia="仿宋_GB2312" w:cs="仿宋_GB2312"/>
                <w:szCs w:val="21"/>
              </w:rPr>
            </w:pPr>
          </w:p>
        </w:tc>
      </w:tr>
      <w:tr w14:paraId="47D5E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547" w:type="dxa"/>
            <w:vAlign w:val="center"/>
          </w:tcPr>
          <w:p w14:paraId="51E8596C">
            <w:pPr>
              <w:adjustRightInd w:val="0"/>
              <w:snapToGrid w:val="0"/>
              <w:ind w:right="105" w:rightChars="50"/>
              <w:jc w:val="center"/>
              <w:rPr>
                <w:rFonts w:ascii="仿宋_GB2312" w:hAnsi="仿宋_GB2312" w:eastAsia="仿宋_GB2312" w:cs="仿宋_GB2312"/>
                <w:szCs w:val="21"/>
              </w:rPr>
            </w:pPr>
          </w:p>
        </w:tc>
        <w:tc>
          <w:tcPr>
            <w:tcW w:w="3758" w:type="dxa"/>
            <w:vAlign w:val="center"/>
          </w:tcPr>
          <w:p w14:paraId="001C5573">
            <w:pPr>
              <w:adjustRightInd w:val="0"/>
              <w:snapToGrid w:val="0"/>
              <w:ind w:hanging="1"/>
              <w:rPr>
                <w:rFonts w:ascii="仿宋_GB2312" w:hAnsi="仿宋_GB2312" w:eastAsia="仿宋_GB2312" w:cs="仿宋_GB2312"/>
                <w:szCs w:val="21"/>
              </w:rPr>
            </w:pPr>
            <w:r>
              <w:rPr>
                <w:rFonts w:hint="eastAsia" w:ascii="仿宋_GB2312" w:hAnsi="仿宋_GB2312" w:eastAsia="仿宋_GB2312" w:cs="仿宋_GB2312"/>
                <w:szCs w:val="21"/>
              </w:rPr>
              <w:t>售后服务网络：</w:t>
            </w:r>
          </w:p>
        </w:tc>
        <w:tc>
          <w:tcPr>
            <w:tcW w:w="2359" w:type="dxa"/>
            <w:vAlign w:val="center"/>
          </w:tcPr>
          <w:p w14:paraId="0143CBEB">
            <w:pPr>
              <w:adjustRightInd w:val="0"/>
              <w:snapToGrid w:val="0"/>
              <w:ind w:right="105" w:rightChars="50"/>
              <w:jc w:val="center"/>
              <w:rPr>
                <w:rFonts w:ascii="仿宋_GB2312" w:hAnsi="仿宋_GB2312" w:eastAsia="仿宋_GB2312" w:cs="仿宋_GB2312"/>
                <w:szCs w:val="21"/>
              </w:rPr>
            </w:pPr>
          </w:p>
        </w:tc>
        <w:tc>
          <w:tcPr>
            <w:tcW w:w="1003" w:type="dxa"/>
            <w:vAlign w:val="center"/>
          </w:tcPr>
          <w:p w14:paraId="1A900C42">
            <w:pPr>
              <w:adjustRightInd w:val="0"/>
              <w:snapToGrid w:val="0"/>
              <w:ind w:right="105" w:rightChars="50"/>
              <w:jc w:val="center"/>
              <w:rPr>
                <w:rFonts w:ascii="仿宋_GB2312" w:hAnsi="仿宋_GB2312" w:eastAsia="仿宋_GB2312" w:cs="仿宋_GB2312"/>
                <w:szCs w:val="21"/>
              </w:rPr>
            </w:pPr>
          </w:p>
        </w:tc>
        <w:tc>
          <w:tcPr>
            <w:tcW w:w="893" w:type="dxa"/>
            <w:vAlign w:val="center"/>
          </w:tcPr>
          <w:p w14:paraId="4D54AC7A">
            <w:pPr>
              <w:adjustRightInd w:val="0"/>
              <w:snapToGrid w:val="0"/>
              <w:ind w:right="105" w:rightChars="50"/>
              <w:jc w:val="center"/>
              <w:rPr>
                <w:rFonts w:ascii="仿宋_GB2312" w:hAnsi="仿宋_GB2312" w:eastAsia="仿宋_GB2312" w:cs="仿宋_GB2312"/>
                <w:szCs w:val="21"/>
              </w:rPr>
            </w:pPr>
          </w:p>
        </w:tc>
      </w:tr>
      <w:tr w14:paraId="03EC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7" w:type="dxa"/>
            <w:vAlign w:val="center"/>
          </w:tcPr>
          <w:p w14:paraId="32C78C46">
            <w:pPr>
              <w:adjustRightInd w:val="0"/>
              <w:snapToGrid w:val="0"/>
              <w:ind w:right="105" w:rightChars="50"/>
              <w:jc w:val="center"/>
              <w:rPr>
                <w:rFonts w:ascii="仿宋_GB2312" w:hAnsi="仿宋_GB2312" w:eastAsia="仿宋_GB2312" w:cs="仿宋_GB2312"/>
                <w:szCs w:val="21"/>
              </w:rPr>
            </w:pPr>
          </w:p>
        </w:tc>
        <w:tc>
          <w:tcPr>
            <w:tcW w:w="3758" w:type="dxa"/>
            <w:vAlign w:val="center"/>
          </w:tcPr>
          <w:p w14:paraId="0DDCF29D">
            <w:pPr>
              <w:adjustRightInd w:val="0"/>
              <w:snapToGrid w:val="0"/>
              <w:ind w:hanging="1"/>
              <w:rPr>
                <w:rFonts w:ascii="仿宋_GB2312" w:hAnsi="仿宋_GB2312" w:eastAsia="仿宋_GB2312" w:cs="仿宋_GB2312"/>
                <w:szCs w:val="21"/>
              </w:rPr>
            </w:pPr>
            <w:r>
              <w:rPr>
                <w:rFonts w:hint="eastAsia" w:ascii="仿宋_GB2312" w:hAnsi="仿宋_GB2312" w:eastAsia="仿宋_GB2312" w:cs="仿宋_GB2312"/>
                <w:szCs w:val="21"/>
              </w:rPr>
              <w:t>维修技术人员及设备方面的保证措施及收费标准的要求：</w:t>
            </w:r>
          </w:p>
        </w:tc>
        <w:tc>
          <w:tcPr>
            <w:tcW w:w="2359" w:type="dxa"/>
            <w:vAlign w:val="center"/>
          </w:tcPr>
          <w:p w14:paraId="5AE4B730">
            <w:pPr>
              <w:adjustRightInd w:val="0"/>
              <w:snapToGrid w:val="0"/>
              <w:ind w:right="105" w:rightChars="50"/>
              <w:jc w:val="center"/>
              <w:rPr>
                <w:rFonts w:ascii="仿宋_GB2312" w:hAnsi="仿宋_GB2312" w:eastAsia="仿宋_GB2312" w:cs="仿宋_GB2312"/>
                <w:szCs w:val="21"/>
              </w:rPr>
            </w:pPr>
          </w:p>
        </w:tc>
        <w:tc>
          <w:tcPr>
            <w:tcW w:w="1003" w:type="dxa"/>
            <w:vAlign w:val="center"/>
          </w:tcPr>
          <w:p w14:paraId="345F9FFC">
            <w:pPr>
              <w:adjustRightInd w:val="0"/>
              <w:snapToGrid w:val="0"/>
              <w:ind w:right="105" w:rightChars="50"/>
              <w:jc w:val="center"/>
              <w:rPr>
                <w:rFonts w:ascii="仿宋_GB2312" w:hAnsi="仿宋_GB2312" w:eastAsia="仿宋_GB2312" w:cs="仿宋_GB2312"/>
                <w:szCs w:val="21"/>
              </w:rPr>
            </w:pPr>
          </w:p>
        </w:tc>
        <w:tc>
          <w:tcPr>
            <w:tcW w:w="893" w:type="dxa"/>
            <w:vAlign w:val="center"/>
          </w:tcPr>
          <w:p w14:paraId="115D4724">
            <w:pPr>
              <w:adjustRightInd w:val="0"/>
              <w:snapToGrid w:val="0"/>
              <w:ind w:right="105" w:rightChars="50"/>
              <w:jc w:val="center"/>
              <w:rPr>
                <w:rFonts w:ascii="仿宋_GB2312" w:hAnsi="仿宋_GB2312" w:eastAsia="仿宋_GB2312" w:cs="仿宋_GB2312"/>
                <w:szCs w:val="21"/>
              </w:rPr>
            </w:pPr>
          </w:p>
        </w:tc>
      </w:tr>
      <w:tr w14:paraId="5ABE6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47" w:type="dxa"/>
            <w:vAlign w:val="center"/>
          </w:tcPr>
          <w:p w14:paraId="408739C6">
            <w:pPr>
              <w:adjustRightInd w:val="0"/>
              <w:snapToGrid w:val="0"/>
              <w:ind w:right="105" w:rightChars="50"/>
              <w:jc w:val="center"/>
              <w:rPr>
                <w:rFonts w:ascii="仿宋_GB2312" w:hAnsi="仿宋_GB2312" w:eastAsia="仿宋_GB2312" w:cs="仿宋_GB2312"/>
                <w:szCs w:val="21"/>
              </w:rPr>
            </w:pPr>
          </w:p>
        </w:tc>
        <w:tc>
          <w:tcPr>
            <w:tcW w:w="3758" w:type="dxa"/>
            <w:vAlign w:val="center"/>
          </w:tcPr>
          <w:p w14:paraId="0004C6F7">
            <w:pPr>
              <w:adjustRightInd w:val="0"/>
              <w:snapToGrid w:val="0"/>
              <w:ind w:hanging="1"/>
              <w:rPr>
                <w:rFonts w:ascii="仿宋_GB2312" w:hAnsi="仿宋_GB2312" w:eastAsia="仿宋_GB2312" w:cs="仿宋_GB2312"/>
                <w:szCs w:val="21"/>
              </w:rPr>
            </w:pPr>
            <w:r>
              <w:rPr>
                <w:rFonts w:hint="eastAsia" w:ascii="仿宋_GB2312" w:hAnsi="仿宋_GB2312" w:eastAsia="仿宋_GB2312" w:cs="仿宋_GB2312"/>
                <w:szCs w:val="21"/>
              </w:rPr>
              <w:t>备品备件供应及优惠价格要求：</w:t>
            </w:r>
          </w:p>
        </w:tc>
        <w:tc>
          <w:tcPr>
            <w:tcW w:w="2359" w:type="dxa"/>
            <w:vAlign w:val="center"/>
          </w:tcPr>
          <w:p w14:paraId="331EA7AC">
            <w:pPr>
              <w:adjustRightInd w:val="0"/>
              <w:snapToGrid w:val="0"/>
              <w:ind w:right="105" w:rightChars="50"/>
              <w:jc w:val="center"/>
              <w:rPr>
                <w:rFonts w:ascii="仿宋_GB2312" w:hAnsi="仿宋_GB2312" w:eastAsia="仿宋_GB2312" w:cs="仿宋_GB2312"/>
                <w:szCs w:val="21"/>
              </w:rPr>
            </w:pPr>
          </w:p>
        </w:tc>
        <w:tc>
          <w:tcPr>
            <w:tcW w:w="1003" w:type="dxa"/>
            <w:vAlign w:val="center"/>
          </w:tcPr>
          <w:p w14:paraId="2BB83EF4">
            <w:pPr>
              <w:adjustRightInd w:val="0"/>
              <w:snapToGrid w:val="0"/>
              <w:ind w:right="105" w:rightChars="50"/>
              <w:jc w:val="center"/>
              <w:rPr>
                <w:rFonts w:ascii="仿宋_GB2312" w:hAnsi="仿宋_GB2312" w:eastAsia="仿宋_GB2312" w:cs="仿宋_GB2312"/>
                <w:szCs w:val="21"/>
              </w:rPr>
            </w:pPr>
          </w:p>
        </w:tc>
        <w:tc>
          <w:tcPr>
            <w:tcW w:w="893" w:type="dxa"/>
            <w:vAlign w:val="center"/>
          </w:tcPr>
          <w:p w14:paraId="581B968A">
            <w:pPr>
              <w:adjustRightInd w:val="0"/>
              <w:snapToGrid w:val="0"/>
              <w:ind w:right="105" w:rightChars="50"/>
              <w:jc w:val="center"/>
              <w:rPr>
                <w:rFonts w:ascii="仿宋_GB2312" w:hAnsi="仿宋_GB2312" w:eastAsia="仿宋_GB2312" w:cs="仿宋_GB2312"/>
                <w:szCs w:val="21"/>
              </w:rPr>
            </w:pPr>
          </w:p>
        </w:tc>
      </w:tr>
      <w:tr w14:paraId="0A165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47" w:type="dxa"/>
            <w:vAlign w:val="center"/>
          </w:tcPr>
          <w:p w14:paraId="253262A4">
            <w:pPr>
              <w:adjustRightInd w:val="0"/>
              <w:snapToGrid w:val="0"/>
              <w:ind w:right="105" w:rightChars="50"/>
              <w:jc w:val="center"/>
              <w:rPr>
                <w:rFonts w:ascii="仿宋_GB2312" w:hAnsi="仿宋_GB2312" w:eastAsia="仿宋_GB2312" w:cs="仿宋_GB2312"/>
                <w:szCs w:val="21"/>
              </w:rPr>
            </w:pPr>
          </w:p>
        </w:tc>
        <w:tc>
          <w:tcPr>
            <w:tcW w:w="3758" w:type="dxa"/>
            <w:vAlign w:val="center"/>
          </w:tcPr>
          <w:p w14:paraId="7C83ABDB">
            <w:pPr>
              <w:adjustRightInd w:val="0"/>
              <w:snapToGrid w:val="0"/>
              <w:ind w:hanging="1"/>
              <w:rPr>
                <w:rFonts w:ascii="仿宋_GB2312" w:hAnsi="仿宋_GB2312" w:eastAsia="仿宋_GB2312" w:cs="仿宋_GB2312"/>
                <w:szCs w:val="21"/>
              </w:rPr>
            </w:pPr>
            <w:r>
              <w:rPr>
                <w:rFonts w:hint="eastAsia" w:ascii="仿宋_GB2312" w:hAnsi="仿宋_GB2312" w:eastAsia="仿宋_GB2312" w:cs="仿宋_GB2312"/>
                <w:szCs w:val="21"/>
              </w:rPr>
              <w:t>培训人员现场培训（操作、维护等）：</w:t>
            </w:r>
          </w:p>
        </w:tc>
        <w:tc>
          <w:tcPr>
            <w:tcW w:w="2359" w:type="dxa"/>
            <w:vAlign w:val="center"/>
          </w:tcPr>
          <w:p w14:paraId="054E522B">
            <w:pPr>
              <w:adjustRightInd w:val="0"/>
              <w:snapToGrid w:val="0"/>
              <w:ind w:right="105" w:rightChars="50"/>
              <w:jc w:val="center"/>
              <w:rPr>
                <w:rFonts w:ascii="仿宋_GB2312" w:hAnsi="仿宋_GB2312" w:eastAsia="仿宋_GB2312" w:cs="仿宋_GB2312"/>
                <w:szCs w:val="21"/>
              </w:rPr>
            </w:pPr>
          </w:p>
        </w:tc>
        <w:tc>
          <w:tcPr>
            <w:tcW w:w="1003" w:type="dxa"/>
            <w:vAlign w:val="center"/>
          </w:tcPr>
          <w:p w14:paraId="28BCBEB1">
            <w:pPr>
              <w:adjustRightInd w:val="0"/>
              <w:snapToGrid w:val="0"/>
              <w:ind w:right="105" w:rightChars="50"/>
              <w:jc w:val="center"/>
              <w:rPr>
                <w:rFonts w:ascii="仿宋_GB2312" w:hAnsi="仿宋_GB2312" w:eastAsia="仿宋_GB2312" w:cs="仿宋_GB2312"/>
                <w:szCs w:val="21"/>
              </w:rPr>
            </w:pPr>
          </w:p>
        </w:tc>
        <w:tc>
          <w:tcPr>
            <w:tcW w:w="893" w:type="dxa"/>
            <w:vAlign w:val="center"/>
          </w:tcPr>
          <w:p w14:paraId="27C9CD05">
            <w:pPr>
              <w:adjustRightInd w:val="0"/>
              <w:snapToGrid w:val="0"/>
              <w:ind w:right="105" w:rightChars="50"/>
              <w:jc w:val="center"/>
              <w:rPr>
                <w:rFonts w:ascii="仿宋_GB2312" w:hAnsi="仿宋_GB2312" w:eastAsia="仿宋_GB2312" w:cs="仿宋_GB2312"/>
                <w:szCs w:val="21"/>
              </w:rPr>
            </w:pPr>
          </w:p>
        </w:tc>
      </w:tr>
      <w:tr w14:paraId="533D8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47" w:type="dxa"/>
            <w:vAlign w:val="center"/>
          </w:tcPr>
          <w:p w14:paraId="0BF4992D">
            <w:pPr>
              <w:adjustRightInd w:val="0"/>
              <w:snapToGrid w:val="0"/>
              <w:ind w:right="105" w:rightChars="50"/>
              <w:jc w:val="center"/>
              <w:rPr>
                <w:rFonts w:ascii="仿宋_GB2312" w:hAnsi="仿宋_GB2312" w:eastAsia="仿宋_GB2312" w:cs="仿宋_GB2312"/>
                <w:szCs w:val="21"/>
              </w:rPr>
            </w:pPr>
          </w:p>
        </w:tc>
        <w:tc>
          <w:tcPr>
            <w:tcW w:w="3758" w:type="dxa"/>
            <w:vAlign w:val="center"/>
          </w:tcPr>
          <w:p w14:paraId="7F538C03">
            <w:pPr>
              <w:adjustRightInd w:val="0"/>
              <w:snapToGrid w:val="0"/>
              <w:ind w:hanging="1"/>
              <w:rPr>
                <w:rFonts w:ascii="仿宋_GB2312" w:hAnsi="仿宋_GB2312" w:eastAsia="仿宋_GB2312" w:cs="仿宋_GB2312"/>
                <w:szCs w:val="21"/>
              </w:rPr>
            </w:pPr>
            <w:r>
              <w:rPr>
                <w:rFonts w:hint="eastAsia" w:ascii="仿宋_GB2312" w:hAnsi="仿宋_GB2312" w:eastAsia="仿宋_GB2312" w:cs="仿宋_GB2312"/>
                <w:szCs w:val="21"/>
              </w:rPr>
              <w:t>系统扩展、升级服务要求：</w:t>
            </w:r>
          </w:p>
        </w:tc>
        <w:tc>
          <w:tcPr>
            <w:tcW w:w="2359" w:type="dxa"/>
            <w:vAlign w:val="center"/>
          </w:tcPr>
          <w:p w14:paraId="0F779320">
            <w:pPr>
              <w:adjustRightInd w:val="0"/>
              <w:snapToGrid w:val="0"/>
              <w:ind w:right="105" w:rightChars="50"/>
              <w:jc w:val="center"/>
              <w:rPr>
                <w:rFonts w:ascii="仿宋_GB2312" w:hAnsi="仿宋_GB2312" w:eastAsia="仿宋_GB2312" w:cs="仿宋_GB2312"/>
                <w:szCs w:val="21"/>
              </w:rPr>
            </w:pPr>
          </w:p>
        </w:tc>
        <w:tc>
          <w:tcPr>
            <w:tcW w:w="1003" w:type="dxa"/>
            <w:vAlign w:val="center"/>
          </w:tcPr>
          <w:p w14:paraId="0CABEAC6">
            <w:pPr>
              <w:adjustRightInd w:val="0"/>
              <w:snapToGrid w:val="0"/>
              <w:ind w:right="105" w:rightChars="50"/>
              <w:jc w:val="center"/>
              <w:rPr>
                <w:rFonts w:ascii="仿宋_GB2312" w:hAnsi="仿宋_GB2312" w:eastAsia="仿宋_GB2312" w:cs="仿宋_GB2312"/>
                <w:szCs w:val="21"/>
              </w:rPr>
            </w:pPr>
          </w:p>
        </w:tc>
        <w:tc>
          <w:tcPr>
            <w:tcW w:w="893" w:type="dxa"/>
            <w:vAlign w:val="center"/>
          </w:tcPr>
          <w:p w14:paraId="06D1B593">
            <w:pPr>
              <w:adjustRightInd w:val="0"/>
              <w:snapToGrid w:val="0"/>
              <w:ind w:right="105" w:rightChars="50"/>
              <w:jc w:val="center"/>
              <w:rPr>
                <w:rFonts w:ascii="仿宋_GB2312" w:hAnsi="仿宋_GB2312" w:eastAsia="仿宋_GB2312" w:cs="仿宋_GB2312"/>
                <w:szCs w:val="21"/>
              </w:rPr>
            </w:pPr>
          </w:p>
        </w:tc>
      </w:tr>
      <w:tr w14:paraId="323CB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547" w:type="dxa"/>
            <w:vAlign w:val="center"/>
          </w:tcPr>
          <w:p w14:paraId="07BEBFB9">
            <w:pPr>
              <w:adjustRightInd w:val="0"/>
              <w:snapToGrid w:val="0"/>
              <w:ind w:right="105" w:rightChars="50"/>
              <w:jc w:val="center"/>
              <w:rPr>
                <w:rFonts w:ascii="仿宋_GB2312" w:hAnsi="仿宋_GB2312" w:eastAsia="仿宋_GB2312" w:cs="仿宋_GB2312"/>
                <w:szCs w:val="21"/>
              </w:rPr>
            </w:pPr>
          </w:p>
        </w:tc>
        <w:tc>
          <w:tcPr>
            <w:tcW w:w="3758" w:type="dxa"/>
            <w:vAlign w:val="center"/>
          </w:tcPr>
          <w:p w14:paraId="44D36A90">
            <w:pPr>
              <w:adjustRightInd w:val="0"/>
              <w:snapToGrid w:val="0"/>
              <w:ind w:hanging="1"/>
              <w:rPr>
                <w:rFonts w:ascii="仿宋_GB2312" w:hAnsi="仿宋_GB2312" w:eastAsia="仿宋_GB2312" w:cs="仿宋_GB2312"/>
                <w:szCs w:val="21"/>
              </w:rPr>
            </w:pPr>
            <w:r>
              <w:rPr>
                <w:rFonts w:hint="eastAsia" w:ascii="仿宋_GB2312" w:hAnsi="仿宋_GB2312" w:eastAsia="仿宋_GB2312" w:cs="仿宋_GB2312"/>
                <w:szCs w:val="21"/>
              </w:rPr>
              <w:t>其它</w:t>
            </w:r>
          </w:p>
        </w:tc>
        <w:tc>
          <w:tcPr>
            <w:tcW w:w="2359" w:type="dxa"/>
            <w:vAlign w:val="center"/>
          </w:tcPr>
          <w:p w14:paraId="4EC382A7">
            <w:pPr>
              <w:adjustRightInd w:val="0"/>
              <w:snapToGrid w:val="0"/>
              <w:ind w:left="-37" w:leftChars="-18"/>
              <w:jc w:val="left"/>
              <w:rPr>
                <w:rFonts w:ascii="仿宋_GB2312" w:hAnsi="仿宋_GB2312" w:eastAsia="仿宋_GB2312" w:cs="仿宋_GB2312"/>
                <w:szCs w:val="21"/>
              </w:rPr>
            </w:pPr>
            <w:r>
              <w:rPr>
                <w:rFonts w:hint="eastAsia" w:ascii="仿宋_GB2312" w:hAnsi="仿宋_GB2312" w:eastAsia="仿宋_GB2312" w:cs="仿宋_GB2312"/>
                <w:szCs w:val="21"/>
              </w:rPr>
              <w:t>采购单位未提供需求而投标人认为需说明及补充的内容在此填列</w:t>
            </w:r>
          </w:p>
        </w:tc>
        <w:tc>
          <w:tcPr>
            <w:tcW w:w="1003" w:type="dxa"/>
            <w:vAlign w:val="center"/>
          </w:tcPr>
          <w:p w14:paraId="7D1E13C7">
            <w:pPr>
              <w:adjustRightInd w:val="0"/>
              <w:snapToGrid w:val="0"/>
              <w:ind w:right="105" w:rightChars="50"/>
              <w:jc w:val="center"/>
              <w:rPr>
                <w:rFonts w:ascii="仿宋_GB2312" w:hAnsi="仿宋_GB2312" w:eastAsia="仿宋_GB2312" w:cs="仿宋_GB2312"/>
                <w:szCs w:val="21"/>
              </w:rPr>
            </w:pPr>
          </w:p>
        </w:tc>
        <w:tc>
          <w:tcPr>
            <w:tcW w:w="893" w:type="dxa"/>
            <w:vAlign w:val="center"/>
          </w:tcPr>
          <w:p w14:paraId="37CEA1D1">
            <w:pPr>
              <w:adjustRightInd w:val="0"/>
              <w:snapToGrid w:val="0"/>
              <w:ind w:right="105" w:rightChars="50"/>
              <w:jc w:val="center"/>
              <w:rPr>
                <w:rFonts w:ascii="仿宋_GB2312" w:hAnsi="仿宋_GB2312" w:eastAsia="仿宋_GB2312" w:cs="仿宋_GB2312"/>
                <w:szCs w:val="21"/>
              </w:rPr>
            </w:pPr>
          </w:p>
        </w:tc>
      </w:tr>
    </w:tbl>
    <w:p w14:paraId="3B62C793">
      <w:pPr>
        <w:adjustRightInd w:val="0"/>
        <w:snapToGrid w:val="0"/>
        <w:spacing w:line="36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b/>
          <w:szCs w:val="21"/>
        </w:rPr>
        <w:t>填表要求：</w:t>
      </w:r>
    </w:p>
    <w:p w14:paraId="7C851736">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1．“投标文件响应内容”一栏由投标人按照招标文件要求填写，进行响应。</w:t>
      </w:r>
    </w:p>
    <w:p w14:paraId="4FDF02BD">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2．“偏离程度”一栏根据“投标文件响应内容”与招标文件逐项对照的结果填写。偏离必须用 “正偏离、负偏离或无偏离”三个名称中的一种进行标注。</w:t>
      </w:r>
    </w:p>
    <w:p w14:paraId="537B89FC">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3．“偏离说明”一栏由投标人对偏离的情况做详细说明。</w:t>
      </w:r>
    </w:p>
    <w:p w14:paraId="3580EF3F">
      <w:pPr>
        <w:adjustRightInd w:val="0"/>
        <w:snapToGrid w:val="0"/>
        <w:spacing w:line="360" w:lineRule="auto"/>
        <w:rPr>
          <w:rFonts w:ascii="仿宋_GB2312" w:hAnsi="仿宋_GB2312" w:eastAsia="仿宋_GB2312" w:cs="仿宋_GB2312"/>
          <w:szCs w:val="21"/>
        </w:rPr>
      </w:pPr>
    </w:p>
    <w:p w14:paraId="17B8BB96">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14:paraId="5126EBA5">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14:paraId="45FD8636">
      <w:pPr>
        <w:snapToGrid w:val="0"/>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14:paraId="6A2EA3C9">
      <w:pPr>
        <w:pStyle w:val="5"/>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格式15</w:t>
      </w:r>
    </w:p>
    <w:p w14:paraId="1034E66F">
      <w:pPr>
        <w:adjustRightInd w:val="0"/>
        <w:snapToGrid w:val="0"/>
        <w:spacing w:before="319" w:beforeLines="100" w:after="319" w:afterLines="100" w:line="360" w:lineRule="auto"/>
        <w:ind w:right="105" w:rightChars="50"/>
        <w:jc w:val="center"/>
        <w:rPr>
          <w:rFonts w:ascii="仿宋_GB2312" w:hAnsi="仿宋_GB2312" w:eastAsia="仿宋_GB2312" w:cs="仿宋_GB2312"/>
          <w:b/>
          <w:bCs/>
          <w:sz w:val="32"/>
          <w:szCs w:val="32"/>
        </w:rPr>
      </w:pPr>
      <w:bookmarkStart w:id="96" w:name="_Toc20929_WPSOffice_Level2"/>
      <w:bookmarkStart w:id="97" w:name="_Toc9410_WPSOffice_Level2"/>
      <w:r>
        <w:rPr>
          <w:rFonts w:hint="eastAsia" w:ascii="仿宋_GB2312" w:hAnsi="仿宋_GB2312" w:eastAsia="仿宋_GB2312" w:cs="仿宋_GB2312"/>
          <w:b/>
          <w:bCs/>
          <w:sz w:val="32"/>
          <w:szCs w:val="32"/>
        </w:rPr>
        <w:t>投标人关联单位的说明</w:t>
      </w:r>
      <w:bookmarkEnd w:id="96"/>
      <w:bookmarkEnd w:id="97"/>
    </w:p>
    <w:p w14:paraId="1E286A83">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说明：投标人应当如实披露与本单位存在下列关联关系的单位名称：</w:t>
      </w:r>
    </w:p>
    <w:p w14:paraId="1672B552">
      <w:pPr>
        <w:adjustRightInd w:val="0"/>
        <w:snapToGrid w:val="0"/>
        <w:spacing w:line="360" w:lineRule="auto"/>
        <w:ind w:right="105" w:rightChars="50" w:firstLine="476" w:firstLineChars="227"/>
        <w:jc w:val="left"/>
        <w:rPr>
          <w:rFonts w:ascii="仿宋_GB2312" w:hAnsi="仿宋_GB2312" w:eastAsia="仿宋_GB2312" w:cs="仿宋_GB2312"/>
          <w:szCs w:val="21"/>
        </w:rPr>
      </w:pPr>
      <w:bookmarkStart w:id="98" w:name="_Toc2074_WPSOffice_Level2"/>
      <w:bookmarkStart w:id="99" w:name="_Toc31070_WPSOffice_Level2"/>
      <w:r>
        <w:rPr>
          <w:rFonts w:hint="eastAsia" w:ascii="仿宋_GB2312" w:hAnsi="仿宋_GB2312" w:eastAsia="仿宋_GB2312" w:cs="仿宋_GB2312"/>
          <w:szCs w:val="21"/>
        </w:rPr>
        <w:t>（1）与投标人单位法定代表人（或非法人组织负责人）为同一人的其他单位；</w:t>
      </w:r>
      <w:bookmarkEnd w:id="98"/>
      <w:bookmarkEnd w:id="99"/>
    </w:p>
    <w:p w14:paraId="0C8C5D66">
      <w:pPr>
        <w:adjustRightInd w:val="0"/>
        <w:snapToGrid w:val="0"/>
        <w:spacing w:line="360" w:lineRule="auto"/>
        <w:ind w:right="105" w:rightChars="50" w:firstLine="476" w:firstLineChars="227"/>
        <w:jc w:val="left"/>
        <w:rPr>
          <w:rFonts w:ascii="仿宋_GB2312" w:hAnsi="仿宋_GB2312" w:eastAsia="仿宋_GB2312" w:cs="仿宋_GB2312"/>
          <w:szCs w:val="21"/>
        </w:rPr>
      </w:pPr>
      <w:bookmarkStart w:id="100" w:name="_Toc27053_WPSOffice_Level2"/>
      <w:bookmarkStart w:id="101" w:name="_Toc889_WPSOffice_Level2"/>
      <w:r>
        <w:rPr>
          <w:rFonts w:hint="eastAsia" w:ascii="仿宋_GB2312" w:hAnsi="仿宋_GB2312" w:eastAsia="仿宋_GB2312" w:cs="仿宋_GB2312"/>
          <w:szCs w:val="21"/>
        </w:rPr>
        <w:t>（2）与投标人存在直接控股、管理关系的其他单位。</w:t>
      </w:r>
      <w:bookmarkEnd w:id="100"/>
      <w:bookmarkEnd w:id="101"/>
    </w:p>
    <w:p w14:paraId="2E070F12">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3AD15D49">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注：若无此情形，写“无”即可</w:t>
      </w:r>
    </w:p>
    <w:p w14:paraId="326DE31C">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5FB8D8BF">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05F3A452">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4EC3F99F">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02EFE6F0">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77038CDB">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320EA512">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5FB6994F">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14:paraId="60BEA134">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14:paraId="656617BA">
      <w:pPr>
        <w:adjustRightInd w:val="0"/>
        <w:snapToGrid w:val="0"/>
        <w:spacing w:line="480" w:lineRule="auto"/>
        <w:ind w:right="105" w:rightChars="50"/>
        <w:jc w:val="left"/>
        <w:rPr>
          <w:rFonts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14:paraId="3DE658A8">
      <w:pPr>
        <w:adjustRightInd w:val="0"/>
        <w:snapToGrid w:val="0"/>
        <w:spacing w:line="360" w:lineRule="auto"/>
        <w:ind w:right="105" w:rightChars="50"/>
        <w:jc w:val="left"/>
        <w:rPr>
          <w:rFonts w:ascii="仿宋_GB2312" w:hAnsi="仿宋_GB2312" w:eastAsia="仿宋_GB2312" w:cs="仿宋_GB2312"/>
          <w:u w:val="single"/>
        </w:rPr>
      </w:pPr>
    </w:p>
    <w:p w14:paraId="6DEEC5D8">
      <w:pPr>
        <w:adjustRightInd w:val="0"/>
        <w:snapToGrid w:val="0"/>
        <w:spacing w:line="360" w:lineRule="auto"/>
        <w:ind w:right="105" w:rightChars="50"/>
        <w:jc w:val="left"/>
        <w:rPr>
          <w:rFonts w:ascii="仿宋_GB2312" w:hAnsi="仿宋_GB2312" w:eastAsia="仿宋_GB2312" w:cs="仿宋_GB2312"/>
          <w:u w:val="single"/>
        </w:rPr>
      </w:pPr>
    </w:p>
    <w:p w14:paraId="09784ADD">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br w:type="page"/>
      </w:r>
    </w:p>
    <w:p w14:paraId="736BFB52">
      <w:pPr>
        <w:pStyle w:val="5"/>
        <w:adjustRightInd w:val="0"/>
        <w:snapToGrid w:val="0"/>
        <w:spacing w:before="0" w:after="0" w:line="240" w:lineRule="auto"/>
        <w:jc w:val="left"/>
        <w:rPr>
          <w:rFonts w:ascii="仿宋_GB2312" w:hAnsi="仿宋_GB2312" w:eastAsia="仿宋_GB2312" w:cs="仿宋_GB2312"/>
          <w:szCs w:val="28"/>
        </w:rPr>
      </w:pPr>
      <w:bookmarkStart w:id="102" w:name="_Hlk73969800"/>
      <w:r>
        <w:rPr>
          <w:rFonts w:hint="eastAsia" w:ascii="仿宋_GB2312" w:hAnsi="仿宋_GB2312" w:eastAsia="仿宋_GB2312" w:cs="仿宋_GB2312"/>
          <w:szCs w:val="28"/>
        </w:rPr>
        <w:t>格式16</w:t>
      </w:r>
    </w:p>
    <w:p w14:paraId="1D488081">
      <w:pPr>
        <w:adjustRightInd w:val="0"/>
        <w:snapToGrid w:val="0"/>
        <w:spacing w:before="319" w:beforeLines="100" w:after="319" w:afterLines="100" w:line="360" w:lineRule="auto"/>
        <w:ind w:right="105" w:rightChars="50"/>
        <w:jc w:val="center"/>
        <w:rPr>
          <w:rFonts w:ascii="仿宋_GB2312" w:hAnsi="仿宋_GB2312" w:eastAsia="仿宋_GB2312" w:cs="仿宋_GB2312"/>
          <w:b/>
          <w:bCs/>
          <w:sz w:val="32"/>
          <w:szCs w:val="32"/>
        </w:rPr>
      </w:pPr>
      <w:bookmarkStart w:id="103" w:name="_Toc4541_WPSOffice_Level2"/>
      <w:bookmarkStart w:id="104" w:name="_Toc19164_WPSOffice_Level2"/>
      <w:r>
        <w:rPr>
          <w:rFonts w:hint="eastAsia" w:ascii="仿宋_GB2312" w:hAnsi="仿宋_GB2312" w:eastAsia="仿宋_GB2312" w:cs="仿宋_GB2312"/>
          <w:b/>
          <w:bCs/>
          <w:sz w:val="32"/>
          <w:szCs w:val="32"/>
        </w:rPr>
        <w:t>中小企业声明函</w:t>
      </w:r>
      <w:bookmarkEnd w:id="103"/>
      <w:bookmarkEnd w:id="104"/>
      <w:r>
        <w:rPr>
          <w:rFonts w:hint="eastAsia" w:ascii="仿宋_GB2312" w:hAnsi="仿宋_GB2312" w:eastAsia="仿宋_GB2312" w:cs="仿宋_GB2312"/>
          <w:b/>
          <w:bCs/>
          <w:sz w:val="32"/>
          <w:szCs w:val="32"/>
        </w:rPr>
        <w:t>（工程、服务）</w:t>
      </w:r>
    </w:p>
    <w:p w14:paraId="169DE817">
      <w:pPr>
        <w:adjustRightInd w:val="0"/>
        <w:snapToGrid w:val="0"/>
        <w:spacing w:line="480" w:lineRule="auto"/>
        <w:ind w:right="105" w:rightChars="50"/>
        <w:jc w:val="left"/>
        <w:rPr>
          <w:rFonts w:ascii="仿宋_GB2312" w:hAnsi="仿宋_GB2312" w:eastAsia="仿宋_GB2312" w:cs="仿宋_GB2312"/>
          <w:kern w:val="0"/>
          <w:szCs w:val="21"/>
        </w:rPr>
      </w:pPr>
    </w:p>
    <w:p w14:paraId="701D8788">
      <w:pPr>
        <w:adjustRightInd w:val="0"/>
        <w:snapToGrid w:val="0"/>
        <w:spacing w:line="480" w:lineRule="auto"/>
        <w:ind w:right="105" w:rightChars="50" w:firstLine="420" w:firstLineChars="20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本公司（联合体）郑重声明，根据《政府采购促进中小企业发展管理办法》（财库</w:t>
      </w:r>
      <w:r>
        <w:rPr>
          <w:rFonts w:hint="eastAsia" w:ascii="微软雅黑" w:hAnsi="微软雅黑" w:eastAsia="微软雅黑" w:cs="微软雅黑"/>
          <w:kern w:val="0"/>
          <w:szCs w:val="21"/>
        </w:rPr>
        <w:t>﹝</w:t>
      </w:r>
      <w:r>
        <w:rPr>
          <w:rFonts w:hint="eastAsia" w:ascii="仿宋_GB2312" w:hAnsi="仿宋_GB2312" w:eastAsia="仿宋_GB2312" w:cs="仿宋_GB2312"/>
          <w:kern w:val="0"/>
          <w:szCs w:val="21"/>
        </w:rPr>
        <w:t>2020</w:t>
      </w:r>
      <w:r>
        <w:rPr>
          <w:rFonts w:hint="eastAsia" w:ascii="微软雅黑" w:hAnsi="微软雅黑" w:eastAsia="微软雅黑" w:cs="微软雅黑"/>
          <w:kern w:val="0"/>
          <w:szCs w:val="21"/>
        </w:rPr>
        <w:t>﹞</w:t>
      </w:r>
      <w:r>
        <w:rPr>
          <w:rFonts w:hint="eastAsia" w:ascii="仿宋_GB2312" w:hAnsi="仿宋_GB2312" w:eastAsia="仿宋_GB2312" w:cs="仿宋_GB2312"/>
          <w:kern w:val="0"/>
          <w:szCs w:val="21"/>
        </w:rPr>
        <w:t>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2E6D30BC">
      <w:pPr>
        <w:adjustRightInd w:val="0"/>
        <w:snapToGrid w:val="0"/>
        <w:spacing w:line="480" w:lineRule="auto"/>
        <w:ind w:right="105" w:rightChars="50" w:firstLine="420" w:firstLineChars="20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1.（标的名称），属于（采购文件中明确的所属行业）；承建（承接）企业为（企业名称），从业人员     人，营业收入为万元，资产总额为      万元1，属于（中型企业、小型企业、微型企业）； </w:t>
      </w:r>
    </w:p>
    <w:p w14:paraId="3F562453">
      <w:pPr>
        <w:adjustRightInd w:val="0"/>
        <w:snapToGrid w:val="0"/>
        <w:spacing w:line="480" w:lineRule="auto"/>
        <w:ind w:right="105" w:rightChars="5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 xml:space="preserve"> 2.（标的名称） ，属于（采购文件中明确的所属行业）；承建（承接）企业为（企业名称），从业人员      人，营业收入为         万元，资产总额为    万元，属于（中型企业、小型企业、微型企业）； </w:t>
      </w:r>
    </w:p>
    <w:p w14:paraId="5566DDD1">
      <w:pPr>
        <w:adjustRightInd w:val="0"/>
        <w:snapToGrid w:val="0"/>
        <w:spacing w:line="480" w:lineRule="auto"/>
        <w:ind w:right="105" w:rightChars="50" w:firstLine="420" w:firstLineChars="200"/>
        <w:jc w:val="left"/>
        <w:rPr>
          <w:rFonts w:ascii="仿宋_GB2312" w:hAnsi="仿宋_GB2312" w:eastAsia="仿宋_GB2312" w:cs="仿宋_GB2312"/>
          <w:kern w:val="0"/>
          <w:szCs w:val="21"/>
        </w:rPr>
      </w:pPr>
      <w:r>
        <w:rPr>
          <w:rFonts w:ascii="仿宋_GB2312" w:hAnsi="仿宋_GB2312" w:eastAsia="仿宋_GB2312" w:cs="仿宋_GB2312"/>
          <w:kern w:val="0"/>
          <w:szCs w:val="21"/>
        </w:rPr>
        <w:t xml:space="preserve">…… </w:t>
      </w:r>
    </w:p>
    <w:p w14:paraId="70DFE2F3">
      <w:pPr>
        <w:adjustRightInd w:val="0"/>
        <w:snapToGrid w:val="0"/>
        <w:spacing w:line="480" w:lineRule="auto"/>
        <w:ind w:right="105" w:rightChars="5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以上企业，不属于大企业的分支机构，不存在控股股东为大企业的情形，也不存在与大企业的负责人为同一人的情形。</w:t>
      </w:r>
    </w:p>
    <w:p w14:paraId="41F41F61">
      <w:pPr>
        <w:adjustRightInd w:val="0"/>
        <w:snapToGrid w:val="0"/>
        <w:spacing w:line="480" w:lineRule="auto"/>
        <w:ind w:right="105" w:rightChars="50" w:firstLine="420" w:firstLineChars="20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本企业对上述声明内容的真实性负责。如有虚假，将依 法承担相应责任。</w:t>
      </w:r>
    </w:p>
    <w:p w14:paraId="0406885F">
      <w:pPr>
        <w:adjustRightInd w:val="0"/>
        <w:snapToGrid w:val="0"/>
        <w:spacing w:line="480" w:lineRule="auto"/>
        <w:ind w:right="105" w:rightChars="50" w:firstLine="420" w:firstLineChars="20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w:t>
      </w:r>
    </w:p>
    <w:p w14:paraId="0891FE8E">
      <w:pPr>
        <w:adjustRightInd w:val="0"/>
        <w:snapToGrid w:val="0"/>
        <w:spacing w:line="480" w:lineRule="auto"/>
        <w:ind w:right="105" w:rightChars="50"/>
        <w:jc w:val="right"/>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企业名称（盖章）：  </w:t>
      </w:r>
    </w:p>
    <w:p w14:paraId="098BE96E">
      <w:pPr>
        <w:adjustRightInd w:val="0"/>
        <w:snapToGrid w:val="0"/>
        <w:spacing w:line="480" w:lineRule="auto"/>
        <w:ind w:right="105" w:rightChars="50"/>
        <w:jc w:val="right"/>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日 期： </w:t>
      </w:r>
    </w:p>
    <w:p w14:paraId="7C6A9BB3">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kern w:val="0"/>
          <w:szCs w:val="21"/>
        </w:rPr>
        <w:t>1从业人员、营业收入、资产总额填报上一年度数据，无上一年度数据的新成立企业可不填报。</w:t>
      </w:r>
    </w:p>
    <w:bookmarkEnd w:id="102"/>
    <w:p w14:paraId="4BC856D3">
      <w:pPr>
        <w:adjustRightInd w:val="0"/>
        <w:snapToGrid w:val="0"/>
        <w:spacing w:line="480" w:lineRule="auto"/>
        <w:ind w:right="105" w:rightChars="50"/>
        <w:jc w:val="left"/>
        <w:rPr>
          <w:rFonts w:ascii="仿宋_GB2312" w:hAnsi="仿宋_GB2312" w:eastAsia="仿宋_GB2312" w:cs="仿宋_GB2312"/>
          <w:szCs w:val="21"/>
          <w:u w:val="single"/>
        </w:rPr>
      </w:pPr>
    </w:p>
    <w:p w14:paraId="7F681E40">
      <w:pPr>
        <w:adjustRightInd w:val="0"/>
        <w:snapToGrid w:val="0"/>
        <w:spacing w:line="480" w:lineRule="auto"/>
        <w:ind w:right="105" w:rightChars="50"/>
        <w:jc w:val="left"/>
        <w:rPr>
          <w:rFonts w:ascii="仿宋_GB2312" w:hAnsi="仿宋_GB2312" w:eastAsia="仿宋_GB2312" w:cs="仿宋_GB2312"/>
          <w:szCs w:val="21"/>
        </w:rPr>
      </w:pPr>
    </w:p>
    <w:p w14:paraId="0189B2B7">
      <w:pPr>
        <w:pStyle w:val="5"/>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格式17</w:t>
      </w:r>
    </w:p>
    <w:p w14:paraId="66535318">
      <w:pPr>
        <w:adjustRightInd w:val="0"/>
        <w:snapToGrid w:val="0"/>
        <w:spacing w:before="319" w:beforeLines="100" w:line="360" w:lineRule="auto"/>
        <w:ind w:right="105" w:rightChars="50"/>
        <w:jc w:val="center"/>
        <w:rPr>
          <w:rFonts w:ascii="仿宋_GB2312" w:hAnsi="仿宋_GB2312" w:eastAsia="仿宋_GB2312" w:cs="仿宋_GB2312"/>
          <w:b/>
          <w:bCs/>
          <w:sz w:val="32"/>
          <w:szCs w:val="32"/>
        </w:rPr>
      </w:pPr>
      <w:bookmarkStart w:id="105" w:name="_Toc21675_WPSOffice_Level2"/>
      <w:bookmarkStart w:id="106" w:name="_Toc25502_WPSOffice_Level2"/>
      <w:r>
        <w:rPr>
          <w:rFonts w:hint="eastAsia" w:ascii="仿宋_GB2312" w:hAnsi="仿宋_GB2312" w:eastAsia="仿宋_GB2312" w:cs="仿宋_GB2312"/>
          <w:b/>
          <w:bCs/>
          <w:sz w:val="32"/>
          <w:szCs w:val="32"/>
        </w:rPr>
        <w:t>制造商企业（单位）类型声明函</w:t>
      </w:r>
      <w:bookmarkEnd w:id="105"/>
      <w:bookmarkEnd w:id="106"/>
    </w:p>
    <w:p w14:paraId="16C297B2">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7E6720BF">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本企业（单位）作为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项目的</w:t>
      </w:r>
      <w:r>
        <w:rPr>
          <w:rFonts w:hint="eastAsia" w:ascii="仿宋_GB2312" w:hAnsi="仿宋_GB2312" w:eastAsia="仿宋_GB2312" w:cs="仿宋_GB2312"/>
          <w:b/>
          <w:bCs/>
          <w:szCs w:val="21"/>
        </w:rPr>
        <w:t>伴随货物</w:t>
      </w:r>
      <w:r>
        <w:rPr>
          <w:rFonts w:hint="eastAsia" w:ascii="仿宋_GB2312" w:hAnsi="仿宋_GB2312" w:eastAsia="仿宋_GB2312" w:cs="仿宋_GB2312"/>
          <w:szCs w:val="21"/>
        </w:rPr>
        <w:t>制造商，参加政府采购活动。根据《政府采购促进中小企业发展管理办法》（财库﹝2020﹞46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号）的有关规定，作出如下声明：</w:t>
      </w:r>
    </w:p>
    <w:p w14:paraId="457D76A3">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06D7B569">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本企业（单位）为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（请填写：中型、小型、微型）企业。</w:t>
      </w:r>
    </w:p>
    <w:p w14:paraId="2D761A73">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本企业（单位）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（请填写：是、不是）监狱企业。后附省级以上监狱管理局、戒毒管理局（含新疆生产建设兵团）出具的属于监狱企业的证明文件。</w:t>
      </w:r>
    </w:p>
    <w:p w14:paraId="3DF1F72D">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本企业（单位）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（请填写：是、不是）残疾人福利性单位。</w:t>
      </w:r>
    </w:p>
    <w:p w14:paraId="5BC73772">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本次投标提供的伴随货物（详见下表）是本企业（单位）制造的。</w:t>
      </w:r>
    </w:p>
    <w:p w14:paraId="12EC7366">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本企业（单位）对上述声明的真实性负责。如有虚假，将依法承担相应责任。</w:t>
      </w:r>
    </w:p>
    <w:p w14:paraId="71CDF981">
      <w:pPr>
        <w:adjustRightInd w:val="0"/>
        <w:snapToGrid w:val="0"/>
        <w:spacing w:line="360" w:lineRule="auto"/>
        <w:ind w:right="105" w:rightChars="50" w:firstLine="476" w:firstLineChars="227"/>
        <w:jc w:val="left"/>
        <w:rPr>
          <w:rFonts w:ascii="仿宋_GB2312" w:hAnsi="仿宋_GB2312" w:eastAsia="仿宋_GB2312" w:cs="仿宋_GB2312"/>
          <w:szCs w:val="21"/>
        </w:rPr>
      </w:pPr>
    </w:p>
    <w:tbl>
      <w:tblPr>
        <w:tblStyle w:val="21"/>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14:paraId="6368E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53" w:type="dxa"/>
            <w:vAlign w:val="center"/>
          </w:tcPr>
          <w:p w14:paraId="51C00148">
            <w:pPr>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582" w:type="dxa"/>
            <w:vAlign w:val="center"/>
          </w:tcPr>
          <w:p w14:paraId="5BE0B4EE">
            <w:pPr>
              <w:jc w:val="center"/>
              <w:rPr>
                <w:rFonts w:ascii="仿宋_GB2312" w:hAnsi="仿宋_GB2312" w:eastAsia="仿宋_GB2312" w:cs="仿宋_GB2312"/>
                <w:szCs w:val="21"/>
              </w:rPr>
            </w:pPr>
            <w:r>
              <w:rPr>
                <w:rFonts w:hint="eastAsia" w:ascii="仿宋_GB2312" w:hAnsi="仿宋_GB2312" w:eastAsia="仿宋_GB2312" w:cs="仿宋_GB2312"/>
                <w:szCs w:val="21"/>
              </w:rPr>
              <w:t>品  名</w:t>
            </w:r>
          </w:p>
        </w:tc>
        <w:tc>
          <w:tcPr>
            <w:tcW w:w="1587" w:type="dxa"/>
            <w:vAlign w:val="center"/>
          </w:tcPr>
          <w:p w14:paraId="3BB2E826">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1427" w:type="dxa"/>
            <w:vAlign w:val="center"/>
          </w:tcPr>
          <w:p w14:paraId="0857660A">
            <w:pPr>
              <w:jc w:val="center"/>
              <w:rPr>
                <w:rFonts w:ascii="仿宋_GB2312" w:hAnsi="仿宋_GB2312" w:eastAsia="仿宋_GB2312" w:cs="仿宋_GB2312"/>
                <w:szCs w:val="21"/>
              </w:rPr>
            </w:pPr>
            <w:r>
              <w:rPr>
                <w:rFonts w:hint="eastAsia" w:ascii="仿宋_GB2312" w:hAnsi="仿宋_GB2312" w:eastAsia="仿宋_GB2312" w:cs="仿宋_GB2312"/>
                <w:szCs w:val="21"/>
              </w:rPr>
              <w:t>规格</w:t>
            </w:r>
          </w:p>
          <w:p w14:paraId="05B93270">
            <w:pPr>
              <w:jc w:val="center"/>
              <w:rPr>
                <w:rFonts w:ascii="仿宋_GB2312" w:hAnsi="仿宋_GB2312" w:eastAsia="仿宋_GB2312" w:cs="仿宋_GB2312"/>
                <w:szCs w:val="21"/>
              </w:rPr>
            </w:pPr>
            <w:r>
              <w:rPr>
                <w:rFonts w:hint="eastAsia" w:ascii="仿宋_GB2312" w:hAnsi="仿宋_GB2312" w:eastAsia="仿宋_GB2312" w:cs="仿宋_GB2312"/>
                <w:szCs w:val="21"/>
              </w:rPr>
              <w:t>型号</w:t>
            </w:r>
          </w:p>
        </w:tc>
        <w:tc>
          <w:tcPr>
            <w:tcW w:w="1427" w:type="dxa"/>
            <w:vAlign w:val="center"/>
          </w:tcPr>
          <w:p w14:paraId="12D3C9F9">
            <w:pPr>
              <w:jc w:val="center"/>
              <w:rPr>
                <w:rFonts w:ascii="仿宋_GB2312" w:hAnsi="仿宋_GB2312" w:eastAsia="仿宋_GB2312" w:cs="仿宋_GB2312"/>
                <w:szCs w:val="21"/>
              </w:rPr>
            </w:pPr>
            <w:r>
              <w:rPr>
                <w:rFonts w:hint="eastAsia" w:ascii="仿宋_GB2312" w:hAnsi="仿宋_GB2312" w:eastAsia="仿宋_GB2312" w:cs="仿宋_GB2312"/>
                <w:szCs w:val="21"/>
              </w:rPr>
              <w:t>生产</w:t>
            </w:r>
          </w:p>
          <w:p w14:paraId="5DDA99CC">
            <w:pPr>
              <w:jc w:val="center"/>
              <w:rPr>
                <w:rFonts w:ascii="仿宋_GB2312" w:hAnsi="仿宋_GB2312" w:eastAsia="仿宋_GB2312" w:cs="仿宋_GB2312"/>
                <w:szCs w:val="21"/>
              </w:rPr>
            </w:pPr>
            <w:r>
              <w:rPr>
                <w:rFonts w:hint="eastAsia" w:ascii="仿宋_GB2312" w:hAnsi="仿宋_GB2312" w:eastAsia="仿宋_GB2312" w:cs="仿宋_GB2312"/>
                <w:szCs w:val="21"/>
              </w:rPr>
              <w:t>厂家</w:t>
            </w:r>
          </w:p>
        </w:tc>
        <w:tc>
          <w:tcPr>
            <w:tcW w:w="1344" w:type="dxa"/>
            <w:vAlign w:val="center"/>
          </w:tcPr>
          <w:p w14:paraId="35C0A2BC">
            <w:pPr>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14:paraId="11200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14:paraId="0A6A2D02">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82" w:type="dxa"/>
            <w:vAlign w:val="center"/>
          </w:tcPr>
          <w:p w14:paraId="65FA6853">
            <w:pPr>
              <w:jc w:val="center"/>
              <w:rPr>
                <w:rFonts w:ascii="仿宋_GB2312" w:hAnsi="仿宋_GB2312" w:eastAsia="仿宋_GB2312" w:cs="仿宋_GB2312"/>
                <w:szCs w:val="21"/>
              </w:rPr>
            </w:pPr>
          </w:p>
        </w:tc>
        <w:tc>
          <w:tcPr>
            <w:tcW w:w="1587" w:type="dxa"/>
            <w:vAlign w:val="center"/>
          </w:tcPr>
          <w:p w14:paraId="5FD452FA">
            <w:pPr>
              <w:jc w:val="center"/>
              <w:rPr>
                <w:rFonts w:ascii="仿宋_GB2312" w:hAnsi="仿宋_GB2312" w:eastAsia="仿宋_GB2312" w:cs="仿宋_GB2312"/>
                <w:szCs w:val="21"/>
              </w:rPr>
            </w:pPr>
          </w:p>
        </w:tc>
        <w:tc>
          <w:tcPr>
            <w:tcW w:w="1427" w:type="dxa"/>
            <w:vAlign w:val="center"/>
          </w:tcPr>
          <w:p w14:paraId="566E6FD3">
            <w:pPr>
              <w:jc w:val="center"/>
              <w:rPr>
                <w:rFonts w:ascii="仿宋_GB2312" w:hAnsi="仿宋_GB2312" w:eastAsia="仿宋_GB2312" w:cs="仿宋_GB2312"/>
                <w:szCs w:val="21"/>
              </w:rPr>
            </w:pPr>
          </w:p>
        </w:tc>
        <w:tc>
          <w:tcPr>
            <w:tcW w:w="1427" w:type="dxa"/>
            <w:vAlign w:val="center"/>
          </w:tcPr>
          <w:p w14:paraId="2B9BE718">
            <w:pPr>
              <w:jc w:val="center"/>
              <w:rPr>
                <w:rFonts w:ascii="仿宋_GB2312" w:hAnsi="仿宋_GB2312" w:eastAsia="仿宋_GB2312" w:cs="仿宋_GB2312"/>
                <w:szCs w:val="21"/>
              </w:rPr>
            </w:pPr>
          </w:p>
        </w:tc>
        <w:tc>
          <w:tcPr>
            <w:tcW w:w="1344" w:type="dxa"/>
            <w:vAlign w:val="center"/>
          </w:tcPr>
          <w:p w14:paraId="2A50AA94">
            <w:pPr>
              <w:spacing w:line="360" w:lineRule="auto"/>
              <w:rPr>
                <w:rFonts w:ascii="仿宋_GB2312" w:hAnsi="仿宋_GB2312" w:eastAsia="仿宋_GB2312" w:cs="仿宋_GB2312"/>
                <w:szCs w:val="21"/>
              </w:rPr>
            </w:pPr>
          </w:p>
        </w:tc>
      </w:tr>
      <w:tr w14:paraId="2AD34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14:paraId="6CCEABE0">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582" w:type="dxa"/>
            <w:vAlign w:val="center"/>
          </w:tcPr>
          <w:p w14:paraId="27370BEC">
            <w:pPr>
              <w:jc w:val="center"/>
              <w:rPr>
                <w:rFonts w:ascii="仿宋_GB2312" w:hAnsi="仿宋_GB2312" w:eastAsia="仿宋_GB2312" w:cs="仿宋_GB2312"/>
                <w:szCs w:val="21"/>
              </w:rPr>
            </w:pPr>
          </w:p>
        </w:tc>
        <w:tc>
          <w:tcPr>
            <w:tcW w:w="1587" w:type="dxa"/>
            <w:vAlign w:val="center"/>
          </w:tcPr>
          <w:p w14:paraId="116796AC">
            <w:pPr>
              <w:jc w:val="center"/>
              <w:rPr>
                <w:rFonts w:ascii="仿宋_GB2312" w:hAnsi="仿宋_GB2312" w:eastAsia="仿宋_GB2312" w:cs="仿宋_GB2312"/>
                <w:szCs w:val="21"/>
              </w:rPr>
            </w:pPr>
          </w:p>
        </w:tc>
        <w:tc>
          <w:tcPr>
            <w:tcW w:w="1427" w:type="dxa"/>
            <w:vAlign w:val="center"/>
          </w:tcPr>
          <w:p w14:paraId="36E0B4FC">
            <w:pPr>
              <w:jc w:val="center"/>
              <w:rPr>
                <w:rFonts w:ascii="仿宋_GB2312" w:hAnsi="仿宋_GB2312" w:eastAsia="仿宋_GB2312" w:cs="仿宋_GB2312"/>
                <w:szCs w:val="21"/>
              </w:rPr>
            </w:pPr>
          </w:p>
        </w:tc>
        <w:tc>
          <w:tcPr>
            <w:tcW w:w="1427" w:type="dxa"/>
            <w:vAlign w:val="center"/>
          </w:tcPr>
          <w:p w14:paraId="27331A50">
            <w:pPr>
              <w:jc w:val="center"/>
              <w:rPr>
                <w:rFonts w:ascii="仿宋_GB2312" w:hAnsi="仿宋_GB2312" w:eastAsia="仿宋_GB2312" w:cs="仿宋_GB2312"/>
                <w:szCs w:val="21"/>
              </w:rPr>
            </w:pPr>
          </w:p>
        </w:tc>
        <w:tc>
          <w:tcPr>
            <w:tcW w:w="1344" w:type="dxa"/>
            <w:vAlign w:val="center"/>
          </w:tcPr>
          <w:p w14:paraId="1AC26ABF">
            <w:pPr>
              <w:spacing w:line="360" w:lineRule="auto"/>
              <w:rPr>
                <w:rFonts w:ascii="仿宋_GB2312" w:hAnsi="仿宋_GB2312" w:eastAsia="仿宋_GB2312" w:cs="仿宋_GB2312"/>
                <w:szCs w:val="21"/>
              </w:rPr>
            </w:pPr>
          </w:p>
        </w:tc>
      </w:tr>
      <w:tr w14:paraId="4D35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14:paraId="3AA7B9FA">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582" w:type="dxa"/>
            <w:vAlign w:val="center"/>
          </w:tcPr>
          <w:p w14:paraId="02EA388D">
            <w:pPr>
              <w:jc w:val="center"/>
              <w:rPr>
                <w:rFonts w:ascii="仿宋_GB2312" w:hAnsi="仿宋_GB2312" w:eastAsia="仿宋_GB2312" w:cs="仿宋_GB2312"/>
                <w:szCs w:val="21"/>
              </w:rPr>
            </w:pPr>
          </w:p>
        </w:tc>
        <w:tc>
          <w:tcPr>
            <w:tcW w:w="1587" w:type="dxa"/>
            <w:vAlign w:val="center"/>
          </w:tcPr>
          <w:p w14:paraId="01552AD8">
            <w:pPr>
              <w:jc w:val="center"/>
              <w:rPr>
                <w:rFonts w:ascii="仿宋_GB2312" w:hAnsi="仿宋_GB2312" w:eastAsia="仿宋_GB2312" w:cs="仿宋_GB2312"/>
                <w:szCs w:val="21"/>
              </w:rPr>
            </w:pPr>
          </w:p>
        </w:tc>
        <w:tc>
          <w:tcPr>
            <w:tcW w:w="1427" w:type="dxa"/>
            <w:vAlign w:val="center"/>
          </w:tcPr>
          <w:p w14:paraId="21B43E57">
            <w:pPr>
              <w:jc w:val="center"/>
              <w:rPr>
                <w:rFonts w:ascii="仿宋_GB2312" w:hAnsi="仿宋_GB2312" w:eastAsia="仿宋_GB2312" w:cs="仿宋_GB2312"/>
                <w:szCs w:val="21"/>
              </w:rPr>
            </w:pPr>
          </w:p>
        </w:tc>
        <w:tc>
          <w:tcPr>
            <w:tcW w:w="1427" w:type="dxa"/>
            <w:vAlign w:val="center"/>
          </w:tcPr>
          <w:p w14:paraId="01498B6F">
            <w:pPr>
              <w:jc w:val="center"/>
              <w:rPr>
                <w:rFonts w:ascii="仿宋_GB2312" w:hAnsi="仿宋_GB2312" w:eastAsia="仿宋_GB2312" w:cs="仿宋_GB2312"/>
                <w:szCs w:val="21"/>
              </w:rPr>
            </w:pPr>
          </w:p>
        </w:tc>
        <w:tc>
          <w:tcPr>
            <w:tcW w:w="1344" w:type="dxa"/>
            <w:vAlign w:val="center"/>
          </w:tcPr>
          <w:p w14:paraId="7334420F">
            <w:pPr>
              <w:spacing w:line="360" w:lineRule="auto"/>
              <w:rPr>
                <w:rFonts w:ascii="仿宋_GB2312" w:hAnsi="仿宋_GB2312" w:eastAsia="仿宋_GB2312" w:cs="仿宋_GB2312"/>
                <w:szCs w:val="21"/>
              </w:rPr>
            </w:pPr>
          </w:p>
        </w:tc>
      </w:tr>
      <w:tr w14:paraId="6B03F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14:paraId="6B65972B">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582" w:type="dxa"/>
            <w:vAlign w:val="center"/>
          </w:tcPr>
          <w:p w14:paraId="79A13E42">
            <w:pPr>
              <w:jc w:val="center"/>
              <w:rPr>
                <w:rFonts w:ascii="仿宋_GB2312" w:hAnsi="仿宋_GB2312" w:eastAsia="仿宋_GB2312" w:cs="仿宋_GB2312"/>
                <w:szCs w:val="21"/>
              </w:rPr>
            </w:pPr>
          </w:p>
        </w:tc>
        <w:tc>
          <w:tcPr>
            <w:tcW w:w="1587" w:type="dxa"/>
            <w:vAlign w:val="center"/>
          </w:tcPr>
          <w:p w14:paraId="081070AE">
            <w:pPr>
              <w:jc w:val="center"/>
              <w:rPr>
                <w:rFonts w:ascii="仿宋_GB2312" w:hAnsi="仿宋_GB2312" w:eastAsia="仿宋_GB2312" w:cs="仿宋_GB2312"/>
                <w:szCs w:val="21"/>
              </w:rPr>
            </w:pPr>
          </w:p>
        </w:tc>
        <w:tc>
          <w:tcPr>
            <w:tcW w:w="1427" w:type="dxa"/>
            <w:vAlign w:val="center"/>
          </w:tcPr>
          <w:p w14:paraId="1C91BE04">
            <w:pPr>
              <w:jc w:val="center"/>
              <w:rPr>
                <w:rFonts w:ascii="仿宋_GB2312" w:hAnsi="仿宋_GB2312" w:eastAsia="仿宋_GB2312" w:cs="仿宋_GB2312"/>
                <w:szCs w:val="21"/>
              </w:rPr>
            </w:pPr>
          </w:p>
        </w:tc>
        <w:tc>
          <w:tcPr>
            <w:tcW w:w="1427" w:type="dxa"/>
            <w:vAlign w:val="center"/>
          </w:tcPr>
          <w:p w14:paraId="168322AB">
            <w:pPr>
              <w:jc w:val="center"/>
              <w:rPr>
                <w:rFonts w:ascii="仿宋_GB2312" w:hAnsi="仿宋_GB2312" w:eastAsia="仿宋_GB2312" w:cs="仿宋_GB2312"/>
                <w:szCs w:val="21"/>
              </w:rPr>
            </w:pPr>
          </w:p>
        </w:tc>
        <w:tc>
          <w:tcPr>
            <w:tcW w:w="1344" w:type="dxa"/>
            <w:vAlign w:val="center"/>
          </w:tcPr>
          <w:p w14:paraId="427B1C73">
            <w:pPr>
              <w:spacing w:line="360" w:lineRule="auto"/>
              <w:rPr>
                <w:rFonts w:ascii="仿宋_GB2312" w:hAnsi="仿宋_GB2312" w:eastAsia="仿宋_GB2312" w:cs="仿宋_GB2312"/>
                <w:szCs w:val="21"/>
              </w:rPr>
            </w:pPr>
          </w:p>
        </w:tc>
      </w:tr>
      <w:tr w14:paraId="20C76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320" w:type="dxa"/>
            <w:gridSpan w:val="6"/>
            <w:vAlign w:val="center"/>
          </w:tcPr>
          <w:p w14:paraId="2AFC4FEA">
            <w:pPr>
              <w:ind w:firstLine="420" w:firstLineChars="200"/>
              <w:jc w:val="left"/>
              <w:rPr>
                <w:rFonts w:ascii="仿宋_GB2312" w:hAnsi="仿宋_GB2312" w:eastAsia="仿宋_GB2312" w:cs="仿宋_GB2312"/>
                <w:szCs w:val="21"/>
              </w:rPr>
            </w:pPr>
            <w:r>
              <w:rPr>
                <w:rFonts w:hint="eastAsia" w:ascii="仿宋_GB2312" w:hAnsi="仿宋_GB2312" w:eastAsia="仿宋_GB2312" w:cs="仿宋_GB2312"/>
                <w:b/>
                <w:szCs w:val="21"/>
                <w:lang w:val="zh-CN"/>
              </w:rPr>
              <w:t>投标文件中所提供的以上产品为本企业生产的产品，</w:t>
            </w:r>
            <w:r>
              <w:rPr>
                <w:rFonts w:hint="eastAsia" w:ascii="仿宋_GB2312" w:hAnsi="仿宋_GB2312" w:eastAsia="仿宋_GB2312" w:cs="仿宋_GB2312"/>
                <w:b/>
                <w:szCs w:val="21"/>
              </w:rPr>
              <w:t>如有虚假</w:t>
            </w:r>
            <w:r>
              <w:rPr>
                <w:rFonts w:hint="eastAsia" w:ascii="仿宋_GB2312" w:hAnsi="仿宋_GB2312" w:eastAsia="仿宋_GB2312" w:cs="仿宋_GB2312"/>
                <w:b/>
                <w:szCs w:val="21"/>
                <w:lang w:val="zh-CN"/>
              </w:rPr>
              <w:t>，我公司承担由此产生的一切后果</w:t>
            </w:r>
            <w:r>
              <w:rPr>
                <w:rFonts w:hint="eastAsia" w:ascii="仿宋_GB2312" w:hAnsi="仿宋_GB2312" w:eastAsia="仿宋_GB2312" w:cs="仿宋_GB2312"/>
                <w:szCs w:val="21"/>
                <w:lang w:val="zh-CN"/>
              </w:rPr>
              <w:t>。</w:t>
            </w:r>
          </w:p>
        </w:tc>
      </w:tr>
    </w:tbl>
    <w:p w14:paraId="50E67215">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2AC8A425">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注：投标人所投产品为其它企业生产时须提供此声明函，仅作为价格扣除条件。</w:t>
      </w:r>
    </w:p>
    <w:p w14:paraId="53AE6FD2">
      <w:pPr>
        <w:adjustRightInd w:val="0"/>
        <w:snapToGrid w:val="0"/>
        <w:spacing w:line="360" w:lineRule="auto"/>
        <w:ind w:right="105" w:rightChars="50"/>
        <w:jc w:val="left"/>
        <w:rPr>
          <w:rFonts w:ascii="仿宋_GB2312" w:hAnsi="仿宋_GB2312" w:eastAsia="仿宋_GB2312" w:cs="仿宋_GB2312"/>
          <w:szCs w:val="21"/>
        </w:rPr>
      </w:pPr>
    </w:p>
    <w:p w14:paraId="0AE7370B">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制造商名称（加盖单位公章）：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14:paraId="6247BF8F">
      <w:pPr>
        <w:snapToGrid w:val="0"/>
        <w:spacing w:line="480" w:lineRule="auto"/>
        <w:rPr>
          <w:rFonts w:ascii="仿宋_GB2312" w:hAnsi="仿宋_GB2312" w:eastAsia="仿宋_GB2312" w:cs="仿宋_GB2312"/>
          <w:szCs w:val="28"/>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8"/>
        </w:rPr>
        <w:br w:type="page"/>
      </w:r>
    </w:p>
    <w:p w14:paraId="71541444">
      <w:pPr>
        <w:pStyle w:val="5"/>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格式18</w:t>
      </w:r>
    </w:p>
    <w:p w14:paraId="29FD742A">
      <w:pPr>
        <w:adjustRightInd w:val="0"/>
        <w:snapToGrid w:val="0"/>
        <w:spacing w:before="319" w:beforeLines="100" w:after="319" w:afterLines="100" w:line="360" w:lineRule="auto"/>
        <w:ind w:right="105" w:rightChars="50"/>
        <w:jc w:val="center"/>
        <w:rPr>
          <w:rFonts w:ascii="仿宋_GB2312" w:hAnsi="仿宋_GB2312" w:eastAsia="仿宋_GB2312" w:cs="仿宋_GB2312"/>
          <w:b/>
          <w:bCs/>
          <w:sz w:val="32"/>
          <w:szCs w:val="32"/>
        </w:rPr>
      </w:pPr>
      <w:bookmarkStart w:id="107" w:name="_Toc13566_WPSOffice_Level2"/>
      <w:bookmarkStart w:id="108" w:name="_Toc29880_WPSOffice_Level2"/>
      <w:r>
        <w:rPr>
          <w:rFonts w:hint="eastAsia" w:ascii="仿宋_GB2312" w:hAnsi="仿宋_GB2312" w:eastAsia="仿宋_GB2312" w:cs="仿宋_GB2312"/>
          <w:b/>
          <w:bCs/>
          <w:sz w:val="32"/>
          <w:szCs w:val="32"/>
        </w:rPr>
        <w:t>残疾人福利性单位声明函</w:t>
      </w:r>
      <w:bookmarkEnd w:id="107"/>
      <w:bookmarkEnd w:id="108"/>
    </w:p>
    <w:p w14:paraId="41D79B79">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本单位郑重声明，根据《财政部 民政部 中国残疾人联合会关于促进残疾人就业政府采购政策的通知》（财库〔2017〕141 号）的规定，本单位为符合条件的残疾人福利性单位，且本单位参加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项目采购活动，提供本单位制造的货物（由本单位承担工程/提供服务），或者提供其他残疾人福利性单位制造的货物（不包括使用非残疾人福利性单位注册商标的货物）。</w:t>
      </w:r>
    </w:p>
    <w:p w14:paraId="5AA36E9B">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本单位对上述声明的真实性负责。如有虚假，将依法承担相应责任。</w:t>
      </w:r>
    </w:p>
    <w:p w14:paraId="308BF78D">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1226BC06">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6F980F82">
      <w:pPr>
        <w:adjustRightInd w:val="0"/>
        <w:snapToGrid w:val="0"/>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注：供应商为非残疾人福利性单位的，无需填写此声明函。</w:t>
      </w:r>
    </w:p>
    <w:p w14:paraId="6FE91B30">
      <w:pPr>
        <w:adjustRightInd w:val="0"/>
        <w:snapToGrid w:val="0"/>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w:t>
      </w:r>
    </w:p>
    <w:p w14:paraId="3B002A87">
      <w:pPr>
        <w:adjustRightInd w:val="0"/>
        <w:snapToGrid w:val="0"/>
        <w:spacing w:line="360" w:lineRule="auto"/>
        <w:ind w:right="105" w:rightChars="50"/>
        <w:jc w:val="left"/>
        <w:rPr>
          <w:rFonts w:ascii="仿宋_GB2312" w:hAnsi="仿宋_GB2312" w:eastAsia="仿宋_GB2312" w:cs="仿宋_GB2312"/>
          <w:szCs w:val="21"/>
        </w:rPr>
      </w:pPr>
    </w:p>
    <w:p w14:paraId="6FB7B28C">
      <w:pPr>
        <w:adjustRightInd w:val="0"/>
        <w:snapToGrid w:val="0"/>
        <w:spacing w:line="360" w:lineRule="auto"/>
        <w:ind w:right="105" w:rightChars="50"/>
        <w:jc w:val="left"/>
        <w:rPr>
          <w:rFonts w:ascii="仿宋_GB2312" w:hAnsi="仿宋_GB2312" w:eastAsia="仿宋_GB2312" w:cs="仿宋_GB2312"/>
          <w:szCs w:val="21"/>
        </w:rPr>
      </w:pPr>
    </w:p>
    <w:p w14:paraId="0A52F6D2">
      <w:pPr>
        <w:adjustRightInd w:val="0"/>
        <w:snapToGrid w:val="0"/>
        <w:spacing w:line="360" w:lineRule="auto"/>
        <w:ind w:right="105" w:rightChars="50"/>
        <w:jc w:val="left"/>
        <w:rPr>
          <w:rFonts w:ascii="仿宋_GB2312" w:hAnsi="仿宋_GB2312" w:eastAsia="仿宋_GB2312" w:cs="仿宋_GB2312"/>
          <w:szCs w:val="21"/>
        </w:rPr>
      </w:pPr>
    </w:p>
    <w:p w14:paraId="6DC32BF6">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投标人名称（加盖单位公章）：</w:t>
      </w:r>
      <w:r>
        <w:rPr>
          <w:rFonts w:hint="eastAsia" w:ascii="仿宋_GB2312" w:hAnsi="仿宋_GB2312" w:eastAsia="仿宋_GB2312" w:cs="仿宋_GB2312"/>
          <w:szCs w:val="21"/>
          <w:u w:val="single"/>
        </w:rPr>
        <w:t xml:space="preserve">              </w:t>
      </w:r>
    </w:p>
    <w:p w14:paraId="051EAC93">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14:paraId="3EDAE027">
      <w:pPr>
        <w:widowControl/>
        <w:jc w:val="left"/>
        <w:rPr>
          <w:rFonts w:ascii="仿宋_GB2312" w:hAnsi="仿宋_GB2312" w:eastAsia="仿宋_GB2312" w:cs="仿宋_GB2312"/>
          <w:b/>
          <w:kern w:val="44"/>
          <w:sz w:val="44"/>
        </w:rPr>
      </w:pPr>
      <w:r>
        <w:rPr>
          <w:rFonts w:hint="eastAsia" w:ascii="仿宋_GB2312" w:hAnsi="仿宋_GB2312" w:eastAsia="仿宋_GB2312" w:cs="仿宋_GB2312"/>
        </w:rPr>
        <w:br w:type="page"/>
      </w:r>
    </w:p>
    <w:p w14:paraId="5DAE1D89">
      <w:pPr>
        <w:pStyle w:val="5"/>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格式19</w:t>
      </w:r>
    </w:p>
    <w:p w14:paraId="3E083EBF">
      <w:pPr>
        <w:adjustRightInd w:val="0"/>
        <w:snapToGrid w:val="0"/>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聘用建档立卡贫困人员物业公司声明函</w:t>
      </w:r>
    </w:p>
    <w:p w14:paraId="4D2BE50E">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本单位郑重声明，根据财政部 国务院扶贫办《关于运用政府采购政策支持脱贫攻坚的通知》（财库〔2019〕27 号）的规定，本单位为符合条件的单位，且本单位参加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项目采购活动，由本单位提供物业服务，其中聘用建档立卡贫困人员达到公司员工（含服务外包用工）</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w:t>
      </w:r>
    </w:p>
    <w:p w14:paraId="25C9BAF2">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本单位对上述声明的真实性负责。如有虚假，将依法承担相应责任。</w:t>
      </w:r>
    </w:p>
    <w:p w14:paraId="134117EF">
      <w:pPr>
        <w:adjustRightInd w:val="0"/>
        <w:snapToGrid w:val="0"/>
        <w:spacing w:line="360" w:lineRule="auto"/>
        <w:ind w:right="105" w:rightChars="50" w:firstLine="476" w:firstLineChars="227"/>
        <w:jc w:val="left"/>
        <w:rPr>
          <w:rFonts w:ascii="仿宋_GB2312" w:hAnsi="仿宋_GB2312" w:eastAsia="仿宋_GB2312" w:cs="仿宋_GB2312"/>
          <w:b/>
          <w:bCs/>
          <w:sz w:val="32"/>
          <w:szCs w:val="32"/>
        </w:rPr>
      </w:pPr>
      <w:r>
        <w:rPr>
          <w:rFonts w:hint="eastAsia" w:ascii="仿宋_GB2312" w:hAnsi="仿宋_GB2312" w:eastAsia="仿宋_GB2312" w:cs="仿宋_GB2312"/>
          <w:szCs w:val="21"/>
        </w:rPr>
        <w:t>附：物业公司注册所在县扶贫部门出具的聘用建档立卡贫困人员具体数量的证明</w:t>
      </w:r>
    </w:p>
    <w:p w14:paraId="04FC8C59">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7141033A">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注：供应商为非聘用建档立卡贫困人员物业公司的，无需填写此声明函。</w:t>
      </w:r>
    </w:p>
    <w:p w14:paraId="584B7F89">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02B0FAD9">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528EDE61">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1BFF6BD0">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071BAD4E">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投标人名称（加盖单位公章）：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14:paraId="0899144E">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14:paraId="48801A5C">
      <w:pPr>
        <w:adjustRightInd w:val="0"/>
        <w:snapToGrid w:val="0"/>
        <w:spacing w:line="480" w:lineRule="auto"/>
        <w:ind w:right="105" w:rightChars="50"/>
        <w:jc w:val="left"/>
        <w:rPr>
          <w:rFonts w:ascii="仿宋_GB2312" w:hAnsi="仿宋_GB2312" w:eastAsia="仿宋_GB2312" w:cs="仿宋_GB2312"/>
          <w:szCs w:val="21"/>
          <w:u w:val="single"/>
        </w:rPr>
      </w:pPr>
    </w:p>
    <w:p w14:paraId="664B9517">
      <w:pPr>
        <w:adjustRightInd w:val="0"/>
        <w:snapToGrid w:val="0"/>
        <w:spacing w:line="480" w:lineRule="auto"/>
        <w:ind w:right="105" w:rightChars="50"/>
        <w:jc w:val="left"/>
        <w:rPr>
          <w:rFonts w:ascii="仿宋_GB2312" w:hAnsi="仿宋_GB2312" w:eastAsia="仿宋_GB2312" w:cs="仿宋_GB2312"/>
          <w:szCs w:val="21"/>
          <w:u w:val="single"/>
        </w:rPr>
      </w:pPr>
    </w:p>
    <w:p w14:paraId="5C6527D1">
      <w:pPr>
        <w:adjustRightInd w:val="0"/>
        <w:snapToGrid w:val="0"/>
        <w:spacing w:line="480" w:lineRule="auto"/>
        <w:ind w:right="105" w:rightChars="50"/>
        <w:jc w:val="left"/>
        <w:rPr>
          <w:rFonts w:ascii="仿宋_GB2312" w:hAnsi="仿宋_GB2312" w:eastAsia="仿宋_GB2312" w:cs="仿宋_GB2312"/>
          <w:szCs w:val="21"/>
          <w:u w:val="single"/>
        </w:rPr>
      </w:pPr>
    </w:p>
    <w:p w14:paraId="171FD749">
      <w:pPr>
        <w:pStyle w:val="3"/>
        <w:snapToGrid w:val="0"/>
        <w:spacing w:before="319" w:beforeLines="100" w:after="319" w:afterLines="100" w:line="360" w:lineRule="auto"/>
        <w:rPr>
          <w:rFonts w:ascii="仿宋_GB2312" w:hAnsi="仿宋_GB2312" w:eastAsia="仿宋_GB2312" w:cs="仿宋_GB2312"/>
          <w:szCs w:val="21"/>
        </w:rPr>
      </w:pPr>
      <w:bookmarkStart w:id="109" w:name="_Toc2821_WPSOffice_Level1"/>
      <w:r>
        <w:rPr>
          <w:rFonts w:hint="eastAsia" w:ascii="仿宋_GB2312" w:hAnsi="仿宋_GB2312" w:eastAsia="仿宋_GB2312" w:cs="仿宋_GB2312"/>
        </w:rPr>
        <w:br w:type="page"/>
      </w:r>
      <w:bookmarkStart w:id="110" w:name="_Toc4498_WPSOffice_Level1"/>
      <w:bookmarkStart w:id="111" w:name="_Toc30110"/>
      <w:bookmarkStart w:id="112" w:name="_Toc11327"/>
      <w:r>
        <w:rPr>
          <w:rFonts w:hint="eastAsia" w:ascii="仿宋_GB2312" w:hAnsi="仿宋_GB2312" w:eastAsia="仿宋_GB2312" w:cs="仿宋_GB2312"/>
        </w:rPr>
        <w:t>第三章 服务需求</w:t>
      </w:r>
      <w:bookmarkEnd w:id="110"/>
      <w:bookmarkEnd w:id="111"/>
      <w:bookmarkEnd w:id="112"/>
    </w:p>
    <w:p w14:paraId="5DD37FC6">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采购人应对服务提出详细的内容、标准及相关要求。</w:t>
      </w:r>
      <w:r>
        <w:rPr>
          <w:rFonts w:hint="eastAsia" w:ascii="仿宋_GB2312" w:hAnsi="仿宋_GB2312" w:eastAsia="仿宋_GB2312" w:cs="仿宋_GB2312"/>
          <w:szCs w:val="21"/>
          <w:lang w:eastAsia="zh-CN"/>
        </w:rPr>
        <w:t>（详见附件服务需求参数）</w:t>
      </w:r>
    </w:p>
    <w:p w14:paraId="1322F5AC">
      <w:pPr>
        <w:pStyle w:val="3"/>
        <w:bidi w:val="0"/>
        <w:jc w:val="both"/>
        <w:rPr>
          <w:rFonts w:hint="default"/>
          <w:sz w:val="24"/>
          <w:szCs w:val="20"/>
          <w:lang w:val="en-US" w:eastAsia="zh-CN"/>
        </w:rPr>
      </w:pPr>
      <w:r>
        <w:rPr>
          <w:rFonts w:hint="eastAsia"/>
          <w:sz w:val="24"/>
          <w:szCs w:val="20"/>
          <w:lang w:val="en-US" w:eastAsia="zh-CN"/>
        </w:rPr>
        <w:t>奎屯市第七中学服务需求</w:t>
      </w:r>
    </w:p>
    <w:p w14:paraId="2B8CFBB2">
      <w:pPr>
        <w:numPr>
          <w:ilvl w:val="0"/>
          <w:numId w:val="0"/>
        </w:numPr>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lang w:val="en-US" w:eastAsia="zh-CN"/>
        </w:rPr>
        <w:t>一、</w:t>
      </w:r>
      <w:r>
        <w:rPr>
          <w:rFonts w:hint="eastAsia" w:ascii="仿宋_GB2312" w:hAnsi="仿宋_GB2312" w:eastAsia="仿宋_GB2312" w:cs="仿宋_GB2312"/>
          <w:b/>
          <w:bCs/>
          <w:szCs w:val="21"/>
          <w:lang w:eastAsia="zh-CN"/>
        </w:rPr>
        <w:t>项目概述</w:t>
      </w:r>
      <w:r>
        <w:rPr>
          <w:rFonts w:hint="eastAsia" w:ascii="仿宋_GB2312" w:hAnsi="仿宋_GB2312" w:eastAsia="仿宋_GB2312" w:cs="仿宋_GB2312"/>
          <w:b/>
          <w:bCs/>
          <w:szCs w:val="21"/>
        </w:rPr>
        <w:t>：</w:t>
      </w:r>
    </w:p>
    <w:p w14:paraId="0B7353E2">
      <w:pPr>
        <w:numPr>
          <w:ilvl w:val="0"/>
          <w:numId w:val="0"/>
        </w:numPr>
        <w:spacing w:line="360" w:lineRule="auto"/>
        <w:ind w:firstLine="420" w:firstLineChars="200"/>
        <w:rPr>
          <w:rFonts w:hint="eastAsia"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奎屯市第七中学位于奎屯市，在校生规模约 954 人。标准化学生管理、物业管理和后勤服务和后勤服务服务范围：标准化学生管理、学生宿舍管理；公共场所、场地清洁、保洁服务；设备设施维修；学生食堂餐饮服务；校医服务；校园安全保障服务；校园绿化养护服务；垃圾分类、清理服务；管道疏通等服务,具体以详细要求为准。</w:t>
      </w:r>
    </w:p>
    <w:p w14:paraId="6B144CF6">
      <w:pPr>
        <w:numPr>
          <w:ilvl w:val="0"/>
          <w:numId w:val="6"/>
        </w:numPr>
        <w:spacing w:line="360" w:lineRule="auto"/>
        <w:rPr>
          <w:rFonts w:hint="eastAsia"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采购需求：</w:t>
      </w:r>
    </w:p>
    <w:p w14:paraId="1E49B7D3">
      <w:pPr>
        <w:numPr>
          <w:ilvl w:val="0"/>
          <w:numId w:val="0"/>
        </w:numPr>
        <w:spacing w:line="360" w:lineRule="auto"/>
        <w:ind w:firstLine="420" w:firstLineChars="200"/>
        <w:rPr>
          <w:rFonts w:hint="eastAsia"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1.学校引入一支具有专业特色的标准化学生管理团队服务，对校园住宿学生进行日常及行为规范管理、两操一课管理、宿舍管理、学生会管理、校园内内保安全管理、校园环境卫生管理、每周升国旗仪式的管理、晚间查宿的管理、学生就餐秩序的管理、学生课外活动的管理、学生晚自习的管理、军训日活动组织的管理、学校大型活动的组织管理；对每学期新生进行军训的组织与管理、学生安全教育的管理。配合学校做好各项军事化管理以及做好应急处理、维稳巡逻、值班及组织防爆训练等工作，无条件服从学校安排。</w:t>
      </w:r>
    </w:p>
    <w:p w14:paraId="2CDFD508">
      <w:pPr>
        <w:numPr>
          <w:ilvl w:val="0"/>
          <w:numId w:val="0"/>
        </w:numPr>
        <w:spacing w:line="360" w:lineRule="auto"/>
        <w:ind w:firstLine="420" w:firstLineChars="200"/>
        <w:rPr>
          <w:rFonts w:hint="eastAsia"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2.学校引入一支具有专业特色的标准化物业管理团队服务，团队具备拥有专业化，一体化高素质的员工队伍，为学校提供一流的物业后勤保障工作。内容包括1、学校内的绿化（完成春夏秋三季绿化工作以外，冬季要服从学校后勤人员的工作安排，配合后勤人员完成学校维修、暖气维护等其他工作。）、2、保洁工作包括教学楼、行政楼内所有厕所、水房、教学楼大小会议室、复兴楼等区域的清洁等工作。</w:t>
      </w:r>
    </w:p>
    <w:p w14:paraId="68AF02F7">
      <w:pPr>
        <w:numPr>
          <w:ilvl w:val="0"/>
          <w:numId w:val="0"/>
        </w:numPr>
        <w:spacing w:line="360" w:lineRule="auto"/>
        <w:ind w:firstLine="420" w:firstLineChars="200"/>
        <w:rPr>
          <w:rFonts w:hint="eastAsia"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3.学校引入一支具有专业特色的标准化餐厅管理团队服务，具备健全的餐饮资质，建立健全食堂及集体用餐管理制度，包含食品卫生安全领导责任制度，为学校师生提供健康营养食品。</w:t>
      </w:r>
    </w:p>
    <w:p w14:paraId="3E8ABDE6">
      <w:pPr>
        <w:adjustRightInd w:val="0"/>
        <w:snapToGrid w:val="0"/>
        <w:spacing w:line="360" w:lineRule="auto"/>
        <w:rPr>
          <w:rFonts w:hint="eastAsia" w:ascii="仿宋" w:hAnsi="仿宋" w:cs="仿宋"/>
          <w:szCs w:val="21"/>
        </w:rPr>
      </w:pPr>
      <w:r>
        <w:rPr>
          <w:rFonts w:hint="eastAsia" w:ascii="仿宋_GB2312" w:hAnsi="仿宋_GB2312" w:eastAsia="仿宋_GB2312" w:cs="仿宋_GB2312"/>
          <w:b/>
          <w:bCs/>
          <w:szCs w:val="21"/>
          <w:lang w:eastAsia="zh-CN"/>
        </w:rPr>
        <w:t>（</w:t>
      </w:r>
      <w:r>
        <w:rPr>
          <w:rFonts w:hint="eastAsia" w:ascii="仿宋_GB2312" w:hAnsi="仿宋_GB2312" w:eastAsia="仿宋_GB2312" w:cs="仿宋_GB2312"/>
          <w:b/>
          <w:bCs/>
          <w:szCs w:val="21"/>
          <w:lang w:val="en-US" w:eastAsia="zh-CN"/>
        </w:rPr>
        <w:t>1</w:t>
      </w:r>
      <w:r>
        <w:rPr>
          <w:rFonts w:hint="eastAsia" w:ascii="仿宋_GB2312" w:hAnsi="仿宋_GB2312" w:eastAsia="仿宋_GB2312" w:cs="仿宋_GB2312"/>
          <w:b/>
          <w:bCs/>
          <w:szCs w:val="21"/>
          <w:lang w:eastAsia="zh-CN"/>
        </w:rPr>
        <w:t>）</w:t>
      </w:r>
      <w:r>
        <w:rPr>
          <w:rFonts w:hint="eastAsia" w:ascii="仿宋_GB2312" w:hAnsi="仿宋_GB2312" w:eastAsia="仿宋_GB2312" w:cs="仿宋_GB2312"/>
          <w:b/>
          <w:bCs/>
          <w:lang w:val="en-US" w:eastAsia="zh-CN"/>
        </w:rPr>
        <w:t>服务期限</w:t>
      </w:r>
      <w:r>
        <w:rPr>
          <w:rFonts w:hint="eastAsia" w:ascii="仿宋_GB2312" w:hAnsi="仿宋_GB2312" w:eastAsia="仿宋_GB2312" w:cs="仿宋_GB2312"/>
          <w:b/>
          <w:bCs/>
        </w:rPr>
        <w:t>：</w:t>
      </w:r>
      <w:r>
        <w:rPr>
          <w:rFonts w:hint="eastAsia" w:ascii="仿宋_GB2312" w:hAnsi="仿宋_GB2312" w:eastAsia="仿宋_GB2312" w:cs="仿宋_GB2312"/>
          <w:lang w:val="en-US" w:eastAsia="zh-CN"/>
        </w:rPr>
        <w:t>本项目总服务期限为三年，</w:t>
      </w:r>
      <w:r>
        <w:rPr>
          <w:rFonts w:hint="eastAsia" w:ascii="仿宋" w:hAnsi="仿宋" w:cs="仿宋"/>
          <w:szCs w:val="21"/>
        </w:rPr>
        <w:t>采购合同每年签一次，第二年的采购合同根据中标人第一年履约考核情况而定，如甲方满意率达到85%以上，可根据满意率继续签订，以此类推第三年的采购合同签订。</w:t>
      </w:r>
    </w:p>
    <w:p w14:paraId="1AAE0DCD">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b/>
          <w:bCs/>
          <w:szCs w:val="21"/>
          <w:lang w:eastAsia="zh-CN"/>
        </w:rPr>
        <w:t>（</w:t>
      </w:r>
      <w:r>
        <w:rPr>
          <w:rFonts w:hint="eastAsia" w:ascii="仿宋_GB2312" w:hAnsi="仿宋_GB2312" w:eastAsia="仿宋_GB2312" w:cs="仿宋_GB2312"/>
          <w:b/>
          <w:bCs/>
          <w:szCs w:val="21"/>
          <w:lang w:val="en-US" w:eastAsia="zh-CN"/>
        </w:rPr>
        <w:t>2</w:t>
      </w:r>
      <w:r>
        <w:rPr>
          <w:rFonts w:hint="eastAsia" w:ascii="仿宋_GB2312" w:hAnsi="仿宋_GB2312" w:eastAsia="仿宋_GB2312" w:cs="仿宋_GB2312"/>
          <w:b/>
          <w:bCs/>
          <w:szCs w:val="21"/>
          <w:lang w:eastAsia="zh-CN"/>
        </w:rPr>
        <w:t>）项目及人员配备要求：</w:t>
      </w:r>
      <w:r>
        <w:rPr>
          <w:rFonts w:hint="eastAsia" w:ascii="仿宋_GB2312" w:hAnsi="仿宋_GB2312" w:eastAsia="仿宋_GB2312" w:cs="仿宋_GB2312"/>
          <w:szCs w:val="21"/>
          <w:lang w:val="en-US" w:eastAsia="zh-CN"/>
        </w:rPr>
        <w:t>1.供应商须具备标准化学生管理，标准化物业后勤管理、标准化餐厅管理服务的供应商。</w:t>
      </w:r>
    </w:p>
    <w:p w14:paraId="2C6DC689">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2.现场面验：如供应商中标，应按甲方要求将派选数名宿管员、后勤物业人员、餐厅工作人员等，员工须适合岗位需要，选派的员工须经过严格筛选，必须政治表现合格，品德品行良好，身体健康，无任何违法违纪行为。特殊岗位员工需携带专业证书原件于收到中标（成交）通知书后2日内前往甲方单位现场面验。特殊岗位年龄在20-50岁以内。</w:t>
      </w:r>
    </w:p>
    <w:p w14:paraId="2367B5F0">
      <w:pPr>
        <w:spacing w:line="360" w:lineRule="auto"/>
        <w:rPr>
          <w:rFonts w:hint="eastAsia"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三、物业管理和后勤服务服务详细要求</w:t>
      </w:r>
    </w:p>
    <w:p w14:paraId="4BB4BEE9">
      <w:pPr>
        <w:spacing w:line="360" w:lineRule="auto"/>
        <w:rPr>
          <w:rFonts w:hint="eastAsia"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（一）物业服务概况</w:t>
      </w:r>
    </w:p>
    <w:p w14:paraId="11E09986">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1、奎屯市第七中学校园占地面积约  45178 ㎡，建筑面积约 28745   ㎡，包含以下物业，具体情况可现场查看。</w:t>
      </w:r>
    </w:p>
    <w:tbl>
      <w:tblPr>
        <w:tblStyle w:val="21"/>
        <w:tblW w:w="8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9"/>
        <w:gridCol w:w="3563"/>
        <w:gridCol w:w="3990"/>
      </w:tblGrid>
      <w:tr w14:paraId="7A71B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129" w:type="dxa"/>
            <w:noWrap w:val="0"/>
            <w:vAlign w:val="center"/>
          </w:tcPr>
          <w:p w14:paraId="32902200">
            <w:pPr>
              <w:spacing w:line="360" w:lineRule="auto"/>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序号</w:t>
            </w:r>
          </w:p>
        </w:tc>
        <w:tc>
          <w:tcPr>
            <w:tcW w:w="3563" w:type="dxa"/>
            <w:noWrap w:val="0"/>
            <w:vAlign w:val="center"/>
          </w:tcPr>
          <w:p w14:paraId="0AEE049E">
            <w:pPr>
              <w:spacing w:line="360" w:lineRule="auto"/>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建筑用途</w:t>
            </w:r>
          </w:p>
        </w:tc>
        <w:tc>
          <w:tcPr>
            <w:tcW w:w="3990" w:type="dxa"/>
            <w:noWrap w:val="0"/>
            <w:vAlign w:val="center"/>
          </w:tcPr>
          <w:p w14:paraId="6A2B5D67">
            <w:pPr>
              <w:spacing w:line="360" w:lineRule="auto"/>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建筑名称</w:t>
            </w:r>
          </w:p>
        </w:tc>
      </w:tr>
      <w:tr w14:paraId="38301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29" w:type="dxa"/>
            <w:noWrap w:val="0"/>
            <w:vAlign w:val="center"/>
          </w:tcPr>
          <w:p w14:paraId="3C608689">
            <w:pPr>
              <w:spacing w:line="360" w:lineRule="auto"/>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w:t>
            </w:r>
          </w:p>
        </w:tc>
        <w:tc>
          <w:tcPr>
            <w:tcW w:w="3563" w:type="dxa"/>
            <w:noWrap w:val="0"/>
            <w:vAlign w:val="center"/>
          </w:tcPr>
          <w:p w14:paraId="1C87EECC">
            <w:pPr>
              <w:spacing w:line="360" w:lineRule="auto"/>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课室</w:t>
            </w:r>
          </w:p>
        </w:tc>
        <w:tc>
          <w:tcPr>
            <w:tcW w:w="3990" w:type="dxa"/>
            <w:noWrap w:val="0"/>
            <w:vAlign w:val="center"/>
          </w:tcPr>
          <w:p w14:paraId="5688C1C8">
            <w:pPr>
              <w:spacing w:line="360" w:lineRule="auto"/>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教学楼1 栋，教室 22 间（使用中）</w:t>
            </w:r>
          </w:p>
        </w:tc>
      </w:tr>
      <w:tr w14:paraId="1D444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2" w:hRule="atLeast"/>
          <w:jc w:val="center"/>
        </w:trPr>
        <w:tc>
          <w:tcPr>
            <w:tcW w:w="1129" w:type="dxa"/>
            <w:noWrap w:val="0"/>
            <w:vAlign w:val="center"/>
          </w:tcPr>
          <w:p w14:paraId="236E16BC">
            <w:pPr>
              <w:spacing w:line="360" w:lineRule="auto"/>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3563" w:type="dxa"/>
            <w:vMerge w:val="restart"/>
            <w:noWrap w:val="0"/>
            <w:vAlign w:val="center"/>
          </w:tcPr>
          <w:p w14:paraId="33C5975A">
            <w:pPr>
              <w:spacing w:line="360" w:lineRule="auto"/>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实验实训场所</w:t>
            </w:r>
          </w:p>
        </w:tc>
        <w:tc>
          <w:tcPr>
            <w:tcW w:w="3990" w:type="dxa"/>
            <w:noWrap w:val="0"/>
            <w:vAlign w:val="center"/>
          </w:tcPr>
          <w:p w14:paraId="7E698EEB">
            <w:pPr>
              <w:spacing w:line="360" w:lineRule="auto"/>
              <w:jc w:val="center"/>
              <w:rPr>
                <w:rFonts w:hint="eastAsia" w:ascii="仿宋_GB2312" w:hAnsi="仿宋_GB2312" w:eastAsia="仿宋_GB2312" w:cs="仿宋_GB2312"/>
                <w:szCs w:val="21"/>
                <w:lang w:val="en-US" w:eastAsia="zh-CN"/>
              </w:rPr>
            </w:pPr>
          </w:p>
        </w:tc>
      </w:tr>
      <w:tr w14:paraId="715C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29" w:type="dxa"/>
            <w:noWrap w:val="0"/>
            <w:vAlign w:val="center"/>
          </w:tcPr>
          <w:p w14:paraId="7C04CF1E">
            <w:pPr>
              <w:spacing w:line="360" w:lineRule="auto"/>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3563" w:type="dxa"/>
            <w:vMerge w:val="continue"/>
            <w:noWrap w:val="0"/>
            <w:vAlign w:val="center"/>
          </w:tcPr>
          <w:p w14:paraId="61827B2A">
            <w:pPr>
              <w:spacing w:line="360" w:lineRule="auto"/>
              <w:jc w:val="center"/>
              <w:rPr>
                <w:rFonts w:hint="eastAsia" w:ascii="仿宋_GB2312" w:hAnsi="仿宋_GB2312" w:eastAsia="仿宋_GB2312" w:cs="仿宋_GB2312"/>
                <w:szCs w:val="21"/>
                <w:lang w:val="en-US" w:eastAsia="zh-CN"/>
              </w:rPr>
            </w:pPr>
          </w:p>
        </w:tc>
        <w:tc>
          <w:tcPr>
            <w:tcW w:w="3990" w:type="dxa"/>
            <w:noWrap w:val="0"/>
            <w:vAlign w:val="center"/>
          </w:tcPr>
          <w:p w14:paraId="2DB4804E">
            <w:pPr>
              <w:spacing w:line="360" w:lineRule="auto"/>
              <w:jc w:val="center"/>
              <w:rPr>
                <w:rFonts w:hint="eastAsia" w:ascii="仿宋_GB2312" w:hAnsi="仿宋_GB2312" w:eastAsia="仿宋_GB2312" w:cs="仿宋_GB2312"/>
                <w:szCs w:val="21"/>
                <w:lang w:val="en-US" w:eastAsia="zh-CN"/>
              </w:rPr>
            </w:pPr>
          </w:p>
        </w:tc>
      </w:tr>
      <w:tr w14:paraId="2A073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 w:hRule="atLeast"/>
          <w:jc w:val="center"/>
        </w:trPr>
        <w:tc>
          <w:tcPr>
            <w:tcW w:w="1129" w:type="dxa"/>
            <w:noWrap w:val="0"/>
            <w:vAlign w:val="center"/>
          </w:tcPr>
          <w:p w14:paraId="5729152F">
            <w:pPr>
              <w:spacing w:line="360" w:lineRule="auto"/>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w:t>
            </w:r>
          </w:p>
        </w:tc>
        <w:tc>
          <w:tcPr>
            <w:tcW w:w="3563" w:type="dxa"/>
            <w:vMerge w:val="restart"/>
            <w:noWrap w:val="0"/>
            <w:vAlign w:val="center"/>
          </w:tcPr>
          <w:p w14:paraId="799B4074">
            <w:pPr>
              <w:spacing w:line="360" w:lineRule="auto"/>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行政办公用房</w:t>
            </w:r>
          </w:p>
        </w:tc>
        <w:tc>
          <w:tcPr>
            <w:tcW w:w="3990" w:type="dxa"/>
            <w:noWrap w:val="0"/>
            <w:vAlign w:val="center"/>
          </w:tcPr>
          <w:p w14:paraId="7D1EBCEF">
            <w:pPr>
              <w:spacing w:line="360" w:lineRule="auto"/>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书记、校长办公室各一间</w:t>
            </w:r>
          </w:p>
        </w:tc>
      </w:tr>
      <w:tr w14:paraId="7F5A2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29" w:type="dxa"/>
            <w:noWrap w:val="0"/>
            <w:vAlign w:val="center"/>
          </w:tcPr>
          <w:p w14:paraId="2036763F">
            <w:pPr>
              <w:spacing w:line="360" w:lineRule="auto"/>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w:t>
            </w:r>
          </w:p>
        </w:tc>
        <w:tc>
          <w:tcPr>
            <w:tcW w:w="3563" w:type="dxa"/>
            <w:vMerge w:val="continue"/>
            <w:noWrap w:val="0"/>
            <w:vAlign w:val="center"/>
          </w:tcPr>
          <w:p w14:paraId="41EF9165">
            <w:pPr>
              <w:spacing w:line="360" w:lineRule="auto"/>
              <w:jc w:val="center"/>
              <w:rPr>
                <w:rFonts w:hint="eastAsia" w:ascii="仿宋_GB2312" w:hAnsi="仿宋_GB2312" w:eastAsia="仿宋_GB2312" w:cs="仿宋_GB2312"/>
                <w:szCs w:val="21"/>
                <w:lang w:val="en-US" w:eastAsia="zh-CN"/>
              </w:rPr>
            </w:pPr>
          </w:p>
        </w:tc>
        <w:tc>
          <w:tcPr>
            <w:tcW w:w="3990" w:type="dxa"/>
            <w:noWrap w:val="0"/>
            <w:vAlign w:val="center"/>
          </w:tcPr>
          <w:p w14:paraId="1074691B">
            <w:pPr>
              <w:spacing w:line="360" w:lineRule="auto"/>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会议室3个</w:t>
            </w:r>
          </w:p>
        </w:tc>
      </w:tr>
      <w:tr w14:paraId="7DEC9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29" w:type="dxa"/>
            <w:noWrap w:val="0"/>
            <w:vAlign w:val="center"/>
          </w:tcPr>
          <w:p w14:paraId="1C3A4361">
            <w:pPr>
              <w:spacing w:line="360" w:lineRule="auto"/>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6</w:t>
            </w:r>
          </w:p>
        </w:tc>
        <w:tc>
          <w:tcPr>
            <w:tcW w:w="3563" w:type="dxa"/>
            <w:noWrap w:val="0"/>
            <w:vAlign w:val="center"/>
          </w:tcPr>
          <w:p w14:paraId="26E9FDB0">
            <w:pPr>
              <w:spacing w:line="360" w:lineRule="auto"/>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学生宿舍</w:t>
            </w:r>
          </w:p>
        </w:tc>
        <w:tc>
          <w:tcPr>
            <w:tcW w:w="3990" w:type="dxa"/>
            <w:noWrap w:val="0"/>
            <w:vAlign w:val="center"/>
          </w:tcPr>
          <w:p w14:paraId="5D710F23">
            <w:pPr>
              <w:spacing w:line="360" w:lineRule="auto"/>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2栋学生宿舍</w:t>
            </w:r>
          </w:p>
        </w:tc>
      </w:tr>
      <w:tr w14:paraId="11700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29" w:type="dxa"/>
            <w:noWrap w:val="0"/>
            <w:vAlign w:val="center"/>
          </w:tcPr>
          <w:p w14:paraId="75528871">
            <w:pPr>
              <w:spacing w:line="360" w:lineRule="auto"/>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7</w:t>
            </w:r>
          </w:p>
        </w:tc>
        <w:tc>
          <w:tcPr>
            <w:tcW w:w="3563" w:type="dxa"/>
            <w:noWrap w:val="0"/>
            <w:vAlign w:val="center"/>
          </w:tcPr>
          <w:p w14:paraId="4335661A">
            <w:pPr>
              <w:spacing w:line="360" w:lineRule="auto"/>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教学及生活附属用地</w:t>
            </w:r>
          </w:p>
        </w:tc>
        <w:tc>
          <w:tcPr>
            <w:tcW w:w="3990" w:type="dxa"/>
            <w:noWrap w:val="0"/>
            <w:vAlign w:val="center"/>
          </w:tcPr>
          <w:p w14:paraId="3F7F325D">
            <w:pPr>
              <w:spacing w:line="360" w:lineRule="auto"/>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图书馆、食堂、体育馆等</w:t>
            </w:r>
          </w:p>
        </w:tc>
      </w:tr>
      <w:tr w14:paraId="674B5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29" w:type="dxa"/>
            <w:noWrap w:val="0"/>
            <w:vAlign w:val="center"/>
          </w:tcPr>
          <w:p w14:paraId="6DB88A3B">
            <w:pPr>
              <w:spacing w:line="360" w:lineRule="auto"/>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8</w:t>
            </w:r>
          </w:p>
        </w:tc>
        <w:tc>
          <w:tcPr>
            <w:tcW w:w="3563" w:type="dxa"/>
            <w:noWrap w:val="0"/>
            <w:vAlign w:val="center"/>
          </w:tcPr>
          <w:p w14:paraId="2F32DB32">
            <w:pPr>
              <w:spacing w:line="360" w:lineRule="auto"/>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校园道路、广场、校门</w:t>
            </w:r>
          </w:p>
        </w:tc>
        <w:tc>
          <w:tcPr>
            <w:tcW w:w="3990" w:type="dxa"/>
            <w:noWrap w:val="0"/>
            <w:vAlign w:val="center"/>
          </w:tcPr>
          <w:p w14:paraId="6B36EF61">
            <w:pPr>
              <w:spacing w:line="360" w:lineRule="auto"/>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以实际现有为准</w:t>
            </w:r>
          </w:p>
        </w:tc>
      </w:tr>
      <w:tr w14:paraId="4C092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29" w:type="dxa"/>
            <w:noWrap w:val="0"/>
            <w:vAlign w:val="center"/>
          </w:tcPr>
          <w:p w14:paraId="2108297A">
            <w:pPr>
              <w:spacing w:line="360" w:lineRule="auto"/>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9</w:t>
            </w:r>
          </w:p>
        </w:tc>
        <w:tc>
          <w:tcPr>
            <w:tcW w:w="3563" w:type="dxa"/>
            <w:noWrap w:val="0"/>
            <w:vAlign w:val="center"/>
          </w:tcPr>
          <w:p w14:paraId="3B1AF009">
            <w:pPr>
              <w:spacing w:line="360" w:lineRule="auto"/>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室外运动场</w:t>
            </w:r>
          </w:p>
        </w:tc>
        <w:tc>
          <w:tcPr>
            <w:tcW w:w="3990" w:type="dxa"/>
            <w:noWrap w:val="0"/>
            <w:vAlign w:val="center"/>
          </w:tcPr>
          <w:p w14:paraId="2BC61A64">
            <w:pPr>
              <w:spacing w:line="360" w:lineRule="auto"/>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以实际现有为准</w:t>
            </w:r>
          </w:p>
        </w:tc>
      </w:tr>
      <w:tr w14:paraId="58A4A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 w:hRule="atLeast"/>
          <w:jc w:val="center"/>
        </w:trPr>
        <w:tc>
          <w:tcPr>
            <w:tcW w:w="1129" w:type="dxa"/>
            <w:noWrap w:val="0"/>
            <w:vAlign w:val="center"/>
          </w:tcPr>
          <w:p w14:paraId="718124A8">
            <w:pPr>
              <w:spacing w:line="360" w:lineRule="auto"/>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10</w:t>
            </w:r>
          </w:p>
        </w:tc>
        <w:tc>
          <w:tcPr>
            <w:tcW w:w="3563" w:type="dxa"/>
            <w:noWrap w:val="0"/>
            <w:vAlign w:val="center"/>
          </w:tcPr>
          <w:p w14:paraId="6E1F42D6">
            <w:pPr>
              <w:spacing w:line="360" w:lineRule="auto"/>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校园绿地</w:t>
            </w:r>
          </w:p>
        </w:tc>
        <w:tc>
          <w:tcPr>
            <w:tcW w:w="3990" w:type="dxa"/>
            <w:noWrap w:val="0"/>
            <w:vAlign w:val="center"/>
          </w:tcPr>
          <w:p w14:paraId="005A2A5F">
            <w:pPr>
              <w:spacing w:line="360" w:lineRule="auto"/>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以实际现有为准</w:t>
            </w:r>
          </w:p>
        </w:tc>
      </w:tr>
    </w:tbl>
    <w:p w14:paraId="39DFD46F">
      <w:pPr>
        <w:spacing w:line="360" w:lineRule="auto"/>
        <w:rPr>
          <w:rFonts w:hint="eastAsia" w:ascii="仿宋_GB2312" w:hAnsi="仿宋_GB2312" w:eastAsia="仿宋_GB2312" w:cs="仿宋_GB2312"/>
          <w:b/>
          <w:bCs/>
          <w:szCs w:val="21"/>
          <w:lang w:eastAsia="zh-CN"/>
        </w:rPr>
      </w:pPr>
      <w:r>
        <w:rPr>
          <w:rFonts w:hint="eastAsia" w:ascii="仿宋_GB2312" w:hAnsi="仿宋_GB2312" w:eastAsia="仿宋_GB2312" w:cs="仿宋_GB2312"/>
          <w:b/>
          <w:bCs/>
          <w:szCs w:val="21"/>
          <w:lang w:eastAsia="zh-CN"/>
        </w:rPr>
        <w:t>（二）物业管理和后勤服务服务事项及要求</w:t>
      </w:r>
    </w:p>
    <w:p w14:paraId="0685237E">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1、投标人各项管理制度健全，具有明确的岗位职责、工作标准、考核措施及奖惩办法，并建有详细的物业管理和后勤服务工作档案。</w:t>
      </w:r>
    </w:p>
    <w:p w14:paraId="6B13EACF">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2.服从学校管理、遵守学校有关规章制度，执行学校安全管理规定，严格按学校要求做好校园安全管理工作，自觉接受学校相关职能管理部门的业务检查、监督和指导；</w:t>
      </w:r>
    </w:p>
    <w:p w14:paraId="073024FA">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3.须配备政治、业务素质高，工作责任心强的专职管理人员，负责对工作人员的教育训练与管理，确保工作人员的教育训练与管理，使其具备较好的政治、业务素质；</w:t>
      </w:r>
    </w:p>
    <w:p w14:paraId="0B50F85C">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lang w:eastAsia="zh-CN"/>
        </w:rPr>
        <w:t>.投标人要配合采购人做好节能管理工作，配合采购人教育师生员工节约用水用电。</w:t>
      </w:r>
    </w:p>
    <w:p w14:paraId="0D129169">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lang w:eastAsia="zh-CN"/>
        </w:rPr>
        <w:t>.对投标文件中的漏项、错项、错算量等引起的差异视为已包含在投标总报价中，如果是项目必须、合理的配套服务内容，投标人必须提供相应的服务内容，采购人不再额外增加服务费用给投标人，中标金额以投标总价为准。</w:t>
      </w:r>
    </w:p>
    <w:p w14:paraId="52546625">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6</w:t>
      </w:r>
      <w:r>
        <w:rPr>
          <w:rFonts w:hint="eastAsia" w:ascii="仿宋_GB2312" w:hAnsi="仿宋_GB2312" w:eastAsia="仿宋_GB2312" w:cs="仿宋_GB2312"/>
          <w:szCs w:val="21"/>
          <w:lang w:eastAsia="zh-CN"/>
        </w:rPr>
        <w:t>.有整套的严格管理、操作性强且行之有效的规定和制度，经常加强对工作人员的政治教育与业务培训，树立爱业敬岗、护校的主人翁精神和文明礼貌的风尚，坚持文明值勤，礼貌待人，处事公正、依法依规办事，遵纪守法，执行政策；有效防止违法乱纪和监守自盗的现象；</w:t>
      </w:r>
    </w:p>
    <w:p w14:paraId="3648DFBE">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7</w:t>
      </w:r>
      <w:r>
        <w:rPr>
          <w:rFonts w:hint="eastAsia" w:ascii="仿宋_GB2312" w:hAnsi="仿宋_GB2312" w:eastAsia="仿宋_GB2312" w:cs="仿宋_GB2312"/>
          <w:szCs w:val="21"/>
          <w:lang w:eastAsia="zh-CN"/>
        </w:rPr>
        <w:t>.房屋、设备、设施档案分类成册，各个部门工作计划、工作记录、管理制度等资料管理完善，方便查阅；</w:t>
      </w:r>
    </w:p>
    <w:p w14:paraId="3B54AAA9">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8</w:t>
      </w:r>
      <w:r>
        <w:rPr>
          <w:rFonts w:hint="eastAsia" w:ascii="仿宋_GB2312" w:hAnsi="仿宋_GB2312" w:eastAsia="仿宋_GB2312" w:cs="仿宋_GB2312"/>
          <w:szCs w:val="21"/>
          <w:lang w:eastAsia="zh-CN"/>
        </w:rPr>
        <w:t>.员工健康证、身份证、以及其他政府部门、公安部门要求的相关证件齐全；</w:t>
      </w:r>
    </w:p>
    <w:p w14:paraId="50320BE3">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9</w:t>
      </w:r>
      <w:r>
        <w:rPr>
          <w:rFonts w:hint="eastAsia" w:ascii="仿宋_GB2312" w:hAnsi="仿宋_GB2312" w:eastAsia="仿宋_GB2312" w:cs="仿宋_GB2312"/>
          <w:szCs w:val="21"/>
          <w:lang w:eastAsia="zh-CN"/>
        </w:rPr>
        <w:t>.专业机电维护维修人员（强电、弱电、电梯、空调、水暖、消防安全操作员）持证上岗；</w:t>
      </w:r>
    </w:p>
    <w:p w14:paraId="19B01B33">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10</w:t>
      </w:r>
      <w:r>
        <w:rPr>
          <w:rFonts w:hint="eastAsia" w:ascii="仿宋_GB2312" w:hAnsi="仿宋_GB2312" w:eastAsia="仿宋_GB2312" w:cs="仿宋_GB2312"/>
          <w:szCs w:val="21"/>
          <w:lang w:eastAsia="zh-CN"/>
        </w:rPr>
        <w:t>.员工统一服装，佩带明显标志，工作规范；</w:t>
      </w:r>
    </w:p>
    <w:p w14:paraId="779F642D">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w:t>
      </w: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lang w:eastAsia="zh-CN"/>
        </w:rPr>
        <w:t>.有完善的员工培训计划和实施计划；</w:t>
      </w:r>
    </w:p>
    <w:p w14:paraId="3810EF23">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lang w:eastAsia="zh-CN"/>
        </w:rPr>
        <w:t>.有健全的报修服务、投诉受理及回应机制，确保师生满意率；</w:t>
      </w:r>
    </w:p>
    <w:p w14:paraId="13F1AF9D">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w:t>
      </w: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lang w:eastAsia="zh-CN"/>
        </w:rPr>
        <w:t>.投标人在服务期内应制定相应的应急预案，在出现自然灾害或重大事件时，必须组织自身的人员积极响应采购人的要求参与工作。</w:t>
      </w:r>
    </w:p>
    <w:p w14:paraId="02657EBD">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lang w:eastAsia="zh-CN"/>
        </w:rPr>
        <w:t>.寒、暑假清洗学生宿舍、课室和行政楼风扇及空调滤网。如需要及时清洗，不另外增加费用。</w:t>
      </w:r>
    </w:p>
    <w:p w14:paraId="44097C77">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lang w:eastAsia="zh-CN"/>
        </w:rPr>
        <w:t>.投标人需制定完整的“业务连续性计划”，加强项目服务连续性管理。投标人需通过对项目运作不确定性和风险的识别，加强在出现突发状况时迅速作出反应的能力，减少问题事件给采购人带来的损失，保持核心功能的正常运行。</w:t>
      </w:r>
    </w:p>
    <w:p w14:paraId="44AC3B15">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w:t>
      </w:r>
      <w:r>
        <w:rPr>
          <w:rFonts w:hint="eastAsia" w:ascii="仿宋_GB2312" w:hAnsi="仿宋_GB2312" w:eastAsia="仿宋_GB2312" w:cs="仿宋_GB2312"/>
          <w:szCs w:val="21"/>
          <w:lang w:val="en-US" w:eastAsia="zh-CN"/>
        </w:rPr>
        <w:t>6</w:t>
      </w:r>
      <w:r>
        <w:rPr>
          <w:rFonts w:hint="eastAsia" w:ascii="仿宋_GB2312" w:hAnsi="仿宋_GB2312" w:eastAsia="仿宋_GB2312" w:cs="仿宋_GB2312"/>
          <w:szCs w:val="21"/>
          <w:lang w:eastAsia="zh-CN"/>
        </w:rPr>
        <w:t>.投标人在合同期内，人员经费、垃圾处理费等不因政策变化而调整。</w:t>
      </w:r>
    </w:p>
    <w:p w14:paraId="74AEDCC4">
      <w:pPr>
        <w:spacing w:line="360" w:lineRule="auto"/>
        <w:rPr>
          <w:rFonts w:hint="eastAsia" w:ascii="仿宋_GB2312" w:hAnsi="仿宋_GB2312" w:eastAsia="仿宋_GB2312" w:cs="仿宋_GB2312"/>
          <w:b/>
          <w:bCs/>
          <w:szCs w:val="21"/>
          <w:lang w:eastAsia="zh-CN"/>
        </w:rPr>
      </w:pPr>
      <w:r>
        <w:rPr>
          <w:rFonts w:hint="eastAsia" w:ascii="仿宋_GB2312" w:hAnsi="仿宋_GB2312" w:eastAsia="仿宋_GB2312" w:cs="仿宋_GB2312"/>
          <w:b/>
          <w:bCs/>
          <w:szCs w:val="21"/>
          <w:lang w:eastAsia="zh-CN"/>
        </w:rPr>
        <w:t>（三）学生宿舍管理服务</w:t>
      </w:r>
    </w:p>
    <w:p w14:paraId="3E4C722F">
      <w:pPr>
        <w:spacing w:line="360" w:lineRule="auto"/>
        <w:rPr>
          <w:rFonts w:hint="eastAsia" w:ascii="仿宋_GB2312" w:hAnsi="仿宋_GB2312" w:eastAsia="仿宋_GB2312" w:cs="仿宋_GB2312"/>
          <w:szCs w:val="21"/>
          <w:u w:val="none"/>
          <w:lang w:eastAsia="zh-CN"/>
        </w:rPr>
      </w:pPr>
      <w:r>
        <w:rPr>
          <w:rFonts w:hint="eastAsia" w:ascii="仿宋_GB2312" w:hAnsi="仿宋_GB2312" w:eastAsia="仿宋_GB2312" w:cs="仿宋_GB2312"/>
          <w:szCs w:val="21"/>
          <w:u w:val="none"/>
          <w:lang w:eastAsia="zh-CN"/>
        </w:rPr>
        <w:t>1.</w:t>
      </w:r>
      <w:r>
        <w:rPr>
          <w:rFonts w:hint="eastAsia" w:ascii="仿宋_GB2312" w:hAnsi="仿宋_GB2312" w:eastAsia="仿宋_GB2312" w:cs="仿宋_GB2312"/>
          <w:szCs w:val="21"/>
          <w:u w:val="none"/>
          <w:lang w:val="en-US" w:eastAsia="zh-CN"/>
        </w:rPr>
        <w:t>学生宿舍管理人员年龄需在20-40岁以内，</w:t>
      </w:r>
      <w:r>
        <w:rPr>
          <w:rFonts w:hint="eastAsia" w:ascii="仿宋_GB2312" w:hAnsi="仿宋_GB2312" w:eastAsia="仿宋_GB2312" w:cs="仿宋_GB2312"/>
          <w:szCs w:val="21"/>
          <w:u w:val="none"/>
          <w:lang w:eastAsia="zh-CN"/>
        </w:rPr>
        <w:t>女生宿舍的服务人员必须安排女员工。</w:t>
      </w:r>
    </w:p>
    <w:p w14:paraId="6F31574A">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2.做好宿舍的垃圾分类工作，按照有关垃圾分类的文件要求执行；</w:t>
      </w:r>
    </w:p>
    <w:p w14:paraId="5A239256">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3.配合学生处等部门做好学生宿舍内的日常卫生检查和评比；</w:t>
      </w:r>
    </w:p>
    <w:p w14:paraId="0EFF2A5F">
      <w:pPr>
        <w:spacing w:line="360" w:lineRule="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eastAsia="zh-CN"/>
        </w:rPr>
        <w:t>4.★负责学生宿舍楼的</w:t>
      </w:r>
      <w:r>
        <w:rPr>
          <w:rFonts w:hint="eastAsia" w:ascii="仿宋_GB2312" w:hAnsi="仿宋_GB2312" w:eastAsia="仿宋_GB2312" w:cs="仿宋_GB2312"/>
          <w:szCs w:val="21"/>
          <w:highlight w:val="none"/>
          <w:lang w:val="en-US" w:eastAsia="zh-CN"/>
        </w:rPr>
        <w:t>安全</w:t>
      </w:r>
      <w:r>
        <w:rPr>
          <w:rFonts w:hint="eastAsia" w:ascii="仿宋_GB2312" w:hAnsi="仿宋_GB2312" w:eastAsia="仿宋_GB2312" w:cs="仿宋_GB2312"/>
          <w:szCs w:val="21"/>
          <w:highlight w:val="none"/>
          <w:lang w:eastAsia="zh-CN"/>
        </w:rPr>
        <w:t>管理，对学生违纪行为进行纠正，对楼内发生的矛盾及时进行调解，及时处理突发事件；每栋宿舍楼须配专职宿管员24小时制值班,每日不少于8次巡查，须做好记录；加强对进入学生宿舍人员的检查和登记；专职宿管员名单及其驻守的宿舍由投标人向学校后勤管理人报备，如需更换人员应提前向后勤管理人报备；</w:t>
      </w:r>
    </w:p>
    <w:p w14:paraId="23116846">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5.依据学校的规定做好学生入住、退房、来访登记、大件物品出入登记、报修登记、晚归夜出登记等工作，协助学校做好毕业生离校及新生入住工作；</w:t>
      </w:r>
    </w:p>
    <w:p w14:paraId="5D2637B7">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6.维持学生宿舍正常的学习、生活秩序，检查作息，督促学生按时熄灯，检查学生晚归、外宿情况，并定期将检查结果汇总上报学生处；</w:t>
      </w:r>
    </w:p>
    <w:p w14:paraId="740C31CD">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7.严格执行学生宿舍会客制度，来访客人须经值班室登记后方可进入宿舍，学生宿舍不准留宿外人；不得随意进入异性宿舍，经过批准的须在晚上10点以前离开；</w:t>
      </w:r>
    </w:p>
    <w:p w14:paraId="4D7BB4E4">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lang w:eastAsia="zh-CN"/>
        </w:rPr>
        <w:t>8.负责学生宿舍</w:t>
      </w:r>
      <w:r>
        <w:rPr>
          <w:rFonts w:hint="eastAsia" w:ascii="仿宋_GB2312" w:hAnsi="仿宋_GB2312" w:eastAsia="仿宋_GB2312" w:cs="仿宋_GB2312"/>
          <w:szCs w:val="21"/>
          <w:lang w:val="en-US" w:eastAsia="zh-CN"/>
        </w:rPr>
        <w:t>公物财产</w:t>
      </w:r>
      <w:r>
        <w:rPr>
          <w:rFonts w:hint="eastAsia" w:ascii="仿宋_GB2312" w:hAnsi="仿宋_GB2312" w:eastAsia="仿宋_GB2312" w:cs="仿宋_GB2312"/>
          <w:szCs w:val="21"/>
          <w:lang w:eastAsia="zh-CN"/>
        </w:rPr>
        <w:t>、设施资产的管理工作，建账建卡；</w:t>
      </w:r>
    </w:p>
    <w:p w14:paraId="6700B575">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9.负责学生宿舍配置设备、设施的维护维修，空调室内机外表清洁；</w:t>
      </w:r>
    </w:p>
    <w:p w14:paraId="30BF0344">
      <w:pPr>
        <w:spacing w:line="360" w:lineRule="auto"/>
        <w:rPr>
          <w:rFonts w:hint="eastAsia" w:ascii="仿宋_GB2312" w:hAnsi="仿宋_GB2312" w:eastAsia="仿宋_GB2312" w:cs="仿宋_GB2312"/>
          <w:szCs w:val="21"/>
          <w:u w:val="none"/>
          <w:lang w:val="en-US" w:eastAsia="zh-CN"/>
        </w:rPr>
      </w:pPr>
      <w:r>
        <w:rPr>
          <w:rFonts w:hint="eastAsia" w:ascii="仿宋_GB2312" w:hAnsi="仿宋_GB2312" w:eastAsia="仿宋_GB2312" w:cs="仿宋_GB2312"/>
          <w:szCs w:val="21"/>
          <w:u w:val="none"/>
          <w:lang w:eastAsia="zh-CN"/>
        </w:rPr>
        <w:t>10.负责宿舍的用水用电管理；协助学校收缴水电费，节约用水用电，保证用水用电安全。</w:t>
      </w:r>
    </w:p>
    <w:p w14:paraId="7A191BC0">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11.负责清洁学生毕业离校后的空房间、新生准备宿舍、非在宿学生的空房间等，包括假期因学校工作临时住宿的房间清洁工作；</w:t>
      </w:r>
    </w:p>
    <w:p w14:paraId="6E6575DA">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lang w:eastAsia="zh-CN"/>
        </w:rPr>
        <w:t>1</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lang w:eastAsia="zh-CN"/>
        </w:rPr>
        <w:t>.为学生排忧解难，提供优质服务，学生反映的问题要及时报学生处及有关部门；</w:t>
      </w:r>
    </w:p>
    <w:p w14:paraId="10F5486E">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w:t>
      </w: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lang w:eastAsia="zh-CN"/>
        </w:rPr>
        <w:t>.负责宿舍安全管理，做好“四防”工作（防止突发事件、防盗、防火、防灾害事故），严格遵守宿舍作息时间，按照规定的时间开门、关门、开灯、关灯；</w:t>
      </w:r>
    </w:p>
    <w:p w14:paraId="4A6D96D8">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lang w:eastAsia="zh-CN"/>
        </w:rPr>
        <w:t>.配合学生处开展的相关活动和便民服务等工作；</w:t>
      </w:r>
    </w:p>
    <w:p w14:paraId="6B147077">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lang w:eastAsia="zh-CN"/>
        </w:rPr>
        <w:t>.负责做好宿舍的公物管理，保证宿舍的公用配套设施处于良好的使用状态（包括水电、照明、门窗、玻璃、家具、消防器材等），要及时制止损坏公物的行为；要保持值班室、配电房、寝室内外整洁，要按规定放置和使用消防器材；</w:t>
      </w:r>
    </w:p>
    <w:p w14:paraId="6DC212B2">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w:t>
      </w:r>
      <w:r>
        <w:rPr>
          <w:rFonts w:hint="eastAsia" w:ascii="仿宋_GB2312" w:hAnsi="仿宋_GB2312" w:eastAsia="仿宋_GB2312" w:cs="仿宋_GB2312"/>
          <w:szCs w:val="21"/>
          <w:lang w:val="en-US" w:eastAsia="zh-CN"/>
        </w:rPr>
        <w:t>6</w:t>
      </w:r>
      <w:r>
        <w:rPr>
          <w:rFonts w:hint="eastAsia" w:ascii="仿宋_GB2312" w:hAnsi="仿宋_GB2312" w:eastAsia="仿宋_GB2312" w:cs="仿宋_GB2312"/>
          <w:szCs w:val="21"/>
          <w:lang w:eastAsia="zh-CN"/>
        </w:rPr>
        <w:t>.及时更新校园网信息，认真填写值班记录，按时将情况报告后勤管理人；</w:t>
      </w:r>
    </w:p>
    <w:p w14:paraId="0154BDBE">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w:t>
      </w:r>
      <w:r>
        <w:rPr>
          <w:rFonts w:hint="eastAsia" w:ascii="仿宋_GB2312" w:hAnsi="仿宋_GB2312" w:eastAsia="仿宋_GB2312" w:cs="仿宋_GB2312"/>
          <w:szCs w:val="21"/>
          <w:lang w:val="en-US" w:eastAsia="zh-CN"/>
        </w:rPr>
        <w:t>7</w:t>
      </w:r>
      <w:r>
        <w:rPr>
          <w:rFonts w:hint="eastAsia" w:ascii="仿宋_GB2312" w:hAnsi="仿宋_GB2312" w:eastAsia="仿宋_GB2312" w:cs="仿宋_GB2312"/>
          <w:szCs w:val="21"/>
          <w:lang w:eastAsia="zh-CN"/>
        </w:rPr>
        <w:t>.厕所堵塞，当天疏通（需换厕盆的除外）。</w:t>
      </w:r>
    </w:p>
    <w:p w14:paraId="29A231C4">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w:t>
      </w:r>
      <w:r>
        <w:rPr>
          <w:rFonts w:hint="eastAsia" w:ascii="仿宋_GB2312" w:hAnsi="仿宋_GB2312" w:eastAsia="仿宋_GB2312" w:cs="仿宋_GB2312"/>
          <w:szCs w:val="21"/>
          <w:lang w:val="en-US" w:eastAsia="zh-CN"/>
        </w:rPr>
        <w:t>8</w:t>
      </w:r>
      <w:r>
        <w:rPr>
          <w:rFonts w:hint="eastAsia" w:ascii="仿宋_GB2312" w:hAnsi="仿宋_GB2312" w:eastAsia="仿宋_GB2312" w:cs="仿宋_GB2312"/>
          <w:szCs w:val="21"/>
          <w:lang w:eastAsia="zh-CN"/>
        </w:rPr>
        <w:t>.每天中午、晚上组织查房工作，及时处理安全隐患和不稳定因素；</w:t>
      </w:r>
    </w:p>
    <w:p w14:paraId="7A211A23">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19.</w:t>
      </w:r>
      <w:r>
        <w:rPr>
          <w:rFonts w:hint="eastAsia" w:ascii="仿宋_GB2312" w:hAnsi="仿宋_GB2312" w:eastAsia="仿宋_GB2312" w:cs="仿宋_GB2312"/>
          <w:szCs w:val="21"/>
          <w:lang w:eastAsia="zh-CN"/>
        </w:rPr>
        <w:t>日常管理遵照《</w:t>
      </w:r>
      <w:r>
        <w:rPr>
          <w:rFonts w:hint="eastAsia" w:ascii="仿宋_GB2312" w:hAnsi="仿宋_GB2312" w:eastAsia="仿宋_GB2312" w:cs="仿宋_GB2312"/>
          <w:szCs w:val="21"/>
          <w:lang w:val="en-US" w:eastAsia="zh-CN"/>
        </w:rPr>
        <w:t>宿管员值班管理规定</w:t>
      </w:r>
      <w:r>
        <w:rPr>
          <w:rFonts w:hint="eastAsia" w:ascii="仿宋_GB2312" w:hAnsi="仿宋_GB2312" w:eastAsia="仿宋_GB2312" w:cs="仿宋_GB2312"/>
          <w:szCs w:val="21"/>
          <w:lang w:eastAsia="zh-CN"/>
        </w:rPr>
        <w:t>》、《学校学生宿舍（宿舍）管理办法》。</w:t>
      </w:r>
    </w:p>
    <w:p w14:paraId="13B9DE00">
      <w:pPr>
        <w:adjustRightInd w:val="0"/>
        <w:snapToGrid w:val="0"/>
        <w:spacing w:line="360" w:lineRule="auto"/>
        <w:rPr>
          <w:rFonts w:hint="eastAsia" w:ascii="仿宋_GB2312" w:hAnsi="仿宋_GB2312" w:eastAsia="仿宋_GB2312" w:cs="仿宋_GB2312"/>
          <w:b w:val="0"/>
          <w:bCs/>
          <w:sz w:val="21"/>
          <w:szCs w:val="21"/>
          <w:u w:val="none"/>
        </w:rPr>
      </w:pPr>
      <w:r>
        <w:rPr>
          <w:rFonts w:hint="eastAsia" w:ascii="仿宋_GB2312" w:hAnsi="仿宋_GB2312" w:eastAsia="仿宋_GB2312" w:cs="仿宋_GB2312"/>
          <w:b w:val="0"/>
          <w:bCs/>
          <w:sz w:val="21"/>
          <w:szCs w:val="21"/>
          <w:u w:val="none"/>
        </w:rPr>
        <w:t>《</w:t>
      </w:r>
      <w:r>
        <w:rPr>
          <w:rFonts w:hint="eastAsia" w:ascii="仿宋_GB2312" w:hAnsi="仿宋_GB2312" w:eastAsia="仿宋_GB2312" w:cs="仿宋_GB2312"/>
          <w:b w:val="0"/>
          <w:bCs/>
          <w:color w:val="auto"/>
          <w:kern w:val="2"/>
          <w:sz w:val="21"/>
          <w:szCs w:val="21"/>
          <w:u w:val="none"/>
          <w:lang w:val="en-US" w:eastAsia="zh-CN" w:bidi="ar-SA"/>
        </w:rPr>
        <w:t>宿管员值班管理规定</w:t>
      </w:r>
      <w:r>
        <w:rPr>
          <w:rFonts w:hint="eastAsia" w:ascii="仿宋_GB2312" w:hAnsi="仿宋_GB2312" w:eastAsia="仿宋_GB2312" w:cs="仿宋_GB2312"/>
          <w:b w:val="0"/>
          <w:bCs/>
          <w:sz w:val="21"/>
          <w:szCs w:val="21"/>
          <w:u w:val="none"/>
        </w:rPr>
        <w:t>》</w:t>
      </w:r>
    </w:p>
    <w:p w14:paraId="38A05B1E">
      <w:pPr>
        <w:spacing w:line="360" w:lineRule="auto"/>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一、负责宿舍所有设备管理，每天要认真巡查各宿舍公物情况，若有损坏或丢失要及时登记并上报后勤督促维修。</w:t>
      </w:r>
    </w:p>
    <w:p w14:paraId="176BD87E">
      <w:pPr>
        <w:spacing w:line="360" w:lineRule="auto"/>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二、做好防火、防盗、防暴工作，发现案情及时做应急处理，并及时报告学校领导。</w:t>
      </w:r>
    </w:p>
    <w:p w14:paraId="74A2AB95">
      <w:pPr>
        <w:spacing w:line="360" w:lineRule="auto"/>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三、关心学生生活，按时开关门，保障住校生能按时归宿休息。严格检查，禁止非住宿人员进入宿舍，白天和夜间深入房间查房不少于四次，并做好查房记录。</w:t>
      </w:r>
    </w:p>
    <w:p w14:paraId="43A15EF0">
      <w:pPr>
        <w:spacing w:line="360" w:lineRule="auto"/>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四、早晨8点要督促各宿舍清理室内外卫生，每天上午10点，下午5点各检查室内卫生一次，认真登记。检查范围：床铺毛巾，窗台桌面是否整齐，干净，地面是否清洁，行李是否整齐，床下鞋子是否一条线，房内是否有垃圾。宿管老师认真填写宿舍日查周查表，每周对宿舍学生的卫生内务纪律进行检查情况汇总，每周五下午将结果上报宿舍负责人。</w:t>
      </w:r>
    </w:p>
    <w:p w14:paraId="5611EE66">
      <w:pPr>
        <w:spacing w:line="360" w:lineRule="auto"/>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五、严格学生请销假制度，请假必须有统一的假条，班主任签字，交于宿舍处存档，登记，学生归校后必须在假条上销假，宿管人员签字，所有的假条存档一年以上方可销毁。</w:t>
      </w:r>
    </w:p>
    <w:p w14:paraId="1B9163EC">
      <w:pPr>
        <w:spacing w:line="360" w:lineRule="auto"/>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六、宿管值夜班人员应加强对各宿舍的巡视检查，每晚夜间不得少于四次，并详细记录查房时间，人员就寝情况，如发现问题，及时向当天值班领导报告。</w:t>
      </w:r>
    </w:p>
    <w:p w14:paraId="6D76EEEC">
      <w:pPr>
        <w:spacing w:line="360" w:lineRule="auto"/>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七、督促学生保管好自己的物品，明确告知学生禁止将手机和其它贵重物品带进宿舍，一经发现手机将严肃处理，贵重物品丢失后果自负。</w:t>
      </w:r>
    </w:p>
    <w:p w14:paraId="40946B36">
      <w:pPr>
        <w:spacing w:line="360" w:lineRule="auto"/>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八、严禁学生宿舍内私自接电，使用电器，点蜡烛，严禁出现管制刀具及铁棍，棒等凶器，一经发现及时处理，否则将追究宿管人员责任。</w:t>
      </w:r>
    </w:p>
    <w:p w14:paraId="7A8396B4">
      <w:pPr>
        <w:spacing w:line="360" w:lineRule="auto"/>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九、在宿舍内发生打架，打群架，敲诈勒索要及时予以制止，若宿管人员脱岗或不负责任未及时制止视情节给予经济处罚。造成严重后果追究值班人责任。学生在宿舍打架或者意外受伤除了及时联系校医带学生就诊之外还要及时上报班主任、内学办和宿舍负责人。</w:t>
      </w:r>
    </w:p>
    <w:p w14:paraId="74D1E1BB">
      <w:pPr>
        <w:spacing w:line="360" w:lineRule="auto"/>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十、严格交接班制度，每班应提前半小时交接，两人必须见面并认真做好记录。接班时应检查公务损坏情况，交班人员将前一天在宿舍楼里的情况给接班人讲清楚，例如生病隔离的学生、宿舍内需维修的设施等，并认真填写宿舍内的值班记录。</w:t>
      </w:r>
    </w:p>
    <w:p w14:paraId="44AA3E2D">
      <w:pPr>
        <w:spacing w:line="360" w:lineRule="auto"/>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十一、宿管老师每天应做到下午学生离开宿舍后开始宿舍里面进行消毒，春秋冬季传染病高发期做好宿舍内的艾条熏点工作。周天安排好学生洗澡，每天中午晚上下晚自习后在宿舍门口接学生，并量体温，清点人数，学生全部回到宿舍后按时锁门上楼查看学生安全与洗漱就寝情况。晚上学生洗漱30分钟后按时熄灯，熄灯后到各个宿舍检查人员到齐情况，并督促学生睡觉。第二天早上对各宿舍的内务管理情况检查后和就寝情况公布在宿舍区小黑板上，存在问题立即整改。</w:t>
      </w:r>
    </w:p>
    <w:p w14:paraId="124519C2">
      <w:pPr>
        <w:spacing w:line="360" w:lineRule="auto"/>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十二、宿管老师与学生交谈时不能使用伤害学生自尊的语言，不能打骂、体罚学生，要做到有爱心的管理，宿管老师之间要保持团结友爱，互帮互助。</w:t>
      </w:r>
    </w:p>
    <w:p w14:paraId="1EC2F3C9">
      <w:pPr>
        <w:spacing w:line="360" w:lineRule="auto"/>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十三、配合学校组织的临时性的内初班学生外出活动的跟队组织管理工作。</w:t>
      </w:r>
    </w:p>
    <w:p w14:paraId="0D75DB41">
      <w:pPr>
        <w:spacing w:line="360" w:lineRule="auto"/>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十四、服从学校安排的其他临时性工作。</w:t>
      </w:r>
    </w:p>
    <w:p w14:paraId="130567A4">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奎屯市第七中学学生宿舍（宿舍）管理办法</w:t>
      </w:r>
    </w:p>
    <w:p w14:paraId="7CB4D6B3">
      <w:pPr>
        <w:spacing w:line="360" w:lineRule="auto"/>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一、卫生管理：做好宿舍内学生日常管理工作，每天早上、中午按时叫学生起床，督促学生打扫卫生，整理个人内务，做到宿舍内、水房、卫生间、走廊、过道、窗台、窗户外、桌面、学生库房等所有地方干净整洁无垃圾，室内无异味。学生走后检查宿舍内外卫生，有问题的地方及时反馈并整改，做好宿舍内消杀通风并填写记录。天气好的情况下组织好学生晾晒被褥，每月督促学生清洗床单被罩，个别特殊学生宿管进行清洗。每个宿舍设立舍长一名，负责本宿舍的管理。实行卫生轮流值日制度，严格按宿管员要求每天定时清扫宿舍卫生整理内务。每周大扫除一次，早中晚宿舍不留垃圾，寒暑假放假离校，一律将宿舍卫生打扫干净，收拾好私人物品，关好门窗电源。宿舍内及个人物品柜内一切物品摆放有序，平时要保持室内清洁，地面不能有垃圾，窗明几净，墙壁不得随意张贴字画，不得向公共区域丢弃垃圾，不得向窗户外扔垃圾。</w:t>
      </w:r>
    </w:p>
    <w:p w14:paraId="1EBBDB7B">
      <w:pPr>
        <w:spacing w:line="360" w:lineRule="auto"/>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二、纪律管理：凡是有学生在宿舍，宿管就要对学生进行管理，维护宿舍纪律，制止违纪行为（如喧哗、打闹、窜宿、吸烟、喝酒、打牌等），确保宿舍安静有序，保证学生在宿舍内正常的午休和晚上就寝。每天中午、晚上对学生人数进行仔细清点核对并上报。确保所有学生安全回到宿舍就寝，不能少一人。认真填写宿舍管理方面相关表格、日志。按时归宿，回到宿舍内不得窜宿，按时熄灯就寝，按时起床，保证宿舍楼内安静，不得影响其他同学休息。在宿舍内发生任何违纪或者学生受伤等人身安全事故要第一时间进行及时处理、就医并且告知班主任、内学办。上课及自习课不得回宿舍，特殊情况需要回宿舍，必须有班主任和当天值班领导批示的请假条。 值班室要有人员值守，学生回宿舍休息要手持假条，对在宿舍休息的学生要进行管理和照顾。</w:t>
      </w:r>
    </w:p>
    <w:p w14:paraId="7B2F4008">
      <w:pPr>
        <w:spacing w:line="360" w:lineRule="auto"/>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三、安全及公共设施管理：定期检查宿舍消防设施、电路、窗户护栏、学生床铺有无松动等，确保无安全隐患，严格执行宿舍出入登记制度，防止外来人员进入。学生离开宿舍后要再次对宿舍内进行检查，防止有学生滞留在宿舍内。所有学生清理完后宿舍大门锁闭，夜间宿舍内巡视不得少于两次，发现问题及时上报当天值班领导并处理。宿舍内不存自制食品、药品及其他违禁品。教育学生爱护公共财物和设施。损坏公物，照价赔偿，严禁将公务搬出楼外。在宿舍调整和离校时，要保证宿舍各种设施设备齐全完好。节约用水、用电。严禁私自乱拉电线，严禁使用任何电器设备。注意防火防盗，不准在宿舍楼内点蜡烛、蚊香、焚烧纸屑等任何物品。学生的贵重物品必须交由班主任妥善保管，严防丢失，否则责任自负。每天巡视宿舍设施损坏及下水道、厕所蹲坑情况，及时上报协调后勤维修处理，确保宿舍内设备设施正常使用。并管理学生爱护宿舍内公共设备。宿管定期对宿舍内的逃生窗和消防通道大门进行检查，确保随时能正常打开，宿舍内电箱等危险设备应保持锁闭状态，严禁学生在宿舍楼内进行任何的商品买卖交易活动，将易燃、易爆、刀具等违禁物品带入宿舍楼内，在宿舍楼内吸烟，喝酒，赌博及其他违法行为。 不准在宿舍楼内就餐，除生病学生外。其余时间也不准在宿舍内吃泡面、自热火锅等学校内学办不允许吃的东西。每周五开展优秀宿舍评比活动并把优秀宿舍上报给宿舍负责人。</w:t>
      </w:r>
    </w:p>
    <w:p w14:paraId="1B99258A">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四、周末及节假日管理:周天上午组织好学生洗澡，浴室消杀以及卫生打扫。学生洗澡时宿管尽管理之责，提醒学生爱护公共设施，注意脚下安全，严禁打闹。下午安排学生进行宿舍内卫生大扫除及校园垃圾捡拾。若周末节假日有活动安排配合学校做好相关工作。</w:t>
      </w:r>
    </w:p>
    <w:p w14:paraId="015569D0">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六、宿管工作要求：宿管与学生保持良好的沟通，主动解决问题，及时回应学生需求，关心关爱学生，合理正确的管理学生，讲究方式方法，宽严相济，不打骂体罚学生，在学生面前注意个人言行举止，不抽烟、喝酒、打游戏等，保持积极的工作态度。认真履行职责，确保宿舍秩序和安全。在突发事件（如停电、漏水等）中迅速反应，妥善处理。</w:t>
      </w:r>
    </w:p>
    <w:p w14:paraId="1C5E9CF4">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校医工作职责</w:t>
      </w:r>
    </w:p>
    <w:p w14:paraId="4A094CF0">
      <w:pPr>
        <w:spacing w:line="360" w:lineRule="auto"/>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一、按照上级部门的要求，结合本校实际，制订每学期的学校卫生工作计划，结合学校教学和季节特点，监测学生健康状况，采取多种形式，对学生开展健康教育，积极开展常见病、多发病的预防，培养学生的良好卫生习惯。</w:t>
      </w:r>
    </w:p>
    <w:p w14:paraId="474B59D9">
      <w:pPr>
        <w:spacing w:line="360" w:lineRule="auto"/>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二、校医认真履行岗位职责，24小时学校值守，做好全体学生日常卫生保健工作，对轻微疾病和皮肤擦伤等做初步处理，其他疾病应及时联系生活老师送医院进行诊断治疗，做好学生就医登记及药品管理工作。</w:t>
      </w:r>
    </w:p>
    <w:p w14:paraId="15730872">
      <w:pPr>
        <w:spacing w:line="360" w:lineRule="auto"/>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三、负责全校学生生的常规性、定期性的体检，整理、保存健康档案，春秋冬季传染病高发期做好全校师生常见传染病的预防宣传工作和教学楼内的艾条熏点工作。</w:t>
      </w:r>
    </w:p>
    <w:p w14:paraId="662F7671">
      <w:pPr>
        <w:spacing w:line="360" w:lineRule="auto"/>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四、值班期间发现学生有异常的及时汇报当天值班领导，作出相应的措施。</w:t>
      </w:r>
    </w:p>
    <w:p w14:paraId="69CA4F2F">
      <w:pPr>
        <w:spacing w:line="360" w:lineRule="auto"/>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五、每天收集各班级晨午检记录表，进行汇总，掌握学生因病缺课情况，将数据上报至自治区晨午检平台。</w:t>
      </w:r>
    </w:p>
    <w:p w14:paraId="514BE87E">
      <w:pPr>
        <w:spacing w:line="360" w:lineRule="auto"/>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六、每年秋季做好学生的健康体检工作，认真填好学生体质健康卡，建立健全学生健康档案，注意积累数据，分析健康资料。</w:t>
      </w:r>
    </w:p>
    <w:p w14:paraId="3C78E478">
      <w:pPr>
        <w:spacing w:line="360" w:lineRule="auto"/>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七、做好传染病的管理、各项预防接种和登记、统计工作。如发现传染病，要做到早发现，早报告，早隔离，早消毒处理。严格执行传染病学生复课前的检查制度，以控制传染源。</w:t>
      </w:r>
    </w:p>
    <w:p w14:paraId="63B14407">
      <w:pPr>
        <w:spacing w:line="360" w:lineRule="auto"/>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八、做好教职工的健康查体和医疗保健工作。</w:t>
      </w:r>
    </w:p>
    <w:p w14:paraId="593660E2">
      <w:pPr>
        <w:spacing w:line="360" w:lineRule="auto"/>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九、认真学习，不断提高业务水平，按照上级相关部门工作安排按时参会，做好相对应的检查资料，迎接好检查，积极参加上级部门组织的各种卫生讲座和业务培训。</w:t>
      </w:r>
    </w:p>
    <w:p w14:paraId="21867424">
      <w:pPr>
        <w:spacing w:line="360" w:lineRule="auto"/>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十、每个班认真做好交接班工作及学校安排的其他临时性工作。</w:t>
      </w:r>
    </w:p>
    <w:p w14:paraId="20BDA53E">
      <w:pPr>
        <w:spacing w:line="360" w:lineRule="auto"/>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生活老师工作职责</w:t>
      </w:r>
    </w:p>
    <w:p w14:paraId="5DE93F0F">
      <w:pPr>
        <w:spacing w:line="360" w:lineRule="auto"/>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一、生活老师认真履行岗位职责，24小时学校值守,做好生病学生情况记录，并及时与校医沟通送医院检查工作。每次学生的检查情况及时告知班主任和内学办领导。</w:t>
      </w:r>
    </w:p>
    <w:p w14:paraId="7912650D">
      <w:pPr>
        <w:spacing w:line="360" w:lineRule="auto"/>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二、陪同并照顾夜间生病学生，如有突发情况联系校医并及时送至医院就诊并陪同。</w:t>
      </w:r>
    </w:p>
    <w:p w14:paraId="59D89ABB">
      <w:pPr>
        <w:spacing w:line="360" w:lineRule="auto"/>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三、带学生去医院一次最多带三名学生，需全程陪同学生就诊，中途不能让学生私自去买零食。</w:t>
      </w:r>
    </w:p>
    <w:p w14:paraId="4CA9E720">
      <w:pPr>
        <w:spacing w:line="360" w:lineRule="auto"/>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四、帮助学生购买医生给学生开的需要购买的药品，对有生病或有困难的同学要予以更多的关心、爱护和帮助。</w:t>
      </w:r>
    </w:p>
    <w:p w14:paraId="189646EB">
      <w:pPr>
        <w:spacing w:line="360" w:lineRule="auto"/>
        <w:ind w:firstLine="420" w:firstLineChars="2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五、每个班认真做好交接班工作及学校安排的其他临时性工作。</w:t>
      </w:r>
    </w:p>
    <w:p w14:paraId="271D0821">
      <w:pPr>
        <w:spacing w:line="360" w:lineRule="auto"/>
        <w:rPr>
          <w:rFonts w:hint="eastAsia" w:ascii="仿宋_GB2312" w:hAnsi="仿宋_GB2312" w:eastAsia="仿宋_GB2312" w:cs="仿宋_GB2312"/>
          <w:b/>
          <w:bCs/>
          <w:szCs w:val="21"/>
          <w:lang w:eastAsia="zh-CN"/>
        </w:rPr>
      </w:pPr>
      <w:r>
        <w:rPr>
          <w:rFonts w:hint="eastAsia" w:ascii="仿宋_GB2312" w:hAnsi="仿宋_GB2312" w:eastAsia="仿宋_GB2312" w:cs="仿宋_GB2312"/>
          <w:b/>
          <w:bCs/>
          <w:szCs w:val="21"/>
          <w:lang w:eastAsia="zh-CN"/>
        </w:rPr>
        <w:t>（四）环境卫生清洁服务</w:t>
      </w:r>
    </w:p>
    <w:p w14:paraId="3895CAE4">
      <w:pPr>
        <w:spacing w:line="360" w:lineRule="auto"/>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1.工作内容：</w:t>
      </w:r>
    </w:p>
    <w:p w14:paraId="0680D075">
      <w:pPr>
        <w:spacing w:line="360" w:lineRule="auto"/>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（1）学校大门内外环境（属于学校管辖范围内的）清洁和巡回保洁；</w:t>
      </w:r>
    </w:p>
    <w:p w14:paraId="2B26DAA3">
      <w:pPr>
        <w:spacing w:line="360" w:lineRule="auto"/>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（2）学生宿舍公共环境卫生（走廊、楼梯、大堂、电梯、天台、架空层、天井等）、公用设施的清洁保洁，每天清扫2次，巡回保洁，做到无明显污渍，无1天以上的未清理垃圾、积尘；</w:t>
      </w:r>
    </w:p>
    <w:p w14:paraId="248940F2">
      <w:pPr>
        <w:spacing w:line="360" w:lineRule="auto"/>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（3）学校领导办公室、教学区域内课室、休息室及运动场馆的室内清洁、保洁；</w:t>
      </w:r>
    </w:p>
    <w:p w14:paraId="2405302F">
      <w:pPr>
        <w:spacing w:line="360" w:lineRule="auto"/>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（4）办公楼的走廊、楼梯、电梯、卫生间、会议室、接待室、资料室、阅览室、阳台、天台等全方位的清洁和日常保洁，空置办公室的清洁。</w:t>
      </w:r>
    </w:p>
    <w:p w14:paraId="2F96A42B">
      <w:pPr>
        <w:spacing w:line="360" w:lineRule="auto"/>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（5）实训楼、教学楼、体育馆、图书馆、教师宿舍、食堂等的走廊、楼梯、电梯、卫生间、阳台、天台等公共部位。</w:t>
      </w:r>
    </w:p>
    <w:p w14:paraId="17C13DB8">
      <w:pPr>
        <w:spacing w:line="360" w:lineRule="auto"/>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（6）学校所有运动场地、设备房、道路、绿地、路灯、宣传标识牌、果皮箱、垃圾桶等公共场地和设施的全方位清洁和日常保洁；</w:t>
      </w:r>
    </w:p>
    <w:p w14:paraId="24D1DE46">
      <w:pPr>
        <w:spacing w:line="360" w:lineRule="auto"/>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（7）及时清理校区所有的垃圾，垃圾分类执行文件要求；清运垃圾，并做好垃圾站点的管理、消毒；</w:t>
      </w:r>
      <w:r>
        <w:rPr>
          <w:rFonts w:hint="eastAsia" w:ascii="仿宋_GB2312" w:hAnsi="仿宋_GB2312" w:eastAsia="仿宋_GB2312" w:cs="仿宋_GB2312"/>
          <w:szCs w:val="21"/>
          <w:lang w:val="hr-HR" w:eastAsia="zh-CN"/>
        </w:rPr>
        <w:t>负责垃圾站点的清扫保洁工作。</w:t>
      </w:r>
    </w:p>
    <w:p w14:paraId="1741E9A0">
      <w:pPr>
        <w:spacing w:line="360" w:lineRule="auto"/>
        <w:ind w:firstLine="420" w:firstLineChars="2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8）环境卫生管理范围包括：道路清扫、保洁和冲洗；沟、渠、池、井清理淤泥、垃圾等（含建筑物天面、雨水口的清理）；门窗、管道、墙体清洁、保洁；各类场所积水清除；果皮箱清理垃圾、保洁、消毒；校园消毒、除四害，蚁类、蛇害防治等；</w:t>
      </w:r>
    </w:p>
    <w:p w14:paraId="246E8AC4">
      <w:pPr>
        <w:spacing w:line="360" w:lineRule="auto"/>
        <w:ind w:firstLine="420" w:firstLineChars="2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（9）值班用房每天清洁一次并更换清洗床上用品；</w:t>
      </w:r>
    </w:p>
    <w:p w14:paraId="1298188A">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2.清洁工作质量标准：</w:t>
      </w:r>
    </w:p>
    <w:p w14:paraId="708060D2">
      <w:pPr>
        <w:spacing w:line="360" w:lineRule="auto"/>
        <w:ind w:firstLine="420" w:firstLineChars="2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（1）环境卫生管理制度和标准完善，有完整工作质量考核记录；</w:t>
      </w:r>
    </w:p>
    <w:p w14:paraId="09E558E7">
      <w:pPr>
        <w:spacing w:line="360" w:lineRule="auto"/>
        <w:ind w:firstLine="420" w:firstLineChars="2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（2）清洁工态度热情，语言文明，服装整齐；</w:t>
      </w:r>
    </w:p>
    <w:p w14:paraId="1452DB66">
      <w:pPr>
        <w:spacing w:line="360" w:lineRule="auto"/>
        <w:ind w:firstLine="420" w:firstLineChars="2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（3）环卫设施齐全，保洁设备及工具完整，按工作程序对范围内的场所进行日常定期清扫或不定期的清扫保洁，做到按制定标准全方位保洁；</w:t>
      </w:r>
    </w:p>
    <w:p w14:paraId="2BE0D2B5">
      <w:pPr>
        <w:spacing w:line="360" w:lineRule="auto"/>
        <w:ind w:firstLine="420" w:firstLineChars="2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（4）有完备的“清洁应急工作预案”；如遇突发事件或突发检查时，积极配合采购人，搞好卫生工作，随叫随到；</w:t>
      </w:r>
    </w:p>
    <w:p w14:paraId="6731772F">
      <w:pPr>
        <w:spacing w:line="360" w:lineRule="auto"/>
        <w:ind w:firstLine="420" w:firstLineChars="2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（5）公共场所：整体保洁质量符合建设部《城市环境卫生质量标准》一级质量要求；地面无垃圾、泥沙及明显污渍；按要求无乱张贴；无杂物、杂草；</w:t>
      </w:r>
    </w:p>
    <w:p w14:paraId="49791F8E">
      <w:pPr>
        <w:spacing w:line="360" w:lineRule="auto"/>
        <w:ind w:firstLine="420" w:firstLineChars="2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（6）质量标准细则：</w:t>
      </w:r>
    </w:p>
    <w:p w14:paraId="7EC9AE20">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A、楼宇入口及大堂清洁要求</w:t>
      </w:r>
    </w:p>
    <w:p w14:paraId="570A329B">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a.</w:t>
      </w:r>
      <w:r>
        <w:rPr>
          <w:rFonts w:hint="eastAsia" w:ascii="仿宋_GB2312" w:hAnsi="仿宋_GB2312" w:eastAsia="仿宋_GB2312" w:cs="仿宋_GB2312"/>
          <w:szCs w:val="21"/>
          <w:lang w:eastAsia="zh-CN"/>
        </w:rPr>
        <w:tab/>
      </w:r>
      <w:r>
        <w:rPr>
          <w:rFonts w:hint="eastAsia" w:ascii="仿宋_GB2312" w:hAnsi="仿宋_GB2312" w:eastAsia="仿宋_GB2312" w:cs="仿宋_GB2312"/>
          <w:szCs w:val="21"/>
          <w:lang w:eastAsia="zh-CN"/>
        </w:rPr>
        <w:t>门窗（玻璃、窗框、窗台、门把手）无手印、无污渍，保持光洁明亮；</w:t>
      </w:r>
    </w:p>
    <w:p w14:paraId="6AA968B0">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b.</w:t>
      </w:r>
      <w:r>
        <w:rPr>
          <w:rFonts w:hint="eastAsia" w:ascii="仿宋_GB2312" w:hAnsi="仿宋_GB2312" w:eastAsia="仿宋_GB2312" w:cs="仿宋_GB2312"/>
          <w:szCs w:val="21"/>
          <w:lang w:eastAsia="zh-CN"/>
        </w:rPr>
        <w:tab/>
      </w:r>
      <w:r>
        <w:rPr>
          <w:rFonts w:hint="eastAsia" w:ascii="仿宋_GB2312" w:hAnsi="仿宋_GB2312" w:eastAsia="仿宋_GB2312" w:cs="仿宋_GB2312"/>
          <w:szCs w:val="21"/>
          <w:lang w:eastAsia="zh-CN"/>
        </w:rPr>
        <w:t>地面、地脚线、指示牌、座地烟灰盅无污渍、水迹、尘迹，保持光洁明亮；</w:t>
      </w:r>
    </w:p>
    <w:p w14:paraId="65A17E58">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c.</w:t>
      </w:r>
      <w:r>
        <w:rPr>
          <w:rFonts w:hint="eastAsia" w:ascii="仿宋_GB2312" w:hAnsi="仿宋_GB2312" w:eastAsia="仿宋_GB2312" w:cs="仿宋_GB2312"/>
          <w:szCs w:val="21"/>
          <w:lang w:eastAsia="zh-CN"/>
        </w:rPr>
        <w:tab/>
      </w:r>
      <w:r>
        <w:rPr>
          <w:rFonts w:hint="eastAsia" w:ascii="仿宋_GB2312" w:hAnsi="仿宋_GB2312" w:eastAsia="仿宋_GB2312" w:cs="仿宋_GB2312"/>
          <w:szCs w:val="21"/>
          <w:lang w:eastAsia="zh-CN"/>
        </w:rPr>
        <w:t>灯饰、通风口、空调风口、天花顶无蛛丝、无污尘；</w:t>
      </w:r>
    </w:p>
    <w:p w14:paraId="23418C56">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B、楼层公共区域部分清洁要求</w:t>
      </w:r>
    </w:p>
    <w:p w14:paraId="348D194E">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a.</w:t>
      </w:r>
      <w:r>
        <w:rPr>
          <w:rFonts w:hint="eastAsia" w:ascii="仿宋_GB2312" w:hAnsi="仿宋_GB2312" w:eastAsia="仿宋_GB2312" w:cs="仿宋_GB2312"/>
          <w:szCs w:val="21"/>
          <w:lang w:eastAsia="zh-CN"/>
        </w:rPr>
        <w:tab/>
      </w:r>
      <w:r>
        <w:rPr>
          <w:rFonts w:hint="eastAsia" w:ascii="仿宋_GB2312" w:hAnsi="仿宋_GB2312" w:eastAsia="仿宋_GB2312" w:cs="仿宋_GB2312"/>
          <w:szCs w:val="21"/>
          <w:lang w:eastAsia="zh-CN"/>
        </w:rPr>
        <w:t>指示牌、悬挂牌光洁明亮，保持消防通道无杂物；</w:t>
      </w:r>
    </w:p>
    <w:p w14:paraId="288F9D96">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b.</w:t>
      </w:r>
      <w:r>
        <w:rPr>
          <w:rFonts w:hint="eastAsia" w:ascii="仿宋_GB2312" w:hAnsi="仿宋_GB2312" w:eastAsia="仿宋_GB2312" w:cs="仿宋_GB2312"/>
          <w:szCs w:val="21"/>
          <w:lang w:eastAsia="zh-CN"/>
        </w:rPr>
        <w:tab/>
      </w:r>
      <w:r>
        <w:rPr>
          <w:rFonts w:hint="eastAsia" w:ascii="仿宋_GB2312" w:hAnsi="仿宋_GB2312" w:eastAsia="仿宋_GB2312" w:cs="仿宋_GB2312"/>
          <w:szCs w:val="21"/>
          <w:lang w:eastAsia="zh-CN"/>
        </w:rPr>
        <w:t>地面、墙面、消防器材、果皮箱、垃圾筒无污渍、无痰渍、无尘迹；</w:t>
      </w:r>
    </w:p>
    <w:p w14:paraId="44679286">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c.</w:t>
      </w:r>
      <w:r>
        <w:rPr>
          <w:rFonts w:hint="eastAsia" w:ascii="仿宋_GB2312" w:hAnsi="仿宋_GB2312" w:eastAsia="仿宋_GB2312" w:cs="仿宋_GB2312"/>
          <w:szCs w:val="21"/>
          <w:lang w:eastAsia="zh-CN"/>
        </w:rPr>
        <w:tab/>
      </w:r>
      <w:r>
        <w:rPr>
          <w:rFonts w:hint="eastAsia" w:ascii="仿宋_GB2312" w:hAnsi="仿宋_GB2312" w:eastAsia="仿宋_GB2312" w:cs="仿宋_GB2312"/>
          <w:szCs w:val="21"/>
          <w:lang w:eastAsia="zh-CN"/>
        </w:rPr>
        <w:t>天花吊顶、排风口无蜘蛛网和灰尘污渍；</w:t>
      </w:r>
    </w:p>
    <w:p w14:paraId="4CAA1F30">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d.</w:t>
      </w:r>
      <w:r>
        <w:rPr>
          <w:rFonts w:hint="eastAsia" w:ascii="仿宋_GB2312" w:hAnsi="仿宋_GB2312" w:eastAsia="仿宋_GB2312" w:cs="仿宋_GB2312"/>
          <w:szCs w:val="21"/>
          <w:lang w:eastAsia="zh-CN"/>
        </w:rPr>
        <w:tab/>
      </w:r>
      <w:r>
        <w:rPr>
          <w:rFonts w:hint="eastAsia" w:ascii="仿宋_GB2312" w:hAnsi="仿宋_GB2312" w:eastAsia="仿宋_GB2312" w:cs="仿宋_GB2312"/>
          <w:szCs w:val="21"/>
          <w:lang w:eastAsia="zh-CN"/>
        </w:rPr>
        <w:t>门把、镜子无水渍、无印迹，明亮照人；</w:t>
      </w:r>
    </w:p>
    <w:p w14:paraId="1CA6B87F">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C、领导办公室、会议室等清洁要求</w:t>
      </w:r>
    </w:p>
    <w:p w14:paraId="64A3DA5D">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a.</w:t>
      </w:r>
      <w:r>
        <w:rPr>
          <w:rFonts w:hint="eastAsia" w:ascii="仿宋_GB2312" w:hAnsi="仿宋_GB2312" w:eastAsia="仿宋_GB2312" w:cs="仿宋_GB2312"/>
          <w:szCs w:val="21"/>
          <w:lang w:eastAsia="zh-CN"/>
        </w:rPr>
        <w:tab/>
      </w:r>
      <w:r>
        <w:rPr>
          <w:rFonts w:hint="eastAsia" w:ascii="仿宋_GB2312" w:hAnsi="仿宋_GB2312" w:eastAsia="仿宋_GB2312" w:cs="仿宋_GB2312"/>
          <w:szCs w:val="21"/>
          <w:lang w:eastAsia="zh-CN"/>
        </w:rPr>
        <w:t>地面定时清理，无杂物，杂志、报纸、茶具等摆放整齐；</w:t>
      </w:r>
    </w:p>
    <w:p w14:paraId="15F39D5D">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b.</w:t>
      </w:r>
      <w:r>
        <w:rPr>
          <w:rFonts w:hint="eastAsia" w:ascii="仿宋_GB2312" w:hAnsi="仿宋_GB2312" w:eastAsia="仿宋_GB2312" w:cs="仿宋_GB2312"/>
          <w:szCs w:val="21"/>
          <w:lang w:eastAsia="zh-CN"/>
        </w:rPr>
        <w:tab/>
      </w:r>
      <w:r>
        <w:rPr>
          <w:rFonts w:hint="eastAsia" w:ascii="仿宋_GB2312" w:hAnsi="仿宋_GB2312" w:eastAsia="仿宋_GB2312" w:cs="仿宋_GB2312"/>
          <w:szCs w:val="21"/>
          <w:lang w:eastAsia="zh-CN"/>
        </w:rPr>
        <w:t>地面、桌椅无尘迹、污渍；</w:t>
      </w:r>
    </w:p>
    <w:p w14:paraId="3753CD5C">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c.</w:t>
      </w:r>
      <w:r>
        <w:rPr>
          <w:rFonts w:hint="eastAsia" w:ascii="仿宋_GB2312" w:hAnsi="仿宋_GB2312" w:eastAsia="仿宋_GB2312" w:cs="仿宋_GB2312"/>
          <w:szCs w:val="21"/>
          <w:lang w:eastAsia="zh-CN"/>
        </w:rPr>
        <w:tab/>
      </w:r>
      <w:r>
        <w:rPr>
          <w:rFonts w:hint="eastAsia" w:ascii="仿宋_GB2312" w:hAnsi="仿宋_GB2312" w:eastAsia="仿宋_GB2312" w:cs="仿宋_GB2312"/>
          <w:szCs w:val="21"/>
          <w:lang w:eastAsia="zh-CN"/>
        </w:rPr>
        <w:t>玻璃、灯饰光洁明亮；</w:t>
      </w:r>
    </w:p>
    <w:p w14:paraId="120684BE">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D、课室清洁要求</w:t>
      </w:r>
    </w:p>
    <w:p w14:paraId="4D7669AE">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A.</w:t>
      </w:r>
      <w:r>
        <w:rPr>
          <w:rFonts w:hint="eastAsia" w:ascii="仿宋_GB2312" w:hAnsi="仿宋_GB2312" w:eastAsia="仿宋_GB2312" w:cs="仿宋_GB2312"/>
          <w:szCs w:val="21"/>
          <w:lang w:eastAsia="zh-CN"/>
        </w:rPr>
        <w:tab/>
      </w:r>
      <w:r>
        <w:rPr>
          <w:rFonts w:hint="eastAsia" w:ascii="仿宋_GB2312" w:hAnsi="仿宋_GB2312" w:eastAsia="仿宋_GB2312" w:cs="仿宋_GB2312"/>
          <w:szCs w:val="21"/>
          <w:lang w:eastAsia="zh-CN"/>
        </w:rPr>
        <w:t>地面、墙面无垃圾杂物、无污渍、无痰渍、无尘迹；</w:t>
      </w:r>
    </w:p>
    <w:p w14:paraId="193AADCA">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B.</w:t>
      </w:r>
      <w:r>
        <w:rPr>
          <w:rFonts w:hint="eastAsia" w:ascii="仿宋_GB2312" w:hAnsi="仿宋_GB2312" w:eastAsia="仿宋_GB2312" w:cs="仿宋_GB2312"/>
          <w:szCs w:val="21"/>
          <w:lang w:eastAsia="zh-CN"/>
        </w:rPr>
        <w:tab/>
      </w:r>
      <w:r>
        <w:rPr>
          <w:rFonts w:hint="eastAsia" w:ascii="仿宋_GB2312" w:hAnsi="仿宋_GB2312" w:eastAsia="仿宋_GB2312" w:cs="仿宋_GB2312"/>
          <w:szCs w:val="21"/>
          <w:lang w:eastAsia="zh-CN"/>
        </w:rPr>
        <w:t>桌椅、讲台摆放整齐，无垃圾杂物、无污渍、无尘迹；</w:t>
      </w:r>
    </w:p>
    <w:p w14:paraId="66626726">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C.</w:t>
      </w:r>
      <w:r>
        <w:rPr>
          <w:rFonts w:hint="eastAsia" w:ascii="仿宋_GB2312" w:hAnsi="仿宋_GB2312" w:eastAsia="仿宋_GB2312" w:cs="仿宋_GB2312"/>
          <w:szCs w:val="21"/>
          <w:lang w:eastAsia="zh-CN"/>
        </w:rPr>
        <w:tab/>
      </w:r>
      <w:r>
        <w:rPr>
          <w:rFonts w:hint="eastAsia" w:ascii="仿宋_GB2312" w:hAnsi="仿宋_GB2312" w:eastAsia="仿宋_GB2312" w:cs="仿宋_GB2312"/>
          <w:szCs w:val="21"/>
          <w:lang w:eastAsia="zh-CN"/>
        </w:rPr>
        <w:t>门窗、灯具、通风口、教学设备无蜘蛛网和灰尘污渍；</w:t>
      </w:r>
    </w:p>
    <w:p w14:paraId="5B838531">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E、卫生间清洁要求</w:t>
      </w:r>
    </w:p>
    <w:p w14:paraId="0157FCA0">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a.</w:t>
      </w:r>
      <w:r>
        <w:rPr>
          <w:rFonts w:hint="eastAsia" w:ascii="仿宋_GB2312" w:hAnsi="仿宋_GB2312" w:eastAsia="仿宋_GB2312" w:cs="仿宋_GB2312"/>
          <w:szCs w:val="21"/>
          <w:lang w:eastAsia="zh-CN"/>
        </w:rPr>
        <w:tab/>
      </w:r>
      <w:r>
        <w:rPr>
          <w:rFonts w:hint="eastAsia" w:ascii="仿宋_GB2312" w:hAnsi="仿宋_GB2312" w:eastAsia="仿宋_GB2312" w:cs="仿宋_GB2312"/>
          <w:szCs w:val="21"/>
          <w:lang w:eastAsia="zh-CN"/>
        </w:rPr>
        <w:t>地面、墙面、门、窗、玻璃境面、隔板无灰尘污渍和其它杂物，用具摆放整齐；</w:t>
      </w:r>
    </w:p>
    <w:p w14:paraId="7310DD8E">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b.</w:t>
      </w:r>
      <w:r>
        <w:rPr>
          <w:rFonts w:hint="eastAsia" w:ascii="仿宋_GB2312" w:hAnsi="仿宋_GB2312" w:eastAsia="仿宋_GB2312" w:cs="仿宋_GB2312"/>
          <w:szCs w:val="21"/>
          <w:lang w:eastAsia="zh-CN"/>
        </w:rPr>
        <w:tab/>
      </w:r>
      <w:r>
        <w:rPr>
          <w:rFonts w:hint="eastAsia" w:ascii="仿宋_GB2312" w:hAnsi="仿宋_GB2312" w:eastAsia="仿宋_GB2312" w:cs="仿宋_GB2312"/>
          <w:szCs w:val="21"/>
          <w:lang w:eastAsia="zh-CN"/>
        </w:rPr>
        <w:t>小便器、坐厕、洗手盆无污渍、无积水、无垢、无臭，瓷器光洁明亮；</w:t>
      </w:r>
    </w:p>
    <w:p w14:paraId="49A27185">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c.</w:t>
      </w:r>
      <w:r>
        <w:rPr>
          <w:rFonts w:hint="eastAsia" w:ascii="仿宋_GB2312" w:hAnsi="仿宋_GB2312" w:eastAsia="仿宋_GB2312" w:cs="仿宋_GB2312"/>
          <w:szCs w:val="21"/>
          <w:lang w:eastAsia="zh-CN"/>
        </w:rPr>
        <w:tab/>
      </w:r>
      <w:r>
        <w:rPr>
          <w:rFonts w:hint="eastAsia" w:ascii="仿宋_GB2312" w:hAnsi="仿宋_GB2312" w:eastAsia="仿宋_GB2312" w:cs="仿宋_GB2312"/>
          <w:szCs w:val="21"/>
          <w:lang w:eastAsia="zh-CN"/>
        </w:rPr>
        <w:t>保持下水管道水流畅通；</w:t>
      </w:r>
    </w:p>
    <w:p w14:paraId="6639E4FA">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F、露天部分清洁要求</w:t>
      </w:r>
    </w:p>
    <w:p w14:paraId="7FD94FC5">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a.</w:t>
      </w:r>
      <w:r>
        <w:rPr>
          <w:rFonts w:hint="eastAsia" w:ascii="仿宋_GB2312" w:hAnsi="仿宋_GB2312" w:eastAsia="仿宋_GB2312" w:cs="仿宋_GB2312"/>
          <w:szCs w:val="21"/>
          <w:lang w:eastAsia="zh-CN"/>
        </w:rPr>
        <w:tab/>
      </w:r>
      <w:r>
        <w:rPr>
          <w:rFonts w:hint="eastAsia" w:ascii="仿宋_GB2312" w:hAnsi="仿宋_GB2312" w:eastAsia="仿宋_GB2312" w:cs="仿宋_GB2312"/>
          <w:szCs w:val="21"/>
          <w:lang w:eastAsia="zh-CN"/>
        </w:rPr>
        <w:t>无垃圾杂物、无积水、无明显污渍油迹；</w:t>
      </w:r>
    </w:p>
    <w:p w14:paraId="0AA60179">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b.</w:t>
      </w:r>
      <w:r>
        <w:rPr>
          <w:rFonts w:hint="eastAsia" w:ascii="仿宋_GB2312" w:hAnsi="仿宋_GB2312" w:eastAsia="仿宋_GB2312" w:cs="仿宋_GB2312"/>
          <w:szCs w:val="21"/>
          <w:lang w:eastAsia="zh-CN"/>
        </w:rPr>
        <w:tab/>
      </w:r>
      <w:r>
        <w:rPr>
          <w:rFonts w:hint="eastAsia" w:ascii="仿宋_GB2312" w:hAnsi="仿宋_GB2312" w:eastAsia="仿宋_GB2312" w:cs="仿宋_GB2312"/>
          <w:szCs w:val="21"/>
          <w:lang w:eastAsia="zh-CN"/>
        </w:rPr>
        <w:t>门岗、道闸无明显尘迹、污渍、无垃圾杂物；</w:t>
      </w:r>
    </w:p>
    <w:p w14:paraId="4063EB55">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c.</w:t>
      </w:r>
      <w:r>
        <w:rPr>
          <w:rFonts w:hint="eastAsia" w:ascii="仿宋_GB2312" w:hAnsi="仿宋_GB2312" w:eastAsia="仿宋_GB2312" w:cs="仿宋_GB2312"/>
          <w:szCs w:val="21"/>
          <w:lang w:eastAsia="zh-CN"/>
        </w:rPr>
        <w:tab/>
      </w:r>
      <w:r>
        <w:rPr>
          <w:rFonts w:hint="eastAsia" w:ascii="仿宋_GB2312" w:hAnsi="仿宋_GB2312" w:eastAsia="仿宋_GB2312" w:cs="仿宋_GB2312"/>
          <w:szCs w:val="21"/>
          <w:lang w:eastAsia="zh-CN"/>
        </w:rPr>
        <w:t>室外设施无明显灰尘污渍及不良张贴物；</w:t>
      </w:r>
    </w:p>
    <w:p w14:paraId="088EA1BC">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d.</w:t>
      </w:r>
      <w:r>
        <w:rPr>
          <w:rFonts w:hint="eastAsia" w:ascii="仿宋_GB2312" w:hAnsi="仿宋_GB2312" w:eastAsia="仿宋_GB2312" w:cs="仿宋_GB2312"/>
          <w:szCs w:val="21"/>
          <w:lang w:eastAsia="zh-CN"/>
        </w:rPr>
        <w:tab/>
      </w:r>
      <w:r>
        <w:rPr>
          <w:rFonts w:hint="eastAsia" w:ascii="仿宋_GB2312" w:hAnsi="仿宋_GB2312" w:eastAsia="仿宋_GB2312" w:cs="仿宋_GB2312"/>
          <w:szCs w:val="21"/>
          <w:lang w:eastAsia="zh-CN"/>
        </w:rPr>
        <w:t>灯饰、栏杆、指示牌无污渍、水迹及明显灰尘；</w:t>
      </w:r>
    </w:p>
    <w:p w14:paraId="6E9A5E27">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e.</w:t>
      </w:r>
      <w:r>
        <w:rPr>
          <w:rFonts w:hint="eastAsia" w:ascii="仿宋_GB2312" w:hAnsi="仿宋_GB2312" w:eastAsia="仿宋_GB2312" w:cs="仿宋_GB2312"/>
          <w:szCs w:val="21"/>
          <w:lang w:eastAsia="zh-CN"/>
        </w:rPr>
        <w:tab/>
      </w:r>
      <w:r>
        <w:rPr>
          <w:rFonts w:hint="eastAsia" w:ascii="仿宋_GB2312" w:hAnsi="仿宋_GB2312" w:eastAsia="仿宋_GB2312" w:cs="仿宋_GB2312"/>
          <w:szCs w:val="21"/>
          <w:lang w:eastAsia="zh-CN"/>
        </w:rPr>
        <w:t>水道、水面无明显漂浮物；</w:t>
      </w:r>
    </w:p>
    <w:p w14:paraId="7F32AE7D">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f.</w:t>
      </w:r>
      <w:r>
        <w:rPr>
          <w:rFonts w:hint="eastAsia" w:ascii="仿宋_GB2312" w:hAnsi="仿宋_GB2312" w:eastAsia="仿宋_GB2312" w:cs="仿宋_GB2312"/>
          <w:szCs w:val="21"/>
          <w:lang w:eastAsia="zh-CN"/>
        </w:rPr>
        <w:tab/>
      </w:r>
      <w:r>
        <w:rPr>
          <w:rFonts w:hint="eastAsia" w:ascii="仿宋_GB2312" w:hAnsi="仿宋_GB2312" w:eastAsia="仿宋_GB2312" w:cs="仿宋_GB2312"/>
          <w:szCs w:val="21"/>
          <w:lang w:eastAsia="zh-CN"/>
        </w:rPr>
        <w:t>垃圾房垃圾清运及时，物品摆放整齐；</w:t>
      </w:r>
    </w:p>
    <w:p w14:paraId="2D9DA8CE">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g.</w:t>
      </w:r>
      <w:r>
        <w:rPr>
          <w:rFonts w:hint="eastAsia" w:ascii="仿宋_GB2312" w:hAnsi="仿宋_GB2312" w:eastAsia="仿宋_GB2312" w:cs="仿宋_GB2312"/>
          <w:szCs w:val="21"/>
          <w:lang w:eastAsia="zh-CN"/>
        </w:rPr>
        <w:tab/>
      </w:r>
      <w:r>
        <w:rPr>
          <w:rFonts w:hint="eastAsia" w:ascii="仿宋_GB2312" w:hAnsi="仿宋_GB2312" w:eastAsia="仿宋_GB2312" w:cs="仿宋_GB2312"/>
          <w:szCs w:val="21"/>
          <w:lang w:eastAsia="zh-CN"/>
        </w:rPr>
        <w:t>垃圾桶无明显灰尘污渍，不过满；</w:t>
      </w:r>
    </w:p>
    <w:p w14:paraId="2F34ADB4">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h.</w:t>
      </w:r>
      <w:r>
        <w:rPr>
          <w:rFonts w:hint="eastAsia" w:ascii="仿宋_GB2312" w:hAnsi="仿宋_GB2312" w:eastAsia="仿宋_GB2312" w:cs="仿宋_GB2312"/>
          <w:szCs w:val="21"/>
          <w:lang w:eastAsia="zh-CN"/>
        </w:rPr>
        <w:tab/>
      </w:r>
      <w:r>
        <w:rPr>
          <w:rFonts w:hint="eastAsia" w:ascii="仿宋_GB2312" w:hAnsi="仿宋_GB2312" w:eastAsia="仿宋_GB2312" w:cs="仿宋_GB2312"/>
          <w:szCs w:val="21"/>
          <w:lang w:eastAsia="zh-CN"/>
        </w:rPr>
        <w:t>阴沟、沙井、天台无明显杂物、杂草；</w:t>
      </w:r>
    </w:p>
    <w:p w14:paraId="15AC930D">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i.</w:t>
      </w:r>
      <w:r>
        <w:rPr>
          <w:rFonts w:hint="eastAsia" w:ascii="仿宋_GB2312" w:hAnsi="仿宋_GB2312" w:eastAsia="仿宋_GB2312" w:cs="仿宋_GB2312"/>
          <w:szCs w:val="21"/>
          <w:lang w:eastAsia="zh-CN"/>
        </w:rPr>
        <w:tab/>
      </w:r>
      <w:r>
        <w:rPr>
          <w:rFonts w:hint="eastAsia" w:ascii="仿宋_GB2312" w:hAnsi="仿宋_GB2312" w:eastAsia="仿宋_GB2312" w:cs="仿宋_GB2312"/>
          <w:szCs w:val="21"/>
          <w:lang w:eastAsia="zh-CN"/>
        </w:rPr>
        <w:t>房屋立面无杂草，道路整洁，无堆放杂物现象；</w:t>
      </w:r>
    </w:p>
    <w:p w14:paraId="37C1E092">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G、排水沟（井）无堵塞物、排放通畅。</w:t>
      </w:r>
    </w:p>
    <w:p w14:paraId="3499A09A">
      <w:pPr>
        <w:spacing w:line="360" w:lineRule="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3.清洁工作时间</w:t>
      </w:r>
    </w:p>
    <w:p w14:paraId="72E18275">
      <w:pPr>
        <w:adjustRightInd w:val="0"/>
        <w:snapToGrid w:val="0"/>
        <w:spacing w:line="360" w:lineRule="auto"/>
        <w:rPr>
          <w:rFonts w:hint="eastAsia" w:ascii="仿宋_GB2312" w:hAnsi="仿宋_GB2312" w:eastAsia="仿宋_GB2312" w:cs="仿宋_GB2312"/>
          <w:sz w:val="21"/>
          <w:szCs w:val="21"/>
          <w:u w:val="none"/>
        </w:rPr>
      </w:pPr>
      <w:r>
        <w:rPr>
          <w:rFonts w:hint="eastAsia" w:ascii="仿宋_GB2312" w:hAnsi="仿宋_GB2312" w:eastAsia="仿宋_GB2312" w:cs="仿宋_GB2312"/>
          <w:sz w:val="21"/>
          <w:szCs w:val="21"/>
          <w:u w:val="none"/>
        </w:rPr>
        <w:t>（1）课室：</w:t>
      </w:r>
      <w:r>
        <w:rPr>
          <w:rFonts w:hint="eastAsia" w:ascii="仿宋_GB2312" w:hAnsi="仿宋_GB2312" w:eastAsia="仿宋_GB2312" w:cs="仿宋_GB2312"/>
          <w:sz w:val="21"/>
          <w:szCs w:val="21"/>
          <w:u w:val="none"/>
          <w:lang w:eastAsia="zh-CN"/>
        </w:rPr>
        <w:t>上午</w:t>
      </w:r>
      <w:r>
        <w:rPr>
          <w:rFonts w:hint="eastAsia" w:ascii="仿宋_GB2312" w:hAnsi="仿宋_GB2312" w:eastAsia="仿宋_GB2312" w:cs="仿宋_GB2312"/>
          <w:sz w:val="21"/>
          <w:szCs w:val="21"/>
          <w:u w:val="none"/>
          <w:lang w:val="en-US" w:eastAsia="zh-CN"/>
        </w:rPr>
        <w:t>9</w:t>
      </w:r>
      <w:r>
        <w:rPr>
          <w:rFonts w:hint="eastAsia" w:ascii="仿宋_GB2312" w:hAnsi="仿宋_GB2312" w:eastAsia="仿宋_GB2312" w:cs="仿宋_GB2312"/>
          <w:sz w:val="21"/>
          <w:szCs w:val="21"/>
          <w:u w:val="none"/>
        </w:rPr>
        <w:t>:30-</w:t>
      </w:r>
      <w:r>
        <w:rPr>
          <w:rFonts w:hint="eastAsia" w:ascii="仿宋_GB2312" w:hAnsi="仿宋_GB2312" w:eastAsia="仿宋_GB2312" w:cs="仿宋_GB2312"/>
          <w:sz w:val="21"/>
          <w:szCs w:val="21"/>
          <w:u w:val="none"/>
          <w:lang w:val="en-US" w:eastAsia="zh-CN"/>
        </w:rPr>
        <w:t>13</w:t>
      </w:r>
      <w:r>
        <w:rPr>
          <w:rFonts w:hint="eastAsia" w:ascii="仿宋_GB2312" w:hAnsi="仿宋_GB2312" w:eastAsia="仿宋_GB2312" w:cs="仿宋_GB2312"/>
          <w:sz w:val="21"/>
          <w:szCs w:val="21"/>
          <w:u w:val="none"/>
        </w:rPr>
        <w:t>:</w:t>
      </w:r>
      <w:r>
        <w:rPr>
          <w:rFonts w:hint="eastAsia" w:ascii="仿宋_GB2312" w:hAnsi="仿宋_GB2312" w:eastAsia="仿宋_GB2312" w:cs="仿宋_GB2312"/>
          <w:sz w:val="21"/>
          <w:szCs w:val="21"/>
          <w:u w:val="none"/>
          <w:lang w:val="en-US" w:eastAsia="zh-CN"/>
        </w:rPr>
        <w:t>3</w:t>
      </w:r>
      <w:r>
        <w:rPr>
          <w:rFonts w:hint="eastAsia" w:ascii="仿宋_GB2312" w:hAnsi="仿宋_GB2312" w:eastAsia="仿宋_GB2312" w:cs="仿宋_GB2312"/>
          <w:sz w:val="21"/>
          <w:szCs w:val="21"/>
          <w:u w:val="none"/>
        </w:rPr>
        <w:t>0、下午1</w:t>
      </w:r>
      <w:r>
        <w:rPr>
          <w:rFonts w:hint="eastAsia" w:ascii="仿宋_GB2312" w:hAnsi="仿宋_GB2312" w:eastAsia="仿宋_GB2312" w:cs="仿宋_GB2312"/>
          <w:sz w:val="21"/>
          <w:szCs w:val="21"/>
          <w:u w:val="none"/>
          <w:lang w:val="en-US" w:eastAsia="zh-CN"/>
        </w:rPr>
        <w:t>5</w:t>
      </w:r>
      <w:r>
        <w:rPr>
          <w:rFonts w:hint="eastAsia" w:ascii="仿宋_GB2312" w:hAnsi="仿宋_GB2312" w:eastAsia="仿宋_GB2312" w:cs="仿宋_GB2312"/>
          <w:sz w:val="21"/>
          <w:szCs w:val="21"/>
          <w:u w:val="none"/>
        </w:rPr>
        <w:t>:</w:t>
      </w:r>
      <w:r>
        <w:rPr>
          <w:rFonts w:hint="eastAsia" w:ascii="仿宋_GB2312" w:hAnsi="仿宋_GB2312" w:eastAsia="仿宋_GB2312" w:cs="仿宋_GB2312"/>
          <w:sz w:val="21"/>
          <w:szCs w:val="21"/>
          <w:u w:val="none"/>
          <w:lang w:val="en-US" w:eastAsia="zh-CN"/>
        </w:rPr>
        <w:t>3</w:t>
      </w:r>
      <w:r>
        <w:rPr>
          <w:rFonts w:hint="eastAsia" w:ascii="仿宋_GB2312" w:hAnsi="仿宋_GB2312" w:eastAsia="仿宋_GB2312" w:cs="仿宋_GB2312"/>
          <w:sz w:val="21"/>
          <w:szCs w:val="21"/>
          <w:u w:val="none"/>
        </w:rPr>
        <w:t>0-1</w:t>
      </w:r>
      <w:r>
        <w:rPr>
          <w:rFonts w:hint="eastAsia" w:ascii="仿宋_GB2312" w:hAnsi="仿宋_GB2312" w:eastAsia="仿宋_GB2312" w:cs="仿宋_GB2312"/>
          <w:sz w:val="21"/>
          <w:szCs w:val="21"/>
          <w:u w:val="none"/>
          <w:lang w:val="en-US" w:eastAsia="zh-CN"/>
        </w:rPr>
        <w:t>9</w:t>
      </w:r>
      <w:r>
        <w:rPr>
          <w:rFonts w:hint="eastAsia" w:ascii="仿宋_GB2312" w:hAnsi="仿宋_GB2312" w:eastAsia="仿宋_GB2312" w:cs="仿宋_GB2312"/>
          <w:sz w:val="21"/>
          <w:szCs w:val="21"/>
          <w:u w:val="none"/>
        </w:rPr>
        <w:t>:30；</w:t>
      </w:r>
    </w:p>
    <w:p w14:paraId="7E5E6145">
      <w:pPr>
        <w:adjustRightInd w:val="0"/>
        <w:snapToGrid w:val="0"/>
        <w:spacing w:line="360" w:lineRule="auto"/>
        <w:rPr>
          <w:rFonts w:hint="eastAsia" w:ascii="仿宋_GB2312" w:hAnsi="仿宋_GB2312" w:eastAsia="仿宋_GB2312" w:cs="仿宋_GB2312"/>
          <w:sz w:val="21"/>
          <w:szCs w:val="21"/>
          <w:u w:val="none"/>
        </w:rPr>
      </w:pPr>
      <w:r>
        <w:rPr>
          <w:rFonts w:hint="eastAsia" w:ascii="仿宋_GB2312" w:hAnsi="仿宋_GB2312" w:eastAsia="仿宋_GB2312" w:cs="仿宋_GB2312"/>
          <w:sz w:val="21"/>
          <w:szCs w:val="21"/>
          <w:u w:val="none"/>
        </w:rPr>
        <w:t>（2）办公场所：早上</w:t>
      </w:r>
      <w:r>
        <w:rPr>
          <w:rFonts w:hint="eastAsia" w:ascii="仿宋_GB2312" w:hAnsi="仿宋_GB2312" w:eastAsia="仿宋_GB2312" w:cs="仿宋_GB2312"/>
          <w:sz w:val="21"/>
          <w:szCs w:val="21"/>
          <w:u w:val="none"/>
          <w:lang w:val="en-US" w:eastAsia="zh-CN"/>
        </w:rPr>
        <w:t>10</w:t>
      </w:r>
      <w:r>
        <w:rPr>
          <w:rFonts w:hint="eastAsia" w:ascii="仿宋_GB2312" w:hAnsi="仿宋_GB2312" w:eastAsia="仿宋_GB2312" w:cs="仿宋_GB2312"/>
          <w:sz w:val="21"/>
          <w:szCs w:val="21"/>
          <w:u w:val="none"/>
        </w:rPr>
        <w:t>:00前清洁一次，12:00-18:00进行保洁；</w:t>
      </w:r>
    </w:p>
    <w:p w14:paraId="0B2C2994">
      <w:pPr>
        <w:spacing w:line="360" w:lineRule="auto"/>
        <w:rPr>
          <w:rFonts w:hint="eastAsia" w:ascii="仿宋_GB2312" w:hAnsi="仿宋_GB2312" w:eastAsia="仿宋_GB2312" w:cs="仿宋_GB2312"/>
          <w:sz w:val="21"/>
          <w:szCs w:val="21"/>
          <w:u w:val="none"/>
          <w:lang w:eastAsia="zh-CN"/>
        </w:rPr>
      </w:pPr>
      <w:r>
        <w:rPr>
          <w:rFonts w:hint="eastAsia" w:ascii="仿宋_GB2312" w:hAnsi="仿宋_GB2312" w:eastAsia="仿宋_GB2312" w:cs="仿宋_GB2312"/>
          <w:sz w:val="21"/>
          <w:szCs w:val="21"/>
          <w:u w:val="none"/>
          <w:lang w:eastAsia="zh-CN"/>
        </w:rPr>
        <w:t>（</w:t>
      </w:r>
      <w:r>
        <w:rPr>
          <w:rFonts w:hint="eastAsia" w:ascii="仿宋_GB2312" w:hAnsi="仿宋_GB2312" w:eastAsia="仿宋_GB2312" w:cs="仿宋_GB2312"/>
          <w:sz w:val="21"/>
          <w:szCs w:val="21"/>
          <w:u w:val="none"/>
          <w:lang w:val="en-US" w:eastAsia="zh-CN"/>
        </w:rPr>
        <w:t>3</w:t>
      </w:r>
      <w:r>
        <w:rPr>
          <w:rFonts w:hint="eastAsia" w:ascii="仿宋_GB2312" w:hAnsi="仿宋_GB2312" w:eastAsia="仿宋_GB2312" w:cs="仿宋_GB2312"/>
          <w:sz w:val="21"/>
          <w:szCs w:val="21"/>
          <w:u w:val="none"/>
          <w:lang w:eastAsia="zh-CN"/>
        </w:rPr>
        <w:t>）礼堂、体育馆、报告厅、会议室等在每次使用前后以及寒暑假前后进行保洁。</w:t>
      </w:r>
    </w:p>
    <w:p w14:paraId="3C8CCE62">
      <w:pPr>
        <w:spacing w:line="360" w:lineRule="auto"/>
        <w:rPr>
          <w:rFonts w:hint="eastAsia" w:ascii="仿宋_GB2312" w:hAnsi="仿宋_GB2312" w:eastAsia="仿宋_GB2312" w:cs="仿宋_GB2312"/>
          <w:sz w:val="21"/>
          <w:szCs w:val="21"/>
          <w:u w:val="none"/>
          <w:lang w:eastAsia="zh-CN"/>
        </w:rPr>
      </w:pPr>
      <w:r>
        <w:rPr>
          <w:rFonts w:hint="eastAsia" w:ascii="仿宋_GB2312" w:hAnsi="仿宋_GB2312" w:eastAsia="仿宋_GB2312" w:cs="仿宋_GB2312"/>
          <w:sz w:val="21"/>
          <w:szCs w:val="21"/>
          <w:u w:val="none"/>
          <w:lang w:eastAsia="zh-CN"/>
        </w:rPr>
        <w:t>（</w:t>
      </w:r>
      <w:r>
        <w:rPr>
          <w:rFonts w:hint="eastAsia" w:ascii="仿宋_GB2312" w:hAnsi="仿宋_GB2312" w:eastAsia="仿宋_GB2312" w:cs="仿宋_GB2312"/>
          <w:sz w:val="21"/>
          <w:szCs w:val="21"/>
          <w:u w:val="none"/>
          <w:lang w:val="en-US" w:eastAsia="zh-CN"/>
        </w:rPr>
        <w:t>4</w:t>
      </w:r>
      <w:r>
        <w:rPr>
          <w:rFonts w:hint="eastAsia" w:ascii="仿宋_GB2312" w:hAnsi="仿宋_GB2312" w:eastAsia="仿宋_GB2312" w:cs="仿宋_GB2312"/>
          <w:sz w:val="21"/>
          <w:szCs w:val="21"/>
          <w:u w:val="none"/>
          <w:lang w:eastAsia="zh-CN"/>
        </w:rPr>
        <w:t>）沟渠、沙井须寒暑假彻底清理一次，特殊情况及时清理，不另增加费用。</w:t>
      </w:r>
    </w:p>
    <w:p w14:paraId="54CB1380">
      <w:pPr>
        <w:spacing w:line="360" w:lineRule="auto"/>
        <w:rPr>
          <w:rFonts w:hint="eastAsia" w:ascii="仿宋_GB2312" w:hAnsi="仿宋_GB2312" w:eastAsia="仿宋_GB2312" w:cs="仿宋_GB2312"/>
          <w:sz w:val="21"/>
          <w:szCs w:val="21"/>
          <w:u w:val="none"/>
          <w:lang w:eastAsia="zh-CN"/>
        </w:rPr>
      </w:pPr>
      <w:r>
        <w:rPr>
          <w:rFonts w:hint="eastAsia" w:ascii="仿宋_GB2312" w:hAnsi="仿宋_GB2312" w:eastAsia="仿宋_GB2312" w:cs="仿宋_GB2312"/>
          <w:sz w:val="21"/>
          <w:szCs w:val="21"/>
          <w:u w:val="none"/>
          <w:lang w:eastAsia="zh-CN"/>
        </w:rPr>
        <w:t>（</w:t>
      </w:r>
      <w:r>
        <w:rPr>
          <w:rFonts w:hint="eastAsia" w:ascii="仿宋_GB2312" w:hAnsi="仿宋_GB2312" w:eastAsia="仿宋_GB2312" w:cs="仿宋_GB2312"/>
          <w:sz w:val="21"/>
          <w:szCs w:val="21"/>
          <w:u w:val="none"/>
          <w:lang w:val="en-US" w:eastAsia="zh-CN"/>
        </w:rPr>
        <w:t>5</w:t>
      </w:r>
      <w:r>
        <w:rPr>
          <w:rFonts w:hint="eastAsia" w:ascii="仿宋_GB2312" w:hAnsi="仿宋_GB2312" w:eastAsia="仿宋_GB2312" w:cs="仿宋_GB2312"/>
          <w:sz w:val="21"/>
          <w:szCs w:val="21"/>
          <w:u w:val="none"/>
          <w:lang w:eastAsia="zh-CN"/>
        </w:rPr>
        <w:t>）天面每月、露台每周清扫一次。</w:t>
      </w:r>
    </w:p>
    <w:p w14:paraId="2CA8189F">
      <w:pPr>
        <w:adjustRightInd w:val="0"/>
        <w:snapToGrid w:val="0"/>
        <w:spacing w:line="360" w:lineRule="auto"/>
        <w:rPr>
          <w:rFonts w:hint="eastAsia" w:ascii="仿宋_GB2312" w:hAnsi="仿宋_GB2312" w:eastAsia="仿宋_GB2312" w:cs="仿宋_GB2312"/>
          <w:sz w:val="21"/>
          <w:szCs w:val="21"/>
          <w:u w:val="none"/>
        </w:rPr>
      </w:pPr>
      <w:r>
        <w:rPr>
          <w:rFonts w:hint="eastAsia" w:ascii="仿宋_GB2312" w:hAnsi="仿宋_GB2312" w:eastAsia="仿宋_GB2312" w:cs="仿宋_GB2312"/>
          <w:sz w:val="21"/>
          <w:szCs w:val="21"/>
          <w:u w:val="none"/>
          <w:lang w:eastAsia="zh-CN"/>
        </w:rPr>
        <w:t>（</w:t>
      </w:r>
      <w:r>
        <w:rPr>
          <w:rFonts w:hint="eastAsia" w:ascii="仿宋_GB2312" w:hAnsi="仿宋_GB2312" w:eastAsia="仿宋_GB2312" w:cs="仿宋_GB2312"/>
          <w:sz w:val="21"/>
          <w:szCs w:val="21"/>
          <w:u w:val="none"/>
          <w:lang w:val="en-US" w:eastAsia="zh-CN"/>
        </w:rPr>
        <w:t>6</w:t>
      </w:r>
      <w:r>
        <w:rPr>
          <w:rFonts w:hint="eastAsia" w:ascii="仿宋_GB2312" w:hAnsi="仿宋_GB2312" w:eastAsia="仿宋_GB2312" w:cs="仿宋_GB2312"/>
          <w:sz w:val="21"/>
          <w:szCs w:val="21"/>
          <w:u w:val="none"/>
          <w:lang w:eastAsia="zh-CN"/>
        </w:rPr>
        <w:t>）</w:t>
      </w:r>
      <w:r>
        <w:rPr>
          <w:rFonts w:hint="eastAsia" w:ascii="仿宋_GB2312" w:hAnsi="仿宋_GB2312" w:eastAsia="仿宋_GB2312" w:cs="仿宋_GB2312"/>
          <w:sz w:val="21"/>
          <w:szCs w:val="21"/>
          <w:u w:val="none"/>
        </w:rPr>
        <w:t>其它范围：每天</w:t>
      </w:r>
      <w:r>
        <w:rPr>
          <w:rFonts w:hint="eastAsia" w:ascii="仿宋_GB2312" w:hAnsi="仿宋_GB2312" w:eastAsia="仿宋_GB2312" w:cs="仿宋_GB2312"/>
          <w:sz w:val="21"/>
          <w:szCs w:val="21"/>
          <w:u w:val="none"/>
          <w:lang w:eastAsia="zh-CN"/>
        </w:rPr>
        <w:t>早上</w:t>
      </w:r>
      <w:r>
        <w:rPr>
          <w:rFonts w:hint="eastAsia" w:ascii="仿宋_GB2312" w:hAnsi="仿宋_GB2312" w:eastAsia="仿宋_GB2312" w:cs="仿宋_GB2312"/>
          <w:sz w:val="21"/>
          <w:szCs w:val="21"/>
          <w:u w:val="none"/>
          <w:lang w:val="en-US" w:eastAsia="zh-CN"/>
        </w:rPr>
        <w:t>9</w:t>
      </w:r>
      <w:r>
        <w:rPr>
          <w:rFonts w:hint="eastAsia" w:ascii="仿宋_GB2312" w:hAnsi="仿宋_GB2312" w:eastAsia="仿宋_GB2312" w:cs="仿宋_GB2312"/>
          <w:sz w:val="21"/>
          <w:szCs w:val="21"/>
          <w:u w:val="none"/>
        </w:rPr>
        <w:t>:</w:t>
      </w:r>
      <w:r>
        <w:rPr>
          <w:rFonts w:hint="eastAsia" w:ascii="仿宋_GB2312" w:hAnsi="仿宋_GB2312" w:eastAsia="仿宋_GB2312" w:cs="仿宋_GB2312"/>
          <w:sz w:val="21"/>
          <w:szCs w:val="21"/>
          <w:u w:val="none"/>
          <w:lang w:val="en-US" w:eastAsia="zh-CN"/>
        </w:rPr>
        <w:t>3</w:t>
      </w:r>
      <w:r>
        <w:rPr>
          <w:rFonts w:hint="eastAsia" w:ascii="仿宋_GB2312" w:hAnsi="仿宋_GB2312" w:eastAsia="仿宋_GB2312" w:cs="仿宋_GB2312"/>
          <w:sz w:val="21"/>
          <w:szCs w:val="21"/>
          <w:u w:val="none"/>
        </w:rPr>
        <w:t>0-1</w:t>
      </w:r>
      <w:r>
        <w:rPr>
          <w:rFonts w:hint="eastAsia" w:ascii="仿宋_GB2312" w:hAnsi="仿宋_GB2312" w:eastAsia="仿宋_GB2312" w:cs="仿宋_GB2312"/>
          <w:sz w:val="21"/>
          <w:szCs w:val="21"/>
          <w:u w:val="none"/>
          <w:lang w:val="en-US" w:eastAsia="zh-CN"/>
        </w:rPr>
        <w:t>2</w:t>
      </w:r>
      <w:r>
        <w:rPr>
          <w:rFonts w:hint="eastAsia" w:ascii="仿宋_GB2312" w:hAnsi="仿宋_GB2312" w:eastAsia="仿宋_GB2312" w:cs="仿宋_GB2312"/>
          <w:sz w:val="21"/>
          <w:szCs w:val="21"/>
          <w:u w:val="none"/>
        </w:rPr>
        <w:t>:30、1</w:t>
      </w:r>
      <w:r>
        <w:rPr>
          <w:rFonts w:hint="eastAsia" w:ascii="仿宋_GB2312" w:hAnsi="仿宋_GB2312" w:eastAsia="仿宋_GB2312" w:cs="仿宋_GB2312"/>
          <w:sz w:val="21"/>
          <w:szCs w:val="21"/>
          <w:u w:val="none"/>
          <w:lang w:val="en-US" w:eastAsia="zh-CN"/>
        </w:rPr>
        <w:t>6</w:t>
      </w:r>
      <w:r>
        <w:rPr>
          <w:rFonts w:hint="eastAsia" w:ascii="仿宋_GB2312" w:hAnsi="仿宋_GB2312" w:eastAsia="仿宋_GB2312" w:cs="仿宋_GB2312"/>
          <w:sz w:val="21"/>
          <w:szCs w:val="21"/>
          <w:u w:val="none"/>
        </w:rPr>
        <w:t>:00-1</w:t>
      </w:r>
      <w:r>
        <w:rPr>
          <w:rFonts w:hint="eastAsia" w:ascii="仿宋_GB2312" w:hAnsi="仿宋_GB2312" w:eastAsia="仿宋_GB2312" w:cs="仿宋_GB2312"/>
          <w:sz w:val="21"/>
          <w:szCs w:val="21"/>
          <w:u w:val="none"/>
          <w:lang w:val="en-US" w:eastAsia="zh-CN"/>
        </w:rPr>
        <w:t>8</w:t>
      </w:r>
      <w:r>
        <w:rPr>
          <w:rFonts w:hint="eastAsia" w:ascii="仿宋_GB2312" w:hAnsi="仿宋_GB2312" w:eastAsia="仿宋_GB2312" w:cs="仿宋_GB2312"/>
          <w:sz w:val="21"/>
          <w:szCs w:val="21"/>
          <w:u w:val="none"/>
        </w:rPr>
        <w:t>:30进行全面清洁一次，并派人负责保洁。</w:t>
      </w:r>
    </w:p>
    <w:p w14:paraId="7A68911D">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7</w:t>
      </w:r>
      <w:r>
        <w:rPr>
          <w:rFonts w:hint="eastAsia" w:ascii="仿宋_GB2312" w:hAnsi="仿宋_GB2312" w:eastAsia="仿宋_GB2312" w:cs="仿宋_GB2312"/>
          <w:szCs w:val="21"/>
          <w:lang w:eastAsia="zh-CN"/>
        </w:rPr>
        <w:t>）垃圾分类工作时间按垃圾分类文件要求执行。</w:t>
      </w:r>
    </w:p>
    <w:p w14:paraId="73F1E253">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8</w:t>
      </w:r>
      <w:r>
        <w:rPr>
          <w:rFonts w:hint="eastAsia" w:ascii="仿宋_GB2312" w:hAnsi="仿宋_GB2312" w:eastAsia="仿宋_GB2312" w:cs="仿宋_GB2312"/>
          <w:szCs w:val="21"/>
          <w:lang w:eastAsia="zh-CN"/>
        </w:rPr>
        <w:t>）以上按照要求建立报表存档备查。</w:t>
      </w:r>
    </w:p>
    <w:p w14:paraId="672DCCF7">
      <w:pPr>
        <w:spacing w:line="360" w:lineRule="auto"/>
        <w:rPr>
          <w:rFonts w:hint="eastAsia" w:ascii="仿宋_GB2312" w:hAnsi="仿宋_GB2312" w:eastAsia="仿宋_GB2312" w:cs="仿宋_GB2312"/>
          <w:b/>
          <w:bCs/>
          <w:szCs w:val="21"/>
          <w:lang w:eastAsia="zh-CN"/>
        </w:rPr>
      </w:pPr>
      <w:r>
        <w:rPr>
          <w:rFonts w:hint="eastAsia" w:ascii="仿宋_GB2312" w:hAnsi="仿宋_GB2312" w:eastAsia="仿宋_GB2312" w:cs="仿宋_GB2312"/>
          <w:b/>
          <w:bCs/>
          <w:szCs w:val="21"/>
          <w:lang w:eastAsia="zh-CN"/>
        </w:rPr>
        <w:t>（五）设施设备维修服务</w:t>
      </w:r>
    </w:p>
    <w:p w14:paraId="0F71B0AD">
      <w:pPr>
        <w:spacing w:line="360" w:lineRule="auto"/>
        <w:rPr>
          <w:rFonts w:hint="eastAsia" w:ascii="仿宋_GB2312" w:hAnsi="仿宋_GB2312" w:eastAsia="仿宋_GB2312" w:cs="仿宋_GB2312"/>
          <w:szCs w:val="21"/>
          <w:u w:val="none"/>
          <w:lang w:eastAsia="zh-CN"/>
        </w:rPr>
      </w:pPr>
      <w:r>
        <w:rPr>
          <w:rFonts w:hint="eastAsia" w:ascii="仿宋_GB2312" w:hAnsi="仿宋_GB2312" w:eastAsia="仿宋_GB2312" w:cs="仿宋_GB2312"/>
          <w:szCs w:val="21"/>
          <w:lang w:eastAsia="zh-CN"/>
        </w:rPr>
        <w:t>1.★按规范和供电部门要求负责学校变、</w:t>
      </w:r>
      <w:r>
        <w:rPr>
          <w:rFonts w:hint="eastAsia" w:ascii="仿宋_GB2312" w:hAnsi="仿宋_GB2312" w:eastAsia="仿宋_GB2312" w:cs="仿宋_GB2312"/>
          <w:szCs w:val="21"/>
          <w:u w:val="none"/>
          <w:lang w:eastAsia="zh-CN"/>
        </w:rPr>
        <w:t>配电房、</w:t>
      </w:r>
      <w:r>
        <w:rPr>
          <w:rFonts w:hint="eastAsia" w:ascii="宋体" w:hAnsi="宋体" w:cs="宋体"/>
          <w:bCs/>
          <w:sz w:val="24"/>
          <w:u w:val="none"/>
          <w:lang w:eastAsia="zh-CN"/>
        </w:rPr>
        <w:t>冬季供暖管线维护、</w:t>
      </w:r>
      <w:r>
        <w:rPr>
          <w:rFonts w:hint="eastAsia" w:ascii="仿宋_GB2312" w:hAnsi="仿宋_GB2312" w:eastAsia="仿宋_GB2312" w:cs="仿宋_GB2312"/>
          <w:szCs w:val="21"/>
          <w:u w:val="none"/>
          <w:lang w:eastAsia="zh-CN"/>
        </w:rPr>
        <w:t>给排水设备及相关附属设施的管理维护工作，确保设备安全、正常运行，并做好设备台帐和维护运行记录；</w:t>
      </w:r>
    </w:p>
    <w:p w14:paraId="70CF2915">
      <w:pPr>
        <w:spacing w:line="360" w:lineRule="auto"/>
        <w:rPr>
          <w:rFonts w:hint="eastAsia" w:ascii="仿宋_GB2312" w:hAnsi="仿宋_GB2312" w:eastAsia="仿宋_GB2312" w:cs="仿宋_GB2312"/>
          <w:szCs w:val="21"/>
          <w:u w:val="none"/>
          <w:lang w:eastAsia="zh-CN"/>
        </w:rPr>
      </w:pPr>
      <w:r>
        <w:rPr>
          <w:rFonts w:hint="eastAsia" w:ascii="仿宋_GB2312" w:hAnsi="仿宋_GB2312" w:eastAsia="仿宋_GB2312" w:cs="仿宋_GB2312"/>
          <w:szCs w:val="21"/>
          <w:u w:val="none"/>
          <w:lang w:eastAsia="zh-CN"/>
        </w:rPr>
        <w:t>2.负责校园内公共区域、各建筑物供电线路、沟、槽等的管理维护工作，保障公共照明；</w:t>
      </w:r>
    </w:p>
    <w:p w14:paraId="6818E5FE">
      <w:pPr>
        <w:spacing w:line="360" w:lineRule="auto"/>
        <w:rPr>
          <w:rFonts w:hint="eastAsia" w:ascii="仿宋_GB2312" w:hAnsi="仿宋_GB2312" w:eastAsia="仿宋_GB2312" w:cs="仿宋_GB2312"/>
          <w:szCs w:val="21"/>
          <w:u w:val="none"/>
          <w:lang w:eastAsia="zh-CN"/>
        </w:rPr>
      </w:pPr>
      <w:r>
        <w:rPr>
          <w:rFonts w:hint="eastAsia" w:ascii="仿宋_GB2312" w:hAnsi="仿宋_GB2312" w:eastAsia="仿宋_GB2312" w:cs="仿宋_GB2312"/>
          <w:szCs w:val="21"/>
          <w:u w:val="none"/>
          <w:lang w:eastAsia="zh-CN"/>
        </w:rPr>
        <w:t>3.按规范做好校园内给、排水设备、</w:t>
      </w:r>
      <w:r>
        <w:rPr>
          <w:rFonts w:hint="eastAsia" w:ascii="宋体" w:hAnsi="宋体" w:cs="宋体"/>
          <w:bCs/>
          <w:sz w:val="24"/>
          <w:u w:val="none"/>
        </w:rPr>
        <w:t>设施</w:t>
      </w:r>
      <w:r>
        <w:rPr>
          <w:rFonts w:hint="eastAsia" w:ascii="宋体" w:hAnsi="宋体" w:cs="宋体"/>
          <w:bCs/>
          <w:sz w:val="24"/>
          <w:u w:val="none"/>
          <w:lang w:eastAsia="zh-CN"/>
        </w:rPr>
        <w:t>及供暖设施的</w:t>
      </w:r>
      <w:r>
        <w:rPr>
          <w:rFonts w:hint="eastAsia" w:ascii="宋体" w:hAnsi="宋体" w:cs="宋体"/>
          <w:bCs/>
          <w:sz w:val="24"/>
          <w:u w:val="none"/>
        </w:rPr>
        <w:t>保养、</w:t>
      </w:r>
      <w:r>
        <w:rPr>
          <w:rFonts w:hint="eastAsia" w:ascii="仿宋_GB2312" w:hAnsi="仿宋_GB2312" w:eastAsia="仿宋_GB2312" w:cs="仿宋_GB2312"/>
          <w:szCs w:val="21"/>
          <w:u w:val="none"/>
          <w:lang w:eastAsia="zh-CN"/>
        </w:rPr>
        <w:t>维护工作，并做好维护记录；</w:t>
      </w:r>
    </w:p>
    <w:p w14:paraId="06A414FB">
      <w:pPr>
        <w:adjustRightInd w:val="0"/>
        <w:snapToGrid w:val="0"/>
        <w:spacing w:line="360" w:lineRule="auto"/>
        <w:rPr>
          <w:rFonts w:hint="eastAsia" w:ascii="宋体" w:hAnsi="宋体" w:cs="宋体"/>
          <w:bCs/>
          <w:sz w:val="24"/>
          <w:u w:val="none"/>
        </w:rPr>
      </w:pPr>
      <w:r>
        <w:rPr>
          <w:rFonts w:hint="eastAsia" w:ascii="仿宋_GB2312" w:hAnsi="仿宋_GB2312" w:eastAsia="仿宋_GB2312" w:cs="仿宋_GB2312"/>
          <w:szCs w:val="21"/>
          <w:u w:val="none"/>
          <w:lang w:eastAsia="zh-CN"/>
        </w:rPr>
        <w:t>4.负责校园内给水管道的保养维护工作；</w:t>
      </w:r>
      <w:r>
        <w:rPr>
          <w:rFonts w:hint="eastAsia" w:ascii="宋体" w:hAnsi="宋体" w:cs="宋体"/>
          <w:bCs/>
          <w:sz w:val="24"/>
          <w:u w:val="none"/>
          <w:lang w:eastAsia="zh-CN"/>
        </w:rPr>
        <w:t>供暖管线、</w:t>
      </w:r>
      <w:r>
        <w:rPr>
          <w:rFonts w:hint="eastAsia" w:ascii="宋体" w:hAnsi="宋体" w:cs="宋体"/>
          <w:bCs/>
          <w:sz w:val="24"/>
          <w:u w:val="none"/>
        </w:rPr>
        <w:t>管道</w:t>
      </w:r>
      <w:r>
        <w:rPr>
          <w:rFonts w:hint="eastAsia" w:ascii="宋体" w:hAnsi="宋体" w:cs="宋体"/>
          <w:bCs/>
          <w:sz w:val="24"/>
          <w:u w:val="none"/>
          <w:lang w:eastAsia="zh-CN"/>
        </w:rPr>
        <w:t>、阀门</w:t>
      </w:r>
      <w:r>
        <w:rPr>
          <w:rFonts w:hint="eastAsia" w:ascii="宋体" w:hAnsi="宋体" w:cs="宋体"/>
          <w:bCs/>
          <w:sz w:val="24"/>
          <w:u w:val="none"/>
        </w:rPr>
        <w:t>的保养维护工作</w:t>
      </w:r>
    </w:p>
    <w:p w14:paraId="78B45083">
      <w:pPr>
        <w:spacing w:line="360" w:lineRule="auto"/>
        <w:rPr>
          <w:rFonts w:hint="eastAsia" w:ascii="仿宋_GB2312" w:hAnsi="仿宋_GB2312" w:eastAsia="仿宋_GB2312" w:cs="仿宋_GB2312"/>
          <w:szCs w:val="21"/>
          <w:u w:val="none"/>
          <w:lang w:eastAsia="zh-CN"/>
        </w:rPr>
      </w:pPr>
      <w:r>
        <w:rPr>
          <w:rFonts w:hint="eastAsia" w:ascii="仿宋_GB2312" w:hAnsi="仿宋_GB2312" w:eastAsia="仿宋_GB2312" w:cs="仿宋_GB2312"/>
          <w:szCs w:val="21"/>
          <w:u w:val="none"/>
          <w:lang w:eastAsia="zh-CN"/>
        </w:rPr>
        <w:t>5.负责校园内所有水电计量器具的检查核定工作，发现超出误差允许范围要及时报告相关部门，并采取相应措施；</w:t>
      </w:r>
    </w:p>
    <w:p w14:paraId="3CD0D992">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u w:val="none"/>
          <w:lang w:eastAsia="zh-CN"/>
        </w:rPr>
        <w:t>6.办公室内、课室内、实验室内、学生宿舍内、会议室（厅）、礼堂、体育馆内等的日常</w:t>
      </w:r>
      <w:r>
        <w:rPr>
          <w:rFonts w:hint="eastAsia" w:ascii="宋体" w:hAnsi="宋体" w:cs="宋体"/>
          <w:bCs/>
          <w:sz w:val="24"/>
          <w:u w:val="none"/>
          <w:lang w:eastAsia="zh-CN"/>
        </w:rPr>
        <w:t>水电暖</w:t>
      </w:r>
      <w:r>
        <w:rPr>
          <w:rFonts w:hint="eastAsia" w:ascii="仿宋_GB2312" w:hAnsi="仿宋_GB2312" w:eastAsia="仿宋_GB2312" w:cs="仿宋_GB2312"/>
          <w:szCs w:val="21"/>
          <w:u w:val="none"/>
          <w:lang w:eastAsia="zh-CN"/>
        </w:rPr>
        <w:t>维修须做到24小时承诺制，不能按时完成的需向使用者解</w:t>
      </w:r>
      <w:r>
        <w:rPr>
          <w:rFonts w:hint="eastAsia" w:ascii="仿宋_GB2312" w:hAnsi="仿宋_GB2312" w:eastAsia="仿宋_GB2312" w:cs="仿宋_GB2312"/>
          <w:szCs w:val="21"/>
          <w:lang w:eastAsia="zh-CN"/>
        </w:rPr>
        <w:t>释并说明原因；</w:t>
      </w:r>
    </w:p>
    <w:p w14:paraId="6C491BD1">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lang w:eastAsia="zh-CN"/>
        </w:rPr>
        <w:t>7.</w:t>
      </w:r>
      <w:r>
        <w:rPr>
          <w:rFonts w:hint="eastAsia" w:ascii="仿宋_GB2312" w:hAnsi="仿宋_GB2312" w:eastAsia="仿宋_GB2312" w:cs="仿宋_GB2312"/>
          <w:szCs w:val="21"/>
          <w:lang w:val="en-US" w:eastAsia="zh-CN"/>
        </w:rPr>
        <w:t>配合学校做好</w:t>
      </w:r>
      <w:r>
        <w:rPr>
          <w:rFonts w:hint="eastAsia" w:ascii="仿宋_GB2312" w:hAnsi="仿宋_GB2312" w:eastAsia="仿宋_GB2312" w:cs="仿宋_GB2312"/>
          <w:szCs w:val="21"/>
          <w:lang w:eastAsia="zh-CN"/>
        </w:rPr>
        <w:t>大型活动</w:t>
      </w:r>
      <w:r>
        <w:rPr>
          <w:rFonts w:hint="eastAsia" w:ascii="仿宋_GB2312" w:hAnsi="仿宋_GB2312" w:eastAsia="仿宋_GB2312" w:cs="仿宋_GB2312"/>
          <w:szCs w:val="21"/>
          <w:lang w:val="en-US" w:eastAsia="zh-CN"/>
        </w:rPr>
        <w:t>管理</w:t>
      </w:r>
      <w:r>
        <w:rPr>
          <w:rFonts w:hint="eastAsia" w:ascii="仿宋_GB2312" w:hAnsi="仿宋_GB2312" w:eastAsia="仿宋_GB2312" w:cs="仿宋_GB2312"/>
          <w:szCs w:val="21"/>
          <w:lang w:eastAsia="zh-CN"/>
        </w:rPr>
        <w:t xml:space="preserve">、节假日彩灯、音响设备的安装调试等相关工作； </w:t>
      </w:r>
    </w:p>
    <w:p w14:paraId="762FFD5E">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8.专业设备设施如电梯、消防设备、高压变配电房由采购人委托专业部门维护，投标人协助专业部门做好设备日常养护工作；电梯管理员负责校园所有电梯日常巡查和监督保养及办理相关资料。</w:t>
      </w:r>
    </w:p>
    <w:p w14:paraId="442A0E36">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9.及时做好公共场所设备、设施维修，杜绝长流水、长明灯的现象；根据天气及季节，做好路灯、梯灯、走廊灯等关控工作，避免长明灯和节约用电；</w:t>
      </w:r>
    </w:p>
    <w:p w14:paraId="6FF31E85">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10.协助采购人做好各类考试的用电保障，并负责考试及平时教学用电铃的管理维护工作；</w:t>
      </w:r>
    </w:p>
    <w:p w14:paraId="135CADD5">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lang w:eastAsia="zh-CN"/>
        </w:rPr>
        <w:t>12.每天巡查责任区内的水电</w:t>
      </w:r>
      <w:r>
        <w:rPr>
          <w:rFonts w:hint="eastAsia" w:ascii="宋体" w:hAnsi="宋体" w:cs="宋体"/>
          <w:bCs/>
          <w:sz w:val="24"/>
          <w:u w:val="thick"/>
          <w:lang w:eastAsia="zh-CN"/>
        </w:rPr>
        <w:t>暖</w:t>
      </w:r>
      <w:r>
        <w:rPr>
          <w:rFonts w:hint="eastAsia" w:ascii="仿宋_GB2312" w:hAnsi="仿宋_GB2312" w:eastAsia="仿宋_GB2312" w:cs="仿宋_GB2312"/>
          <w:szCs w:val="21"/>
          <w:lang w:eastAsia="zh-CN"/>
        </w:rPr>
        <w:t>消防等设施设备（如：电房、水泵加压房、热泵、中央空调、电梯、定时器等）运行情况，并按规定进行维护保养，确保设施设备正常运行，并按学校要求做好巡查记录，对发现的问题填写报修单，并及时维修，做好台账；对于不能维修的，报至后勤管理人；当天的报修单，原则上要当天完成维修，维修工作量大的要向后勤管理人报告并说明原因，维修完工后要请使用部门或使用人签验；每月抄表一次，并协助学生宿舍水、电及热水结算收费，分析用水用电的合理性并将情况、数据报告后勤管理人；</w:t>
      </w:r>
    </w:p>
    <w:p w14:paraId="7277FB75">
      <w:pPr>
        <w:spacing w:line="360" w:lineRule="auto"/>
        <w:rPr>
          <w:rFonts w:hint="eastAsia" w:ascii="仿宋_GB2312" w:hAnsi="仿宋_GB2312" w:eastAsia="仿宋_GB2312" w:cs="仿宋_GB2312"/>
          <w:b/>
          <w:bCs/>
          <w:szCs w:val="21"/>
          <w:lang w:eastAsia="zh-CN"/>
        </w:rPr>
      </w:pPr>
      <w:r>
        <w:rPr>
          <w:rFonts w:hint="eastAsia" w:ascii="仿宋_GB2312" w:hAnsi="仿宋_GB2312" w:eastAsia="仿宋_GB2312" w:cs="仿宋_GB2312"/>
          <w:b/>
          <w:bCs/>
          <w:szCs w:val="21"/>
          <w:lang w:eastAsia="zh-CN"/>
        </w:rPr>
        <w:t>（六）校园绿化服务</w:t>
      </w:r>
    </w:p>
    <w:p w14:paraId="44D15BF8">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1.服务范围</w:t>
      </w:r>
    </w:p>
    <w:p w14:paraId="522E54A2">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学校校区范围内所有绿化场地上的绿植管理。</w:t>
      </w:r>
    </w:p>
    <w:p w14:paraId="2FAC9F15">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2.服务要求</w:t>
      </w:r>
    </w:p>
    <w:p w14:paraId="1607F315">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2.1★绿化养护服务（专业服务）质量标准。具体服务内容及配套设备的要求符合《奎屯市绿地养护管理标准》三级养护以上服务标准的规定。</w:t>
      </w:r>
    </w:p>
    <w:p w14:paraId="132E6E7B">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lang w:eastAsia="zh-CN"/>
        </w:rPr>
        <w:t>2.2建立绿化档案，按绿地编号分别核定乔、灌木和花卉、地被植物品种、数量（含树木等级）；提交副本给采购人。</w:t>
      </w:r>
    </w:p>
    <w:p w14:paraId="0F4513D3">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2.3绿化养护项目实施养护管理所用的一切劳动力、养护工具设备、燃料和服务由投标人自行组织，由此产生的一切费用及责任由乙方承担。养护所需的肥料和农药等由乙方负责提供，绿化过程中产生的废草、树枝、砖石等垃圾的清除和清运费用由投标人负责承担，随产随清，绿地内大型落叶（如棕榈类）当日清理。</w:t>
      </w:r>
    </w:p>
    <w:p w14:paraId="2BC5B50B">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2.4 绿地养护</w:t>
      </w:r>
    </w:p>
    <w:p w14:paraId="6A18B26A">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2.4.1校园内不得有黄土裸露现象，裸露泥土不超过10%；因拆建、校园改造、等形成的新裸露土，应及时种植绿化，</w:t>
      </w:r>
      <w:r>
        <w:rPr>
          <w:rFonts w:hint="eastAsia" w:ascii="仿宋_GB2312" w:hAnsi="仿宋_GB2312" w:eastAsia="仿宋_GB2312" w:cs="仿宋_GB2312"/>
          <w:szCs w:val="21"/>
          <w:lang w:val="hr-HR" w:eastAsia="zh-CN"/>
        </w:rPr>
        <w:t>无坑洼积水。</w:t>
      </w:r>
    </w:p>
    <w:p w14:paraId="054B47A3">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2.4.2维持绿地及绿地中的人行道、桌椅、绿篱内（含绿篱边内的枯叶）卫生整洁无杂物垃圾。保持绿地、绿化带整齐、美观、无杂草、无虫害，草坪内杂草率不得超过10%。容易受损坏的绿地，应设立保护措施，设置警示牌。</w:t>
      </w:r>
    </w:p>
    <w:p w14:paraId="17B2B020">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2.4.3应使用割草机割草或进行人工割草，人工草坪草的高度不超过8公分，一般绿地草的高度应不超过15公分，路边及角隅草块也要定期进行割草养护。</w:t>
      </w:r>
    </w:p>
    <w:p w14:paraId="7B0A7267">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草坪中杂草须连根拔除，草坪纯度保持在80﹪以上，地被植物区块视杂草生长情况进行除杂养护。</w:t>
      </w:r>
    </w:p>
    <w:p w14:paraId="7FF2986A">
      <w:pPr>
        <w:spacing w:line="360" w:lineRule="auto"/>
        <w:rPr>
          <w:rFonts w:hint="eastAsia" w:ascii="仿宋_GB2312" w:hAnsi="仿宋_GB2312" w:eastAsia="仿宋_GB2312" w:cs="仿宋_GB2312"/>
          <w:szCs w:val="21"/>
          <w:lang w:val="hr-HR" w:eastAsia="zh-CN"/>
        </w:rPr>
      </w:pPr>
      <w:r>
        <w:rPr>
          <w:rFonts w:hint="eastAsia" w:ascii="仿宋_GB2312" w:hAnsi="仿宋_GB2312" w:eastAsia="仿宋_GB2312" w:cs="仿宋_GB2312"/>
          <w:szCs w:val="21"/>
          <w:lang w:eastAsia="zh-CN"/>
        </w:rPr>
        <w:t>2.4.4</w:t>
      </w:r>
      <w:r>
        <w:rPr>
          <w:rFonts w:hint="eastAsia" w:ascii="仿宋_GB2312" w:hAnsi="仿宋_GB2312" w:eastAsia="仿宋_GB2312" w:cs="仿宋_GB2312"/>
          <w:szCs w:val="21"/>
          <w:lang w:val="hr-HR" w:eastAsia="zh-CN"/>
        </w:rPr>
        <w:t>根据草坪植物生长需要进行淋水和施肥，以保证草坪植物正常生长的，草坪整齐雅观，四季常绿。</w:t>
      </w:r>
    </w:p>
    <w:p w14:paraId="1F7616F1">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2.5.乔灌木养护</w:t>
      </w:r>
    </w:p>
    <w:p w14:paraId="36F7DA17">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2.5.1 树木高度、密度、形态、树冠的大小基本达到均匀一致，行道树树干基本直立，倾斜数量不超过该路段行道树10%。树高度控制在7至8米不能因超高引发安全事故（对现已超高的本合同生效后立即修剪成7至8米）因控高不到位修剪不及时而造成的事故由投标人负全部责任。</w:t>
      </w:r>
    </w:p>
    <w:p w14:paraId="377C8C9C">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2.5.2 全路段缺株植物不超过该路段的10%，补植树木应保持与原品种规格基本一致，缺株、倒伏、受损的树木能比较及时扶正、支撑或补种。折断或劈裂枝，做到去除残桩或修平断（裂）口。</w:t>
      </w:r>
    </w:p>
    <w:p w14:paraId="09D21AE7">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2.5.3根据校园高大乔木的生长情况，做好每年的高空修剪计划，报送学校，并做好高空修剪工程现场监督、做好安全作业。根据季节对苗木的树干进行涂白，要求一年不得少于一次。</w:t>
      </w:r>
    </w:p>
    <w:p w14:paraId="23794352">
      <w:pPr>
        <w:spacing w:line="360" w:lineRule="auto"/>
        <w:rPr>
          <w:rFonts w:hint="eastAsia" w:ascii="仿宋_GB2312" w:hAnsi="仿宋_GB2312" w:eastAsia="仿宋_GB2312" w:cs="仿宋_GB2312"/>
          <w:szCs w:val="21"/>
          <w:lang w:val="hr-HR" w:eastAsia="zh-CN"/>
        </w:rPr>
      </w:pPr>
      <w:r>
        <w:rPr>
          <w:rFonts w:hint="eastAsia" w:ascii="仿宋_GB2312" w:hAnsi="仿宋_GB2312" w:eastAsia="仿宋_GB2312" w:cs="仿宋_GB2312"/>
          <w:szCs w:val="21"/>
          <w:lang w:eastAsia="zh-CN"/>
        </w:rPr>
        <w:t>2.5.4</w:t>
      </w:r>
      <w:r>
        <w:rPr>
          <w:rFonts w:hint="eastAsia" w:ascii="仿宋_GB2312" w:hAnsi="仿宋_GB2312" w:eastAsia="仿宋_GB2312" w:cs="仿宋_GB2312"/>
          <w:szCs w:val="21"/>
          <w:lang w:val="hr-HR" w:eastAsia="zh-CN"/>
        </w:rPr>
        <w:t>灌木和花卉生长正常，造型较美观，具有一定的艺术感，花卉能适时开花，生长势正常，枝叶正常，无枯枝残叶，花坛、绿篱完整无断层，花卉能适时开花。造型美观，与环境协调，花卉要适时开花，及时修剪残花败叶，绿篱和花坛整形符合造景要求。</w:t>
      </w:r>
    </w:p>
    <w:p w14:paraId="4B3933D4">
      <w:pPr>
        <w:spacing w:line="360" w:lineRule="auto"/>
        <w:rPr>
          <w:rFonts w:hint="eastAsia" w:ascii="仿宋_GB2312" w:hAnsi="仿宋_GB2312" w:eastAsia="仿宋_GB2312" w:cs="仿宋_GB2312"/>
          <w:szCs w:val="21"/>
          <w:lang w:val="hr-HR" w:eastAsia="zh-CN"/>
        </w:rPr>
      </w:pPr>
      <w:r>
        <w:rPr>
          <w:rFonts w:hint="eastAsia" w:ascii="仿宋_GB2312" w:hAnsi="仿宋_GB2312" w:eastAsia="仿宋_GB2312" w:cs="仿宋_GB2312"/>
          <w:szCs w:val="21"/>
          <w:lang w:eastAsia="zh-CN"/>
        </w:rPr>
        <w:t>2.5.5</w:t>
      </w:r>
      <w:r>
        <w:rPr>
          <w:rFonts w:hint="eastAsia" w:ascii="仿宋_GB2312" w:hAnsi="仿宋_GB2312" w:eastAsia="仿宋_GB2312" w:cs="仿宋_GB2312"/>
          <w:szCs w:val="21"/>
          <w:lang w:val="hr-HR" w:eastAsia="zh-CN"/>
        </w:rPr>
        <w:t>在雨水缺少的季节，每天的淋水量要求接近于该种类该规格的蒸腾量，使含水量保持在 12</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hr-HR" w:eastAsia="zh-CN"/>
        </w:rPr>
        <w:t>20%。需水量大的植物，其土壤含水量一般要求为21</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hr-HR" w:eastAsia="zh-CN"/>
        </w:rPr>
        <w:t>22%。</w:t>
      </w:r>
    </w:p>
    <w:p w14:paraId="0B936360">
      <w:pPr>
        <w:spacing w:line="360" w:lineRule="auto"/>
        <w:rPr>
          <w:rFonts w:hint="eastAsia" w:ascii="仿宋_GB2312" w:hAnsi="仿宋_GB2312" w:eastAsia="仿宋_GB2312" w:cs="仿宋_GB2312"/>
          <w:szCs w:val="21"/>
          <w:lang w:val="hr-HR" w:eastAsia="zh-CN"/>
        </w:rPr>
      </w:pPr>
      <w:r>
        <w:rPr>
          <w:rFonts w:hint="eastAsia" w:ascii="仿宋_GB2312" w:hAnsi="仿宋_GB2312" w:eastAsia="仿宋_GB2312" w:cs="仿宋_GB2312"/>
          <w:szCs w:val="21"/>
          <w:lang w:eastAsia="zh-CN"/>
        </w:rPr>
        <w:t>2.5.6</w:t>
      </w:r>
      <w:r>
        <w:rPr>
          <w:rFonts w:hint="eastAsia" w:ascii="仿宋_GB2312" w:hAnsi="仿宋_GB2312" w:eastAsia="仿宋_GB2312" w:cs="仿宋_GB2312"/>
          <w:szCs w:val="21"/>
          <w:lang w:val="hr-HR" w:eastAsia="zh-CN"/>
        </w:rPr>
        <w:t>每年春季或秋季重点施肥1</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hr-HR" w:eastAsia="zh-CN"/>
        </w:rPr>
        <w:t>2次。肥料不能裸露，可采用埋施或水施等不同方法。埋施要先挖穴或开沟，施肥后要回填土、踏实、淋足水。</w:t>
      </w:r>
    </w:p>
    <w:p w14:paraId="0563006F">
      <w:pPr>
        <w:spacing w:line="360" w:lineRule="auto"/>
        <w:rPr>
          <w:rFonts w:hint="eastAsia" w:ascii="仿宋_GB2312" w:hAnsi="仿宋_GB2312" w:eastAsia="仿宋_GB2312" w:cs="仿宋_GB2312"/>
          <w:szCs w:val="21"/>
          <w:lang w:val="hr-HR" w:eastAsia="zh-CN"/>
        </w:rPr>
      </w:pPr>
      <w:r>
        <w:rPr>
          <w:rFonts w:hint="eastAsia" w:ascii="仿宋_GB2312" w:hAnsi="仿宋_GB2312" w:eastAsia="仿宋_GB2312" w:cs="仿宋_GB2312"/>
          <w:szCs w:val="21"/>
          <w:lang w:eastAsia="zh-CN"/>
        </w:rPr>
        <w:t>2.5.7乔木要</w:t>
      </w:r>
      <w:r>
        <w:rPr>
          <w:rFonts w:hint="eastAsia" w:ascii="仿宋_GB2312" w:hAnsi="仿宋_GB2312" w:eastAsia="仿宋_GB2312" w:cs="仿宋_GB2312"/>
          <w:szCs w:val="21"/>
          <w:lang w:val="hr-HR" w:eastAsia="zh-CN"/>
        </w:rPr>
        <w:t>生长正常，枝叶正常，无死树缺株，无枯枝残叶。生长势正常，行道树上缘线和下缘线整齐，修剪适度枝叶正常，无枯枝残叶。及时剪去干枯枝叶和病枝。</w:t>
      </w:r>
    </w:p>
    <w:p w14:paraId="79DFF02B">
      <w:pPr>
        <w:spacing w:line="360" w:lineRule="auto"/>
        <w:rPr>
          <w:rFonts w:hint="eastAsia" w:ascii="仿宋_GB2312" w:hAnsi="仿宋_GB2312" w:eastAsia="仿宋_GB2312" w:cs="仿宋_GB2312"/>
          <w:szCs w:val="21"/>
          <w:lang w:val="hr-HR" w:eastAsia="zh-CN"/>
        </w:rPr>
      </w:pPr>
      <w:r>
        <w:rPr>
          <w:rFonts w:hint="eastAsia" w:ascii="仿宋_GB2312" w:hAnsi="仿宋_GB2312" w:eastAsia="仿宋_GB2312" w:cs="仿宋_GB2312"/>
          <w:szCs w:val="21"/>
          <w:lang w:eastAsia="zh-CN"/>
        </w:rPr>
        <w:t>2.5.8</w:t>
      </w:r>
      <w:r>
        <w:rPr>
          <w:rFonts w:hint="eastAsia" w:ascii="仿宋_GB2312" w:hAnsi="仿宋_GB2312" w:eastAsia="仿宋_GB2312" w:cs="仿宋_GB2312"/>
          <w:szCs w:val="21"/>
          <w:lang w:val="hr-HR" w:eastAsia="zh-CN"/>
        </w:rPr>
        <w:t>每年的春、秋季重点施肥1次，乔木施肥穴的规格一般为30×30×40厘米，挖沟的规格为30×40厘米。挖穴或开沟的位置一般是树冠外缘的投影（行道树除外），每株树挖对称的两穴或四穴。</w:t>
      </w:r>
    </w:p>
    <w:p w14:paraId="773A9F7D">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2.6综合管理</w:t>
      </w:r>
    </w:p>
    <w:p w14:paraId="7320551B">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2.6.1绿化工具齐全，定期维护和保证绿化设备及工具完整，工具收纳于指定区域并摆放整齐。</w:t>
      </w:r>
    </w:p>
    <w:p w14:paraId="53947C7D">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2.6.2 进行防治病虫害、施肥、绿地使用、新种植和移除植株等工作，应提前知会校方，并出具相关施工公告。</w:t>
      </w:r>
    </w:p>
    <w:p w14:paraId="69F05E61">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2.6.</w:t>
      </w: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lang w:eastAsia="zh-CN"/>
        </w:rPr>
        <w:t>对已枯死的或被台风暴雨刮断的树枝，经检查无白蚁为害后及时将树头挖走，清理断枝残叶，防止白蚁孳生。</w:t>
      </w:r>
    </w:p>
    <w:p w14:paraId="068C7436">
      <w:pPr>
        <w:spacing w:line="360" w:lineRule="auto"/>
        <w:rPr>
          <w:rFonts w:hint="eastAsia" w:ascii="仿宋_GB2312" w:hAnsi="仿宋_GB2312" w:eastAsia="仿宋_GB2312" w:cs="仿宋_GB2312"/>
          <w:szCs w:val="21"/>
          <w:lang w:val="hr-HR" w:eastAsia="zh-CN"/>
        </w:rPr>
      </w:pPr>
      <w:r>
        <w:rPr>
          <w:rFonts w:hint="eastAsia" w:ascii="仿宋_GB2312" w:hAnsi="仿宋_GB2312" w:eastAsia="仿宋_GB2312" w:cs="仿宋_GB2312"/>
          <w:szCs w:val="21"/>
          <w:lang w:eastAsia="zh-CN"/>
        </w:rPr>
        <w:t>2.6.</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lang w:val="hr-HR" w:eastAsia="zh-CN"/>
        </w:rPr>
        <w:t>应</w:t>
      </w:r>
      <w:r>
        <w:rPr>
          <w:rFonts w:hint="eastAsia" w:ascii="仿宋_GB2312" w:hAnsi="仿宋_GB2312" w:eastAsia="仿宋_GB2312" w:cs="仿宋_GB2312"/>
          <w:szCs w:val="21"/>
          <w:lang w:eastAsia="zh-CN"/>
        </w:rPr>
        <w:t>每天</w:t>
      </w:r>
      <w:r>
        <w:rPr>
          <w:rFonts w:hint="eastAsia" w:ascii="仿宋_GB2312" w:hAnsi="仿宋_GB2312" w:eastAsia="仿宋_GB2312" w:cs="仿宋_GB2312"/>
          <w:szCs w:val="21"/>
          <w:lang w:val="hr-HR" w:eastAsia="zh-CN"/>
        </w:rPr>
        <w:t>维护</w:t>
      </w:r>
      <w:r>
        <w:rPr>
          <w:rFonts w:hint="eastAsia" w:ascii="仿宋_GB2312" w:hAnsi="仿宋_GB2312" w:eastAsia="仿宋_GB2312" w:cs="仿宋_GB2312"/>
          <w:szCs w:val="21"/>
          <w:lang w:eastAsia="zh-CN"/>
        </w:rPr>
        <w:t>假山鱼池及</w:t>
      </w:r>
      <w:r>
        <w:rPr>
          <w:rFonts w:hint="eastAsia" w:ascii="仿宋_GB2312" w:hAnsi="仿宋_GB2312" w:eastAsia="仿宋_GB2312" w:cs="仿宋_GB2312"/>
          <w:szCs w:val="21"/>
          <w:lang w:val="hr-HR" w:eastAsia="zh-CN"/>
        </w:rPr>
        <w:t>周边的</w:t>
      </w:r>
      <w:r>
        <w:rPr>
          <w:rFonts w:hint="eastAsia" w:ascii="仿宋_GB2312" w:hAnsi="仿宋_GB2312" w:eastAsia="仿宋_GB2312" w:cs="仿宋_GB2312"/>
          <w:szCs w:val="21"/>
          <w:lang w:eastAsia="zh-CN"/>
        </w:rPr>
        <w:t>环境卫生</w:t>
      </w:r>
      <w:r>
        <w:rPr>
          <w:rFonts w:hint="eastAsia" w:ascii="仿宋_GB2312" w:hAnsi="仿宋_GB2312" w:eastAsia="仿宋_GB2312" w:cs="仿宋_GB2312"/>
          <w:szCs w:val="21"/>
          <w:lang w:val="hr-HR" w:eastAsia="zh-CN"/>
        </w:rPr>
        <w:t>，打捞清理</w:t>
      </w:r>
      <w:r>
        <w:rPr>
          <w:rFonts w:hint="eastAsia" w:ascii="仿宋_GB2312" w:hAnsi="仿宋_GB2312" w:eastAsia="仿宋_GB2312" w:cs="仿宋_GB2312"/>
          <w:szCs w:val="21"/>
          <w:lang w:eastAsia="zh-CN"/>
        </w:rPr>
        <w:t>水面</w:t>
      </w:r>
      <w:r>
        <w:rPr>
          <w:rFonts w:hint="eastAsia" w:ascii="仿宋_GB2312" w:hAnsi="仿宋_GB2312" w:eastAsia="仿宋_GB2312" w:cs="仿宋_GB2312"/>
          <w:szCs w:val="21"/>
          <w:lang w:val="hr-HR" w:eastAsia="zh-CN"/>
        </w:rPr>
        <w:t>杂草、树叶、垃圾等，防止</w:t>
      </w:r>
      <w:r>
        <w:rPr>
          <w:rFonts w:hint="eastAsia" w:ascii="仿宋_GB2312" w:hAnsi="仿宋_GB2312" w:eastAsia="仿宋_GB2312" w:cs="仿宋_GB2312"/>
          <w:szCs w:val="21"/>
          <w:lang w:eastAsia="zh-CN"/>
        </w:rPr>
        <w:t>假山</w:t>
      </w:r>
      <w:r>
        <w:rPr>
          <w:rFonts w:hint="eastAsia" w:ascii="仿宋_GB2312" w:hAnsi="仿宋_GB2312" w:eastAsia="仿宋_GB2312" w:cs="仿宋_GB2312"/>
          <w:szCs w:val="21"/>
          <w:lang w:val="hr-HR" w:eastAsia="zh-CN"/>
        </w:rPr>
        <w:t>崩塌，确保安全</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hr-HR" w:eastAsia="zh-CN"/>
        </w:rPr>
        <w:t>每月1次清洗</w:t>
      </w:r>
      <w:r>
        <w:rPr>
          <w:rFonts w:hint="eastAsia" w:ascii="仿宋_GB2312" w:hAnsi="仿宋_GB2312" w:eastAsia="仿宋_GB2312" w:cs="仿宋_GB2312"/>
          <w:szCs w:val="21"/>
          <w:lang w:eastAsia="zh-CN"/>
        </w:rPr>
        <w:t>假山</w:t>
      </w:r>
      <w:r>
        <w:rPr>
          <w:rFonts w:hint="eastAsia" w:ascii="仿宋_GB2312" w:hAnsi="仿宋_GB2312" w:eastAsia="仿宋_GB2312" w:cs="仿宋_GB2312"/>
          <w:szCs w:val="21"/>
          <w:lang w:val="hr-HR" w:eastAsia="zh-CN"/>
        </w:rPr>
        <w:t>景观，确保干净整洁。</w:t>
      </w:r>
    </w:p>
    <w:p w14:paraId="55089AF6">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2.7. 自然灾害应急处理</w:t>
      </w:r>
    </w:p>
    <w:p w14:paraId="4E00B4E1">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2.7.1 有完备的《绿化应急工作预案》，如遇突发事件和学校重要活动时，无条件积极配合校方，搞好绿化工作，随叫随到。</w:t>
      </w:r>
    </w:p>
    <w:p w14:paraId="5443A027">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2.7.2 台风季节应提前做好防风措施，修剪枯枝、残枝、败叶，对新种或易折断的植物进行适当的支撑、加固（如支架绑扎等）。</w:t>
      </w:r>
    </w:p>
    <w:p w14:paraId="5E44318C">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2.7.3 台风过程中，安排应急值班人员，2小时内排除险情，维护校园正常秩序。</w:t>
      </w:r>
    </w:p>
    <w:p w14:paraId="5D5D6D52">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2.7.4 台风过后应及时扶正，清理断枝落叶等。</w:t>
      </w:r>
    </w:p>
    <w:p w14:paraId="52E7F0E8">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lang w:eastAsia="zh-CN"/>
        </w:rPr>
        <w:t>2.8.节假日及学校重要活动时花摆放</w:t>
      </w:r>
    </w:p>
    <w:p w14:paraId="66383D47">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2.8.1 保证节假日、校庆等重大活动时，应保持花坛内的花卉鲜艳盛开，每年春节在各校门摆放年桔及配套的时花。</w:t>
      </w:r>
    </w:p>
    <w:p w14:paraId="48D02DAC">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2.8.2 为学校的重大活动（迎新典礼、毕业典礼、重大会议等）提供绿植盆栽、盆花布置会场。</w:t>
      </w:r>
    </w:p>
    <w:p w14:paraId="2BCFD3CC">
      <w:pPr>
        <w:spacing w:line="360" w:lineRule="auto"/>
        <w:rPr>
          <w:rFonts w:hint="eastAsia" w:ascii="仿宋_GB2312" w:hAnsi="仿宋_GB2312" w:eastAsia="仿宋_GB2312" w:cs="仿宋_GB2312"/>
          <w:b/>
          <w:bCs/>
          <w:szCs w:val="21"/>
          <w:lang w:eastAsia="zh-CN"/>
        </w:rPr>
      </w:pPr>
      <w:r>
        <w:rPr>
          <w:rFonts w:hint="eastAsia" w:ascii="仿宋_GB2312" w:hAnsi="仿宋_GB2312" w:eastAsia="仿宋_GB2312" w:cs="仿宋_GB2312"/>
          <w:b/>
          <w:bCs/>
          <w:szCs w:val="21"/>
          <w:lang w:eastAsia="zh-CN"/>
        </w:rPr>
        <w:t>（七）课室管理服务</w:t>
      </w:r>
    </w:p>
    <w:p w14:paraId="51FA47FE">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1.工作范围</w:t>
      </w:r>
    </w:p>
    <w:p w14:paraId="14D552FA">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教学楼、实训楼课室。</w:t>
      </w:r>
    </w:p>
    <w:p w14:paraId="7598EE19">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2.工作内容</w:t>
      </w:r>
    </w:p>
    <w:p w14:paraId="5F627307">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每天早晨8时前、中午13时前、下午18时前，根据教务处下达的课室使用安排，提前20分钟完成课室内部桌椅、黑板、窗帘、空调或吊扇、照明等设施的调整，按功能要求摆放整齐，并打开课室门；调度有序、及时，随时保障教学需要；</w:t>
      </w:r>
    </w:p>
    <w:p w14:paraId="76336450">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（2）在采购人组织活动及用作考场期间，根据需要投标人免费增派服务人员；</w:t>
      </w:r>
    </w:p>
    <w:p w14:paraId="73AFBA1F">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（3）对小型教具（如：白板笔、麦克风等）进行保管、维护，每天根据各课室的情况供给发放，并做好情况记录，耗材型教具由采购人提供；</w:t>
      </w:r>
    </w:p>
    <w:p w14:paraId="4476573F">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（4）对每间课室的课桌椅等的设施设备记录建档；</w:t>
      </w:r>
    </w:p>
    <w:p w14:paraId="3E131DD3">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（5）配合采购人处理其他临时搬运任务，包括大件工程维修实验设备等；</w:t>
      </w:r>
    </w:p>
    <w:p w14:paraId="35BACF15">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（6）★每天晚上10：30分，在课室活动结束后，及时关好课室电器和门窗；</w:t>
      </w:r>
    </w:p>
    <w:p w14:paraId="56445679">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（7）发现课室实际运行与计划安排有冲突时应及时报告教学管理部门，根据教学管理部门调度意见妥善处理，并做好情况记录；</w:t>
      </w:r>
    </w:p>
    <w:p w14:paraId="55BC2D94">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（8）根据采购人的要求，定时巡查课室，发现长明灯、长转风扇、长开空调等浪费情况及时关闭；</w:t>
      </w:r>
    </w:p>
    <w:p w14:paraId="3F53B30E">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（9）对课室使用情况进行记录，发现门窗损坏、设备故障等影响教学的情况，及时报告教学管理部门；</w:t>
      </w:r>
    </w:p>
    <w:p w14:paraId="67EDCF25">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lang w:eastAsia="zh-CN"/>
        </w:rPr>
        <w:t>（10）对未按规定使用课室的人员及时进行劝离，并报告教学、保卫等管理部门。</w:t>
      </w:r>
    </w:p>
    <w:p w14:paraId="7C2168C3">
      <w:pPr>
        <w:spacing w:line="360" w:lineRule="auto"/>
        <w:rPr>
          <w:rFonts w:hint="eastAsia" w:ascii="仿宋_GB2312" w:hAnsi="仿宋_GB2312" w:eastAsia="仿宋_GB2312" w:cs="仿宋_GB2312"/>
          <w:b/>
          <w:bCs/>
          <w:szCs w:val="21"/>
          <w:lang w:eastAsia="zh-CN"/>
        </w:rPr>
      </w:pPr>
      <w:r>
        <w:rPr>
          <w:rFonts w:hint="eastAsia" w:ascii="仿宋_GB2312" w:hAnsi="仿宋_GB2312" w:eastAsia="仿宋_GB2312" w:cs="仿宋_GB2312"/>
          <w:b/>
          <w:bCs/>
          <w:szCs w:val="21"/>
          <w:lang w:eastAsia="zh-CN"/>
        </w:rPr>
        <w:t>（八）垃圾清理、分类服务</w:t>
      </w:r>
    </w:p>
    <w:p w14:paraId="1A93AAF7">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1.服务范围</w:t>
      </w:r>
    </w:p>
    <w:p w14:paraId="35C6FA3E">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学校范围内每日产生的垃圾（含饭堂的餐厨垃圾）。</w:t>
      </w:r>
    </w:p>
    <w:p w14:paraId="6F675CAF">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2.服务要求</w:t>
      </w:r>
    </w:p>
    <w:p w14:paraId="4D888F2B">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（1）垃圾日产日清，负责垃圾的清运和处理，每日12:00之前完成外运，如遇特殊情况，保证在18:00之前完成。</w:t>
      </w:r>
    </w:p>
    <w:p w14:paraId="31720142">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(2)清理校区所有垃圾，包括生活垃圾、杂物、杂草绿化树枝（物业清理的）、废旧家具等，所有垃圾及时清运，不另增加费用。</w:t>
      </w:r>
    </w:p>
    <w:p w14:paraId="39DC3098">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(3)垃圾清运途中，不得有撒漏垃圾的情况，处理过程中无散积垃圾、无异味，须经常喷洒药水，防止发生虫害。</w:t>
      </w:r>
    </w:p>
    <w:p w14:paraId="0370914F">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(4)垃圾临时堆放点周围保持干净。</w:t>
      </w:r>
    </w:p>
    <w:p w14:paraId="7DBCAD15">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lang w:eastAsia="zh-CN"/>
        </w:rPr>
        <w:t>(5) 垃圾分类执行政府和学校等有关规定要求：进行垃圾分拣、分类，各种宣传资料制作等。不另增加费用。由于投标人的原因，导致学校受到行政处罚的（含罚款处罚），责任由投标人承担。</w:t>
      </w:r>
    </w:p>
    <w:p w14:paraId="33D17B23">
      <w:pPr>
        <w:spacing w:line="360" w:lineRule="auto"/>
        <w:rPr>
          <w:rFonts w:hint="eastAsia" w:ascii="仿宋_GB2312" w:hAnsi="仿宋_GB2312" w:eastAsia="仿宋_GB2312" w:cs="仿宋_GB2312"/>
          <w:b/>
          <w:bCs/>
          <w:szCs w:val="21"/>
          <w:lang w:eastAsia="zh-CN"/>
        </w:rPr>
      </w:pPr>
      <w:r>
        <w:rPr>
          <w:rFonts w:hint="eastAsia" w:ascii="仿宋_GB2312" w:hAnsi="仿宋_GB2312" w:eastAsia="仿宋_GB2312" w:cs="仿宋_GB2312"/>
          <w:b/>
          <w:bCs/>
          <w:szCs w:val="21"/>
          <w:lang w:eastAsia="zh-CN"/>
        </w:rPr>
        <w:t>（九）除四害、蚁、蛇害防治、爱国卫生运动、消毒等服务</w:t>
      </w:r>
    </w:p>
    <w:p w14:paraId="2DE85148">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1.除四害、蚁、蛇害防治服务、爱国卫生运动服务的要求</w:t>
      </w:r>
    </w:p>
    <w:p w14:paraId="7613570C">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 xml:space="preserve">（1）服务范围：校区 （含食堂内部） </w:t>
      </w:r>
    </w:p>
    <w:p w14:paraId="204384C0">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（2）服务要求</w:t>
      </w:r>
    </w:p>
    <w:p w14:paraId="67AEA547">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（a）校区每月两次进行除四害消杀工作，蚊虫滋生高峰季节每周一次，包括投放有效灭鼠药、提供灭鼠器具，如老鼠贴、老鼠药、灭鼠屋等。</w:t>
      </w:r>
    </w:p>
    <w:p w14:paraId="2B8C8558">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（b）灭鼠标准：鼠迹不超过检查点2% 。</w:t>
      </w:r>
    </w:p>
    <w:p w14:paraId="713558D7">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（c）灭蚊标准：校区蚊幼及蛹的阳性孳生不超过检查点3%。</w:t>
      </w:r>
    </w:p>
    <w:p w14:paraId="11D88694">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（d）灭蝇标准: 校区蝇幼及蛹的阳性孳生不超过3处。</w:t>
      </w:r>
    </w:p>
    <w:p w14:paraId="2E8DBAB1">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（e）灭鼠、灭蚊、灭苍蝇、灭蟑螂达到当地“除四害”管理规定的标准；不得使用国家禁用药品。</w:t>
      </w:r>
    </w:p>
    <w:p w14:paraId="7181F2A7">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（f）每次完成消杀任务后，建立健全的除四害消杀工作档案，经学校有关管理员签名确认，并将相关资料归档。</w:t>
      </w:r>
    </w:p>
    <w:p w14:paraId="3A69321C">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(2)蛇患防治服务：设置防范标志，投放防蛇药等防止蛇患；</w:t>
      </w:r>
    </w:p>
    <w:p w14:paraId="03115705">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(3).害防治服务：投放灭蚁药等防止蚁害；</w:t>
      </w:r>
    </w:p>
    <w:p w14:paraId="18F1A340">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(4)根据学校要求开展爱国卫生运动。</w:t>
      </w:r>
    </w:p>
    <w:p w14:paraId="387EDFE2">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2.消毒服务要求</w:t>
      </w:r>
    </w:p>
    <w:p w14:paraId="7287737F">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 xml:space="preserve">（1）服务范围：校区 （含食堂内部） </w:t>
      </w:r>
    </w:p>
    <w:p w14:paraId="40664266">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（2）服务要求</w:t>
      </w:r>
    </w:p>
    <w:p w14:paraId="3D097855">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（a）校区范围内每月两次进行消毒工作，发现传染病病例、传染病等疫情发生按学校要求增加消毒次数，不另增加费用。</w:t>
      </w:r>
    </w:p>
    <w:p w14:paraId="1F6DB90C">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（b）消毒器械：超低容量喷雾器等。</w:t>
      </w:r>
    </w:p>
    <w:p w14:paraId="2966E4C8">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（c）消毒药物按卫生部门有关规定。</w:t>
      </w:r>
    </w:p>
    <w:p w14:paraId="2BC68AD0">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3.建立健全的消毒工作档案。每次完成消毒任务后，须经采购人有关管理员签名确认，并将相关资料归档。</w:t>
      </w:r>
    </w:p>
    <w:p w14:paraId="46739E34">
      <w:pPr>
        <w:spacing w:line="360" w:lineRule="auto"/>
        <w:rPr>
          <w:rFonts w:hint="eastAsia" w:ascii="仿宋_GB2312" w:hAnsi="仿宋_GB2312" w:eastAsia="仿宋_GB2312" w:cs="仿宋_GB2312"/>
          <w:b/>
          <w:bCs/>
          <w:szCs w:val="21"/>
          <w:lang w:eastAsia="zh-CN"/>
        </w:rPr>
      </w:pPr>
      <w:r>
        <w:rPr>
          <w:rFonts w:hint="eastAsia" w:ascii="仿宋_GB2312" w:hAnsi="仿宋_GB2312" w:eastAsia="仿宋_GB2312" w:cs="仿宋_GB2312"/>
          <w:b/>
          <w:bCs/>
          <w:szCs w:val="21"/>
          <w:lang w:eastAsia="zh-CN"/>
        </w:rPr>
        <w:t>（十）管道（含水沟）疏通服务</w:t>
      </w:r>
    </w:p>
    <w:p w14:paraId="6FC34D4E">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1.服务范围</w:t>
      </w:r>
    </w:p>
    <w:p w14:paraId="7AB8A7FF">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学校校区范围内所有明管和暗管（包括建筑物内外）及厕所的疏通。</w:t>
      </w:r>
    </w:p>
    <w:p w14:paraId="141F9737">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2.服务要求</w:t>
      </w:r>
    </w:p>
    <w:p w14:paraId="0F50A560">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（1）出现管道、厕所堵塞时，当天疏通（需换厕盆的除外）。</w:t>
      </w:r>
    </w:p>
    <w:p w14:paraId="2CEDB969">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（2）服务单位只负责管道疏通的实施，如需更换材料，超出规定范围的费用由采购人承担；施工应在1-3个工作日内全部完成，不另增加费用。</w:t>
      </w:r>
    </w:p>
    <w:p w14:paraId="10D36CB4">
      <w:pPr>
        <w:spacing w:line="360" w:lineRule="auto"/>
        <w:rPr>
          <w:rFonts w:hint="eastAsia" w:ascii="仿宋_GB2312" w:hAnsi="仿宋_GB2312" w:eastAsia="仿宋_GB2312" w:cs="仿宋_GB2312"/>
          <w:b/>
          <w:bCs/>
          <w:szCs w:val="21"/>
          <w:lang w:eastAsia="zh-CN"/>
        </w:rPr>
      </w:pPr>
      <w:r>
        <w:rPr>
          <w:rFonts w:hint="eastAsia" w:ascii="仿宋_GB2312" w:hAnsi="仿宋_GB2312" w:eastAsia="仿宋_GB2312" w:cs="仿宋_GB2312"/>
          <w:b/>
          <w:bCs/>
          <w:szCs w:val="21"/>
          <w:lang w:eastAsia="zh-CN"/>
        </w:rPr>
        <w:t>（十一）校园</w:t>
      </w:r>
      <w:r>
        <w:rPr>
          <w:rFonts w:hint="eastAsia" w:ascii="仿宋_GB2312" w:hAnsi="仿宋_GB2312" w:eastAsia="仿宋_GB2312" w:cs="仿宋_GB2312"/>
          <w:b/>
          <w:bCs/>
          <w:szCs w:val="21"/>
          <w:lang w:val="en-US" w:eastAsia="zh-CN"/>
        </w:rPr>
        <w:t>安全保障</w:t>
      </w:r>
      <w:r>
        <w:rPr>
          <w:rFonts w:hint="eastAsia" w:ascii="仿宋_GB2312" w:hAnsi="仿宋_GB2312" w:eastAsia="仿宋_GB2312" w:cs="仿宋_GB2312"/>
          <w:b/>
          <w:bCs/>
          <w:szCs w:val="21"/>
          <w:lang w:eastAsia="zh-CN"/>
        </w:rPr>
        <w:t>服务</w:t>
      </w:r>
    </w:p>
    <w:p w14:paraId="62B0E284">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1.服务范围</w:t>
      </w:r>
    </w:p>
    <w:p w14:paraId="68BB016E">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学校校区范围内的安全保卫，预防、发现、制止和处理校园欺凌和打架斗殴。</w:t>
      </w:r>
    </w:p>
    <w:p w14:paraId="3299445C">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服务要求</w:t>
      </w:r>
    </w:p>
    <w:p w14:paraId="0E655D5A">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（1）全天候负责区域内正门、侧门、</w:t>
      </w:r>
      <w:r>
        <w:rPr>
          <w:rFonts w:hint="eastAsia" w:ascii="仿宋_GB2312" w:hAnsi="仿宋_GB2312" w:eastAsia="仿宋_GB2312" w:cs="仿宋_GB2312"/>
          <w:szCs w:val="21"/>
          <w:lang w:eastAsia="zh-CN"/>
        </w:rPr>
        <w:t>北门、</w:t>
      </w:r>
      <w:r>
        <w:rPr>
          <w:rFonts w:hint="eastAsia" w:ascii="仿宋_GB2312" w:hAnsi="仿宋_GB2312" w:eastAsia="仿宋_GB2312" w:cs="仿宋_GB2312"/>
          <w:szCs w:val="21"/>
          <w:lang w:val="en-US" w:eastAsia="zh-CN"/>
        </w:rPr>
        <w:t>区域通道、围墙、各楼层/区域内办公室及公共走道交通及每天24小时巡逻、值勤。日常安全及秩序管理服务符合GA/T 594规范的要求。</w:t>
      </w:r>
    </w:p>
    <w:p w14:paraId="67A912D3">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（2）校园来人来访人员通报、登记、证件检查等。</w:t>
      </w:r>
    </w:p>
    <w:p w14:paraId="2E7D92CD">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（3）积极配合公安部门工作，制定或完善监控室管理制度。</w:t>
      </w:r>
    </w:p>
    <w:p w14:paraId="32C62657">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执行当地公安部门关于物业管理和后勤服务校园范围内的安全保卫工作方针、政策和有关条例。认真做好各种应急预案，并报备采购人审查。遇恶劣天气（如台风、雷雨、酷暑和极潮湿等）或突发事件须及时出示警告牌，并记录和保护相关资料。</w:t>
      </w:r>
    </w:p>
    <w:p w14:paraId="27C1729C">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（5）及时制止物业管理和后勤服务区域内的不文明及违法行为。</w:t>
      </w:r>
    </w:p>
    <w:p w14:paraId="75041805">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（6）不少于每天1次对开关和照明灯具等进行检查。</w:t>
      </w:r>
    </w:p>
    <w:p w14:paraId="265E061E">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（7）建立防火制度和安全操作等制度。每半年1次开展预防校园欺凌伤害、防盗、防火宣传教育。</w:t>
      </w:r>
    </w:p>
    <w:p w14:paraId="3D5FD656">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（8）按公安、消防等行政部门要求，发布、张贴有关政策法规的宣传资料。</w:t>
      </w:r>
    </w:p>
    <w:p w14:paraId="19E7C293">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（9）巡逻范围包括校园内的公共区域、绿地带、设备用房和各办公楼（区域）及采购人指定场所。</w:t>
      </w:r>
    </w:p>
    <w:p w14:paraId="6F3ED460">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（10）</w:t>
      </w:r>
      <w:r>
        <w:rPr>
          <w:rFonts w:hint="eastAsia" w:ascii="仿宋_GB2312" w:hAnsi="仿宋_GB2312" w:eastAsia="仿宋_GB2312" w:cs="仿宋_GB2312"/>
          <w:szCs w:val="21"/>
          <w:lang w:eastAsia="zh-CN"/>
        </w:rPr>
        <w:t>预防、</w:t>
      </w:r>
      <w:r>
        <w:rPr>
          <w:rFonts w:hint="eastAsia" w:ascii="仿宋_GB2312" w:hAnsi="仿宋_GB2312" w:eastAsia="仿宋_GB2312" w:cs="仿宋_GB2312"/>
          <w:szCs w:val="21"/>
          <w:lang w:val="en-US" w:eastAsia="zh-CN"/>
        </w:rPr>
        <w:t>发现、制止和处理校园欺凌和打架斗殴等各种突发事件。严重事件及时报警。</w:t>
      </w:r>
    </w:p>
    <w:p w14:paraId="31437DDB">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（11）每周2次巡视消防器材和设备，及时通知指定有关人员负责保养、维修和管理。</w:t>
      </w:r>
    </w:p>
    <w:p w14:paraId="48489B87">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（12）制定停车场使用条例，停车管理规定或执行采购人制定的外来车辆管理规定。在停车场区域使用显著的标志指引进出车辆，标志的设置符合GB 5768.2及GB/T 10001.1的规范。</w:t>
      </w:r>
    </w:p>
    <w:p w14:paraId="2B314C64">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（13）定期对停车场出入口设备进行维护保养。设备故障、维保期间应安排人员指挥、控制车辆及人员的出入。</w:t>
      </w:r>
    </w:p>
    <w:p w14:paraId="0BFAD859">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（14）外来车辆进出辖区应登记日期、进出时间、车牌号码。建立登记制度，严防盗抢事件发生。</w:t>
      </w:r>
    </w:p>
    <w:p w14:paraId="6A29BDB9">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△（15）非机动车、机动车等各种车辆停放有序，有专人指引按规定停放在划定的露天车位或车棚内，做到车辆停放规范、整齐、分类、安全。制止车辆在行车通道、消防通道及非停车位上停车。</w:t>
      </w:r>
    </w:p>
    <w:p w14:paraId="21C41E81">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16）负责维护校园内的工作人员的人身和财产安全。劝阻、纠正、制止校园内各种违章（法）违规（纪）行为，包括车辆（包括电动车、单车）乱停乱放交通违章、消防违规、推销、乱搭建、乱张贴、乱摆卖、乱涂乱画等，维护校园内的正常工作、生活秩序，净化环境。</w:t>
      </w:r>
    </w:p>
    <w:p w14:paraId="2D87241E">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（17）负责采购人重大活动、会务以及来访领导、贵宾的安全保卫工作，维护重大活动、集会秩序，确保领导、贵宾的安全和活动的顺利进行。根据要求做好活动或会务期间的服务工作。</w:t>
      </w:r>
    </w:p>
    <w:p w14:paraId="13A1AA19">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（18）询问并登记搬入/运离校园的大宗物品和贵重物品的来源及去处，确认有相关部门或采购人的书面确认材料，经登记后才可放行。</w:t>
      </w:r>
    </w:p>
    <w:p w14:paraId="7B12E409">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（19）外来车辆的收费，按采购人现有制度执行。</w:t>
      </w:r>
    </w:p>
    <w:p w14:paraId="5263D059">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（20）每年</w:t>
      </w:r>
      <w:r>
        <w:rPr>
          <w:rFonts w:hint="eastAsia" w:ascii="宋体" w:hAnsi="宋体" w:cs="宋体"/>
          <w:bCs/>
          <w:sz w:val="24"/>
          <w:u w:val="thick"/>
          <w:lang w:val="en-US" w:eastAsia="zh-CN"/>
        </w:rPr>
        <w:t>4</w:t>
      </w:r>
      <w:r>
        <w:rPr>
          <w:rFonts w:hint="eastAsia" w:ascii="宋体" w:hAnsi="宋体" w:cs="宋体"/>
          <w:bCs/>
          <w:sz w:val="24"/>
          <w:u w:val="thick"/>
        </w:rPr>
        <w:t>次</w:t>
      </w:r>
      <w:r>
        <w:rPr>
          <w:rFonts w:hint="eastAsia" w:ascii="仿宋_GB2312" w:hAnsi="仿宋_GB2312" w:eastAsia="仿宋_GB2312" w:cs="仿宋_GB2312"/>
          <w:szCs w:val="21"/>
          <w:lang w:val="en-US" w:eastAsia="zh-CN"/>
        </w:rPr>
        <w:t>次进行重大的消防演练或防灾应急演习。</w:t>
      </w:r>
    </w:p>
    <w:p w14:paraId="76375056">
      <w:pPr>
        <w:spacing w:line="360" w:lineRule="auto"/>
        <w:rPr>
          <w:rFonts w:hint="eastAsia" w:ascii="仿宋_GB2312" w:hAnsi="仿宋_GB2312" w:eastAsia="仿宋_GB2312" w:cs="仿宋_GB2312"/>
          <w:b/>
          <w:bCs/>
          <w:szCs w:val="21"/>
          <w:lang w:eastAsia="zh-CN"/>
        </w:rPr>
      </w:pPr>
      <w:r>
        <w:rPr>
          <w:rFonts w:hint="eastAsia" w:ascii="仿宋_GB2312" w:hAnsi="仿宋_GB2312" w:eastAsia="仿宋_GB2312" w:cs="仿宋_GB2312"/>
          <w:b/>
          <w:bCs/>
          <w:szCs w:val="21"/>
          <w:lang w:val="en-US" w:eastAsia="zh-CN"/>
        </w:rPr>
        <w:t>四、</w:t>
      </w:r>
      <w:r>
        <w:rPr>
          <w:rFonts w:hint="eastAsia" w:ascii="仿宋_GB2312" w:hAnsi="仿宋_GB2312" w:eastAsia="仿宋_GB2312" w:cs="仿宋_GB2312"/>
          <w:b/>
          <w:bCs/>
          <w:szCs w:val="21"/>
          <w:lang w:eastAsia="zh-CN"/>
        </w:rPr>
        <w:t>餐饮服务详细要求</w:t>
      </w:r>
    </w:p>
    <w:p w14:paraId="4423B2E1">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lang w:eastAsia="zh-CN"/>
        </w:rPr>
        <w:t>服务范围：</w:t>
      </w:r>
    </w:p>
    <w:p w14:paraId="6FED195A">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 全校师生员工的早餐、午餐、晚餐等（含清真餐）</w:t>
      </w:r>
    </w:p>
    <w:p w14:paraId="41AB800C">
      <w:pPr>
        <w:numPr>
          <w:ilvl w:val="0"/>
          <w:numId w:val="7"/>
        </w:numPr>
        <w:spacing w:line="360" w:lineRule="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服务要求：</w:t>
      </w:r>
    </w:p>
    <w:p w14:paraId="58EE269F">
      <w:pPr>
        <w:pageBreakBefore w:val="0"/>
        <w:numPr>
          <w:ilvl w:val="0"/>
          <w:numId w:val="0"/>
        </w:numPr>
        <w:kinsoku/>
        <w:wordWrap/>
        <w:overflowPunct/>
        <w:topLinePunct w:val="0"/>
        <w:bidi w:val="0"/>
        <w:adjustRightInd w:val="0"/>
        <w:snapToGrid w:val="0"/>
        <w:spacing w:line="360" w:lineRule="auto"/>
        <w:ind w:firstLine="420" w:firstLineChars="200"/>
        <w:outlineLvl w:val="1"/>
        <w:rPr>
          <w:rFonts w:hint="eastAsia" w:ascii="仿宋_GB2312" w:hAnsi="仿宋_GB2312" w:eastAsia="仿宋_GB2312" w:cs="仿宋_GB2312"/>
          <w:bCs/>
          <w:color w:val="auto"/>
          <w:sz w:val="21"/>
          <w:szCs w:val="21"/>
          <w:u w:val="none"/>
          <w:lang w:val="en-US" w:eastAsia="zh-CN"/>
        </w:rPr>
      </w:pPr>
      <w:r>
        <w:rPr>
          <w:rFonts w:hint="eastAsia" w:ascii="仿宋_GB2312" w:hAnsi="仿宋_GB2312" w:eastAsia="仿宋_GB2312" w:cs="仿宋_GB2312"/>
          <w:bCs/>
          <w:color w:val="auto"/>
          <w:sz w:val="21"/>
          <w:szCs w:val="21"/>
          <w:u w:val="none"/>
          <w:lang w:val="en-US" w:eastAsia="zh-CN"/>
        </w:rPr>
        <w:t>（1）投标人</w:t>
      </w:r>
      <w:bookmarkStart w:id="113" w:name="_Toc167609285"/>
      <w:r>
        <w:rPr>
          <w:rFonts w:hint="eastAsia" w:ascii="仿宋_GB2312" w:hAnsi="仿宋_GB2312" w:eastAsia="仿宋_GB2312" w:cs="仿宋_GB2312"/>
          <w:bCs/>
          <w:color w:val="auto"/>
          <w:sz w:val="21"/>
          <w:szCs w:val="21"/>
          <w:u w:val="none"/>
          <w:lang w:val="en-US" w:eastAsia="zh-CN"/>
        </w:rPr>
        <w:t>严格执行《中华人民共和国食品安全法》《新疆维吾尔自治区学校食品安全规范化管理指引》要求，同时结合《奎屯市第七中学食品安全风险管控清单（单位食堂）</w:t>
      </w:r>
      <w:bookmarkEnd w:id="113"/>
      <w:r>
        <w:rPr>
          <w:rFonts w:hint="eastAsia" w:ascii="仿宋_GB2312" w:hAnsi="仿宋_GB2312" w:eastAsia="仿宋_GB2312" w:cs="仿宋_GB2312"/>
          <w:bCs/>
          <w:color w:val="auto"/>
          <w:sz w:val="21"/>
          <w:szCs w:val="21"/>
          <w:u w:val="none"/>
          <w:lang w:val="en-US" w:eastAsia="zh-CN"/>
        </w:rPr>
        <w:t>》及食品安全“日管控 周排查 月调度”风险防控机制，具体落实食品安全责任。</w:t>
      </w:r>
    </w:p>
    <w:p w14:paraId="64966594">
      <w:pPr>
        <w:pageBreakBefore w:val="0"/>
        <w:numPr>
          <w:ilvl w:val="0"/>
          <w:numId w:val="0"/>
        </w:numPr>
        <w:kinsoku/>
        <w:wordWrap/>
        <w:overflowPunct/>
        <w:topLinePunct w:val="0"/>
        <w:bidi w:val="0"/>
        <w:adjustRightInd w:val="0"/>
        <w:snapToGrid w:val="0"/>
        <w:spacing w:line="360" w:lineRule="auto"/>
        <w:ind w:firstLine="210" w:firstLineChars="100"/>
        <w:outlineLvl w:val="1"/>
        <w:rPr>
          <w:rFonts w:hint="eastAsia" w:ascii="仿宋_GB2312" w:hAnsi="仿宋_GB2312" w:eastAsia="仿宋_GB2312" w:cs="仿宋_GB2312"/>
          <w:bCs/>
          <w:color w:val="auto"/>
          <w:sz w:val="21"/>
          <w:szCs w:val="21"/>
          <w:u w:val="none"/>
          <w:lang w:val="en-US" w:eastAsia="zh-CN"/>
        </w:rPr>
      </w:pPr>
      <w:r>
        <w:rPr>
          <w:rFonts w:hint="eastAsia" w:ascii="仿宋_GB2312" w:hAnsi="仿宋_GB2312" w:eastAsia="仿宋_GB2312" w:cs="仿宋_GB2312"/>
          <w:bCs/>
          <w:color w:val="auto"/>
          <w:sz w:val="21"/>
          <w:szCs w:val="21"/>
          <w:u w:val="none"/>
          <w:lang w:val="en-US" w:eastAsia="zh-CN"/>
        </w:rPr>
        <w:t>★(2)食材由采购人负责采购，投标人按照采购人的要求按时按量烹饪，各餐食物要求与制定的菜谱一致、提倡菜品样式翻新，每周周内不重复，能满足师生对菜品烹饪口味的需求。</w:t>
      </w:r>
    </w:p>
    <w:p w14:paraId="43BBB4C8">
      <w:pPr>
        <w:pageBreakBefore w:val="0"/>
        <w:numPr>
          <w:ilvl w:val="0"/>
          <w:numId w:val="0"/>
        </w:numPr>
        <w:kinsoku/>
        <w:wordWrap/>
        <w:overflowPunct/>
        <w:topLinePunct w:val="0"/>
        <w:bidi w:val="0"/>
        <w:adjustRightInd w:val="0"/>
        <w:snapToGrid w:val="0"/>
        <w:spacing w:line="360" w:lineRule="auto"/>
        <w:ind w:firstLine="210" w:firstLineChars="100"/>
        <w:outlineLvl w:val="1"/>
        <w:rPr>
          <w:rFonts w:hint="eastAsia" w:ascii="仿宋_GB2312" w:hAnsi="仿宋_GB2312" w:eastAsia="仿宋_GB2312" w:cs="仿宋_GB2312"/>
          <w:bCs/>
          <w:color w:val="auto"/>
          <w:sz w:val="21"/>
          <w:szCs w:val="21"/>
          <w:u w:val="none"/>
          <w:lang w:val="en-US" w:eastAsia="zh-CN"/>
        </w:rPr>
      </w:pPr>
      <w:r>
        <w:rPr>
          <w:rFonts w:hint="eastAsia" w:ascii="仿宋_GB2312" w:hAnsi="仿宋_GB2312" w:eastAsia="仿宋_GB2312" w:cs="仿宋_GB2312"/>
          <w:bCs/>
          <w:color w:val="auto"/>
          <w:sz w:val="21"/>
          <w:szCs w:val="21"/>
          <w:u w:val="none"/>
          <w:lang w:val="en-US" w:eastAsia="zh-CN"/>
        </w:rPr>
        <w:t xml:space="preserve"> （3）根据季节变化，与采购人协商制作菜单及菜谱，不断推出创新菜式，烹饪营养全面、安全可口的饭菜；监督（负责）食品质量及安全，严格查验进出库食品质量，严禁使用不符合规定的食材，清洗、加工、烹饪、使用、储存、留样等环节严格按照行业操作进行。</w:t>
      </w:r>
    </w:p>
    <w:p w14:paraId="411BB1B3">
      <w:pPr>
        <w:pageBreakBefore w:val="0"/>
        <w:numPr>
          <w:ilvl w:val="0"/>
          <w:numId w:val="0"/>
        </w:numPr>
        <w:kinsoku/>
        <w:wordWrap/>
        <w:overflowPunct/>
        <w:topLinePunct w:val="0"/>
        <w:bidi w:val="0"/>
        <w:adjustRightInd w:val="0"/>
        <w:snapToGrid w:val="0"/>
        <w:spacing w:line="360" w:lineRule="auto"/>
        <w:ind w:firstLine="210" w:firstLineChars="100"/>
        <w:outlineLvl w:val="1"/>
        <w:rPr>
          <w:rFonts w:hint="eastAsia" w:ascii="仿宋_GB2312" w:hAnsi="仿宋_GB2312" w:eastAsia="仿宋_GB2312" w:cs="仿宋_GB2312"/>
          <w:bCs/>
          <w:color w:val="auto"/>
          <w:sz w:val="21"/>
          <w:szCs w:val="21"/>
          <w:u w:val="none"/>
          <w:lang w:val="en-US" w:eastAsia="zh-CN"/>
        </w:rPr>
      </w:pPr>
      <w:r>
        <w:rPr>
          <w:rFonts w:hint="eastAsia" w:ascii="仿宋_GB2312" w:hAnsi="仿宋_GB2312" w:eastAsia="仿宋_GB2312" w:cs="仿宋_GB2312"/>
          <w:bCs/>
          <w:color w:val="auto"/>
          <w:sz w:val="21"/>
          <w:szCs w:val="21"/>
          <w:u w:val="none"/>
          <w:lang w:val="en-US" w:eastAsia="zh-CN"/>
        </w:rPr>
        <w:t>（4）采购人提供厨房、餐厅、全套厨房设备、厨房员工劳保用品(包括衣服、口罩、帽子,每人两套)，并负责水、电和燃料等采购;投标人负责厨房设备设施的日常维护使用、清洁和管理，设施设备出现问题第一时间报修并及时反馈维修情况。</w:t>
      </w:r>
    </w:p>
    <w:p w14:paraId="5CD84055">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lang w:eastAsia="zh-CN"/>
        </w:rPr>
        <w:t>服务标准：加工制作的所有食品必须卫生安全、营养、健康，符合所有食品法律法规要求，对食品的安全负责任。</w:t>
      </w:r>
    </w:p>
    <w:p w14:paraId="68F58FE2">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在加工前应当检查待加工的食品及原料，不得加工过期、腐败变质、油脂酸败、霉变生虫、污秽不洁、混有异物、掺假掺杂或者感官性状异常不合格的食品、食品添加剂；特别不得加工制作冷荤类食品、生食类食品、裱花蛋糕，不得加工制作高风险食品。</w:t>
      </w:r>
    </w:p>
    <w:p w14:paraId="151B386E">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★（2）操作规范。所有操作环节必须符合《餐饮服务食品安全操作规范》的所有规定。</w:t>
      </w:r>
    </w:p>
    <w:p w14:paraId="76189F4D">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lang w:eastAsia="zh-CN"/>
        </w:rPr>
        <w:t>）与单位食堂管理人员共同制订饭菜谱，按照食品卫生标准加工烹饪菜谱所列的菜肴及主食（含清真餐）。</w:t>
      </w:r>
    </w:p>
    <w:p w14:paraId="6A9F1A43">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lang w:eastAsia="zh-CN"/>
        </w:rPr>
        <w:t>）按规定做好食材的粗加工、清洗、切配、烹制及分餐工作，食材中不得出现异物；按要求做好食品留样工作、餐具</w:t>
      </w:r>
      <w:r>
        <w:rPr>
          <w:rFonts w:hint="eastAsia" w:ascii="仿宋_GB2312" w:hAnsi="仿宋_GB2312" w:eastAsia="仿宋_GB2312" w:cs="仿宋_GB2312"/>
          <w:szCs w:val="21"/>
          <w:lang w:val="en-US" w:eastAsia="zh-CN"/>
        </w:rPr>
        <w:t>清洗</w:t>
      </w:r>
      <w:r>
        <w:rPr>
          <w:rFonts w:hint="eastAsia" w:ascii="仿宋_GB2312" w:hAnsi="仿宋_GB2312" w:eastAsia="仿宋_GB2312" w:cs="仿宋_GB2312"/>
          <w:szCs w:val="21"/>
          <w:lang w:eastAsia="zh-CN"/>
        </w:rPr>
        <w:t>消毒工作并做好记录。</w:t>
      </w:r>
    </w:p>
    <w:p w14:paraId="2F9CF16F">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lang w:val="en-US" w:eastAsia="zh-CN"/>
        </w:rPr>
        <w:t>5</w:t>
      </w:r>
      <w:r>
        <w:rPr>
          <w:rFonts w:hint="eastAsia" w:ascii="仿宋" w:hAnsi="仿宋" w:eastAsia="仿宋" w:cs="仿宋"/>
          <w:b w:val="0"/>
          <w:bCs w:val="0"/>
          <w:sz w:val="21"/>
          <w:szCs w:val="21"/>
          <w:lang w:eastAsia="zh-CN"/>
        </w:rPr>
        <w:t>）</w:t>
      </w:r>
      <w:r>
        <w:rPr>
          <w:rFonts w:hint="eastAsia" w:ascii="仿宋_GB2312" w:hAnsi="仿宋_GB2312" w:eastAsia="仿宋_GB2312" w:cs="仿宋_GB2312"/>
          <w:szCs w:val="21"/>
          <w:lang w:eastAsia="zh-CN"/>
        </w:rPr>
        <w:t>负责食堂内餐饮各操作间及室内外的环境卫生和所有物品的规范摆放，包括所有食品材料的规范摆放，对离地离墙的食材按要求摆放，做到有专人负责整理，专人检查落实。</w:t>
      </w:r>
    </w:p>
    <w:p w14:paraId="3A5A4CCC">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6</w:t>
      </w:r>
      <w:r>
        <w:rPr>
          <w:rFonts w:hint="eastAsia" w:ascii="仿宋_GB2312" w:hAnsi="仿宋_GB2312" w:eastAsia="仿宋_GB2312" w:cs="仿宋_GB2312"/>
          <w:szCs w:val="21"/>
          <w:lang w:eastAsia="zh-CN"/>
        </w:rPr>
        <w:t>）按单位规定的时间准备好饭菜。服务周到，热情大方。完成单位安排的临时性工作。</w:t>
      </w:r>
    </w:p>
    <w:p w14:paraId="6CA98483">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7</w:t>
      </w:r>
      <w:r>
        <w:rPr>
          <w:rFonts w:hint="eastAsia" w:ascii="仿宋_GB2312" w:hAnsi="仿宋_GB2312" w:eastAsia="仿宋_GB2312" w:cs="仿宋_GB2312"/>
          <w:szCs w:val="21"/>
          <w:lang w:eastAsia="zh-CN"/>
        </w:rPr>
        <w:t>）工作人员必须遵守采购方的各项管理制度，服从采购人的管理，必须严格执行食品卫生安全相关法等有关法律法规，遵守食品卫生安全管理各项制度。</w:t>
      </w:r>
    </w:p>
    <w:p w14:paraId="275193FD">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lang w:eastAsia="zh-CN"/>
        </w:rPr>
        <w:t>、服务及质量需求</w:t>
      </w:r>
    </w:p>
    <w:p w14:paraId="02CDAE36">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lang w:eastAsia="zh-CN"/>
        </w:rPr>
        <w:t>）按照烹饪工作要求，招聘思想好、身体心理健康、品行端正、作风正派、富有爱心、热爱烹饪工作、热情大方、烹饪技术好的人员从事餐饮工作。</w:t>
      </w:r>
    </w:p>
    <w:p w14:paraId="3BAFE93A">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lang w:eastAsia="zh-CN"/>
        </w:rPr>
        <w:t>从业人员管理应按照培训计划和要求参加培训，每学期培训应不少于20学时，培训合格后方能上岗。应取得有效健康证，保持良好个人卫生，操作时应穿戴清洁的工作衣帽，头发不得外露，不得留长指甲、涂指甲油、佩带饰物。售卖食品时戴口罩、胸卡（工号牌），售卖熟食戴一次性手套。</w:t>
      </w:r>
    </w:p>
    <w:p w14:paraId="2629FD8D">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lang w:eastAsia="zh-CN"/>
        </w:rPr>
        <w:t>接触直接入口食品的操作人员从事任何可能会污染双手的活动后应洗手并消毒。</w:t>
      </w:r>
    </w:p>
    <w:p w14:paraId="790AFAAF">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lang w:eastAsia="zh-CN"/>
        </w:rPr>
        <w:t>）不得将私人物品带入食品处理区,不得在食堂内吸烟、饮食或从事其他可能污染食品的行为。</w:t>
      </w:r>
    </w:p>
    <w:p w14:paraId="4F0D5205">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lang w:eastAsia="zh-CN"/>
        </w:rPr>
        <w:t>）专间操作人员进入专间时，应更换专用工作衣帽并佩戴口罩，不得穿戴专间工作衣帽从事与专间内操作无关的工作。</w:t>
      </w:r>
    </w:p>
    <w:p w14:paraId="3620F37F">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(6</w:t>
      </w:r>
      <w:r>
        <w:rPr>
          <w:rFonts w:hint="eastAsia" w:ascii="仿宋_GB2312" w:hAnsi="仿宋_GB2312" w:eastAsia="仿宋_GB2312" w:cs="仿宋_GB2312"/>
          <w:szCs w:val="21"/>
          <w:lang w:eastAsia="zh-CN"/>
        </w:rPr>
        <w:t>）实行晨检制度，发现有发热、腹泻、皮肤伤口或感染、咽部炎症等有碍食品安全病症的人员，应立即调离工作岗位。</w:t>
      </w:r>
    </w:p>
    <w:p w14:paraId="3C62958B">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(7</w:t>
      </w:r>
      <w:r>
        <w:rPr>
          <w:rFonts w:hint="eastAsia" w:ascii="仿宋_GB2312" w:hAnsi="仿宋_GB2312" w:eastAsia="仿宋_GB2312" w:cs="仿宋_GB2312"/>
          <w:szCs w:val="21"/>
          <w:lang w:eastAsia="zh-CN"/>
        </w:rPr>
        <w:t>）上岗应统一着装，衣帽整洁；接触直接入口食品的操作人员的工作服应每天更换；不得穿着工作服离开食品处理区，待清洗的工作服应远离食品处理区。</w:t>
      </w:r>
    </w:p>
    <w:p w14:paraId="2712644F">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(8</w:t>
      </w:r>
      <w:r>
        <w:rPr>
          <w:rFonts w:hint="eastAsia" w:ascii="仿宋_GB2312" w:hAnsi="仿宋_GB2312" w:eastAsia="仿宋_GB2312" w:cs="仿宋_GB2312"/>
          <w:szCs w:val="21"/>
          <w:lang w:eastAsia="zh-CN"/>
        </w:rPr>
        <w:t>）食品原料应建立入库台账。</w:t>
      </w:r>
    </w:p>
    <w:p w14:paraId="38C453CB">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(9</w:t>
      </w:r>
      <w:r>
        <w:rPr>
          <w:rFonts w:hint="eastAsia" w:ascii="仿宋_GB2312" w:hAnsi="仿宋_GB2312" w:eastAsia="仿宋_GB2312" w:cs="仿宋_GB2312"/>
          <w:szCs w:val="21"/>
          <w:lang w:eastAsia="zh-CN"/>
        </w:rPr>
        <w:t>）食品原料应分类、分架存放，隔墙、离地不低于10cm，不得与有毒、有害物品、个人生活用品、杂物同库存放。</w:t>
      </w:r>
    </w:p>
    <w:p w14:paraId="46659715">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(10</w:t>
      </w:r>
      <w:r>
        <w:rPr>
          <w:rFonts w:hint="eastAsia" w:ascii="仿宋_GB2312" w:hAnsi="仿宋_GB2312" w:eastAsia="仿宋_GB2312" w:cs="仿宋_GB2312"/>
          <w:szCs w:val="21"/>
          <w:lang w:eastAsia="zh-CN"/>
        </w:rPr>
        <w:t>）食品应炸（炒）熟煮透，加工中心温度应不低于70℃。不得超范围、超剂量使用食品添加剂，不得使用亚硝酸盐和非食用物质加工制作食品。烹调好的食品应在备餐间存放，售饭前半小时开紫外线消毒灯消毒。10℃-60℃温度条件下存放的食品烧熟至食用时间应不超过 2 小时。</w:t>
      </w:r>
    </w:p>
    <w:p w14:paraId="5E99A555">
      <w:pPr>
        <w:pageBreakBefore w:val="0"/>
        <w:numPr>
          <w:ilvl w:val="0"/>
          <w:numId w:val="0"/>
        </w:numPr>
        <w:kinsoku/>
        <w:wordWrap/>
        <w:overflowPunct/>
        <w:topLinePunct w:val="0"/>
        <w:bidi w:val="0"/>
        <w:adjustRightInd w:val="0"/>
        <w:snapToGrid w:val="0"/>
        <w:spacing w:line="360" w:lineRule="auto"/>
        <w:jc w:val="left"/>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sz w:val="21"/>
          <w:szCs w:val="21"/>
          <w:lang w:val="en-US" w:eastAsia="zh-CN"/>
        </w:rPr>
        <w:t>(11</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b w:val="0"/>
          <w:bCs w:val="0"/>
          <w:sz w:val="21"/>
          <w:szCs w:val="21"/>
          <w:lang w:eastAsia="zh-CN"/>
        </w:rPr>
        <w:t>食品留样，全部制售食品保存48小时以上留样。记录留样食品名称、留样量、留样时间、留样人、</w:t>
      </w:r>
      <w:r>
        <w:rPr>
          <w:rFonts w:hint="eastAsia" w:ascii="仿宋_GB2312" w:hAnsi="仿宋_GB2312" w:eastAsia="仿宋_GB2312" w:cs="仿宋_GB2312"/>
          <w:b w:val="0"/>
          <w:bCs w:val="0"/>
          <w:color w:val="auto"/>
          <w:sz w:val="21"/>
          <w:szCs w:val="21"/>
          <w:u w:val="none"/>
          <w:lang w:eastAsia="zh-CN"/>
        </w:rPr>
        <w:t>消样人、审</w:t>
      </w:r>
      <w:r>
        <w:rPr>
          <w:rFonts w:hint="eastAsia" w:ascii="仿宋_GB2312" w:hAnsi="仿宋_GB2312" w:eastAsia="仿宋_GB2312" w:cs="仿宋_GB2312"/>
          <w:b w:val="0"/>
          <w:bCs w:val="0"/>
          <w:sz w:val="21"/>
          <w:szCs w:val="21"/>
          <w:lang w:eastAsia="zh-CN"/>
        </w:rPr>
        <w:t>核人员等。应有专用的留样冰箱，冰箱能上</w:t>
      </w:r>
      <w:r>
        <w:rPr>
          <w:rFonts w:hint="eastAsia" w:ascii="仿宋_GB2312" w:hAnsi="仿宋_GB2312" w:eastAsia="仿宋_GB2312" w:cs="仿宋_GB2312"/>
          <w:b w:val="0"/>
          <w:bCs w:val="0"/>
          <w:color w:val="auto"/>
          <w:sz w:val="21"/>
          <w:szCs w:val="21"/>
          <w:u w:val="none"/>
          <w:lang w:eastAsia="zh-CN"/>
        </w:rPr>
        <w:t>锁，并实行双人双锁管理。</w:t>
      </w:r>
    </w:p>
    <w:p w14:paraId="39315AC7">
      <w:pPr>
        <w:spacing w:line="360" w:lineRule="auto"/>
        <w:rPr>
          <w:rFonts w:hint="eastAsia" w:ascii="仿宋_GB2312" w:hAnsi="仿宋_GB2312" w:eastAsia="仿宋_GB2312" w:cs="仿宋_GB2312"/>
          <w:b/>
          <w:bCs/>
          <w:szCs w:val="21"/>
          <w:lang w:eastAsia="zh-CN"/>
        </w:rPr>
      </w:pPr>
      <w:r>
        <w:rPr>
          <w:rFonts w:hint="eastAsia" w:ascii="仿宋_GB2312" w:hAnsi="仿宋_GB2312" w:eastAsia="仿宋_GB2312" w:cs="仿宋_GB2312"/>
          <w:b/>
          <w:bCs/>
          <w:szCs w:val="21"/>
          <w:lang w:val="en-US" w:eastAsia="zh-CN"/>
        </w:rPr>
        <w:t>五、</w:t>
      </w:r>
      <w:r>
        <w:rPr>
          <w:rFonts w:hint="eastAsia" w:ascii="仿宋_GB2312" w:hAnsi="仿宋_GB2312" w:eastAsia="仿宋_GB2312" w:cs="仿宋_GB2312"/>
          <w:b/>
          <w:bCs/>
          <w:szCs w:val="21"/>
          <w:lang w:eastAsia="zh-CN"/>
        </w:rPr>
        <w:t>校医服务详细要求</w:t>
      </w:r>
    </w:p>
    <w:p w14:paraId="7C48E23C">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服务范围：全校学生</w:t>
      </w:r>
    </w:p>
    <w:p w14:paraId="4251DEE1">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服务要求：</w:t>
      </w:r>
    </w:p>
    <w:p w14:paraId="1B360FB2">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（1）建立学生健康管理制度，定期对学生进行体格检查，建立学生体质健康卡片，纳入学生档案。</w:t>
      </w:r>
    </w:p>
    <w:p w14:paraId="27AA0D4C">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　（2）对体格检查中发现学生有器质性疾病的，配合学生家长做好转诊治疗。</w:t>
      </w:r>
    </w:p>
    <w:p w14:paraId="26A3A838">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　（3）对残疾、体弱学生，应当加强医学照顾和心理卫生工作。</w:t>
      </w:r>
    </w:p>
    <w:p w14:paraId="3116E093">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（4）24小时医务室值守，处理一般伤病事故和急救。</w:t>
      </w:r>
    </w:p>
    <w:p w14:paraId="583507A5">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　（5）做好近视眼、弱视、沙眼、龋齿、寄生虫、营养不良、贫血、脊柱弯曲、神经衰弱等学生常见疾病的群体预防和矫治工作。</w:t>
      </w:r>
    </w:p>
    <w:p w14:paraId="1E9E9F46">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　（6）贯彻执行传染病防治法律、法规，做好急、慢性传染病的预防和控制管理工作，同时做好地方病的预防和控制管理工作。</w:t>
      </w:r>
    </w:p>
    <w:p w14:paraId="7AFB3858">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△（7）每年进行一次生理卫生和心理卫生教育。</w:t>
      </w:r>
    </w:p>
    <w:p w14:paraId="2D634E24">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△（8）开展心理咨询活动。</w:t>
      </w:r>
    </w:p>
    <w:p w14:paraId="2714E324">
      <w:pPr>
        <w:spacing w:line="360" w:lineRule="auto"/>
        <w:rPr>
          <w:rFonts w:hint="eastAsia" w:ascii="仿宋_GB2312" w:hAnsi="仿宋_GB2312" w:eastAsia="仿宋_GB2312" w:cs="仿宋_GB2312"/>
          <w:b/>
          <w:bCs/>
          <w:szCs w:val="21"/>
          <w:lang w:eastAsia="zh-CN"/>
        </w:rPr>
      </w:pPr>
      <w:r>
        <w:rPr>
          <w:rFonts w:hint="eastAsia" w:ascii="仿宋_GB2312" w:hAnsi="仿宋_GB2312" w:eastAsia="仿宋_GB2312" w:cs="仿宋_GB2312"/>
          <w:b/>
          <w:bCs/>
          <w:szCs w:val="21"/>
          <w:lang w:val="en-US" w:eastAsia="zh-CN"/>
        </w:rPr>
        <w:t>六、</w:t>
      </w:r>
      <w:r>
        <w:rPr>
          <w:rFonts w:hint="eastAsia" w:ascii="仿宋_GB2312" w:hAnsi="仿宋_GB2312" w:eastAsia="仿宋_GB2312" w:cs="仿宋_GB2312"/>
          <w:b/>
          <w:bCs/>
          <w:szCs w:val="21"/>
          <w:lang w:eastAsia="zh-CN"/>
        </w:rPr>
        <w:t>人员要求</w:t>
      </w:r>
    </w:p>
    <w:p w14:paraId="17A6BEF4">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（一）人员配置数量</w:t>
      </w:r>
    </w:p>
    <w:p w14:paraId="411AF9C8">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2、奎屯市第七中学</w:t>
      </w:r>
      <w:r>
        <w:rPr>
          <w:rFonts w:hint="eastAsia" w:ascii="仿宋_GB2312" w:hAnsi="仿宋_GB2312" w:eastAsia="仿宋_GB2312" w:cs="仿宋_GB2312"/>
          <w:szCs w:val="21"/>
          <w:lang w:eastAsia="zh-CN"/>
        </w:rPr>
        <w:t xml:space="preserve">物业管理和后勤服务人员配置表 </w:t>
      </w:r>
    </w:p>
    <w:tbl>
      <w:tblPr>
        <w:tblStyle w:val="21"/>
        <w:tblW w:w="497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487"/>
        <w:gridCol w:w="1508"/>
        <w:gridCol w:w="885"/>
        <w:gridCol w:w="885"/>
        <w:gridCol w:w="885"/>
        <w:gridCol w:w="885"/>
        <w:gridCol w:w="1233"/>
        <w:gridCol w:w="1097"/>
      </w:tblGrid>
      <w:tr w14:paraId="4BEE0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Merge w:val="restart"/>
            <w:tcBorders>
              <w:top w:val="single" w:color="auto" w:sz="4" w:space="0"/>
              <w:left w:val="single" w:color="auto" w:sz="4" w:space="0"/>
              <w:bottom w:val="single" w:color="auto" w:sz="4" w:space="0"/>
              <w:right w:val="single" w:color="auto" w:sz="4" w:space="0"/>
            </w:tcBorders>
            <w:noWrap w:val="0"/>
            <w:vAlign w:val="center"/>
          </w:tcPr>
          <w:p w14:paraId="49E3E8B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p>
        </w:tc>
        <w:tc>
          <w:tcPr>
            <w:tcW w:w="287" w:type="pct"/>
            <w:vMerge w:val="restart"/>
            <w:tcBorders>
              <w:top w:val="single" w:color="auto" w:sz="4" w:space="0"/>
              <w:left w:val="single" w:color="auto" w:sz="4" w:space="0"/>
              <w:bottom w:val="single" w:color="auto" w:sz="4" w:space="0"/>
              <w:right w:val="single" w:color="auto" w:sz="4" w:space="0"/>
            </w:tcBorders>
            <w:noWrap w:val="0"/>
            <w:vAlign w:val="center"/>
          </w:tcPr>
          <w:p w14:paraId="7C064EC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序号</w:t>
            </w:r>
          </w:p>
        </w:tc>
        <w:tc>
          <w:tcPr>
            <w:tcW w:w="888" w:type="pct"/>
            <w:vMerge w:val="restart"/>
            <w:tcBorders>
              <w:top w:val="single" w:color="auto" w:sz="4" w:space="0"/>
              <w:left w:val="single" w:color="auto" w:sz="4" w:space="0"/>
              <w:bottom w:val="single" w:color="auto" w:sz="4" w:space="0"/>
              <w:right w:val="single" w:color="auto" w:sz="4" w:space="0"/>
            </w:tcBorders>
            <w:noWrap w:val="0"/>
            <w:vAlign w:val="center"/>
          </w:tcPr>
          <w:p w14:paraId="01DFFC5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岗位名称</w:t>
            </w:r>
          </w:p>
        </w:tc>
        <w:tc>
          <w:tcPr>
            <w:tcW w:w="2088" w:type="pct"/>
            <w:gridSpan w:val="4"/>
            <w:tcBorders>
              <w:top w:val="single" w:color="auto" w:sz="4" w:space="0"/>
              <w:left w:val="single" w:color="auto" w:sz="4" w:space="0"/>
              <w:bottom w:val="single" w:color="auto" w:sz="4" w:space="0"/>
              <w:right w:val="single" w:color="auto" w:sz="4" w:space="0"/>
            </w:tcBorders>
            <w:noWrap w:val="0"/>
            <w:vAlign w:val="center"/>
          </w:tcPr>
          <w:p w14:paraId="3016541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班次编排</w:t>
            </w:r>
          </w:p>
        </w:tc>
        <w:tc>
          <w:tcPr>
            <w:tcW w:w="727" w:type="pct"/>
            <w:vMerge w:val="restart"/>
            <w:tcBorders>
              <w:top w:val="single" w:color="auto" w:sz="4" w:space="0"/>
              <w:left w:val="single" w:color="auto" w:sz="4" w:space="0"/>
              <w:bottom w:val="single" w:color="auto" w:sz="4" w:space="0"/>
              <w:right w:val="single" w:color="auto" w:sz="4" w:space="0"/>
            </w:tcBorders>
            <w:noWrap w:val="0"/>
            <w:vAlign w:val="center"/>
          </w:tcPr>
          <w:p w14:paraId="328E5DD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每天在岗人员配置小计（人）</w:t>
            </w:r>
          </w:p>
        </w:tc>
        <w:tc>
          <w:tcPr>
            <w:tcW w:w="646" w:type="pct"/>
            <w:vMerge w:val="restart"/>
            <w:tcBorders>
              <w:top w:val="single" w:color="auto" w:sz="4" w:space="0"/>
              <w:left w:val="single" w:color="auto" w:sz="4" w:space="0"/>
              <w:bottom w:val="single" w:color="auto" w:sz="4" w:space="0"/>
              <w:right w:val="single" w:color="auto" w:sz="4" w:space="0"/>
            </w:tcBorders>
            <w:noWrap w:val="0"/>
            <w:vAlign w:val="center"/>
          </w:tcPr>
          <w:p w14:paraId="72DB280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共计（人）</w:t>
            </w:r>
          </w:p>
        </w:tc>
      </w:tr>
      <w:tr w14:paraId="3EEC9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Merge w:val="continue"/>
            <w:tcBorders>
              <w:top w:val="single" w:color="auto" w:sz="4" w:space="0"/>
              <w:left w:val="single" w:color="auto" w:sz="4" w:space="0"/>
              <w:bottom w:val="single" w:color="auto" w:sz="4" w:space="0"/>
              <w:right w:val="single" w:color="auto" w:sz="4" w:space="0"/>
            </w:tcBorders>
            <w:noWrap w:val="0"/>
            <w:vAlign w:val="center"/>
          </w:tcPr>
          <w:p w14:paraId="7EEAC1F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p>
        </w:tc>
        <w:tc>
          <w:tcPr>
            <w:tcW w:w="287" w:type="pct"/>
            <w:vMerge w:val="continue"/>
            <w:tcBorders>
              <w:top w:val="single" w:color="auto" w:sz="4" w:space="0"/>
              <w:left w:val="single" w:color="auto" w:sz="4" w:space="0"/>
              <w:bottom w:val="single" w:color="auto" w:sz="4" w:space="0"/>
              <w:right w:val="single" w:color="auto" w:sz="4" w:space="0"/>
            </w:tcBorders>
            <w:noWrap w:val="0"/>
            <w:vAlign w:val="center"/>
          </w:tcPr>
          <w:p w14:paraId="6743A58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51661C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p>
        </w:tc>
        <w:tc>
          <w:tcPr>
            <w:tcW w:w="522" w:type="pct"/>
            <w:tcBorders>
              <w:top w:val="single" w:color="auto" w:sz="4" w:space="0"/>
              <w:left w:val="single" w:color="auto" w:sz="4" w:space="0"/>
              <w:bottom w:val="single" w:color="auto" w:sz="4" w:space="0"/>
              <w:right w:val="single" w:color="auto" w:sz="4" w:space="0"/>
            </w:tcBorders>
            <w:noWrap w:val="0"/>
            <w:vAlign w:val="center"/>
          </w:tcPr>
          <w:p w14:paraId="4A8EF24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早班（人）</w:t>
            </w:r>
          </w:p>
        </w:tc>
        <w:tc>
          <w:tcPr>
            <w:tcW w:w="522" w:type="pct"/>
            <w:tcBorders>
              <w:top w:val="single" w:color="auto" w:sz="4" w:space="0"/>
              <w:left w:val="single" w:color="auto" w:sz="4" w:space="0"/>
              <w:bottom w:val="single" w:color="auto" w:sz="4" w:space="0"/>
              <w:right w:val="single" w:color="auto" w:sz="4" w:space="0"/>
            </w:tcBorders>
            <w:noWrap w:val="0"/>
            <w:vAlign w:val="center"/>
          </w:tcPr>
          <w:p w14:paraId="3200F75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中班（人）</w:t>
            </w:r>
          </w:p>
        </w:tc>
        <w:tc>
          <w:tcPr>
            <w:tcW w:w="522" w:type="pct"/>
            <w:tcBorders>
              <w:top w:val="single" w:color="auto" w:sz="4" w:space="0"/>
              <w:left w:val="single" w:color="auto" w:sz="4" w:space="0"/>
              <w:bottom w:val="single" w:color="auto" w:sz="4" w:space="0"/>
              <w:right w:val="single" w:color="auto" w:sz="4" w:space="0"/>
            </w:tcBorders>
            <w:noWrap w:val="0"/>
            <w:vAlign w:val="center"/>
          </w:tcPr>
          <w:p w14:paraId="31E255E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晚班（人）</w:t>
            </w:r>
          </w:p>
        </w:tc>
        <w:tc>
          <w:tcPr>
            <w:tcW w:w="522" w:type="pct"/>
            <w:tcBorders>
              <w:top w:val="single" w:color="auto" w:sz="4" w:space="0"/>
              <w:left w:val="single" w:color="auto" w:sz="4" w:space="0"/>
              <w:bottom w:val="single" w:color="auto" w:sz="4" w:space="0"/>
              <w:right w:val="single" w:color="auto" w:sz="4" w:space="0"/>
            </w:tcBorders>
            <w:noWrap w:val="0"/>
            <w:vAlign w:val="center"/>
          </w:tcPr>
          <w:p w14:paraId="07B9ABE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轮休（人）</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34D843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0CA357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p>
        </w:tc>
      </w:tr>
      <w:tr w14:paraId="6EABE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361" w:type="pct"/>
            <w:vMerge w:val="restart"/>
            <w:tcBorders>
              <w:top w:val="single" w:color="auto" w:sz="4" w:space="0"/>
              <w:left w:val="single" w:color="auto" w:sz="4" w:space="0"/>
              <w:right w:val="single" w:color="auto" w:sz="4" w:space="0"/>
            </w:tcBorders>
            <w:noWrap w:val="0"/>
            <w:vAlign w:val="center"/>
          </w:tcPr>
          <w:p w14:paraId="009A280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宿舍和课室管理员岗位</w:t>
            </w:r>
          </w:p>
        </w:tc>
        <w:tc>
          <w:tcPr>
            <w:tcW w:w="287" w:type="pct"/>
            <w:tcBorders>
              <w:top w:val="single" w:color="auto" w:sz="4" w:space="0"/>
              <w:left w:val="single" w:color="auto" w:sz="4" w:space="0"/>
              <w:bottom w:val="single" w:color="auto" w:sz="4" w:space="0"/>
              <w:right w:val="single" w:color="auto" w:sz="4" w:space="0"/>
            </w:tcBorders>
            <w:noWrap w:val="0"/>
            <w:vAlign w:val="center"/>
          </w:tcPr>
          <w:p w14:paraId="6379867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w:t>
            </w:r>
          </w:p>
        </w:tc>
        <w:tc>
          <w:tcPr>
            <w:tcW w:w="888" w:type="pct"/>
            <w:tcBorders>
              <w:top w:val="single" w:color="auto" w:sz="4" w:space="0"/>
              <w:left w:val="single" w:color="auto" w:sz="4" w:space="0"/>
              <w:bottom w:val="single" w:color="auto" w:sz="4" w:space="0"/>
              <w:right w:val="single" w:color="auto" w:sz="4" w:space="0"/>
            </w:tcBorders>
            <w:noWrap w:val="0"/>
            <w:vAlign w:val="center"/>
          </w:tcPr>
          <w:p w14:paraId="7EDBAF0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学生宿舍</w:t>
            </w:r>
            <w:r>
              <w:rPr>
                <w:rFonts w:hint="eastAsia" w:ascii="仿宋_GB2312" w:hAnsi="仿宋_GB2312" w:eastAsia="仿宋_GB2312" w:cs="仿宋_GB2312"/>
                <w:szCs w:val="21"/>
                <w:lang w:val="en-US" w:eastAsia="zh-CN"/>
              </w:rPr>
              <w:t xml:space="preserve"> </w:t>
            </w:r>
          </w:p>
        </w:tc>
        <w:tc>
          <w:tcPr>
            <w:tcW w:w="522" w:type="pct"/>
            <w:tcBorders>
              <w:top w:val="single" w:color="auto" w:sz="4" w:space="0"/>
              <w:left w:val="single" w:color="auto" w:sz="4" w:space="0"/>
              <w:bottom w:val="single" w:color="auto" w:sz="4" w:space="0"/>
              <w:right w:val="single" w:color="auto" w:sz="4" w:space="0"/>
            </w:tcBorders>
            <w:noWrap w:val="0"/>
            <w:vAlign w:val="center"/>
          </w:tcPr>
          <w:p w14:paraId="1ADCA79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p>
        </w:tc>
        <w:tc>
          <w:tcPr>
            <w:tcW w:w="522" w:type="pct"/>
            <w:tcBorders>
              <w:top w:val="single" w:color="auto" w:sz="4" w:space="0"/>
              <w:left w:val="single" w:color="auto" w:sz="4" w:space="0"/>
              <w:bottom w:val="single" w:color="auto" w:sz="4" w:space="0"/>
              <w:right w:val="single" w:color="auto" w:sz="4" w:space="0"/>
            </w:tcBorders>
            <w:noWrap w:val="0"/>
            <w:vAlign w:val="center"/>
          </w:tcPr>
          <w:p w14:paraId="7005AFF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p>
        </w:tc>
        <w:tc>
          <w:tcPr>
            <w:tcW w:w="522" w:type="pct"/>
            <w:tcBorders>
              <w:top w:val="single" w:color="auto" w:sz="4" w:space="0"/>
              <w:left w:val="single" w:color="auto" w:sz="4" w:space="0"/>
              <w:bottom w:val="single" w:color="auto" w:sz="4" w:space="0"/>
              <w:right w:val="single" w:color="auto" w:sz="4" w:space="0"/>
            </w:tcBorders>
            <w:noWrap w:val="0"/>
            <w:vAlign w:val="center"/>
          </w:tcPr>
          <w:p w14:paraId="287DC01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p>
        </w:tc>
        <w:tc>
          <w:tcPr>
            <w:tcW w:w="522" w:type="pct"/>
            <w:vMerge w:val="restart"/>
            <w:tcBorders>
              <w:top w:val="single" w:color="auto" w:sz="4" w:space="0"/>
              <w:left w:val="single" w:color="auto" w:sz="4" w:space="0"/>
              <w:bottom w:val="single" w:color="auto" w:sz="4" w:space="0"/>
              <w:right w:val="single" w:color="auto" w:sz="4" w:space="0"/>
            </w:tcBorders>
            <w:noWrap w:val="0"/>
            <w:vAlign w:val="center"/>
          </w:tcPr>
          <w:p w14:paraId="4995506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p>
        </w:tc>
        <w:tc>
          <w:tcPr>
            <w:tcW w:w="727" w:type="pct"/>
            <w:vMerge w:val="restart"/>
            <w:tcBorders>
              <w:top w:val="single" w:color="auto" w:sz="4" w:space="0"/>
              <w:left w:val="single" w:color="auto" w:sz="4" w:space="0"/>
              <w:bottom w:val="single" w:color="auto" w:sz="4" w:space="0"/>
              <w:right w:val="single" w:color="auto" w:sz="4" w:space="0"/>
            </w:tcBorders>
            <w:noWrap w:val="0"/>
            <w:vAlign w:val="center"/>
          </w:tcPr>
          <w:p w14:paraId="09634BDB">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7</w:t>
            </w:r>
          </w:p>
        </w:tc>
        <w:tc>
          <w:tcPr>
            <w:tcW w:w="646" w:type="pct"/>
            <w:vMerge w:val="restart"/>
            <w:tcBorders>
              <w:top w:val="single" w:color="auto" w:sz="4" w:space="0"/>
              <w:left w:val="single" w:color="auto" w:sz="4" w:space="0"/>
              <w:bottom w:val="single" w:color="auto" w:sz="4" w:space="0"/>
              <w:right w:val="single" w:color="auto" w:sz="4" w:space="0"/>
            </w:tcBorders>
            <w:noWrap w:val="0"/>
            <w:vAlign w:val="center"/>
          </w:tcPr>
          <w:p w14:paraId="24F3D9F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eastAsia="zh-CN"/>
              </w:rPr>
              <w:t>（包括主管</w:t>
            </w:r>
            <w:r>
              <w:rPr>
                <w:rFonts w:hint="eastAsia" w:ascii="仿宋_GB2312" w:hAnsi="仿宋_GB2312" w:eastAsia="仿宋_GB2312" w:cs="仿宋_GB2312"/>
                <w:color w:val="auto"/>
                <w:szCs w:val="21"/>
                <w:highlight w:val="none"/>
                <w:lang w:val="en-US" w:eastAsia="zh-CN"/>
              </w:rPr>
              <w:t>1</w:t>
            </w:r>
            <w:r>
              <w:rPr>
                <w:rFonts w:hint="eastAsia" w:ascii="仿宋_GB2312" w:hAnsi="仿宋_GB2312" w:eastAsia="仿宋_GB2312" w:cs="仿宋_GB2312"/>
                <w:color w:val="auto"/>
                <w:szCs w:val="21"/>
                <w:highlight w:val="none"/>
                <w:lang w:eastAsia="zh-CN"/>
              </w:rPr>
              <w:t>人）</w:t>
            </w:r>
          </w:p>
          <w:p w14:paraId="50DB173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eastAsia="zh-CN"/>
              </w:rPr>
              <w:t>共计</w:t>
            </w:r>
            <w:r>
              <w:rPr>
                <w:rFonts w:hint="eastAsia" w:ascii="仿宋_GB2312" w:hAnsi="仿宋_GB2312" w:eastAsia="仿宋_GB2312" w:cs="仿宋_GB2312"/>
                <w:color w:val="auto"/>
                <w:szCs w:val="21"/>
                <w:highlight w:val="none"/>
                <w:lang w:val="en-US" w:eastAsia="zh-CN"/>
              </w:rPr>
              <w:t>8人</w:t>
            </w:r>
          </w:p>
        </w:tc>
      </w:tr>
      <w:tr w14:paraId="14AD7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0" w:type="auto"/>
            <w:vMerge w:val="continue"/>
            <w:tcBorders>
              <w:left w:val="single" w:color="auto" w:sz="4" w:space="0"/>
              <w:right w:val="single" w:color="auto" w:sz="4" w:space="0"/>
            </w:tcBorders>
            <w:noWrap w:val="0"/>
            <w:vAlign w:val="center"/>
          </w:tcPr>
          <w:p w14:paraId="234E12E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p>
        </w:tc>
        <w:tc>
          <w:tcPr>
            <w:tcW w:w="287" w:type="pct"/>
            <w:tcBorders>
              <w:top w:val="single" w:color="auto" w:sz="4" w:space="0"/>
              <w:left w:val="single" w:color="auto" w:sz="4" w:space="0"/>
              <w:bottom w:val="single" w:color="auto" w:sz="4" w:space="0"/>
              <w:right w:val="single" w:color="auto" w:sz="4" w:space="0"/>
            </w:tcBorders>
            <w:noWrap w:val="0"/>
            <w:vAlign w:val="center"/>
          </w:tcPr>
          <w:p w14:paraId="4B01A3E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w:t>
            </w:r>
          </w:p>
        </w:tc>
        <w:tc>
          <w:tcPr>
            <w:tcW w:w="888" w:type="pct"/>
            <w:tcBorders>
              <w:top w:val="single" w:color="auto" w:sz="4" w:space="0"/>
              <w:left w:val="single" w:color="auto" w:sz="4" w:space="0"/>
              <w:bottom w:val="single" w:color="auto" w:sz="4" w:space="0"/>
              <w:right w:val="single" w:color="auto" w:sz="4" w:space="0"/>
            </w:tcBorders>
            <w:noWrap w:val="0"/>
            <w:vAlign w:val="center"/>
          </w:tcPr>
          <w:p w14:paraId="5EEB586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教学楼</w:t>
            </w:r>
            <w:r>
              <w:rPr>
                <w:rFonts w:hint="eastAsia" w:ascii="仿宋_GB2312" w:hAnsi="仿宋_GB2312" w:eastAsia="仿宋_GB2312" w:cs="仿宋_GB2312"/>
                <w:szCs w:val="21"/>
                <w:lang w:val="en-US" w:eastAsia="zh-CN"/>
              </w:rPr>
              <w:t xml:space="preserve"> </w:t>
            </w:r>
          </w:p>
        </w:tc>
        <w:tc>
          <w:tcPr>
            <w:tcW w:w="1566" w:type="pct"/>
            <w:gridSpan w:val="3"/>
            <w:tcBorders>
              <w:top w:val="single" w:color="auto" w:sz="4" w:space="0"/>
              <w:left w:val="single" w:color="auto" w:sz="4" w:space="0"/>
              <w:bottom w:val="single" w:color="auto" w:sz="4" w:space="0"/>
              <w:right w:val="single" w:color="auto" w:sz="4" w:space="0"/>
            </w:tcBorders>
            <w:noWrap w:val="0"/>
            <w:vAlign w:val="center"/>
          </w:tcPr>
          <w:p w14:paraId="353664F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A953DF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331C27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90957F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p>
        </w:tc>
      </w:tr>
      <w:tr w14:paraId="57438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0" w:type="auto"/>
            <w:vMerge w:val="continue"/>
            <w:tcBorders>
              <w:left w:val="single" w:color="auto" w:sz="4" w:space="0"/>
              <w:right w:val="single" w:color="auto" w:sz="4" w:space="0"/>
            </w:tcBorders>
            <w:noWrap w:val="0"/>
            <w:vAlign w:val="center"/>
          </w:tcPr>
          <w:p w14:paraId="17E7E52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p>
        </w:tc>
        <w:tc>
          <w:tcPr>
            <w:tcW w:w="287" w:type="pct"/>
            <w:tcBorders>
              <w:top w:val="single" w:color="auto" w:sz="4" w:space="0"/>
              <w:left w:val="single" w:color="auto" w:sz="4" w:space="0"/>
              <w:bottom w:val="single" w:color="auto" w:sz="4" w:space="0"/>
              <w:right w:val="single" w:color="auto" w:sz="4" w:space="0"/>
            </w:tcBorders>
            <w:noWrap w:val="0"/>
            <w:vAlign w:val="center"/>
          </w:tcPr>
          <w:p w14:paraId="2E3B8D3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3</w:t>
            </w:r>
          </w:p>
        </w:tc>
        <w:tc>
          <w:tcPr>
            <w:tcW w:w="888" w:type="pct"/>
            <w:tcBorders>
              <w:top w:val="single" w:color="auto" w:sz="4" w:space="0"/>
              <w:left w:val="single" w:color="auto" w:sz="4" w:space="0"/>
              <w:bottom w:val="single" w:color="auto" w:sz="4" w:space="0"/>
              <w:right w:val="single" w:color="auto" w:sz="4" w:space="0"/>
            </w:tcBorders>
            <w:noWrap w:val="0"/>
            <w:vAlign w:val="center"/>
          </w:tcPr>
          <w:p w14:paraId="2AE89BE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实验楼</w:t>
            </w:r>
            <w:r>
              <w:rPr>
                <w:rFonts w:hint="eastAsia" w:ascii="仿宋_GB2312" w:hAnsi="仿宋_GB2312" w:eastAsia="仿宋_GB2312" w:cs="仿宋_GB2312"/>
                <w:szCs w:val="21"/>
                <w:lang w:val="en-US" w:eastAsia="zh-CN"/>
              </w:rPr>
              <w:t xml:space="preserve"> </w:t>
            </w:r>
          </w:p>
        </w:tc>
        <w:tc>
          <w:tcPr>
            <w:tcW w:w="1566" w:type="pct"/>
            <w:gridSpan w:val="3"/>
            <w:tcBorders>
              <w:top w:val="single" w:color="auto" w:sz="4" w:space="0"/>
              <w:left w:val="single" w:color="auto" w:sz="4" w:space="0"/>
              <w:bottom w:val="single" w:color="auto" w:sz="4" w:space="0"/>
              <w:right w:val="single" w:color="auto" w:sz="4" w:space="0"/>
            </w:tcBorders>
            <w:noWrap w:val="0"/>
            <w:vAlign w:val="center"/>
          </w:tcPr>
          <w:p w14:paraId="3A39A96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060381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20F464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F926E7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p>
        </w:tc>
      </w:tr>
      <w:tr w14:paraId="11C90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Merge w:val="restart"/>
            <w:tcBorders>
              <w:top w:val="single" w:color="auto" w:sz="4" w:space="0"/>
              <w:left w:val="single" w:color="auto" w:sz="4" w:space="0"/>
              <w:right w:val="single" w:color="auto" w:sz="4" w:space="0"/>
            </w:tcBorders>
            <w:noWrap w:val="0"/>
            <w:vAlign w:val="center"/>
          </w:tcPr>
          <w:p w14:paraId="4B065D0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设施设备岗位</w:t>
            </w:r>
          </w:p>
        </w:tc>
        <w:tc>
          <w:tcPr>
            <w:tcW w:w="287" w:type="pct"/>
            <w:tcBorders>
              <w:top w:val="single" w:color="auto" w:sz="4" w:space="0"/>
              <w:left w:val="single" w:color="auto" w:sz="4" w:space="0"/>
              <w:bottom w:val="single" w:color="auto" w:sz="4" w:space="0"/>
              <w:right w:val="single" w:color="auto" w:sz="4" w:space="0"/>
            </w:tcBorders>
            <w:noWrap w:val="0"/>
            <w:vAlign w:val="center"/>
          </w:tcPr>
          <w:p w14:paraId="6991696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w:t>
            </w:r>
          </w:p>
        </w:tc>
        <w:tc>
          <w:tcPr>
            <w:tcW w:w="888" w:type="pct"/>
            <w:tcBorders>
              <w:top w:val="single" w:color="auto" w:sz="4" w:space="0"/>
              <w:left w:val="single" w:color="auto" w:sz="4" w:space="0"/>
              <w:bottom w:val="single" w:color="auto" w:sz="4" w:space="0"/>
              <w:right w:val="single" w:color="auto" w:sz="4" w:space="0"/>
            </w:tcBorders>
            <w:noWrap w:val="0"/>
            <w:vAlign w:val="center"/>
          </w:tcPr>
          <w:p w14:paraId="3DA73B9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学生宿舍教师宿舍</w:t>
            </w:r>
          </w:p>
        </w:tc>
        <w:tc>
          <w:tcPr>
            <w:tcW w:w="1566" w:type="pct"/>
            <w:gridSpan w:val="3"/>
            <w:vMerge w:val="restart"/>
            <w:tcBorders>
              <w:top w:val="single" w:color="auto" w:sz="4" w:space="0"/>
              <w:left w:val="single" w:color="auto" w:sz="4" w:space="0"/>
              <w:bottom w:val="single" w:color="auto" w:sz="4" w:space="0"/>
              <w:right w:val="single" w:color="auto" w:sz="4" w:space="0"/>
            </w:tcBorders>
            <w:noWrap w:val="0"/>
            <w:vAlign w:val="center"/>
          </w:tcPr>
          <w:p w14:paraId="421490F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p>
        </w:tc>
        <w:tc>
          <w:tcPr>
            <w:tcW w:w="1896" w:type="pct"/>
            <w:gridSpan w:val="3"/>
            <w:vMerge w:val="restart"/>
            <w:tcBorders>
              <w:top w:val="single" w:color="auto" w:sz="4" w:space="0"/>
              <w:left w:val="single" w:color="auto" w:sz="4" w:space="0"/>
              <w:bottom w:val="single" w:color="auto" w:sz="4" w:space="0"/>
              <w:right w:val="single" w:color="auto" w:sz="4" w:space="0"/>
            </w:tcBorders>
            <w:noWrap w:val="0"/>
            <w:vAlign w:val="center"/>
          </w:tcPr>
          <w:p w14:paraId="3868ED21">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w:t>
            </w:r>
          </w:p>
        </w:tc>
      </w:tr>
      <w:tr w14:paraId="07CBC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0" w:type="auto"/>
            <w:vMerge w:val="continue"/>
            <w:tcBorders>
              <w:left w:val="single" w:color="auto" w:sz="4" w:space="0"/>
              <w:right w:val="single" w:color="auto" w:sz="4" w:space="0"/>
            </w:tcBorders>
            <w:noWrap w:val="0"/>
            <w:vAlign w:val="center"/>
          </w:tcPr>
          <w:p w14:paraId="243E540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p>
        </w:tc>
        <w:tc>
          <w:tcPr>
            <w:tcW w:w="287" w:type="pct"/>
            <w:tcBorders>
              <w:top w:val="single" w:color="auto" w:sz="4" w:space="0"/>
              <w:left w:val="single" w:color="auto" w:sz="4" w:space="0"/>
              <w:bottom w:val="single" w:color="auto" w:sz="4" w:space="0"/>
              <w:right w:val="single" w:color="auto" w:sz="4" w:space="0"/>
            </w:tcBorders>
            <w:noWrap w:val="0"/>
            <w:vAlign w:val="center"/>
          </w:tcPr>
          <w:p w14:paraId="0D90C06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w:t>
            </w:r>
          </w:p>
        </w:tc>
        <w:tc>
          <w:tcPr>
            <w:tcW w:w="888" w:type="pct"/>
            <w:tcBorders>
              <w:top w:val="single" w:color="auto" w:sz="4" w:space="0"/>
              <w:left w:val="single" w:color="auto" w:sz="4" w:space="0"/>
              <w:bottom w:val="single" w:color="auto" w:sz="4" w:space="0"/>
              <w:right w:val="single" w:color="auto" w:sz="4" w:space="0"/>
            </w:tcBorders>
            <w:noWrap w:val="0"/>
            <w:vAlign w:val="center"/>
          </w:tcPr>
          <w:p w14:paraId="393D744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实验楼</w:t>
            </w:r>
          </w:p>
        </w:tc>
        <w:tc>
          <w:tcPr>
            <w:tcW w:w="1566" w:type="pct"/>
            <w:gridSpan w:val="3"/>
            <w:vMerge w:val="continue"/>
            <w:tcBorders>
              <w:top w:val="single" w:color="auto" w:sz="4" w:space="0"/>
              <w:left w:val="single" w:color="auto" w:sz="4" w:space="0"/>
              <w:bottom w:val="single" w:color="auto" w:sz="4" w:space="0"/>
              <w:right w:val="single" w:color="auto" w:sz="4" w:space="0"/>
            </w:tcBorders>
            <w:noWrap w:val="0"/>
            <w:vAlign w:val="center"/>
          </w:tcPr>
          <w:p w14:paraId="0251AB8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p>
        </w:tc>
        <w:tc>
          <w:tcPr>
            <w:tcW w:w="1896" w:type="pct"/>
            <w:gridSpan w:val="3"/>
            <w:vMerge w:val="continue"/>
            <w:tcBorders>
              <w:top w:val="single" w:color="auto" w:sz="4" w:space="0"/>
              <w:left w:val="single" w:color="auto" w:sz="4" w:space="0"/>
              <w:bottom w:val="single" w:color="auto" w:sz="4" w:space="0"/>
              <w:right w:val="single" w:color="auto" w:sz="4" w:space="0"/>
            </w:tcBorders>
            <w:noWrap w:val="0"/>
            <w:vAlign w:val="center"/>
          </w:tcPr>
          <w:p w14:paraId="2F5F67D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p>
        </w:tc>
      </w:tr>
      <w:tr w14:paraId="0696B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tcBorders>
              <w:left w:val="single" w:color="auto" w:sz="4" w:space="0"/>
              <w:right w:val="single" w:color="auto" w:sz="4" w:space="0"/>
            </w:tcBorders>
            <w:noWrap w:val="0"/>
            <w:vAlign w:val="center"/>
          </w:tcPr>
          <w:p w14:paraId="2793E20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p>
        </w:tc>
        <w:tc>
          <w:tcPr>
            <w:tcW w:w="287" w:type="pct"/>
            <w:tcBorders>
              <w:top w:val="single" w:color="auto" w:sz="4" w:space="0"/>
              <w:left w:val="single" w:color="auto" w:sz="4" w:space="0"/>
              <w:bottom w:val="single" w:color="auto" w:sz="4" w:space="0"/>
              <w:right w:val="single" w:color="auto" w:sz="4" w:space="0"/>
            </w:tcBorders>
            <w:noWrap w:val="0"/>
            <w:vAlign w:val="center"/>
          </w:tcPr>
          <w:p w14:paraId="3B365F2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3</w:t>
            </w:r>
          </w:p>
        </w:tc>
        <w:tc>
          <w:tcPr>
            <w:tcW w:w="888" w:type="pct"/>
            <w:tcBorders>
              <w:top w:val="single" w:color="auto" w:sz="4" w:space="0"/>
              <w:left w:val="single" w:color="auto" w:sz="4" w:space="0"/>
              <w:bottom w:val="single" w:color="auto" w:sz="4" w:space="0"/>
              <w:right w:val="single" w:color="auto" w:sz="4" w:space="0"/>
            </w:tcBorders>
            <w:noWrap w:val="0"/>
            <w:vAlign w:val="center"/>
          </w:tcPr>
          <w:p w14:paraId="7435678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教学楼、办公楼等公共场所</w:t>
            </w:r>
          </w:p>
        </w:tc>
        <w:tc>
          <w:tcPr>
            <w:tcW w:w="1566" w:type="pct"/>
            <w:gridSpan w:val="3"/>
            <w:vMerge w:val="continue"/>
            <w:tcBorders>
              <w:top w:val="single" w:color="auto" w:sz="4" w:space="0"/>
              <w:left w:val="single" w:color="auto" w:sz="4" w:space="0"/>
              <w:bottom w:val="single" w:color="auto" w:sz="4" w:space="0"/>
              <w:right w:val="single" w:color="auto" w:sz="4" w:space="0"/>
            </w:tcBorders>
            <w:noWrap w:val="0"/>
            <w:vAlign w:val="center"/>
          </w:tcPr>
          <w:p w14:paraId="5E22B3F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p>
        </w:tc>
        <w:tc>
          <w:tcPr>
            <w:tcW w:w="1896" w:type="pct"/>
            <w:gridSpan w:val="3"/>
            <w:vMerge w:val="continue"/>
            <w:tcBorders>
              <w:top w:val="single" w:color="auto" w:sz="4" w:space="0"/>
              <w:left w:val="single" w:color="auto" w:sz="4" w:space="0"/>
              <w:bottom w:val="single" w:color="auto" w:sz="4" w:space="0"/>
              <w:right w:val="single" w:color="auto" w:sz="4" w:space="0"/>
            </w:tcBorders>
            <w:noWrap w:val="0"/>
            <w:vAlign w:val="center"/>
          </w:tcPr>
          <w:p w14:paraId="5CEB378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p>
        </w:tc>
      </w:tr>
      <w:tr w14:paraId="5360B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361" w:type="pct"/>
            <w:tcBorders>
              <w:top w:val="single" w:color="auto" w:sz="4" w:space="0"/>
              <w:left w:val="single" w:color="auto" w:sz="4" w:space="0"/>
              <w:right w:val="single" w:color="auto" w:sz="4" w:space="0"/>
            </w:tcBorders>
            <w:noWrap w:val="0"/>
            <w:vAlign w:val="center"/>
          </w:tcPr>
          <w:p w14:paraId="09A0B25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清</w:t>
            </w:r>
          </w:p>
          <w:p w14:paraId="39ED667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洁</w:t>
            </w:r>
          </w:p>
          <w:p w14:paraId="6C3B272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卫</w:t>
            </w:r>
          </w:p>
          <w:p w14:paraId="3768DE8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生</w:t>
            </w:r>
          </w:p>
          <w:p w14:paraId="1961DAE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岗</w:t>
            </w:r>
          </w:p>
          <w:p w14:paraId="5AB16DE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位</w:t>
            </w:r>
          </w:p>
        </w:tc>
        <w:tc>
          <w:tcPr>
            <w:tcW w:w="287" w:type="pct"/>
            <w:tcBorders>
              <w:top w:val="single" w:color="auto" w:sz="4" w:space="0"/>
              <w:left w:val="single" w:color="auto" w:sz="4" w:space="0"/>
              <w:right w:val="single" w:color="auto" w:sz="4" w:space="0"/>
            </w:tcBorders>
            <w:noWrap w:val="0"/>
            <w:vAlign w:val="center"/>
          </w:tcPr>
          <w:p w14:paraId="0859076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p>
        </w:tc>
        <w:tc>
          <w:tcPr>
            <w:tcW w:w="888" w:type="pct"/>
            <w:tcBorders>
              <w:top w:val="single" w:color="auto" w:sz="4" w:space="0"/>
              <w:left w:val="single" w:color="auto" w:sz="4" w:space="0"/>
              <w:right w:val="single" w:color="auto" w:sz="4" w:space="0"/>
            </w:tcBorders>
            <w:noWrap w:val="0"/>
            <w:vAlign w:val="center"/>
          </w:tcPr>
          <w:p w14:paraId="4341EBF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p>
        </w:tc>
        <w:tc>
          <w:tcPr>
            <w:tcW w:w="1566" w:type="pct"/>
            <w:gridSpan w:val="3"/>
            <w:tcBorders>
              <w:top w:val="single" w:color="auto" w:sz="4" w:space="0"/>
              <w:left w:val="single" w:color="auto" w:sz="4" w:space="0"/>
              <w:right w:val="single" w:color="auto" w:sz="4" w:space="0"/>
            </w:tcBorders>
            <w:noWrap w:val="0"/>
            <w:vAlign w:val="center"/>
          </w:tcPr>
          <w:p w14:paraId="2A1FA15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p>
        </w:tc>
        <w:tc>
          <w:tcPr>
            <w:tcW w:w="522" w:type="pct"/>
            <w:tcBorders>
              <w:top w:val="single" w:color="auto" w:sz="4" w:space="0"/>
              <w:left w:val="single" w:color="auto" w:sz="4" w:space="0"/>
              <w:right w:val="single" w:color="auto" w:sz="4" w:space="0"/>
            </w:tcBorders>
            <w:noWrap w:val="0"/>
            <w:vAlign w:val="center"/>
          </w:tcPr>
          <w:p w14:paraId="63CF819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p>
        </w:tc>
        <w:tc>
          <w:tcPr>
            <w:tcW w:w="727" w:type="pct"/>
            <w:tcBorders>
              <w:top w:val="single" w:color="auto" w:sz="4" w:space="0"/>
              <w:left w:val="single" w:color="auto" w:sz="4" w:space="0"/>
              <w:right w:val="single" w:color="auto" w:sz="4" w:space="0"/>
            </w:tcBorders>
            <w:noWrap w:val="0"/>
            <w:vAlign w:val="center"/>
          </w:tcPr>
          <w:p w14:paraId="71C6E11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p>
        </w:tc>
        <w:tc>
          <w:tcPr>
            <w:tcW w:w="646" w:type="pct"/>
            <w:tcBorders>
              <w:top w:val="single" w:color="auto" w:sz="4" w:space="0"/>
              <w:left w:val="single" w:color="auto" w:sz="4" w:space="0"/>
              <w:right w:val="single" w:color="auto" w:sz="4" w:space="0"/>
            </w:tcBorders>
            <w:noWrap w:val="0"/>
            <w:vAlign w:val="center"/>
          </w:tcPr>
          <w:p w14:paraId="06AEA67F">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r>
      <w:tr w14:paraId="4260C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37" w:type="pct"/>
            <w:gridSpan w:val="3"/>
            <w:tcBorders>
              <w:top w:val="single" w:color="auto" w:sz="4" w:space="0"/>
              <w:left w:val="single" w:color="auto" w:sz="4" w:space="0"/>
              <w:bottom w:val="single" w:color="auto" w:sz="4" w:space="0"/>
              <w:right w:val="single" w:color="auto" w:sz="4" w:space="0"/>
            </w:tcBorders>
            <w:noWrap w:val="0"/>
            <w:vAlign w:val="center"/>
          </w:tcPr>
          <w:p w14:paraId="3A66C9B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绿化岗</w:t>
            </w:r>
          </w:p>
        </w:tc>
        <w:tc>
          <w:tcPr>
            <w:tcW w:w="2088" w:type="pct"/>
            <w:gridSpan w:val="4"/>
            <w:tcBorders>
              <w:top w:val="single" w:color="auto" w:sz="4" w:space="0"/>
              <w:left w:val="single" w:color="auto" w:sz="4" w:space="0"/>
              <w:bottom w:val="single" w:color="auto" w:sz="4" w:space="0"/>
              <w:right w:val="single" w:color="auto" w:sz="4" w:space="0"/>
            </w:tcBorders>
            <w:noWrap w:val="0"/>
            <w:vAlign w:val="center"/>
          </w:tcPr>
          <w:p w14:paraId="30A414C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p>
        </w:tc>
        <w:tc>
          <w:tcPr>
            <w:tcW w:w="0" w:type="auto"/>
            <w:tcBorders>
              <w:left w:val="single" w:color="auto" w:sz="4" w:space="0"/>
              <w:bottom w:val="single" w:color="auto" w:sz="4" w:space="0"/>
              <w:right w:val="single" w:color="auto" w:sz="4" w:space="0"/>
            </w:tcBorders>
            <w:noWrap w:val="0"/>
            <w:vAlign w:val="center"/>
          </w:tcPr>
          <w:p w14:paraId="48143D2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p>
        </w:tc>
        <w:tc>
          <w:tcPr>
            <w:tcW w:w="0" w:type="auto"/>
            <w:tcBorders>
              <w:left w:val="single" w:color="auto" w:sz="4" w:space="0"/>
              <w:bottom w:val="single" w:color="auto" w:sz="4" w:space="0"/>
              <w:right w:val="single" w:color="auto" w:sz="4" w:space="0"/>
            </w:tcBorders>
            <w:noWrap w:val="0"/>
            <w:vAlign w:val="center"/>
          </w:tcPr>
          <w:p w14:paraId="29EE5382">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w:t>
            </w:r>
          </w:p>
        </w:tc>
      </w:tr>
      <w:tr w14:paraId="236D2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37" w:type="pct"/>
            <w:gridSpan w:val="3"/>
            <w:tcBorders>
              <w:top w:val="single" w:color="auto" w:sz="4" w:space="0"/>
              <w:left w:val="single" w:color="auto" w:sz="4" w:space="0"/>
              <w:bottom w:val="single" w:color="auto" w:sz="4" w:space="0"/>
              <w:right w:val="single" w:color="auto" w:sz="4" w:space="0"/>
            </w:tcBorders>
            <w:noWrap w:val="0"/>
            <w:vAlign w:val="center"/>
          </w:tcPr>
          <w:p w14:paraId="1A75753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门卫安保岗</w:t>
            </w:r>
          </w:p>
        </w:tc>
        <w:tc>
          <w:tcPr>
            <w:tcW w:w="2088" w:type="pct"/>
            <w:gridSpan w:val="4"/>
            <w:tcBorders>
              <w:top w:val="single" w:color="auto" w:sz="4" w:space="0"/>
              <w:left w:val="single" w:color="auto" w:sz="4" w:space="0"/>
              <w:bottom w:val="single" w:color="auto" w:sz="4" w:space="0"/>
              <w:right w:val="single" w:color="auto" w:sz="4" w:space="0"/>
            </w:tcBorders>
            <w:noWrap w:val="0"/>
            <w:vAlign w:val="center"/>
          </w:tcPr>
          <w:p w14:paraId="2CA54F6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p>
        </w:tc>
        <w:tc>
          <w:tcPr>
            <w:tcW w:w="0" w:type="auto"/>
            <w:tcBorders>
              <w:left w:val="single" w:color="auto" w:sz="4" w:space="0"/>
              <w:bottom w:val="single" w:color="auto" w:sz="4" w:space="0"/>
              <w:right w:val="single" w:color="auto" w:sz="4" w:space="0"/>
            </w:tcBorders>
            <w:noWrap w:val="0"/>
            <w:vAlign w:val="center"/>
          </w:tcPr>
          <w:p w14:paraId="0A4D527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p>
        </w:tc>
        <w:tc>
          <w:tcPr>
            <w:tcW w:w="0" w:type="auto"/>
            <w:tcBorders>
              <w:left w:val="single" w:color="auto" w:sz="4" w:space="0"/>
              <w:bottom w:val="single" w:color="auto" w:sz="4" w:space="0"/>
              <w:right w:val="single" w:color="auto" w:sz="4" w:space="0"/>
            </w:tcBorders>
            <w:noWrap w:val="0"/>
            <w:vAlign w:val="center"/>
          </w:tcPr>
          <w:p w14:paraId="6943D8DC">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w:t>
            </w:r>
          </w:p>
        </w:tc>
      </w:tr>
      <w:tr w14:paraId="65678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37" w:type="pct"/>
            <w:gridSpan w:val="3"/>
            <w:tcBorders>
              <w:top w:val="single" w:color="auto" w:sz="4" w:space="0"/>
              <w:left w:val="single" w:color="auto" w:sz="4" w:space="0"/>
              <w:bottom w:val="single" w:color="auto" w:sz="4" w:space="0"/>
              <w:right w:val="single" w:color="auto" w:sz="4" w:space="0"/>
            </w:tcBorders>
            <w:noWrap w:val="0"/>
            <w:vAlign w:val="center"/>
          </w:tcPr>
          <w:p w14:paraId="50B4CEC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餐饮岗</w:t>
            </w:r>
          </w:p>
        </w:tc>
        <w:tc>
          <w:tcPr>
            <w:tcW w:w="2088" w:type="pct"/>
            <w:gridSpan w:val="4"/>
            <w:tcBorders>
              <w:top w:val="single" w:color="auto" w:sz="4" w:space="0"/>
              <w:left w:val="single" w:color="auto" w:sz="4" w:space="0"/>
              <w:bottom w:val="single" w:color="auto" w:sz="4" w:space="0"/>
              <w:right w:val="single" w:color="auto" w:sz="4" w:space="0"/>
            </w:tcBorders>
            <w:noWrap w:val="0"/>
            <w:vAlign w:val="center"/>
          </w:tcPr>
          <w:p w14:paraId="246C656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p>
        </w:tc>
        <w:tc>
          <w:tcPr>
            <w:tcW w:w="0" w:type="auto"/>
            <w:tcBorders>
              <w:left w:val="single" w:color="auto" w:sz="4" w:space="0"/>
              <w:bottom w:val="single" w:color="auto" w:sz="4" w:space="0"/>
              <w:right w:val="single" w:color="auto" w:sz="4" w:space="0"/>
            </w:tcBorders>
            <w:noWrap w:val="0"/>
            <w:vAlign w:val="center"/>
          </w:tcPr>
          <w:p w14:paraId="32A2829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p>
        </w:tc>
        <w:tc>
          <w:tcPr>
            <w:tcW w:w="0" w:type="auto"/>
            <w:tcBorders>
              <w:left w:val="single" w:color="auto" w:sz="4" w:space="0"/>
              <w:bottom w:val="single" w:color="auto" w:sz="4" w:space="0"/>
              <w:right w:val="single" w:color="auto" w:sz="4" w:space="0"/>
            </w:tcBorders>
            <w:noWrap w:val="0"/>
            <w:vAlign w:val="center"/>
          </w:tcPr>
          <w:p w14:paraId="0C501B6D">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15</w:t>
            </w:r>
          </w:p>
        </w:tc>
      </w:tr>
      <w:tr w14:paraId="538BD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37" w:type="pct"/>
            <w:gridSpan w:val="3"/>
            <w:tcBorders>
              <w:top w:val="single" w:color="auto" w:sz="4" w:space="0"/>
              <w:left w:val="single" w:color="auto" w:sz="4" w:space="0"/>
              <w:bottom w:val="single" w:color="auto" w:sz="4" w:space="0"/>
              <w:right w:val="single" w:color="auto" w:sz="4" w:space="0"/>
            </w:tcBorders>
            <w:noWrap w:val="0"/>
            <w:vAlign w:val="center"/>
          </w:tcPr>
          <w:p w14:paraId="2B7211E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校医生活老师岗</w:t>
            </w:r>
          </w:p>
        </w:tc>
        <w:tc>
          <w:tcPr>
            <w:tcW w:w="2088" w:type="pct"/>
            <w:gridSpan w:val="4"/>
            <w:tcBorders>
              <w:top w:val="single" w:color="auto" w:sz="4" w:space="0"/>
              <w:left w:val="single" w:color="auto" w:sz="4" w:space="0"/>
              <w:bottom w:val="single" w:color="auto" w:sz="4" w:space="0"/>
              <w:right w:val="single" w:color="auto" w:sz="4" w:space="0"/>
            </w:tcBorders>
            <w:noWrap w:val="0"/>
            <w:vAlign w:val="center"/>
          </w:tcPr>
          <w:p w14:paraId="576657C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p>
        </w:tc>
        <w:tc>
          <w:tcPr>
            <w:tcW w:w="0" w:type="auto"/>
            <w:tcBorders>
              <w:left w:val="single" w:color="auto" w:sz="4" w:space="0"/>
              <w:bottom w:val="single" w:color="auto" w:sz="4" w:space="0"/>
              <w:right w:val="single" w:color="auto" w:sz="4" w:space="0"/>
            </w:tcBorders>
            <w:noWrap w:val="0"/>
            <w:vAlign w:val="center"/>
          </w:tcPr>
          <w:p w14:paraId="56F5125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p>
        </w:tc>
        <w:tc>
          <w:tcPr>
            <w:tcW w:w="0" w:type="auto"/>
            <w:tcBorders>
              <w:left w:val="single" w:color="auto" w:sz="4" w:space="0"/>
              <w:bottom w:val="single" w:color="auto" w:sz="4" w:space="0"/>
              <w:right w:val="single" w:color="auto" w:sz="4" w:space="0"/>
            </w:tcBorders>
            <w:noWrap w:val="0"/>
            <w:vAlign w:val="center"/>
          </w:tcPr>
          <w:p w14:paraId="4D9438D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w:t>
            </w:r>
          </w:p>
        </w:tc>
      </w:tr>
      <w:tr w14:paraId="58270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37" w:type="pct"/>
            <w:gridSpan w:val="3"/>
            <w:tcBorders>
              <w:top w:val="single" w:color="auto" w:sz="4" w:space="0"/>
              <w:left w:val="single" w:color="auto" w:sz="4" w:space="0"/>
              <w:bottom w:val="single" w:color="auto" w:sz="4" w:space="0"/>
              <w:right w:val="single" w:color="auto" w:sz="4" w:space="0"/>
            </w:tcBorders>
            <w:noWrap w:val="0"/>
            <w:vAlign w:val="center"/>
          </w:tcPr>
          <w:p w14:paraId="342C534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项目经理</w:t>
            </w:r>
          </w:p>
        </w:tc>
        <w:tc>
          <w:tcPr>
            <w:tcW w:w="2088" w:type="pct"/>
            <w:gridSpan w:val="4"/>
            <w:tcBorders>
              <w:top w:val="single" w:color="auto" w:sz="4" w:space="0"/>
              <w:left w:val="single" w:color="auto" w:sz="4" w:space="0"/>
              <w:bottom w:val="single" w:color="auto" w:sz="4" w:space="0"/>
              <w:right w:val="single" w:color="auto" w:sz="4" w:space="0"/>
            </w:tcBorders>
            <w:noWrap w:val="0"/>
            <w:vAlign w:val="center"/>
          </w:tcPr>
          <w:p w14:paraId="47FDFAE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w:t>
            </w:r>
          </w:p>
        </w:tc>
        <w:tc>
          <w:tcPr>
            <w:tcW w:w="727" w:type="pct"/>
            <w:tcBorders>
              <w:top w:val="single" w:color="auto" w:sz="4" w:space="0"/>
              <w:left w:val="single" w:color="auto" w:sz="4" w:space="0"/>
              <w:bottom w:val="single" w:color="auto" w:sz="4" w:space="0"/>
              <w:right w:val="single" w:color="auto" w:sz="4" w:space="0"/>
            </w:tcBorders>
            <w:noWrap w:val="0"/>
            <w:vAlign w:val="center"/>
          </w:tcPr>
          <w:p w14:paraId="29F7D27D">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w:t>
            </w:r>
          </w:p>
        </w:tc>
        <w:tc>
          <w:tcPr>
            <w:tcW w:w="646" w:type="pct"/>
            <w:tcBorders>
              <w:top w:val="single" w:color="auto" w:sz="4" w:space="0"/>
              <w:left w:val="single" w:color="auto" w:sz="4" w:space="0"/>
              <w:bottom w:val="single" w:color="auto" w:sz="4" w:space="0"/>
              <w:right w:val="single" w:color="auto" w:sz="4" w:space="0"/>
            </w:tcBorders>
            <w:noWrap w:val="0"/>
            <w:vAlign w:val="center"/>
          </w:tcPr>
          <w:p w14:paraId="4F373A95">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w:t>
            </w:r>
          </w:p>
        </w:tc>
      </w:tr>
      <w:tr w14:paraId="29771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37" w:type="pct"/>
            <w:gridSpan w:val="3"/>
            <w:tcBorders>
              <w:top w:val="single" w:color="auto" w:sz="4" w:space="0"/>
              <w:left w:val="single" w:color="auto" w:sz="4" w:space="0"/>
              <w:bottom w:val="single" w:color="auto" w:sz="4" w:space="0"/>
              <w:right w:val="single" w:color="auto" w:sz="4" w:space="0"/>
            </w:tcBorders>
            <w:noWrap w:val="0"/>
            <w:vAlign w:val="center"/>
          </w:tcPr>
          <w:p w14:paraId="4EC0555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总计</w:t>
            </w:r>
          </w:p>
        </w:tc>
        <w:tc>
          <w:tcPr>
            <w:tcW w:w="3462" w:type="pct"/>
            <w:gridSpan w:val="6"/>
            <w:tcBorders>
              <w:top w:val="single" w:color="auto" w:sz="4" w:space="0"/>
              <w:left w:val="single" w:color="auto" w:sz="4" w:space="0"/>
              <w:bottom w:val="single" w:color="auto" w:sz="4" w:space="0"/>
              <w:right w:val="single" w:color="auto" w:sz="4" w:space="0"/>
            </w:tcBorders>
            <w:noWrap w:val="0"/>
            <w:vAlign w:val="center"/>
          </w:tcPr>
          <w:p w14:paraId="3BD75BE1">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36</w:t>
            </w:r>
          </w:p>
        </w:tc>
      </w:tr>
    </w:tbl>
    <w:p w14:paraId="3923B683">
      <w:pPr>
        <w:spacing w:line="360" w:lineRule="auto"/>
        <w:rPr>
          <w:rFonts w:hint="eastAsia" w:ascii="仿宋_GB2312" w:hAnsi="仿宋_GB2312" w:eastAsia="仿宋_GB2312" w:cs="仿宋_GB2312"/>
          <w:szCs w:val="21"/>
          <w:lang w:eastAsia="zh-CN"/>
        </w:rPr>
      </w:pPr>
    </w:p>
    <w:p w14:paraId="7B12D898">
      <w:pPr>
        <w:spacing w:line="360" w:lineRule="auto"/>
        <w:rPr>
          <w:rFonts w:hint="eastAsia" w:ascii="仿宋_GB2312" w:hAnsi="仿宋_GB2312" w:eastAsia="仿宋_GB2312" w:cs="仿宋_GB2312"/>
          <w:b/>
          <w:bCs/>
          <w:szCs w:val="21"/>
          <w:lang w:eastAsia="zh-CN"/>
        </w:rPr>
      </w:pPr>
      <w:r>
        <w:rPr>
          <w:rFonts w:hint="eastAsia" w:ascii="仿宋_GB2312" w:hAnsi="仿宋_GB2312" w:eastAsia="仿宋_GB2312" w:cs="仿宋_GB2312"/>
          <w:b/>
          <w:bCs/>
          <w:szCs w:val="21"/>
          <w:lang w:eastAsia="zh-CN"/>
        </w:rPr>
        <w:t>学校物业管理和后勤服务人员配备要求表</w:t>
      </w:r>
    </w:p>
    <w:tbl>
      <w:tblPr>
        <w:tblStyle w:val="21"/>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213"/>
        <w:gridCol w:w="4846"/>
      </w:tblGrid>
      <w:tr w14:paraId="56D2A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236" w:type="dxa"/>
            <w:tcBorders>
              <w:top w:val="single" w:color="auto" w:sz="4" w:space="0"/>
              <w:left w:val="single" w:color="auto" w:sz="4" w:space="0"/>
              <w:bottom w:val="single" w:color="auto" w:sz="4" w:space="0"/>
              <w:right w:val="single" w:color="auto" w:sz="4" w:space="0"/>
            </w:tcBorders>
            <w:noWrap w:val="0"/>
            <w:vAlign w:val="center"/>
          </w:tcPr>
          <w:p w14:paraId="7044E183">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职位</w:t>
            </w:r>
          </w:p>
        </w:tc>
        <w:tc>
          <w:tcPr>
            <w:tcW w:w="3213" w:type="dxa"/>
            <w:tcBorders>
              <w:top w:val="single" w:color="auto" w:sz="4" w:space="0"/>
              <w:left w:val="nil"/>
              <w:right w:val="single" w:color="auto" w:sz="4" w:space="0"/>
            </w:tcBorders>
            <w:noWrap w:val="0"/>
            <w:vAlign w:val="center"/>
          </w:tcPr>
          <w:p w14:paraId="1C45C746">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主要服务内容及岗位说明</w:t>
            </w:r>
          </w:p>
        </w:tc>
        <w:tc>
          <w:tcPr>
            <w:tcW w:w="4846" w:type="dxa"/>
            <w:tcBorders>
              <w:top w:val="single" w:color="auto" w:sz="4" w:space="0"/>
              <w:left w:val="single" w:color="auto" w:sz="4" w:space="0"/>
              <w:bottom w:val="single" w:color="auto" w:sz="4" w:space="0"/>
              <w:right w:val="single" w:color="auto" w:sz="4" w:space="0"/>
            </w:tcBorders>
            <w:noWrap w:val="0"/>
            <w:vAlign w:val="center"/>
          </w:tcPr>
          <w:p w14:paraId="79D24945">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配备要求</w:t>
            </w:r>
          </w:p>
        </w:tc>
      </w:tr>
      <w:tr w14:paraId="2DBDE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3" w:hRule="atLeast"/>
          <w:jc w:val="center"/>
        </w:trPr>
        <w:tc>
          <w:tcPr>
            <w:tcW w:w="1236" w:type="dxa"/>
            <w:tcBorders>
              <w:top w:val="single" w:color="auto" w:sz="4" w:space="0"/>
              <w:left w:val="single" w:color="auto" w:sz="4" w:space="0"/>
              <w:bottom w:val="single" w:color="auto" w:sz="4" w:space="0"/>
              <w:right w:val="single" w:color="auto" w:sz="4" w:space="0"/>
            </w:tcBorders>
            <w:noWrap w:val="0"/>
            <w:vAlign w:val="center"/>
          </w:tcPr>
          <w:p w14:paraId="27B10E02">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项目经理</w:t>
            </w:r>
          </w:p>
        </w:tc>
        <w:tc>
          <w:tcPr>
            <w:tcW w:w="3213" w:type="dxa"/>
            <w:tcBorders>
              <w:top w:val="single" w:color="auto" w:sz="4" w:space="0"/>
              <w:left w:val="nil"/>
              <w:bottom w:val="single" w:color="auto" w:sz="4" w:space="0"/>
              <w:right w:val="single" w:color="auto" w:sz="4" w:space="0"/>
            </w:tcBorders>
            <w:noWrap w:val="0"/>
            <w:vAlign w:val="center"/>
          </w:tcPr>
          <w:p w14:paraId="4B8F9A5B">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全面负责物业服务中心的各项工作负责各部门之间的统筹配合，制订绿化服务方案，制订工作人员管理计划，建立各项规章制度，每月要对所录用人员进行至少1次业务培训、安全教育，带领全体员工完成公司及业主下达的责任目标。</w:t>
            </w:r>
          </w:p>
        </w:tc>
        <w:tc>
          <w:tcPr>
            <w:tcW w:w="4846" w:type="dxa"/>
            <w:tcBorders>
              <w:top w:val="single" w:color="auto" w:sz="4" w:space="0"/>
              <w:left w:val="single" w:color="auto" w:sz="4" w:space="0"/>
              <w:bottom w:val="single" w:color="auto" w:sz="4" w:space="0"/>
              <w:right w:val="single" w:color="auto" w:sz="4" w:space="0"/>
            </w:tcBorders>
            <w:noWrap w:val="0"/>
            <w:vAlign w:val="center"/>
          </w:tcPr>
          <w:p w14:paraId="3FE6EC05">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1、大学专科或以上学历，具有中级以上（含中级）职称。</w:t>
            </w:r>
          </w:p>
          <w:p w14:paraId="2177CDE6">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2、有较强的组织协调能力和良好的敬业精神，服务意识、各项综合素质高。</w:t>
            </w:r>
          </w:p>
          <w:p w14:paraId="0F945375">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3、掌握国家政策法规和地方管理规定。</w:t>
            </w:r>
          </w:p>
          <w:p w14:paraId="333E7229">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4、需是本企业在职或者退休三年内的员工，以社保证明或者聘用合同为准。</w:t>
            </w:r>
          </w:p>
          <w:p w14:paraId="30A6DD60">
            <w:pPr>
              <w:spacing w:line="360" w:lineRule="auto"/>
              <w:rPr>
                <w:rFonts w:hint="eastAsia" w:ascii="仿宋_GB2312" w:hAnsi="仿宋_GB2312" w:eastAsia="仿宋_GB2312" w:cs="仿宋_GB2312"/>
                <w:szCs w:val="21"/>
                <w:lang w:val="en-US" w:eastAsia="zh-CN"/>
              </w:rPr>
            </w:pPr>
          </w:p>
        </w:tc>
      </w:tr>
      <w:tr w14:paraId="19CA6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atLeast"/>
          <w:jc w:val="center"/>
        </w:trPr>
        <w:tc>
          <w:tcPr>
            <w:tcW w:w="1236" w:type="dxa"/>
            <w:tcBorders>
              <w:top w:val="single" w:color="auto" w:sz="4" w:space="0"/>
              <w:left w:val="single" w:color="auto" w:sz="4" w:space="0"/>
              <w:bottom w:val="single" w:color="auto" w:sz="4" w:space="0"/>
              <w:right w:val="single" w:color="auto" w:sz="4" w:space="0"/>
            </w:tcBorders>
            <w:noWrap w:val="0"/>
            <w:vAlign w:val="center"/>
          </w:tcPr>
          <w:p w14:paraId="0AB9A917">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设施设备泥水技工电梯管理员</w:t>
            </w:r>
          </w:p>
        </w:tc>
        <w:tc>
          <w:tcPr>
            <w:tcW w:w="3213" w:type="dxa"/>
            <w:tcBorders>
              <w:top w:val="single" w:color="auto" w:sz="4" w:space="0"/>
              <w:left w:val="nil"/>
              <w:bottom w:val="single" w:color="auto" w:sz="4" w:space="0"/>
              <w:right w:val="single" w:color="auto" w:sz="4" w:space="0"/>
            </w:tcBorders>
            <w:noWrap w:val="0"/>
            <w:vAlign w:val="center"/>
          </w:tcPr>
          <w:p w14:paraId="4B647E65">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1.负责校区水电供应、设备运行及门窗保养维护。</w:t>
            </w:r>
          </w:p>
          <w:p w14:paraId="6CD80D44">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2.负责水电值班。</w:t>
            </w:r>
          </w:p>
          <w:p w14:paraId="3CD2FF32">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3.风扇、空调滤网清洗。</w:t>
            </w:r>
          </w:p>
          <w:p w14:paraId="48A2F9CC">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4.管道（含水沟）疏通。</w:t>
            </w:r>
          </w:p>
          <w:p w14:paraId="0342E976">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5.电梯管理员负责校园所有电梯日常巡查和监督保养及办理相关资料。</w:t>
            </w:r>
          </w:p>
        </w:tc>
        <w:tc>
          <w:tcPr>
            <w:tcW w:w="4846" w:type="dxa"/>
            <w:tcBorders>
              <w:top w:val="single" w:color="auto" w:sz="4" w:space="0"/>
              <w:left w:val="single" w:color="auto" w:sz="4" w:space="0"/>
              <w:bottom w:val="single" w:color="auto" w:sz="4" w:space="0"/>
              <w:right w:val="single" w:color="auto" w:sz="4" w:space="0"/>
            </w:tcBorders>
            <w:noWrap w:val="0"/>
            <w:vAlign w:val="center"/>
          </w:tcPr>
          <w:p w14:paraId="7596DFB6">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1、高中毕业以上，有三年以上相关工作经验，熟练掌握应聘岗位的操作技能。</w:t>
            </w:r>
          </w:p>
          <w:p w14:paraId="5FA55F3E">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2、★具有特种作业操作证书（准操项目:高压或低压电工作业）证，提供证书复印件或承诺合同签订七个工作日内。</w:t>
            </w:r>
          </w:p>
          <w:p w14:paraId="6854C1AD">
            <w:pPr>
              <w:spacing w:line="360" w:lineRule="auto"/>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3、具有电焊证（加分项）</w:t>
            </w:r>
          </w:p>
          <w:p w14:paraId="68F3DC1D">
            <w:pPr>
              <w:spacing w:line="360" w:lineRule="auto"/>
              <w:rPr>
                <w:rFonts w:hint="default" w:ascii="仿宋_GB2312" w:hAnsi="仿宋_GB2312" w:eastAsia="仿宋_GB2312" w:cs="仿宋_GB2312"/>
                <w:szCs w:val="21"/>
                <w:lang w:val="en-US" w:eastAsia="zh-CN"/>
              </w:rPr>
            </w:pPr>
          </w:p>
        </w:tc>
      </w:tr>
      <w:tr w14:paraId="7E3E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6" w:type="dxa"/>
            <w:tcBorders>
              <w:top w:val="single" w:color="auto" w:sz="4" w:space="0"/>
              <w:left w:val="single" w:color="auto" w:sz="4" w:space="0"/>
              <w:bottom w:val="single" w:color="auto" w:sz="4" w:space="0"/>
              <w:right w:val="single" w:color="auto" w:sz="4" w:space="0"/>
            </w:tcBorders>
            <w:noWrap w:val="0"/>
            <w:vAlign w:val="center"/>
          </w:tcPr>
          <w:p w14:paraId="6F720A6A">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宿管员、课室管理员</w:t>
            </w:r>
          </w:p>
        </w:tc>
        <w:tc>
          <w:tcPr>
            <w:tcW w:w="3213" w:type="dxa"/>
            <w:tcBorders>
              <w:top w:val="single" w:color="auto" w:sz="4" w:space="0"/>
              <w:left w:val="nil"/>
              <w:bottom w:val="single" w:color="auto" w:sz="4" w:space="0"/>
              <w:right w:val="single" w:color="auto" w:sz="4" w:space="0"/>
            </w:tcBorders>
            <w:noWrap w:val="0"/>
            <w:vAlign w:val="center"/>
          </w:tcPr>
          <w:p w14:paraId="240E800E">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宿管员：24小时固定岗，负责宿舍的进出管控、学生诉求处理等工作，服务内容包括但不限于入住调宿退宿手续、人员物品进出登记、物品摆放、宣传品张贴、协助水电收费、日常巡查、晚归登记、失物登记、监管设施设备使用情况、安全用电检查、节能宣传、处理突发事件等，教师宿舍日常管理。如遇突发事件或突击检查时，无条件积极配合学校。</w:t>
            </w:r>
          </w:p>
          <w:p w14:paraId="73824E24">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课室管理员：负责实训楼、教学楼科室管理的日常管理。</w:t>
            </w:r>
          </w:p>
        </w:tc>
        <w:tc>
          <w:tcPr>
            <w:tcW w:w="4846" w:type="dxa"/>
            <w:tcBorders>
              <w:top w:val="single" w:color="auto" w:sz="4" w:space="0"/>
              <w:left w:val="single" w:color="auto" w:sz="4" w:space="0"/>
              <w:bottom w:val="single" w:color="auto" w:sz="4" w:space="0"/>
              <w:right w:val="single" w:color="auto" w:sz="4" w:space="0"/>
            </w:tcBorders>
            <w:noWrap w:val="0"/>
            <w:vAlign w:val="center"/>
          </w:tcPr>
          <w:p w14:paraId="4E4DFF77">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w:t>
            </w:r>
            <w:r>
              <w:rPr>
                <w:rFonts w:hint="eastAsia" w:ascii="仿宋_GB2312" w:hAnsi="仿宋_GB2312" w:eastAsia="仿宋_GB2312" w:cs="仿宋_GB2312"/>
                <w:szCs w:val="21"/>
                <w:lang w:val="en-US" w:eastAsia="zh-CN"/>
              </w:rPr>
              <w:t>大专</w:t>
            </w:r>
            <w:r>
              <w:rPr>
                <w:rFonts w:hint="eastAsia" w:ascii="仿宋_GB2312" w:hAnsi="仿宋_GB2312" w:eastAsia="仿宋_GB2312" w:cs="仿宋_GB2312"/>
                <w:szCs w:val="21"/>
                <w:lang w:eastAsia="zh-CN"/>
              </w:rPr>
              <w:t>毕业以上，懂电脑操作。</w:t>
            </w:r>
          </w:p>
          <w:p w14:paraId="2863F187">
            <w:pPr>
              <w:spacing w:line="360" w:lineRule="auto"/>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eastAsia="zh-CN"/>
              </w:rPr>
              <w:t>2、具有2年以上学生宿舍管理经验，有较强工作责任心，吃苦耐劳，性格热情、积极肯干，作风正派,善于与学生沟通。能够在晚间、节假日期间在校工作。并通过培训合格后方能上岗</w:t>
            </w:r>
            <w:r>
              <w:rPr>
                <w:rFonts w:hint="eastAsia" w:ascii="仿宋_GB2312" w:hAnsi="仿宋_GB2312" w:eastAsia="仿宋_GB2312" w:cs="仿宋_GB2312"/>
                <w:szCs w:val="21"/>
                <w:lang w:val="en-US" w:eastAsia="zh-CN"/>
              </w:rPr>
              <w:t>,</w:t>
            </w:r>
            <w:r>
              <w:rPr>
                <w:rFonts w:hint="eastAsia" w:ascii="仿宋_GB2312" w:hAnsi="Arial" w:eastAsia="仿宋_GB2312" w:cs="Calibri"/>
                <w:kern w:val="2"/>
                <w:sz w:val="21"/>
                <w:szCs w:val="21"/>
                <w:highlight w:val="none"/>
                <w:lang w:val="en-US" w:eastAsia="zh-CN" w:bidi="ar-SA"/>
              </w:rPr>
              <w:t>退伍证、普通话资格证及专业岗位证书</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(加分项)</w:t>
            </w:r>
          </w:p>
          <w:p w14:paraId="464E53DF">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3、熟悉国家和地方的少数民族政策，尊重少数民族地区风俗习惯。</w:t>
            </w:r>
          </w:p>
          <w:p w14:paraId="46AC9CFC">
            <w:pPr>
              <w:spacing w:line="360" w:lineRule="auto"/>
              <w:rPr>
                <w:rFonts w:hint="eastAsia" w:ascii="仿宋_GB2312" w:hAnsi="仿宋_GB2312" w:eastAsia="仿宋_GB2312" w:cs="仿宋_GB2312"/>
                <w:szCs w:val="21"/>
                <w:lang w:val="en-US" w:eastAsia="zh-CN"/>
              </w:rPr>
            </w:pPr>
          </w:p>
        </w:tc>
      </w:tr>
      <w:tr w14:paraId="62D53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1236" w:type="dxa"/>
            <w:tcBorders>
              <w:top w:val="single" w:color="auto" w:sz="4" w:space="0"/>
              <w:left w:val="single" w:color="auto" w:sz="4" w:space="0"/>
              <w:bottom w:val="single" w:color="auto" w:sz="4" w:space="0"/>
              <w:right w:val="single" w:color="auto" w:sz="4" w:space="0"/>
            </w:tcBorders>
            <w:noWrap w:val="0"/>
            <w:vAlign w:val="center"/>
          </w:tcPr>
          <w:p w14:paraId="403446DC">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保洁、垃圾分类、垃圾清运员</w:t>
            </w:r>
          </w:p>
        </w:tc>
        <w:tc>
          <w:tcPr>
            <w:tcW w:w="3213" w:type="dxa"/>
            <w:tcBorders>
              <w:top w:val="single" w:color="auto" w:sz="4" w:space="0"/>
              <w:left w:val="nil"/>
              <w:bottom w:val="single" w:color="auto" w:sz="4" w:space="0"/>
              <w:right w:val="single" w:color="auto" w:sz="4" w:space="0"/>
            </w:tcBorders>
            <w:noWrap w:val="0"/>
            <w:vAlign w:val="center"/>
          </w:tcPr>
          <w:p w14:paraId="379F76AB">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按工作程序对范围内的场所进行日常定期清扫、保洁，室外绿化带白色垃圾清理，垃圾的分类收集、清运，定期清理垃圾箱，做到垃圾日产日清</w:t>
            </w:r>
          </w:p>
        </w:tc>
        <w:tc>
          <w:tcPr>
            <w:tcW w:w="4846" w:type="dxa"/>
            <w:tcBorders>
              <w:top w:val="single" w:color="auto" w:sz="4" w:space="0"/>
              <w:left w:val="single" w:color="auto" w:sz="4" w:space="0"/>
              <w:bottom w:val="single" w:color="auto" w:sz="4" w:space="0"/>
              <w:right w:val="single" w:color="auto" w:sz="4" w:space="0"/>
            </w:tcBorders>
            <w:noWrap w:val="0"/>
            <w:vAlign w:val="center"/>
          </w:tcPr>
          <w:p w14:paraId="224BC51A">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1、初中以上文化程度。</w:t>
            </w:r>
          </w:p>
          <w:p w14:paraId="5FBA2B24">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2、政历清楚，身体健康，吃苦耐劳，无不良习惯。</w:t>
            </w:r>
          </w:p>
          <w:p w14:paraId="6E93CC81">
            <w:pPr>
              <w:spacing w:line="360" w:lineRule="auto"/>
              <w:rPr>
                <w:rFonts w:hint="eastAsia" w:ascii="仿宋_GB2312" w:hAnsi="仿宋_GB2312" w:eastAsia="仿宋_GB2312" w:cs="仿宋_GB2312"/>
                <w:szCs w:val="21"/>
                <w:lang w:val="en-US" w:eastAsia="zh-CN"/>
              </w:rPr>
            </w:pPr>
          </w:p>
        </w:tc>
      </w:tr>
      <w:tr w14:paraId="160BA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jc w:val="center"/>
        </w:trPr>
        <w:tc>
          <w:tcPr>
            <w:tcW w:w="1236" w:type="dxa"/>
            <w:tcBorders>
              <w:top w:val="single" w:color="auto" w:sz="4" w:space="0"/>
              <w:left w:val="single" w:color="auto" w:sz="4" w:space="0"/>
              <w:bottom w:val="single" w:color="auto" w:sz="4" w:space="0"/>
              <w:right w:val="single" w:color="auto" w:sz="4" w:space="0"/>
            </w:tcBorders>
            <w:noWrap w:val="0"/>
            <w:vAlign w:val="center"/>
          </w:tcPr>
          <w:p w14:paraId="19E33565">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绿化工</w:t>
            </w:r>
          </w:p>
        </w:tc>
        <w:tc>
          <w:tcPr>
            <w:tcW w:w="3213" w:type="dxa"/>
            <w:tcBorders>
              <w:top w:val="single" w:color="auto" w:sz="4" w:space="0"/>
              <w:left w:val="nil"/>
              <w:bottom w:val="single" w:color="auto" w:sz="4" w:space="0"/>
              <w:right w:val="single" w:color="auto" w:sz="4" w:space="0"/>
            </w:tcBorders>
            <w:noWrap w:val="0"/>
            <w:vAlign w:val="center"/>
          </w:tcPr>
          <w:p w14:paraId="0A6EEF5F">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负责校园公共区域的绿化修剪及养护管理。对校区内的绿化植物进行日常浇水、除草、松土、剪枝、摘果木、砍树、整形、杀虫、施肥、防风、排涝、防杀等专业护理，营造良好的园林景观，美化学校环境。</w:t>
            </w:r>
          </w:p>
        </w:tc>
        <w:tc>
          <w:tcPr>
            <w:tcW w:w="4846" w:type="dxa"/>
            <w:tcBorders>
              <w:top w:val="single" w:color="auto" w:sz="4" w:space="0"/>
              <w:left w:val="single" w:color="auto" w:sz="4" w:space="0"/>
              <w:bottom w:val="single" w:color="auto" w:sz="4" w:space="0"/>
              <w:right w:val="single" w:color="auto" w:sz="4" w:space="0"/>
            </w:tcBorders>
            <w:noWrap w:val="0"/>
            <w:vAlign w:val="center"/>
          </w:tcPr>
          <w:p w14:paraId="76E37A1E">
            <w:pPr>
              <w:spacing w:line="360" w:lineRule="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1.身体健康</w:t>
            </w:r>
          </w:p>
          <w:p w14:paraId="654641BC">
            <w:pPr>
              <w:spacing w:line="360" w:lineRule="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lang w:eastAsia="zh-CN"/>
              </w:rPr>
              <w:t>.具有相关绿化养护管理服务经验，</w:t>
            </w:r>
            <w:r>
              <w:rPr>
                <w:rFonts w:hint="eastAsia" w:ascii="仿宋_GB2312" w:hAnsi="Arial" w:eastAsia="仿宋_GB2312" w:cs="Calibri"/>
                <w:kern w:val="2"/>
                <w:sz w:val="21"/>
                <w:szCs w:val="21"/>
                <w:highlight w:val="none"/>
                <w:lang w:val="en-US" w:eastAsia="zh-CN" w:bidi="ar-SA"/>
              </w:rPr>
              <w:t>园林绿化证。（加分项）</w:t>
            </w:r>
          </w:p>
          <w:p w14:paraId="2031D32B">
            <w:pPr>
              <w:spacing w:line="360" w:lineRule="auto"/>
              <w:rPr>
                <w:rFonts w:hint="eastAsia" w:ascii="仿宋_GB2312" w:hAnsi="仿宋_GB2312" w:eastAsia="仿宋_GB2312" w:cs="仿宋_GB2312"/>
                <w:sz w:val="21"/>
                <w:szCs w:val="21"/>
                <w:lang w:val="en-US" w:eastAsia="zh-CN"/>
              </w:rPr>
            </w:pPr>
          </w:p>
        </w:tc>
      </w:tr>
      <w:tr w14:paraId="2BEC4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236" w:type="dxa"/>
            <w:tcBorders>
              <w:top w:val="single" w:color="auto" w:sz="4" w:space="0"/>
              <w:left w:val="single" w:color="auto" w:sz="4" w:space="0"/>
              <w:bottom w:val="single" w:color="auto" w:sz="4" w:space="0"/>
              <w:right w:val="single" w:color="auto" w:sz="4" w:space="0"/>
            </w:tcBorders>
            <w:noWrap w:val="0"/>
            <w:vAlign w:val="center"/>
          </w:tcPr>
          <w:p w14:paraId="1507D75C">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门卫安保人员</w:t>
            </w:r>
          </w:p>
        </w:tc>
        <w:tc>
          <w:tcPr>
            <w:tcW w:w="3213" w:type="dxa"/>
            <w:tcBorders>
              <w:top w:val="single" w:color="auto" w:sz="4" w:space="0"/>
              <w:left w:val="nil"/>
              <w:bottom w:val="single" w:color="auto" w:sz="4" w:space="0"/>
              <w:right w:val="single" w:color="auto" w:sz="4" w:space="0"/>
            </w:tcBorders>
            <w:noWrap w:val="0"/>
            <w:vAlign w:val="center"/>
          </w:tcPr>
          <w:p w14:paraId="27F0100B">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学校门卫和校园内的安全保卫，发现制止和处理校园欺凌和打架斗殴。</w:t>
            </w:r>
          </w:p>
        </w:tc>
        <w:tc>
          <w:tcPr>
            <w:tcW w:w="4846" w:type="dxa"/>
            <w:tcBorders>
              <w:top w:val="single" w:color="auto" w:sz="4" w:space="0"/>
              <w:left w:val="single" w:color="auto" w:sz="4" w:space="0"/>
              <w:bottom w:val="single" w:color="auto" w:sz="4" w:space="0"/>
              <w:right w:val="single" w:color="auto" w:sz="4" w:space="0"/>
            </w:tcBorders>
            <w:noWrap w:val="0"/>
            <w:vAlign w:val="center"/>
          </w:tcPr>
          <w:p w14:paraId="4ECE36BB">
            <w:pPr>
              <w:spacing w:line="360" w:lineRule="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1.身体健康</w:t>
            </w:r>
          </w:p>
          <w:p w14:paraId="3274F88B">
            <w:pPr>
              <w:spacing w:line="360" w:lineRule="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2.人员年龄要求：男</w:t>
            </w:r>
            <w:r>
              <w:rPr>
                <w:rFonts w:hint="eastAsia" w:ascii="仿宋_GB2312" w:hAnsi="仿宋_GB2312" w:eastAsia="仿宋_GB2312" w:cs="仿宋_GB2312"/>
                <w:sz w:val="21"/>
                <w:szCs w:val="21"/>
                <w:highlight w:val="none"/>
                <w:lang w:val="en-US" w:eastAsia="zh-CN"/>
              </w:rPr>
              <w:t>60</w:t>
            </w:r>
            <w:r>
              <w:rPr>
                <w:rFonts w:hint="eastAsia" w:ascii="仿宋_GB2312" w:hAnsi="仿宋_GB2312" w:eastAsia="仿宋_GB2312" w:cs="仿宋_GB2312"/>
                <w:sz w:val="21"/>
                <w:szCs w:val="21"/>
                <w:highlight w:val="none"/>
                <w:lang w:eastAsia="zh-CN"/>
              </w:rPr>
              <w:t>岁以下，女5</w:t>
            </w:r>
            <w:r>
              <w:rPr>
                <w:rFonts w:hint="eastAsia" w:ascii="仿宋_GB2312" w:hAnsi="仿宋_GB2312" w:eastAsia="仿宋_GB2312" w:cs="仿宋_GB2312"/>
                <w:sz w:val="21"/>
                <w:szCs w:val="21"/>
                <w:highlight w:val="none"/>
                <w:lang w:val="en-US" w:eastAsia="zh-CN"/>
              </w:rPr>
              <w:t>5</w:t>
            </w:r>
            <w:r>
              <w:rPr>
                <w:rFonts w:hint="eastAsia" w:ascii="仿宋_GB2312" w:hAnsi="仿宋_GB2312" w:eastAsia="仿宋_GB2312" w:cs="仿宋_GB2312"/>
                <w:sz w:val="21"/>
                <w:szCs w:val="21"/>
                <w:highlight w:val="none"/>
                <w:lang w:eastAsia="zh-CN"/>
              </w:rPr>
              <w:t>岁以下。</w:t>
            </w:r>
          </w:p>
          <w:p w14:paraId="35AAD80A">
            <w:pPr>
              <w:spacing w:line="360" w:lineRule="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lang w:val="en-US" w:eastAsia="zh-CN"/>
              </w:rPr>
              <w:t>3、</w:t>
            </w:r>
            <w:r>
              <w:rPr>
                <w:rFonts w:hint="eastAsia" w:ascii="仿宋_GB2312" w:hAnsi="仿宋_GB2312" w:eastAsia="仿宋_GB2312" w:cs="仿宋_GB2312"/>
                <w:sz w:val="21"/>
                <w:szCs w:val="21"/>
                <w:highlight w:val="none"/>
                <w:lang w:eastAsia="zh-CN"/>
              </w:rPr>
              <w:t>有保安证</w:t>
            </w:r>
          </w:p>
          <w:p w14:paraId="7ACCCB50">
            <w:pPr>
              <w:spacing w:line="360" w:lineRule="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4、</w:t>
            </w:r>
            <w:r>
              <w:rPr>
                <w:rFonts w:hint="eastAsia" w:ascii="仿宋_GB2312" w:hAnsi="仿宋_GB2312" w:eastAsia="仿宋_GB2312" w:cs="仿宋_GB2312"/>
                <w:sz w:val="21"/>
                <w:szCs w:val="21"/>
                <w:highlight w:val="none"/>
                <w:lang w:eastAsia="zh-CN"/>
              </w:rPr>
              <w:t>退役军人</w:t>
            </w:r>
            <w:r>
              <w:rPr>
                <w:rFonts w:hint="eastAsia" w:ascii="仿宋_GB2312" w:hAnsi="仿宋_GB2312" w:eastAsia="仿宋_GB2312" w:cs="仿宋_GB2312"/>
                <w:sz w:val="21"/>
                <w:szCs w:val="21"/>
                <w:highlight w:val="none"/>
                <w:lang w:val="en-US" w:eastAsia="zh-CN"/>
              </w:rPr>
              <w:t>（加分项）</w:t>
            </w:r>
          </w:p>
        </w:tc>
      </w:tr>
      <w:tr w14:paraId="5795F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236" w:type="dxa"/>
            <w:tcBorders>
              <w:top w:val="single" w:color="auto" w:sz="4" w:space="0"/>
              <w:left w:val="single" w:color="auto" w:sz="4" w:space="0"/>
              <w:bottom w:val="single" w:color="auto" w:sz="4" w:space="0"/>
              <w:right w:val="single" w:color="auto" w:sz="4" w:space="0"/>
            </w:tcBorders>
            <w:noWrap w:val="0"/>
            <w:vAlign w:val="center"/>
          </w:tcPr>
          <w:p w14:paraId="2D30D619">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餐饮人员</w:t>
            </w:r>
          </w:p>
        </w:tc>
        <w:tc>
          <w:tcPr>
            <w:tcW w:w="3213" w:type="dxa"/>
            <w:tcBorders>
              <w:top w:val="single" w:color="auto" w:sz="4" w:space="0"/>
              <w:left w:val="nil"/>
              <w:bottom w:val="single" w:color="auto" w:sz="4" w:space="0"/>
              <w:right w:val="single" w:color="auto" w:sz="4" w:space="0"/>
            </w:tcBorders>
            <w:noWrap w:val="0"/>
            <w:vAlign w:val="center"/>
          </w:tcPr>
          <w:p w14:paraId="5196EB97">
            <w:pPr>
              <w:spacing w:line="360" w:lineRule="auto"/>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eastAsia="zh-CN"/>
              </w:rPr>
              <w:t>全校师生员工的早餐、午餐、晚餐等（含清真餐）</w:t>
            </w:r>
          </w:p>
          <w:p w14:paraId="2381B8CF">
            <w:pPr>
              <w:spacing w:line="360" w:lineRule="auto"/>
              <w:rPr>
                <w:rFonts w:hint="eastAsia" w:ascii="仿宋_GB2312" w:hAnsi="仿宋_GB2312" w:eastAsia="仿宋_GB2312" w:cs="仿宋_GB2312"/>
                <w:color w:val="auto"/>
                <w:szCs w:val="21"/>
                <w:lang w:eastAsia="zh-CN"/>
              </w:rPr>
            </w:pPr>
          </w:p>
        </w:tc>
        <w:tc>
          <w:tcPr>
            <w:tcW w:w="4846" w:type="dxa"/>
            <w:tcBorders>
              <w:top w:val="single" w:color="auto" w:sz="4" w:space="0"/>
              <w:left w:val="single" w:color="auto" w:sz="4" w:space="0"/>
              <w:bottom w:val="single" w:color="auto" w:sz="4" w:space="0"/>
              <w:right w:val="single" w:color="auto" w:sz="4" w:space="0"/>
            </w:tcBorders>
            <w:noWrap w:val="0"/>
            <w:vAlign w:val="center"/>
          </w:tcPr>
          <w:p w14:paraId="00B0F59A">
            <w:pPr>
              <w:spacing w:line="360" w:lineRule="auto"/>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lang w:val="en-US" w:eastAsia="zh-CN"/>
              </w:rPr>
              <w:t>有健康证</w:t>
            </w:r>
          </w:p>
          <w:p w14:paraId="3B14409C">
            <w:pPr>
              <w:spacing w:line="360" w:lineRule="auto"/>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两年以上从业经验</w:t>
            </w:r>
          </w:p>
          <w:p w14:paraId="797D9522">
            <w:pPr>
              <w:spacing w:line="360" w:lineRule="auto"/>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中级以上厨师证</w:t>
            </w:r>
          </w:p>
          <w:p w14:paraId="7EF8C0C2">
            <w:pPr>
              <w:spacing w:line="360" w:lineRule="auto"/>
              <w:rPr>
                <w:rFonts w:hint="eastAsia" w:ascii="仿宋_GB2312" w:hAnsi="仿宋_GB2312" w:eastAsia="仿宋_GB2312" w:cs="仿宋_GB2312"/>
                <w:color w:val="auto"/>
                <w:szCs w:val="21"/>
                <w:highlight w:val="none"/>
                <w:lang w:val="en-US" w:eastAsia="zh-CN"/>
              </w:rPr>
            </w:pPr>
            <w:r>
              <w:rPr>
                <w:rFonts w:hint="eastAsia" w:ascii="仿宋_GB2312" w:hAnsi="Arial" w:eastAsia="仿宋_GB2312" w:cs="Calibri"/>
                <w:color w:val="auto"/>
                <w:kern w:val="2"/>
                <w:sz w:val="21"/>
                <w:szCs w:val="21"/>
                <w:highlight w:val="none"/>
                <w:lang w:val="en-US" w:eastAsia="zh-CN" w:bidi="ar-SA"/>
              </w:rPr>
              <w:t>厨师证：具有由中华人民共和国人力资源和社会保障部颁发或其他职业技能鉴定中心颁发的中式烹调师职业技能三级技师证书；面点师：具有由中华人民共和国人力资源和社会保障部颁发或其他职业技能鉴定中心颁发的中（西）式面点师证书；营养师：须具有由中华人民共和国人力资源和社会保障部颁发的营养师配餐师证书。</w:t>
            </w:r>
            <w:r>
              <w:rPr>
                <w:rFonts w:hint="eastAsia" w:ascii="仿宋_GB2312" w:hAnsi="仿宋_GB2312" w:eastAsia="仿宋_GB2312" w:cs="仿宋_GB2312"/>
                <w:color w:val="auto"/>
                <w:sz w:val="21"/>
                <w:szCs w:val="21"/>
                <w:highlight w:val="none"/>
                <w:lang w:val="en-US" w:eastAsia="zh-CN"/>
              </w:rPr>
              <w:t>（加分项）</w:t>
            </w:r>
          </w:p>
        </w:tc>
      </w:tr>
      <w:tr w14:paraId="54DB0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6" w:type="dxa"/>
            <w:tcBorders>
              <w:top w:val="single" w:color="auto" w:sz="4" w:space="0"/>
              <w:left w:val="single" w:color="auto" w:sz="4" w:space="0"/>
              <w:bottom w:val="single" w:color="auto" w:sz="4" w:space="0"/>
              <w:right w:val="single" w:color="auto" w:sz="4" w:space="0"/>
            </w:tcBorders>
            <w:noWrap w:val="0"/>
            <w:vAlign w:val="center"/>
          </w:tcPr>
          <w:p w14:paraId="476C87D2">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校医</w:t>
            </w:r>
          </w:p>
        </w:tc>
        <w:tc>
          <w:tcPr>
            <w:tcW w:w="3213" w:type="dxa"/>
            <w:tcBorders>
              <w:top w:val="single" w:color="auto" w:sz="4" w:space="0"/>
              <w:left w:val="nil"/>
              <w:bottom w:val="single" w:color="auto" w:sz="4" w:space="0"/>
              <w:right w:val="single" w:color="auto" w:sz="4" w:space="0"/>
            </w:tcBorders>
            <w:noWrap w:val="0"/>
            <w:vAlign w:val="center"/>
          </w:tcPr>
          <w:p w14:paraId="32E26694">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定期对学生进行体格检查</w:t>
            </w:r>
          </w:p>
          <w:p w14:paraId="40FC93D4">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24小时医务室值守，处理一般伤病事故和急救。</w:t>
            </w:r>
          </w:p>
        </w:tc>
        <w:tc>
          <w:tcPr>
            <w:tcW w:w="4846" w:type="dxa"/>
            <w:tcBorders>
              <w:top w:val="single" w:color="auto" w:sz="4" w:space="0"/>
              <w:left w:val="single" w:color="auto" w:sz="4" w:space="0"/>
              <w:bottom w:val="single" w:color="auto" w:sz="4" w:space="0"/>
              <w:right w:val="single" w:color="auto" w:sz="4" w:space="0"/>
            </w:tcBorders>
            <w:noWrap w:val="0"/>
            <w:vAlign w:val="center"/>
          </w:tcPr>
          <w:p w14:paraId="355EABDB">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身体健康</w:t>
            </w:r>
          </w:p>
          <w:p w14:paraId="2BE55FF4">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有护士执业资格证或者执业助理医师执业证；</w:t>
            </w:r>
          </w:p>
          <w:p w14:paraId="2D287D61">
            <w:pPr>
              <w:spacing w:line="360" w:lineRule="auto"/>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心理咨询师三级以上（加分项）</w:t>
            </w:r>
          </w:p>
          <w:p w14:paraId="01F6C262">
            <w:pPr>
              <w:spacing w:line="360" w:lineRule="auto"/>
              <w:rPr>
                <w:rFonts w:hint="default" w:ascii="仿宋_GB2312" w:hAnsi="仿宋_GB2312" w:eastAsia="仿宋_GB2312" w:cs="仿宋_GB2312"/>
                <w:szCs w:val="21"/>
                <w:lang w:val="en-US" w:eastAsia="zh-CN"/>
              </w:rPr>
            </w:pPr>
          </w:p>
        </w:tc>
      </w:tr>
      <w:tr w14:paraId="08942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236" w:type="dxa"/>
            <w:tcBorders>
              <w:top w:val="single" w:color="auto" w:sz="4" w:space="0"/>
              <w:left w:val="single" w:color="auto" w:sz="4" w:space="0"/>
              <w:bottom w:val="single" w:color="auto" w:sz="4" w:space="0"/>
              <w:right w:val="single" w:color="auto" w:sz="4" w:space="0"/>
            </w:tcBorders>
            <w:noWrap w:val="0"/>
            <w:vAlign w:val="center"/>
          </w:tcPr>
          <w:p w14:paraId="451B27E9">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合计</w:t>
            </w:r>
          </w:p>
        </w:tc>
        <w:tc>
          <w:tcPr>
            <w:tcW w:w="3213" w:type="dxa"/>
            <w:tcBorders>
              <w:top w:val="single" w:color="auto" w:sz="4" w:space="0"/>
              <w:left w:val="nil"/>
              <w:bottom w:val="single" w:color="auto" w:sz="4" w:space="0"/>
              <w:right w:val="single" w:color="auto" w:sz="4" w:space="0"/>
            </w:tcBorders>
            <w:noWrap w:val="0"/>
            <w:vAlign w:val="center"/>
          </w:tcPr>
          <w:p w14:paraId="13112562">
            <w:pPr>
              <w:spacing w:line="360" w:lineRule="auto"/>
              <w:rPr>
                <w:rFonts w:hint="eastAsia" w:ascii="仿宋_GB2312" w:hAnsi="仿宋_GB2312" w:eastAsia="仿宋_GB2312" w:cs="仿宋_GB2312"/>
                <w:szCs w:val="21"/>
                <w:lang w:eastAsia="zh-CN"/>
              </w:rPr>
            </w:pPr>
          </w:p>
        </w:tc>
        <w:tc>
          <w:tcPr>
            <w:tcW w:w="4846" w:type="dxa"/>
            <w:tcBorders>
              <w:top w:val="single" w:color="auto" w:sz="4" w:space="0"/>
              <w:left w:val="single" w:color="auto" w:sz="4" w:space="0"/>
              <w:bottom w:val="single" w:color="auto" w:sz="4" w:space="0"/>
              <w:right w:val="single" w:color="auto" w:sz="4" w:space="0"/>
            </w:tcBorders>
            <w:noWrap w:val="0"/>
            <w:vAlign w:val="center"/>
          </w:tcPr>
          <w:p w14:paraId="420B248D">
            <w:pPr>
              <w:spacing w:line="360" w:lineRule="auto"/>
              <w:rPr>
                <w:rFonts w:hint="eastAsia" w:ascii="仿宋_GB2312" w:hAnsi="仿宋_GB2312" w:eastAsia="仿宋_GB2312" w:cs="仿宋_GB2312"/>
                <w:szCs w:val="21"/>
                <w:lang w:eastAsia="zh-CN"/>
              </w:rPr>
            </w:pPr>
          </w:p>
        </w:tc>
      </w:tr>
    </w:tbl>
    <w:p w14:paraId="0F3BAF8B">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lang w:eastAsia="zh-CN"/>
        </w:rPr>
        <w:t>投标人在投标文件中所配备的人员，须为项目实施时的人员。未经采购人同意，不得随意更换。</w:t>
      </w:r>
    </w:p>
    <w:p w14:paraId="36A9C4DF">
      <w:pPr>
        <w:spacing w:line="360" w:lineRule="auto"/>
        <w:rPr>
          <w:rFonts w:hint="eastAsia" w:ascii="仿宋_GB2312" w:hAnsi="仿宋_GB2312" w:eastAsia="仿宋_GB2312" w:cs="仿宋_GB2312"/>
          <w:color w:val="000000"/>
          <w:szCs w:val="21"/>
          <w:highlight w:val="none"/>
          <w:lang w:eastAsia="zh-CN"/>
        </w:rPr>
      </w:pPr>
      <w:r>
        <w:rPr>
          <w:rFonts w:hint="eastAsia" w:ascii="仿宋_GB2312" w:hAnsi="仿宋_GB2312" w:eastAsia="仿宋_GB2312" w:cs="仿宋_GB2312"/>
          <w:color w:val="000000"/>
          <w:szCs w:val="21"/>
          <w:highlight w:val="none"/>
          <w:lang w:val="en-US" w:eastAsia="zh-CN"/>
        </w:rPr>
        <w:t>2、人员要求中的“加分项”作为评审因素，不满足的评标时不得分。</w:t>
      </w:r>
      <w:r>
        <w:rPr>
          <w:rFonts w:hint="eastAsia" w:ascii="仿宋_GB2312" w:hAnsi="仿宋_GB2312" w:eastAsia="仿宋_GB2312" w:cs="仿宋_GB2312"/>
          <w:color w:val="000000"/>
          <w:szCs w:val="21"/>
          <w:highlight w:val="none"/>
          <w:lang w:eastAsia="zh-CN"/>
        </w:rPr>
        <w:t xml:space="preserve"> </w:t>
      </w:r>
    </w:p>
    <w:p w14:paraId="234724B7">
      <w:pPr>
        <w:spacing w:line="360" w:lineRule="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eastAsia="zh-CN"/>
        </w:rPr>
        <w:t>★（二）人员管理要求</w:t>
      </w:r>
    </w:p>
    <w:p w14:paraId="29FC6E92">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投标人须做出书面承诺：如获中标的话，须按照国家、省、市有关法律法规文件规定，负责为员工缴纳社保部门规定应缴的养老、医疗、失业等社会保障项目费用、以及法律法规要求企业须为员工办理的其它费用（如住房公积金等）。投标人聘用人员的工资待遇不能低于当地政府的最低工资待遇标准，若因投标人不为员工购买社会保障等原因引起员工劳资纠纷，所有责任由投标人负责。（投标时提供承诺函）</w:t>
      </w:r>
    </w:p>
    <w:p w14:paraId="52A6276E">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2.投标人根据学校的实际情况合理调整人员做好学校的整体工作，如发生突发事件时，应整体调配人员，配合采购人进行现场处理。</w:t>
      </w:r>
    </w:p>
    <w:p w14:paraId="137CEDBC">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3.投标人须保证服务人员的数量和岗位，无论是在学校寒、暑假期间还是日常工作期间，投标人的岗位人员不得减少，采购人将对投标人的人员数量每月核查一次，如发现人员减少，每缺员一人超过 10 天（含10 天）以上，扣减当月物业服务费￥5000.00元/人；投标人在确保岗位要求的同时，人员数需达到要求的最少数量，每缺员一人一天，扣减当月物业服务费￥200元/人。</w:t>
      </w:r>
    </w:p>
    <w:p w14:paraId="0322FDF7">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4.采购人对岗位设置、人员选用与日常管理具有监督权和协调权。投标人须保证派驻学校工作人员的稳定性，如有工作人员调离，需书面通知学校相关负责人。</w:t>
      </w:r>
    </w:p>
    <w:p w14:paraId="47168380">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5.投标人的工作人员须符合政府用工相关标准要求，全部人员须购买相应的劳动保险。需持有上岗证的工种须全部持有相应职位的资格上岗证方可上岗。</w:t>
      </w:r>
    </w:p>
    <w:p w14:paraId="63F229ED">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6.投标人各类工作人员按岗位要求统一着装，言行规范（会使用普通话），注意仪容、公众形象。</w:t>
      </w:r>
    </w:p>
    <w:p w14:paraId="0534B98A">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7.中标人的工作人员须遵守学校相关规章制度规定，如有违反或损害学校利益经教育无效，采购人有拒绝中标人违规工作人员在此工作的权利。</w:t>
      </w:r>
    </w:p>
    <w:p w14:paraId="7881DD08">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8.投标人需负责各工作人员的制服、劳动工具（厨房炊具除外）、劳保福利等。</w:t>
      </w:r>
    </w:p>
    <w:p w14:paraId="1F62E0BC">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9.投标人人员工作时间须符合劳动法相关规定，专技岗需执证上岗；投标人在满足岗位服务质量要求以及遵守劳动法的前提条件下、派驻足够数量的人员按值班岗(需要全天候每天24小时值班人员在岗,清洁卫生岗位除外)的岗位数量和要求的服务质量提供服务，人员相对固定,未经学校同意不得随意更换人员。岗位班次编排及在岗人员配置情况按物业服务人员配置表。</w:t>
      </w:r>
    </w:p>
    <w:p w14:paraId="47DF34A8">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（三）服务管理目标</w:t>
      </w:r>
    </w:p>
    <w:p w14:paraId="304EEFA9">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1.由于设备、设施的缺陷而预期会带来的安全隐患，投标人应及时告知采购人，否则由此引发的安全事故或财产损失由投标人负全责。</w:t>
      </w:r>
    </w:p>
    <w:p w14:paraId="75754ACC">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2.投标人没有尽责管理保养维护设备设施而造成安全事故或是财产损失，由投标人负全责。</w:t>
      </w:r>
    </w:p>
    <w:p w14:paraId="6524FBA4">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3.合同期限内，发生与本项目相关的任何突发和应急事件，投标人须在学校要求的时间内按要求完成。</w:t>
      </w:r>
    </w:p>
    <w:p w14:paraId="07AD5D8B">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（四）其他说明</w:t>
      </w:r>
    </w:p>
    <w:p w14:paraId="2A991AD6">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★1.投标人的员工在校内发生违法、违规行为或在操作过程中出现工伤等事故，所造成一切后果及损失，由投标人承担责任和负责赔偿。</w:t>
      </w:r>
    </w:p>
    <w:p w14:paraId="6B7CD73D">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2.投标人派驻学校的员工不尽职守的，须在接到采购人书面通知后3天内更换人员。</w:t>
      </w:r>
    </w:p>
    <w:p w14:paraId="7D241FF1">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3.投标人须接受学校检查、监督和指导，并按采购人要求提供所有相关记录台账。根据实际情况，采购方将不定期组织双方工作协调会，投标人应派出具有调配公司人、财、物等资源的项目经理或更高级别的经理参加会议，对存在的问题要按要求进行整改，并做好会议记录，没有完成整改的，扣减当月物业服务费￥200元/项。</w:t>
      </w:r>
    </w:p>
    <w:p w14:paraId="28C5C7BD">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4.投标人须配合学校做好学校质量管理体系相关工作。</w:t>
      </w:r>
    </w:p>
    <w:p w14:paraId="1649AC56">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★5.本服务项目不得转包、分包或实施其他变相管理，否则，一经发现，采购人有权责令限期改正、扣减服务，直至终止合同及没收履约保证金。（投标时提供承诺函）</w:t>
      </w:r>
    </w:p>
    <w:p w14:paraId="5C1F9A16">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6</w:t>
      </w:r>
      <w:r>
        <w:rPr>
          <w:rFonts w:hint="eastAsia" w:ascii="仿宋_GB2312" w:hAnsi="仿宋_GB2312" w:eastAsia="仿宋_GB2312" w:cs="仿宋_GB2312"/>
          <w:szCs w:val="21"/>
          <w:lang w:eastAsia="zh-CN"/>
        </w:rPr>
        <w:t>.本服务项目不另增加“开荒费”等费用。</w:t>
      </w:r>
    </w:p>
    <w:p w14:paraId="187676AF">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7</w:t>
      </w:r>
      <w:r>
        <w:rPr>
          <w:rFonts w:hint="eastAsia" w:ascii="仿宋_GB2312" w:hAnsi="仿宋_GB2312" w:eastAsia="仿宋_GB2312" w:cs="仿宋_GB2312"/>
          <w:szCs w:val="21"/>
          <w:lang w:eastAsia="zh-CN"/>
        </w:rPr>
        <w:t>.采购人为投标人提供办公室一间，电工值班房一间。项目经理须住在学校内，由采购人免费提供住宿用房，配套由投标人在征得采购人同意后自理；水电费及卫生费由投标人按实际支付。</w:t>
      </w:r>
    </w:p>
    <w:p w14:paraId="48B37004">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8</w:t>
      </w:r>
      <w:r>
        <w:rPr>
          <w:rFonts w:hint="eastAsia" w:ascii="仿宋_GB2312" w:hAnsi="仿宋_GB2312" w:eastAsia="仿宋_GB2312" w:cs="仿宋_GB2312"/>
          <w:szCs w:val="21"/>
          <w:lang w:eastAsia="zh-CN"/>
        </w:rPr>
        <w:t>.投标人自行承担办公桌、电脑、打印机、文件柜、工作表格、标识等自身使用的办公用品。投标人为达到采购人服务目标提供各种表格、标志、标识，不另增加费用。</w:t>
      </w:r>
    </w:p>
    <w:p w14:paraId="4C4C6CD9">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9</w:t>
      </w:r>
      <w:r>
        <w:rPr>
          <w:rFonts w:hint="eastAsia" w:ascii="仿宋_GB2312" w:hAnsi="仿宋_GB2312" w:eastAsia="仿宋_GB2312" w:cs="仿宋_GB2312"/>
          <w:szCs w:val="21"/>
          <w:lang w:eastAsia="zh-CN"/>
        </w:rPr>
        <w:t>.配置足够的清洁卫生容器和清洗设备，包括不限于地面强力冲洗机、垃圾收集桶、用于垃圾清运运输服务的垃圾分类桶；垃圾桶外观须统一、完整、整洁卫生，如政府要求实行垃圾分类，则须严格按政府要求配足分类设施、设备等。</w:t>
      </w:r>
    </w:p>
    <w:p w14:paraId="6B5015E4">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10</w:t>
      </w:r>
      <w:r>
        <w:rPr>
          <w:rFonts w:hint="eastAsia" w:ascii="仿宋_GB2312" w:hAnsi="仿宋_GB2312" w:eastAsia="仿宋_GB2312" w:cs="仿宋_GB2312"/>
          <w:szCs w:val="21"/>
          <w:lang w:eastAsia="zh-CN"/>
        </w:rPr>
        <w:t>.投标人要导入物业服务6T管理（天天处理、天天整合、天天清扫、天天规范、天天检查、天天改进）和学生宿舍6S管理 (整理、整顿、清扫、清洁、素养、安全)等标准化现场管理工具，规范物业服务管理的质量标准。</w:t>
      </w:r>
    </w:p>
    <w:p w14:paraId="2E9F6CEB">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w:t>
      </w: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lang w:eastAsia="zh-CN"/>
        </w:rPr>
        <w:t>.合同终止投标人须把所有工作表格完好、齐全移交给采购人。否则，投标人承担产生的后果。</w:t>
      </w:r>
    </w:p>
    <w:p w14:paraId="301FFACC">
      <w:pPr>
        <w:spacing w:line="360" w:lineRule="auto"/>
        <w:rPr>
          <w:rFonts w:hint="eastAsia" w:ascii="仿宋_GB2312" w:hAnsi="仿宋_GB2312" w:eastAsia="仿宋_GB2312" w:cs="仿宋_GB2312"/>
          <w:b/>
          <w:bCs/>
          <w:szCs w:val="21"/>
          <w:lang w:eastAsia="zh-CN"/>
        </w:rPr>
      </w:pPr>
      <w:r>
        <w:rPr>
          <w:rFonts w:hint="eastAsia" w:ascii="仿宋_GB2312" w:hAnsi="仿宋_GB2312" w:eastAsia="仿宋_GB2312" w:cs="仿宋_GB2312"/>
          <w:b/>
          <w:bCs/>
          <w:szCs w:val="21"/>
          <w:lang w:val="en-US" w:eastAsia="zh-CN"/>
        </w:rPr>
        <w:t>七、</w:t>
      </w:r>
      <w:r>
        <w:rPr>
          <w:rFonts w:hint="eastAsia" w:ascii="仿宋_GB2312" w:hAnsi="仿宋_GB2312" w:eastAsia="仿宋_GB2312" w:cs="仿宋_GB2312"/>
          <w:b/>
          <w:bCs/>
          <w:szCs w:val="21"/>
          <w:lang w:eastAsia="zh-CN"/>
        </w:rPr>
        <w:t>考核办法及检查标准</w:t>
      </w:r>
    </w:p>
    <w:p w14:paraId="3B70E578">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（一）考核原则</w:t>
      </w:r>
    </w:p>
    <w:p w14:paraId="209A408A">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坚持平时检查与集中考核相结合，按服务项目单项考核与综合考核相结合的原则。</w:t>
      </w:r>
    </w:p>
    <w:p w14:paraId="30AAB34E">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（二）考核范围和内容</w:t>
      </w:r>
    </w:p>
    <w:p w14:paraId="7C47D4C7">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1.考核范围：</w:t>
      </w:r>
    </w:p>
    <w:p w14:paraId="4736729D">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根据物业管理服务、学生宿舍管理服务、设施设备维修服务、校园卫生保洁服务、校园绿化养护服务、门卫安保服务、餐饮服务、校医服务项目所涉及的内容和范围，重点考核学生宿舍管理、设施设备维修、校园保洁、绿化养护服务、餐饮服务、门卫安保服务等内容。</w:t>
      </w:r>
    </w:p>
    <w:p w14:paraId="09D04C6F">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2.考核内容：</w:t>
      </w:r>
    </w:p>
    <w:p w14:paraId="07A4C997">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依据本项目的管理服务质量标准与要求，对上述各服务项目的服务质量、服务评价和综合管理进行考核。在保证服务质量的前提下，采购人可通过弹性考核机制鼓励中标人提升智能化、机械化作业能力，适度更新替代传统作业模式，有效降低人工成本因素干扰度。</w:t>
      </w:r>
    </w:p>
    <w:p w14:paraId="25E625DA">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（三）考核方式和标准</w:t>
      </w:r>
    </w:p>
    <w:p w14:paraId="3C1ABD1B">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1.日常检查考核</w:t>
      </w:r>
    </w:p>
    <w:p w14:paraId="449285A1">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采购人监督管理部门安排专人根据工作计划和需要，对投标人项目组进行工作检查考核。检查的内容分单项或多项，或某个独立的事项和问题。检查发现的问题在要求期限未整改的，按每个事项或问题200元的标准扣减投标人月度管理费用。</w:t>
      </w:r>
    </w:p>
    <w:p w14:paraId="2BEFCF0F">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学校物业管理和后勤服务日常检查表</w:t>
      </w:r>
    </w:p>
    <w:tbl>
      <w:tblPr>
        <w:tblStyle w:val="2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425"/>
        <w:gridCol w:w="851"/>
        <w:gridCol w:w="1701"/>
        <w:gridCol w:w="1814"/>
        <w:gridCol w:w="1163"/>
        <w:gridCol w:w="1388"/>
        <w:gridCol w:w="993"/>
      </w:tblGrid>
      <w:tr w14:paraId="06D13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gridSpan w:val="2"/>
            <w:noWrap w:val="0"/>
            <w:vAlign w:val="center"/>
          </w:tcPr>
          <w:p w14:paraId="4BA885AA">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检查时间</w:t>
            </w:r>
          </w:p>
        </w:tc>
        <w:tc>
          <w:tcPr>
            <w:tcW w:w="851" w:type="dxa"/>
            <w:noWrap w:val="0"/>
            <w:vAlign w:val="center"/>
          </w:tcPr>
          <w:p w14:paraId="10E3D13C">
            <w:pPr>
              <w:spacing w:line="360" w:lineRule="auto"/>
              <w:rPr>
                <w:rFonts w:hint="eastAsia" w:ascii="仿宋_GB2312" w:hAnsi="仿宋_GB2312" w:eastAsia="仿宋_GB2312" w:cs="仿宋_GB2312"/>
                <w:szCs w:val="21"/>
                <w:lang w:eastAsia="zh-CN"/>
              </w:rPr>
            </w:pPr>
          </w:p>
        </w:tc>
        <w:tc>
          <w:tcPr>
            <w:tcW w:w="1701" w:type="dxa"/>
            <w:noWrap w:val="0"/>
            <w:vAlign w:val="center"/>
          </w:tcPr>
          <w:p w14:paraId="3ABC0649">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检查人</w:t>
            </w:r>
          </w:p>
        </w:tc>
        <w:tc>
          <w:tcPr>
            <w:tcW w:w="5358" w:type="dxa"/>
            <w:gridSpan w:val="4"/>
            <w:noWrap w:val="0"/>
            <w:vAlign w:val="center"/>
          </w:tcPr>
          <w:p w14:paraId="6EB201E1">
            <w:pPr>
              <w:spacing w:line="360" w:lineRule="auto"/>
              <w:rPr>
                <w:rFonts w:hint="eastAsia" w:ascii="仿宋_GB2312" w:hAnsi="仿宋_GB2312" w:eastAsia="仿宋_GB2312" w:cs="仿宋_GB2312"/>
                <w:szCs w:val="21"/>
                <w:lang w:eastAsia="zh-CN"/>
              </w:rPr>
            </w:pPr>
          </w:p>
        </w:tc>
      </w:tr>
      <w:tr w14:paraId="33D60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14:paraId="1B39DD3C">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序号</w:t>
            </w:r>
          </w:p>
        </w:tc>
        <w:tc>
          <w:tcPr>
            <w:tcW w:w="1276" w:type="dxa"/>
            <w:gridSpan w:val="2"/>
            <w:noWrap w:val="0"/>
            <w:vAlign w:val="center"/>
          </w:tcPr>
          <w:p w14:paraId="48EBF19C">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地点</w:t>
            </w:r>
          </w:p>
        </w:tc>
        <w:tc>
          <w:tcPr>
            <w:tcW w:w="1701" w:type="dxa"/>
            <w:noWrap w:val="0"/>
            <w:vAlign w:val="center"/>
          </w:tcPr>
          <w:p w14:paraId="49005642">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检查事项或内容</w:t>
            </w:r>
          </w:p>
        </w:tc>
        <w:tc>
          <w:tcPr>
            <w:tcW w:w="1814" w:type="dxa"/>
            <w:noWrap w:val="0"/>
            <w:vAlign w:val="center"/>
          </w:tcPr>
          <w:p w14:paraId="01CEE7D5">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检查情况</w:t>
            </w:r>
          </w:p>
        </w:tc>
        <w:tc>
          <w:tcPr>
            <w:tcW w:w="1163" w:type="dxa"/>
            <w:noWrap w:val="0"/>
            <w:vAlign w:val="center"/>
          </w:tcPr>
          <w:p w14:paraId="2F96F73F">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整改期限</w:t>
            </w:r>
          </w:p>
        </w:tc>
        <w:tc>
          <w:tcPr>
            <w:tcW w:w="1388" w:type="dxa"/>
            <w:noWrap w:val="0"/>
            <w:vAlign w:val="center"/>
          </w:tcPr>
          <w:p w14:paraId="7D428762">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是否已整改</w:t>
            </w:r>
          </w:p>
        </w:tc>
        <w:tc>
          <w:tcPr>
            <w:tcW w:w="993" w:type="dxa"/>
            <w:noWrap w:val="0"/>
            <w:vAlign w:val="center"/>
          </w:tcPr>
          <w:p w14:paraId="37AE73FC">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签名</w:t>
            </w:r>
          </w:p>
        </w:tc>
      </w:tr>
      <w:tr w14:paraId="425BE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14:paraId="23369B45">
            <w:pPr>
              <w:spacing w:line="360" w:lineRule="auto"/>
              <w:rPr>
                <w:rFonts w:hint="eastAsia" w:ascii="仿宋_GB2312" w:hAnsi="仿宋_GB2312" w:eastAsia="仿宋_GB2312" w:cs="仿宋_GB2312"/>
                <w:szCs w:val="21"/>
                <w:lang w:eastAsia="zh-CN"/>
              </w:rPr>
            </w:pPr>
          </w:p>
        </w:tc>
        <w:tc>
          <w:tcPr>
            <w:tcW w:w="1276" w:type="dxa"/>
            <w:gridSpan w:val="2"/>
            <w:noWrap w:val="0"/>
            <w:vAlign w:val="center"/>
          </w:tcPr>
          <w:p w14:paraId="63858E94">
            <w:pPr>
              <w:spacing w:line="360" w:lineRule="auto"/>
              <w:rPr>
                <w:rFonts w:hint="eastAsia" w:ascii="仿宋_GB2312" w:hAnsi="仿宋_GB2312" w:eastAsia="仿宋_GB2312" w:cs="仿宋_GB2312"/>
                <w:szCs w:val="21"/>
                <w:lang w:eastAsia="zh-CN"/>
              </w:rPr>
            </w:pPr>
          </w:p>
        </w:tc>
        <w:tc>
          <w:tcPr>
            <w:tcW w:w="1701" w:type="dxa"/>
            <w:noWrap w:val="0"/>
            <w:vAlign w:val="center"/>
          </w:tcPr>
          <w:p w14:paraId="47999288">
            <w:pPr>
              <w:spacing w:line="360" w:lineRule="auto"/>
              <w:rPr>
                <w:rFonts w:hint="eastAsia" w:ascii="仿宋_GB2312" w:hAnsi="仿宋_GB2312" w:eastAsia="仿宋_GB2312" w:cs="仿宋_GB2312"/>
                <w:szCs w:val="21"/>
                <w:lang w:eastAsia="zh-CN"/>
              </w:rPr>
            </w:pPr>
          </w:p>
        </w:tc>
        <w:tc>
          <w:tcPr>
            <w:tcW w:w="1814" w:type="dxa"/>
            <w:noWrap w:val="0"/>
            <w:vAlign w:val="center"/>
          </w:tcPr>
          <w:p w14:paraId="35204625">
            <w:pPr>
              <w:spacing w:line="360" w:lineRule="auto"/>
              <w:rPr>
                <w:rFonts w:hint="eastAsia" w:ascii="仿宋_GB2312" w:hAnsi="仿宋_GB2312" w:eastAsia="仿宋_GB2312" w:cs="仿宋_GB2312"/>
                <w:szCs w:val="21"/>
                <w:lang w:eastAsia="zh-CN"/>
              </w:rPr>
            </w:pPr>
          </w:p>
        </w:tc>
        <w:tc>
          <w:tcPr>
            <w:tcW w:w="1163" w:type="dxa"/>
            <w:noWrap w:val="0"/>
            <w:vAlign w:val="center"/>
          </w:tcPr>
          <w:p w14:paraId="1E702958">
            <w:pPr>
              <w:spacing w:line="360" w:lineRule="auto"/>
              <w:rPr>
                <w:rFonts w:hint="eastAsia" w:ascii="仿宋_GB2312" w:hAnsi="仿宋_GB2312" w:eastAsia="仿宋_GB2312" w:cs="仿宋_GB2312"/>
                <w:szCs w:val="21"/>
                <w:lang w:eastAsia="zh-CN"/>
              </w:rPr>
            </w:pPr>
          </w:p>
        </w:tc>
        <w:tc>
          <w:tcPr>
            <w:tcW w:w="1388" w:type="dxa"/>
            <w:noWrap w:val="0"/>
            <w:vAlign w:val="center"/>
          </w:tcPr>
          <w:p w14:paraId="30C447BB">
            <w:pPr>
              <w:spacing w:line="360" w:lineRule="auto"/>
              <w:rPr>
                <w:rFonts w:hint="eastAsia" w:ascii="仿宋_GB2312" w:hAnsi="仿宋_GB2312" w:eastAsia="仿宋_GB2312" w:cs="仿宋_GB2312"/>
                <w:szCs w:val="21"/>
                <w:lang w:eastAsia="zh-CN"/>
              </w:rPr>
            </w:pPr>
          </w:p>
        </w:tc>
        <w:tc>
          <w:tcPr>
            <w:tcW w:w="993" w:type="dxa"/>
            <w:noWrap w:val="0"/>
            <w:vAlign w:val="center"/>
          </w:tcPr>
          <w:p w14:paraId="2D92D106">
            <w:pPr>
              <w:spacing w:line="360" w:lineRule="auto"/>
              <w:rPr>
                <w:rFonts w:hint="eastAsia" w:ascii="仿宋_GB2312" w:hAnsi="仿宋_GB2312" w:eastAsia="仿宋_GB2312" w:cs="仿宋_GB2312"/>
                <w:szCs w:val="21"/>
                <w:lang w:eastAsia="zh-CN"/>
              </w:rPr>
            </w:pPr>
          </w:p>
        </w:tc>
      </w:tr>
      <w:tr w14:paraId="4FAB5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14:paraId="55157D83">
            <w:pPr>
              <w:spacing w:line="360" w:lineRule="auto"/>
              <w:rPr>
                <w:rFonts w:hint="eastAsia" w:ascii="仿宋_GB2312" w:hAnsi="仿宋_GB2312" w:eastAsia="仿宋_GB2312" w:cs="仿宋_GB2312"/>
                <w:szCs w:val="21"/>
                <w:lang w:eastAsia="zh-CN"/>
              </w:rPr>
            </w:pPr>
          </w:p>
        </w:tc>
        <w:tc>
          <w:tcPr>
            <w:tcW w:w="1276" w:type="dxa"/>
            <w:gridSpan w:val="2"/>
            <w:noWrap w:val="0"/>
            <w:vAlign w:val="center"/>
          </w:tcPr>
          <w:p w14:paraId="189D040A">
            <w:pPr>
              <w:spacing w:line="360" w:lineRule="auto"/>
              <w:rPr>
                <w:rFonts w:hint="eastAsia" w:ascii="仿宋_GB2312" w:hAnsi="仿宋_GB2312" w:eastAsia="仿宋_GB2312" w:cs="仿宋_GB2312"/>
                <w:szCs w:val="21"/>
                <w:lang w:eastAsia="zh-CN"/>
              </w:rPr>
            </w:pPr>
          </w:p>
        </w:tc>
        <w:tc>
          <w:tcPr>
            <w:tcW w:w="1701" w:type="dxa"/>
            <w:noWrap w:val="0"/>
            <w:vAlign w:val="center"/>
          </w:tcPr>
          <w:p w14:paraId="3E243168">
            <w:pPr>
              <w:spacing w:line="360" w:lineRule="auto"/>
              <w:rPr>
                <w:rFonts w:hint="eastAsia" w:ascii="仿宋_GB2312" w:hAnsi="仿宋_GB2312" w:eastAsia="仿宋_GB2312" w:cs="仿宋_GB2312"/>
                <w:szCs w:val="21"/>
                <w:lang w:eastAsia="zh-CN"/>
              </w:rPr>
            </w:pPr>
          </w:p>
        </w:tc>
        <w:tc>
          <w:tcPr>
            <w:tcW w:w="1814" w:type="dxa"/>
            <w:noWrap w:val="0"/>
            <w:vAlign w:val="center"/>
          </w:tcPr>
          <w:p w14:paraId="02775623">
            <w:pPr>
              <w:spacing w:line="360" w:lineRule="auto"/>
              <w:rPr>
                <w:rFonts w:hint="eastAsia" w:ascii="仿宋_GB2312" w:hAnsi="仿宋_GB2312" w:eastAsia="仿宋_GB2312" w:cs="仿宋_GB2312"/>
                <w:szCs w:val="21"/>
                <w:lang w:eastAsia="zh-CN"/>
              </w:rPr>
            </w:pPr>
          </w:p>
        </w:tc>
        <w:tc>
          <w:tcPr>
            <w:tcW w:w="1163" w:type="dxa"/>
            <w:noWrap w:val="0"/>
            <w:vAlign w:val="center"/>
          </w:tcPr>
          <w:p w14:paraId="7A6936F0">
            <w:pPr>
              <w:spacing w:line="360" w:lineRule="auto"/>
              <w:rPr>
                <w:rFonts w:hint="eastAsia" w:ascii="仿宋_GB2312" w:hAnsi="仿宋_GB2312" w:eastAsia="仿宋_GB2312" w:cs="仿宋_GB2312"/>
                <w:szCs w:val="21"/>
                <w:lang w:eastAsia="zh-CN"/>
              </w:rPr>
            </w:pPr>
          </w:p>
        </w:tc>
        <w:tc>
          <w:tcPr>
            <w:tcW w:w="1388" w:type="dxa"/>
            <w:noWrap w:val="0"/>
            <w:vAlign w:val="center"/>
          </w:tcPr>
          <w:p w14:paraId="21841D49">
            <w:pPr>
              <w:spacing w:line="360" w:lineRule="auto"/>
              <w:rPr>
                <w:rFonts w:hint="eastAsia" w:ascii="仿宋_GB2312" w:hAnsi="仿宋_GB2312" w:eastAsia="仿宋_GB2312" w:cs="仿宋_GB2312"/>
                <w:szCs w:val="21"/>
                <w:lang w:eastAsia="zh-CN"/>
              </w:rPr>
            </w:pPr>
          </w:p>
        </w:tc>
        <w:tc>
          <w:tcPr>
            <w:tcW w:w="993" w:type="dxa"/>
            <w:noWrap w:val="0"/>
            <w:vAlign w:val="center"/>
          </w:tcPr>
          <w:p w14:paraId="41A8349B">
            <w:pPr>
              <w:spacing w:line="360" w:lineRule="auto"/>
              <w:rPr>
                <w:rFonts w:hint="eastAsia" w:ascii="仿宋_GB2312" w:hAnsi="仿宋_GB2312" w:eastAsia="仿宋_GB2312" w:cs="仿宋_GB2312"/>
                <w:szCs w:val="21"/>
                <w:lang w:eastAsia="zh-CN"/>
              </w:rPr>
            </w:pPr>
          </w:p>
        </w:tc>
      </w:tr>
      <w:tr w14:paraId="5BCD0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14:paraId="0BC04538">
            <w:pPr>
              <w:spacing w:line="360" w:lineRule="auto"/>
              <w:rPr>
                <w:rFonts w:hint="eastAsia" w:ascii="仿宋_GB2312" w:hAnsi="仿宋_GB2312" w:eastAsia="仿宋_GB2312" w:cs="仿宋_GB2312"/>
                <w:szCs w:val="21"/>
                <w:lang w:eastAsia="zh-CN"/>
              </w:rPr>
            </w:pPr>
          </w:p>
        </w:tc>
        <w:tc>
          <w:tcPr>
            <w:tcW w:w="1276" w:type="dxa"/>
            <w:gridSpan w:val="2"/>
            <w:noWrap w:val="0"/>
            <w:vAlign w:val="center"/>
          </w:tcPr>
          <w:p w14:paraId="6DEF7575">
            <w:pPr>
              <w:spacing w:line="360" w:lineRule="auto"/>
              <w:rPr>
                <w:rFonts w:hint="eastAsia" w:ascii="仿宋_GB2312" w:hAnsi="仿宋_GB2312" w:eastAsia="仿宋_GB2312" w:cs="仿宋_GB2312"/>
                <w:szCs w:val="21"/>
                <w:lang w:eastAsia="zh-CN"/>
              </w:rPr>
            </w:pPr>
          </w:p>
        </w:tc>
        <w:tc>
          <w:tcPr>
            <w:tcW w:w="1701" w:type="dxa"/>
            <w:noWrap w:val="0"/>
            <w:vAlign w:val="center"/>
          </w:tcPr>
          <w:p w14:paraId="23AB3CDA">
            <w:pPr>
              <w:spacing w:line="360" w:lineRule="auto"/>
              <w:rPr>
                <w:rFonts w:hint="eastAsia" w:ascii="仿宋_GB2312" w:hAnsi="仿宋_GB2312" w:eastAsia="仿宋_GB2312" w:cs="仿宋_GB2312"/>
                <w:szCs w:val="21"/>
                <w:lang w:eastAsia="zh-CN"/>
              </w:rPr>
            </w:pPr>
          </w:p>
        </w:tc>
        <w:tc>
          <w:tcPr>
            <w:tcW w:w="1814" w:type="dxa"/>
            <w:noWrap w:val="0"/>
            <w:vAlign w:val="center"/>
          </w:tcPr>
          <w:p w14:paraId="280EE698">
            <w:pPr>
              <w:spacing w:line="360" w:lineRule="auto"/>
              <w:rPr>
                <w:rFonts w:hint="eastAsia" w:ascii="仿宋_GB2312" w:hAnsi="仿宋_GB2312" w:eastAsia="仿宋_GB2312" w:cs="仿宋_GB2312"/>
                <w:szCs w:val="21"/>
                <w:lang w:eastAsia="zh-CN"/>
              </w:rPr>
            </w:pPr>
          </w:p>
        </w:tc>
        <w:tc>
          <w:tcPr>
            <w:tcW w:w="1163" w:type="dxa"/>
            <w:noWrap w:val="0"/>
            <w:vAlign w:val="center"/>
          </w:tcPr>
          <w:p w14:paraId="65FCFA4B">
            <w:pPr>
              <w:spacing w:line="360" w:lineRule="auto"/>
              <w:rPr>
                <w:rFonts w:hint="eastAsia" w:ascii="仿宋_GB2312" w:hAnsi="仿宋_GB2312" w:eastAsia="仿宋_GB2312" w:cs="仿宋_GB2312"/>
                <w:szCs w:val="21"/>
                <w:lang w:eastAsia="zh-CN"/>
              </w:rPr>
            </w:pPr>
          </w:p>
        </w:tc>
        <w:tc>
          <w:tcPr>
            <w:tcW w:w="1388" w:type="dxa"/>
            <w:noWrap w:val="0"/>
            <w:vAlign w:val="center"/>
          </w:tcPr>
          <w:p w14:paraId="742560D2">
            <w:pPr>
              <w:spacing w:line="360" w:lineRule="auto"/>
              <w:rPr>
                <w:rFonts w:hint="eastAsia" w:ascii="仿宋_GB2312" w:hAnsi="仿宋_GB2312" w:eastAsia="仿宋_GB2312" w:cs="仿宋_GB2312"/>
                <w:szCs w:val="21"/>
                <w:lang w:eastAsia="zh-CN"/>
              </w:rPr>
            </w:pPr>
          </w:p>
        </w:tc>
        <w:tc>
          <w:tcPr>
            <w:tcW w:w="993" w:type="dxa"/>
            <w:noWrap w:val="0"/>
            <w:vAlign w:val="center"/>
          </w:tcPr>
          <w:p w14:paraId="45693814">
            <w:pPr>
              <w:spacing w:line="360" w:lineRule="auto"/>
              <w:rPr>
                <w:rFonts w:hint="eastAsia" w:ascii="仿宋_GB2312" w:hAnsi="仿宋_GB2312" w:eastAsia="仿宋_GB2312" w:cs="仿宋_GB2312"/>
                <w:szCs w:val="21"/>
                <w:lang w:eastAsia="zh-CN"/>
              </w:rPr>
            </w:pPr>
          </w:p>
        </w:tc>
      </w:tr>
      <w:tr w14:paraId="0DEF4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14:paraId="32065D88">
            <w:pPr>
              <w:spacing w:line="360" w:lineRule="auto"/>
              <w:rPr>
                <w:rFonts w:hint="eastAsia" w:ascii="仿宋_GB2312" w:hAnsi="仿宋_GB2312" w:eastAsia="仿宋_GB2312" w:cs="仿宋_GB2312"/>
                <w:szCs w:val="21"/>
                <w:lang w:eastAsia="zh-CN"/>
              </w:rPr>
            </w:pPr>
          </w:p>
        </w:tc>
        <w:tc>
          <w:tcPr>
            <w:tcW w:w="1276" w:type="dxa"/>
            <w:gridSpan w:val="2"/>
            <w:noWrap w:val="0"/>
            <w:vAlign w:val="center"/>
          </w:tcPr>
          <w:p w14:paraId="2EB52C82">
            <w:pPr>
              <w:spacing w:line="360" w:lineRule="auto"/>
              <w:rPr>
                <w:rFonts w:hint="eastAsia" w:ascii="仿宋_GB2312" w:hAnsi="仿宋_GB2312" w:eastAsia="仿宋_GB2312" w:cs="仿宋_GB2312"/>
                <w:szCs w:val="21"/>
                <w:lang w:eastAsia="zh-CN"/>
              </w:rPr>
            </w:pPr>
          </w:p>
        </w:tc>
        <w:tc>
          <w:tcPr>
            <w:tcW w:w="1701" w:type="dxa"/>
            <w:noWrap w:val="0"/>
            <w:vAlign w:val="center"/>
          </w:tcPr>
          <w:p w14:paraId="3F710426">
            <w:pPr>
              <w:spacing w:line="360" w:lineRule="auto"/>
              <w:rPr>
                <w:rFonts w:hint="eastAsia" w:ascii="仿宋_GB2312" w:hAnsi="仿宋_GB2312" w:eastAsia="仿宋_GB2312" w:cs="仿宋_GB2312"/>
                <w:szCs w:val="21"/>
                <w:lang w:eastAsia="zh-CN"/>
              </w:rPr>
            </w:pPr>
          </w:p>
        </w:tc>
        <w:tc>
          <w:tcPr>
            <w:tcW w:w="1814" w:type="dxa"/>
            <w:noWrap w:val="0"/>
            <w:vAlign w:val="center"/>
          </w:tcPr>
          <w:p w14:paraId="7C423066">
            <w:pPr>
              <w:spacing w:line="360" w:lineRule="auto"/>
              <w:rPr>
                <w:rFonts w:hint="eastAsia" w:ascii="仿宋_GB2312" w:hAnsi="仿宋_GB2312" w:eastAsia="仿宋_GB2312" w:cs="仿宋_GB2312"/>
                <w:szCs w:val="21"/>
                <w:lang w:eastAsia="zh-CN"/>
              </w:rPr>
            </w:pPr>
          </w:p>
        </w:tc>
        <w:tc>
          <w:tcPr>
            <w:tcW w:w="1163" w:type="dxa"/>
            <w:noWrap w:val="0"/>
            <w:vAlign w:val="center"/>
          </w:tcPr>
          <w:p w14:paraId="2874CF3F">
            <w:pPr>
              <w:spacing w:line="360" w:lineRule="auto"/>
              <w:rPr>
                <w:rFonts w:hint="eastAsia" w:ascii="仿宋_GB2312" w:hAnsi="仿宋_GB2312" w:eastAsia="仿宋_GB2312" w:cs="仿宋_GB2312"/>
                <w:szCs w:val="21"/>
                <w:lang w:eastAsia="zh-CN"/>
              </w:rPr>
            </w:pPr>
          </w:p>
        </w:tc>
        <w:tc>
          <w:tcPr>
            <w:tcW w:w="1388" w:type="dxa"/>
            <w:noWrap w:val="0"/>
            <w:vAlign w:val="center"/>
          </w:tcPr>
          <w:p w14:paraId="2EF4DA9C">
            <w:pPr>
              <w:spacing w:line="360" w:lineRule="auto"/>
              <w:rPr>
                <w:rFonts w:hint="eastAsia" w:ascii="仿宋_GB2312" w:hAnsi="仿宋_GB2312" w:eastAsia="仿宋_GB2312" w:cs="仿宋_GB2312"/>
                <w:szCs w:val="21"/>
                <w:lang w:eastAsia="zh-CN"/>
              </w:rPr>
            </w:pPr>
          </w:p>
        </w:tc>
        <w:tc>
          <w:tcPr>
            <w:tcW w:w="993" w:type="dxa"/>
            <w:noWrap w:val="0"/>
            <w:vAlign w:val="center"/>
          </w:tcPr>
          <w:p w14:paraId="5B629B5F">
            <w:pPr>
              <w:spacing w:line="360" w:lineRule="auto"/>
              <w:rPr>
                <w:rFonts w:hint="eastAsia" w:ascii="仿宋_GB2312" w:hAnsi="仿宋_GB2312" w:eastAsia="仿宋_GB2312" w:cs="仿宋_GB2312"/>
                <w:szCs w:val="21"/>
                <w:lang w:eastAsia="zh-CN"/>
              </w:rPr>
            </w:pPr>
          </w:p>
        </w:tc>
      </w:tr>
    </w:tbl>
    <w:p w14:paraId="1D10AA57">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投标人项目组须设置登记薄，每个服务项目进行登记。登记薄的具体内容由双方依据合同约定共同协商确定。登记薄放置在服务项目的明显位置，由服务人员每日完成任务后如实填写，学校随机检查，发现弄虚作假的，第一次扣当月总评分5分，第二次扣当月总评分10分，三次以上（含三次）直接按当月总评分不合格处理。</w:t>
      </w:r>
    </w:p>
    <w:p w14:paraId="74C17346">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2、月度工作考核</w:t>
      </w:r>
    </w:p>
    <w:p w14:paraId="60C66117">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学校物业管理和后勤服务月度工作考核表</w:t>
      </w:r>
    </w:p>
    <w:tbl>
      <w:tblPr>
        <w:tblStyle w:val="21"/>
        <w:tblW w:w="8797" w:type="dxa"/>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61"/>
        <w:gridCol w:w="1707"/>
        <w:gridCol w:w="5295"/>
        <w:gridCol w:w="567"/>
        <w:gridCol w:w="567"/>
      </w:tblGrid>
      <w:tr w14:paraId="52D7942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0" w:hRule="atLeast"/>
        </w:trPr>
        <w:tc>
          <w:tcPr>
            <w:tcW w:w="661" w:type="dxa"/>
            <w:tcBorders>
              <w:top w:val="outset" w:color="auto" w:sz="6" w:space="0"/>
              <w:left w:val="outset" w:color="auto" w:sz="6" w:space="0"/>
              <w:bottom w:val="outset" w:color="auto" w:sz="6" w:space="0"/>
              <w:right w:val="outset" w:color="auto" w:sz="6" w:space="0"/>
            </w:tcBorders>
            <w:noWrap w:val="0"/>
            <w:vAlign w:val="center"/>
          </w:tcPr>
          <w:p w14:paraId="33A0AE6D">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序 号</w:t>
            </w:r>
          </w:p>
        </w:tc>
        <w:tc>
          <w:tcPr>
            <w:tcW w:w="1707" w:type="dxa"/>
            <w:tcBorders>
              <w:top w:val="outset" w:color="auto" w:sz="6" w:space="0"/>
              <w:left w:val="outset" w:color="auto" w:sz="6" w:space="0"/>
              <w:bottom w:val="outset" w:color="auto" w:sz="6" w:space="0"/>
              <w:right w:val="outset" w:color="auto" w:sz="6" w:space="0"/>
            </w:tcBorders>
            <w:noWrap w:val="0"/>
            <w:vAlign w:val="center"/>
          </w:tcPr>
          <w:p w14:paraId="45117B81">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考核项目及分值</w:t>
            </w:r>
          </w:p>
        </w:tc>
        <w:tc>
          <w:tcPr>
            <w:tcW w:w="5295" w:type="dxa"/>
            <w:tcBorders>
              <w:top w:val="outset" w:color="auto" w:sz="6" w:space="0"/>
              <w:left w:val="outset" w:color="auto" w:sz="6" w:space="0"/>
              <w:bottom w:val="outset" w:color="auto" w:sz="6" w:space="0"/>
              <w:right w:val="outset" w:color="auto" w:sz="6" w:space="0"/>
            </w:tcBorders>
            <w:noWrap w:val="0"/>
            <w:vAlign w:val="center"/>
          </w:tcPr>
          <w:p w14:paraId="20F58101">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考  核  内  容</w:t>
            </w:r>
          </w:p>
        </w:tc>
        <w:tc>
          <w:tcPr>
            <w:tcW w:w="567" w:type="dxa"/>
            <w:tcBorders>
              <w:top w:val="outset" w:color="auto" w:sz="6" w:space="0"/>
              <w:left w:val="outset" w:color="auto" w:sz="6" w:space="0"/>
              <w:bottom w:val="outset" w:color="auto" w:sz="6" w:space="0"/>
              <w:right w:val="outset" w:color="auto" w:sz="6" w:space="0"/>
            </w:tcBorders>
            <w:noWrap w:val="0"/>
            <w:vAlign w:val="center"/>
          </w:tcPr>
          <w:p w14:paraId="5C4639CF">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分值</w:t>
            </w:r>
          </w:p>
        </w:tc>
        <w:tc>
          <w:tcPr>
            <w:tcW w:w="567" w:type="dxa"/>
            <w:tcBorders>
              <w:top w:val="outset" w:color="auto" w:sz="6" w:space="0"/>
              <w:left w:val="outset" w:color="auto" w:sz="6" w:space="0"/>
              <w:bottom w:val="outset" w:color="auto" w:sz="6" w:space="0"/>
              <w:right w:val="outset" w:color="auto" w:sz="6" w:space="0"/>
            </w:tcBorders>
            <w:noWrap w:val="0"/>
            <w:vAlign w:val="center"/>
          </w:tcPr>
          <w:p w14:paraId="6B137912">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得分</w:t>
            </w:r>
          </w:p>
        </w:tc>
      </w:tr>
      <w:tr w14:paraId="599EA63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661" w:type="dxa"/>
            <w:vMerge w:val="restart"/>
            <w:tcBorders>
              <w:top w:val="outset" w:color="auto" w:sz="6" w:space="0"/>
              <w:left w:val="outset" w:color="auto" w:sz="6" w:space="0"/>
              <w:bottom w:val="outset" w:color="auto" w:sz="6" w:space="0"/>
              <w:right w:val="outset" w:color="auto" w:sz="6" w:space="0"/>
            </w:tcBorders>
            <w:noWrap w:val="0"/>
            <w:vAlign w:val="center"/>
          </w:tcPr>
          <w:p w14:paraId="11D5A61B">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一</w:t>
            </w:r>
          </w:p>
        </w:tc>
        <w:tc>
          <w:tcPr>
            <w:tcW w:w="1707" w:type="dxa"/>
            <w:vMerge w:val="restart"/>
            <w:tcBorders>
              <w:top w:val="outset" w:color="auto" w:sz="6" w:space="0"/>
              <w:left w:val="outset" w:color="auto" w:sz="6" w:space="0"/>
              <w:bottom w:val="outset" w:color="auto" w:sz="6" w:space="0"/>
              <w:right w:val="outset" w:color="auto" w:sz="6" w:space="0"/>
            </w:tcBorders>
            <w:noWrap w:val="0"/>
            <w:vAlign w:val="center"/>
          </w:tcPr>
          <w:p w14:paraId="07075E1E">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安全管理</w:t>
            </w:r>
          </w:p>
          <w:p w14:paraId="7B49A1CC">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15</w:t>
            </w:r>
            <w:r>
              <w:rPr>
                <w:rFonts w:hint="eastAsia" w:ascii="仿宋_GB2312" w:hAnsi="仿宋_GB2312" w:eastAsia="仿宋_GB2312" w:cs="仿宋_GB2312"/>
                <w:szCs w:val="21"/>
                <w:lang w:eastAsia="zh-CN"/>
              </w:rPr>
              <w:t>分）</w:t>
            </w:r>
          </w:p>
        </w:tc>
        <w:tc>
          <w:tcPr>
            <w:tcW w:w="5295" w:type="dxa"/>
            <w:tcBorders>
              <w:top w:val="outset" w:color="auto" w:sz="6" w:space="0"/>
              <w:left w:val="outset" w:color="auto" w:sz="6" w:space="0"/>
              <w:bottom w:val="single" w:color="auto" w:sz="4" w:space="0"/>
              <w:right w:val="outset" w:color="auto" w:sz="6" w:space="0"/>
            </w:tcBorders>
            <w:noWrap w:val="0"/>
            <w:vAlign w:val="center"/>
          </w:tcPr>
          <w:p w14:paraId="22083E9F">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安全、消防制度规范健全，基础档案齐全</w:t>
            </w:r>
          </w:p>
        </w:tc>
        <w:tc>
          <w:tcPr>
            <w:tcW w:w="567" w:type="dxa"/>
            <w:tcBorders>
              <w:top w:val="outset" w:color="auto" w:sz="6" w:space="0"/>
              <w:left w:val="outset" w:color="auto" w:sz="6" w:space="0"/>
              <w:bottom w:val="single" w:color="auto" w:sz="4" w:space="0"/>
              <w:right w:val="outset" w:color="auto" w:sz="6" w:space="0"/>
            </w:tcBorders>
            <w:noWrap w:val="0"/>
            <w:vAlign w:val="center"/>
          </w:tcPr>
          <w:p w14:paraId="14B313DA">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567" w:type="dxa"/>
            <w:tcBorders>
              <w:top w:val="outset" w:color="auto" w:sz="6" w:space="0"/>
              <w:left w:val="outset" w:color="auto" w:sz="6" w:space="0"/>
              <w:bottom w:val="outset" w:color="auto" w:sz="6" w:space="0"/>
              <w:right w:val="outset" w:color="auto" w:sz="6" w:space="0"/>
            </w:tcBorders>
            <w:noWrap w:val="0"/>
            <w:vAlign w:val="center"/>
          </w:tcPr>
          <w:p w14:paraId="33029190">
            <w:pPr>
              <w:spacing w:line="360" w:lineRule="auto"/>
              <w:rPr>
                <w:rFonts w:hint="eastAsia" w:ascii="仿宋_GB2312" w:hAnsi="仿宋_GB2312" w:eastAsia="仿宋_GB2312" w:cs="仿宋_GB2312"/>
                <w:szCs w:val="21"/>
                <w:lang w:eastAsia="zh-CN"/>
              </w:rPr>
            </w:pPr>
          </w:p>
        </w:tc>
      </w:tr>
      <w:tr w14:paraId="6866683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661" w:type="dxa"/>
            <w:vMerge w:val="continue"/>
            <w:tcBorders>
              <w:top w:val="outset" w:color="auto" w:sz="6" w:space="0"/>
              <w:left w:val="outset" w:color="auto" w:sz="6" w:space="0"/>
              <w:bottom w:val="outset" w:color="auto" w:sz="6" w:space="0"/>
              <w:right w:val="outset" w:color="auto" w:sz="6" w:space="0"/>
            </w:tcBorders>
            <w:noWrap w:val="0"/>
            <w:vAlign w:val="center"/>
          </w:tcPr>
          <w:p w14:paraId="5FD9315C">
            <w:pPr>
              <w:spacing w:line="360" w:lineRule="auto"/>
              <w:rPr>
                <w:rFonts w:hint="eastAsia" w:ascii="仿宋_GB2312" w:hAnsi="仿宋_GB2312" w:eastAsia="仿宋_GB2312" w:cs="仿宋_GB2312"/>
                <w:szCs w:val="21"/>
                <w:lang w:eastAsia="zh-CN"/>
              </w:rPr>
            </w:pPr>
          </w:p>
        </w:tc>
        <w:tc>
          <w:tcPr>
            <w:tcW w:w="1707" w:type="dxa"/>
            <w:vMerge w:val="continue"/>
            <w:tcBorders>
              <w:top w:val="outset" w:color="auto" w:sz="6" w:space="0"/>
              <w:left w:val="outset" w:color="auto" w:sz="6" w:space="0"/>
              <w:bottom w:val="outset" w:color="auto" w:sz="6" w:space="0"/>
              <w:right w:val="outset" w:color="auto" w:sz="6" w:space="0"/>
            </w:tcBorders>
            <w:noWrap w:val="0"/>
            <w:vAlign w:val="center"/>
          </w:tcPr>
          <w:p w14:paraId="4F17127B">
            <w:pPr>
              <w:spacing w:line="360" w:lineRule="auto"/>
              <w:rPr>
                <w:rFonts w:hint="eastAsia" w:ascii="仿宋_GB2312" w:hAnsi="仿宋_GB2312" w:eastAsia="仿宋_GB2312" w:cs="仿宋_GB2312"/>
                <w:szCs w:val="21"/>
                <w:lang w:eastAsia="zh-CN"/>
              </w:rPr>
            </w:pPr>
          </w:p>
        </w:tc>
        <w:tc>
          <w:tcPr>
            <w:tcW w:w="5295" w:type="dxa"/>
            <w:tcBorders>
              <w:top w:val="single" w:color="auto" w:sz="4" w:space="0"/>
              <w:left w:val="outset" w:color="auto" w:sz="6" w:space="0"/>
              <w:bottom w:val="outset" w:color="auto" w:sz="6" w:space="0"/>
              <w:right w:val="single" w:color="auto" w:sz="4" w:space="0"/>
            </w:tcBorders>
            <w:noWrap w:val="0"/>
            <w:vAlign w:val="center"/>
          </w:tcPr>
          <w:p w14:paraId="5F335568">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有楼宇的钥匙管理制度，登记手续齐全</w:t>
            </w:r>
          </w:p>
        </w:tc>
        <w:tc>
          <w:tcPr>
            <w:tcW w:w="567" w:type="dxa"/>
            <w:tcBorders>
              <w:top w:val="single" w:color="auto" w:sz="4" w:space="0"/>
              <w:left w:val="single" w:color="auto" w:sz="4" w:space="0"/>
              <w:bottom w:val="single" w:color="auto" w:sz="4" w:space="0"/>
              <w:right w:val="outset" w:color="auto" w:sz="6" w:space="0"/>
            </w:tcBorders>
            <w:noWrap w:val="0"/>
            <w:vAlign w:val="center"/>
          </w:tcPr>
          <w:p w14:paraId="346CDE8A">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567" w:type="dxa"/>
            <w:tcBorders>
              <w:top w:val="outset" w:color="auto" w:sz="6" w:space="0"/>
              <w:left w:val="outset" w:color="auto" w:sz="6" w:space="0"/>
              <w:bottom w:val="outset" w:color="auto" w:sz="6" w:space="0"/>
              <w:right w:val="outset" w:color="auto" w:sz="6" w:space="0"/>
            </w:tcBorders>
            <w:noWrap w:val="0"/>
            <w:vAlign w:val="center"/>
          </w:tcPr>
          <w:p w14:paraId="20506BFB">
            <w:pPr>
              <w:spacing w:line="360" w:lineRule="auto"/>
              <w:rPr>
                <w:rFonts w:hint="eastAsia" w:ascii="仿宋_GB2312" w:hAnsi="仿宋_GB2312" w:eastAsia="仿宋_GB2312" w:cs="仿宋_GB2312"/>
                <w:szCs w:val="21"/>
                <w:lang w:eastAsia="zh-CN"/>
              </w:rPr>
            </w:pPr>
          </w:p>
        </w:tc>
      </w:tr>
      <w:tr w14:paraId="284DC88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661" w:type="dxa"/>
            <w:vMerge w:val="continue"/>
            <w:tcBorders>
              <w:top w:val="outset" w:color="auto" w:sz="6" w:space="0"/>
              <w:left w:val="outset" w:color="auto" w:sz="6" w:space="0"/>
              <w:bottom w:val="outset" w:color="auto" w:sz="6" w:space="0"/>
              <w:right w:val="outset" w:color="auto" w:sz="6" w:space="0"/>
            </w:tcBorders>
            <w:noWrap w:val="0"/>
            <w:vAlign w:val="center"/>
          </w:tcPr>
          <w:p w14:paraId="278647DD">
            <w:pPr>
              <w:spacing w:line="360" w:lineRule="auto"/>
              <w:rPr>
                <w:rFonts w:hint="eastAsia" w:ascii="仿宋_GB2312" w:hAnsi="仿宋_GB2312" w:eastAsia="仿宋_GB2312" w:cs="仿宋_GB2312"/>
                <w:szCs w:val="21"/>
                <w:lang w:eastAsia="zh-CN"/>
              </w:rPr>
            </w:pPr>
          </w:p>
        </w:tc>
        <w:tc>
          <w:tcPr>
            <w:tcW w:w="1707" w:type="dxa"/>
            <w:vMerge w:val="continue"/>
            <w:tcBorders>
              <w:top w:val="outset" w:color="auto" w:sz="6" w:space="0"/>
              <w:left w:val="outset" w:color="auto" w:sz="6" w:space="0"/>
              <w:bottom w:val="outset" w:color="auto" w:sz="6" w:space="0"/>
              <w:right w:val="outset" w:color="auto" w:sz="6" w:space="0"/>
            </w:tcBorders>
            <w:noWrap w:val="0"/>
            <w:vAlign w:val="center"/>
          </w:tcPr>
          <w:p w14:paraId="7125401E">
            <w:pPr>
              <w:spacing w:line="360" w:lineRule="auto"/>
              <w:rPr>
                <w:rFonts w:hint="eastAsia" w:ascii="仿宋_GB2312" w:hAnsi="仿宋_GB2312" w:eastAsia="仿宋_GB2312" w:cs="仿宋_GB2312"/>
                <w:szCs w:val="21"/>
                <w:lang w:eastAsia="zh-CN"/>
              </w:rPr>
            </w:pPr>
          </w:p>
        </w:tc>
        <w:tc>
          <w:tcPr>
            <w:tcW w:w="5295" w:type="dxa"/>
            <w:tcBorders>
              <w:top w:val="outset" w:color="auto" w:sz="6" w:space="0"/>
              <w:left w:val="outset" w:color="auto" w:sz="6" w:space="0"/>
              <w:bottom w:val="outset" w:color="auto" w:sz="6" w:space="0"/>
              <w:right w:val="single" w:color="auto" w:sz="4" w:space="0"/>
            </w:tcBorders>
            <w:noWrap w:val="0"/>
            <w:vAlign w:val="center"/>
          </w:tcPr>
          <w:p w14:paraId="0E33CE4D">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员工会正确使用安全消防器材，持证上岗</w:t>
            </w:r>
          </w:p>
        </w:tc>
        <w:tc>
          <w:tcPr>
            <w:tcW w:w="567" w:type="dxa"/>
            <w:tcBorders>
              <w:top w:val="single" w:color="auto" w:sz="4" w:space="0"/>
              <w:left w:val="single" w:color="auto" w:sz="4" w:space="0"/>
              <w:bottom w:val="single" w:color="auto" w:sz="4" w:space="0"/>
              <w:right w:val="outset" w:color="auto" w:sz="6" w:space="0"/>
            </w:tcBorders>
            <w:noWrap w:val="0"/>
            <w:vAlign w:val="center"/>
          </w:tcPr>
          <w:p w14:paraId="070FD831">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567" w:type="dxa"/>
            <w:tcBorders>
              <w:top w:val="outset" w:color="auto" w:sz="6" w:space="0"/>
              <w:left w:val="outset" w:color="auto" w:sz="6" w:space="0"/>
              <w:bottom w:val="outset" w:color="auto" w:sz="6" w:space="0"/>
              <w:right w:val="outset" w:color="auto" w:sz="6" w:space="0"/>
            </w:tcBorders>
            <w:noWrap w:val="0"/>
            <w:vAlign w:val="center"/>
          </w:tcPr>
          <w:p w14:paraId="5DF877B0">
            <w:pPr>
              <w:spacing w:line="360" w:lineRule="auto"/>
              <w:rPr>
                <w:rFonts w:hint="eastAsia" w:ascii="仿宋_GB2312" w:hAnsi="仿宋_GB2312" w:eastAsia="仿宋_GB2312" w:cs="仿宋_GB2312"/>
                <w:szCs w:val="21"/>
                <w:lang w:eastAsia="zh-CN"/>
              </w:rPr>
            </w:pPr>
          </w:p>
        </w:tc>
      </w:tr>
      <w:tr w14:paraId="2D94B79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661" w:type="dxa"/>
            <w:vMerge w:val="continue"/>
            <w:tcBorders>
              <w:top w:val="outset" w:color="auto" w:sz="6" w:space="0"/>
              <w:left w:val="outset" w:color="auto" w:sz="6" w:space="0"/>
              <w:bottom w:val="outset" w:color="auto" w:sz="6" w:space="0"/>
              <w:right w:val="outset" w:color="auto" w:sz="6" w:space="0"/>
            </w:tcBorders>
            <w:noWrap w:val="0"/>
            <w:vAlign w:val="center"/>
          </w:tcPr>
          <w:p w14:paraId="23810FA6">
            <w:pPr>
              <w:spacing w:line="360" w:lineRule="auto"/>
              <w:rPr>
                <w:rFonts w:hint="eastAsia" w:ascii="仿宋_GB2312" w:hAnsi="仿宋_GB2312" w:eastAsia="仿宋_GB2312" w:cs="仿宋_GB2312"/>
                <w:szCs w:val="21"/>
                <w:lang w:eastAsia="zh-CN"/>
              </w:rPr>
            </w:pPr>
          </w:p>
        </w:tc>
        <w:tc>
          <w:tcPr>
            <w:tcW w:w="1707" w:type="dxa"/>
            <w:vMerge w:val="continue"/>
            <w:tcBorders>
              <w:top w:val="outset" w:color="auto" w:sz="6" w:space="0"/>
              <w:left w:val="outset" w:color="auto" w:sz="6" w:space="0"/>
              <w:bottom w:val="outset" w:color="auto" w:sz="6" w:space="0"/>
              <w:right w:val="outset" w:color="auto" w:sz="6" w:space="0"/>
            </w:tcBorders>
            <w:noWrap w:val="0"/>
            <w:vAlign w:val="center"/>
          </w:tcPr>
          <w:p w14:paraId="439DE95D">
            <w:pPr>
              <w:spacing w:line="360" w:lineRule="auto"/>
              <w:rPr>
                <w:rFonts w:hint="eastAsia" w:ascii="仿宋_GB2312" w:hAnsi="仿宋_GB2312" w:eastAsia="仿宋_GB2312" w:cs="仿宋_GB2312"/>
                <w:szCs w:val="21"/>
                <w:lang w:eastAsia="zh-CN"/>
              </w:rPr>
            </w:pPr>
          </w:p>
        </w:tc>
        <w:tc>
          <w:tcPr>
            <w:tcW w:w="5295" w:type="dxa"/>
            <w:tcBorders>
              <w:top w:val="outset" w:color="auto" w:sz="6" w:space="0"/>
              <w:left w:val="outset" w:color="auto" w:sz="6" w:space="0"/>
              <w:bottom w:val="outset" w:color="auto" w:sz="6" w:space="0"/>
              <w:right w:val="single" w:color="auto" w:sz="4" w:space="0"/>
            </w:tcBorders>
            <w:noWrap w:val="0"/>
            <w:vAlign w:val="center"/>
          </w:tcPr>
          <w:p w14:paraId="2D06775F">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有突发事件工作预案，及时处理紧急情况</w:t>
            </w:r>
          </w:p>
        </w:tc>
        <w:tc>
          <w:tcPr>
            <w:tcW w:w="567" w:type="dxa"/>
            <w:tcBorders>
              <w:top w:val="single" w:color="auto" w:sz="4" w:space="0"/>
              <w:left w:val="single" w:color="auto" w:sz="4" w:space="0"/>
              <w:bottom w:val="single" w:color="auto" w:sz="4" w:space="0"/>
              <w:right w:val="outset" w:color="auto" w:sz="6" w:space="0"/>
            </w:tcBorders>
            <w:noWrap w:val="0"/>
            <w:vAlign w:val="center"/>
          </w:tcPr>
          <w:p w14:paraId="13C464E6">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567" w:type="dxa"/>
            <w:tcBorders>
              <w:top w:val="outset" w:color="auto" w:sz="6" w:space="0"/>
              <w:left w:val="outset" w:color="auto" w:sz="6" w:space="0"/>
              <w:bottom w:val="outset" w:color="auto" w:sz="6" w:space="0"/>
              <w:right w:val="outset" w:color="auto" w:sz="6" w:space="0"/>
            </w:tcBorders>
            <w:noWrap w:val="0"/>
            <w:vAlign w:val="center"/>
          </w:tcPr>
          <w:p w14:paraId="3B50D7EA">
            <w:pPr>
              <w:spacing w:line="360" w:lineRule="auto"/>
              <w:rPr>
                <w:rFonts w:hint="eastAsia" w:ascii="仿宋_GB2312" w:hAnsi="仿宋_GB2312" w:eastAsia="仿宋_GB2312" w:cs="仿宋_GB2312"/>
                <w:szCs w:val="21"/>
                <w:lang w:eastAsia="zh-CN"/>
              </w:rPr>
            </w:pPr>
          </w:p>
        </w:tc>
      </w:tr>
      <w:tr w14:paraId="65717EC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661" w:type="dxa"/>
            <w:vMerge w:val="continue"/>
            <w:tcBorders>
              <w:top w:val="outset" w:color="auto" w:sz="6" w:space="0"/>
              <w:left w:val="outset" w:color="auto" w:sz="6" w:space="0"/>
              <w:bottom w:val="outset" w:color="auto" w:sz="6" w:space="0"/>
              <w:right w:val="outset" w:color="auto" w:sz="6" w:space="0"/>
            </w:tcBorders>
            <w:noWrap w:val="0"/>
            <w:vAlign w:val="center"/>
          </w:tcPr>
          <w:p w14:paraId="092BF42B">
            <w:pPr>
              <w:spacing w:line="360" w:lineRule="auto"/>
              <w:rPr>
                <w:rFonts w:hint="eastAsia" w:ascii="仿宋_GB2312" w:hAnsi="仿宋_GB2312" w:eastAsia="仿宋_GB2312" w:cs="仿宋_GB2312"/>
                <w:szCs w:val="21"/>
                <w:lang w:eastAsia="zh-CN"/>
              </w:rPr>
            </w:pPr>
          </w:p>
        </w:tc>
        <w:tc>
          <w:tcPr>
            <w:tcW w:w="1707" w:type="dxa"/>
            <w:vMerge w:val="continue"/>
            <w:tcBorders>
              <w:top w:val="outset" w:color="auto" w:sz="6" w:space="0"/>
              <w:left w:val="outset" w:color="auto" w:sz="6" w:space="0"/>
              <w:bottom w:val="outset" w:color="auto" w:sz="6" w:space="0"/>
              <w:right w:val="outset" w:color="auto" w:sz="6" w:space="0"/>
            </w:tcBorders>
            <w:noWrap w:val="0"/>
            <w:vAlign w:val="center"/>
          </w:tcPr>
          <w:p w14:paraId="2B51B44E">
            <w:pPr>
              <w:spacing w:line="360" w:lineRule="auto"/>
              <w:rPr>
                <w:rFonts w:hint="eastAsia" w:ascii="仿宋_GB2312" w:hAnsi="仿宋_GB2312" w:eastAsia="仿宋_GB2312" w:cs="仿宋_GB2312"/>
                <w:szCs w:val="21"/>
                <w:lang w:eastAsia="zh-CN"/>
              </w:rPr>
            </w:pPr>
          </w:p>
        </w:tc>
        <w:tc>
          <w:tcPr>
            <w:tcW w:w="5295" w:type="dxa"/>
            <w:tcBorders>
              <w:top w:val="outset" w:color="auto" w:sz="6" w:space="0"/>
              <w:left w:val="outset" w:color="auto" w:sz="6" w:space="0"/>
              <w:bottom w:val="outset" w:color="auto" w:sz="6" w:space="0"/>
              <w:right w:val="single" w:color="auto" w:sz="4" w:space="0"/>
            </w:tcBorders>
            <w:noWrap w:val="0"/>
            <w:vAlign w:val="center"/>
          </w:tcPr>
          <w:p w14:paraId="0E9A94A2">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整月保障安全，无重大责任事故</w:t>
            </w:r>
          </w:p>
        </w:tc>
        <w:tc>
          <w:tcPr>
            <w:tcW w:w="567" w:type="dxa"/>
            <w:tcBorders>
              <w:top w:val="single" w:color="auto" w:sz="4" w:space="0"/>
              <w:left w:val="single" w:color="auto" w:sz="4" w:space="0"/>
              <w:bottom w:val="outset" w:color="auto" w:sz="6" w:space="0"/>
              <w:right w:val="outset" w:color="auto" w:sz="6" w:space="0"/>
            </w:tcBorders>
            <w:noWrap w:val="0"/>
            <w:vAlign w:val="center"/>
          </w:tcPr>
          <w:p w14:paraId="34DEFEA5">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567" w:type="dxa"/>
            <w:tcBorders>
              <w:top w:val="outset" w:color="auto" w:sz="6" w:space="0"/>
              <w:left w:val="outset" w:color="auto" w:sz="6" w:space="0"/>
              <w:bottom w:val="outset" w:color="auto" w:sz="6" w:space="0"/>
              <w:right w:val="outset" w:color="auto" w:sz="6" w:space="0"/>
            </w:tcBorders>
            <w:noWrap w:val="0"/>
            <w:vAlign w:val="center"/>
          </w:tcPr>
          <w:p w14:paraId="781715C1">
            <w:pPr>
              <w:spacing w:line="360" w:lineRule="auto"/>
              <w:rPr>
                <w:rFonts w:hint="eastAsia" w:ascii="仿宋_GB2312" w:hAnsi="仿宋_GB2312" w:eastAsia="仿宋_GB2312" w:cs="仿宋_GB2312"/>
                <w:szCs w:val="21"/>
                <w:lang w:eastAsia="zh-CN"/>
              </w:rPr>
            </w:pPr>
          </w:p>
        </w:tc>
      </w:tr>
      <w:tr w14:paraId="1451873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661" w:type="dxa"/>
            <w:vMerge w:val="restart"/>
            <w:tcBorders>
              <w:top w:val="outset" w:color="auto" w:sz="6" w:space="0"/>
              <w:left w:val="outset" w:color="auto" w:sz="6" w:space="0"/>
              <w:bottom w:val="outset" w:color="auto" w:sz="6" w:space="0"/>
              <w:right w:val="outset" w:color="auto" w:sz="6" w:space="0"/>
            </w:tcBorders>
            <w:noWrap w:val="0"/>
            <w:vAlign w:val="center"/>
          </w:tcPr>
          <w:p w14:paraId="4573D061">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二</w:t>
            </w:r>
          </w:p>
        </w:tc>
        <w:tc>
          <w:tcPr>
            <w:tcW w:w="1707" w:type="dxa"/>
            <w:vMerge w:val="restart"/>
            <w:tcBorders>
              <w:top w:val="outset" w:color="auto" w:sz="6" w:space="0"/>
              <w:left w:val="outset" w:color="auto" w:sz="6" w:space="0"/>
              <w:bottom w:val="outset" w:color="auto" w:sz="6" w:space="0"/>
              <w:right w:val="outset" w:color="auto" w:sz="6" w:space="0"/>
            </w:tcBorders>
            <w:noWrap w:val="0"/>
            <w:vAlign w:val="center"/>
          </w:tcPr>
          <w:p w14:paraId="79997DD9">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日常管理</w:t>
            </w:r>
          </w:p>
          <w:p w14:paraId="2235D98D">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（15分）</w:t>
            </w:r>
          </w:p>
        </w:tc>
        <w:tc>
          <w:tcPr>
            <w:tcW w:w="5295" w:type="dxa"/>
            <w:tcBorders>
              <w:top w:val="outset" w:color="auto" w:sz="6" w:space="0"/>
              <w:left w:val="outset" w:color="auto" w:sz="6" w:space="0"/>
              <w:bottom w:val="single" w:color="auto" w:sz="4" w:space="0"/>
              <w:right w:val="outset" w:color="auto" w:sz="6" w:space="0"/>
            </w:tcBorders>
            <w:noWrap w:val="0"/>
            <w:vAlign w:val="center"/>
          </w:tcPr>
          <w:p w14:paraId="53159448">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管理规章制度健全、人员岗位职责明确，有详尽的记录</w:t>
            </w:r>
          </w:p>
        </w:tc>
        <w:tc>
          <w:tcPr>
            <w:tcW w:w="567" w:type="dxa"/>
            <w:tcBorders>
              <w:top w:val="outset" w:color="auto" w:sz="6" w:space="0"/>
              <w:left w:val="outset" w:color="auto" w:sz="6" w:space="0"/>
              <w:bottom w:val="outset" w:color="auto" w:sz="6" w:space="0"/>
              <w:right w:val="outset" w:color="auto" w:sz="6" w:space="0"/>
            </w:tcBorders>
            <w:noWrap w:val="0"/>
            <w:vAlign w:val="center"/>
          </w:tcPr>
          <w:p w14:paraId="6C0C8B47">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3</w:t>
            </w:r>
          </w:p>
        </w:tc>
        <w:tc>
          <w:tcPr>
            <w:tcW w:w="567" w:type="dxa"/>
            <w:tcBorders>
              <w:top w:val="outset" w:color="auto" w:sz="6" w:space="0"/>
              <w:left w:val="outset" w:color="auto" w:sz="6" w:space="0"/>
              <w:bottom w:val="outset" w:color="auto" w:sz="6" w:space="0"/>
              <w:right w:val="outset" w:color="auto" w:sz="6" w:space="0"/>
            </w:tcBorders>
            <w:noWrap w:val="0"/>
            <w:vAlign w:val="center"/>
          </w:tcPr>
          <w:p w14:paraId="37D412ED">
            <w:pPr>
              <w:spacing w:line="360" w:lineRule="auto"/>
              <w:rPr>
                <w:rFonts w:hint="eastAsia" w:ascii="仿宋_GB2312" w:hAnsi="仿宋_GB2312" w:eastAsia="仿宋_GB2312" w:cs="仿宋_GB2312"/>
                <w:szCs w:val="21"/>
                <w:lang w:eastAsia="zh-CN"/>
              </w:rPr>
            </w:pPr>
          </w:p>
        </w:tc>
      </w:tr>
      <w:tr w14:paraId="2CA8F2C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661" w:type="dxa"/>
            <w:vMerge w:val="continue"/>
            <w:tcBorders>
              <w:top w:val="outset" w:color="auto" w:sz="6" w:space="0"/>
              <w:left w:val="outset" w:color="auto" w:sz="6" w:space="0"/>
              <w:bottom w:val="outset" w:color="auto" w:sz="6" w:space="0"/>
              <w:right w:val="outset" w:color="auto" w:sz="6" w:space="0"/>
            </w:tcBorders>
            <w:noWrap w:val="0"/>
            <w:vAlign w:val="center"/>
          </w:tcPr>
          <w:p w14:paraId="5235B7C6">
            <w:pPr>
              <w:spacing w:line="360" w:lineRule="auto"/>
              <w:rPr>
                <w:rFonts w:hint="eastAsia" w:ascii="仿宋_GB2312" w:hAnsi="仿宋_GB2312" w:eastAsia="仿宋_GB2312" w:cs="仿宋_GB2312"/>
                <w:szCs w:val="21"/>
                <w:lang w:eastAsia="zh-CN"/>
              </w:rPr>
            </w:pPr>
          </w:p>
        </w:tc>
        <w:tc>
          <w:tcPr>
            <w:tcW w:w="1707" w:type="dxa"/>
            <w:vMerge w:val="continue"/>
            <w:tcBorders>
              <w:top w:val="outset" w:color="auto" w:sz="6" w:space="0"/>
              <w:left w:val="outset" w:color="auto" w:sz="6" w:space="0"/>
              <w:bottom w:val="outset" w:color="auto" w:sz="6" w:space="0"/>
              <w:right w:val="outset" w:color="auto" w:sz="6" w:space="0"/>
            </w:tcBorders>
            <w:noWrap w:val="0"/>
            <w:vAlign w:val="center"/>
          </w:tcPr>
          <w:p w14:paraId="4842ADCE">
            <w:pPr>
              <w:spacing w:line="360" w:lineRule="auto"/>
              <w:rPr>
                <w:rFonts w:hint="eastAsia" w:ascii="仿宋_GB2312" w:hAnsi="仿宋_GB2312" w:eastAsia="仿宋_GB2312" w:cs="仿宋_GB2312"/>
                <w:szCs w:val="21"/>
                <w:lang w:eastAsia="zh-CN"/>
              </w:rPr>
            </w:pPr>
          </w:p>
        </w:tc>
        <w:tc>
          <w:tcPr>
            <w:tcW w:w="5295" w:type="dxa"/>
            <w:tcBorders>
              <w:top w:val="outset" w:color="auto" w:sz="6" w:space="0"/>
              <w:left w:val="outset" w:color="auto" w:sz="6" w:space="0"/>
              <w:bottom w:val="outset" w:color="auto" w:sz="6" w:space="0"/>
              <w:right w:val="outset" w:color="auto" w:sz="6" w:space="0"/>
            </w:tcBorders>
            <w:noWrap w:val="0"/>
            <w:vAlign w:val="center"/>
          </w:tcPr>
          <w:p w14:paraId="1B9FC96A">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员工统一着装，热情为师生服务</w:t>
            </w:r>
          </w:p>
        </w:tc>
        <w:tc>
          <w:tcPr>
            <w:tcW w:w="567" w:type="dxa"/>
            <w:tcBorders>
              <w:top w:val="single" w:color="auto" w:sz="4" w:space="0"/>
              <w:left w:val="outset" w:color="auto" w:sz="6" w:space="0"/>
              <w:bottom w:val="single" w:color="auto" w:sz="4" w:space="0"/>
              <w:right w:val="outset" w:color="auto" w:sz="6" w:space="0"/>
            </w:tcBorders>
            <w:noWrap w:val="0"/>
            <w:vAlign w:val="center"/>
          </w:tcPr>
          <w:p w14:paraId="053480FD">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3</w:t>
            </w:r>
          </w:p>
        </w:tc>
        <w:tc>
          <w:tcPr>
            <w:tcW w:w="567" w:type="dxa"/>
            <w:tcBorders>
              <w:top w:val="outset" w:color="auto" w:sz="6" w:space="0"/>
              <w:left w:val="outset" w:color="auto" w:sz="6" w:space="0"/>
              <w:bottom w:val="outset" w:color="auto" w:sz="6" w:space="0"/>
              <w:right w:val="outset" w:color="auto" w:sz="6" w:space="0"/>
            </w:tcBorders>
            <w:noWrap w:val="0"/>
            <w:vAlign w:val="center"/>
          </w:tcPr>
          <w:p w14:paraId="3DD75B3C">
            <w:pPr>
              <w:spacing w:line="360" w:lineRule="auto"/>
              <w:rPr>
                <w:rFonts w:hint="eastAsia" w:ascii="仿宋_GB2312" w:hAnsi="仿宋_GB2312" w:eastAsia="仿宋_GB2312" w:cs="仿宋_GB2312"/>
                <w:szCs w:val="21"/>
                <w:lang w:eastAsia="zh-CN"/>
              </w:rPr>
            </w:pPr>
          </w:p>
        </w:tc>
      </w:tr>
      <w:tr w14:paraId="7EEAFC4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0" w:hRule="atLeast"/>
        </w:trPr>
        <w:tc>
          <w:tcPr>
            <w:tcW w:w="661" w:type="dxa"/>
            <w:vMerge w:val="continue"/>
            <w:tcBorders>
              <w:top w:val="outset" w:color="auto" w:sz="6" w:space="0"/>
              <w:left w:val="outset" w:color="auto" w:sz="6" w:space="0"/>
              <w:bottom w:val="outset" w:color="auto" w:sz="6" w:space="0"/>
              <w:right w:val="outset" w:color="auto" w:sz="6" w:space="0"/>
            </w:tcBorders>
            <w:noWrap w:val="0"/>
            <w:vAlign w:val="center"/>
          </w:tcPr>
          <w:p w14:paraId="5EABEA48">
            <w:pPr>
              <w:spacing w:line="360" w:lineRule="auto"/>
              <w:rPr>
                <w:rFonts w:hint="eastAsia" w:ascii="仿宋_GB2312" w:hAnsi="仿宋_GB2312" w:eastAsia="仿宋_GB2312" w:cs="仿宋_GB2312"/>
                <w:szCs w:val="21"/>
                <w:lang w:eastAsia="zh-CN"/>
              </w:rPr>
            </w:pPr>
          </w:p>
        </w:tc>
        <w:tc>
          <w:tcPr>
            <w:tcW w:w="1707" w:type="dxa"/>
            <w:vMerge w:val="continue"/>
            <w:tcBorders>
              <w:top w:val="outset" w:color="auto" w:sz="6" w:space="0"/>
              <w:left w:val="outset" w:color="auto" w:sz="6" w:space="0"/>
              <w:bottom w:val="outset" w:color="auto" w:sz="6" w:space="0"/>
              <w:right w:val="outset" w:color="auto" w:sz="6" w:space="0"/>
            </w:tcBorders>
            <w:noWrap w:val="0"/>
            <w:vAlign w:val="center"/>
          </w:tcPr>
          <w:p w14:paraId="30059E60">
            <w:pPr>
              <w:spacing w:line="360" w:lineRule="auto"/>
              <w:rPr>
                <w:rFonts w:hint="eastAsia" w:ascii="仿宋_GB2312" w:hAnsi="仿宋_GB2312" w:eastAsia="仿宋_GB2312" w:cs="仿宋_GB2312"/>
                <w:szCs w:val="21"/>
                <w:lang w:eastAsia="zh-CN"/>
              </w:rPr>
            </w:pPr>
          </w:p>
        </w:tc>
        <w:tc>
          <w:tcPr>
            <w:tcW w:w="5295" w:type="dxa"/>
            <w:tcBorders>
              <w:top w:val="outset" w:color="auto" w:sz="6" w:space="0"/>
              <w:left w:val="outset" w:color="auto" w:sz="6" w:space="0"/>
              <w:bottom w:val="outset" w:color="auto" w:sz="6" w:space="0"/>
              <w:right w:val="outset" w:color="auto" w:sz="6" w:space="0"/>
            </w:tcBorders>
            <w:noWrap w:val="0"/>
            <w:vAlign w:val="center"/>
          </w:tcPr>
          <w:p w14:paraId="6EF915A4">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员工配备齐全，严格考勤、考核纪录</w:t>
            </w:r>
          </w:p>
        </w:tc>
        <w:tc>
          <w:tcPr>
            <w:tcW w:w="567" w:type="dxa"/>
            <w:tcBorders>
              <w:top w:val="single" w:color="auto" w:sz="4" w:space="0"/>
              <w:left w:val="outset" w:color="auto" w:sz="6" w:space="0"/>
              <w:bottom w:val="single" w:color="auto" w:sz="4" w:space="0"/>
              <w:right w:val="outset" w:color="auto" w:sz="6" w:space="0"/>
            </w:tcBorders>
            <w:noWrap w:val="0"/>
            <w:vAlign w:val="center"/>
          </w:tcPr>
          <w:p w14:paraId="1EC3A286">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3</w:t>
            </w:r>
          </w:p>
        </w:tc>
        <w:tc>
          <w:tcPr>
            <w:tcW w:w="567" w:type="dxa"/>
            <w:tcBorders>
              <w:top w:val="outset" w:color="auto" w:sz="6" w:space="0"/>
              <w:left w:val="outset" w:color="auto" w:sz="6" w:space="0"/>
              <w:bottom w:val="outset" w:color="auto" w:sz="6" w:space="0"/>
              <w:right w:val="outset" w:color="auto" w:sz="6" w:space="0"/>
            </w:tcBorders>
            <w:noWrap w:val="0"/>
            <w:vAlign w:val="center"/>
          </w:tcPr>
          <w:p w14:paraId="028F53EB">
            <w:pPr>
              <w:spacing w:line="360" w:lineRule="auto"/>
              <w:rPr>
                <w:rFonts w:hint="eastAsia" w:ascii="仿宋_GB2312" w:hAnsi="仿宋_GB2312" w:eastAsia="仿宋_GB2312" w:cs="仿宋_GB2312"/>
                <w:szCs w:val="21"/>
                <w:lang w:eastAsia="zh-CN"/>
              </w:rPr>
            </w:pPr>
          </w:p>
        </w:tc>
      </w:tr>
      <w:tr w14:paraId="1BDCE1E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661" w:type="dxa"/>
            <w:vMerge w:val="continue"/>
            <w:tcBorders>
              <w:top w:val="outset" w:color="auto" w:sz="6" w:space="0"/>
              <w:left w:val="outset" w:color="auto" w:sz="6" w:space="0"/>
              <w:bottom w:val="outset" w:color="auto" w:sz="6" w:space="0"/>
              <w:right w:val="outset" w:color="auto" w:sz="6" w:space="0"/>
            </w:tcBorders>
            <w:noWrap w:val="0"/>
            <w:vAlign w:val="center"/>
          </w:tcPr>
          <w:p w14:paraId="7D62D704">
            <w:pPr>
              <w:spacing w:line="360" w:lineRule="auto"/>
              <w:rPr>
                <w:rFonts w:hint="eastAsia" w:ascii="仿宋_GB2312" w:hAnsi="仿宋_GB2312" w:eastAsia="仿宋_GB2312" w:cs="仿宋_GB2312"/>
                <w:szCs w:val="21"/>
                <w:lang w:eastAsia="zh-CN"/>
              </w:rPr>
            </w:pPr>
          </w:p>
        </w:tc>
        <w:tc>
          <w:tcPr>
            <w:tcW w:w="1707" w:type="dxa"/>
            <w:vMerge w:val="continue"/>
            <w:tcBorders>
              <w:top w:val="outset" w:color="auto" w:sz="6" w:space="0"/>
              <w:left w:val="outset" w:color="auto" w:sz="6" w:space="0"/>
              <w:bottom w:val="outset" w:color="auto" w:sz="6" w:space="0"/>
              <w:right w:val="outset" w:color="auto" w:sz="6" w:space="0"/>
            </w:tcBorders>
            <w:noWrap w:val="0"/>
            <w:vAlign w:val="center"/>
          </w:tcPr>
          <w:p w14:paraId="67D8F92F">
            <w:pPr>
              <w:spacing w:line="360" w:lineRule="auto"/>
              <w:rPr>
                <w:rFonts w:hint="eastAsia" w:ascii="仿宋_GB2312" w:hAnsi="仿宋_GB2312" w:eastAsia="仿宋_GB2312" w:cs="仿宋_GB2312"/>
                <w:szCs w:val="21"/>
                <w:lang w:eastAsia="zh-CN"/>
              </w:rPr>
            </w:pPr>
          </w:p>
        </w:tc>
        <w:tc>
          <w:tcPr>
            <w:tcW w:w="5295" w:type="dxa"/>
            <w:tcBorders>
              <w:top w:val="outset" w:color="auto" w:sz="6" w:space="0"/>
              <w:left w:val="outset" w:color="auto" w:sz="6" w:space="0"/>
              <w:bottom w:val="outset" w:color="auto" w:sz="6" w:space="0"/>
              <w:right w:val="outset" w:color="auto" w:sz="6" w:space="0"/>
            </w:tcBorders>
            <w:noWrap w:val="0"/>
            <w:vAlign w:val="center"/>
          </w:tcPr>
          <w:p w14:paraId="262B36CD">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人员稳定，人员变动报后勤管理人</w:t>
            </w:r>
          </w:p>
        </w:tc>
        <w:tc>
          <w:tcPr>
            <w:tcW w:w="567" w:type="dxa"/>
            <w:tcBorders>
              <w:top w:val="single" w:color="auto" w:sz="4" w:space="0"/>
              <w:left w:val="outset" w:color="auto" w:sz="6" w:space="0"/>
              <w:bottom w:val="single" w:color="auto" w:sz="4" w:space="0"/>
              <w:right w:val="outset" w:color="auto" w:sz="6" w:space="0"/>
            </w:tcBorders>
            <w:noWrap w:val="0"/>
            <w:vAlign w:val="center"/>
          </w:tcPr>
          <w:p w14:paraId="31873940">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3</w:t>
            </w:r>
          </w:p>
        </w:tc>
        <w:tc>
          <w:tcPr>
            <w:tcW w:w="567" w:type="dxa"/>
            <w:tcBorders>
              <w:top w:val="outset" w:color="auto" w:sz="6" w:space="0"/>
              <w:left w:val="outset" w:color="auto" w:sz="6" w:space="0"/>
              <w:bottom w:val="outset" w:color="auto" w:sz="6" w:space="0"/>
              <w:right w:val="outset" w:color="auto" w:sz="6" w:space="0"/>
            </w:tcBorders>
            <w:noWrap w:val="0"/>
            <w:vAlign w:val="center"/>
          </w:tcPr>
          <w:p w14:paraId="19631B9F">
            <w:pPr>
              <w:spacing w:line="360" w:lineRule="auto"/>
              <w:rPr>
                <w:rFonts w:hint="eastAsia" w:ascii="仿宋_GB2312" w:hAnsi="仿宋_GB2312" w:eastAsia="仿宋_GB2312" w:cs="仿宋_GB2312"/>
                <w:szCs w:val="21"/>
                <w:lang w:eastAsia="zh-CN"/>
              </w:rPr>
            </w:pPr>
          </w:p>
        </w:tc>
      </w:tr>
      <w:tr w14:paraId="20CC71F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661" w:type="dxa"/>
            <w:vMerge w:val="continue"/>
            <w:tcBorders>
              <w:top w:val="outset" w:color="auto" w:sz="6" w:space="0"/>
              <w:left w:val="outset" w:color="auto" w:sz="6" w:space="0"/>
              <w:bottom w:val="outset" w:color="auto" w:sz="6" w:space="0"/>
              <w:right w:val="outset" w:color="auto" w:sz="6" w:space="0"/>
            </w:tcBorders>
            <w:noWrap w:val="0"/>
            <w:vAlign w:val="center"/>
          </w:tcPr>
          <w:p w14:paraId="37AE607C">
            <w:pPr>
              <w:spacing w:line="360" w:lineRule="auto"/>
              <w:rPr>
                <w:rFonts w:hint="eastAsia" w:ascii="仿宋_GB2312" w:hAnsi="仿宋_GB2312" w:eastAsia="仿宋_GB2312" w:cs="仿宋_GB2312"/>
                <w:szCs w:val="21"/>
                <w:lang w:eastAsia="zh-CN"/>
              </w:rPr>
            </w:pPr>
          </w:p>
        </w:tc>
        <w:tc>
          <w:tcPr>
            <w:tcW w:w="1707" w:type="dxa"/>
            <w:vMerge w:val="continue"/>
            <w:tcBorders>
              <w:top w:val="outset" w:color="auto" w:sz="6" w:space="0"/>
              <w:left w:val="outset" w:color="auto" w:sz="6" w:space="0"/>
              <w:bottom w:val="outset" w:color="auto" w:sz="6" w:space="0"/>
              <w:right w:val="outset" w:color="auto" w:sz="6" w:space="0"/>
            </w:tcBorders>
            <w:noWrap w:val="0"/>
            <w:vAlign w:val="center"/>
          </w:tcPr>
          <w:p w14:paraId="1A4B4810">
            <w:pPr>
              <w:spacing w:line="360" w:lineRule="auto"/>
              <w:rPr>
                <w:rFonts w:hint="eastAsia" w:ascii="仿宋_GB2312" w:hAnsi="仿宋_GB2312" w:eastAsia="仿宋_GB2312" w:cs="仿宋_GB2312"/>
                <w:szCs w:val="21"/>
                <w:lang w:eastAsia="zh-CN"/>
              </w:rPr>
            </w:pPr>
          </w:p>
        </w:tc>
        <w:tc>
          <w:tcPr>
            <w:tcW w:w="5295" w:type="dxa"/>
            <w:tcBorders>
              <w:top w:val="outset" w:color="auto" w:sz="6" w:space="0"/>
              <w:left w:val="outset" w:color="auto" w:sz="6" w:space="0"/>
              <w:bottom w:val="outset" w:color="auto" w:sz="6" w:space="0"/>
              <w:right w:val="outset" w:color="auto" w:sz="6" w:space="0"/>
            </w:tcBorders>
            <w:noWrap w:val="0"/>
            <w:vAlign w:val="center"/>
          </w:tcPr>
          <w:p w14:paraId="794228D3">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大楼物品出入登记、检查、处理情况记录</w:t>
            </w:r>
          </w:p>
        </w:tc>
        <w:tc>
          <w:tcPr>
            <w:tcW w:w="567" w:type="dxa"/>
            <w:tcBorders>
              <w:top w:val="single" w:color="auto" w:sz="4" w:space="0"/>
              <w:left w:val="outset" w:color="auto" w:sz="6" w:space="0"/>
              <w:bottom w:val="outset" w:color="auto" w:sz="6" w:space="0"/>
              <w:right w:val="outset" w:color="auto" w:sz="6" w:space="0"/>
            </w:tcBorders>
            <w:noWrap w:val="0"/>
            <w:vAlign w:val="center"/>
          </w:tcPr>
          <w:p w14:paraId="1C004997">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3</w:t>
            </w:r>
          </w:p>
        </w:tc>
        <w:tc>
          <w:tcPr>
            <w:tcW w:w="567" w:type="dxa"/>
            <w:tcBorders>
              <w:top w:val="outset" w:color="auto" w:sz="6" w:space="0"/>
              <w:left w:val="outset" w:color="auto" w:sz="6" w:space="0"/>
              <w:bottom w:val="outset" w:color="auto" w:sz="6" w:space="0"/>
              <w:right w:val="outset" w:color="auto" w:sz="6" w:space="0"/>
            </w:tcBorders>
            <w:noWrap w:val="0"/>
            <w:vAlign w:val="center"/>
          </w:tcPr>
          <w:p w14:paraId="21B5A6DB">
            <w:pPr>
              <w:spacing w:line="360" w:lineRule="auto"/>
              <w:rPr>
                <w:rFonts w:hint="eastAsia" w:ascii="仿宋_GB2312" w:hAnsi="仿宋_GB2312" w:eastAsia="仿宋_GB2312" w:cs="仿宋_GB2312"/>
                <w:szCs w:val="21"/>
                <w:lang w:eastAsia="zh-CN"/>
              </w:rPr>
            </w:pPr>
          </w:p>
        </w:tc>
      </w:tr>
      <w:tr w14:paraId="525E60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661" w:type="dxa"/>
            <w:vMerge w:val="restart"/>
            <w:tcBorders>
              <w:top w:val="outset" w:color="auto" w:sz="6" w:space="0"/>
              <w:left w:val="outset" w:color="auto" w:sz="6" w:space="0"/>
              <w:bottom w:val="outset" w:color="auto" w:sz="6" w:space="0"/>
              <w:right w:val="outset" w:color="auto" w:sz="6" w:space="0"/>
            </w:tcBorders>
            <w:noWrap w:val="0"/>
            <w:vAlign w:val="center"/>
          </w:tcPr>
          <w:p w14:paraId="02307E43">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三</w:t>
            </w:r>
          </w:p>
        </w:tc>
        <w:tc>
          <w:tcPr>
            <w:tcW w:w="1707" w:type="dxa"/>
            <w:vMerge w:val="restart"/>
            <w:tcBorders>
              <w:top w:val="outset" w:color="auto" w:sz="6" w:space="0"/>
              <w:left w:val="outset" w:color="auto" w:sz="6" w:space="0"/>
              <w:bottom w:val="outset" w:color="auto" w:sz="6" w:space="0"/>
              <w:right w:val="outset" w:color="auto" w:sz="6" w:space="0"/>
            </w:tcBorders>
            <w:noWrap w:val="0"/>
            <w:vAlign w:val="center"/>
          </w:tcPr>
          <w:p w14:paraId="58888AD6">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卫生保洁</w:t>
            </w:r>
          </w:p>
          <w:p w14:paraId="1F43C1D9">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15</w:t>
            </w:r>
            <w:r>
              <w:rPr>
                <w:rFonts w:hint="eastAsia" w:ascii="仿宋_GB2312" w:hAnsi="仿宋_GB2312" w:eastAsia="仿宋_GB2312" w:cs="仿宋_GB2312"/>
                <w:szCs w:val="21"/>
                <w:lang w:eastAsia="zh-CN"/>
              </w:rPr>
              <w:t>分）</w:t>
            </w:r>
          </w:p>
        </w:tc>
        <w:tc>
          <w:tcPr>
            <w:tcW w:w="5295" w:type="dxa"/>
            <w:tcBorders>
              <w:top w:val="outset" w:color="auto" w:sz="6" w:space="0"/>
              <w:left w:val="outset" w:color="auto" w:sz="6" w:space="0"/>
              <w:bottom w:val="outset" w:color="auto" w:sz="6" w:space="0"/>
              <w:right w:val="outset" w:color="auto" w:sz="6" w:space="0"/>
            </w:tcBorders>
            <w:noWrap w:val="0"/>
            <w:vAlign w:val="center"/>
          </w:tcPr>
          <w:p w14:paraId="7E92E94C">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管理规章制度健全、人员岗位职责明确，有详尽的记录</w:t>
            </w:r>
          </w:p>
        </w:tc>
        <w:tc>
          <w:tcPr>
            <w:tcW w:w="567" w:type="dxa"/>
            <w:tcBorders>
              <w:top w:val="outset" w:color="auto" w:sz="6" w:space="0"/>
              <w:left w:val="outset" w:color="auto" w:sz="6" w:space="0"/>
              <w:bottom w:val="single" w:color="auto" w:sz="4" w:space="0"/>
              <w:right w:val="outset" w:color="auto" w:sz="6" w:space="0"/>
            </w:tcBorders>
            <w:noWrap w:val="0"/>
            <w:vAlign w:val="center"/>
          </w:tcPr>
          <w:p w14:paraId="2FEAD10B">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567" w:type="dxa"/>
            <w:tcBorders>
              <w:top w:val="outset" w:color="auto" w:sz="6" w:space="0"/>
              <w:left w:val="outset" w:color="auto" w:sz="6" w:space="0"/>
              <w:bottom w:val="outset" w:color="auto" w:sz="6" w:space="0"/>
              <w:right w:val="outset" w:color="auto" w:sz="6" w:space="0"/>
            </w:tcBorders>
            <w:noWrap w:val="0"/>
            <w:vAlign w:val="center"/>
          </w:tcPr>
          <w:p w14:paraId="0790021D">
            <w:pPr>
              <w:spacing w:line="360" w:lineRule="auto"/>
              <w:rPr>
                <w:rFonts w:hint="eastAsia" w:ascii="仿宋_GB2312" w:hAnsi="仿宋_GB2312" w:eastAsia="仿宋_GB2312" w:cs="仿宋_GB2312"/>
                <w:szCs w:val="21"/>
                <w:lang w:eastAsia="zh-CN"/>
              </w:rPr>
            </w:pPr>
          </w:p>
        </w:tc>
      </w:tr>
      <w:tr w14:paraId="01D8CEE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661" w:type="dxa"/>
            <w:vMerge w:val="continue"/>
            <w:tcBorders>
              <w:top w:val="outset" w:color="auto" w:sz="6" w:space="0"/>
              <w:left w:val="outset" w:color="auto" w:sz="6" w:space="0"/>
              <w:bottom w:val="outset" w:color="auto" w:sz="6" w:space="0"/>
              <w:right w:val="outset" w:color="auto" w:sz="6" w:space="0"/>
            </w:tcBorders>
            <w:noWrap w:val="0"/>
            <w:vAlign w:val="center"/>
          </w:tcPr>
          <w:p w14:paraId="3FA3BEE4">
            <w:pPr>
              <w:spacing w:line="360" w:lineRule="auto"/>
              <w:rPr>
                <w:rFonts w:hint="eastAsia" w:ascii="仿宋_GB2312" w:hAnsi="仿宋_GB2312" w:eastAsia="仿宋_GB2312" w:cs="仿宋_GB2312"/>
                <w:szCs w:val="21"/>
                <w:lang w:eastAsia="zh-CN"/>
              </w:rPr>
            </w:pPr>
          </w:p>
        </w:tc>
        <w:tc>
          <w:tcPr>
            <w:tcW w:w="1707" w:type="dxa"/>
            <w:vMerge w:val="continue"/>
            <w:tcBorders>
              <w:top w:val="outset" w:color="auto" w:sz="6" w:space="0"/>
              <w:left w:val="outset" w:color="auto" w:sz="6" w:space="0"/>
              <w:bottom w:val="outset" w:color="auto" w:sz="6" w:space="0"/>
              <w:right w:val="outset" w:color="auto" w:sz="6" w:space="0"/>
            </w:tcBorders>
            <w:noWrap w:val="0"/>
            <w:vAlign w:val="center"/>
          </w:tcPr>
          <w:p w14:paraId="772243BE">
            <w:pPr>
              <w:spacing w:line="360" w:lineRule="auto"/>
              <w:rPr>
                <w:rFonts w:hint="eastAsia" w:ascii="仿宋_GB2312" w:hAnsi="仿宋_GB2312" w:eastAsia="仿宋_GB2312" w:cs="仿宋_GB2312"/>
                <w:szCs w:val="21"/>
                <w:lang w:eastAsia="zh-CN"/>
              </w:rPr>
            </w:pPr>
          </w:p>
        </w:tc>
        <w:tc>
          <w:tcPr>
            <w:tcW w:w="5295" w:type="dxa"/>
            <w:tcBorders>
              <w:top w:val="outset" w:color="auto" w:sz="6" w:space="0"/>
              <w:left w:val="outset" w:color="auto" w:sz="6" w:space="0"/>
              <w:bottom w:val="outset" w:color="auto" w:sz="6" w:space="0"/>
              <w:right w:val="outset" w:color="auto" w:sz="6" w:space="0"/>
            </w:tcBorders>
            <w:noWrap w:val="0"/>
            <w:vAlign w:val="center"/>
          </w:tcPr>
          <w:p w14:paraId="7135D17E">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楼宇公共部位卫生及保洁</w:t>
            </w:r>
          </w:p>
        </w:tc>
        <w:tc>
          <w:tcPr>
            <w:tcW w:w="567" w:type="dxa"/>
            <w:tcBorders>
              <w:top w:val="single" w:color="auto" w:sz="4" w:space="0"/>
              <w:left w:val="outset" w:color="auto" w:sz="6" w:space="0"/>
              <w:bottom w:val="single" w:color="auto" w:sz="4" w:space="0"/>
              <w:right w:val="outset" w:color="auto" w:sz="6" w:space="0"/>
            </w:tcBorders>
            <w:noWrap w:val="0"/>
            <w:vAlign w:val="center"/>
          </w:tcPr>
          <w:p w14:paraId="15F468EC">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567" w:type="dxa"/>
            <w:tcBorders>
              <w:top w:val="outset" w:color="auto" w:sz="6" w:space="0"/>
              <w:left w:val="outset" w:color="auto" w:sz="6" w:space="0"/>
              <w:bottom w:val="outset" w:color="auto" w:sz="6" w:space="0"/>
              <w:right w:val="outset" w:color="auto" w:sz="6" w:space="0"/>
            </w:tcBorders>
            <w:noWrap w:val="0"/>
            <w:vAlign w:val="center"/>
          </w:tcPr>
          <w:p w14:paraId="3375325C">
            <w:pPr>
              <w:spacing w:line="360" w:lineRule="auto"/>
              <w:rPr>
                <w:rFonts w:hint="eastAsia" w:ascii="仿宋_GB2312" w:hAnsi="仿宋_GB2312" w:eastAsia="仿宋_GB2312" w:cs="仿宋_GB2312"/>
                <w:szCs w:val="21"/>
                <w:lang w:eastAsia="zh-CN"/>
              </w:rPr>
            </w:pPr>
          </w:p>
        </w:tc>
      </w:tr>
      <w:tr w14:paraId="2A5DD76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661" w:type="dxa"/>
            <w:vMerge w:val="continue"/>
            <w:tcBorders>
              <w:top w:val="outset" w:color="auto" w:sz="6" w:space="0"/>
              <w:left w:val="outset" w:color="auto" w:sz="6" w:space="0"/>
              <w:bottom w:val="outset" w:color="auto" w:sz="6" w:space="0"/>
              <w:right w:val="outset" w:color="auto" w:sz="6" w:space="0"/>
            </w:tcBorders>
            <w:noWrap w:val="0"/>
            <w:vAlign w:val="center"/>
          </w:tcPr>
          <w:p w14:paraId="4A923F08">
            <w:pPr>
              <w:spacing w:line="360" w:lineRule="auto"/>
              <w:rPr>
                <w:rFonts w:hint="eastAsia" w:ascii="仿宋_GB2312" w:hAnsi="仿宋_GB2312" w:eastAsia="仿宋_GB2312" w:cs="仿宋_GB2312"/>
                <w:szCs w:val="21"/>
                <w:lang w:eastAsia="zh-CN"/>
              </w:rPr>
            </w:pPr>
          </w:p>
        </w:tc>
        <w:tc>
          <w:tcPr>
            <w:tcW w:w="1707" w:type="dxa"/>
            <w:vMerge w:val="continue"/>
            <w:tcBorders>
              <w:top w:val="outset" w:color="auto" w:sz="6" w:space="0"/>
              <w:left w:val="outset" w:color="auto" w:sz="6" w:space="0"/>
              <w:bottom w:val="outset" w:color="auto" w:sz="6" w:space="0"/>
              <w:right w:val="outset" w:color="auto" w:sz="6" w:space="0"/>
            </w:tcBorders>
            <w:noWrap w:val="0"/>
            <w:vAlign w:val="center"/>
          </w:tcPr>
          <w:p w14:paraId="390541D7">
            <w:pPr>
              <w:spacing w:line="360" w:lineRule="auto"/>
              <w:rPr>
                <w:rFonts w:hint="eastAsia" w:ascii="仿宋_GB2312" w:hAnsi="仿宋_GB2312" w:eastAsia="仿宋_GB2312" w:cs="仿宋_GB2312"/>
                <w:szCs w:val="21"/>
                <w:lang w:eastAsia="zh-CN"/>
              </w:rPr>
            </w:pPr>
          </w:p>
        </w:tc>
        <w:tc>
          <w:tcPr>
            <w:tcW w:w="5295" w:type="dxa"/>
            <w:tcBorders>
              <w:top w:val="outset" w:color="auto" w:sz="6" w:space="0"/>
              <w:left w:val="outset" w:color="auto" w:sz="6" w:space="0"/>
              <w:bottom w:val="single" w:color="auto" w:sz="4" w:space="0"/>
              <w:right w:val="outset" w:color="auto" w:sz="6" w:space="0"/>
            </w:tcBorders>
            <w:noWrap w:val="0"/>
            <w:vAlign w:val="center"/>
          </w:tcPr>
          <w:p w14:paraId="6D1D413C">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室内卫生及保洁</w:t>
            </w:r>
          </w:p>
        </w:tc>
        <w:tc>
          <w:tcPr>
            <w:tcW w:w="567" w:type="dxa"/>
            <w:tcBorders>
              <w:top w:val="single" w:color="auto" w:sz="4" w:space="0"/>
              <w:left w:val="outset" w:color="auto" w:sz="6" w:space="0"/>
              <w:bottom w:val="single" w:color="auto" w:sz="4" w:space="0"/>
              <w:right w:val="outset" w:color="auto" w:sz="6" w:space="0"/>
            </w:tcBorders>
            <w:noWrap w:val="0"/>
            <w:vAlign w:val="center"/>
          </w:tcPr>
          <w:p w14:paraId="6A13B440">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567" w:type="dxa"/>
            <w:tcBorders>
              <w:top w:val="outset" w:color="auto" w:sz="6" w:space="0"/>
              <w:left w:val="outset" w:color="auto" w:sz="6" w:space="0"/>
              <w:bottom w:val="outset" w:color="auto" w:sz="6" w:space="0"/>
              <w:right w:val="outset" w:color="auto" w:sz="6" w:space="0"/>
            </w:tcBorders>
            <w:noWrap w:val="0"/>
            <w:vAlign w:val="center"/>
          </w:tcPr>
          <w:p w14:paraId="6E71D128">
            <w:pPr>
              <w:spacing w:line="360" w:lineRule="auto"/>
              <w:rPr>
                <w:rFonts w:hint="eastAsia" w:ascii="仿宋_GB2312" w:hAnsi="仿宋_GB2312" w:eastAsia="仿宋_GB2312" w:cs="仿宋_GB2312"/>
                <w:szCs w:val="21"/>
                <w:lang w:eastAsia="zh-CN"/>
              </w:rPr>
            </w:pPr>
          </w:p>
        </w:tc>
      </w:tr>
      <w:tr w14:paraId="3266C2D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661" w:type="dxa"/>
            <w:vMerge w:val="continue"/>
            <w:tcBorders>
              <w:top w:val="outset" w:color="auto" w:sz="6" w:space="0"/>
              <w:left w:val="outset" w:color="auto" w:sz="6" w:space="0"/>
              <w:bottom w:val="outset" w:color="auto" w:sz="6" w:space="0"/>
              <w:right w:val="outset" w:color="auto" w:sz="6" w:space="0"/>
            </w:tcBorders>
            <w:noWrap w:val="0"/>
            <w:vAlign w:val="center"/>
          </w:tcPr>
          <w:p w14:paraId="35956959">
            <w:pPr>
              <w:spacing w:line="360" w:lineRule="auto"/>
              <w:rPr>
                <w:rFonts w:hint="eastAsia" w:ascii="仿宋_GB2312" w:hAnsi="仿宋_GB2312" w:eastAsia="仿宋_GB2312" w:cs="仿宋_GB2312"/>
                <w:szCs w:val="21"/>
                <w:lang w:eastAsia="zh-CN"/>
              </w:rPr>
            </w:pPr>
          </w:p>
        </w:tc>
        <w:tc>
          <w:tcPr>
            <w:tcW w:w="1707" w:type="dxa"/>
            <w:vMerge w:val="continue"/>
            <w:tcBorders>
              <w:top w:val="outset" w:color="auto" w:sz="6" w:space="0"/>
              <w:left w:val="outset" w:color="auto" w:sz="6" w:space="0"/>
              <w:bottom w:val="outset" w:color="auto" w:sz="6" w:space="0"/>
              <w:right w:val="outset" w:color="auto" w:sz="6" w:space="0"/>
            </w:tcBorders>
            <w:noWrap w:val="0"/>
            <w:vAlign w:val="center"/>
          </w:tcPr>
          <w:p w14:paraId="42C321CC">
            <w:pPr>
              <w:spacing w:line="360" w:lineRule="auto"/>
              <w:rPr>
                <w:rFonts w:hint="eastAsia" w:ascii="仿宋_GB2312" w:hAnsi="仿宋_GB2312" w:eastAsia="仿宋_GB2312" w:cs="仿宋_GB2312"/>
                <w:szCs w:val="21"/>
                <w:lang w:eastAsia="zh-CN"/>
              </w:rPr>
            </w:pPr>
          </w:p>
        </w:tc>
        <w:tc>
          <w:tcPr>
            <w:tcW w:w="5295" w:type="dxa"/>
            <w:tcBorders>
              <w:top w:val="outset" w:color="auto" w:sz="6" w:space="0"/>
              <w:left w:val="outset" w:color="auto" w:sz="6" w:space="0"/>
              <w:bottom w:val="outset" w:color="auto" w:sz="6" w:space="0"/>
              <w:right w:val="outset" w:color="auto" w:sz="6" w:space="0"/>
            </w:tcBorders>
            <w:noWrap w:val="0"/>
            <w:vAlign w:val="center"/>
          </w:tcPr>
          <w:p w14:paraId="28458730">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卫生间清洁卫生</w:t>
            </w:r>
          </w:p>
        </w:tc>
        <w:tc>
          <w:tcPr>
            <w:tcW w:w="567" w:type="dxa"/>
            <w:tcBorders>
              <w:top w:val="single" w:color="auto" w:sz="4" w:space="0"/>
              <w:left w:val="outset" w:color="auto" w:sz="6" w:space="0"/>
              <w:bottom w:val="single" w:color="auto" w:sz="4" w:space="0"/>
              <w:right w:val="outset" w:color="auto" w:sz="6" w:space="0"/>
            </w:tcBorders>
            <w:noWrap w:val="0"/>
            <w:vAlign w:val="center"/>
          </w:tcPr>
          <w:p w14:paraId="532FE9D2">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567" w:type="dxa"/>
            <w:tcBorders>
              <w:top w:val="outset" w:color="auto" w:sz="6" w:space="0"/>
              <w:left w:val="outset" w:color="auto" w:sz="6" w:space="0"/>
              <w:bottom w:val="outset" w:color="auto" w:sz="6" w:space="0"/>
              <w:right w:val="outset" w:color="auto" w:sz="6" w:space="0"/>
            </w:tcBorders>
            <w:noWrap w:val="0"/>
            <w:vAlign w:val="center"/>
          </w:tcPr>
          <w:p w14:paraId="35F65962">
            <w:pPr>
              <w:spacing w:line="360" w:lineRule="auto"/>
              <w:rPr>
                <w:rFonts w:hint="eastAsia" w:ascii="仿宋_GB2312" w:hAnsi="仿宋_GB2312" w:eastAsia="仿宋_GB2312" w:cs="仿宋_GB2312"/>
                <w:szCs w:val="21"/>
                <w:lang w:eastAsia="zh-CN"/>
              </w:rPr>
            </w:pPr>
          </w:p>
        </w:tc>
      </w:tr>
      <w:tr w14:paraId="2A9A6E8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661" w:type="dxa"/>
            <w:vMerge w:val="continue"/>
            <w:tcBorders>
              <w:top w:val="outset" w:color="auto" w:sz="6" w:space="0"/>
              <w:left w:val="outset" w:color="auto" w:sz="6" w:space="0"/>
              <w:bottom w:val="outset" w:color="auto" w:sz="6" w:space="0"/>
              <w:right w:val="outset" w:color="auto" w:sz="6" w:space="0"/>
            </w:tcBorders>
            <w:noWrap w:val="0"/>
            <w:vAlign w:val="center"/>
          </w:tcPr>
          <w:p w14:paraId="413B4528">
            <w:pPr>
              <w:spacing w:line="360" w:lineRule="auto"/>
              <w:rPr>
                <w:rFonts w:hint="eastAsia" w:ascii="仿宋_GB2312" w:hAnsi="仿宋_GB2312" w:eastAsia="仿宋_GB2312" w:cs="仿宋_GB2312"/>
                <w:szCs w:val="21"/>
                <w:lang w:eastAsia="zh-CN"/>
              </w:rPr>
            </w:pPr>
          </w:p>
        </w:tc>
        <w:tc>
          <w:tcPr>
            <w:tcW w:w="1707" w:type="dxa"/>
            <w:vMerge w:val="continue"/>
            <w:tcBorders>
              <w:top w:val="outset" w:color="auto" w:sz="6" w:space="0"/>
              <w:left w:val="outset" w:color="auto" w:sz="6" w:space="0"/>
              <w:bottom w:val="outset" w:color="auto" w:sz="6" w:space="0"/>
              <w:right w:val="outset" w:color="auto" w:sz="6" w:space="0"/>
            </w:tcBorders>
            <w:noWrap w:val="0"/>
            <w:vAlign w:val="center"/>
          </w:tcPr>
          <w:p w14:paraId="2714D068">
            <w:pPr>
              <w:spacing w:line="360" w:lineRule="auto"/>
              <w:rPr>
                <w:rFonts w:hint="eastAsia" w:ascii="仿宋_GB2312" w:hAnsi="仿宋_GB2312" w:eastAsia="仿宋_GB2312" w:cs="仿宋_GB2312"/>
                <w:szCs w:val="21"/>
                <w:lang w:eastAsia="zh-CN"/>
              </w:rPr>
            </w:pPr>
          </w:p>
        </w:tc>
        <w:tc>
          <w:tcPr>
            <w:tcW w:w="5295" w:type="dxa"/>
            <w:tcBorders>
              <w:top w:val="outset" w:color="auto" w:sz="6" w:space="0"/>
              <w:left w:val="outset" w:color="auto" w:sz="6" w:space="0"/>
              <w:bottom w:val="single" w:color="auto" w:sz="4" w:space="0"/>
              <w:right w:val="outset" w:color="auto" w:sz="6" w:space="0"/>
            </w:tcBorders>
            <w:noWrap w:val="0"/>
            <w:vAlign w:val="center"/>
          </w:tcPr>
          <w:p w14:paraId="38D2C0FC">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定期消毒，无害虫滋生源</w:t>
            </w:r>
          </w:p>
        </w:tc>
        <w:tc>
          <w:tcPr>
            <w:tcW w:w="567" w:type="dxa"/>
            <w:tcBorders>
              <w:top w:val="single" w:color="auto" w:sz="4" w:space="0"/>
              <w:left w:val="outset" w:color="auto" w:sz="6" w:space="0"/>
              <w:bottom w:val="single" w:color="auto" w:sz="4" w:space="0"/>
              <w:right w:val="outset" w:color="auto" w:sz="6" w:space="0"/>
            </w:tcBorders>
            <w:noWrap w:val="0"/>
            <w:vAlign w:val="center"/>
          </w:tcPr>
          <w:p w14:paraId="15C86A40">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567" w:type="dxa"/>
            <w:tcBorders>
              <w:top w:val="outset" w:color="auto" w:sz="6" w:space="0"/>
              <w:left w:val="outset" w:color="auto" w:sz="6" w:space="0"/>
              <w:bottom w:val="outset" w:color="auto" w:sz="6" w:space="0"/>
              <w:right w:val="outset" w:color="auto" w:sz="6" w:space="0"/>
            </w:tcBorders>
            <w:noWrap w:val="0"/>
            <w:vAlign w:val="center"/>
          </w:tcPr>
          <w:p w14:paraId="5431ED8F">
            <w:pPr>
              <w:spacing w:line="360" w:lineRule="auto"/>
              <w:rPr>
                <w:rFonts w:hint="eastAsia" w:ascii="仿宋_GB2312" w:hAnsi="仿宋_GB2312" w:eastAsia="仿宋_GB2312" w:cs="仿宋_GB2312"/>
                <w:szCs w:val="21"/>
                <w:lang w:eastAsia="zh-CN"/>
              </w:rPr>
            </w:pPr>
          </w:p>
        </w:tc>
      </w:tr>
      <w:tr w14:paraId="6B80FA4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661" w:type="dxa"/>
            <w:vMerge w:val="restart"/>
            <w:tcBorders>
              <w:top w:val="outset" w:color="auto" w:sz="6" w:space="0"/>
              <w:left w:val="outset" w:color="auto" w:sz="6" w:space="0"/>
              <w:bottom w:val="outset" w:color="auto" w:sz="6" w:space="0"/>
              <w:right w:val="outset" w:color="auto" w:sz="6" w:space="0"/>
            </w:tcBorders>
            <w:noWrap w:val="0"/>
            <w:vAlign w:val="center"/>
          </w:tcPr>
          <w:p w14:paraId="382AF7D4">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四</w:t>
            </w:r>
          </w:p>
        </w:tc>
        <w:tc>
          <w:tcPr>
            <w:tcW w:w="1707" w:type="dxa"/>
            <w:vMerge w:val="restart"/>
            <w:tcBorders>
              <w:top w:val="outset" w:color="auto" w:sz="6" w:space="0"/>
              <w:left w:val="outset" w:color="auto" w:sz="6" w:space="0"/>
              <w:bottom w:val="outset" w:color="auto" w:sz="6" w:space="0"/>
              <w:right w:val="outset" w:color="auto" w:sz="6" w:space="0"/>
            </w:tcBorders>
            <w:noWrap w:val="0"/>
            <w:vAlign w:val="center"/>
          </w:tcPr>
          <w:p w14:paraId="1C35DBE1">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设施的维护</w:t>
            </w:r>
          </w:p>
          <w:p w14:paraId="4EE29A6F">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（15分）</w:t>
            </w:r>
          </w:p>
        </w:tc>
        <w:tc>
          <w:tcPr>
            <w:tcW w:w="5295" w:type="dxa"/>
            <w:tcBorders>
              <w:top w:val="outset" w:color="auto" w:sz="6" w:space="0"/>
              <w:left w:val="outset" w:color="auto" w:sz="6" w:space="0"/>
              <w:bottom w:val="single" w:color="auto" w:sz="4" w:space="0"/>
              <w:right w:val="outset" w:color="auto" w:sz="6" w:space="0"/>
            </w:tcBorders>
            <w:noWrap w:val="0"/>
            <w:vAlign w:val="center"/>
          </w:tcPr>
          <w:p w14:paraId="4109772B">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维修和管理制度健全，有报修档案</w:t>
            </w:r>
          </w:p>
        </w:tc>
        <w:tc>
          <w:tcPr>
            <w:tcW w:w="567" w:type="dxa"/>
            <w:tcBorders>
              <w:top w:val="outset" w:color="auto" w:sz="6" w:space="0"/>
              <w:left w:val="outset" w:color="auto" w:sz="6" w:space="0"/>
              <w:bottom w:val="outset" w:color="auto" w:sz="6" w:space="0"/>
              <w:right w:val="outset" w:color="auto" w:sz="6" w:space="0"/>
            </w:tcBorders>
            <w:noWrap w:val="0"/>
            <w:vAlign w:val="center"/>
          </w:tcPr>
          <w:p w14:paraId="4CA07C28">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3</w:t>
            </w:r>
          </w:p>
        </w:tc>
        <w:tc>
          <w:tcPr>
            <w:tcW w:w="567" w:type="dxa"/>
            <w:tcBorders>
              <w:top w:val="outset" w:color="auto" w:sz="6" w:space="0"/>
              <w:left w:val="outset" w:color="auto" w:sz="6" w:space="0"/>
              <w:bottom w:val="outset" w:color="auto" w:sz="6" w:space="0"/>
              <w:right w:val="outset" w:color="auto" w:sz="6" w:space="0"/>
            </w:tcBorders>
            <w:noWrap w:val="0"/>
            <w:vAlign w:val="center"/>
          </w:tcPr>
          <w:p w14:paraId="3C04A992">
            <w:pPr>
              <w:spacing w:line="360" w:lineRule="auto"/>
              <w:rPr>
                <w:rFonts w:hint="eastAsia" w:ascii="仿宋_GB2312" w:hAnsi="仿宋_GB2312" w:eastAsia="仿宋_GB2312" w:cs="仿宋_GB2312"/>
                <w:szCs w:val="21"/>
                <w:lang w:eastAsia="zh-CN"/>
              </w:rPr>
            </w:pPr>
          </w:p>
        </w:tc>
      </w:tr>
      <w:tr w14:paraId="3C35021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661" w:type="dxa"/>
            <w:vMerge w:val="continue"/>
            <w:tcBorders>
              <w:top w:val="outset" w:color="auto" w:sz="6" w:space="0"/>
              <w:left w:val="outset" w:color="auto" w:sz="6" w:space="0"/>
              <w:bottom w:val="outset" w:color="auto" w:sz="6" w:space="0"/>
              <w:right w:val="outset" w:color="auto" w:sz="6" w:space="0"/>
            </w:tcBorders>
            <w:noWrap w:val="0"/>
            <w:vAlign w:val="center"/>
          </w:tcPr>
          <w:p w14:paraId="074B7097">
            <w:pPr>
              <w:spacing w:line="360" w:lineRule="auto"/>
              <w:rPr>
                <w:rFonts w:hint="eastAsia" w:ascii="仿宋_GB2312" w:hAnsi="仿宋_GB2312" w:eastAsia="仿宋_GB2312" w:cs="仿宋_GB2312"/>
                <w:szCs w:val="21"/>
                <w:lang w:eastAsia="zh-CN"/>
              </w:rPr>
            </w:pPr>
          </w:p>
        </w:tc>
        <w:tc>
          <w:tcPr>
            <w:tcW w:w="1707" w:type="dxa"/>
            <w:vMerge w:val="continue"/>
            <w:tcBorders>
              <w:top w:val="outset" w:color="auto" w:sz="6" w:space="0"/>
              <w:left w:val="outset" w:color="auto" w:sz="6" w:space="0"/>
              <w:bottom w:val="outset" w:color="auto" w:sz="6" w:space="0"/>
              <w:right w:val="outset" w:color="auto" w:sz="6" w:space="0"/>
            </w:tcBorders>
            <w:noWrap w:val="0"/>
            <w:vAlign w:val="center"/>
          </w:tcPr>
          <w:p w14:paraId="34566592">
            <w:pPr>
              <w:spacing w:line="360" w:lineRule="auto"/>
              <w:rPr>
                <w:rFonts w:hint="eastAsia" w:ascii="仿宋_GB2312" w:hAnsi="仿宋_GB2312" w:eastAsia="仿宋_GB2312" w:cs="仿宋_GB2312"/>
                <w:szCs w:val="21"/>
                <w:lang w:eastAsia="zh-CN"/>
              </w:rPr>
            </w:pPr>
          </w:p>
        </w:tc>
        <w:tc>
          <w:tcPr>
            <w:tcW w:w="5295" w:type="dxa"/>
            <w:tcBorders>
              <w:top w:val="outset" w:color="auto" w:sz="6" w:space="0"/>
              <w:left w:val="outset" w:color="auto" w:sz="6" w:space="0"/>
              <w:bottom w:val="outset" w:color="auto" w:sz="6" w:space="0"/>
              <w:right w:val="outset" w:color="auto" w:sz="6" w:space="0"/>
            </w:tcBorders>
            <w:noWrap w:val="0"/>
            <w:vAlign w:val="center"/>
          </w:tcPr>
          <w:p w14:paraId="5786BDC3">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零星维修及时完成，重大维修及时发现、报告、查处</w:t>
            </w:r>
          </w:p>
        </w:tc>
        <w:tc>
          <w:tcPr>
            <w:tcW w:w="567" w:type="dxa"/>
            <w:tcBorders>
              <w:top w:val="single" w:color="auto" w:sz="4" w:space="0"/>
              <w:left w:val="outset" w:color="auto" w:sz="6" w:space="0"/>
              <w:bottom w:val="single" w:color="auto" w:sz="4" w:space="0"/>
              <w:right w:val="outset" w:color="auto" w:sz="6" w:space="0"/>
            </w:tcBorders>
            <w:noWrap w:val="0"/>
            <w:vAlign w:val="center"/>
          </w:tcPr>
          <w:p w14:paraId="3A07687A">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3</w:t>
            </w:r>
          </w:p>
        </w:tc>
        <w:tc>
          <w:tcPr>
            <w:tcW w:w="567" w:type="dxa"/>
            <w:tcBorders>
              <w:top w:val="outset" w:color="auto" w:sz="6" w:space="0"/>
              <w:left w:val="outset" w:color="auto" w:sz="6" w:space="0"/>
              <w:bottom w:val="outset" w:color="auto" w:sz="6" w:space="0"/>
              <w:right w:val="outset" w:color="auto" w:sz="6" w:space="0"/>
            </w:tcBorders>
            <w:noWrap w:val="0"/>
            <w:vAlign w:val="center"/>
          </w:tcPr>
          <w:p w14:paraId="0CD50BFB">
            <w:pPr>
              <w:spacing w:line="360" w:lineRule="auto"/>
              <w:rPr>
                <w:rFonts w:hint="eastAsia" w:ascii="仿宋_GB2312" w:hAnsi="仿宋_GB2312" w:eastAsia="仿宋_GB2312" w:cs="仿宋_GB2312"/>
                <w:szCs w:val="21"/>
                <w:lang w:eastAsia="zh-CN"/>
              </w:rPr>
            </w:pPr>
          </w:p>
        </w:tc>
      </w:tr>
      <w:tr w14:paraId="725C0D5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661" w:type="dxa"/>
            <w:vMerge w:val="continue"/>
            <w:tcBorders>
              <w:top w:val="outset" w:color="auto" w:sz="6" w:space="0"/>
              <w:left w:val="outset" w:color="auto" w:sz="6" w:space="0"/>
              <w:bottom w:val="outset" w:color="auto" w:sz="6" w:space="0"/>
              <w:right w:val="outset" w:color="auto" w:sz="6" w:space="0"/>
            </w:tcBorders>
            <w:noWrap w:val="0"/>
            <w:vAlign w:val="center"/>
          </w:tcPr>
          <w:p w14:paraId="2A2ED310">
            <w:pPr>
              <w:spacing w:line="360" w:lineRule="auto"/>
              <w:rPr>
                <w:rFonts w:hint="eastAsia" w:ascii="仿宋_GB2312" w:hAnsi="仿宋_GB2312" w:eastAsia="仿宋_GB2312" w:cs="仿宋_GB2312"/>
                <w:szCs w:val="21"/>
                <w:lang w:eastAsia="zh-CN"/>
              </w:rPr>
            </w:pPr>
          </w:p>
        </w:tc>
        <w:tc>
          <w:tcPr>
            <w:tcW w:w="1707" w:type="dxa"/>
            <w:vMerge w:val="continue"/>
            <w:tcBorders>
              <w:top w:val="outset" w:color="auto" w:sz="6" w:space="0"/>
              <w:left w:val="outset" w:color="auto" w:sz="6" w:space="0"/>
              <w:bottom w:val="outset" w:color="auto" w:sz="6" w:space="0"/>
              <w:right w:val="outset" w:color="auto" w:sz="6" w:space="0"/>
            </w:tcBorders>
            <w:noWrap w:val="0"/>
            <w:vAlign w:val="center"/>
          </w:tcPr>
          <w:p w14:paraId="7CCB01C0">
            <w:pPr>
              <w:spacing w:line="360" w:lineRule="auto"/>
              <w:rPr>
                <w:rFonts w:hint="eastAsia" w:ascii="仿宋_GB2312" w:hAnsi="仿宋_GB2312" w:eastAsia="仿宋_GB2312" w:cs="仿宋_GB2312"/>
                <w:szCs w:val="21"/>
                <w:lang w:eastAsia="zh-CN"/>
              </w:rPr>
            </w:pPr>
          </w:p>
        </w:tc>
        <w:tc>
          <w:tcPr>
            <w:tcW w:w="5295" w:type="dxa"/>
            <w:tcBorders>
              <w:top w:val="outset" w:color="auto" w:sz="6" w:space="0"/>
              <w:left w:val="outset" w:color="auto" w:sz="6" w:space="0"/>
              <w:bottom w:val="outset" w:color="auto" w:sz="6" w:space="0"/>
              <w:right w:val="outset" w:color="auto" w:sz="6" w:space="0"/>
            </w:tcBorders>
            <w:noWrap w:val="0"/>
            <w:vAlign w:val="center"/>
          </w:tcPr>
          <w:p w14:paraId="10B73DD5">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多媒体等教学设施的维护</w:t>
            </w:r>
          </w:p>
        </w:tc>
        <w:tc>
          <w:tcPr>
            <w:tcW w:w="567" w:type="dxa"/>
            <w:tcBorders>
              <w:top w:val="single" w:color="auto" w:sz="4" w:space="0"/>
              <w:left w:val="outset" w:color="auto" w:sz="6" w:space="0"/>
              <w:bottom w:val="single" w:color="auto" w:sz="4" w:space="0"/>
              <w:right w:val="outset" w:color="auto" w:sz="6" w:space="0"/>
            </w:tcBorders>
            <w:noWrap w:val="0"/>
            <w:vAlign w:val="center"/>
          </w:tcPr>
          <w:p w14:paraId="56B11F99">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3</w:t>
            </w:r>
          </w:p>
        </w:tc>
        <w:tc>
          <w:tcPr>
            <w:tcW w:w="567" w:type="dxa"/>
            <w:tcBorders>
              <w:top w:val="outset" w:color="auto" w:sz="6" w:space="0"/>
              <w:left w:val="outset" w:color="auto" w:sz="6" w:space="0"/>
              <w:bottom w:val="outset" w:color="auto" w:sz="6" w:space="0"/>
              <w:right w:val="outset" w:color="auto" w:sz="6" w:space="0"/>
            </w:tcBorders>
            <w:noWrap w:val="0"/>
            <w:vAlign w:val="center"/>
          </w:tcPr>
          <w:p w14:paraId="05FB1AB7">
            <w:pPr>
              <w:spacing w:line="360" w:lineRule="auto"/>
              <w:rPr>
                <w:rFonts w:hint="eastAsia" w:ascii="仿宋_GB2312" w:hAnsi="仿宋_GB2312" w:eastAsia="仿宋_GB2312" w:cs="仿宋_GB2312"/>
                <w:szCs w:val="21"/>
                <w:lang w:eastAsia="zh-CN"/>
              </w:rPr>
            </w:pPr>
          </w:p>
        </w:tc>
      </w:tr>
      <w:tr w14:paraId="2BDDD63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661" w:type="dxa"/>
            <w:vMerge w:val="continue"/>
            <w:tcBorders>
              <w:top w:val="outset" w:color="auto" w:sz="6" w:space="0"/>
              <w:left w:val="outset" w:color="auto" w:sz="6" w:space="0"/>
              <w:bottom w:val="outset" w:color="auto" w:sz="6" w:space="0"/>
              <w:right w:val="outset" w:color="auto" w:sz="6" w:space="0"/>
            </w:tcBorders>
            <w:noWrap w:val="0"/>
            <w:vAlign w:val="center"/>
          </w:tcPr>
          <w:p w14:paraId="550B264F">
            <w:pPr>
              <w:spacing w:line="360" w:lineRule="auto"/>
              <w:rPr>
                <w:rFonts w:hint="eastAsia" w:ascii="仿宋_GB2312" w:hAnsi="仿宋_GB2312" w:eastAsia="仿宋_GB2312" w:cs="仿宋_GB2312"/>
                <w:szCs w:val="21"/>
                <w:lang w:eastAsia="zh-CN"/>
              </w:rPr>
            </w:pPr>
          </w:p>
        </w:tc>
        <w:tc>
          <w:tcPr>
            <w:tcW w:w="1707" w:type="dxa"/>
            <w:vMerge w:val="continue"/>
            <w:tcBorders>
              <w:top w:val="outset" w:color="auto" w:sz="6" w:space="0"/>
              <w:left w:val="outset" w:color="auto" w:sz="6" w:space="0"/>
              <w:bottom w:val="outset" w:color="auto" w:sz="6" w:space="0"/>
              <w:right w:val="outset" w:color="auto" w:sz="6" w:space="0"/>
            </w:tcBorders>
            <w:noWrap w:val="0"/>
            <w:vAlign w:val="center"/>
          </w:tcPr>
          <w:p w14:paraId="5E7E0B26">
            <w:pPr>
              <w:spacing w:line="360" w:lineRule="auto"/>
              <w:rPr>
                <w:rFonts w:hint="eastAsia" w:ascii="仿宋_GB2312" w:hAnsi="仿宋_GB2312" w:eastAsia="仿宋_GB2312" w:cs="仿宋_GB2312"/>
                <w:szCs w:val="21"/>
                <w:lang w:eastAsia="zh-CN"/>
              </w:rPr>
            </w:pPr>
          </w:p>
        </w:tc>
        <w:tc>
          <w:tcPr>
            <w:tcW w:w="5295" w:type="dxa"/>
            <w:tcBorders>
              <w:top w:val="outset" w:color="auto" w:sz="6" w:space="0"/>
              <w:left w:val="outset" w:color="auto" w:sz="6" w:space="0"/>
              <w:bottom w:val="outset" w:color="auto" w:sz="6" w:space="0"/>
              <w:right w:val="outset" w:color="auto" w:sz="6" w:space="0"/>
            </w:tcBorders>
            <w:noWrap w:val="0"/>
            <w:vAlign w:val="center"/>
          </w:tcPr>
          <w:p w14:paraId="6C113D58">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楼宇内的公共财物齐全、无人为损坏</w:t>
            </w:r>
          </w:p>
        </w:tc>
        <w:tc>
          <w:tcPr>
            <w:tcW w:w="567" w:type="dxa"/>
            <w:tcBorders>
              <w:top w:val="single" w:color="auto" w:sz="4" w:space="0"/>
              <w:left w:val="outset" w:color="auto" w:sz="6" w:space="0"/>
              <w:bottom w:val="single" w:color="auto" w:sz="4" w:space="0"/>
              <w:right w:val="outset" w:color="auto" w:sz="6" w:space="0"/>
            </w:tcBorders>
            <w:noWrap w:val="0"/>
            <w:vAlign w:val="center"/>
          </w:tcPr>
          <w:p w14:paraId="73E83F98">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3</w:t>
            </w:r>
          </w:p>
        </w:tc>
        <w:tc>
          <w:tcPr>
            <w:tcW w:w="567" w:type="dxa"/>
            <w:tcBorders>
              <w:top w:val="outset" w:color="auto" w:sz="6" w:space="0"/>
              <w:left w:val="outset" w:color="auto" w:sz="6" w:space="0"/>
              <w:bottom w:val="outset" w:color="auto" w:sz="6" w:space="0"/>
              <w:right w:val="outset" w:color="auto" w:sz="6" w:space="0"/>
            </w:tcBorders>
            <w:noWrap w:val="0"/>
            <w:vAlign w:val="center"/>
          </w:tcPr>
          <w:p w14:paraId="056B2DB7">
            <w:pPr>
              <w:spacing w:line="360" w:lineRule="auto"/>
              <w:rPr>
                <w:rFonts w:hint="eastAsia" w:ascii="仿宋_GB2312" w:hAnsi="仿宋_GB2312" w:eastAsia="仿宋_GB2312" w:cs="仿宋_GB2312"/>
                <w:szCs w:val="21"/>
                <w:lang w:eastAsia="zh-CN"/>
              </w:rPr>
            </w:pPr>
          </w:p>
        </w:tc>
      </w:tr>
      <w:tr w14:paraId="0331FA3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661" w:type="dxa"/>
            <w:vMerge w:val="continue"/>
            <w:tcBorders>
              <w:top w:val="outset" w:color="auto" w:sz="6" w:space="0"/>
              <w:left w:val="outset" w:color="auto" w:sz="6" w:space="0"/>
              <w:bottom w:val="outset" w:color="auto" w:sz="6" w:space="0"/>
              <w:right w:val="outset" w:color="auto" w:sz="6" w:space="0"/>
            </w:tcBorders>
            <w:noWrap w:val="0"/>
            <w:vAlign w:val="center"/>
          </w:tcPr>
          <w:p w14:paraId="70720489">
            <w:pPr>
              <w:spacing w:line="360" w:lineRule="auto"/>
              <w:rPr>
                <w:rFonts w:hint="eastAsia" w:ascii="仿宋_GB2312" w:hAnsi="仿宋_GB2312" w:eastAsia="仿宋_GB2312" w:cs="仿宋_GB2312"/>
                <w:szCs w:val="21"/>
                <w:lang w:eastAsia="zh-CN"/>
              </w:rPr>
            </w:pPr>
          </w:p>
        </w:tc>
        <w:tc>
          <w:tcPr>
            <w:tcW w:w="1707" w:type="dxa"/>
            <w:vMerge w:val="continue"/>
            <w:tcBorders>
              <w:top w:val="outset" w:color="auto" w:sz="6" w:space="0"/>
              <w:left w:val="outset" w:color="auto" w:sz="6" w:space="0"/>
              <w:bottom w:val="outset" w:color="auto" w:sz="6" w:space="0"/>
              <w:right w:val="outset" w:color="auto" w:sz="6" w:space="0"/>
            </w:tcBorders>
            <w:noWrap w:val="0"/>
            <w:vAlign w:val="center"/>
          </w:tcPr>
          <w:p w14:paraId="0EB47E41">
            <w:pPr>
              <w:spacing w:line="360" w:lineRule="auto"/>
              <w:rPr>
                <w:rFonts w:hint="eastAsia" w:ascii="仿宋_GB2312" w:hAnsi="仿宋_GB2312" w:eastAsia="仿宋_GB2312" w:cs="仿宋_GB2312"/>
                <w:szCs w:val="21"/>
                <w:lang w:eastAsia="zh-CN"/>
              </w:rPr>
            </w:pPr>
          </w:p>
        </w:tc>
        <w:tc>
          <w:tcPr>
            <w:tcW w:w="5295" w:type="dxa"/>
            <w:tcBorders>
              <w:top w:val="outset" w:color="auto" w:sz="6" w:space="0"/>
              <w:left w:val="outset" w:color="auto" w:sz="6" w:space="0"/>
              <w:bottom w:val="outset" w:color="auto" w:sz="6" w:space="0"/>
              <w:right w:val="outset" w:color="auto" w:sz="6" w:space="0"/>
            </w:tcBorders>
            <w:noWrap w:val="0"/>
            <w:vAlign w:val="center"/>
          </w:tcPr>
          <w:p w14:paraId="73363103">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教学、水电、电梯设施和消防器材定期检查、保养</w:t>
            </w:r>
          </w:p>
        </w:tc>
        <w:tc>
          <w:tcPr>
            <w:tcW w:w="567" w:type="dxa"/>
            <w:tcBorders>
              <w:top w:val="single" w:color="auto" w:sz="4" w:space="0"/>
              <w:left w:val="outset" w:color="auto" w:sz="6" w:space="0"/>
              <w:bottom w:val="outset" w:color="auto" w:sz="6" w:space="0"/>
              <w:right w:val="outset" w:color="auto" w:sz="6" w:space="0"/>
            </w:tcBorders>
            <w:noWrap w:val="0"/>
            <w:vAlign w:val="center"/>
          </w:tcPr>
          <w:p w14:paraId="3DDF1E73">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3</w:t>
            </w:r>
          </w:p>
        </w:tc>
        <w:tc>
          <w:tcPr>
            <w:tcW w:w="567" w:type="dxa"/>
            <w:tcBorders>
              <w:top w:val="outset" w:color="auto" w:sz="6" w:space="0"/>
              <w:left w:val="outset" w:color="auto" w:sz="6" w:space="0"/>
              <w:bottom w:val="outset" w:color="auto" w:sz="6" w:space="0"/>
              <w:right w:val="outset" w:color="auto" w:sz="6" w:space="0"/>
            </w:tcBorders>
            <w:noWrap w:val="0"/>
            <w:vAlign w:val="center"/>
          </w:tcPr>
          <w:p w14:paraId="11361C50">
            <w:pPr>
              <w:spacing w:line="360" w:lineRule="auto"/>
              <w:rPr>
                <w:rFonts w:hint="eastAsia" w:ascii="仿宋_GB2312" w:hAnsi="仿宋_GB2312" w:eastAsia="仿宋_GB2312" w:cs="仿宋_GB2312"/>
                <w:szCs w:val="21"/>
                <w:lang w:eastAsia="zh-CN"/>
              </w:rPr>
            </w:pPr>
          </w:p>
        </w:tc>
      </w:tr>
      <w:tr w14:paraId="36A6C7E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661" w:type="dxa"/>
            <w:vMerge w:val="restart"/>
            <w:tcBorders>
              <w:top w:val="outset" w:color="auto" w:sz="6" w:space="0"/>
              <w:left w:val="outset" w:color="auto" w:sz="6" w:space="0"/>
              <w:bottom w:val="outset" w:color="auto" w:sz="6" w:space="0"/>
              <w:right w:val="outset" w:color="auto" w:sz="6" w:space="0"/>
            </w:tcBorders>
            <w:noWrap w:val="0"/>
            <w:vAlign w:val="center"/>
          </w:tcPr>
          <w:p w14:paraId="093247C2">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五</w:t>
            </w:r>
          </w:p>
        </w:tc>
        <w:tc>
          <w:tcPr>
            <w:tcW w:w="1707" w:type="dxa"/>
            <w:vMerge w:val="restart"/>
            <w:tcBorders>
              <w:top w:val="outset" w:color="auto" w:sz="6" w:space="0"/>
              <w:left w:val="outset" w:color="auto" w:sz="6" w:space="0"/>
              <w:bottom w:val="outset" w:color="auto" w:sz="6" w:space="0"/>
              <w:right w:val="outset" w:color="auto" w:sz="6" w:space="0"/>
            </w:tcBorders>
            <w:noWrap w:val="0"/>
            <w:vAlign w:val="center"/>
          </w:tcPr>
          <w:p w14:paraId="2A3DE59C">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餐饮服务</w:t>
            </w:r>
          </w:p>
          <w:p w14:paraId="2E908851">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（10分）</w:t>
            </w:r>
          </w:p>
        </w:tc>
        <w:tc>
          <w:tcPr>
            <w:tcW w:w="5295" w:type="dxa"/>
            <w:tcBorders>
              <w:top w:val="outset" w:color="auto" w:sz="6" w:space="0"/>
              <w:left w:val="outset" w:color="auto" w:sz="6" w:space="0"/>
              <w:bottom w:val="single" w:color="auto" w:sz="0" w:space="0"/>
              <w:right w:val="outset" w:color="auto" w:sz="6" w:space="0"/>
            </w:tcBorders>
            <w:noWrap w:val="0"/>
            <w:vAlign w:val="center"/>
          </w:tcPr>
          <w:p w14:paraId="2B8C26ED">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食堂干净卫生整洁</w:t>
            </w:r>
          </w:p>
        </w:tc>
        <w:tc>
          <w:tcPr>
            <w:tcW w:w="567" w:type="dxa"/>
            <w:tcBorders>
              <w:top w:val="outset" w:color="auto" w:sz="6" w:space="0"/>
              <w:left w:val="outset" w:color="auto" w:sz="6" w:space="0"/>
              <w:bottom w:val="single" w:color="auto" w:sz="4" w:space="0"/>
              <w:right w:val="outset" w:color="auto" w:sz="6" w:space="0"/>
            </w:tcBorders>
            <w:noWrap w:val="0"/>
            <w:vAlign w:val="center"/>
          </w:tcPr>
          <w:p w14:paraId="6A33D027">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3</w:t>
            </w:r>
          </w:p>
        </w:tc>
        <w:tc>
          <w:tcPr>
            <w:tcW w:w="567" w:type="dxa"/>
            <w:tcBorders>
              <w:top w:val="outset" w:color="auto" w:sz="6" w:space="0"/>
              <w:left w:val="outset" w:color="auto" w:sz="6" w:space="0"/>
              <w:bottom w:val="outset" w:color="auto" w:sz="6" w:space="0"/>
              <w:right w:val="outset" w:color="auto" w:sz="6" w:space="0"/>
            </w:tcBorders>
            <w:noWrap w:val="0"/>
            <w:vAlign w:val="center"/>
          </w:tcPr>
          <w:p w14:paraId="45295984">
            <w:pPr>
              <w:spacing w:line="360" w:lineRule="auto"/>
              <w:rPr>
                <w:rFonts w:hint="eastAsia" w:ascii="仿宋_GB2312" w:hAnsi="仿宋_GB2312" w:eastAsia="仿宋_GB2312" w:cs="仿宋_GB2312"/>
                <w:szCs w:val="21"/>
                <w:lang w:eastAsia="zh-CN"/>
              </w:rPr>
            </w:pPr>
          </w:p>
        </w:tc>
      </w:tr>
      <w:tr w14:paraId="4368E53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661" w:type="dxa"/>
            <w:vMerge w:val="continue"/>
            <w:tcBorders>
              <w:top w:val="outset" w:color="auto" w:sz="6" w:space="0"/>
              <w:left w:val="outset" w:color="auto" w:sz="6" w:space="0"/>
              <w:bottom w:val="outset" w:color="auto" w:sz="6" w:space="0"/>
              <w:right w:val="outset" w:color="auto" w:sz="6" w:space="0"/>
            </w:tcBorders>
            <w:noWrap w:val="0"/>
            <w:vAlign w:val="center"/>
          </w:tcPr>
          <w:p w14:paraId="0DEFDFF1">
            <w:pPr>
              <w:spacing w:line="360" w:lineRule="auto"/>
              <w:rPr>
                <w:rFonts w:hint="eastAsia" w:ascii="仿宋_GB2312" w:hAnsi="仿宋_GB2312" w:eastAsia="仿宋_GB2312" w:cs="仿宋_GB2312"/>
                <w:szCs w:val="21"/>
                <w:lang w:eastAsia="zh-CN"/>
              </w:rPr>
            </w:pPr>
          </w:p>
        </w:tc>
        <w:tc>
          <w:tcPr>
            <w:tcW w:w="1707" w:type="dxa"/>
            <w:vMerge w:val="continue"/>
            <w:tcBorders>
              <w:top w:val="outset" w:color="auto" w:sz="6" w:space="0"/>
              <w:left w:val="outset" w:color="auto" w:sz="6" w:space="0"/>
              <w:bottom w:val="outset" w:color="auto" w:sz="6" w:space="0"/>
              <w:right w:val="outset" w:color="auto" w:sz="6" w:space="0"/>
            </w:tcBorders>
            <w:noWrap w:val="0"/>
            <w:vAlign w:val="center"/>
          </w:tcPr>
          <w:p w14:paraId="58064C97">
            <w:pPr>
              <w:spacing w:line="360" w:lineRule="auto"/>
              <w:rPr>
                <w:rFonts w:hint="eastAsia" w:ascii="仿宋_GB2312" w:hAnsi="仿宋_GB2312" w:eastAsia="仿宋_GB2312" w:cs="仿宋_GB2312"/>
                <w:szCs w:val="21"/>
                <w:lang w:eastAsia="zh-CN"/>
              </w:rPr>
            </w:pPr>
          </w:p>
        </w:tc>
        <w:tc>
          <w:tcPr>
            <w:tcW w:w="5295" w:type="dxa"/>
            <w:tcBorders>
              <w:top w:val="outset" w:color="auto" w:sz="6" w:space="0"/>
              <w:left w:val="outset" w:color="auto" w:sz="6" w:space="0"/>
              <w:bottom w:val="single" w:color="auto" w:sz="0" w:space="0"/>
              <w:right w:val="outset" w:color="auto" w:sz="6" w:space="0"/>
            </w:tcBorders>
            <w:noWrap w:val="0"/>
            <w:vAlign w:val="center"/>
          </w:tcPr>
          <w:p w14:paraId="53093329">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有无过期变质食品</w:t>
            </w:r>
          </w:p>
        </w:tc>
        <w:tc>
          <w:tcPr>
            <w:tcW w:w="567" w:type="dxa"/>
            <w:tcBorders>
              <w:top w:val="single" w:color="auto" w:sz="4" w:space="0"/>
              <w:left w:val="outset" w:color="auto" w:sz="6" w:space="0"/>
              <w:bottom w:val="single" w:color="auto" w:sz="4" w:space="0"/>
              <w:right w:val="outset" w:color="auto" w:sz="6" w:space="0"/>
            </w:tcBorders>
            <w:noWrap w:val="0"/>
            <w:vAlign w:val="center"/>
          </w:tcPr>
          <w:p w14:paraId="6F4F6935">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3</w:t>
            </w:r>
          </w:p>
        </w:tc>
        <w:tc>
          <w:tcPr>
            <w:tcW w:w="567" w:type="dxa"/>
            <w:tcBorders>
              <w:top w:val="outset" w:color="auto" w:sz="6" w:space="0"/>
              <w:left w:val="outset" w:color="auto" w:sz="6" w:space="0"/>
              <w:bottom w:val="outset" w:color="auto" w:sz="6" w:space="0"/>
              <w:right w:val="outset" w:color="auto" w:sz="6" w:space="0"/>
            </w:tcBorders>
            <w:noWrap w:val="0"/>
            <w:vAlign w:val="center"/>
          </w:tcPr>
          <w:p w14:paraId="3CFBB922">
            <w:pPr>
              <w:spacing w:line="360" w:lineRule="auto"/>
              <w:rPr>
                <w:rFonts w:hint="eastAsia" w:ascii="仿宋_GB2312" w:hAnsi="仿宋_GB2312" w:eastAsia="仿宋_GB2312" w:cs="仿宋_GB2312"/>
                <w:szCs w:val="21"/>
                <w:lang w:eastAsia="zh-CN"/>
              </w:rPr>
            </w:pPr>
          </w:p>
        </w:tc>
      </w:tr>
      <w:tr w14:paraId="5DC1710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661" w:type="dxa"/>
            <w:vMerge w:val="continue"/>
            <w:tcBorders>
              <w:top w:val="outset" w:color="auto" w:sz="6" w:space="0"/>
              <w:left w:val="outset" w:color="auto" w:sz="6" w:space="0"/>
              <w:bottom w:val="outset" w:color="auto" w:sz="6" w:space="0"/>
              <w:right w:val="outset" w:color="auto" w:sz="6" w:space="0"/>
            </w:tcBorders>
            <w:noWrap w:val="0"/>
            <w:vAlign w:val="center"/>
          </w:tcPr>
          <w:p w14:paraId="094A6AED">
            <w:pPr>
              <w:spacing w:line="360" w:lineRule="auto"/>
              <w:rPr>
                <w:rFonts w:hint="eastAsia" w:ascii="仿宋_GB2312" w:hAnsi="仿宋_GB2312" w:eastAsia="仿宋_GB2312" w:cs="仿宋_GB2312"/>
                <w:szCs w:val="21"/>
                <w:lang w:eastAsia="zh-CN"/>
              </w:rPr>
            </w:pPr>
          </w:p>
        </w:tc>
        <w:tc>
          <w:tcPr>
            <w:tcW w:w="1707" w:type="dxa"/>
            <w:vMerge w:val="continue"/>
            <w:tcBorders>
              <w:top w:val="outset" w:color="auto" w:sz="6" w:space="0"/>
              <w:left w:val="outset" w:color="auto" w:sz="6" w:space="0"/>
              <w:bottom w:val="outset" w:color="auto" w:sz="6" w:space="0"/>
              <w:right w:val="outset" w:color="auto" w:sz="6" w:space="0"/>
            </w:tcBorders>
            <w:noWrap w:val="0"/>
            <w:vAlign w:val="center"/>
          </w:tcPr>
          <w:p w14:paraId="2123F324">
            <w:pPr>
              <w:spacing w:line="360" w:lineRule="auto"/>
              <w:rPr>
                <w:rFonts w:hint="eastAsia" w:ascii="仿宋_GB2312" w:hAnsi="仿宋_GB2312" w:eastAsia="仿宋_GB2312" w:cs="仿宋_GB2312"/>
                <w:szCs w:val="21"/>
                <w:lang w:eastAsia="zh-CN"/>
              </w:rPr>
            </w:pPr>
          </w:p>
        </w:tc>
        <w:tc>
          <w:tcPr>
            <w:tcW w:w="5295" w:type="dxa"/>
            <w:tcBorders>
              <w:top w:val="outset" w:color="auto" w:sz="6" w:space="0"/>
              <w:left w:val="outset" w:color="auto" w:sz="6" w:space="0"/>
              <w:bottom w:val="outset" w:color="auto" w:sz="6" w:space="0"/>
              <w:right w:val="outset" w:color="auto" w:sz="6" w:space="0"/>
            </w:tcBorders>
            <w:noWrap w:val="0"/>
            <w:vAlign w:val="center"/>
          </w:tcPr>
          <w:p w14:paraId="0E95AF19">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服务是否按时按量</w:t>
            </w:r>
          </w:p>
        </w:tc>
        <w:tc>
          <w:tcPr>
            <w:tcW w:w="567" w:type="dxa"/>
            <w:tcBorders>
              <w:top w:val="single" w:color="auto" w:sz="4" w:space="0"/>
              <w:left w:val="outset" w:color="auto" w:sz="6" w:space="0"/>
              <w:bottom w:val="outset" w:color="auto" w:sz="6" w:space="0"/>
              <w:right w:val="outset" w:color="auto" w:sz="6" w:space="0"/>
            </w:tcBorders>
            <w:noWrap w:val="0"/>
            <w:vAlign w:val="center"/>
          </w:tcPr>
          <w:p w14:paraId="69E44625">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4</w:t>
            </w:r>
          </w:p>
        </w:tc>
        <w:tc>
          <w:tcPr>
            <w:tcW w:w="567" w:type="dxa"/>
            <w:tcBorders>
              <w:top w:val="outset" w:color="auto" w:sz="6" w:space="0"/>
              <w:left w:val="outset" w:color="auto" w:sz="6" w:space="0"/>
              <w:bottom w:val="outset" w:color="000000" w:sz="6" w:space="0"/>
              <w:right w:val="outset" w:color="auto" w:sz="6" w:space="0"/>
            </w:tcBorders>
            <w:noWrap w:val="0"/>
            <w:vAlign w:val="center"/>
          </w:tcPr>
          <w:p w14:paraId="5474707D">
            <w:pPr>
              <w:spacing w:line="360" w:lineRule="auto"/>
              <w:rPr>
                <w:rFonts w:hint="eastAsia" w:ascii="仿宋_GB2312" w:hAnsi="仿宋_GB2312" w:eastAsia="仿宋_GB2312" w:cs="仿宋_GB2312"/>
                <w:szCs w:val="21"/>
                <w:lang w:eastAsia="zh-CN"/>
              </w:rPr>
            </w:pPr>
          </w:p>
        </w:tc>
      </w:tr>
      <w:tr w14:paraId="2D342F0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661" w:type="dxa"/>
            <w:vMerge w:val="restart"/>
            <w:tcBorders>
              <w:top w:val="outset" w:color="auto" w:sz="6" w:space="0"/>
              <w:left w:val="outset" w:color="auto" w:sz="6" w:space="0"/>
              <w:bottom w:val="outset" w:color="auto" w:sz="6" w:space="0"/>
              <w:right w:val="outset" w:color="auto" w:sz="6" w:space="0"/>
            </w:tcBorders>
            <w:noWrap w:val="0"/>
            <w:vAlign w:val="center"/>
          </w:tcPr>
          <w:p w14:paraId="3715F1C2">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六</w:t>
            </w:r>
          </w:p>
        </w:tc>
        <w:tc>
          <w:tcPr>
            <w:tcW w:w="1707" w:type="dxa"/>
            <w:vMerge w:val="restart"/>
            <w:tcBorders>
              <w:top w:val="outset" w:color="auto" w:sz="6" w:space="0"/>
              <w:left w:val="outset" w:color="auto" w:sz="6" w:space="0"/>
              <w:bottom w:val="outset" w:color="auto" w:sz="6" w:space="0"/>
              <w:right w:val="single" w:color="auto" w:sz="4" w:space="0"/>
            </w:tcBorders>
            <w:noWrap w:val="0"/>
            <w:vAlign w:val="center"/>
          </w:tcPr>
          <w:p w14:paraId="394A9B73">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学生宿舍管理</w:t>
            </w:r>
          </w:p>
          <w:p w14:paraId="44280EB3">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10</w:t>
            </w:r>
            <w:r>
              <w:rPr>
                <w:rFonts w:hint="eastAsia" w:ascii="仿宋_GB2312" w:hAnsi="仿宋_GB2312" w:eastAsia="仿宋_GB2312" w:cs="仿宋_GB2312"/>
                <w:szCs w:val="21"/>
                <w:lang w:eastAsia="zh-CN"/>
              </w:rPr>
              <w:t>分））</w:t>
            </w:r>
          </w:p>
        </w:tc>
        <w:tc>
          <w:tcPr>
            <w:tcW w:w="5295" w:type="dxa"/>
            <w:tcBorders>
              <w:top w:val="outset" w:color="auto" w:sz="6" w:space="0"/>
              <w:left w:val="single" w:color="auto" w:sz="4" w:space="0"/>
              <w:bottom w:val="outset" w:color="auto" w:sz="6" w:space="0"/>
              <w:right w:val="outset" w:color="auto" w:sz="6" w:space="0"/>
            </w:tcBorders>
            <w:noWrap w:val="0"/>
            <w:vAlign w:val="center"/>
          </w:tcPr>
          <w:p w14:paraId="0E1D8CA0">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执行学校学生宿舍管理办法</w:t>
            </w:r>
          </w:p>
        </w:tc>
        <w:tc>
          <w:tcPr>
            <w:tcW w:w="567" w:type="dxa"/>
            <w:tcBorders>
              <w:top w:val="outset" w:color="auto" w:sz="6" w:space="0"/>
              <w:left w:val="outset" w:color="auto" w:sz="6" w:space="0"/>
              <w:bottom w:val="outset" w:color="auto" w:sz="6" w:space="0"/>
              <w:right w:val="outset" w:color="000000" w:sz="6" w:space="0"/>
            </w:tcBorders>
            <w:noWrap w:val="0"/>
            <w:vAlign w:val="center"/>
          </w:tcPr>
          <w:p w14:paraId="381C4DEF">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w:t>
            </w:r>
          </w:p>
        </w:tc>
        <w:tc>
          <w:tcPr>
            <w:tcW w:w="567" w:type="dxa"/>
            <w:tcBorders>
              <w:top w:val="outset" w:color="000000" w:sz="6" w:space="0"/>
              <w:left w:val="outset" w:color="000000" w:sz="6" w:space="0"/>
              <w:bottom w:val="outset" w:color="000000" w:sz="6" w:space="0"/>
              <w:right w:val="outset" w:color="000000" w:sz="6" w:space="0"/>
            </w:tcBorders>
            <w:noWrap w:val="0"/>
            <w:vAlign w:val="center"/>
          </w:tcPr>
          <w:p w14:paraId="69438320">
            <w:pPr>
              <w:spacing w:line="360" w:lineRule="auto"/>
              <w:rPr>
                <w:rFonts w:hint="eastAsia" w:ascii="仿宋_GB2312" w:hAnsi="仿宋_GB2312" w:eastAsia="仿宋_GB2312" w:cs="仿宋_GB2312"/>
                <w:szCs w:val="21"/>
                <w:lang w:eastAsia="zh-CN"/>
              </w:rPr>
            </w:pPr>
          </w:p>
        </w:tc>
      </w:tr>
      <w:tr w14:paraId="5469698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661" w:type="dxa"/>
            <w:vMerge w:val="continue"/>
            <w:tcBorders>
              <w:top w:val="outset" w:color="auto" w:sz="6" w:space="0"/>
              <w:left w:val="outset" w:color="auto" w:sz="6" w:space="0"/>
              <w:bottom w:val="outset" w:color="auto" w:sz="6" w:space="0"/>
              <w:right w:val="outset" w:color="auto" w:sz="6" w:space="0"/>
            </w:tcBorders>
            <w:noWrap w:val="0"/>
            <w:vAlign w:val="center"/>
          </w:tcPr>
          <w:p w14:paraId="41E879AC">
            <w:pPr>
              <w:spacing w:line="360" w:lineRule="auto"/>
              <w:rPr>
                <w:rFonts w:hint="eastAsia" w:ascii="仿宋_GB2312" w:hAnsi="仿宋_GB2312" w:eastAsia="仿宋_GB2312" w:cs="仿宋_GB2312"/>
                <w:szCs w:val="21"/>
                <w:lang w:eastAsia="zh-CN"/>
              </w:rPr>
            </w:pPr>
          </w:p>
        </w:tc>
        <w:tc>
          <w:tcPr>
            <w:tcW w:w="1707" w:type="dxa"/>
            <w:vMerge w:val="continue"/>
            <w:tcBorders>
              <w:top w:val="outset" w:color="auto" w:sz="6" w:space="0"/>
              <w:left w:val="outset" w:color="auto" w:sz="6" w:space="0"/>
              <w:bottom w:val="outset" w:color="auto" w:sz="6" w:space="0"/>
              <w:right w:val="single" w:color="auto" w:sz="4" w:space="0"/>
            </w:tcBorders>
            <w:noWrap w:val="0"/>
            <w:vAlign w:val="center"/>
          </w:tcPr>
          <w:p w14:paraId="52BA1196">
            <w:pPr>
              <w:spacing w:line="360" w:lineRule="auto"/>
              <w:rPr>
                <w:rFonts w:hint="eastAsia" w:ascii="仿宋_GB2312" w:hAnsi="仿宋_GB2312" w:eastAsia="仿宋_GB2312" w:cs="仿宋_GB2312"/>
                <w:szCs w:val="21"/>
                <w:lang w:eastAsia="zh-CN"/>
              </w:rPr>
            </w:pPr>
          </w:p>
        </w:tc>
        <w:tc>
          <w:tcPr>
            <w:tcW w:w="5295" w:type="dxa"/>
            <w:tcBorders>
              <w:top w:val="outset" w:color="auto" w:sz="6" w:space="0"/>
              <w:left w:val="single" w:color="auto" w:sz="4" w:space="0"/>
              <w:bottom w:val="outset" w:color="auto" w:sz="6" w:space="0"/>
              <w:right w:val="outset" w:color="auto" w:sz="6" w:space="0"/>
            </w:tcBorders>
            <w:noWrap w:val="0"/>
            <w:vAlign w:val="center"/>
          </w:tcPr>
          <w:p w14:paraId="61BD2CDB">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配合学校相关部门进行学生宿舍管理</w:t>
            </w:r>
          </w:p>
        </w:tc>
        <w:tc>
          <w:tcPr>
            <w:tcW w:w="567" w:type="dxa"/>
            <w:tcBorders>
              <w:top w:val="outset" w:color="auto" w:sz="6" w:space="0"/>
              <w:left w:val="outset" w:color="auto" w:sz="6" w:space="0"/>
              <w:bottom w:val="outset" w:color="auto" w:sz="6" w:space="0"/>
              <w:right w:val="outset" w:color="000000" w:sz="6" w:space="0"/>
            </w:tcBorders>
            <w:noWrap w:val="0"/>
            <w:vAlign w:val="center"/>
          </w:tcPr>
          <w:p w14:paraId="4434D064">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w:t>
            </w:r>
          </w:p>
        </w:tc>
        <w:tc>
          <w:tcPr>
            <w:tcW w:w="567" w:type="dxa"/>
            <w:tcBorders>
              <w:top w:val="outset" w:color="000000" w:sz="6" w:space="0"/>
              <w:left w:val="outset" w:color="000000" w:sz="6" w:space="0"/>
              <w:bottom w:val="outset" w:color="000000" w:sz="6" w:space="0"/>
              <w:right w:val="outset" w:color="000000" w:sz="6" w:space="0"/>
            </w:tcBorders>
            <w:noWrap w:val="0"/>
            <w:vAlign w:val="center"/>
          </w:tcPr>
          <w:p w14:paraId="10DC2464">
            <w:pPr>
              <w:spacing w:line="360" w:lineRule="auto"/>
              <w:rPr>
                <w:rFonts w:hint="eastAsia" w:ascii="仿宋_GB2312" w:hAnsi="仿宋_GB2312" w:eastAsia="仿宋_GB2312" w:cs="仿宋_GB2312"/>
                <w:szCs w:val="21"/>
                <w:lang w:eastAsia="zh-CN"/>
              </w:rPr>
            </w:pPr>
          </w:p>
        </w:tc>
      </w:tr>
      <w:tr w14:paraId="5B38B90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661" w:type="dxa"/>
            <w:vMerge w:val="restart"/>
            <w:tcBorders>
              <w:top w:val="outset" w:color="auto" w:sz="6" w:space="0"/>
              <w:left w:val="outset" w:color="auto" w:sz="6" w:space="0"/>
              <w:bottom w:val="outset" w:color="auto" w:sz="6" w:space="0"/>
              <w:right w:val="outset" w:color="auto" w:sz="6" w:space="0"/>
            </w:tcBorders>
            <w:noWrap w:val="0"/>
            <w:vAlign w:val="center"/>
          </w:tcPr>
          <w:p w14:paraId="4D2F40C4">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七</w:t>
            </w:r>
          </w:p>
        </w:tc>
        <w:tc>
          <w:tcPr>
            <w:tcW w:w="1707" w:type="dxa"/>
            <w:vMerge w:val="restart"/>
            <w:tcBorders>
              <w:top w:val="outset" w:color="auto" w:sz="6" w:space="0"/>
              <w:left w:val="outset" w:color="auto" w:sz="6" w:space="0"/>
              <w:bottom w:val="outset" w:color="auto" w:sz="6" w:space="0"/>
              <w:right w:val="single" w:color="auto" w:sz="4" w:space="0"/>
            </w:tcBorders>
            <w:noWrap w:val="0"/>
            <w:vAlign w:val="center"/>
          </w:tcPr>
          <w:p w14:paraId="27E8A52A">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门卫安保服务</w:t>
            </w:r>
          </w:p>
          <w:p w14:paraId="5F8B3CF9">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15</w:t>
            </w:r>
            <w:r>
              <w:rPr>
                <w:rFonts w:hint="eastAsia" w:ascii="仿宋_GB2312" w:hAnsi="仿宋_GB2312" w:eastAsia="仿宋_GB2312" w:cs="仿宋_GB2312"/>
                <w:szCs w:val="21"/>
                <w:lang w:eastAsia="zh-CN"/>
              </w:rPr>
              <w:t>分)</w:t>
            </w:r>
          </w:p>
        </w:tc>
        <w:tc>
          <w:tcPr>
            <w:tcW w:w="5295" w:type="dxa"/>
            <w:tcBorders>
              <w:top w:val="outset" w:color="auto" w:sz="6" w:space="0"/>
              <w:left w:val="single" w:color="auto" w:sz="4" w:space="0"/>
              <w:bottom w:val="outset" w:color="auto" w:sz="6" w:space="0"/>
              <w:right w:val="outset" w:color="auto" w:sz="6" w:space="0"/>
            </w:tcBorders>
            <w:noWrap w:val="0"/>
            <w:vAlign w:val="center"/>
          </w:tcPr>
          <w:p w14:paraId="6A33C235">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员工无故离岗</w:t>
            </w:r>
          </w:p>
        </w:tc>
        <w:tc>
          <w:tcPr>
            <w:tcW w:w="567" w:type="dxa"/>
            <w:tcBorders>
              <w:top w:val="outset" w:color="auto" w:sz="6" w:space="0"/>
              <w:left w:val="outset" w:color="auto" w:sz="6" w:space="0"/>
              <w:bottom w:val="outset" w:color="auto" w:sz="6" w:space="0"/>
              <w:right w:val="outset" w:color="000000" w:sz="6" w:space="0"/>
            </w:tcBorders>
            <w:noWrap w:val="0"/>
            <w:vAlign w:val="center"/>
          </w:tcPr>
          <w:p w14:paraId="381FBB32">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w:t>
            </w:r>
          </w:p>
        </w:tc>
        <w:tc>
          <w:tcPr>
            <w:tcW w:w="567" w:type="dxa"/>
            <w:tcBorders>
              <w:top w:val="outset" w:color="000000" w:sz="6" w:space="0"/>
              <w:left w:val="outset" w:color="000000" w:sz="6" w:space="0"/>
              <w:bottom w:val="outset" w:color="000000" w:sz="6" w:space="0"/>
              <w:right w:val="outset" w:color="000000" w:sz="6" w:space="0"/>
            </w:tcBorders>
            <w:noWrap w:val="0"/>
            <w:vAlign w:val="center"/>
          </w:tcPr>
          <w:p w14:paraId="23FD7E49">
            <w:pPr>
              <w:spacing w:line="360" w:lineRule="auto"/>
              <w:rPr>
                <w:rFonts w:hint="eastAsia" w:ascii="仿宋_GB2312" w:hAnsi="仿宋_GB2312" w:eastAsia="仿宋_GB2312" w:cs="仿宋_GB2312"/>
                <w:szCs w:val="21"/>
                <w:lang w:eastAsia="zh-CN"/>
              </w:rPr>
            </w:pPr>
          </w:p>
        </w:tc>
      </w:tr>
      <w:tr w14:paraId="1C916C2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661" w:type="dxa"/>
            <w:vMerge w:val="continue"/>
            <w:tcBorders>
              <w:top w:val="outset" w:color="auto" w:sz="6" w:space="0"/>
              <w:left w:val="outset" w:color="auto" w:sz="6" w:space="0"/>
              <w:bottom w:val="outset" w:color="auto" w:sz="6" w:space="0"/>
              <w:right w:val="outset" w:color="auto" w:sz="6" w:space="0"/>
            </w:tcBorders>
            <w:noWrap w:val="0"/>
            <w:vAlign w:val="center"/>
          </w:tcPr>
          <w:p w14:paraId="52A23953">
            <w:pPr>
              <w:spacing w:line="360" w:lineRule="auto"/>
              <w:rPr>
                <w:rFonts w:hint="eastAsia" w:ascii="仿宋_GB2312" w:hAnsi="仿宋_GB2312" w:eastAsia="仿宋_GB2312" w:cs="仿宋_GB2312"/>
                <w:szCs w:val="21"/>
                <w:lang w:eastAsia="zh-CN"/>
              </w:rPr>
            </w:pPr>
          </w:p>
        </w:tc>
        <w:tc>
          <w:tcPr>
            <w:tcW w:w="1707" w:type="dxa"/>
            <w:vMerge w:val="continue"/>
            <w:tcBorders>
              <w:top w:val="outset" w:color="auto" w:sz="6" w:space="0"/>
              <w:left w:val="outset" w:color="auto" w:sz="6" w:space="0"/>
              <w:bottom w:val="outset" w:color="auto" w:sz="6" w:space="0"/>
              <w:right w:val="single" w:color="auto" w:sz="4" w:space="0"/>
            </w:tcBorders>
            <w:noWrap w:val="0"/>
            <w:vAlign w:val="center"/>
          </w:tcPr>
          <w:p w14:paraId="4AF34633">
            <w:pPr>
              <w:spacing w:line="360" w:lineRule="auto"/>
              <w:rPr>
                <w:rFonts w:hint="eastAsia" w:ascii="仿宋_GB2312" w:hAnsi="仿宋_GB2312" w:eastAsia="仿宋_GB2312" w:cs="仿宋_GB2312"/>
                <w:szCs w:val="21"/>
                <w:lang w:eastAsia="zh-CN"/>
              </w:rPr>
            </w:pPr>
          </w:p>
        </w:tc>
        <w:tc>
          <w:tcPr>
            <w:tcW w:w="5295" w:type="dxa"/>
            <w:tcBorders>
              <w:top w:val="outset" w:color="auto" w:sz="6" w:space="0"/>
              <w:left w:val="single" w:color="auto" w:sz="4" w:space="0"/>
              <w:bottom w:val="outset" w:color="auto" w:sz="6" w:space="0"/>
              <w:right w:val="outset" w:color="auto" w:sz="6" w:space="0"/>
            </w:tcBorders>
            <w:noWrap w:val="0"/>
            <w:vAlign w:val="center"/>
          </w:tcPr>
          <w:p w14:paraId="7DD00168">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在岗睡觉、长时间玩手机等</w:t>
            </w:r>
          </w:p>
        </w:tc>
        <w:tc>
          <w:tcPr>
            <w:tcW w:w="567" w:type="dxa"/>
            <w:tcBorders>
              <w:top w:val="outset" w:color="auto" w:sz="6" w:space="0"/>
              <w:left w:val="outset" w:color="auto" w:sz="6" w:space="0"/>
              <w:bottom w:val="outset" w:color="auto" w:sz="6" w:space="0"/>
              <w:right w:val="outset" w:color="000000" w:sz="6" w:space="0"/>
            </w:tcBorders>
            <w:noWrap w:val="0"/>
            <w:vAlign w:val="center"/>
          </w:tcPr>
          <w:p w14:paraId="7ED04289">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w:t>
            </w:r>
          </w:p>
        </w:tc>
        <w:tc>
          <w:tcPr>
            <w:tcW w:w="567" w:type="dxa"/>
            <w:tcBorders>
              <w:top w:val="outset" w:color="000000" w:sz="6" w:space="0"/>
              <w:left w:val="outset" w:color="000000" w:sz="6" w:space="0"/>
              <w:bottom w:val="outset" w:color="000000" w:sz="6" w:space="0"/>
              <w:right w:val="outset" w:color="000000" w:sz="6" w:space="0"/>
            </w:tcBorders>
            <w:noWrap w:val="0"/>
            <w:vAlign w:val="center"/>
          </w:tcPr>
          <w:p w14:paraId="57949B92">
            <w:pPr>
              <w:spacing w:line="360" w:lineRule="auto"/>
              <w:rPr>
                <w:rFonts w:hint="eastAsia" w:ascii="仿宋_GB2312" w:hAnsi="仿宋_GB2312" w:eastAsia="仿宋_GB2312" w:cs="仿宋_GB2312"/>
                <w:szCs w:val="21"/>
                <w:lang w:eastAsia="zh-CN"/>
              </w:rPr>
            </w:pPr>
          </w:p>
        </w:tc>
      </w:tr>
      <w:tr w14:paraId="3B6EB9B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661" w:type="dxa"/>
            <w:vMerge w:val="continue"/>
            <w:tcBorders>
              <w:top w:val="outset" w:color="auto" w:sz="6" w:space="0"/>
              <w:left w:val="outset" w:color="auto" w:sz="6" w:space="0"/>
              <w:bottom w:val="outset" w:color="auto" w:sz="6" w:space="0"/>
              <w:right w:val="outset" w:color="auto" w:sz="6" w:space="0"/>
            </w:tcBorders>
            <w:noWrap w:val="0"/>
            <w:vAlign w:val="center"/>
          </w:tcPr>
          <w:p w14:paraId="25332634">
            <w:pPr>
              <w:spacing w:line="360" w:lineRule="auto"/>
              <w:rPr>
                <w:rFonts w:hint="eastAsia" w:ascii="仿宋_GB2312" w:hAnsi="仿宋_GB2312" w:eastAsia="仿宋_GB2312" w:cs="仿宋_GB2312"/>
                <w:szCs w:val="21"/>
                <w:lang w:eastAsia="zh-CN"/>
              </w:rPr>
            </w:pPr>
          </w:p>
        </w:tc>
        <w:tc>
          <w:tcPr>
            <w:tcW w:w="1707" w:type="dxa"/>
            <w:vMerge w:val="continue"/>
            <w:tcBorders>
              <w:top w:val="outset" w:color="auto" w:sz="6" w:space="0"/>
              <w:left w:val="outset" w:color="auto" w:sz="6" w:space="0"/>
              <w:bottom w:val="outset" w:color="auto" w:sz="6" w:space="0"/>
              <w:right w:val="single" w:color="auto" w:sz="4" w:space="0"/>
            </w:tcBorders>
            <w:noWrap w:val="0"/>
            <w:vAlign w:val="center"/>
          </w:tcPr>
          <w:p w14:paraId="505B5328">
            <w:pPr>
              <w:spacing w:line="360" w:lineRule="auto"/>
              <w:rPr>
                <w:rFonts w:hint="eastAsia" w:ascii="仿宋_GB2312" w:hAnsi="仿宋_GB2312" w:eastAsia="仿宋_GB2312" w:cs="仿宋_GB2312"/>
                <w:szCs w:val="21"/>
                <w:lang w:eastAsia="zh-CN"/>
              </w:rPr>
            </w:pPr>
          </w:p>
        </w:tc>
        <w:tc>
          <w:tcPr>
            <w:tcW w:w="5295" w:type="dxa"/>
            <w:tcBorders>
              <w:top w:val="outset" w:color="auto" w:sz="6" w:space="0"/>
              <w:left w:val="single" w:color="auto" w:sz="4" w:space="0"/>
              <w:bottom w:val="outset" w:color="auto" w:sz="6" w:space="0"/>
              <w:right w:val="outset" w:color="auto" w:sz="6" w:space="0"/>
            </w:tcBorders>
            <w:noWrap w:val="0"/>
            <w:vAlign w:val="center"/>
          </w:tcPr>
          <w:p w14:paraId="3A4CBEA6">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空岗</w:t>
            </w:r>
          </w:p>
        </w:tc>
        <w:tc>
          <w:tcPr>
            <w:tcW w:w="567" w:type="dxa"/>
            <w:tcBorders>
              <w:top w:val="outset" w:color="auto" w:sz="6" w:space="0"/>
              <w:left w:val="outset" w:color="auto" w:sz="6" w:space="0"/>
              <w:bottom w:val="outset" w:color="auto" w:sz="6" w:space="0"/>
              <w:right w:val="outset" w:color="000000" w:sz="6" w:space="0"/>
            </w:tcBorders>
            <w:noWrap w:val="0"/>
            <w:vAlign w:val="center"/>
          </w:tcPr>
          <w:p w14:paraId="0A1C2BD4">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w:t>
            </w:r>
          </w:p>
        </w:tc>
        <w:tc>
          <w:tcPr>
            <w:tcW w:w="567" w:type="dxa"/>
            <w:tcBorders>
              <w:top w:val="outset" w:color="000000" w:sz="6" w:space="0"/>
              <w:left w:val="outset" w:color="000000" w:sz="6" w:space="0"/>
              <w:bottom w:val="outset" w:color="000000" w:sz="6" w:space="0"/>
              <w:right w:val="outset" w:color="000000" w:sz="6" w:space="0"/>
            </w:tcBorders>
            <w:noWrap w:val="0"/>
            <w:vAlign w:val="center"/>
          </w:tcPr>
          <w:p w14:paraId="1F42E212">
            <w:pPr>
              <w:spacing w:line="360" w:lineRule="auto"/>
              <w:rPr>
                <w:rFonts w:hint="eastAsia" w:ascii="仿宋_GB2312" w:hAnsi="仿宋_GB2312" w:eastAsia="仿宋_GB2312" w:cs="仿宋_GB2312"/>
                <w:szCs w:val="21"/>
                <w:lang w:eastAsia="zh-CN"/>
              </w:rPr>
            </w:pPr>
          </w:p>
        </w:tc>
      </w:tr>
      <w:tr w14:paraId="664F63B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661" w:type="dxa"/>
            <w:tcBorders>
              <w:top w:val="outset" w:color="auto" w:sz="6" w:space="0"/>
              <w:left w:val="outset" w:color="auto" w:sz="6" w:space="0"/>
              <w:bottom w:val="outset" w:color="auto" w:sz="6" w:space="0"/>
              <w:right w:val="outset" w:color="auto" w:sz="6" w:space="0"/>
            </w:tcBorders>
            <w:noWrap w:val="0"/>
            <w:vAlign w:val="center"/>
          </w:tcPr>
          <w:p w14:paraId="12E26EB2">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八</w:t>
            </w:r>
          </w:p>
        </w:tc>
        <w:tc>
          <w:tcPr>
            <w:tcW w:w="1707" w:type="dxa"/>
            <w:tcBorders>
              <w:top w:val="outset" w:color="auto" w:sz="6" w:space="0"/>
              <w:left w:val="outset" w:color="auto" w:sz="6" w:space="0"/>
              <w:bottom w:val="outset" w:color="auto" w:sz="6" w:space="0"/>
              <w:right w:val="single" w:color="auto" w:sz="4" w:space="0"/>
            </w:tcBorders>
            <w:noWrap w:val="0"/>
            <w:vAlign w:val="center"/>
          </w:tcPr>
          <w:p w14:paraId="315C5F2F">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服务反馈</w:t>
            </w:r>
          </w:p>
          <w:p w14:paraId="3949C606">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（5分）</w:t>
            </w:r>
          </w:p>
        </w:tc>
        <w:tc>
          <w:tcPr>
            <w:tcW w:w="5295" w:type="dxa"/>
            <w:tcBorders>
              <w:top w:val="outset" w:color="auto" w:sz="6" w:space="0"/>
              <w:left w:val="single" w:color="auto" w:sz="4" w:space="0"/>
              <w:bottom w:val="outset" w:color="auto" w:sz="6" w:space="0"/>
              <w:right w:val="outset" w:color="auto" w:sz="6" w:space="0"/>
            </w:tcBorders>
            <w:noWrap w:val="0"/>
            <w:vAlign w:val="center"/>
          </w:tcPr>
          <w:p w14:paraId="631B0D57">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校长信箱等收到投诉意见</w:t>
            </w:r>
          </w:p>
        </w:tc>
        <w:tc>
          <w:tcPr>
            <w:tcW w:w="567" w:type="dxa"/>
            <w:tcBorders>
              <w:top w:val="outset" w:color="auto" w:sz="6" w:space="0"/>
              <w:left w:val="outset" w:color="auto" w:sz="6" w:space="0"/>
              <w:bottom w:val="outset" w:color="auto" w:sz="6" w:space="0"/>
              <w:right w:val="outset" w:color="000000" w:sz="6" w:space="0"/>
            </w:tcBorders>
            <w:noWrap w:val="0"/>
            <w:vAlign w:val="center"/>
          </w:tcPr>
          <w:p w14:paraId="1DDA8BDC">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5</w:t>
            </w:r>
          </w:p>
        </w:tc>
        <w:tc>
          <w:tcPr>
            <w:tcW w:w="567" w:type="dxa"/>
            <w:tcBorders>
              <w:top w:val="outset" w:color="000000" w:sz="6" w:space="0"/>
              <w:left w:val="outset" w:color="000000" w:sz="6" w:space="0"/>
              <w:bottom w:val="outset" w:color="auto" w:sz="6" w:space="0"/>
              <w:right w:val="outset" w:color="000000" w:sz="6" w:space="0"/>
            </w:tcBorders>
            <w:noWrap w:val="0"/>
            <w:vAlign w:val="center"/>
          </w:tcPr>
          <w:p w14:paraId="2FB7F070">
            <w:pPr>
              <w:spacing w:line="360" w:lineRule="auto"/>
              <w:rPr>
                <w:rFonts w:hint="eastAsia" w:ascii="仿宋_GB2312" w:hAnsi="仿宋_GB2312" w:eastAsia="仿宋_GB2312" w:cs="仿宋_GB2312"/>
                <w:szCs w:val="21"/>
                <w:lang w:eastAsia="zh-CN"/>
              </w:rPr>
            </w:pPr>
          </w:p>
        </w:tc>
      </w:tr>
      <w:tr w14:paraId="1F7FD9F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661" w:type="dxa"/>
            <w:tcBorders>
              <w:top w:val="outset" w:color="auto" w:sz="6" w:space="0"/>
              <w:left w:val="outset" w:color="auto" w:sz="6" w:space="0"/>
              <w:bottom w:val="outset" w:color="auto" w:sz="6" w:space="0"/>
              <w:right w:val="single" w:color="auto" w:sz="4" w:space="0"/>
            </w:tcBorders>
            <w:noWrap w:val="0"/>
            <w:vAlign w:val="center"/>
          </w:tcPr>
          <w:p w14:paraId="5FD3E596">
            <w:pPr>
              <w:spacing w:line="360" w:lineRule="auto"/>
              <w:rPr>
                <w:rFonts w:hint="eastAsia" w:ascii="仿宋_GB2312" w:hAnsi="仿宋_GB2312" w:eastAsia="仿宋_GB2312" w:cs="仿宋_GB2312"/>
                <w:szCs w:val="21"/>
                <w:lang w:eastAsia="zh-CN"/>
              </w:rPr>
            </w:pPr>
          </w:p>
        </w:tc>
        <w:tc>
          <w:tcPr>
            <w:tcW w:w="1707" w:type="dxa"/>
            <w:tcBorders>
              <w:top w:val="outset" w:color="auto" w:sz="6" w:space="0"/>
              <w:left w:val="outset" w:color="auto" w:sz="6" w:space="0"/>
              <w:bottom w:val="outset" w:color="auto" w:sz="6" w:space="0"/>
              <w:right w:val="single" w:color="auto" w:sz="4" w:space="0"/>
            </w:tcBorders>
            <w:noWrap w:val="0"/>
            <w:vAlign w:val="center"/>
          </w:tcPr>
          <w:p w14:paraId="72C85F8F">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综合得分</w:t>
            </w:r>
          </w:p>
          <w:p w14:paraId="56A75A01">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(100分)</w:t>
            </w:r>
          </w:p>
        </w:tc>
        <w:tc>
          <w:tcPr>
            <w:tcW w:w="5295" w:type="dxa"/>
            <w:tcBorders>
              <w:top w:val="outset" w:color="auto" w:sz="6" w:space="0"/>
              <w:left w:val="single" w:color="auto" w:sz="4" w:space="0"/>
              <w:bottom w:val="outset" w:color="auto" w:sz="6" w:space="0"/>
              <w:right w:val="outset" w:color="auto" w:sz="6" w:space="0"/>
            </w:tcBorders>
            <w:noWrap w:val="0"/>
            <w:vAlign w:val="center"/>
          </w:tcPr>
          <w:p w14:paraId="564CF45D">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 </w:t>
            </w:r>
          </w:p>
        </w:tc>
        <w:tc>
          <w:tcPr>
            <w:tcW w:w="567" w:type="dxa"/>
            <w:tcBorders>
              <w:top w:val="outset" w:color="auto" w:sz="6" w:space="0"/>
              <w:left w:val="single" w:color="auto" w:sz="4" w:space="0"/>
              <w:bottom w:val="outset" w:color="auto" w:sz="6" w:space="0"/>
              <w:right w:val="outset" w:color="auto" w:sz="6" w:space="0"/>
            </w:tcBorders>
            <w:noWrap w:val="0"/>
            <w:vAlign w:val="center"/>
          </w:tcPr>
          <w:p w14:paraId="313D5631">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100</w:t>
            </w:r>
          </w:p>
        </w:tc>
        <w:tc>
          <w:tcPr>
            <w:tcW w:w="567" w:type="dxa"/>
            <w:tcBorders>
              <w:top w:val="outset" w:color="auto" w:sz="6" w:space="0"/>
              <w:left w:val="single" w:color="auto" w:sz="4" w:space="0"/>
              <w:bottom w:val="outset" w:color="auto" w:sz="6" w:space="0"/>
              <w:right w:val="outset" w:color="auto" w:sz="6" w:space="0"/>
            </w:tcBorders>
            <w:noWrap w:val="0"/>
            <w:vAlign w:val="center"/>
          </w:tcPr>
          <w:p w14:paraId="424BD42F">
            <w:pPr>
              <w:spacing w:line="360" w:lineRule="auto"/>
              <w:rPr>
                <w:rFonts w:hint="eastAsia" w:ascii="仿宋_GB2312" w:hAnsi="仿宋_GB2312" w:eastAsia="仿宋_GB2312" w:cs="仿宋_GB2312"/>
                <w:szCs w:val="21"/>
                <w:lang w:eastAsia="zh-CN"/>
              </w:rPr>
            </w:pPr>
          </w:p>
        </w:tc>
      </w:tr>
      <w:tr w14:paraId="0214AF8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8797" w:type="dxa"/>
            <w:gridSpan w:val="5"/>
            <w:tcBorders>
              <w:top w:val="outset" w:color="auto" w:sz="6" w:space="0"/>
              <w:left w:val="outset" w:color="auto" w:sz="6" w:space="0"/>
              <w:bottom w:val="outset" w:color="auto" w:sz="6" w:space="0"/>
              <w:right w:val="outset" w:color="auto" w:sz="6" w:space="0"/>
            </w:tcBorders>
            <w:noWrap w:val="0"/>
            <w:vAlign w:val="center"/>
          </w:tcPr>
          <w:p w14:paraId="65D8299D">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备注:每月由后勤部门随机抽查，按月进行汇总，满分为100分。</w:t>
            </w:r>
          </w:p>
        </w:tc>
      </w:tr>
    </w:tbl>
    <w:p w14:paraId="5485BAC0">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考核结果应用：</w:t>
      </w:r>
    </w:p>
    <w:p w14:paraId="4F599463">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如当月评分在85分及以上（满分100分），则全额支付当月物业服务费，如当月评分在85分以下，则当月所得物业服务费按下列办法计算后支付：</w:t>
      </w:r>
    </w:p>
    <w:p w14:paraId="6B9E7784">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（1）分值计算办法：每分分值=合同金额÷</w:t>
      </w: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lang w:eastAsia="zh-CN"/>
        </w:rPr>
        <w:t xml:space="preserve">2个月÷100分 </w:t>
      </w:r>
    </w:p>
    <w:p w14:paraId="13430875">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（2）当月评分低于85分的，按每低于壹分乘以每分分值的结果为当月考核评分扣减的物业服务费。</w:t>
      </w:r>
    </w:p>
    <w:p w14:paraId="6EE69BFD">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（3）当月所得物业服务费=（合同金额÷12个月）-当月考核评分扣减的物业服务费。</w:t>
      </w:r>
    </w:p>
    <w:p w14:paraId="0668B64A">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3、年度工作考核</w:t>
      </w:r>
    </w:p>
    <w:p w14:paraId="5D916EA2">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eastAsia="zh-CN"/>
        </w:rPr>
        <w:t>以月度考核得分加服务满意度得分加权平均组成，全年月度考核平均得分占比</w:t>
      </w:r>
      <w:r>
        <w:rPr>
          <w:rFonts w:hint="eastAsia" w:ascii="仿宋_GB2312" w:hAnsi="仿宋_GB2312" w:eastAsia="仿宋_GB2312" w:cs="仿宋_GB2312"/>
          <w:szCs w:val="21"/>
          <w:lang w:val="en-US" w:eastAsia="zh-CN"/>
        </w:rPr>
        <w:t>70%，服务满意度得分占比30%，即总分100分，</w:t>
      </w:r>
      <w:r>
        <w:rPr>
          <w:rFonts w:hint="eastAsia" w:ascii="仿宋_GB2312" w:hAnsi="仿宋_GB2312" w:eastAsia="仿宋_GB2312" w:cs="仿宋_GB2312"/>
          <w:szCs w:val="21"/>
          <w:lang w:eastAsia="zh-CN"/>
        </w:rPr>
        <w:t>月度考核平均得分占</w:t>
      </w:r>
      <w:r>
        <w:rPr>
          <w:rFonts w:hint="eastAsia" w:ascii="仿宋_GB2312" w:hAnsi="仿宋_GB2312" w:eastAsia="仿宋_GB2312" w:cs="仿宋_GB2312"/>
          <w:szCs w:val="21"/>
          <w:lang w:val="en-US" w:eastAsia="zh-CN"/>
        </w:rPr>
        <w:t>70分，年度满意度得分占30分。</w:t>
      </w:r>
    </w:p>
    <w:p w14:paraId="13D41A2E">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年度考核得分=</w:t>
      </w:r>
      <w:r>
        <w:rPr>
          <w:rFonts w:hint="eastAsia" w:ascii="仿宋_GB2312" w:hAnsi="仿宋_GB2312" w:eastAsia="仿宋_GB2312" w:cs="仿宋_GB2312"/>
          <w:szCs w:val="21"/>
          <w:lang w:eastAsia="zh-CN"/>
        </w:rPr>
        <w:t>全年月度考核平均得分</w:t>
      </w:r>
      <w:r>
        <w:rPr>
          <w:rFonts w:hint="eastAsia" w:ascii="仿宋_GB2312" w:hAnsi="仿宋_GB2312" w:eastAsia="仿宋_GB2312" w:cs="仿宋_GB2312"/>
          <w:szCs w:val="21"/>
          <w:lang w:val="en-US" w:eastAsia="zh-CN"/>
        </w:rPr>
        <w:t>*70%＋年度满意度得分*30%</w:t>
      </w:r>
    </w:p>
    <w:p w14:paraId="1DAD4228">
      <w:pPr>
        <w:spacing w:line="360" w:lineRule="auto"/>
        <w:rPr>
          <w:rFonts w:hint="eastAsia" w:ascii="仿宋_GB2312" w:hAnsi="仿宋_GB2312" w:eastAsia="仿宋_GB2312" w:cs="仿宋_GB2312"/>
          <w:szCs w:val="21"/>
          <w:lang w:val="en-US" w:eastAsia="zh-CN"/>
        </w:rPr>
      </w:pPr>
    </w:p>
    <w:p w14:paraId="3401919F">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学校物业管理和后勤服务公司服务满意度调查表（教职工）</w:t>
      </w:r>
    </w:p>
    <w:tbl>
      <w:tblPr>
        <w:tblStyle w:val="21"/>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3796"/>
        <w:gridCol w:w="4272"/>
      </w:tblGrid>
      <w:tr w14:paraId="027FA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767" w:type="dxa"/>
            <w:gridSpan w:val="3"/>
            <w:tcBorders>
              <w:left w:val="single" w:color="auto" w:sz="4" w:space="0"/>
              <w:right w:val="single" w:color="auto" w:sz="4" w:space="0"/>
            </w:tcBorders>
            <w:noWrap w:val="0"/>
            <w:vAlign w:val="center"/>
          </w:tcPr>
          <w:p w14:paraId="61F59F5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调  查  内  容  及  评 价</w:t>
            </w:r>
          </w:p>
        </w:tc>
      </w:tr>
      <w:tr w14:paraId="1CD8F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99" w:type="dxa"/>
            <w:vMerge w:val="restart"/>
            <w:tcBorders>
              <w:left w:val="single" w:color="auto" w:sz="4" w:space="0"/>
            </w:tcBorders>
            <w:noWrap w:val="0"/>
            <w:vAlign w:val="center"/>
          </w:tcPr>
          <w:p w14:paraId="77A6727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工程维修</w:t>
            </w:r>
          </w:p>
        </w:tc>
        <w:tc>
          <w:tcPr>
            <w:tcW w:w="3796" w:type="dxa"/>
            <w:tcBorders>
              <w:left w:val="single" w:color="auto" w:sz="4" w:space="0"/>
            </w:tcBorders>
            <w:noWrap w:val="0"/>
            <w:vAlign w:val="center"/>
          </w:tcPr>
          <w:p w14:paraId="03038AB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工作人员仪容仪表、服务态度</w:t>
            </w:r>
          </w:p>
        </w:tc>
        <w:tc>
          <w:tcPr>
            <w:tcW w:w="4272" w:type="dxa"/>
            <w:tcBorders>
              <w:right w:val="single" w:color="auto" w:sz="4" w:space="0"/>
            </w:tcBorders>
            <w:noWrap w:val="0"/>
            <w:vAlign w:val="center"/>
          </w:tcPr>
          <w:p w14:paraId="4BDD593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 xml:space="preserve">□满意         □不满意 </w:t>
            </w:r>
          </w:p>
        </w:tc>
      </w:tr>
      <w:tr w14:paraId="2BF93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99" w:type="dxa"/>
            <w:vMerge w:val="continue"/>
            <w:tcBorders>
              <w:left w:val="single" w:color="auto" w:sz="4" w:space="0"/>
            </w:tcBorders>
            <w:noWrap w:val="0"/>
            <w:vAlign w:val="center"/>
          </w:tcPr>
          <w:p w14:paraId="6EA8B2B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p>
        </w:tc>
        <w:tc>
          <w:tcPr>
            <w:tcW w:w="3796" w:type="dxa"/>
            <w:tcBorders>
              <w:left w:val="single" w:color="auto" w:sz="4" w:space="0"/>
            </w:tcBorders>
            <w:noWrap w:val="0"/>
            <w:vAlign w:val="center"/>
          </w:tcPr>
          <w:p w14:paraId="0A6D363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设施设备及附属管理情况</w:t>
            </w:r>
          </w:p>
        </w:tc>
        <w:tc>
          <w:tcPr>
            <w:tcW w:w="4272" w:type="dxa"/>
            <w:tcBorders>
              <w:right w:val="single" w:color="auto" w:sz="4" w:space="0"/>
            </w:tcBorders>
            <w:noWrap w:val="0"/>
            <w:vAlign w:val="center"/>
          </w:tcPr>
          <w:p w14:paraId="7EE0766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□满意         □不满意</w:t>
            </w:r>
          </w:p>
        </w:tc>
      </w:tr>
      <w:tr w14:paraId="1ED41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99" w:type="dxa"/>
            <w:vMerge w:val="continue"/>
            <w:tcBorders>
              <w:left w:val="single" w:color="auto" w:sz="4" w:space="0"/>
            </w:tcBorders>
            <w:noWrap w:val="0"/>
            <w:vAlign w:val="center"/>
          </w:tcPr>
          <w:p w14:paraId="63D5FCB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p>
        </w:tc>
        <w:tc>
          <w:tcPr>
            <w:tcW w:w="3796" w:type="dxa"/>
            <w:tcBorders>
              <w:left w:val="single" w:color="auto" w:sz="4" w:space="0"/>
            </w:tcBorders>
            <w:noWrap w:val="0"/>
            <w:vAlign w:val="center"/>
          </w:tcPr>
          <w:p w14:paraId="2073258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维修的质量情况</w:t>
            </w:r>
          </w:p>
        </w:tc>
        <w:tc>
          <w:tcPr>
            <w:tcW w:w="4272" w:type="dxa"/>
            <w:tcBorders>
              <w:right w:val="single" w:color="auto" w:sz="4" w:space="0"/>
            </w:tcBorders>
            <w:noWrap w:val="0"/>
            <w:vAlign w:val="center"/>
          </w:tcPr>
          <w:p w14:paraId="76C0B4E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 xml:space="preserve">□满意         □不满意 </w:t>
            </w:r>
          </w:p>
        </w:tc>
      </w:tr>
      <w:tr w14:paraId="5A8B7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99" w:type="dxa"/>
            <w:vMerge w:val="continue"/>
            <w:tcBorders>
              <w:left w:val="single" w:color="auto" w:sz="4" w:space="0"/>
            </w:tcBorders>
            <w:noWrap w:val="0"/>
            <w:vAlign w:val="center"/>
          </w:tcPr>
          <w:p w14:paraId="03D6BD3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p>
        </w:tc>
        <w:tc>
          <w:tcPr>
            <w:tcW w:w="3796" w:type="dxa"/>
            <w:tcBorders>
              <w:left w:val="single" w:color="auto" w:sz="4" w:space="0"/>
            </w:tcBorders>
            <w:noWrap w:val="0"/>
            <w:vAlign w:val="center"/>
          </w:tcPr>
          <w:p w14:paraId="0E6A85A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维修及时率</w:t>
            </w:r>
          </w:p>
        </w:tc>
        <w:tc>
          <w:tcPr>
            <w:tcW w:w="4272" w:type="dxa"/>
            <w:tcBorders>
              <w:right w:val="single" w:color="auto" w:sz="4" w:space="0"/>
            </w:tcBorders>
            <w:noWrap w:val="0"/>
            <w:vAlign w:val="center"/>
          </w:tcPr>
          <w:p w14:paraId="7EB9601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□满意         □不满意</w:t>
            </w:r>
          </w:p>
        </w:tc>
      </w:tr>
      <w:tr w14:paraId="7B167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99" w:type="dxa"/>
            <w:vMerge w:val="restart"/>
            <w:tcBorders>
              <w:left w:val="single" w:color="auto" w:sz="4" w:space="0"/>
            </w:tcBorders>
            <w:noWrap w:val="0"/>
            <w:vAlign w:val="center"/>
          </w:tcPr>
          <w:p w14:paraId="242645D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清洁部</w:t>
            </w:r>
          </w:p>
        </w:tc>
        <w:tc>
          <w:tcPr>
            <w:tcW w:w="3796" w:type="dxa"/>
            <w:tcBorders>
              <w:left w:val="single" w:color="auto" w:sz="4" w:space="0"/>
            </w:tcBorders>
            <w:noWrap w:val="0"/>
            <w:vAlign w:val="center"/>
          </w:tcPr>
          <w:p w14:paraId="65BC4DE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工作人员仪容仪表、服务态度</w:t>
            </w:r>
          </w:p>
        </w:tc>
        <w:tc>
          <w:tcPr>
            <w:tcW w:w="4272" w:type="dxa"/>
            <w:tcBorders>
              <w:right w:val="single" w:color="auto" w:sz="4" w:space="0"/>
            </w:tcBorders>
            <w:noWrap w:val="0"/>
            <w:vAlign w:val="center"/>
          </w:tcPr>
          <w:p w14:paraId="5835841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□满意         □不满意</w:t>
            </w:r>
          </w:p>
        </w:tc>
      </w:tr>
      <w:tr w14:paraId="4935B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99" w:type="dxa"/>
            <w:vMerge w:val="continue"/>
            <w:tcBorders>
              <w:left w:val="single" w:color="auto" w:sz="4" w:space="0"/>
            </w:tcBorders>
            <w:noWrap w:val="0"/>
            <w:vAlign w:val="center"/>
          </w:tcPr>
          <w:p w14:paraId="36A47A4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p>
        </w:tc>
        <w:tc>
          <w:tcPr>
            <w:tcW w:w="3796" w:type="dxa"/>
            <w:tcBorders>
              <w:left w:val="single" w:color="auto" w:sz="4" w:space="0"/>
            </w:tcBorders>
            <w:noWrap w:val="0"/>
            <w:vAlign w:val="center"/>
          </w:tcPr>
          <w:p w14:paraId="4E217D0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教学楼、实训楼、图书馆清洁</w:t>
            </w:r>
          </w:p>
        </w:tc>
        <w:tc>
          <w:tcPr>
            <w:tcW w:w="4272" w:type="dxa"/>
            <w:tcBorders>
              <w:right w:val="single" w:color="auto" w:sz="4" w:space="0"/>
            </w:tcBorders>
            <w:noWrap w:val="0"/>
            <w:vAlign w:val="center"/>
          </w:tcPr>
          <w:p w14:paraId="2BE7544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□满意         □不满意</w:t>
            </w:r>
          </w:p>
        </w:tc>
      </w:tr>
      <w:tr w14:paraId="5344B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99" w:type="dxa"/>
            <w:vMerge w:val="continue"/>
            <w:tcBorders>
              <w:left w:val="single" w:color="auto" w:sz="4" w:space="0"/>
            </w:tcBorders>
            <w:noWrap w:val="0"/>
            <w:vAlign w:val="center"/>
          </w:tcPr>
          <w:p w14:paraId="030F7B1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p>
        </w:tc>
        <w:tc>
          <w:tcPr>
            <w:tcW w:w="3796" w:type="dxa"/>
            <w:tcBorders>
              <w:left w:val="single" w:color="auto" w:sz="4" w:space="0"/>
            </w:tcBorders>
            <w:noWrap w:val="0"/>
            <w:vAlign w:val="center"/>
          </w:tcPr>
          <w:p w14:paraId="0368AD2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综合楼、办公室清洁</w:t>
            </w:r>
          </w:p>
        </w:tc>
        <w:tc>
          <w:tcPr>
            <w:tcW w:w="4272" w:type="dxa"/>
            <w:tcBorders>
              <w:right w:val="single" w:color="auto" w:sz="4" w:space="0"/>
            </w:tcBorders>
            <w:noWrap w:val="0"/>
            <w:vAlign w:val="center"/>
          </w:tcPr>
          <w:p w14:paraId="06BEE40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 xml:space="preserve">□满意         □不满意 </w:t>
            </w:r>
          </w:p>
        </w:tc>
      </w:tr>
      <w:tr w14:paraId="34A5A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99" w:type="dxa"/>
            <w:vMerge w:val="continue"/>
            <w:tcBorders>
              <w:left w:val="single" w:color="auto" w:sz="4" w:space="0"/>
            </w:tcBorders>
            <w:noWrap w:val="0"/>
            <w:vAlign w:val="center"/>
          </w:tcPr>
          <w:p w14:paraId="35645DD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p>
        </w:tc>
        <w:tc>
          <w:tcPr>
            <w:tcW w:w="3796" w:type="dxa"/>
            <w:tcBorders>
              <w:left w:val="single" w:color="auto" w:sz="4" w:space="0"/>
            </w:tcBorders>
            <w:noWrap w:val="0"/>
            <w:vAlign w:val="center"/>
          </w:tcPr>
          <w:p w14:paraId="005F244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公共场所清洁</w:t>
            </w:r>
          </w:p>
        </w:tc>
        <w:tc>
          <w:tcPr>
            <w:tcW w:w="4272" w:type="dxa"/>
            <w:tcBorders>
              <w:right w:val="single" w:color="auto" w:sz="4" w:space="0"/>
            </w:tcBorders>
            <w:noWrap w:val="0"/>
            <w:vAlign w:val="center"/>
          </w:tcPr>
          <w:p w14:paraId="344D3E5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 xml:space="preserve">□满意         □不满意 </w:t>
            </w:r>
          </w:p>
        </w:tc>
      </w:tr>
      <w:tr w14:paraId="1B933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99" w:type="dxa"/>
            <w:vMerge w:val="continue"/>
            <w:tcBorders>
              <w:left w:val="single" w:color="auto" w:sz="4" w:space="0"/>
            </w:tcBorders>
            <w:noWrap w:val="0"/>
            <w:vAlign w:val="center"/>
          </w:tcPr>
          <w:p w14:paraId="4FDC8F0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p>
        </w:tc>
        <w:tc>
          <w:tcPr>
            <w:tcW w:w="3796" w:type="dxa"/>
            <w:tcBorders>
              <w:left w:val="single" w:color="auto" w:sz="4" w:space="0"/>
            </w:tcBorders>
            <w:noWrap w:val="0"/>
            <w:vAlign w:val="center"/>
          </w:tcPr>
          <w:p w14:paraId="5E4518E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室外广场、绿地清洁</w:t>
            </w:r>
          </w:p>
        </w:tc>
        <w:tc>
          <w:tcPr>
            <w:tcW w:w="4272" w:type="dxa"/>
            <w:tcBorders>
              <w:right w:val="single" w:color="auto" w:sz="4" w:space="0"/>
            </w:tcBorders>
            <w:noWrap w:val="0"/>
            <w:vAlign w:val="center"/>
          </w:tcPr>
          <w:p w14:paraId="7FB3E5A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□满意         □不满意</w:t>
            </w:r>
          </w:p>
        </w:tc>
      </w:tr>
      <w:tr w14:paraId="6A8CD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99" w:type="dxa"/>
            <w:vMerge w:val="continue"/>
            <w:tcBorders>
              <w:left w:val="single" w:color="auto" w:sz="4" w:space="0"/>
            </w:tcBorders>
            <w:noWrap w:val="0"/>
            <w:vAlign w:val="center"/>
          </w:tcPr>
          <w:p w14:paraId="6BAFCAB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p>
        </w:tc>
        <w:tc>
          <w:tcPr>
            <w:tcW w:w="3796" w:type="dxa"/>
            <w:tcBorders>
              <w:left w:val="single" w:color="auto" w:sz="4" w:space="0"/>
            </w:tcBorders>
            <w:noWrap w:val="0"/>
            <w:vAlign w:val="center"/>
          </w:tcPr>
          <w:p w14:paraId="09B7288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卫生间卫生状况</w:t>
            </w:r>
          </w:p>
        </w:tc>
        <w:tc>
          <w:tcPr>
            <w:tcW w:w="4272" w:type="dxa"/>
            <w:tcBorders>
              <w:right w:val="single" w:color="auto" w:sz="4" w:space="0"/>
            </w:tcBorders>
            <w:noWrap w:val="0"/>
            <w:vAlign w:val="center"/>
          </w:tcPr>
          <w:p w14:paraId="3F281FF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 xml:space="preserve">□满意         □不满意 </w:t>
            </w:r>
          </w:p>
        </w:tc>
      </w:tr>
      <w:tr w14:paraId="24591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99" w:type="dxa"/>
            <w:vMerge w:val="restart"/>
            <w:tcBorders>
              <w:left w:val="single" w:color="auto" w:sz="4" w:space="0"/>
            </w:tcBorders>
            <w:noWrap w:val="0"/>
            <w:vAlign w:val="center"/>
          </w:tcPr>
          <w:p w14:paraId="53345BC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管理处</w:t>
            </w:r>
          </w:p>
        </w:tc>
        <w:tc>
          <w:tcPr>
            <w:tcW w:w="3796" w:type="dxa"/>
            <w:tcBorders>
              <w:left w:val="single" w:color="auto" w:sz="4" w:space="0"/>
            </w:tcBorders>
            <w:noWrap w:val="0"/>
            <w:vAlign w:val="center"/>
          </w:tcPr>
          <w:p w14:paraId="66C9BB7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工作人员仪容仪表、服务态度</w:t>
            </w:r>
          </w:p>
        </w:tc>
        <w:tc>
          <w:tcPr>
            <w:tcW w:w="4272" w:type="dxa"/>
            <w:tcBorders>
              <w:right w:val="single" w:color="auto" w:sz="4" w:space="0"/>
            </w:tcBorders>
            <w:noWrap w:val="0"/>
            <w:vAlign w:val="center"/>
          </w:tcPr>
          <w:p w14:paraId="3FB3136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 xml:space="preserve">□满意         □不满意 </w:t>
            </w:r>
          </w:p>
        </w:tc>
      </w:tr>
      <w:tr w14:paraId="5E93C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99" w:type="dxa"/>
            <w:vMerge w:val="continue"/>
            <w:tcBorders>
              <w:left w:val="single" w:color="auto" w:sz="4" w:space="0"/>
            </w:tcBorders>
            <w:noWrap w:val="0"/>
            <w:vAlign w:val="center"/>
          </w:tcPr>
          <w:p w14:paraId="5FFE073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p>
        </w:tc>
        <w:tc>
          <w:tcPr>
            <w:tcW w:w="3796" w:type="dxa"/>
            <w:tcBorders>
              <w:left w:val="single" w:color="auto" w:sz="4" w:space="0"/>
            </w:tcBorders>
            <w:noWrap w:val="0"/>
            <w:vAlign w:val="center"/>
          </w:tcPr>
          <w:p w14:paraId="4A043E9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及时处理报障、报修</w:t>
            </w:r>
          </w:p>
        </w:tc>
        <w:tc>
          <w:tcPr>
            <w:tcW w:w="4272" w:type="dxa"/>
            <w:tcBorders>
              <w:right w:val="single" w:color="auto" w:sz="4" w:space="0"/>
            </w:tcBorders>
            <w:noWrap w:val="0"/>
            <w:vAlign w:val="center"/>
          </w:tcPr>
          <w:p w14:paraId="1218323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□满意         □不满意</w:t>
            </w:r>
          </w:p>
        </w:tc>
      </w:tr>
      <w:tr w14:paraId="59389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99" w:type="dxa"/>
            <w:vMerge w:val="continue"/>
            <w:tcBorders>
              <w:left w:val="single" w:color="auto" w:sz="4" w:space="0"/>
            </w:tcBorders>
            <w:noWrap w:val="0"/>
            <w:vAlign w:val="center"/>
          </w:tcPr>
          <w:p w14:paraId="15C659F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p>
        </w:tc>
        <w:tc>
          <w:tcPr>
            <w:tcW w:w="3796" w:type="dxa"/>
            <w:tcBorders>
              <w:left w:val="single" w:color="auto" w:sz="4" w:space="0"/>
            </w:tcBorders>
            <w:noWrap w:val="0"/>
            <w:vAlign w:val="center"/>
          </w:tcPr>
          <w:p w14:paraId="31706AB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投诉处理、回访及时率</w:t>
            </w:r>
          </w:p>
        </w:tc>
        <w:tc>
          <w:tcPr>
            <w:tcW w:w="4272" w:type="dxa"/>
            <w:tcBorders>
              <w:right w:val="single" w:color="auto" w:sz="4" w:space="0"/>
            </w:tcBorders>
            <w:noWrap w:val="0"/>
            <w:vAlign w:val="center"/>
          </w:tcPr>
          <w:p w14:paraId="1C64D6B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 xml:space="preserve">□满意         □不满意  </w:t>
            </w:r>
          </w:p>
        </w:tc>
      </w:tr>
      <w:tr w14:paraId="2EA9E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99" w:type="dxa"/>
            <w:vMerge w:val="continue"/>
            <w:tcBorders>
              <w:left w:val="single" w:color="auto" w:sz="4" w:space="0"/>
            </w:tcBorders>
            <w:noWrap w:val="0"/>
            <w:vAlign w:val="center"/>
          </w:tcPr>
          <w:p w14:paraId="2441114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p>
        </w:tc>
        <w:tc>
          <w:tcPr>
            <w:tcW w:w="3796" w:type="dxa"/>
            <w:tcBorders>
              <w:left w:val="single" w:color="auto" w:sz="4" w:space="0"/>
            </w:tcBorders>
            <w:noWrap w:val="0"/>
            <w:vAlign w:val="center"/>
          </w:tcPr>
          <w:p w14:paraId="6ACF08E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巡查、巡视的情况</w:t>
            </w:r>
            <w:r>
              <w:rPr>
                <w:rFonts w:hint="eastAsia" w:ascii="仿宋_GB2312" w:hAnsi="仿宋_GB2312" w:eastAsia="仿宋_GB2312" w:cs="仿宋_GB2312"/>
                <w:szCs w:val="21"/>
                <w:lang w:eastAsia="zh-CN"/>
              </w:rPr>
              <w:tab/>
            </w:r>
          </w:p>
        </w:tc>
        <w:tc>
          <w:tcPr>
            <w:tcW w:w="4272" w:type="dxa"/>
            <w:tcBorders>
              <w:right w:val="single" w:color="auto" w:sz="4" w:space="0"/>
            </w:tcBorders>
            <w:noWrap w:val="0"/>
            <w:vAlign w:val="center"/>
          </w:tcPr>
          <w:p w14:paraId="1301BF6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 xml:space="preserve">□满意         □不满意 </w:t>
            </w:r>
          </w:p>
        </w:tc>
      </w:tr>
      <w:tr w14:paraId="6F785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99" w:type="dxa"/>
            <w:vMerge w:val="continue"/>
            <w:tcBorders>
              <w:left w:val="single" w:color="auto" w:sz="4" w:space="0"/>
            </w:tcBorders>
            <w:noWrap w:val="0"/>
            <w:vAlign w:val="center"/>
          </w:tcPr>
          <w:p w14:paraId="052CB5A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p>
        </w:tc>
        <w:tc>
          <w:tcPr>
            <w:tcW w:w="3796" w:type="dxa"/>
            <w:tcBorders>
              <w:left w:val="single" w:color="auto" w:sz="4" w:space="0"/>
            </w:tcBorders>
            <w:noWrap w:val="0"/>
            <w:vAlign w:val="center"/>
          </w:tcPr>
          <w:p w14:paraId="66AD13A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及时、全面灭蚊杀虫情况</w:t>
            </w:r>
          </w:p>
        </w:tc>
        <w:tc>
          <w:tcPr>
            <w:tcW w:w="4272" w:type="dxa"/>
            <w:tcBorders>
              <w:right w:val="single" w:color="auto" w:sz="4" w:space="0"/>
            </w:tcBorders>
            <w:noWrap w:val="0"/>
            <w:vAlign w:val="center"/>
          </w:tcPr>
          <w:p w14:paraId="2DFBDCA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□满意         □不满意</w:t>
            </w:r>
          </w:p>
        </w:tc>
      </w:tr>
      <w:tr w14:paraId="6D9D3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99" w:type="dxa"/>
            <w:tcBorders>
              <w:left w:val="single" w:color="auto" w:sz="4" w:space="0"/>
            </w:tcBorders>
            <w:noWrap w:val="0"/>
            <w:vAlign w:val="center"/>
          </w:tcPr>
          <w:p w14:paraId="20A96EB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p>
        </w:tc>
        <w:tc>
          <w:tcPr>
            <w:tcW w:w="3796" w:type="dxa"/>
            <w:tcBorders>
              <w:left w:val="single" w:color="auto" w:sz="4" w:space="0"/>
            </w:tcBorders>
            <w:noWrap w:val="0"/>
            <w:vAlign w:val="center"/>
          </w:tcPr>
          <w:p w14:paraId="03C1BA9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供餐及时</w:t>
            </w:r>
          </w:p>
        </w:tc>
        <w:tc>
          <w:tcPr>
            <w:tcW w:w="4272" w:type="dxa"/>
            <w:tcBorders>
              <w:right w:val="single" w:color="auto" w:sz="4" w:space="0"/>
            </w:tcBorders>
            <w:noWrap w:val="0"/>
            <w:vAlign w:val="center"/>
          </w:tcPr>
          <w:p w14:paraId="7696CA9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□满意         □不满意</w:t>
            </w:r>
          </w:p>
        </w:tc>
      </w:tr>
      <w:tr w14:paraId="155D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99" w:type="dxa"/>
            <w:tcBorders>
              <w:left w:val="single" w:color="auto" w:sz="4" w:space="0"/>
            </w:tcBorders>
            <w:noWrap w:val="0"/>
            <w:vAlign w:val="center"/>
          </w:tcPr>
          <w:p w14:paraId="74A9CAA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p>
        </w:tc>
        <w:tc>
          <w:tcPr>
            <w:tcW w:w="3796" w:type="dxa"/>
            <w:tcBorders>
              <w:left w:val="single" w:color="auto" w:sz="4" w:space="0"/>
            </w:tcBorders>
            <w:noWrap w:val="0"/>
            <w:vAlign w:val="center"/>
          </w:tcPr>
          <w:p w14:paraId="7A2DF2E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每份饭菜数量足额</w:t>
            </w:r>
          </w:p>
        </w:tc>
        <w:tc>
          <w:tcPr>
            <w:tcW w:w="4272" w:type="dxa"/>
            <w:tcBorders>
              <w:right w:val="single" w:color="auto" w:sz="4" w:space="0"/>
            </w:tcBorders>
            <w:noWrap w:val="0"/>
            <w:vAlign w:val="center"/>
          </w:tcPr>
          <w:p w14:paraId="3202FEF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□满意         □不满意</w:t>
            </w:r>
          </w:p>
        </w:tc>
      </w:tr>
      <w:tr w14:paraId="6181B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99" w:type="dxa"/>
            <w:tcBorders>
              <w:left w:val="single" w:color="auto" w:sz="4" w:space="0"/>
            </w:tcBorders>
            <w:noWrap w:val="0"/>
            <w:vAlign w:val="center"/>
          </w:tcPr>
          <w:p w14:paraId="40F0110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p>
        </w:tc>
        <w:tc>
          <w:tcPr>
            <w:tcW w:w="3796" w:type="dxa"/>
            <w:tcBorders>
              <w:left w:val="single" w:color="auto" w:sz="4" w:space="0"/>
            </w:tcBorders>
            <w:noWrap w:val="0"/>
            <w:vAlign w:val="center"/>
          </w:tcPr>
          <w:p w14:paraId="2C04D25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饭菜质量新鲜可口</w:t>
            </w:r>
          </w:p>
        </w:tc>
        <w:tc>
          <w:tcPr>
            <w:tcW w:w="4272" w:type="dxa"/>
            <w:tcBorders>
              <w:right w:val="single" w:color="auto" w:sz="4" w:space="0"/>
            </w:tcBorders>
            <w:noWrap w:val="0"/>
            <w:vAlign w:val="center"/>
          </w:tcPr>
          <w:p w14:paraId="156F2C4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□满意         □不满意</w:t>
            </w:r>
          </w:p>
        </w:tc>
      </w:tr>
      <w:tr w14:paraId="7BA96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99" w:type="dxa"/>
            <w:tcBorders>
              <w:left w:val="single" w:color="auto" w:sz="4" w:space="0"/>
            </w:tcBorders>
            <w:noWrap w:val="0"/>
            <w:vAlign w:val="center"/>
          </w:tcPr>
          <w:p w14:paraId="01AD97B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p>
        </w:tc>
        <w:tc>
          <w:tcPr>
            <w:tcW w:w="3796" w:type="dxa"/>
            <w:tcBorders>
              <w:left w:val="single" w:color="auto" w:sz="4" w:space="0"/>
            </w:tcBorders>
            <w:noWrap w:val="0"/>
            <w:vAlign w:val="center"/>
          </w:tcPr>
          <w:p w14:paraId="7FD3045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门卫管理规范</w:t>
            </w:r>
          </w:p>
        </w:tc>
        <w:tc>
          <w:tcPr>
            <w:tcW w:w="4272" w:type="dxa"/>
            <w:tcBorders>
              <w:right w:val="single" w:color="auto" w:sz="4" w:space="0"/>
            </w:tcBorders>
            <w:noWrap w:val="0"/>
            <w:vAlign w:val="center"/>
          </w:tcPr>
          <w:p w14:paraId="358F1B4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□满意         □不满意</w:t>
            </w:r>
          </w:p>
        </w:tc>
      </w:tr>
      <w:tr w14:paraId="4AB68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99" w:type="dxa"/>
            <w:tcBorders>
              <w:left w:val="single" w:color="auto" w:sz="4" w:space="0"/>
            </w:tcBorders>
            <w:noWrap w:val="0"/>
            <w:vAlign w:val="center"/>
          </w:tcPr>
          <w:p w14:paraId="538B3F0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p>
        </w:tc>
        <w:tc>
          <w:tcPr>
            <w:tcW w:w="3796" w:type="dxa"/>
            <w:tcBorders>
              <w:left w:val="single" w:color="auto" w:sz="4" w:space="0"/>
            </w:tcBorders>
            <w:noWrap w:val="0"/>
            <w:vAlign w:val="center"/>
          </w:tcPr>
          <w:p w14:paraId="34EC345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保安巡逻处置及时</w:t>
            </w:r>
          </w:p>
        </w:tc>
        <w:tc>
          <w:tcPr>
            <w:tcW w:w="4272" w:type="dxa"/>
            <w:tcBorders>
              <w:right w:val="single" w:color="auto" w:sz="4" w:space="0"/>
            </w:tcBorders>
            <w:noWrap w:val="0"/>
            <w:vAlign w:val="center"/>
          </w:tcPr>
          <w:p w14:paraId="579A3A6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□满意         □不满意</w:t>
            </w:r>
          </w:p>
        </w:tc>
      </w:tr>
      <w:tr w14:paraId="43E42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495" w:type="dxa"/>
            <w:gridSpan w:val="2"/>
            <w:tcBorders>
              <w:left w:val="single" w:color="auto" w:sz="4" w:space="0"/>
            </w:tcBorders>
            <w:noWrap w:val="0"/>
            <w:vAlign w:val="center"/>
          </w:tcPr>
          <w:p w14:paraId="1DF440C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整体服务质量情况</w:t>
            </w:r>
          </w:p>
        </w:tc>
        <w:tc>
          <w:tcPr>
            <w:tcW w:w="4272" w:type="dxa"/>
            <w:tcBorders>
              <w:right w:val="single" w:color="auto" w:sz="4" w:space="0"/>
            </w:tcBorders>
            <w:noWrap w:val="0"/>
            <w:vAlign w:val="center"/>
          </w:tcPr>
          <w:p w14:paraId="42D8F7F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□满意        □不满意</w:t>
            </w:r>
          </w:p>
        </w:tc>
      </w:tr>
      <w:tr w14:paraId="65D3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767" w:type="dxa"/>
            <w:gridSpan w:val="3"/>
            <w:tcBorders>
              <w:left w:val="single" w:color="auto" w:sz="4" w:space="0"/>
              <w:bottom w:val="single" w:color="auto" w:sz="4" w:space="0"/>
              <w:right w:val="single" w:color="auto" w:sz="4" w:space="0"/>
            </w:tcBorders>
            <w:noWrap w:val="0"/>
            <w:vAlign w:val="center"/>
          </w:tcPr>
          <w:p w14:paraId="6CAEDB1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主要问题及建议：</w:t>
            </w:r>
          </w:p>
          <w:p w14:paraId="455BE8E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 xml:space="preserve">（可另附页）。              </w:t>
            </w:r>
          </w:p>
          <w:p w14:paraId="025F928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年     月    日</w:t>
            </w:r>
          </w:p>
        </w:tc>
      </w:tr>
    </w:tbl>
    <w:p w14:paraId="18DAC8F0">
      <w:pPr>
        <w:spacing w:line="360" w:lineRule="auto"/>
        <w:rPr>
          <w:rFonts w:hint="eastAsia" w:ascii="仿宋_GB2312" w:hAnsi="仿宋_GB2312" w:eastAsia="仿宋_GB2312" w:cs="仿宋_GB2312"/>
          <w:szCs w:val="21"/>
          <w:lang w:eastAsia="zh-CN"/>
        </w:rPr>
      </w:pPr>
    </w:p>
    <w:p w14:paraId="56AD5D5A">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学校物业管理和后勤服务公司服务满意度调查表（学生）</w:t>
      </w:r>
    </w:p>
    <w:tbl>
      <w:tblPr>
        <w:tblStyle w:val="21"/>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3813"/>
        <w:gridCol w:w="4423"/>
      </w:tblGrid>
      <w:tr w14:paraId="36483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855" w:type="dxa"/>
            <w:gridSpan w:val="3"/>
            <w:tcBorders>
              <w:left w:val="single" w:color="auto" w:sz="4" w:space="0"/>
              <w:right w:val="single" w:color="auto" w:sz="4" w:space="0"/>
            </w:tcBorders>
            <w:noWrap w:val="0"/>
            <w:vAlign w:val="center"/>
          </w:tcPr>
          <w:p w14:paraId="35987966">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调  查  内  容  及  评 价</w:t>
            </w:r>
          </w:p>
        </w:tc>
      </w:tr>
      <w:tr w14:paraId="7AB46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9" w:type="dxa"/>
            <w:vMerge w:val="restart"/>
            <w:tcBorders>
              <w:left w:val="single" w:color="auto" w:sz="4" w:space="0"/>
            </w:tcBorders>
            <w:noWrap w:val="0"/>
            <w:vAlign w:val="center"/>
          </w:tcPr>
          <w:p w14:paraId="7D4CCD1C">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宿管</w:t>
            </w:r>
          </w:p>
        </w:tc>
        <w:tc>
          <w:tcPr>
            <w:tcW w:w="3813" w:type="dxa"/>
            <w:tcBorders>
              <w:left w:val="single" w:color="auto" w:sz="4" w:space="0"/>
            </w:tcBorders>
            <w:noWrap w:val="0"/>
            <w:vAlign w:val="center"/>
          </w:tcPr>
          <w:p w14:paraId="3E3F293E">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宿管员仪容仪表、服务态度</w:t>
            </w:r>
          </w:p>
        </w:tc>
        <w:tc>
          <w:tcPr>
            <w:tcW w:w="4423" w:type="dxa"/>
            <w:tcBorders>
              <w:right w:val="single" w:color="auto" w:sz="4" w:space="0"/>
            </w:tcBorders>
            <w:noWrap w:val="0"/>
            <w:vAlign w:val="center"/>
          </w:tcPr>
          <w:p w14:paraId="661B1F60">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 xml:space="preserve">□满意          □不满意  </w:t>
            </w:r>
          </w:p>
        </w:tc>
      </w:tr>
      <w:tr w14:paraId="58F4A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9" w:type="dxa"/>
            <w:vMerge w:val="continue"/>
            <w:tcBorders>
              <w:left w:val="single" w:color="auto" w:sz="4" w:space="0"/>
            </w:tcBorders>
            <w:noWrap w:val="0"/>
            <w:vAlign w:val="center"/>
          </w:tcPr>
          <w:p w14:paraId="66F0E82E">
            <w:pPr>
              <w:spacing w:line="360" w:lineRule="auto"/>
              <w:rPr>
                <w:rFonts w:hint="eastAsia" w:ascii="仿宋_GB2312" w:hAnsi="仿宋_GB2312" w:eastAsia="仿宋_GB2312" w:cs="仿宋_GB2312"/>
                <w:szCs w:val="21"/>
                <w:lang w:eastAsia="zh-CN"/>
              </w:rPr>
            </w:pPr>
          </w:p>
        </w:tc>
        <w:tc>
          <w:tcPr>
            <w:tcW w:w="3813" w:type="dxa"/>
            <w:tcBorders>
              <w:left w:val="single" w:color="auto" w:sz="4" w:space="0"/>
            </w:tcBorders>
            <w:noWrap w:val="0"/>
            <w:vAlign w:val="center"/>
          </w:tcPr>
          <w:p w14:paraId="5519E73B">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宿管员责任心情况</w:t>
            </w:r>
          </w:p>
        </w:tc>
        <w:tc>
          <w:tcPr>
            <w:tcW w:w="4423" w:type="dxa"/>
            <w:tcBorders>
              <w:right w:val="single" w:color="auto" w:sz="4" w:space="0"/>
            </w:tcBorders>
            <w:noWrap w:val="0"/>
            <w:vAlign w:val="center"/>
          </w:tcPr>
          <w:p w14:paraId="1D16CB85">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□满意          □不满意</w:t>
            </w:r>
          </w:p>
        </w:tc>
      </w:tr>
      <w:tr w14:paraId="667C6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9" w:type="dxa"/>
            <w:vMerge w:val="continue"/>
            <w:tcBorders>
              <w:left w:val="single" w:color="auto" w:sz="4" w:space="0"/>
            </w:tcBorders>
            <w:noWrap w:val="0"/>
            <w:vAlign w:val="center"/>
          </w:tcPr>
          <w:p w14:paraId="182DA779">
            <w:pPr>
              <w:spacing w:line="360" w:lineRule="auto"/>
              <w:rPr>
                <w:rFonts w:hint="eastAsia" w:ascii="仿宋_GB2312" w:hAnsi="仿宋_GB2312" w:eastAsia="仿宋_GB2312" w:cs="仿宋_GB2312"/>
                <w:szCs w:val="21"/>
                <w:lang w:eastAsia="zh-CN"/>
              </w:rPr>
            </w:pPr>
          </w:p>
        </w:tc>
        <w:tc>
          <w:tcPr>
            <w:tcW w:w="3813" w:type="dxa"/>
            <w:tcBorders>
              <w:left w:val="single" w:color="auto" w:sz="4" w:space="0"/>
            </w:tcBorders>
            <w:noWrap w:val="0"/>
            <w:vAlign w:val="center"/>
          </w:tcPr>
          <w:p w14:paraId="0AF63799">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宿管员在岗情况</w:t>
            </w:r>
          </w:p>
        </w:tc>
        <w:tc>
          <w:tcPr>
            <w:tcW w:w="4423" w:type="dxa"/>
            <w:tcBorders>
              <w:right w:val="single" w:color="auto" w:sz="4" w:space="0"/>
            </w:tcBorders>
            <w:noWrap w:val="0"/>
            <w:vAlign w:val="center"/>
          </w:tcPr>
          <w:p w14:paraId="7CA091C2">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□满意          □不满意</w:t>
            </w:r>
          </w:p>
        </w:tc>
      </w:tr>
      <w:tr w14:paraId="16F54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9" w:type="dxa"/>
            <w:vMerge w:val="continue"/>
            <w:tcBorders>
              <w:left w:val="single" w:color="auto" w:sz="4" w:space="0"/>
            </w:tcBorders>
            <w:noWrap w:val="0"/>
            <w:vAlign w:val="center"/>
          </w:tcPr>
          <w:p w14:paraId="3B5A6782">
            <w:pPr>
              <w:spacing w:line="360" w:lineRule="auto"/>
              <w:rPr>
                <w:rFonts w:hint="eastAsia" w:ascii="仿宋_GB2312" w:hAnsi="仿宋_GB2312" w:eastAsia="仿宋_GB2312" w:cs="仿宋_GB2312"/>
                <w:szCs w:val="21"/>
                <w:lang w:eastAsia="zh-CN"/>
              </w:rPr>
            </w:pPr>
          </w:p>
        </w:tc>
        <w:tc>
          <w:tcPr>
            <w:tcW w:w="3813" w:type="dxa"/>
            <w:tcBorders>
              <w:left w:val="single" w:color="auto" w:sz="4" w:space="0"/>
            </w:tcBorders>
            <w:noWrap w:val="0"/>
            <w:vAlign w:val="center"/>
          </w:tcPr>
          <w:p w14:paraId="1F102D0E">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宿管员处理应急事件及时率</w:t>
            </w:r>
          </w:p>
        </w:tc>
        <w:tc>
          <w:tcPr>
            <w:tcW w:w="4423" w:type="dxa"/>
            <w:tcBorders>
              <w:right w:val="single" w:color="auto" w:sz="4" w:space="0"/>
            </w:tcBorders>
            <w:noWrap w:val="0"/>
            <w:vAlign w:val="center"/>
          </w:tcPr>
          <w:p w14:paraId="53915BE3">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□满意          □不满意</w:t>
            </w:r>
          </w:p>
        </w:tc>
      </w:tr>
      <w:tr w14:paraId="2FF14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9" w:type="dxa"/>
            <w:vMerge w:val="continue"/>
            <w:tcBorders>
              <w:left w:val="single" w:color="auto" w:sz="4" w:space="0"/>
            </w:tcBorders>
            <w:noWrap w:val="0"/>
            <w:vAlign w:val="center"/>
          </w:tcPr>
          <w:p w14:paraId="73AFADEC">
            <w:pPr>
              <w:spacing w:line="360" w:lineRule="auto"/>
              <w:rPr>
                <w:rFonts w:hint="eastAsia" w:ascii="仿宋_GB2312" w:hAnsi="仿宋_GB2312" w:eastAsia="仿宋_GB2312" w:cs="仿宋_GB2312"/>
                <w:szCs w:val="21"/>
                <w:lang w:eastAsia="zh-CN"/>
              </w:rPr>
            </w:pPr>
          </w:p>
        </w:tc>
        <w:tc>
          <w:tcPr>
            <w:tcW w:w="3813" w:type="dxa"/>
            <w:tcBorders>
              <w:left w:val="single" w:color="auto" w:sz="4" w:space="0"/>
            </w:tcBorders>
            <w:noWrap w:val="0"/>
            <w:vAlign w:val="center"/>
          </w:tcPr>
          <w:p w14:paraId="736722AA">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宿管员对公共场所管理情况</w:t>
            </w:r>
          </w:p>
        </w:tc>
        <w:tc>
          <w:tcPr>
            <w:tcW w:w="4423" w:type="dxa"/>
            <w:tcBorders>
              <w:right w:val="single" w:color="auto" w:sz="4" w:space="0"/>
            </w:tcBorders>
            <w:noWrap w:val="0"/>
            <w:vAlign w:val="center"/>
          </w:tcPr>
          <w:p w14:paraId="50B915A8">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□满意          □不满意</w:t>
            </w:r>
          </w:p>
        </w:tc>
      </w:tr>
      <w:tr w14:paraId="2796D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9" w:type="dxa"/>
            <w:vMerge w:val="restart"/>
            <w:tcBorders>
              <w:left w:val="single" w:color="auto" w:sz="4" w:space="0"/>
            </w:tcBorders>
            <w:noWrap w:val="0"/>
            <w:vAlign w:val="center"/>
          </w:tcPr>
          <w:p w14:paraId="729C7557">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维修</w:t>
            </w:r>
          </w:p>
        </w:tc>
        <w:tc>
          <w:tcPr>
            <w:tcW w:w="3813" w:type="dxa"/>
            <w:tcBorders>
              <w:left w:val="single" w:color="auto" w:sz="4" w:space="0"/>
            </w:tcBorders>
            <w:noWrap w:val="0"/>
            <w:vAlign w:val="center"/>
          </w:tcPr>
          <w:p w14:paraId="635899D0">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工作人员仪容仪表、服务态度</w:t>
            </w:r>
          </w:p>
        </w:tc>
        <w:tc>
          <w:tcPr>
            <w:tcW w:w="4423" w:type="dxa"/>
            <w:tcBorders>
              <w:right w:val="single" w:color="auto" w:sz="4" w:space="0"/>
            </w:tcBorders>
            <w:noWrap w:val="0"/>
            <w:vAlign w:val="center"/>
          </w:tcPr>
          <w:p w14:paraId="61EFF43C">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 xml:space="preserve">□满意          □不满意 </w:t>
            </w:r>
          </w:p>
        </w:tc>
      </w:tr>
      <w:tr w14:paraId="250BA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9" w:type="dxa"/>
            <w:vMerge w:val="continue"/>
            <w:tcBorders>
              <w:left w:val="single" w:color="auto" w:sz="4" w:space="0"/>
            </w:tcBorders>
            <w:noWrap w:val="0"/>
            <w:vAlign w:val="center"/>
          </w:tcPr>
          <w:p w14:paraId="77429D4D">
            <w:pPr>
              <w:spacing w:line="360" w:lineRule="auto"/>
              <w:rPr>
                <w:rFonts w:hint="eastAsia" w:ascii="仿宋_GB2312" w:hAnsi="仿宋_GB2312" w:eastAsia="仿宋_GB2312" w:cs="仿宋_GB2312"/>
                <w:szCs w:val="21"/>
                <w:lang w:eastAsia="zh-CN"/>
              </w:rPr>
            </w:pPr>
          </w:p>
        </w:tc>
        <w:tc>
          <w:tcPr>
            <w:tcW w:w="3813" w:type="dxa"/>
            <w:tcBorders>
              <w:left w:val="single" w:color="auto" w:sz="4" w:space="0"/>
            </w:tcBorders>
            <w:noWrap w:val="0"/>
            <w:vAlign w:val="center"/>
          </w:tcPr>
          <w:p w14:paraId="67331A4D">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设施设备及附属管理情况</w:t>
            </w:r>
          </w:p>
        </w:tc>
        <w:tc>
          <w:tcPr>
            <w:tcW w:w="4423" w:type="dxa"/>
            <w:tcBorders>
              <w:right w:val="single" w:color="auto" w:sz="4" w:space="0"/>
            </w:tcBorders>
            <w:noWrap w:val="0"/>
            <w:vAlign w:val="center"/>
          </w:tcPr>
          <w:p w14:paraId="33D91A33">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□满意          □不满意</w:t>
            </w:r>
          </w:p>
        </w:tc>
      </w:tr>
      <w:tr w14:paraId="6D3B6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9" w:type="dxa"/>
            <w:vMerge w:val="continue"/>
            <w:tcBorders>
              <w:left w:val="single" w:color="auto" w:sz="4" w:space="0"/>
            </w:tcBorders>
            <w:noWrap w:val="0"/>
            <w:vAlign w:val="center"/>
          </w:tcPr>
          <w:p w14:paraId="6940F5F2">
            <w:pPr>
              <w:spacing w:line="360" w:lineRule="auto"/>
              <w:rPr>
                <w:rFonts w:hint="eastAsia" w:ascii="仿宋_GB2312" w:hAnsi="仿宋_GB2312" w:eastAsia="仿宋_GB2312" w:cs="仿宋_GB2312"/>
                <w:szCs w:val="21"/>
                <w:lang w:eastAsia="zh-CN"/>
              </w:rPr>
            </w:pPr>
          </w:p>
        </w:tc>
        <w:tc>
          <w:tcPr>
            <w:tcW w:w="3813" w:type="dxa"/>
            <w:tcBorders>
              <w:left w:val="single" w:color="auto" w:sz="4" w:space="0"/>
            </w:tcBorders>
            <w:noWrap w:val="0"/>
            <w:vAlign w:val="center"/>
          </w:tcPr>
          <w:p w14:paraId="4B3E607C">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维修的质量情况</w:t>
            </w:r>
          </w:p>
        </w:tc>
        <w:tc>
          <w:tcPr>
            <w:tcW w:w="4423" w:type="dxa"/>
            <w:tcBorders>
              <w:right w:val="single" w:color="auto" w:sz="4" w:space="0"/>
            </w:tcBorders>
            <w:noWrap w:val="0"/>
            <w:vAlign w:val="center"/>
          </w:tcPr>
          <w:p w14:paraId="59626BBD">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 xml:space="preserve">□满意          □不满意 </w:t>
            </w:r>
          </w:p>
        </w:tc>
      </w:tr>
      <w:tr w14:paraId="6AB5A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9" w:type="dxa"/>
            <w:vMerge w:val="continue"/>
            <w:tcBorders>
              <w:left w:val="single" w:color="auto" w:sz="4" w:space="0"/>
            </w:tcBorders>
            <w:noWrap w:val="0"/>
            <w:vAlign w:val="center"/>
          </w:tcPr>
          <w:p w14:paraId="6727BBF4">
            <w:pPr>
              <w:spacing w:line="360" w:lineRule="auto"/>
              <w:rPr>
                <w:rFonts w:hint="eastAsia" w:ascii="仿宋_GB2312" w:hAnsi="仿宋_GB2312" w:eastAsia="仿宋_GB2312" w:cs="仿宋_GB2312"/>
                <w:szCs w:val="21"/>
                <w:lang w:eastAsia="zh-CN"/>
              </w:rPr>
            </w:pPr>
          </w:p>
        </w:tc>
        <w:tc>
          <w:tcPr>
            <w:tcW w:w="3813" w:type="dxa"/>
            <w:tcBorders>
              <w:left w:val="single" w:color="auto" w:sz="4" w:space="0"/>
            </w:tcBorders>
            <w:noWrap w:val="0"/>
            <w:vAlign w:val="center"/>
          </w:tcPr>
          <w:p w14:paraId="454E9F96">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维修及时率</w:t>
            </w:r>
          </w:p>
        </w:tc>
        <w:tc>
          <w:tcPr>
            <w:tcW w:w="4423" w:type="dxa"/>
            <w:tcBorders>
              <w:right w:val="single" w:color="auto" w:sz="4" w:space="0"/>
            </w:tcBorders>
            <w:noWrap w:val="0"/>
            <w:vAlign w:val="center"/>
          </w:tcPr>
          <w:p w14:paraId="7B63DDE9">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□满意          □不满意</w:t>
            </w:r>
          </w:p>
        </w:tc>
      </w:tr>
      <w:tr w14:paraId="42395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19" w:type="dxa"/>
            <w:vMerge w:val="restart"/>
            <w:tcBorders>
              <w:left w:val="single" w:color="auto" w:sz="4" w:space="0"/>
            </w:tcBorders>
            <w:noWrap w:val="0"/>
            <w:vAlign w:val="center"/>
          </w:tcPr>
          <w:p w14:paraId="7F77178B">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清洁</w:t>
            </w:r>
          </w:p>
        </w:tc>
        <w:tc>
          <w:tcPr>
            <w:tcW w:w="3813" w:type="dxa"/>
            <w:tcBorders>
              <w:left w:val="single" w:color="auto" w:sz="4" w:space="0"/>
            </w:tcBorders>
            <w:noWrap w:val="0"/>
            <w:vAlign w:val="center"/>
          </w:tcPr>
          <w:p w14:paraId="73B148FA">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工作人员仪容仪表、服务态度</w:t>
            </w:r>
          </w:p>
        </w:tc>
        <w:tc>
          <w:tcPr>
            <w:tcW w:w="4423" w:type="dxa"/>
            <w:tcBorders>
              <w:right w:val="single" w:color="auto" w:sz="4" w:space="0"/>
            </w:tcBorders>
            <w:noWrap w:val="0"/>
            <w:vAlign w:val="center"/>
          </w:tcPr>
          <w:p w14:paraId="04DE5CCF">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□满意          □不满意</w:t>
            </w:r>
          </w:p>
        </w:tc>
      </w:tr>
      <w:tr w14:paraId="34581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9" w:type="dxa"/>
            <w:vMerge w:val="continue"/>
            <w:tcBorders>
              <w:left w:val="single" w:color="auto" w:sz="4" w:space="0"/>
            </w:tcBorders>
            <w:noWrap w:val="0"/>
            <w:vAlign w:val="center"/>
          </w:tcPr>
          <w:p w14:paraId="5198A8F0">
            <w:pPr>
              <w:spacing w:line="360" w:lineRule="auto"/>
              <w:rPr>
                <w:rFonts w:hint="eastAsia" w:ascii="仿宋_GB2312" w:hAnsi="仿宋_GB2312" w:eastAsia="仿宋_GB2312" w:cs="仿宋_GB2312"/>
                <w:szCs w:val="21"/>
                <w:lang w:eastAsia="zh-CN"/>
              </w:rPr>
            </w:pPr>
          </w:p>
        </w:tc>
        <w:tc>
          <w:tcPr>
            <w:tcW w:w="3813" w:type="dxa"/>
            <w:tcBorders>
              <w:left w:val="single" w:color="auto" w:sz="4" w:space="0"/>
            </w:tcBorders>
            <w:noWrap w:val="0"/>
            <w:vAlign w:val="center"/>
          </w:tcPr>
          <w:p w14:paraId="5EFB9395">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教学楼、实训楼、图书馆清洁</w:t>
            </w:r>
          </w:p>
        </w:tc>
        <w:tc>
          <w:tcPr>
            <w:tcW w:w="4423" w:type="dxa"/>
            <w:tcBorders>
              <w:right w:val="single" w:color="auto" w:sz="4" w:space="0"/>
            </w:tcBorders>
            <w:noWrap w:val="0"/>
            <w:vAlign w:val="center"/>
          </w:tcPr>
          <w:p w14:paraId="756BD44C">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 xml:space="preserve">□满意          □不满意 </w:t>
            </w:r>
          </w:p>
        </w:tc>
      </w:tr>
      <w:tr w14:paraId="0F246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9" w:type="dxa"/>
            <w:vMerge w:val="continue"/>
            <w:tcBorders>
              <w:left w:val="single" w:color="auto" w:sz="4" w:space="0"/>
            </w:tcBorders>
            <w:noWrap w:val="0"/>
            <w:vAlign w:val="center"/>
          </w:tcPr>
          <w:p w14:paraId="3E860A8F">
            <w:pPr>
              <w:spacing w:line="360" w:lineRule="auto"/>
              <w:rPr>
                <w:rFonts w:hint="eastAsia" w:ascii="仿宋_GB2312" w:hAnsi="仿宋_GB2312" w:eastAsia="仿宋_GB2312" w:cs="仿宋_GB2312"/>
                <w:szCs w:val="21"/>
                <w:lang w:eastAsia="zh-CN"/>
              </w:rPr>
            </w:pPr>
          </w:p>
        </w:tc>
        <w:tc>
          <w:tcPr>
            <w:tcW w:w="3813" w:type="dxa"/>
            <w:tcBorders>
              <w:left w:val="single" w:color="auto" w:sz="4" w:space="0"/>
            </w:tcBorders>
            <w:noWrap w:val="0"/>
            <w:vAlign w:val="center"/>
          </w:tcPr>
          <w:p w14:paraId="19DA9C2E">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公共场所清洁</w:t>
            </w:r>
          </w:p>
        </w:tc>
        <w:tc>
          <w:tcPr>
            <w:tcW w:w="4423" w:type="dxa"/>
            <w:tcBorders>
              <w:right w:val="single" w:color="auto" w:sz="4" w:space="0"/>
            </w:tcBorders>
            <w:noWrap w:val="0"/>
            <w:vAlign w:val="center"/>
          </w:tcPr>
          <w:p w14:paraId="3B933722">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 xml:space="preserve">□满意          □不满意 </w:t>
            </w:r>
          </w:p>
        </w:tc>
      </w:tr>
      <w:tr w14:paraId="237C9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9" w:type="dxa"/>
            <w:vMerge w:val="continue"/>
            <w:tcBorders>
              <w:left w:val="single" w:color="auto" w:sz="4" w:space="0"/>
            </w:tcBorders>
            <w:noWrap w:val="0"/>
            <w:vAlign w:val="center"/>
          </w:tcPr>
          <w:p w14:paraId="1B5AC2F2">
            <w:pPr>
              <w:spacing w:line="360" w:lineRule="auto"/>
              <w:rPr>
                <w:rFonts w:hint="eastAsia" w:ascii="仿宋_GB2312" w:hAnsi="仿宋_GB2312" w:eastAsia="仿宋_GB2312" w:cs="仿宋_GB2312"/>
                <w:szCs w:val="21"/>
                <w:lang w:eastAsia="zh-CN"/>
              </w:rPr>
            </w:pPr>
          </w:p>
        </w:tc>
        <w:tc>
          <w:tcPr>
            <w:tcW w:w="3813" w:type="dxa"/>
            <w:tcBorders>
              <w:left w:val="single" w:color="auto" w:sz="4" w:space="0"/>
            </w:tcBorders>
            <w:noWrap w:val="0"/>
            <w:vAlign w:val="center"/>
          </w:tcPr>
          <w:p w14:paraId="3B13DE2F">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室外广场、绿地清洁</w:t>
            </w:r>
          </w:p>
        </w:tc>
        <w:tc>
          <w:tcPr>
            <w:tcW w:w="4423" w:type="dxa"/>
            <w:tcBorders>
              <w:right w:val="single" w:color="auto" w:sz="4" w:space="0"/>
            </w:tcBorders>
            <w:noWrap w:val="0"/>
            <w:vAlign w:val="center"/>
          </w:tcPr>
          <w:p w14:paraId="19F6BB79">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□满意          □不满意</w:t>
            </w:r>
          </w:p>
        </w:tc>
      </w:tr>
      <w:tr w14:paraId="61A29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9" w:type="dxa"/>
            <w:vMerge w:val="continue"/>
            <w:tcBorders>
              <w:left w:val="single" w:color="auto" w:sz="4" w:space="0"/>
            </w:tcBorders>
            <w:noWrap w:val="0"/>
            <w:vAlign w:val="center"/>
          </w:tcPr>
          <w:p w14:paraId="37698C9E">
            <w:pPr>
              <w:spacing w:line="360" w:lineRule="auto"/>
              <w:rPr>
                <w:rFonts w:hint="eastAsia" w:ascii="仿宋_GB2312" w:hAnsi="仿宋_GB2312" w:eastAsia="仿宋_GB2312" w:cs="仿宋_GB2312"/>
                <w:szCs w:val="21"/>
                <w:lang w:eastAsia="zh-CN"/>
              </w:rPr>
            </w:pPr>
          </w:p>
        </w:tc>
        <w:tc>
          <w:tcPr>
            <w:tcW w:w="3813" w:type="dxa"/>
            <w:tcBorders>
              <w:left w:val="single" w:color="auto" w:sz="4" w:space="0"/>
            </w:tcBorders>
            <w:noWrap w:val="0"/>
            <w:vAlign w:val="center"/>
          </w:tcPr>
          <w:p w14:paraId="7C27E5CF">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教学楼、实训楼、图书馆卫生间卫生状况</w:t>
            </w:r>
          </w:p>
        </w:tc>
        <w:tc>
          <w:tcPr>
            <w:tcW w:w="4423" w:type="dxa"/>
            <w:tcBorders>
              <w:right w:val="single" w:color="auto" w:sz="4" w:space="0"/>
            </w:tcBorders>
            <w:noWrap w:val="0"/>
            <w:vAlign w:val="center"/>
          </w:tcPr>
          <w:p w14:paraId="6F213ED0">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 xml:space="preserve">□满意          □不满意 </w:t>
            </w:r>
          </w:p>
        </w:tc>
      </w:tr>
      <w:tr w14:paraId="01951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9" w:type="dxa"/>
            <w:vMerge w:val="continue"/>
            <w:tcBorders>
              <w:left w:val="single" w:color="auto" w:sz="4" w:space="0"/>
            </w:tcBorders>
            <w:noWrap w:val="0"/>
            <w:vAlign w:val="center"/>
          </w:tcPr>
          <w:p w14:paraId="31D67DDF">
            <w:pPr>
              <w:spacing w:line="360" w:lineRule="auto"/>
              <w:rPr>
                <w:rFonts w:hint="eastAsia" w:ascii="仿宋_GB2312" w:hAnsi="仿宋_GB2312" w:eastAsia="仿宋_GB2312" w:cs="仿宋_GB2312"/>
                <w:szCs w:val="21"/>
                <w:lang w:eastAsia="zh-CN"/>
              </w:rPr>
            </w:pPr>
          </w:p>
        </w:tc>
        <w:tc>
          <w:tcPr>
            <w:tcW w:w="3813" w:type="dxa"/>
            <w:tcBorders>
              <w:left w:val="single" w:color="auto" w:sz="4" w:space="0"/>
            </w:tcBorders>
            <w:noWrap w:val="0"/>
            <w:vAlign w:val="center"/>
          </w:tcPr>
          <w:p w14:paraId="60E76FD3">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学生宿舍公共通道及垃圾收运</w:t>
            </w:r>
          </w:p>
        </w:tc>
        <w:tc>
          <w:tcPr>
            <w:tcW w:w="4423" w:type="dxa"/>
            <w:tcBorders>
              <w:right w:val="single" w:color="auto" w:sz="4" w:space="0"/>
            </w:tcBorders>
            <w:noWrap w:val="0"/>
            <w:vAlign w:val="center"/>
          </w:tcPr>
          <w:p w14:paraId="746D72B3">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□满意          □不满意</w:t>
            </w:r>
          </w:p>
        </w:tc>
      </w:tr>
      <w:tr w14:paraId="2A145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9" w:type="dxa"/>
            <w:vMerge w:val="restart"/>
            <w:tcBorders>
              <w:left w:val="single" w:color="auto" w:sz="4" w:space="0"/>
            </w:tcBorders>
            <w:noWrap w:val="0"/>
            <w:vAlign w:val="center"/>
          </w:tcPr>
          <w:p w14:paraId="64AD7B28">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其他管理</w:t>
            </w:r>
          </w:p>
        </w:tc>
        <w:tc>
          <w:tcPr>
            <w:tcW w:w="3813" w:type="dxa"/>
            <w:tcBorders>
              <w:left w:val="single" w:color="auto" w:sz="4" w:space="0"/>
            </w:tcBorders>
            <w:noWrap w:val="0"/>
            <w:vAlign w:val="center"/>
          </w:tcPr>
          <w:p w14:paraId="7C9E1522">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工作人员仪容仪表、服务态度</w:t>
            </w:r>
          </w:p>
        </w:tc>
        <w:tc>
          <w:tcPr>
            <w:tcW w:w="4423" w:type="dxa"/>
            <w:tcBorders>
              <w:right w:val="single" w:color="auto" w:sz="4" w:space="0"/>
            </w:tcBorders>
            <w:noWrap w:val="0"/>
            <w:vAlign w:val="center"/>
          </w:tcPr>
          <w:p w14:paraId="317BAD16">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 xml:space="preserve">□满意          □不满意 </w:t>
            </w:r>
          </w:p>
        </w:tc>
      </w:tr>
      <w:tr w14:paraId="14168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9" w:type="dxa"/>
            <w:vMerge w:val="continue"/>
            <w:tcBorders>
              <w:left w:val="single" w:color="auto" w:sz="4" w:space="0"/>
            </w:tcBorders>
            <w:noWrap w:val="0"/>
            <w:vAlign w:val="center"/>
          </w:tcPr>
          <w:p w14:paraId="4D801944">
            <w:pPr>
              <w:spacing w:line="360" w:lineRule="auto"/>
              <w:rPr>
                <w:rFonts w:hint="eastAsia" w:ascii="仿宋_GB2312" w:hAnsi="仿宋_GB2312" w:eastAsia="仿宋_GB2312" w:cs="仿宋_GB2312"/>
                <w:szCs w:val="21"/>
                <w:lang w:eastAsia="zh-CN"/>
              </w:rPr>
            </w:pPr>
          </w:p>
        </w:tc>
        <w:tc>
          <w:tcPr>
            <w:tcW w:w="3813" w:type="dxa"/>
            <w:tcBorders>
              <w:left w:val="single" w:color="auto" w:sz="4" w:space="0"/>
            </w:tcBorders>
            <w:noWrap w:val="0"/>
            <w:vAlign w:val="center"/>
          </w:tcPr>
          <w:p w14:paraId="7AFF352D">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及时处理报障、报修</w:t>
            </w:r>
          </w:p>
        </w:tc>
        <w:tc>
          <w:tcPr>
            <w:tcW w:w="4423" w:type="dxa"/>
            <w:tcBorders>
              <w:right w:val="single" w:color="auto" w:sz="4" w:space="0"/>
            </w:tcBorders>
            <w:noWrap w:val="0"/>
            <w:vAlign w:val="center"/>
          </w:tcPr>
          <w:p w14:paraId="356BE0B5">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□满意          □不满意</w:t>
            </w:r>
          </w:p>
        </w:tc>
      </w:tr>
      <w:tr w14:paraId="61E1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9" w:type="dxa"/>
            <w:vMerge w:val="continue"/>
            <w:tcBorders>
              <w:left w:val="single" w:color="auto" w:sz="4" w:space="0"/>
            </w:tcBorders>
            <w:noWrap w:val="0"/>
            <w:vAlign w:val="center"/>
          </w:tcPr>
          <w:p w14:paraId="7D39E2BD">
            <w:pPr>
              <w:spacing w:line="360" w:lineRule="auto"/>
              <w:rPr>
                <w:rFonts w:hint="eastAsia" w:ascii="仿宋_GB2312" w:hAnsi="仿宋_GB2312" w:eastAsia="仿宋_GB2312" w:cs="仿宋_GB2312"/>
                <w:szCs w:val="21"/>
                <w:lang w:eastAsia="zh-CN"/>
              </w:rPr>
            </w:pPr>
          </w:p>
        </w:tc>
        <w:tc>
          <w:tcPr>
            <w:tcW w:w="3813" w:type="dxa"/>
            <w:tcBorders>
              <w:left w:val="single" w:color="auto" w:sz="4" w:space="0"/>
            </w:tcBorders>
            <w:noWrap w:val="0"/>
            <w:vAlign w:val="center"/>
          </w:tcPr>
          <w:p w14:paraId="68E2A9D8">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投诉处理、回访及时率</w:t>
            </w:r>
          </w:p>
        </w:tc>
        <w:tc>
          <w:tcPr>
            <w:tcW w:w="4423" w:type="dxa"/>
            <w:tcBorders>
              <w:right w:val="single" w:color="auto" w:sz="4" w:space="0"/>
            </w:tcBorders>
            <w:noWrap w:val="0"/>
            <w:vAlign w:val="center"/>
          </w:tcPr>
          <w:p w14:paraId="5362DF9F">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 xml:space="preserve">□满意          □不满意  </w:t>
            </w:r>
          </w:p>
        </w:tc>
      </w:tr>
      <w:tr w14:paraId="06DD9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9" w:type="dxa"/>
            <w:vMerge w:val="continue"/>
            <w:tcBorders>
              <w:left w:val="single" w:color="auto" w:sz="4" w:space="0"/>
            </w:tcBorders>
            <w:noWrap w:val="0"/>
            <w:vAlign w:val="center"/>
          </w:tcPr>
          <w:p w14:paraId="67BAC8B7">
            <w:pPr>
              <w:spacing w:line="360" w:lineRule="auto"/>
              <w:rPr>
                <w:rFonts w:hint="eastAsia" w:ascii="仿宋_GB2312" w:hAnsi="仿宋_GB2312" w:eastAsia="仿宋_GB2312" w:cs="仿宋_GB2312"/>
                <w:szCs w:val="21"/>
                <w:lang w:eastAsia="zh-CN"/>
              </w:rPr>
            </w:pPr>
          </w:p>
        </w:tc>
        <w:tc>
          <w:tcPr>
            <w:tcW w:w="3813" w:type="dxa"/>
            <w:tcBorders>
              <w:left w:val="single" w:color="auto" w:sz="4" w:space="0"/>
            </w:tcBorders>
            <w:noWrap w:val="0"/>
            <w:vAlign w:val="center"/>
          </w:tcPr>
          <w:p w14:paraId="7084CD16">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巡查、巡视的情况</w:t>
            </w:r>
          </w:p>
        </w:tc>
        <w:tc>
          <w:tcPr>
            <w:tcW w:w="4423" w:type="dxa"/>
            <w:tcBorders>
              <w:right w:val="single" w:color="auto" w:sz="4" w:space="0"/>
            </w:tcBorders>
            <w:noWrap w:val="0"/>
            <w:vAlign w:val="center"/>
          </w:tcPr>
          <w:p w14:paraId="22CBF833">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 xml:space="preserve">□满意          □不满意 </w:t>
            </w:r>
          </w:p>
        </w:tc>
      </w:tr>
      <w:tr w14:paraId="6D98D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9" w:type="dxa"/>
            <w:vMerge w:val="continue"/>
            <w:tcBorders>
              <w:left w:val="single" w:color="auto" w:sz="4" w:space="0"/>
            </w:tcBorders>
            <w:noWrap w:val="0"/>
            <w:vAlign w:val="center"/>
          </w:tcPr>
          <w:p w14:paraId="2CC64566">
            <w:pPr>
              <w:spacing w:line="360" w:lineRule="auto"/>
              <w:rPr>
                <w:rFonts w:hint="eastAsia" w:ascii="仿宋_GB2312" w:hAnsi="仿宋_GB2312" w:eastAsia="仿宋_GB2312" w:cs="仿宋_GB2312"/>
                <w:szCs w:val="21"/>
                <w:lang w:eastAsia="zh-CN"/>
              </w:rPr>
            </w:pPr>
          </w:p>
        </w:tc>
        <w:tc>
          <w:tcPr>
            <w:tcW w:w="3813" w:type="dxa"/>
            <w:tcBorders>
              <w:left w:val="single" w:color="auto" w:sz="4" w:space="0"/>
            </w:tcBorders>
            <w:noWrap w:val="0"/>
            <w:vAlign w:val="center"/>
          </w:tcPr>
          <w:p w14:paraId="53599678">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及时、全面灭蚊杀虫情况</w:t>
            </w:r>
          </w:p>
        </w:tc>
        <w:tc>
          <w:tcPr>
            <w:tcW w:w="4423" w:type="dxa"/>
            <w:tcBorders>
              <w:right w:val="single" w:color="auto" w:sz="4" w:space="0"/>
            </w:tcBorders>
            <w:noWrap w:val="0"/>
            <w:vAlign w:val="center"/>
          </w:tcPr>
          <w:p w14:paraId="5B9B1D53">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□满意          □不满意</w:t>
            </w:r>
          </w:p>
        </w:tc>
      </w:tr>
      <w:tr w14:paraId="4D72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9" w:type="dxa"/>
            <w:tcBorders>
              <w:left w:val="single" w:color="auto" w:sz="4" w:space="0"/>
            </w:tcBorders>
            <w:noWrap w:val="0"/>
            <w:vAlign w:val="center"/>
          </w:tcPr>
          <w:p w14:paraId="13D32BD1">
            <w:pPr>
              <w:spacing w:line="360" w:lineRule="auto"/>
              <w:rPr>
                <w:rFonts w:hint="eastAsia" w:ascii="仿宋_GB2312" w:hAnsi="仿宋_GB2312" w:eastAsia="仿宋_GB2312" w:cs="仿宋_GB2312"/>
                <w:szCs w:val="21"/>
                <w:lang w:eastAsia="zh-CN"/>
              </w:rPr>
            </w:pPr>
          </w:p>
        </w:tc>
        <w:tc>
          <w:tcPr>
            <w:tcW w:w="3813" w:type="dxa"/>
            <w:tcBorders>
              <w:left w:val="single" w:color="auto" w:sz="4" w:space="0"/>
            </w:tcBorders>
            <w:noWrap w:val="0"/>
            <w:vAlign w:val="center"/>
          </w:tcPr>
          <w:p w14:paraId="145982B4">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供餐及时</w:t>
            </w:r>
          </w:p>
        </w:tc>
        <w:tc>
          <w:tcPr>
            <w:tcW w:w="4423" w:type="dxa"/>
            <w:tcBorders>
              <w:right w:val="single" w:color="auto" w:sz="4" w:space="0"/>
            </w:tcBorders>
            <w:noWrap w:val="0"/>
            <w:vAlign w:val="center"/>
          </w:tcPr>
          <w:p w14:paraId="18B84ACF">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□满意         □不满意</w:t>
            </w:r>
          </w:p>
        </w:tc>
      </w:tr>
      <w:tr w14:paraId="3749F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9" w:type="dxa"/>
            <w:tcBorders>
              <w:left w:val="single" w:color="auto" w:sz="4" w:space="0"/>
            </w:tcBorders>
            <w:noWrap w:val="0"/>
            <w:vAlign w:val="center"/>
          </w:tcPr>
          <w:p w14:paraId="4F6D9BC3">
            <w:pPr>
              <w:spacing w:line="360" w:lineRule="auto"/>
              <w:rPr>
                <w:rFonts w:hint="eastAsia" w:ascii="仿宋_GB2312" w:hAnsi="仿宋_GB2312" w:eastAsia="仿宋_GB2312" w:cs="仿宋_GB2312"/>
                <w:szCs w:val="21"/>
                <w:lang w:eastAsia="zh-CN"/>
              </w:rPr>
            </w:pPr>
          </w:p>
        </w:tc>
        <w:tc>
          <w:tcPr>
            <w:tcW w:w="3813" w:type="dxa"/>
            <w:tcBorders>
              <w:left w:val="single" w:color="auto" w:sz="4" w:space="0"/>
            </w:tcBorders>
            <w:noWrap w:val="0"/>
            <w:vAlign w:val="center"/>
          </w:tcPr>
          <w:p w14:paraId="7C6C81F1">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每份饭菜数量足额</w:t>
            </w:r>
          </w:p>
        </w:tc>
        <w:tc>
          <w:tcPr>
            <w:tcW w:w="4423" w:type="dxa"/>
            <w:tcBorders>
              <w:right w:val="single" w:color="auto" w:sz="4" w:space="0"/>
            </w:tcBorders>
            <w:noWrap w:val="0"/>
            <w:vAlign w:val="center"/>
          </w:tcPr>
          <w:p w14:paraId="4B261F90">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□满意         □不满意</w:t>
            </w:r>
          </w:p>
        </w:tc>
      </w:tr>
      <w:tr w14:paraId="5898D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6" w:hRule="atLeast"/>
          <w:jc w:val="center"/>
        </w:trPr>
        <w:tc>
          <w:tcPr>
            <w:tcW w:w="619" w:type="dxa"/>
            <w:tcBorders>
              <w:left w:val="single" w:color="auto" w:sz="4" w:space="0"/>
            </w:tcBorders>
            <w:noWrap w:val="0"/>
            <w:vAlign w:val="center"/>
          </w:tcPr>
          <w:p w14:paraId="25012028">
            <w:pPr>
              <w:spacing w:line="360" w:lineRule="auto"/>
              <w:rPr>
                <w:rFonts w:hint="eastAsia" w:ascii="仿宋_GB2312" w:hAnsi="仿宋_GB2312" w:eastAsia="仿宋_GB2312" w:cs="仿宋_GB2312"/>
                <w:szCs w:val="21"/>
                <w:lang w:eastAsia="zh-CN"/>
              </w:rPr>
            </w:pPr>
          </w:p>
        </w:tc>
        <w:tc>
          <w:tcPr>
            <w:tcW w:w="3813" w:type="dxa"/>
            <w:tcBorders>
              <w:left w:val="single" w:color="auto" w:sz="4" w:space="0"/>
            </w:tcBorders>
            <w:noWrap w:val="0"/>
            <w:vAlign w:val="center"/>
          </w:tcPr>
          <w:p w14:paraId="5F0360BF">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饭菜质量新鲜可口</w:t>
            </w:r>
          </w:p>
        </w:tc>
        <w:tc>
          <w:tcPr>
            <w:tcW w:w="4423" w:type="dxa"/>
            <w:tcBorders>
              <w:right w:val="single" w:color="auto" w:sz="4" w:space="0"/>
            </w:tcBorders>
            <w:noWrap w:val="0"/>
            <w:vAlign w:val="center"/>
          </w:tcPr>
          <w:p w14:paraId="1160A13C">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□满意         □不满意</w:t>
            </w:r>
          </w:p>
        </w:tc>
      </w:tr>
      <w:tr w14:paraId="1600A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9" w:type="dxa"/>
            <w:tcBorders>
              <w:left w:val="single" w:color="auto" w:sz="4" w:space="0"/>
            </w:tcBorders>
            <w:noWrap w:val="0"/>
            <w:vAlign w:val="center"/>
          </w:tcPr>
          <w:p w14:paraId="34C65324">
            <w:pPr>
              <w:spacing w:line="360" w:lineRule="auto"/>
              <w:rPr>
                <w:rFonts w:hint="eastAsia" w:ascii="仿宋_GB2312" w:hAnsi="仿宋_GB2312" w:eastAsia="仿宋_GB2312" w:cs="仿宋_GB2312"/>
                <w:szCs w:val="21"/>
                <w:lang w:eastAsia="zh-CN"/>
              </w:rPr>
            </w:pPr>
          </w:p>
        </w:tc>
        <w:tc>
          <w:tcPr>
            <w:tcW w:w="3813" w:type="dxa"/>
            <w:tcBorders>
              <w:left w:val="single" w:color="auto" w:sz="4" w:space="0"/>
            </w:tcBorders>
            <w:noWrap w:val="0"/>
            <w:vAlign w:val="center"/>
          </w:tcPr>
          <w:p w14:paraId="1C828604">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门卫管理规范</w:t>
            </w:r>
          </w:p>
        </w:tc>
        <w:tc>
          <w:tcPr>
            <w:tcW w:w="4423" w:type="dxa"/>
            <w:tcBorders>
              <w:right w:val="single" w:color="auto" w:sz="4" w:space="0"/>
            </w:tcBorders>
            <w:noWrap w:val="0"/>
            <w:vAlign w:val="center"/>
          </w:tcPr>
          <w:p w14:paraId="1116CA6F">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□满意         □不满意</w:t>
            </w:r>
          </w:p>
        </w:tc>
      </w:tr>
      <w:tr w14:paraId="3767D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9" w:type="dxa"/>
            <w:tcBorders>
              <w:left w:val="single" w:color="auto" w:sz="4" w:space="0"/>
            </w:tcBorders>
            <w:noWrap w:val="0"/>
            <w:vAlign w:val="center"/>
          </w:tcPr>
          <w:p w14:paraId="416475F4">
            <w:pPr>
              <w:spacing w:line="360" w:lineRule="auto"/>
              <w:rPr>
                <w:rFonts w:hint="eastAsia" w:ascii="仿宋_GB2312" w:hAnsi="仿宋_GB2312" w:eastAsia="仿宋_GB2312" w:cs="仿宋_GB2312"/>
                <w:szCs w:val="21"/>
                <w:lang w:eastAsia="zh-CN"/>
              </w:rPr>
            </w:pPr>
          </w:p>
        </w:tc>
        <w:tc>
          <w:tcPr>
            <w:tcW w:w="3813" w:type="dxa"/>
            <w:tcBorders>
              <w:left w:val="single" w:color="auto" w:sz="4" w:space="0"/>
            </w:tcBorders>
            <w:noWrap w:val="0"/>
            <w:vAlign w:val="center"/>
          </w:tcPr>
          <w:p w14:paraId="23CBC729">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保安巡逻处置及时</w:t>
            </w:r>
          </w:p>
        </w:tc>
        <w:tc>
          <w:tcPr>
            <w:tcW w:w="4423" w:type="dxa"/>
            <w:tcBorders>
              <w:right w:val="single" w:color="auto" w:sz="4" w:space="0"/>
            </w:tcBorders>
            <w:noWrap w:val="0"/>
            <w:vAlign w:val="center"/>
          </w:tcPr>
          <w:p w14:paraId="5D335E3A">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□满意         □不满意</w:t>
            </w:r>
          </w:p>
        </w:tc>
      </w:tr>
      <w:tr w14:paraId="5324F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9" w:type="dxa"/>
            <w:tcBorders>
              <w:left w:val="single" w:color="auto" w:sz="4" w:space="0"/>
            </w:tcBorders>
            <w:noWrap w:val="0"/>
            <w:vAlign w:val="center"/>
          </w:tcPr>
          <w:p w14:paraId="0CE7C406">
            <w:pPr>
              <w:spacing w:line="360" w:lineRule="auto"/>
              <w:rPr>
                <w:rFonts w:hint="eastAsia" w:ascii="仿宋_GB2312" w:hAnsi="仿宋_GB2312" w:eastAsia="仿宋_GB2312" w:cs="仿宋_GB2312"/>
                <w:szCs w:val="21"/>
                <w:lang w:eastAsia="zh-CN"/>
              </w:rPr>
            </w:pPr>
          </w:p>
        </w:tc>
        <w:tc>
          <w:tcPr>
            <w:tcW w:w="3813" w:type="dxa"/>
            <w:tcBorders>
              <w:left w:val="single" w:color="auto" w:sz="4" w:space="0"/>
            </w:tcBorders>
            <w:noWrap w:val="0"/>
            <w:vAlign w:val="center"/>
          </w:tcPr>
          <w:p w14:paraId="1791731B">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校医安排体检规范</w:t>
            </w:r>
          </w:p>
        </w:tc>
        <w:tc>
          <w:tcPr>
            <w:tcW w:w="4423" w:type="dxa"/>
            <w:tcBorders>
              <w:right w:val="single" w:color="auto" w:sz="4" w:space="0"/>
            </w:tcBorders>
            <w:noWrap w:val="0"/>
            <w:vAlign w:val="center"/>
          </w:tcPr>
          <w:p w14:paraId="6699D6BD">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□满意         □不满意</w:t>
            </w:r>
          </w:p>
        </w:tc>
      </w:tr>
      <w:tr w14:paraId="49A88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9" w:type="dxa"/>
            <w:tcBorders>
              <w:left w:val="single" w:color="auto" w:sz="4" w:space="0"/>
            </w:tcBorders>
            <w:noWrap w:val="0"/>
            <w:vAlign w:val="center"/>
          </w:tcPr>
          <w:p w14:paraId="15AF1BD3">
            <w:pPr>
              <w:spacing w:line="360" w:lineRule="auto"/>
              <w:rPr>
                <w:rFonts w:hint="eastAsia" w:ascii="仿宋_GB2312" w:hAnsi="仿宋_GB2312" w:eastAsia="仿宋_GB2312" w:cs="仿宋_GB2312"/>
                <w:szCs w:val="21"/>
                <w:lang w:eastAsia="zh-CN"/>
              </w:rPr>
            </w:pPr>
          </w:p>
        </w:tc>
        <w:tc>
          <w:tcPr>
            <w:tcW w:w="3813" w:type="dxa"/>
            <w:tcBorders>
              <w:left w:val="single" w:color="auto" w:sz="4" w:space="0"/>
            </w:tcBorders>
            <w:noWrap w:val="0"/>
            <w:vAlign w:val="center"/>
          </w:tcPr>
          <w:p w14:paraId="74747F1D">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急救、日常伤病处置及时</w:t>
            </w:r>
          </w:p>
        </w:tc>
        <w:tc>
          <w:tcPr>
            <w:tcW w:w="4423" w:type="dxa"/>
            <w:tcBorders>
              <w:right w:val="single" w:color="auto" w:sz="4" w:space="0"/>
            </w:tcBorders>
            <w:noWrap w:val="0"/>
            <w:vAlign w:val="center"/>
          </w:tcPr>
          <w:p w14:paraId="464C5283">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□满意         □不满意</w:t>
            </w:r>
          </w:p>
        </w:tc>
      </w:tr>
      <w:tr w14:paraId="61440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432" w:type="dxa"/>
            <w:gridSpan w:val="2"/>
            <w:tcBorders>
              <w:left w:val="single" w:color="auto" w:sz="4" w:space="0"/>
            </w:tcBorders>
            <w:noWrap w:val="0"/>
            <w:vAlign w:val="center"/>
          </w:tcPr>
          <w:p w14:paraId="6824661A">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整体服务质量情况</w:t>
            </w:r>
          </w:p>
        </w:tc>
        <w:tc>
          <w:tcPr>
            <w:tcW w:w="4423" w:type="dxa"/>
            <w:tcBorders>
              <w:right w:val="single" w:color="auto" w:sz="4" w:space="0"/>
            </w:tcBorders>
            <w:noWrap w:val="0"/>
            <w:vAlign w:val="center"/>
          </w:tcPr>
          <w:p w14:paraId="074A67C8">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□满意          □不满意</w:t>
            </w:r>
          </w:p>
        </w:tc>
      </w:tr>
      <w:tr w14:paraId="54C7C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855" w:type="dxa"/>
            <w:gridSpan w:val="3"/>
            <w:tcBorders>
              <w:left w:val="single" w:color="auto" w:sz="4" w:space="0"/>
              <w:bottom w:val="single" w:color="auto" w:sz="4" w:space="0"/>
              <w:right w:val="single" w:color="auto" w:sz="4" w:space="0"/>
            </w:tcBorders>
            <w:noWrap w:val="0"/>
            <w:vAlign w:val="center"/>
          </w:tcPr>
          <w:p w14:paraId="58E5FE4E">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主要问题及建议：</w:t>
            </w:r>
          </w:p>
          <w:p w14:paraId="2885A77D">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（可另附页）。              年     月    日</w:t>
            </w:r>
          </w:p>
        </w:tc>
      </w:tr>
    </w:tbl>
    <w:p w14:paraId="28A00401">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考核办法：</w:t>
      </w:r>
    </w:p>
    <w:p w14:paraId="333E8686">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（1）每年由后勤部门组织相关人员对物业管理和后勤服务进行考核。</w:t>
      </w:r>
    </w:p>
    <w:p w14:paraId="7B65A59C">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（2）采用师生座谈、电话或问卷等调查方式，调查师生对物业管理和后勤服务服务的满意情况。</w:t>
      </w:r>
    </w:p>
    <w:p w14:paraId="1031EC5F">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（3）等级标准：年度考核得分90分及以上为优秀；80至89分为良好；70至79分为合格；70分以下为一般。</w:t>
      </w:r>
    </w:p>
    <w:p w14:paraId="1C7B06B2">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（4）第一年考核得分70分以下，约谈中标人负责人，并在考核后第一个月支付的物业服务费时一次性扣减5000元；第二年考核得分70分以下，在考核后第一个月支付的物业服务费时一次性扣减10000元。</w:t>
      </w:r>
    </w:p>
    <w:p w14:paraId="35A324CF">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（5）将考核情况及时反馈至投标人，并报送学校分管校领导。</w:t>
      </w:r>
    </w:p>
    <w:p w14:paraId="0F8007E1">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（四）奖惩办法</w:t>
      </w:r>
    </w:p>
    <w:p w14:paraId="51421177">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投标人需在4小时内处理师生一般报修投诉，非不可抗力原因超过4小时不处理或敷衍处理的，经采购人监管人员与投标人双方核查属实，每次扣减100元，不设上限；投标人需在8小时内处理师生报修投诉，非不可抗力原因超过8小时不处理或敷衍处理的，经监管人员与投标人双方核查属实，每次扣减200元，不设上限。上述扣减在当月物业管理和后勤服务服务费中扣除。</w:t>
      </w:r>
    </w:p>
    <w:p w14:paraId="615F3EA2">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2.投标人在执行本合同中，因工作出色，能提供合理化建议并取得较大成效，或为挽回重大经济损失有特殊贡献，经采购人确认，可给予奖励。具体由采购人研究视具体情况决定。</w:t>
      </w:r>
    </w:p>
    <w:p w14:paraId="227AAEFD">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3.投标人工作人员违反管理规定受到有效投诉或由于投标人责任出现管理过错，采购人有权扣减投标人当月物业管理和后勤服务服务费（不含造成经济损失的赔偿），共分为 5 档，分别是：</w:t>
      </w:r>
    </w:p>
    <w:p w14:paraId="749A1E0C">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（1）一般过错，扣减 500 元/次。包括但不仅限于以下过错：浪费水电资源、维修不及时、工作低效、人员无礼貌、形象差、卫生保洁不到位、完工后不及时清理现场、上班开小差、当班打瞌睡、上班干与工作无关事、脱岗、设备故障无及时报修等。</w:t>
      </w:r>
    </w:p>
    <w:p w14:paraId="30952DA6">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（2）较大过错，扣减1000 元/次。包括但不仅限于以下过错：不执行学校规章制度、教职工和学生发现指出存在的问题未及时整改、拾遗不报、缺岗但未造成采购人损失或不良影响、员工打架等。</w:t>
      </w:r>
    </w:p>
    <w:p w14:paraId="072D6C85">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（3）较大过失，扣减 5000 元/次。包括但不仅限于以下情况：违反国家政策、法律、法规没有为员工购买“五险一金”或欠薪导致员工向采购人或其他相关部门投诉,因缺岗而造成采购人损失或不良影响，员工偷窃采购人财物，未经采购人同意处理变卖采购人物资或设备，出现事故或过错隐瞒不报,因检查、维护不到位，造成意外停水及停电事故等。</w:t>
      </w:r>
    </w:p>
    <w:p w14:paraId="73FDE46B">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（4）重大过错，扣减 10000 元/次。包括但不仅限于以下过错：失窃、事故、不正确操作规范等设备造成严重损失的。</w:t>
      </w:r>
    </w:p>
    <w:p w14:paraId="1CD52C15">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（5）重大事故，由于投标人管理不善，致使发生财产重大损失或人员伤亡事故的，由投标人承担经济赔偿责任并追究投标人的法律责任，并终止合同，履约保证金不予退还。</w:t>
      </w:r>
    </w:p>
    <w:p w14:paraId="44AEC807">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4.上述物业管理和后勤服务服务费扣减涉及的投诉类型、过错大小、事故性质、有效性的确定由双方另行协商予以明确，个别投诉事项可以具体个案具体明确，有分歧异议的，以采购人的意见为准。</w:t>
      </w:r>
    </w:p>
    <w:p w14:paraId="0DE1A58F">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5.无条件退出。有下列情况之一者，属投标人违约采购人有权单方面解除合同，投标人无条件退出，其履约保证金不予退还。</w:t>
      </w:r>
    </w:p>
    <w:p w14:paraId="452A2968">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（1）在合同执行后每12个月每月考核平均分不及格（平均分低于 80 分）次数累计达到三次的, 投标人无条件退出，其履约保证金不予退还；当月考评成绩小于或等于55分的为“严重违约”，投标人无条件退出，其履约保证金不予退还。</w:t>
      </w:r>
    </w:p>
    <w:p w14:paraId="3ACDDE2A">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（2）因管理或服务不当，未能达到本合同约定的管理目标，造成采购人不能进行正常的教学、科研和生活等活动的；</w:t>
      </w:r>
    </w:p>
    <w:p w14:paraId="3F28D92E">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（3）因管理或服务不当发生重大安全责任事故，造成采购人直接经济损失10万元以上或致采购人人员二级伤残1人以上事件的；</w:t>
      </w:r>
    </w:p>
    <w:p w14:paraId="060E6FF9">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（4）因管理或服务不当，引发的学生大规模集体静坐、游行等群体事件的；</w:t>
      </w:r>
    </w:p>
    <w:p w14:paraId="1FA08E00">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（5）因违反国家政策、法律、法规，引发本单位发员工集体辞工、打架、上访等群发事件的；</w:t>
      </w:r>
    </w:p>
    <w:p w14:paraId="3E87DD26">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（6）擅自转包、分包，或以任何其它形式与第三方进行合作的；</w:t>
      </w:r>
    </w:p>
    <w:p w14:paraId="5EFC74DE">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7</w:t>
      </w:r>
      <w:r>
        <w:rPr>
          <w:rFonts w:hint="eastAsia" w:ascii="仿宋_GB2312" w:hAnsi="仿宋_GB2312" w:eastAsia="仿宋_GB2312" w:cs="仿宋_GB2312"/>
          <w:szCs w:val="21"/>
          <w:lang w:eastAsia="zh-CN"/>
        </w:rPr>
        <w:t>）每年有效投诉满30次或以上的。</w:t>
      </w:r>
    </w:p>
    <w:p w14:paraId="159FF953">
      <w:pPr>
        <w:spacing w:line="360" w:lineRule="auto"/>
        <w:rPr>
          <w:rFonts w:hint="eastAsia" w:ascii="仿宋_GB2312" w:hAnsi="仿宋_GB2312" w:eastAsia="仿宋_GB2312" w:cs="仿宋_GB2312"/>
          <w:b/>
          <w:bCs/>
          <w:szCs w:val="21"/>
          <w:lang w:eastAsia="zh-CN"/>
        </w:rPr>
      </w:pPr>
      <w:r>
        <w:rPr>
          <w:rFonts w:hint="eastAsia" w:ascii="仿宋_GB2312" w:hAnsi="仿宋_GB2312" w:eastAsia="仿宋_GB2312" w:cs="仿宋_GB2312"/>
          <w:b/>
          <w:bCs/>
          <w:szCs w:val="21"/>
          <w:lang w:val="en-US" w:eastAsia="zh-CN"/>
        </w:rPr>
        <w:t>八、</w:t>
      </w:r>
      <w:r>
        <w:rPr>
          <w:rFonts w:hint="eastAsia" w:ascii="仿宋_GB2312" w:hAnsi="仿宋_GB2312" w:eastAsia="仿宋_GB2312" w:cs="仿宋_GB2312"/>
          <w:b/>
          <w:bCs/>
          <w:szCs w:val="21"/>
          <w:lang w:eastAsia="zh-CN"/>
        </w:rPr>
        <w:t>付款方式</w:t>
      </w:r>
    </w:p>
    <w:p w14:paraId="359E1EF4">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一）第一部分为预付款部分：合同签订后30天内中标投标人应向采购人提供有效发票。采购人收到投标人提供的有效发票后，应在15日内将按一年合同金额的30%支付给中标投标人。第二部分为月结款部分：余下的70%合同金额将按月结形式，投标人履行合同满1个月后，应在次月15日前提供有效发票。采购人将在收到发票的15日内支付上月服务款给中标投标人。服务款项以支票形式或转帐方式支付。</w:t>
      </w:r>
    </w:p>
    <w:p w14:paraId="77CF6268"/>
    <w:p w14:paraId="0C00A0ED">
      <w:pPr>
        <w:pStyle w:val="3"/>
        <w:bidi w:val="0"/>
        <w:ind w:firstLine="1760" w:firstLineChars="400"/>
        <w:rPr>
          <w:rFonts w:hint="eastAsia"/>
          <w:lang w:val="en-US" w:eastAsia="zh-CN"/>
        </w:rPr>
      </w:pPr>
    </w:p>
    <w:p w14:paraId="64218915">
      <w:pPr>
        <w:pStyle w:val="3"/>
        <w:pageBreakBefore w:val="0"/>
        <w:widowControl w:val="0"/>
        <w:kinsoku/>
        <w:wordWrap/>
        <w:overflowPunct/>
        <w:topLinePunct w:val="0"/>
        <w:autoSpaceDE/>
        <w:autoSpaceDN/>
        <w:bidi w:val="0"/>
        <w:adjustRightInd/>
        <w:snapToGrid/>
        <w:spacing w:before="0" w:after="0"/>
        <w:jc w:val="left"/>
        <w:textAlignment w:val="auto"/>
        <w:rPr>
          <w:rFonts w:hint="default"/>
          <w:sz w:val="28"/>
          <w:szCs w:val="28"/>
          <w:lang w:val="en-US" w:eastAsia="zh-CN"/>
        </w:rPr>
      </w:pPr>
      <w:r>
        <w:rPr>
          <w:rFonts w:hint="eastAsia"/>
          <w:sz w:val="28"/>
          <w:szCs w:val="28"/>
          <w:lang w:val="en-US" w:eastAsia="zh-CN"/>
        </w:rPr>
        <w:t>奎屯市第八中学服务需求</w:t>
      </w:r>
    </w:p>
    <w:p w14:paraId="4260CC7C">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Cs w:val="21"/>
        </w:rPr>
      </w:pPr>
      <w:r>
        <w:rPr>
          <w:rFonts w:hint="eastAsia" w:ascii="仿宋_GB2312" w:hAnsi="仿宋_GB2312" w:eastAsia="仿宋_GB2312" w:cs="仿宋_GB2312"/>
          <w:b/>
          <w:bCs/>
          <w:szCs w:val="21"/>
          <w:lang w:val="en-US" w:eastAsia="zh-CN"/>
        </w:rPr>
        <w:t>一、</w:t>
      </w:r>
      <w:r>
        <w:rPr>
          <w:rFonts w:hint="eastAsia" w:ascii="仿宋_GB2312" w:hAnsi="仿宋_GB2312" w:eastAsia="仿宋_GB2312" w:cs="仿宋_GB2312"/>
          <w:b/>
          <w:bCs/>
          <w:szCs w:val="21"/>
          <w:lang w:eastAsia="zh-CN"/>
        </w:rPr>
        <w:t>项目概述</w:t>
      </w:r>
      <w:r>
        <w:rPr>
          <w:rFonts w:hint="eastAsia" w:ascii="仿宋_GB2312" w:hAnsi="仿宋_GB2312" w:eastAsia="仿宋_GB2312" w:cs="仿宋_GB2312"/>
          <w:b/>
          <w:bCs/>
          <w:szCs w:val="21"/>
        </w:rPr>
        <w:t>：</w:t>
      </w:r>
    </w:p>
    <w:p w14:paraId="243CEC93">
      <w:pPr>
        <w:numPr>
          <w:ilvl w:val="0"/>
          <w:numId w:val="0"/>
        </w:numPr>
        <w:spacing w:line="360" w:lineRule="auto"/>
        <w:ind w:firstLine="420" w:firstLineChars="200"/>
        <w:rPr>
          <w:rFonts w:hint="eastAsia"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奎屯市第八中学位于奎屯市，在校生规模约1690人。标准化学生管理、物业管理和后勤服务和后勤服务服务范围：标准化学生管理、学生宿舍管理；公共场所、场地清洁、保洁服务；设备设施维修；学生食堂餐饮服务；校园安全保障服务；校园绿化养护服务；垃圾分类、清理服务；管道疏通等服务,具体以详细要求为准。</w:t>
      </w:r>
    </w:p>
    <w:p w14:paraId="71C75A45">
      <w:pPr>
        <w:numPr>
          <w:ilvl w:val="0"/>
          <w:numId w:val="0"/>
        </w:numPr>
        <w:spacing w:line="360" w:lineRule="auto"/>
        <w:rPr>
          <w:rFonts w:hint="eastAsia"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二、采购需求：</w:t>
      </w:r>
    </w:p>
    <w:p w14:paraId="50E9069E">
      <w:pPr>
        <w:numPr>
          <w:ilvl w:val="0"/>
          <w:numId w:val="0"/>
        </w:numPr>
        <w:spacing w:line="360" w:lineRule="auto"/>
        <w:ind w:firstLine="420" w:firstLineChars="200"/>
        <w:rPr>
          <w:rFonts w:hint="eastAsia"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1.学校引入一支具有专业特色的</w:t>
      </w:r>
      <w:r>
        <w:rPr>
          <w:rFonts w:hint="eastAsia" w:ascii="仿宋_GB2312" w:hAnsi="仿宋_GB2312" w:eastAsia="仿宋_GB2312" w:cs="仿宋_GB2312"/>
          <w:b w:val="0"/>
          <w:bCs w:val="0"/>
          <w:szCs w:val="21"/>
          <w:highlight w:val="none"/>
          <w:lang w:val="en-US" w:eastAsia="zh-CN"/>
        </w:rPr>
        <w:t>标准化学生管理团队</w:t>
      </w:r>
      <w:r>
        <w:rPr>
          <w:rFonts w:hint="eastAsia" w:ascii="仿宋_GB2312" w:hAnsi="仿宋_GB2312" w:eastAsia="仿宋_GB2312" w:cs="仿宋_GB2312"/>
          <w:b w:val="0"/>
          <w:bCs w:val="0"/>
          <w:szCs w:val="21"/>
          <w:lang w:val="en-US" w:eastAsia="zh-CN"/>
        </w:rPr>
        <w:t>服务，对校园住宿学生进行日常及行为规范管理、两操一课管理、宿舍管理、学生会管理、校园内内保安全管理、校园环境卫生管理、每周升国旗仪式的管理、晚间查宿的管理、学生就餐秩序的管理、学生课外活动的管理、学生晚自习的管理、军训日活动组织的管理、学校大型活动的组织管理；对每学期新生进行军训的组织与管理、学生安全教育的管理。配合学校做好各项军事化管理以及做好应急处理、维稳巡逻、值班及组织防爆训练等工作，无条件服从学校安排。</w:t>
      </w:r>
    </w:p>
    <w:p w14:paraId="7BB40810">
      <w:pPr>
        <w:numPr>
          <w:ilvl w:val="0"/>
          <w:numId w:val="0"/>
        </w:numPr>
        <w:spacing w:line="360" w:lineRule="auto"/>
        <w:ind w:firstLine="420" w:firstLineChars="200"/>
        <w:rPr>
          <w:rFonts w:hint="eastAsia"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2.学校引入一支具有专业特色的标准化物业管理团队服务，团队具备拥有专业化，一体化高素质的员工队伍，为学校提供一流的物业后勤保障工作。内容包括1、学校内的绿化（完成春夏秋三季绿化工作以外，冬季要服从学校后勤人员的工作安排，配合后勤人员完成学校维修、暖气维护等其他工作。）、2、保洁工作包括教学楼、行政楼内所有厕所、水房、教学楼大小会议室、复兴楼等区域的清洁等工作。</w:t>
      </w:r>
    </w:p>
    <w:p w14:paraId="2B7463A6">
      <w:pPr>
        <w:numPr>
          <w:ilvl w:val="0"/>
          <w:numId w:val="0"/>
        </w:numPr>
        <w:spacing w:line="360" w:lineRule="auto"/>
        <w:ind w:firstLine="420" w:firstLineChars="200"/>
        <w:rPr>
          <w:rFonts w:hint="eastAsia"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3.学校引入一支具有专业特色的标准化餐厅管理团队服务，具备健全的餐饮资质，建立健全食堂及集体用餐管理制度，包含食品卫生安全领导责任制度，为学校师生提供健康营养食品。</w:t>
      </w:r>
    </w:p>
    <w:p w14:paraId="6BDC2447">
      <w:pPr>
        <w:adjustRightInd w:val="0"/>
        <w:snapToGrid w:val="0"/>
        <w:spacing w:line="360" w:lineRule="auto"/>
        <w:rPr>
          <w:rFonts w:ascii="仿宋_GB2312" w:hAnsi="仿宋_GB2312" w:eastAsia="仿宋_GB2312" w:cs="仿宋_GB2312"/>
        </w:rPr>
      </w:pPr>
      <w:r>
        <w:rPr>
          <w:rFonts w:hint="eastAsia" w:ascii="仿宋_GB2312" w:hAnsi="仿宋_GB2312" w:eastAsia="仿宋_GB2312" w:cs="仿宋_GB2312"/>
          <w:b/>
          <w:bCs/>
          <w:szCs w:val="21"/>
          <w:lang w:eastAsia="zh-CN"/>
        </w:rPr>
        <w:t>（</w:t>
      </w:r>
      <w:r>
        <w:rPr>
          <w:rFonts w:hint="eastAsia" w:ascii="仿宋_GB2312" w:hAnsi="仿宋_GB2312" w:eastAsia="仿宋_GB2312" w:cs="仿宋_GB2312"/>
          <w:b/>
          <w:bCs/>
          <w:szCs w:val="21"/>
          <w:lang w:val="en-US" w:eastAsia="zh-CN"/>
        </w:rPr>
        <w:t>1</w:t>
      </w:r>
      <w:r>
        <w:rPr>
          <w:rFonts w:hint="eastAsia" w:ascii="仿宋_GB2312" w:hAnsi="仿宋_GB2312" w:eastAsia="仿宋_GB2312" w:cs="仿宋_GB2312"/>
          <w:b/>
          <w:bCs/>
          <w:szCs w:val="21"/>
          <w:lang w:eastAsia="zh-CN"/>
        </w:rPr>
        <w:t>）</w:t>
      </w:r>
      <w:r>
        <w:rPr>
          <w:rFonts w:hint="eastAsia" w:ascii="仿宋_GB2312" w:hAnsi="仿宋_GB2312" w:eastAsia="仿宋_GB2312" w:cs="仿宋_GB2312"/>
          <w:b/>
          <w:bCs/>
          <w:lang w:val="en-US" w:eastAsia="zh-CN"/>
        </w:rPr>
        <w:t>服务期限</w:t>
      </w:r>
      <w:r>
        <w:rPr>
          <w:rFonts w:hint="eastAsia" w:ascii="仿宋_GB2312" w:hAnsi="仿宋_GB2312" w:eastAsia="仿宋_GB2312" w:cs="仿宋_GB2312"/>
          <w:b/>
          <w:bCs/>
        </w:rPr>
        <w:t>：</w:t>
      </w:r>
      <w:r>
        <w:rPr>
          <w:rFonts w:hint="eastAsia" w:ascii="仿宋_GB2312" w:hAnsi="仿宋_GB2312" w:eastAsia="仿宋_GB2312" w:cs="仿宋_GB2312"/>
          <w:lang w:val="en-US" w:eastAsia="zh-CN"/>
        </w:rPr>
        <w:t>本项目总服务期限为三年，</w:t>
      </w:r>
      <w:r>
        <w:rPr>
          <w:rFonts w:hint="eastAsia" w:ascii="仿宋_GB2312" w:hAnsi="仿宋_GB2312" w:eastAsia="仿宋_GB2312" w:cs="仿宋_GB2312"/>
          <w:szCs w:val="21"/>
        </w:rPr>
        <w:t>采购合同每年签一次，第二年的采购合同根据中标人第一年履约考核情况而定，如甲方满意率达到85%以上，可根据满意率继续签订，以此类推第三年的采购合同签订。</w:t>
      </w:r>
    </w:p>
    <w:p w14:paraId="007B03ED">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b/>
          <w:bCs/>
          <w:szCs w:val="21"/>
          <w:lang w:eastAsia="zh-CN"/>
        </w:rPr>
        <w:t>（</w:t>
      </w:r>
      <w:r>
        <w:rPr>
          <w:rFonts w:hint="eastAsia" w:ascii="仿宋_GB2312" w:hAnsi="仿宋_GB2312" w:eastAsia="仿宋_GB2312" w:cs="仿宋_GB2312"/>
          <w:b/>
          <w:bCs/>
          <w:szCs w:val="21"/>
          <w:lang w:val="en-US" w:eastAsia="zh-CN"/>
        </w:rPr>
        <w:t>2</w:t>
      </w:r>
      <w:r>
        <w:rPr>
          <w:rFonts w:hint="eastAsia" w:ascii="仿宋_GB2312" w:hAnsi="仿宋_GB2312" w:eastAsia="仿宋_GB2312" w:cs="仿宋_GB2312"/>
          <w:b/>
          <w:bCs/>
          <w:szCs w:val="21"/>
          <w:lang w:eastAsia="zh-CN"/>
        </w:rPr>
        <w:t>）项目及人员配备要求：</w:t>
      </w:r>
      <w:r>
        <w:rPr>
          <w:rFonts w:hint="eastAsia" w:ascii="仿宋_GB2312" w:hAnsi="仿宋_GB2312" w:eastAsia="仿宋_GB2312" w:cs="仿宋_GB2312"/>
          <w:szCs w:val="21"/>
          <w:lang w:val="en-US" w:eastAsia="zh-CN"/>
        </w:rPr>
        <w:t>1.供应商须具备标准化学生管理，标准化物业后勤管理、标准化餐厅管理服务的供应商。</w:t>
      </w:r>
    </w:p>
    <w:p w14:paraId="02145CE8">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2.现场面验：如供应商中标，应按甲方要求将派选数名宿管员、后勤物业人员、餐厅工作人员等，员工须适合岗位需要，选派的员工须经过严格筛选，必须政治表现合格，品德品行良好，身体健康，无任何违法违纪行为。特殊岗位员工需携带专业证书原件于收到中标（成交）通知书后2日内前往甲方单位现场面验。特殊岗位年龄在20-50岁以内。</w:t>
      </w:r>
    </w:p>
    <w:p w14:paraId="0F0A1219">
      <w:pPr>
        <w:spacing w:line="360" w:lineRule="auto"/>
        <w:rPr>
          <w:rFonts w:hint="eastAsia"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三、物业管理和后勤服务服务详细要求</w:t>
      </w:r>
    </w:p>
    <w:p w14:paraId="1CFD16F7">
      <w:pPr>
        <w:spacing w:line="360" w:lineRule="auto"/>
        <w:rPr>
          <w:rFonts w:hint="eastAsia"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（一）物业服务概况</w:t>
      </w:r>
    </w:p>
    <w:p w14:paraId="508CAE60">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1、奎屯市第八中学校园占地面积约6.4万㎡，建筑面积约3.2万㎡，包含以下物业，具体情况可现场查看。</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0"/>
        <w:gridCol w:w="2877"/>
        <w:gridCol w:w="4449"/>
      </w:tblGrid>
      <w:tr w14:paraId="1E08E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90" w:type="dxa"/>
            <w:noWrap w:val="0"/>
            <w:vAlign w:val="center"/>
          </w:tcPr>
          <w:p w14:paraId="5A2E1DB0">
            <w:pPr>
              <w:adjustRightInd w:val="0"/>
              <w:snapToGrid w:val="0"/>
              <w:spacing w:line="360" w:lineRule="auto"/>
              <w:jc w:val="center"/>
              <w:rPr>
                <w:rFonts w:hint="eastAsia" w:ascii="宋体" w:hAnsi="宋体" w:cs="宋体"/>
                <w:b/>
                <w:sz w:val="24"/>
              </w:rPr>
            </w:pPr>
            <w:r>
              <w:rPr>
                <w:rFonts w:hint="eastAsia" w:ascii="宋体" w:hAnsi="宋体" w:cs="宋体"/>
                <w:b/>
                <w:sz w:val="24"/>
              </w:rPr>
              <w:t>序号</w:t>
            </w:r>
          </w:p>
        </w:tc>
        <w:tc>
          <w:tcPr>
            <w:tcW w:w="2877" w:type="dxa"/>
            <w:noWrap w:val="0"/>
            <w:vAlign w:val="center"/>
          </w:tcPr>
          <w:p w14:paraId="6A84B22D">
            <w:pPr>
              <w:adjustRightInd w:val="0"/>
              <w:snapToGrid w:val="0"/>
              <w:spacing w:line="360" w:lineRule="auto"/>
              <w:jc w:val="center"/>
              <w:rPr>
                <w:rFonts w:hint="eastAsia" w:ascii="宋体" w:hAnsi="宋体" w:cs="宋体"/>
                <w:b/>
                <w:sz w:val="24"/>
              </w:rPr>
            </w:pPr>
            <w:r>
              <w:rPr>
                <w:rFonts w:hint="eastAsia" w:ascii="宋体" w:hAnsi="宋体" w:cs="宋体"/>
                <w:b/>
                <w:sz w:val="24"/>
              </w:rPr>
              <w:t>建筑用途</w:t>
            </w:r>
          </w:p>
        </w:tc>
        <w:tc>
          <w:tcPr>
            <w:tcW w:w="4449" w:type="dxa"/>
            <w:noWrap w:val="0"/>
            <w:vAlign w:val="center"/>
          </w:tcPr>
          <w:p w14:paraId="3DF03BAD">
            <w:pPr>
              <w:adjustRightInd w:val="0"/>
              <w:snapToGrid w:val="0"/>
              <w:spacing w:line="360" w:lineRule="auto"/>
              <w:jc w:val="center"/>
              <w:rPr>
                <w:rFonts w:hint="eastAsia" w:ascii="宋体" w:hAnsi="宋体" w:cs="宋体"/>
                <w:b/>
                <w:sz w:val="24"/>
              </w:rPr>
            </w:pPr>
            <w:r>
              <w:rPr>
                <w:rFonts w:hint="eastAsia" w:ascii="宋体" w:hAnsi="宋体" w:cs="宋体"/>
                <w:b/>
                <w:sz w:val="24"/>
              </w:rPr>
              <w:t>建筑名称</w:t>
            </w:r>
          </w:p>
        </w:tc>
      </w:tr>
      <w:tr w14:paraId="6EFEB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90" w:type="dxa"/>
            <w:noWrap w:val="0"/>
            <w:vAlign w:val="center"/>
          </w:tcPr>
          <w:p w14:paraId="1565D426">
            <w:pPr>
              <w:spacing w:line="360" w:lineRule="auto"/>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w:t>
            </w:r>
          </w:p>
        </w:tc>
        <w:tc>
          <w:tcPr>
            <w:tcW w:w="2877" w:type="dxa"/>
            <w:noWrap w:val="0"/>
            <w:vAlign w:val="center"/>
          </w:tcPr>
          <w:p w14:paraId="3C8C6316">
            <w:pPr>
              <w:spacing w:line="360" w:lineRule="auto"/>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课室</w:t>
            </w:r>
          </w:p>
        </w:tc>
        <w:tc>
          <w:tcPr>
            <w:tcW w:w="4449" w:type="dxa"/>
            <w:noWrap w:val="0"/>
            <w:vAlign w:val="center"/>
          </w:tcPr>
          <w:p w14:paraId="2662FEFE">
            <w:pPr>
              <w:spacing w:line="360" w:lineRule="auto"/>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教学楼3栋，教室37间</w:t>
            </w:r>
          </w:p>
        </w:tc>
      </w:tr>
      <w:tr w14:paraId="7E1A2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90" w:type="dxa"/>
            <w:noWrap w:val="0"/>
            <w:vAlign w:val="center"/>
          </w:tcPr>
          <w:p w14:paraId="611ECD3D">
            <w:pPr>
              <w:spacing w:line="360" w:lineRule="auto"/>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2877" w:type="dxa"/>
            <w:vMerge w:val="restart"/>
            <w:noWrap w:val="0"/>
            <w:vAlign w:val="center"/>
          </w:tcPr>
          <w:p w14:paraId="04F6C0FE">
            <w:pPr>
              <w:spacing w:line="360" w:lineRule="auto"/>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实验实训场所</w:t>
            </w:r>
          </w:p>
        </w:tc>
        <w:tc>
          <w:tcPr>
            <w:tcW w:w="4449" w:type="dxa"/>
            <w:noWrap w:val="0"/>
            <w:vAlign w:val="center"/>
          </w:tcPr>
          <w:p w14:paraId="6529C88C">
            <w:pPr>
              <w:spacing w:line="360" w:lineRule="auto"/>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实验楼1栋</w:t>
            </w:r>
          </w:p>
        </w:tc>
      </w:tr>
      <w:tr w14:paraId="4A6A8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90" w:type="dxa"/>
            <w:noWrap w:val="0"/>
            <w:vAlign w:val="center"/>
          </w:tcPr>
          <w:p w14:paraId="19642C9E">
            <w:pPr>
              <w:spacing w:line="360" w:lineRule="auto"/>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2877" w:type="dxa"/>
            <w:vMerge w:val="continue"/>
            <w:noWrap w:val="0"/>
            <w:vAlign w:val="center"/>
          </w:tcPr>
          <w:p w14:paraId="72F83BD9">
            <w:pPr>
              <w:spacing w:line="360" w:lineRule="auto"/>
              <w:jc w:val="center"/>
              <w:rPr>
                <w:rFonts w:hint="eastAsia" w:ascii="仿宋_GB2312" w:hAnsi="仿宋_GB2312" w:eastAsia="仿宋_GB2312" w:cs="仿宋_GB2312"/>
                <w:szCs w:val="21"/>
                <w:lang w:val="en-US" w:eastAsia="zh-CN"/>
              </w:rPr>
            </w:pPr>
          </w:p>
        </w:tc>
        <w:tc>
          <w:tcPr>
            <w:tcW w:w="4449" w:type="dxa"/>
            <w:noWrap w:val="0"/>
            <w:vAlign w:val="center"/>
          </w:tcPr>
          <w:p w14:paraId="4410973B">
            <w:pPr>
              <w:spacing w:line="360" w:lineRule="auto"/>
              <w:jc w:val="center"/>
              <w:rPr>
                <w:rFonts w:hint="eastAsia" w:ascii="仿宋_GB2312" w:hAnsi="仿宋_GB2312" w:eastAsia="仿宋_GB2312" w:cs="仿宋_GB2312"/>
                <w:szCs w:val="21"/>
                <w:lang w:val="en-US" w:eastAsia="zh-CN"/>
              </w:rPr>
            </w:pPr>
          </w:p>
        </w:tc>
      </w:tr>
      <w:tr w14:paraId="2BC70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90" w:type="dxa"/>
            <w:noWrap w:val="0"/>
            <w:vAlign w:val="center"/>
          </w:tcPr>
          <w:p w14:paraId="3BF2614C">
            <w:pPr>
              <w:spacing w:line="360" w:lineRule="auto"/>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w:t>
            </w:r>
          </w:p>
        </w:tc>
        <w:tc>
          <w:tcPr>
            <w:tcW w:w="2877" w:type="dxa"/>
            <w:vMerge w:val="restart"/>
            <w:noWrap w:val="0"/>
            <w:vAlign w:val="center"/>
          </w:tcPr>
          <w:p w14:paraId="6ACE4A7F">
            <w:pPr>
              <w:spacing w:line="360" w:lineRule="auto"/>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行政办公用房</w:t>
            </w:r>
          </w:p>
        </w:tc>
        <w:tc>
          <w:tcPr>
            <w:tcW w:w="4449" w:type="dxa"/>
            <w:noWrap w:val="0"/>
            <w:vAlign w:val="center"/>
          </w:tcPr>
          <w:p w14:paraId="4A7180E5">
            <w:pPr>
              <w:spacing w:line="360" w:lineRule="auto"/>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行政楼1栋</w:t>
            </w:r>
          </w:p>
        </w:tc>
      </w:tr>
      <w:tr w14:paraId="72C48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90" w:type="dxa"/>
            <w:noWrap w:val="0"/>
            <w:vAlign w:val="center"/>
          </w:tcPr>
          <w:p w14:paraId="787C89AB">
            <w:pPr>
              <w:spacing w:line="360" w:lineRule="auto"/>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w:t>
            </w:r>
          </w:p>
        </w:tc>
        <w:tc>
          <w:tcPr>
            <w:tcW w:w="2877" w:type="dxa"/>
            <w:vMerge w:val="continue"/>
            <w:noWrap w:val="0"/>
            <w:vAlign w:val="center"/>
          </w:tcPr>
          <w:p w14:paraId="41502A10">
            <w:pPr>
              <w:spacing w:line="360" w:lineRule="auto"/>
              <w:jc w:val="center"/>
              <w:rPr>
                <w:rFonts w:hint="eastAsia" w:ascii="仿宋_GB2312" w:hAnsi="仿宋_GB2312" w:eastAsia="仿宋_GB2312" w:cs="仿宋_GB2312"/>
                <w:szCs w:val="21"/>
                <w:lang w:val="en-US" w:eastAsia="zh-CN"/>
              </w:rPr>
            </w:pPr>
          </w:p>
        </w:tc>
        <w:tc>
          <w:tcPr>
            <w:tcW w:w="4449" w:type="dxa"/>
            <w:noWrap w:val="0"/>
            <w:vAlign w:val="center"/>
          </w:tcPr>
          <w:p w14:paraId="7013D362">
            <w:pPr>
              <w:spacing w:line="360" w:lineRule="auto"/>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会议室2个</w:t>
            </w:r>
          </w:p>
        </w:tc>
      </w:tr>
      <w:tr w14:paraId="6CA8A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90" w:type="dxa"/>
            <w:noWrap w:val="0"/>
            <w:vAlign w:val="center"/>
          </w:tcPr>
          <w:p w14:paraId="74E5A3CB">
            <w:pPr>
              <w:spacing w:line="360" w:lineRule="auto"/>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6</w:t>
            </w:r>
          </w:p>
        </w:tc>
        <w:tc>
          <w:tcPr>
            <w:tcW w:w="2877" w:type="dxa"/>
            <w:noWrap w:val="0"/>
            <w:vAlign w:val="center"/>
          </w:tcPr>
          <w:p w14:paraId="195DC498">
            <w:pPr>
              <w:spacing w:line="360" w:lineRule="auto"/>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学生宿舍</w:t>
            </w:r>
          </w:p>
        </w:tc>
        <w:tc>
          <w:tcPr>
            <w:tcW w:w="4449" w:type="dxa"/>
            <w:noWrap w:val="0"/>
            <w:vAlign w:val="center"/>
          </w:tcPr>
          <w:p w14:paraId="07186BD1">
            <w:pPr>
              <w:spacing w:line="360" w:lineRule="auto"/>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2栋学生宿舍</w:t>
            </w:r>
          </w:p>
        </w:tc>
      </w:tr>
      <w:tr w14:paraId="1A7EF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90" w:type="dxa"/>
            <w:noWrap w:val="0"/>
            <w:vAlign w:val="center"/>
          </w:tcPr>
          <w:p w14:paraId="039CCEF8">
            <w:pPr>
              <w:spacing w:line="360" w:lineRule="auto"/>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7</w:t>
            </w:r>
          </w:p>
        </w:tc>
        <w:tc>
          <w:tcPr>
            <w:tcW w:w="2877" w:type="dxa"/>
            <w:noWrap w:val="0"/>
            <w:vAlign w:val="center"/>
          </w:tcPr>
          <w:p w14:paraId="3B89ED7F">
            <w:pPr>
              <w:spacing w:line="360" w:lineRule="auto"/>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教学及生活附属用地</w:t>
            </w:r>
          </w:p>
        </w:tc>
        <w:tc>
          <w:tcPr>
            <w:tcW w:w="4449" w:type="dxa"/>
            <w:noWrap w:val="0"/>
            <w:vAlign w:val="center"/>
          </w:tcPr>
          <w:p w14:paraId="3753B46E">
            <w:pPr>
              <w:spacing w:line="360" w:lineRule="auto"/>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图书馆、食堂、体育馆等</w:t>
            </w:r>
          </w:p>
        </w:tc>
      </w:tr>
      <w:tr w14:paraId="1ECD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90" w:type="dxa"/>
            <w:noWrap w:val="0"/>
            <w:vAlign w:val="center"/>
          </w:tcPr>
          <w:p w14:paraId="120D0546">
            <w:pPr>
              <w:spacing w:line="360" w:lineRule="auto"/>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8</w:t>
            </w:r>
          </w:p>
        </w:tc>
        <w:tc>
          <w:tcPr>
            <w:tcW w:w="2877" w:type="dxa"/>
            <w:noWrap w:val="0"/>
            <w:vAlign w:val="center"/>
          </w:tcPr>
          <w:p w14:paraId="4A8EBF6D">
            <w:pPr>
              <w:spacing w:line="360" w:lineRule="auto"/>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教工宿舍</w:t>
            </w:r>
          </w:p>
        </w:tc>
        <w:tc>
          <w:tcPr>
            <w:tcW w:w="4449" w:type="dxa"/>
            <w:noWrap w:val="0"/>
            <w:vAlign w:val="center"/>
          </w:tcPr>
          <w:p w14:paraId="03CD8D6D">
            <w:pPr>
              <w:spacing w:line="360" w:lineRule="auto"/>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教工宿舍1栋</w:t>
            </w:r>
          </w:p>
        </w:tc>
      </w:tr>
      <w:tr w14:paraId="4B70E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90" w:type="dxa"/>
            <w:noWrap w:val="0"/>
            <w:vAlign w:val="center"/>
          </w:tcPr>
          <w:p w14:paraId="51C24BEA">
            <w:pPr>
              <w:spacing w:line="360" w:lineRule="auto"/>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9</w:t>
            </w:r>
          </w:p>
        </w:tc>
        <w:tc>
          <w:tcPr>
            <w:tcW w:w="2877" w:type="dxa"/>
            <w:noWrap w:val="0"/>
            <w:vAlign w:val="center"/>
          </w:tcPr>
          <w:p w14:paraId="630A31C7">
            <w:pPr>
              <w:spacing w:line="360" w:lineRule="auto"/>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校园道路、广场、校门</w:t>
            </w:r>
          </w:p>
        </w:tc>
        <w:tc>
          <w:tcPr>
            <w:tcW w:w="4449" w:type="dxa"/>
            <w:noWrap w:val="0"/>
            <w:vAlign w:val="center"/>
          </w:tcPr>
          <w:p w14:paraId="1755C4E3">
            <w:pPr>
              <w:spacing w:line="360" w:lineRule="auto"/>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以实际现有为准</w:t>
            </w:r>
          </w:p>
        </w:tc>
      </w:tr>
      <w:tr w14:paraId="554FD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90" w:type="dxa"/>
            <w:noWrap w:val="0"/>
            <w:vAlign w:val="center"/>
          </w:tcPr>
          <w:p w14:paraId="38F440EB">
            <w:pPr>
              <w:spacing w:line="360" w:lineRule="auto"/>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10</w:t>
            </w:r>
          </w:p>
        </w:tc>
        <w:tc>
          <w:tcPr>
            <w:tcW w:w="2877" w:type="dxa"/>
            <w:noWrap w:val="0"/>
            <w:vAlign w:val="center"/>
          </w:tcPr>
          <w:p w14:paraId="0250C4BA">
            <w:pPr>
              <w:spacing w:line="360" w:lineRule="auto"/>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室外运动场</w:t>
            </w:r>
          </w:p>
        </w:tc>
        <w:tc>
          <w:tcPr>
            <w:tcW w:w="4449" w:type="dxa"/>
            <w:noWrap w:val="0"/>
            <w:vAlign w:val="center"/>
          </w:tcPr>
          <w:p w14:paraId="5D19CF7A">
            <w:pPr>
              <w:spacing w:line="360" w:lineRule="auto"/>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以实际现有为准</w:t>
            </w:r>
          </w:p>
        </w:tc>
      </w:tr>
      <w:tr w14:paraId="24A7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90" w:type="dxa"/>
            <w:noWrap w:val="0"/>
            <w:vAlign w:val="center"/>
          </w:tcPr>
          <w:p w14:paraId="50893605">
            <w:pPr>
              <w:spacing w:line="360" w:lineRule="auto"/>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11</w:t>
            </w:r>
          </w:p>
        </w:tc>
        <w:tc>
          <w:tcPr>
            <w:tcW w:w="2877" w:type="dxa"/>
            <w:noWrap w:val="0"/>
            <w:vAlign w:val="center"/>
          </w:tcPr>
          <w:p w14:paraId="52BA65BD">
            <w:pPr>
              <w:spacing w:line="360" w:lineRule="auto"/>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校园绿地</w:t>
            </w:r>
          </w:p>
        </w:tc>
        <w:tc>
          <w:tcPr>
            <w:tcW w:w="4449" w:type="dxa"/>
            <w:noWrap w:val="0"/>
            <w:vAlign w:val="center"/>
          </w:tcPr>
          <w:p w14:paraId="1B54A9A5">
            <w:pPr>
              <w:spacing w:line="360" w:lineRule="auto"/>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以实际现有为准</w:t>
            </w:r>
          </w:p>
        </w:tc>
      </w:tr>
    </w:tbl>
    <w:p w14:paraId="57C743FB">
      <w:pPr>
        <w:spacing w:line="360" w:lineRule="auto"/>
        <w:rPr>
          <w:rFonts w:hint="eastAsia" w:ascii="仿宋_GB2312" w:hAnsi="仿宋_GB2312" w:eastAsia="仿宋_GB2312" w:cs="仿宋_GB2312"/>
          <w:szCs w:val="21"/>
          <w:lang w:eastAsia="zh-CN"/>
        </w:rPr>
      </w:pPr>
    </w:p>
    <w:p w14:paraId="381DABD6">
      <w:pPr>
        <w:adjustRightInd w:val="0"/>
        <w:snapToGrid w:val="0"/>
        <w:spacing w:line="360" w:lineRule="auto"/>
        <w:rPr>
          <w:rFonts w:hint="eastAsia" w:ascii="宋体" w:hAnsi="宋体" w:cs="宋体"/>
          <w:b/>
          <w:sz w:val="24"/>
        </w:rPr>
      </w:pPr>
      <w:r>
        <w:rPr>
          <w:rFonts w:hint="eastAsia" w:ascii="宋体" w:hAnsi="宋体" w:cs="宋体"/>
          <w:b/>
          <w:bCs/>
          <w:sz w:val="24"/>
        </w:rPr>
        <w:t>（二）</w:t>
      </w:r>
      <w:r>
        <w:rPr>
          <w:rFonts w:hint="eastAsia" w:ascii="宋体" w:hAnsi="宋体" w:cs="宋体"/>
          <w:b/>
          <w:sz w:val="24"/>
        </w:rPr>
        <w:t>物业管理和后勤服务服务事项及要求</w:t>
      </w:r>
    </w:p>
    <w:p w14:paraId="52D41995">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1、投标人各项管理制度健全，具有明确的岗位职责、工作标准、考核措施及奖惩办法，并建有详细的物业管理和后勤服务工作档案。</w:t>
      </w:r>
    </w:p>
    <w:p w14:paraId="7DA8D7A3">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2.服从学校管理、遵守学校有关规章制度，执行学校安全管理规定，严格按学校要求做好校园安全管理工作，自觉接受学校相关职能管理部门的业务检查、监督和指导；</w:t>
      </w:r>
    </w:p>
    <w:p w14:paraId="041A476E">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3.须配备政治、业务素质高，工作责任心强的专职管理人员，负责对工作人员的教育训练与管理，确保工作人员的教育训练与管理，使其具备较好的政治、业务素质；</w:t>
      </w:r>
    </w:p>
    <w:p w14:paraId="5EDF6418">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lang w:eastAsia="zh-CN"/>
        </w:rPr>
        <w:t>.投标人要配合采购人做好节能管理工作，配合采购人教育师生员工节约用水用电。</w:t>
      </w:r>
    </w:p>
    <w:p w14:paraId="133C3768">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lang w:eastAsia="zh-CN"/>
        </w:rPr>
        <w:t>.对投标文件中的漏项、错项、错算量等引起的差异视为已包含在投标总报价中，如果是项目必须、合理的配套服务内容，投标人必须提供相应的服务内容，采购人不再额外增加服务费用给投标人，中标金额以投标总价为准。</w:t>
      </w:r>
    </w:p>
    <w:p w14:paraId="13930F94">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6</w:t>
      </w:r>
      <w:r>
        <w:rPr>
          <w:rFonts w:hint="eastAsia" w:ascii="仿宋_GB2312" w:hAnsi="仿宋_GB2312" w:eastAsia="仿宋_GB2312" w:cs="仿宋_GB2312"/>
          <w:szCs w:val="21"/>
          <w:lang w:eastAsia="zh-CN"/>
        </w:rPr>
        <w:t>.有整套的严格管理、操作性强且行之有效的规定和制度，经常加强对工作人员的政治教育与业务培训，树立爱业敬岗、护校的主人翁精神和文明礼貌的风尚，坚持文明值勤，礼貌待人，处事公正、依法依规办事，遵纪守法，执行政策；有效防止违法乱纪和监守自盗的现象；</w:t>
      </w:r>
    </w:p>
    <w:p w14:paraId="644B4EC3">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7</w:t>
      </w:r>
      <w:r>
        <w:rPr>
          <w:rFonts w:hint="eastAsia" w:ascii="仿宋_GB2312" w:hAnsi="仿宋_GB2312" w:eastAsia="仿宋_GB2312" w:cs="仿宋_GB2312"/>
          <w:szCs w:val="21"/>
          <w:lang w:eastAsia="zh-CN"/>
        </w:rPr>
        <w:t>.房屋、设备、设施档案分类成册，各个部门工作计划、工作记录、管理制度等资料管理完善，方便查阅；</w:t>
      </w:r>
    </w:p>
    <w:p w14:paraId="438A9A31">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8</w:t>
      </w:r>
      <w:r>
        <w:rPr>
          <w:rFonts w:hint="eastAsia" w:ascii="仿宋_GB2312" w:hAnsi="仿宋_GB2312" w:eastAsia="仿宋_GB2312" w:cs="仿宋_GB2312"/>
          <w:szCs w:val="21"/>
          <w:lang w:eastAsia="zh-CN"/>
        </w:rPr>
        <w:t>.员工健康证、身份证、以及其他政府部门、公安部门要求的相关证件齐全；</w:t>
      </w:r>
    </w:p>
    <w:p w14:paraId="1C043545">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9</w:t>
      </w:r>
      <w:r>
        <w:rPr>
          <w:rFonts w:hint="eastAsia" w:ascii="仿宋_GB2312" w:hAnsi="仿宋_GB2312" w:eastAsia="仿宋_GB2312" w:cs="仿宋_GB2312"/>
          <w:szCs w:val="21"/>
          <w:lang w:eastAsia="zh-CN"/>
        </w:rPr>
        <w:t>.专业机电维护维修人员（强电、弱电、电梯、空调、水暖）持证上岗；</w:t>
      </w:r>
    </w:p>
    <w:p w14:paraId="6BE80AE5">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10</w:t>
      </w:r>
      <w:r>
        <w:rPr>
          <w:rFonts w:hint="eastAsia" w:ascii="仿宋_GB2312" w:hAnsi="仿宋_GB2312" w:eastAsia="仿宋_GB2312" w:cs="仿宋_GB2312"/>
          <w:szCs w:val="21"/>
          <w:lang w:eastAsia="zh-CN"/>
        </w:rPr>
        <w:t>.员工统一服装，佩带明显标志，工作规范；</w:t>
      </w:r>
    </w:p>
    <w:p w14:paraId="3B01FF41">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w:t>
      </w: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lang w:eastAsia="zh-CN"/>
        </w:rPr>
        <w:t>.有完善的员工培训计划和实施计划；</w:t>
      </w:r>
    </w:p>
    <w:p w14:paraId="17D4DB17">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lang w:eastAsia="zh-CN"/>
        </w:rPr>
        <w:t>.有健全的报修服务、投诉受理及回应机制，确保师生满意率；</w:t>
      </w:r>
    </w:p>
    <w:p w14:paraId="15E91908">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w:t>
      </w: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lang w:eastAsia="zh-CN"/>
        </w:rPr>
        <w:t>.投标人在服务期内应制定相应的应急预案，在出现自然灾害或重大事件时，必须组织自身的人员积极响应采购人的要求参与工作。</w:t>
      </w:r>
    </w:p>
    <w:p w14:paraId="5FA32A16">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lang w:eastAsia="zh-CN"/>
        </w:rPr>
        <w:t>1</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lang w:eastAsia="zh-CN"/>
        </w:rPr>
        <w:t>.遇到特殊情况和采购人安排临时任务时，无偿配合采购人做好相关工作（如搬运、清洁等），随叫随到。</w:t>
      </w:r>
    </w:p>
    <w:p w14:paraId="756B66C9">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lang w:eastAsia="zh-CN"/>
        </w:rPr>
        <w:t>.暑假清洗行政楼风扇及空调滤网。如需要及时清洗，不另外增加费用。</w:t>
      </w:r>
    </w:p>
    <w:p w14:paraId="2A0DABEE">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w:t>
      </w:r>
      <w:r>
        <w:rPr>
          <w:rFonts w:hint="eastAsia" w:ascii="仿宋_GB2312" w:hAnsi="仿宋_GB2312" w:eastAsia="仿宋_GB2312" w:cs="仿宋_GB2312"/>
          <w:szCs w:val="21"/>
          <w:lang w:val="en-US" w:eastAsia="zh-CN"/>
        </w:rPr>
        <w:t>6</w:t>
      </w:r>
      <w:r>
        <w:rPr>
          <w:rFonts w:hint="eastAsia" w:ascii="仿宋_GB2312" w:hAnsi="仿宋_GB2312" w:eastAsia="仿宋_GB2312" w:cs="仿宋_GB2312"/>
          <w:szCs w:val="21"/>
          <w:lang w:eastAsia="zh-CN"/>
        </w:rPr>
        <w:t>.投标人需制定完整的“业务连续性计划”，加强项目服务连续性管理。投标人需通过对项目运作不确定性和风险的识别，加强在出现突发状况时迅速作出反应的能力，减少问题事件给采购人带来的损失，保持核心功能的正常运行。</w:t>
      </w:r>
    </w:p>
    <w:p w14:paraId="557912D1">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w:t>
      </w:r>
      <w:r>
        <w:rPr>
          <w:rFonts w:hint="eastAsia" w:ascii="仿宋_GB2312" w:hAnsi="仿宋_GB2312" w:eastAsia="仿宋_GB2312" w:cs="仿宋_GB2312"/>
          <w:szCs w:val="21"/>
          <w:lang w:val="en-US" w:eastAsia="zh-CN"/>
        </w:rPr>
        <w:t>7</w:t>
      </w:r>
      <w:r>
        <w:rPr>
          <w:rFonts w:hint="eastAsia" w:ascii="仿宋_GB2312" w:hAnsi="仿宋_GB2312" w:eastAsia="仿宋_GB2312" w:cs="仿宋_GB2312"/>
          <w:szCs w:val="21"/>
          <w:lang w:eastAsia="zh-CN"/>
        </w:rPr>
        <w:t>.投标人在合同期内，人员经费、垃圾处理费等不因政策变化而调整。</w:t>
      </w:r>
    </w:p>
    <w:p w14:paraId="5EBD9D82">
      <w:pPr>
        <w:spacing w:line="360" w:lineRule="auto"/>
        <w:rPr>
          <w:rFonts w:hint="eastAsia" w:ascii="仿宋_GB2312" w:hAnsi="仿宋_GB2312" w:eastAsia="仿宋_GB2312" w:cs="仿宋_GB2312"/>
          <w:b/>
          <w:bCs/>
          <w:szCs w:val="21"/>
          <w:lang w:eastAsia="zh-CN"/>
        </w:rPr>
      </w:pPr>
      <w:r>
        <w:rPr>
          <w:rFonts w:hint="eastAsia" w:ascii="仿宋_GB2312" w:hAnsi="仿宋_GB2312" w:eastAsia="仿宋_GB2312" w:cs="仿宋_GB2312"/>
          <w:b/>
          <w:bCs/>
          <w:szCs w:val="21"/>
          <w:lang w:eastAsia="zh-CN"/>
        </w:rPr>
        <w:t>（</w:t>
      </w:r>
      <w:r>
        <w:rPr>
          <w:rFonts w:hint="eastAsia" w:ascii="仿宋_GB2312" w:hAnsi="仿宋_GB2312" w:eastAsia="仿宋_GB2312" w:cs="仿宋_GB2312"/>
          <w:b/>
          <w:bCs/>
          <w:szCs w:val="21"/>
          <w:lang w:val="en-US" w:eastAsia="zh-CN"/>
        </w:rPr>
        <w:t>一</w:t>
      </w:r>
      <w:r>
        <w:rPr>
          <w:rFonts w:hint="eastAsia" w:ascii="仿宋_GB2312" w:hAnsi="仿宋_GB2312" w:eastAsia="仿宋_GB2312" w:cs="仿宋_GB2312"/>
          <w:b/>
          <w:bCs/>
          <w:szCs w:val="21"/>
          <w:lang w:eastAsia="zh-CN"/>
        </w:rPr>
        <w:t>）学生宿舍管理服务</w:t>
      </w:r>
    </w:p>
    <w:p w14:paraId="4BE6D9AE">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1.女生宿舍的服务人员必须安排女员工。</w:t>
      </w:r>
    </w:p>
    <w:p w14:paraId="7C6B9FED">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2.做好宿舍的垃圾分类工作，按照有关垃圾分类的文件要求执行；</w:t>
      </w:r>
    </w:p>
    <w:p w14:paraId="272C6D32">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3.配合学生处等部门做好学生宿舍内的日常卫生检查和评比；</w:t>
      </w:r>
    </w:p>
    <w:p w14:paraId="7C6B98B7">
      <w:pPr>
        <w:spacing w:line="360" w:lineRule="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eastAsia="zh-CN"/>
        </w:rPr>
        <w:t>4.★负责学生宿舍楼的</w:t>
      </w:r>
      <w:r>
        <w:rPr>
          <w:rFonts w:hint="eastAsia" w:ascii="仿宋_GB2312" w:hAnsi="仿宋_GB2312" w:eastAsia="仿宋_GB2312" w:cs="仿宋_GB2312"/>
          <w:szCs w:val="21"/>
          <w:highlight w:val="none"/>
          <w:lang w:val="en-US" w:eastAsia="zh-CN"/>
        </w:rPr>
        <w:t>安全</w:t>
      </w:r>
      <w:r>
        <w:rPr>
          <w:rFonts w:hint="eastAsia" w:ascii="仿宋_GB2312" w:hAnsi="仿宋_GB2312" w:eastAsia="仿宋_GB2312" w:cs="仿宋_GB2312"/>
          <w:szCs w:val="21"/>
          <w:highlight w:val="none"/>
          <w:lang w:eastAsia="zh-CN"/>
        </w:rPr>
        <w:t>管理，对学生违纪行为进行纠正，对楼内发生的矛盾及时进行调解，及时处理突发事件；每栋宿舍楼须配专职宿管员24小时制值班,每日不少于8次巡查，须做好记录；加强对进入学生宿舍人员的检查和登记；专职宿管员名单及其驻守的宿舍由投标人向学校宿舍管理人报备，学校后勤管理人报备，如需更换人员应提前向后勤管理人报备；</w:t>
      </w:r>
    </w:p>
    <w:p w14:paraId="4A28C8BD">
      <w:pPr>
        <w:spacing w:line="360" w:lineRule="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eastAsia="zh-CN"/>
        </w:rPr>
        <w:t>5.依据学校的规定做好学生入住、退房、来访登记、大件物品出入登记、报修登记等工作，协助学校做好毕业生离校及新生入住工作；</w:t>
      </w:r>
    </w:p>
    <w:p w14:paraId="0942466F">
      <w:pPr>
        <w:spacing w:line="360" w:lineRule="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eastAsia="zh-CN"/>
        </w:rPr>
        <w:t>6.维持学生宿舍正常的学习、生活秩序，检查作息，督促学生按时熄灯，检查学生晚归、外宿情况，并定期将检查结果汇总上报平安办；</w:t>
      </w:r>
    </w:p>
    <w:p w14:paraId="674EFFEC">
      <w:pPr>
        <w:spacing w:line="360" w:lineRule="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eastAsia="zh-CN"/>
        </w:rPr>
        <w:t>7.负责学生宿舍配置设备、设施的维护维修；</w:t>
      </w:r>
    </w:p>
    <w:p w14:paraId="5BAF0F78">
      <w:pPr>
        <w:spacing w:line="360" w:lineRule="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eastAsia="zh-CN"/>
        </w:rPr>
        <w:t>8.负责宿舍的用水用电管理；</w:t>
      </w:r>
    </w:p>
    <w:p w14:paraId="5D92BF27">
      <w:pPr>
        <w:spacing w:line="360" w:lineRule="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eastAsia="zh-CN"/>
        </w:rPr>
        <w:t>9.负责清洁学生毕业离校后的空房间、新生准备宿舍，包括假期因学校工作临时住宿的房间清洁工作；</w:t>
      </w:r>
    </w:p>
    <w:p w14:paraId="597CEC20">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eastAsia="zh-CN"/>
        </w:rPr>
        <w:t>10.负责宿舍的用水用电管理；</w:t>
      </w:r>
      <w:r>
        <w:rPr>
          <w:rFonts w:hint="eastAsia" w:ascii="仿宋_GB2312" w:hAnsi="仿宋_GB2312" w:eastAsia="仿宋_GB2312" w:cs="仿宋_GB2312"/>
          <w:szCs w:val="21"/>
          <w:lang w:val="en-US" w:eastAsia="zh-CN"/>
        </w:rPr>
        <w:t>提倡节约杜绝浪费。</w:t>
      </w:r>
    </w:p>
    <w:p w14:paraId="13865D43">
      <w:pPr>
        <w:spacing w:line="360" w:lineRule="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lang w:eastAsia="zh-CN"/>
        </w:rPr>
        <w:t>11.负责清洁学生毕业离校后的空房间、新生准备宿舍、非在宿学生的空房间等，包括假期</w:t>
      </w:r>
      <w:r>
        <w:rPr>
          <w:rFonts w:hint="eastAsia" w:ascii="仿宋_GB2312" w:hAnsi="仿宋_GB2312" w:eastAsia="仿宋_GB2312" w:cs="仿宋_GB2312"/>
          <w:szCs w:val="21"/>
          <w:highlight w:val="none"/>
          <w:lang w:eastAsia="zh-CN"/>
        </w:rPr>
        <w:t>因学校工作临时住宿的房间清洁工作；</w:t>
      </w:r>
    </w:p>
    <w:p w14:paraId="20F766A3">
      <w:pPr>
        <w:spacing w:line="360" w:lineRule="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w:t>
      </w:r>
      <w:r>
        <w:rPr>
          <w:rFonts w:hint="eastAsia" w:ascii="仿宋_GB2312" w:hAnsi="仿宋_GB2312" w:eastAsia="仿宋_GB2312" w:cs="仿宋_GB2312"/>
          <w:szCs w:val="21"/>
          <w:highlight w:val="none"/>
          <w:lang w:eastAsia="zh-CN"/>
        </w:rPr>
        <w:t>1</w:t>
      </w:r>
      <w:r>
        <w:rPr>
          <w:rFonts w:hint="eastAsia" w:ascii="仿宋_GB2312" w:hAnsi="仿宋_GB2312" w:eastAsia="仿宋_GB2312" w:cs="仿宋_GB2312"/>
          <w:szCs w:val="21"/>
          <w:highlight w:val="none"/>
          <w:lang w:val="en-US" w:eastAsia="zh-CN"/>
        </w:rPr>
        <w:t>2</w:t>
      </w:r>
      <w:r>
        <w:rPr>
          <w:rFonts w:hint="eastAsia" w:ascii="仿宋_GB2312" w:hAnsi="仿宋_GB2312" w:eastAsia="仿宋_GB2312" w:cs="仿宋_GB2312"/>
          <w:szCs w:val="21"/>
          <w:highlight w:val="none"/>
          <w:lang w:eastAsia="zh-CN"/>
        </w:rPr>
        <w:t>.为学生排忧解难，提供优质服务，学生反映的问题要及时报内学办及</w:t>
      </w:r>
      <w:r>
        <w:rPr>
          <w:rFonts w:hint="eastAsia" w:ascii="仿宋_GB2312" w:hAnsi="仿宋_GB2312" w:eastAsia="仿宋_GB2312" w:cs="仿宋_GB2312"/>
          <w:szCs w:val="21"/>
          <w:highlight w:val="none"/>
          <w:lang w:val="en-US" w:eastAsia="zh-CN"/>
        </w:rPr>
        <w:t>相</w:t>
      </w:r>
      <w:r>
        <w:rPr>
          <w:rFonts w:hint="eastAsia" w:ascii="仿宋_GB2312" w:hAnsi="仿宋_GB2312" w:eastAsia="仿宋_GB2312" w:cs="仿宋_GB2312"/>
          <w:szCs w:val="21"/>
          <w:highlight w:val="none"/>
          <w:lang w:eastAsia="zh-CN"/>
        </w:rPr>
        <w:t>关部门。</w:t>
      </w:r>
    </w:p>
    <w:p w14:paraId="7EC7CA0C">
      <w:pPr>
        <w:spacing w:line="360" w:lineRule="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eastAsia="zh-CN"/>
        </w:rPr>
        <w:t>1</w:t>
      </w:r>
      <w:r>
        <w:rPr>
          <w:rFonts w:hint="eastAsia" w:ascii="仿宋_GB2312" w:hAnsi="仿宋_GB2312" w:eastAsia="仿宋_GB2312" w:cs="仿宋_GB2312"/>
          <w:szCs w:val="21"/>
          <w:highlight w:val="none"/>
          <w:lang w:val="en-US" w:eastAsia="zh-CN"/>
        </w:rPr>
        <w:t>3</w:t>
      </w:r>
      <w:r>
        <w:rPr>
          <w:rFonts w:hint="eastAsia" w:ascii="仿宋_GB2312" w:hAnsi="仿宋_GB2312" w:eastAsia="仿宋_GB2312" w:cs="仿宋_GB2312"/>
          <w:szCs w:val="21"/>
          <w:highlight w:val="none"/>
          <w:lang w:eastAsia="zh-CN"/>
        </w:rPr>
        <w:t>.配合学校</w:t>
      </w:r>
      <w:r>
        <w:rPr>
          <w:rFonts w:hint="eastAsia" w:ascii="仿宋_GB2312" w:hAnsi="仿宋_GB2312" w:eastAsia="仿宋_GB2312" w:cs="仿宋_GB2312"/>
          <w:szCs w:val="21"/>
          <w:highlight w:val="none"/>
          <w:lang w:val="en-US" w:eastAsia="zh-CN"/>
        </w:rPr>
        <w:t>相关部门</w:t>
      </w:r>
      <w:r>
        <w:rPr>
          <w:rFonts w:hint="eastAsia" w:ascii="仿宋_GB2312" w:hAnsi="仿宋_GB2312" w:eastAsia="仿宋_GB2312" w:cs="仿宋_GB2312"/>
          <w:szCs w:val="21"/>
          <w:highlight w:val="none"/>
          <w:lang w:eastAsia="zh-CN"/>
        </w:rPr>
        <w:t>开展的活动和便民服务等工作；</w:t>
      </w:r>
    </w:p>
    <w:p w14:paraId="543742CD">
      <w:pPr>
        <w:spacing w:line="360" w:lineRule="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eastAsia="zh-CN"/>
        </w:rPr>
        <w:t>1</w:t>
      </w:r>
      <w:r>
        <w:rPr>
          <w:rFonts w:hint="eastAsia" w:ascii="仿宋_GB2312" w:hAnsi="仿宋_GB2312" w:eastAsia="仿宋_GB2312" w:cs="仿宋_GB2312"/>
          <w:szCs w:val="21"/>
          <w:highlight w:val="none"/>
          <w:lang w:val="en-US" w:eastAsia="zh-CN"/>
        </w:rPr>
        <w:t>4</w:t>
      </w:r>
      <w:r>
        <w:rPr>
          <w:rFonts w:hint="eastAsia" w:ascii="仿宋_GB2312" w:hAnsi="仿宋_GB2312" w:eastAsia="仿宋_GB2312" w:cs="仿宋_GB2312"/>
          <w:szCs w:val="21"/>
          <w:highlight w:val="none"/>
          <w:lang w:eastAsia="zh-CN"/>
        </w:rPr>
        <w:t>.负责做好宿舍的公物管理，保证宿舍的公用配套设施处于良好的使用状态（包括水电、照明、门窗、玻璃、家具、消防器材等），要及时制止损坏公物的行为；要保持值班室、配电房、寝室内外整洁，要按规定放置和使用消防器材；</w:t>
      </w:r>
    </w:p>
    <w:p w14:paraId="57ED4505">
      <w:pPr>
        <w:spacing w:line="360" w:lineRule="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eastAsia="zh-CN"/>
        </w:rPr>
        <w:t>1</w:t>
      </w:r>
      <w:r>
        <w:rPr>
          <w:rFonts w:hint="eastAsia" w:ascii="仿宋_GB2312" w:hAnsi="仿宋_GB2312" w:eastAsia="仿宋_GB2312" w:cs="仿宋_GB2312"/>
          <w:szCs w:val="21"/>
          <w:highlight w:val="none"/>
          <w:lang w:val="en-US" w:eastAsia="zh-CN"/>
        </w:rPr>
        <w:t>5</w:t>
      </w:r>
      <w:r>
        <w:rPr>
          <w:rFonts w:hint="eastAsia" w:ascii="仿宋_GB2312" w:hAnsi="仿宋_GB2312" w:eastAsia="仿宋_GB2312" w:cs="仿宋_GB2312"/>
          <w:szCs w:val="21"/>
          <w:highlight w:val="none"/>
          <w:lang w:eastAsia="zh-CN"/>
        </w:rPr>
        <w:t>.认真填写值班记录，按时将情况报告宿舍管理人；</w:t>
      </w:r>
    </w:p>
    <w:p w14:paraId="7F6C975C">
      <w:pPr>
        <w:spacing w:line="360" w:lineRule="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eastAsia="zh-CN"/>
        </w:rPr>
        <w:t>1</w:t>
      </w:r>
      <w:r>
        <w:rPr>
          <w:rFonts w:hint="eastAsia" w:ascii="仿宋_GB2312" w:hAnsi="仿宋_GB2312" w:eastAsia="仿宋_GB2312" w:cs="仿宋_GB2312"/>
          <w:szCs w:val="21"/>
          <w:highlight w:val="none"/>
          <w:lang w:val="en-US" w:eastAsia="zh-CN"/>
        </w:rPr>
        <w:t>6</w:t>
      </w:r>
      <w:r>
        <w:rPr>
          <w:rFonts w:hint="eastAsia" w:ascii="仿宋_GB2312" w:hAnsi="仿宋_GB2312" w:eastAsia="仿宋_GB2312" w:cs="仿宋_GB2312"/>
          <w:szCs w:val="21"/>
          <w:highlight w:val="none"/>
          <w:lang w:eastAsia="zh-CN"/>
        </w:rPr>
        <w:t>.厕所、</w:t>
      </w:r>
      <w:r>
        <w:rPr>
          <w:rFonts w:hint="eastAsia" w:ascii="仿宋_GB2312" w:hAnsi="仿宋_GB2312" w:eastAsia="仿宋_GB2312" w:cs="仿宋_GB2312"/>
          <w:szCs w:val="21"/>
          <w:highlight w:val="none"/>
          <w:lang w:val="en-US" w:eastAsia="zh-CN"/>
        </w:rPr>
        <w:t>水房、洗漱间管道</w:t>
      </w:r>
      <w:r>
        <w:rPr>
          <w:rFonts w:hint="eastAsia" w:ascii="仿宋_GB2312" w:hAnsi="仿宋_GB2312" w:eastAsia="仿宋_GB2312" w:cs="仿宋_GB2312"/>
          <w:szCs w:val="21"/>
          <w:highlight w:val="none"/>
          <w:lang w:eastAsia="zh-CN"/>
        </w:rPr>
        <w:t>堵塞，当天疏通（需换厕盆的除外）。</w:t>
      </w:r>
    </w:p>
    <w:p w14:paraId="7E8BEAB0">
      <w:pPr>
        <w:spacing w:line="360" w:lineRule="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eastAsia="zh-CN"/>
        </w:rPr>
        <w:t>1</w:t>
      </w:r>
      <w:r>
        <w:rPr>
          <w:rFonts w:hint="eastAsia" w:ascii="仿宋_GB2312" w:hAnsi="仿宋_GB2312" w:eastAsia="仿宋_GB2312" w:cs="仿宋_GB2312"/>
          <w:szCs w:val="21"/>
          <w:highlight w:val="none"/>
          <w:lang w:val="en-US" w:eastAsia="zh-CN"/>
        </w:rPr>
        <w:t>7</w:t>
      </w:r>
      <w:r>
        <w:rPr>
          <w:rFonts w:hint="eastAsia" w:ascii="仿宋_GB2312" w:hAnsi="仿宋_GB2312" w:eastAsia="仿宋_GB2312" w:cs="仿宋_GB2312"/>
          <w:szCs w:val="21"/>
          <w:highlight w:val="none"/>
          <w:lang w:eastAsia="zh-CN"/>
        </w:rPr>
        <w:t>.根据需要适时组织查房工作，及时处理安全隐患和不稳定因素；</w:t>
      </w:r>
    </w:p>
    <w:p w14:paraId="45F42760">
      <w:pPr>
        <w:spacing w:line="360" w:lineRule="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eastAsia="zh-CN"/>
        </w:rPr>
        <w:t>1</w:t>
      </w:r>
      <w:r>
        <w:rPr>
          <w:rFonts w:hint="eastAsia" w:ascii="仿宋_GB2312" w:hAnsi="仿宋_GB2312" w:eastAsia="仿宋_GB2312" w:cs="仿宋_GB2312"/>
          <w:szCs w:val="21"/>
          <w:highlight w:val="none"/>
          <w:lang w:val="en-US" w:eastAsia="zh-CN"/>
        </w:rPr>
        <w:t>8</w:t>
      </w:r>
      <w:r>
        <w:rPr>
          <w:rFonts w:hint="eastAsia" w:ascii="仿宋_GB2312" w:hAnsi="仿宋_GB2312" w:eastAsia="仿宋_GB2312" w:cs="仿宋_GB2312"/>
          <w:szCs w:val="21"/>
          <w:highlight w:val="none"/>
          <w:lang w:eastAsia="zh-CN"/>
        </w:rPr>
        <w:t>.学生外出就医及陪护。</w:t>
      </w:r>
    </w:p>
    <w:p w14:paraId="67AD1C61">
      <w:pPr>
        <w:spacing w:line="360" w:lineRule="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eastAsia="zh-CN"/>
        </w:rPr>
        <w:t>1</w:t>
      </w:r>
      <w:r>
        <w:rPr>
          <w:rFonts w:hint="eastAsia" w:ascii="仿宋_GB2312" w:hAnsi="仿宋_GB2312" w:eastAsia="仿宋_GB2312" w:cs="仿宋_GB2312"/>
          <w:szCs w:val="21"/>
          <w:highlight w:val="none"/>
          <w:lang w:val="en-US" w:eastAsia="zh-CN"/>
        </w:rPr>
        <w:t>9</w:t>
      </w:r>
      <w:r>
        <w:rPr>
          <w:rFonts w:hint="eastAsia" w:ascii="仿宋_GB2312" w:hAnsi="仿宋_GB2312" w:eastAsia="仿宋_GB2312" w:cs="仿宋_GB2312"/>
          <w:szCs w:val="21"/>
          <w:highlight w:val="none"/>
          <w:lang w:eastAsia="zh-CN"/>
        </w:rPr>
        <w:t>.学生被套、床单清洗。</w:t>
      </w:r>
    </w:p>
    <w:p w14:paraId="0CE8E3DB">
      <w:pPr>
        <w:spacing w:line="360" w:lineRule="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20</w:t>
      </w:r>
      <w:r>
        <w:rPr>
          <w:rFonts w:hint="eastAsia" w:ascii="仿宋_GB2312" w:hAnsi="仿宋_GB2312" w:eastAsia="仿宋_GB2312" w:cs="仿宋_GB2312"/>
          <w:szCs w:val="21"/>
          <w:highlight w:val="none"/>
          <w:lang w:eastAsia="zh-CN"/>
        </w:rPr>
        <w:t>.学生邮寄包裹发放及管理。</w:t>
      </w:r>
    </w:p>
    <w:p w14:paraId="3311268C">
      <w:pPr>
        <w:spacing w:line="360" w:lineRule="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eastAsia="zh-CN"/>
        </w:rPr>
        <w:t>2</w:t>
      </w:r>
      <w:r>
        <w:rPr>
          <w:rFonts w:hint="eastAsia" w:ascii="仿宋_GB2312" w:hAnsi="仿宋_GB2312" w:eastAsia="仿宋_GB2312" w:cs="仿宋_GB2312"/>
          <w:szCs w:val="21"/>
          <w:highlight w:val="none"/>
          <w:lang w:val="en-US" w:eastAsia="zh-CN"/>
        </w:rPr>
        <w:t>1</w:t>
      </w:r>
      <w:r>
        <w:rPr>
          <w:rFonts w:hint="eastAsia" w:ascii="仿宋_GB2312" w:hAnsi="仿宋_GB2312" w:eastAsia="仿宋_GB2312" w:cs="仿宋_GB2312"/>
          <w:szCs w:val="21"/>
          <w:highlight w:val="none"/>
          <w:lang w:eastAsia="zh-CN"/>
        </w:rPr>
        <w:t>.日常管理遵照《学校学生宿舍（宿舍）管理办法》。</w:t>
      </w:r>
    </w:p>
    <w:p w14:paraId="7EC88B3E">
      <w:pPr>
        <w:spacing w:line="360" w:lineRule="auto"/>
        <w:rPr>
          <w:rFonts w:hint="eastAsia" w:ascii="仿宋_GB2312" w:hAnsi="仿宋_GB2312" w:eastAsia="仿宋_GB2312" w:cs="仿宋_GB2312"/>
          <w:b/>
          <w:bCs/>
          <w:szCs w:val="21"/>
          <w:lang w:eastAsia="zh-CN"/>
        </w:rPr>
      </w:pPr>
      <w:r>
        <w:rPr>
          <w:rFonts w:hint="eastAsia" w:ascii="仿宋_GB2312" w:hAnsi="仿宋_GB2312" w:eastAsia="仿宋_GB2312" w:cs="仿宋_GB2312"/>
          <w:b/>
          <w:bCs/>
          <w:szCs w:val="21"/>
          <w:lang w:eastAsia="zh-CN"/>
        </w:rPr>
        <w:t>（</w:t>
      </w:r>
      <w:r>
        <w:rPr>
          <w:rFonts w:hint="eastAsia" w:ascii="仿宋_GB2312" w:hAnsi="仿宋_GB2312" w:eastAsia="仿宋_GB2312" w:cs="仿宋_GB2312"/>
          <w:b/>
          <w:bCs/>
          <w:szCs w:val="21"/>
          <w:lang w:val="en-US" w:eastAsia="zh-CN"/>
        </w:rPr>
        <w:t>二</w:t>
      </w:r>
      <w:r>
        <w:rPr>
          <w:rFonts w:hint="eastAsia" w:ascii="仿宋_GB2312" w:hAnsi="仿宋_GB2312" w:eastAsia="仿宋_GB2312" w:cs="仿宋_GB2312"/>
          <w:b/>
          <w:bCs/>
          <w:szCs w:val="21"/>
          <w:lang w:eastAsia="zh-CN"/>
        </w:rPr>
        <w:t>）环境卫生清洁服务</w:t>
      </w:r>
    </w:p>
    <w:p w14:paraId="409272BC">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1.工作内容：</w:t>
      </w:r>
    </w:p>
    <w:p w14:paraId="27EF5CFD">
      <w:pPr>
        <w:spacing w:line="360" w:lineRule="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eastAsia="zh-CN"/>
        </w:rPr>
        <w:t>（1）学校大门内外环境（属于学校管辖范围内的）清洁和巡回保洁；</w:t>
      </w:r>
    </w:p>
    <w:p w14:paraId="5B344CAC">
      <w:pPr>
        <w:spacing w:line="360" w:lineRule="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eastAsia="zh-CN"/>
        </w:rPr>
        <w:t>（2）学生宿舍公共环境卫生（厕所、水房、走廊、楼梯、大厅等）、公用设施的清洁保洁，每天清扫2次，巡回保洁，做到无明显污渍，无1天以上的未清理垃圾、积尘；</w:t>
      </w:r>
    </w:p>
    <w:p w14:paraId="686CFD2C">
      <w:pPr>
        <w:spacing w:line="360" w:lineRule="auto"/>
        <w:rPr>
          <w:rFonts w:hint="eastAsia"/>
        </w:rPr>
      </w:pPr>
      <w:r>
        <w:rPr>
          <w:rFonts w:hint="eastAsia" w:ascii="仿宋_GB2312" w:hAnsi="仿宋_GB2312" w:eastAsia="仿宋_GB2312" w:cs="仿宋_GB2312"/>
          <w:szCs w:val="21"/>
          <w:highlight w:val="none"/>
          <w:lang w:eastAsia="zh-CN"/>
        </w:rPr>
        <w:t>（3）学生宿舍消杀工作（包括84消毒液消杀、酒精消杀、紫外线灯消杀）。</w:t>
      </w:r>
    </w:p>
    <w:p w14:paraId="10A3E1F1">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（4）办公楼的走廊、楼梯、</w:t>
      </w:r>
      <w:r>
        <w:rPr>
          <w:rFonts w:hint="eastAsia" w:ascii="仿宋_GB2312" w:hAnsi="仿宋_GB2312" w:eastAsia="仿宋_GB2312" w:cs="仿宋_GB2312"/>
          <w:szCs w:val="21"/>
          <w:lang w:val="en-US" w:eastAsia="zh-CN"/>
        </w:rPr>
        <w:t>厕所</w:t>
      </w:r>
      <w:r>
        <w:rPr>
          <w:rFonts w:hint="eastAsia" w:ascii="仿宋_GB2312" w:hAnsi="仿宋_GB2312" w:eastAsia="仿宋_GB2312" w:cs="仿宋_GB2312"/>
          <w:szCs w:val="21"/>
          <w:lang w:eastAsia="zh-CN"/>
        </w:rPr>
        <w:t>、会议室、接待室、资料室、阅览室、天台等全方位的清洁和日常保洁，空置办公室的清洁。</w:t>
      </w:r>
    </w:p>
    <w:p w14:paraId="4075E230">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（5）实</w:t>
      </w:r>
      <w:r>
        <w:rPr>
          <w:rFonts w:hint="eastAsia" w:ascii="仿宋_GB2312" w:hAnsi="仿宋_GB2312" w:eastAsia="仿宋_GB2312" w:cs="仿宋_GB2312"/>
          <w:szCs w:val="21"/>
          <w:lang w:val="en-US" w:eastAsia="zh-CN"/>
        </w:rPr>
        <w:t>验</w:t>
      </w:r>
      <w:r>
        <w:rPr>
          <w:rFonts w:hint="eastAsia" w:ascii="仿宋_GB2312" w:hAnsi="仿宋_GB2312" w:eastAsia="仿宋_GB2312" w:cs="仿宋_GB2312"/>
          <w:szCs w:val="21"/>
          <w:lang w:eastAsia="zh-CN"/>
        </w:rPr>
        <w:t>楼、教学楼、体育馆、图书馆、</w:t>
      </w:r>
      <w:r>
        <w:rPr>
          <w:rFonts w:hint="eastAsia" w:ascii="仿宋_GB2312" w:hAnsi="仿宋_GB2312" w:eastAsia="仿宋_GB2312" w:cs="仿宋_GB2312"/>
          <w:szCs w:val="21"/>
          <w:lang w:val="en-US" w:eastAsia="zh-CN"/>
        </w:rPr>
        <w:t>学生宿舍楼</w:t>
      </w:r>
      <w:r>
        <w:rPr>
          <w:rFonts w:hint="eastAsia" w:ascii="仿宋_GB2312" w:hAnsi="仿宋_GB2312" w:eastAsia="仿宋_GB2312" w:cs="仿宋_GB2312"/>
          <w:szCs w:val="21"/>
          <w:lang w:eastAsia="zh-CN"/>
        </w:rPr>
        <w:t>、食堂等的走廊、楼梯、卫生间、天台等公共部位。</w:t>
      </w:r>
    </w:p>
    <w:p w14:paraId="477A8A56">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（6）学校所有运动场地、设备房、道路、绿地、路灯、宣传标识牌、果皮箱、垃圾桶等公共场地和设施的全方位清洁和日常保洁；</w:t>
      </w:r>
    </w:p>
    <w:p w14:paraId="72BE325E">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（7）清理校区所有的垃圾，垃圾分类执行文件要求；清运垃圾，并做好垃圾站点的管理、</w:t>
      </w:r>
      <w:r>
        <w:rPr>
          <w:rFonts w:hint="eastAsia" w:ascii="仿宋_GB2312" w:hAnsi="仿宋_GB2312" w:eastAsia="仿宋_GB2312" w:cs="仿宋_GB2312"/>
          <w:szCs w:val="21"/>
          <w:lang w:val="en-US" w:eastAsia="zh-CN"/>
        </w:rPr>
        <w:t>清洁、</w:t>
      </w:r>
      <w:r>
        <w:rPr>
          <w:rFonts w:hint="eastAsia" w:ascii="仿宋_GB2312" w:hAnsi="仿宋_GB2312" w:eastAsia="仿宋_GB2312" w:cs="仿宋_GB2312"/>
          <w:szCs w:val="21"/>
          <w:lang w:eastAsia="zh-CN"/>
        </w:rPr>
        <w:t>消毒。</w:t>
      </w:r>
    </w:p>
    <w:p w14:paraId="0D641B39">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8）环境卫生管理范围包括：道路清扫、保洁和冲洗；沟、渠、池、井清理淤泥、垃圾等（含建筑物天面、雨水口的清理）；门窗、管道、墙体清洁、保洁；各类场所积水清除；果皮箱清理垃圾、保洁、消毒；校园消毒、除四害等；</w:t>
      </w:r>
    </w:p>
    <w:p w14:paraId="348EF8A1">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2.清洁工作质量标准：</w:t>
      </w:r>
    </w:p>
    <w:p w14:paraId="421D9094">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（1）环境卫生管理制度和标准完善，有完整工作质量考核记录；</w:t>
      </w:r>
    </w:p>
    <w:p w14:paraId="3C11A233">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（2）清洁工态度热情，语言文明，服装整齐；</w:t>
      </w:r>
    </w:p>
    <w:p w14:paraId="38F3D9AA">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（3）环卫设施齐全，保洁设备及工具完整，按工作程序对范围内的场所进行日常定期清扫或不定期的清扫保洁，做到按制定标准全方位保洁；</w:t>
      </w:r>
    </w:p>
    <w:p w14:paraId="785E356E">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（4）有完备的“清洁应急工作预案”；如遇突发事件或突发检查时，积极配合采购人，</w:t>
      </w:r>
      <w:r>
        <w:rPr>
          <w:rFonts w:hint="eastAsia" w:ascii="仿宋_GB2312" w:hAnsi="仿宋_GB2312" w:eastAsia="仿宋_GB2312" w:cs="仿宋_GB2312"/>
          <w:szCs w:val="21"/>
          <w:lang w:val="en-US" w:eastAsia="zh-CN"/>
        </w:rPr>
        <w:t>做</w:t>
      </w:r>
      <w:r>
        <w:rPr>
          <w:rFonts w:hint="eastAsia" w:ascii="仿宋_GB2312" w:hAnsi="仿宋_GB2312" w:eastAsia="仿宋_GB2312" w:cs="仿宋_GB2312"/>
          <w:szCs w:val="21"/>
          <w:lang w:eastAsia="zh-CN"/>
        </w:rPr>
        <w:t>好</w:t>
      </w:r>
      <w:r>
        <w:rPr>
          <w:rFonts w:hint="eastAsia" w:ascii="仿宋_GB2312" w:hAnsi="仿宋_GB2312" w:eastAsia="仿宋_GB2312" w:cs="仿宋_GB2312"/>
          <w:szCs w:val="21"/>
          <w:lang w:val="en-US" w:eastAsia="zh-CN"/>
        </w:rPr>
        <w:t>清洁</w:t>
      </w:r>
      <w:r>
        <w:rPr>
          <w:rFonts w:hint="eastAsia" w:ascii="仿宋_GB2312" w:hAnsi="仿宋_GB2312" w:eastAsia="仿宋_GB2312" w:cs="仿宋_GB2312"/>
          <w:szCs w:val="21"/>
          <w:lang w:eastAsia="zh-CN"/>
        </w:rPr>
        <w:t>卫生工作，随叫随到。</w:t>
      </w:r>
    </w:p>
    <w:p w14:paraId="7482B120">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（5）公共场所：整体保洁质量符合建设部《城市环境卫生质量标准》一级质量要求；地面无垃圾、泥沙及明显污渍；按要求无乱张贴；无杂物、杂草；</w:t>
      </w:r>
    </w:p>
    <w:p w14:paraId="7455F46D">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（6）质量标准细则：</w:t>
      </w:r>
    </w:p>
    <w:p w14:paraId="3611EFE7">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 xml:space="preserve">  A、楼宇入口及大堂清洁要求</w:t>
      </w:r>
    </w:p>
    <w:p w14:paraId="1244023F">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a.</w:t>
      </w:r>
      <w:r>
        <w:rPr>
          <w:rFonts w:hint="eastAsia" w:ascii="仿宋_GB2312" w:hAnsi="仿宋_GB2312" w:eastAsia="仿宋_GB2312" w:cs="仿宋_GB2312"/>
          <w:szCs w:val="21"/>
          <w:lang w:eastAsia="zh-CN"/>
        </w:rPr>
        <w:tab/>
      </w:r>
      <w:r>
        <w:rPr>
          <w:rFonts w:hint="eastAsia" w:ascii="仿宋_GB2312" w:hAnsi="仿宋_GB2312" w:eastAsia="仿宋_GB2312" w:cs="仿宋_GB2312"/>
          <w:szCs w:val="21"/>
          <w:lang w:eastAsia="zh-CN"/>
        </w:rPr>
        <w:t>门窗（玻璃、窗框、窗台、门把手）无手印、无污渍，保持光洁明亮；</w:t>
      </w:r>
    </w:p>
    <w:p w14:paraId="4E53EF20">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b.</w:t>
      </w:r>
      <w:r>
        <w:rPr>
          <w:rFonts w:hint="eastAsia" w:ascii="仿宋_GB2312" w:hAnsi="仿宋_GB2312" w:eastAsia="仿宋_GB2312" w:cs="仿宋_GB2312"/>
          <w:szCs w:val="21"/>
          <w:lang w:eastAsia="zh-CN"/>
        </w:rPr>
        <w:tab/>
      </w:r>
      <w:r>
        <w:rPr>
          <w:rFonts w:hint="eastAsia" w:ascii="仿宋_GB2312" w:hAnsi="仿宋_GB2312" w:eastAsia="仿宋_GB2312" w:cs="仿宋_GB2312"/>
          <w:szCs w:val="21"/>
          <w:lang w:eastAsia="zh-CN"/>
        </w:rPr>
        <w:t>地面、地脚线、指示牌、无污渍、水迹、尘迹，保持光洁明亮；</w:t>
      </w:r>
    </w:p>
    <w:p w14:paraId="7E6B41B3">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c.</w:t>
      </w:r>
      <w:r>
        <w:rPr>
          <w:rFonts w:hint="eastAsia" w:ascii="仿宋_GB2312" w:hAnsi="仿宋_GB2312" w:eastAsia="仿宋_GB2312" w:cs="仿宋_GB2312"/>
          <w:szCs w:val="21"/>
          <w:lang w:eastAsia="zh-CN"/>
        </w:rPr>
        <w:tab/>
      </w:r>
      <w:r>
        <w:rPr>
          <w:rFonts w:hint="eastAsia" w:ascii="仿宋_GB2312" w:hAnsi="仿宋_GB2312" w:eastAsia="仿宋_GB2312" w:cs="仿宋_GB2312"/>
          <w:szCs w:val="21"/>
          <w:lang w:eastAsia="zh-CN"/>
        </w:rPr>
        <w:t>灯饰、通风口、空调风口、天花顶无蛛丝、无污尘；</w:t>
      </w:r>
    </w:p>
    <w:p w14:paraId="4E300078">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B、楼层公共区域部分清洁要求</w:t>
      </w:r>
    </w:p>
    <w:p w14:paraId="1887FB95">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a.</w:t>
      </w:r>
      <w:r>
        <w:rPr>
          <w:rFonts w:hint="eastAsia" w:ascii="仿宋_GB2312" w:hAnsi="仿宋_GB2312" w:eastAsia="仿宋_GB2312" w:cs="仿宋_GB2312"/>
          <w:szCs w:val="21"/>
          <w:lang w:eastAsia="zh-CN"/>
        </w:rPr>
        <w:tab/>
      </w:r>
      <w:r>
        <w:rPr>
          <w:rFonts w:hint="eastAsia" w:ascii="仿宋_GB2312" w:hAnsi="仿宋_GB2312" w:eastAsia="仿宋_GB2312" w:cs="仿宋_GB2312"/>
          <w:szCs w:val="21"/>
          <w:lang w:eastAsia="zh-CN"/>
        </w:rPr>
        <w:t>指示牌、悬挂牌光洁明亮，保持消防通道无杂物；</w:t>
      </w:r>
    </w:p>
    <w:p w14:paraId="25BA2BE2">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b.</w:t>
      </w:r>
      <w:r>
        <w:rPr>
          <w:rFonts w:hint="eastAsia" w:ascii="仿宋_GB2312" w:hAnsi="仿宋_GB2312" w:eastAsia="仿宋_GB2312" w:cs="仿宋_GB2312"/>
          <w:szCs w:val="21"/>
          <w:lang w:eastAsia="zh-CN"/>
        </w:rPr>
        <w:tab/>
      </w:r>
      <w:r>
        <w:rPr>
          <w:rFonts w:hint="eastAsia" w:ascii="仿宋_GB2312" w:hAnsi="仿宋_GB2312" w:eastAsia="仿宋_GB2312" w:cs="仿宋_GB2312"/>
          <w:szCs w:val="21"/>
          <w:lang w:eastAsia="zh-CN"/>
        </w:rPr>
        <w:t>地面、墙面、消防器材、果皮箱、垃圾筒无污渍、无痰渍、无尘迹；</w:t>
      </w:r>
    </w:p>
    <w:p w14:paraId="29A32A15">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c.</w:t>
      </w:r>
      <w:r>
        <w:rPr>
          <w:rFonts w:hint="eastAsia" w:ascii="仿宋_GB2312" w:hAnsi="仿宋_GB2312" w:eastAsia="仿宋_GB2312" w:cs="仿宋_GB2312"/>
          <w:szCs w:val="21"/>
          <w:lang w:eastAsia="zh-CN"/>
        </w:rPr>
        <w:tab/>
      </w:r>
      <w:r>
        <w:rPr>
          <w:rFonts w:hint="eastAsia" w:ascii="仿宋_GB2312" w:hAnsi="仿宋_GB2312" w:eastAsia="仿宋_GB2312" w:cs="仿宋_GB2312"/>
          <w:szCs w:val="21"/>
          <w:lang w:eastAsia="zh-CN"/>
        </w:rPr>
        <w:t>天花吊顶、</w:t>
      </w:r>
      <w:r>
        <w:rPr>
          <w:rFonts w:hint="eastAsia" w:ascii="仿宋_GB2312" w:hAnsi="仿宋_GB2312" w:eastAsia="仿宋_GB2312" w:cs="仿宋_GB2312"/>
          <w:szCs w:val="21"/>
          <w:lang w:val="en-US" w:eastAsia="zh-CN"/>
        </w:rPr>
        <w:t>门窗</w:t>
      </w:r>
      <w:r>
        <w:rPr>
          <w:rFonts w:hint="eastAsia" w:ascii="仿宋_GB2312" w:hAnsi="仿宋_GB2312" w:eastAsia="仿宋_GB2312" w:cs="仿宋_GB2312"/>
          <w:szCs w:val="21"/>
          <w:lang w:eastAsia="zh-CN"/>
        </w:rPr>
        <w:t>无蜘蛛网和灰尘污渍；</w:t>
      </w:r>
    </w:p>
    <w:p w14:paraId="6B8F9628">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d.</w:t>
      </w:r>
      <w:r>
        <w:rPr>
          <w:rFonts w:hint="eastAsia" w:ascii="仿宋_GB2312" w:hAnsi="仿宋_GB2312" w:eastAsia="仿宋_GB2312" w:cs="仿宋_GB2312"/>
          <w:szCs w:val="21"/>
          <w:lang w:eastAsia="zh-CN"/>
        </w:rPr>
        <w:tab/>
      </w:r>
      <w:r>
        <w:rPr>
          <w:rFonts w:hint="eastAsia" w:ascii="仿宋_GB2312" w:hAnsi="仿宋_GB2312" w:eastAsia="仿宋_GB2312" w:cs="仿宋_GB2312"/>
          <w:szCs w:val="21"/>
          <w:lang w:eastAsia="zh-CN"/>
        </w:rPr>
        <w:t>门把、镜子无水渍、无印迹，明亮照人；</w:t>
      </w:r>
    </w:p>
    <w:p w14:paraId="4BABDBDC">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C、会议室、</w:t>
      </w:r>
      <w:r>
        <w:rPr>
          <w:rFonts w:hint="eastAsia" w:ascii="仿宋_GB2312" w:hAnsi="仿宋_GB2312" w:eastAsia="仿宋_GB2312" w:cs="仿宋_GB2312"/>
          <w:szCs w:val="21"/>
          <w:lang w:val="en-US" w:eastAsia="zh-CN"/>
        </w:rPr>
        <w:t>报告厅</w:t>
      </w:r>
      <w:r>
        <w:rPr>
          <w:rFonts w:hint="eastAsia" w:ascii="仿宋_GB2312" w:hAnsi="仿宋_GB2312" w:eastAsia="仿宋_GB2312" w:cs="仿宋_GB2312"/>
          <w:szCs w:val="21"/>
          <w:lang w:eastAsia="zh-CN"/>
        </w:rPr>
        <w:t>等清洁要求</w:t>
      </w:r>
    </w:p>
    <w:p w14:paraId="664E5B1B">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a.</w:t>
      </w:r>
      <w:r>
        <w:rPr>
          <w:rFonts w:hint="eastAsia" w:ascii="仿宋_GB2312" w:hAnsi="仿宋_GB2312" w:eastAsia="仿宋_GB2312" w:cs="仿宋_GB2312"/>
          <w:szCs w:val="21"/>
          <w:lang w:eastAsia="zh-CN"/>
        </w:rPr>
        <w:tab/>
      </w:r>
      <w:r>
        <w:rPr>
          <w:rFonts w:hint="eastAsia" w:ascii="仿宋_GB2312" w:hAnsi="仿宋_GB2312" w:eastAsia="仿宋_GB2312" w:cs="仿宋_GB2312"/>
          <w:szCs w:val="21"/>
          <w:lang w:eastAsia="zh-CN"/>
        </w:rPr>
        <w:t>地面定时清理，无杂物，</w:t>
      </w:r>
      <w:r>
        <w:rPr>
          <w:rFonts w:hint="eastAsia" w:ascii="仿宋_GB2312" w:hAnsi="仿宋_GB2312" w:eastAsia="仿宋_GB2312" w:cs="仿宋_GB2312"/>
          <w:szCs w:val="21"/>
          <w:lang w:val="en-US" w:eastAsia="zh-CN"/>
        </w:rPr>
        <w:t>家</w:t>
      </w:r>
      <w:r>
        <w:rPr>
          <w:rFonts w:hint="eastAsia" w:ascii="仿宋_GB2312" w:hAnsi="仿宋_GB2312" w:eastAsia="仿宋_GB2312" w:cs="仿宋_GB2312"/>
          <w:szCs w:val="21"/>
          <w:lang w:eastAsia="zh-CN"/>
        </w:rPr>
        <w:t>具等摆放整齐；</w:t>
      </w:r>
    </w:p>
    <w:p w14:paraId="6326FA09">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b.</w:t>
      </w:r>
      <w:r>
        <w:rPr>
          <w:rFonts w:hint="eastAsia" w:ascii="仿宋_GB2312" w:hAnsi="仿宋_GB2312" w:eastAsia="仿宋_GB2312" w:cs="仿宋_GB2312"/>
          <w:szCs w:val="21"/>
          <w:lang w:eastAsia="zh-CN"/>
        </w:rPr>
        <w:tab/>
      </w:r>
      <w:r>
        <w:rPr>
          <w:rFonts w:hint="eastAsia" w:ascii="仿宋_GB2312" w:hAnsi="仿宋_GB2312" w:eastAsia="仿宋_GB2312" w:cs="仿宋_GB2312"/>
          <w:szCs w:val="21"/>
          <w:lang w:eastAsia="zh-CN"/>
        </w:rPr>
        <w:t>地面、桌椅无尘迹、污渍；</w:t>
      </w:r>
    </w:p>
    <w:p w14:paraId="4D79A7C4">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c.</w:t>
      </w:r>
      <w:r>
        <w:rPr>
          <w:rFonts w:hint="eastAsia" w:ascii="仿宋_GB2312" w:hAnsi="仿宋_GB2312" w:eastAsia="仿宋_GB2312" w:cs="仿宋_GB2312"/>
          <w:szCs w:val="21"/>
          <w:lang w:eastAsia="zh-CN"/>
        </w:rPr>
        <w:tab/>
      </w:r>
      <w:r>
        <w:rPr>
          <w:rFonts w:hint="eastAsia" w:ascii="仿宋_GB2312" w:hAnsi="仿宋_GB2312" w:eastAsia="仿宋_GB2312" w:cs="仿宋_GB2312"/>
          <w:szCs w:val="21"/>
          <w:lang w:val="en-US" w:eastAsia="zh-CN"/>
        </w:rPr>
        <w:t>门窗</w:t>
      </w:r>
      <w:r>
        <w:rPr>
          <w:rFonts w:hint="eastAsia" w:ascii="仿宋_GB2312" w:hAnsi="仿宋_GB2312" w:eastAsia="仿宋_GB2312" w:cs="仿宋_GB2312"/>
          <w:szCs w:val="21"/>
          <w:lang w:eastAsia="zh-CN"/>
        </w:rPr>
        <w:t>玻璃、灯饰光洁明亮；</w:t>
      </w:r>
    </w:p>
    <w:p w14:paraId="652E7F5A">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D、课室清洁要求</w:t>
      </w:r>
    </w:p>
    <w:p w14:paraId="5FBCC0F5">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A.</w:t>
      </w:r>
      <w:r>
        <w:rPr>
          <w:rFonts w:hint="eastAsia" w:ascii="仿宋_GB2312" w:hAnsi="仿宋_GB2312" w:eastAsia="仿宋_GB2312" w:cs="仿宋_GB2312"/>
          <w:szCs w:val="21"/>
          <w:lang w:eastAsia="zh-CN"/>
        </w:rPr>
        <w:tab/>
      </w:r>
      <w:r>
        <w:rPr>
          <w:rFonts w:hint="eastAsia" w:ascii="仿宋_GB2312" w:hAnsi="仿宋_GB2312" w:eastAsia="仿宋_GB2312" w:cs="仿宋_GB2312"/>
          <w:szCs w:val="21"/>
          <w:lang w:eastAsia="zh-CN"/>
        </w:rPr>
        <w:t>地面、墙面无垃圾杂物、无污渍、无痰渍、无尘迹；</w:t>
      </w:r>
    </w:p>
    <w:p w14:paraId="709A6C89">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B.</w:t>
      </w:r>
      <w:r>
        <w:rPr>
          <w:rFonts w:hint="eastAsia" w:ascii="仿宋_GB2312" w:hAnsi="仿宋_GB2312" w:eastAsia="仿宋_GB2312" w:cs="仿宋_GB2312"/>
          <w:szCs w:val="21"/>
          <w:lang w:eastAsia="zh-CN"/>
        </w:rPr>
        <w:tab/>
      </w:r>
      <w:r>
        <w:rPr>
          <w:rFonts w:hint="eastAsia" w:ascii="仿宋_GB2312" w:hAnsi="仿宋_GB2312" w:eastAsia="仿宋_GB2312" w:cs="仿宋_GB2312"/>
          <w:szCs w:val="21"/>
          <w:lang w:eastAsia="zh-CN"/>
        </w:rPr>
        <w:t>桌椅、讲台摆放整齐，无垃圾杂物、无污渍、无尘迹；</w:t>
      </w:r>
    </w:p>
    <w:p w14:paraId="2AF96D85">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C.</w:t>
      </w:r>
      <w:r>
        <w:rPr>
          <w:rFonts w:hint="eastAsia" w:ascii="仿宋_GB2312" w:hAnsi="仿宋_GB2312" w:eastAsia="仿宋_GB2312" w:cs="仿宋_GB2312"/>
          <w:szCs w:val="21"/>
          <w:lang w:eastAsia="zh-CN"/>
        </w:rPr>
        <w:tab/>
      </w:r>
      <w:r>
        <w:rPr>
          <w:rFonts w:hint="eastAsia" w:ascii="仿宋_GB2312" w:hAnsi="仿宋_GB2312" w:eastAsia="仿宋_GB2312" w:cs="仿宋_GB2312"/>
          <w:szCs w:val="21"/>
          <w:lang w:eastAsia="zh-CN"/>
        </w:rPr>
        <w:t>门窗、灯具、教学设备无蜘蛛网和灰尘污渍；</w:t>
      </w:r>
    </w:p>
    <w:p w14:paraId="2394DE53">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E、卫生间清洁要求</w:t>
      </w:r>
    </w:p>
    <w:p w14:paraId="1A35AF50">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a.</w:t>
      </w:r>
      <w:r>
        <w:rPr>
          <w:rFonts w:hint="eastAsia" w:ascii="仿宋_GB2312" w:hAnsi="仿宋_GB2312" w:eastAsia="仿宋_GB2312" w:cs="仿宋_GB2312"/>
          <w:szCs w:val="21"/>
          <w:lang w:eastAsia="zh-CN"/>
        </w:rPr>
        <w:tab/>
      </w:r>
      <w:r>
        <w:rPr>
          <w:rFonts w:hint="eastAsia" w:ascii="仿宋_GB2312" w:hAnsi="仿宋_GB2312" w:eastAsia="仿宋_GB2312" w:cs="仿宋_GB2312"/>
          <w:szCs w:val="21"/>
          <w:lang w:eastAsia="zh-CN"/>
        </w:rPr>
        <w:t>地面、墙面、门、窗、玻璃境面、隔板无灰尘污渍和其它杂物，用具摆放整齐；</w:t>
      </w:r>
    </w:p>
    <w:p w14:paraId="65C37596">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b.</w:t>
      </w:r>
      <w:r>
        <w:rPr>
          <w:rFonts w:hint="eastAsia" w:ascii="仿宋_GB2312" w:hAnsi="仿宋_GB2312" w:eastAsia="仿宋_GB2312" w:cs="仿宋_GB2312"/>
          <w:szCs w:val="21"/>
          <w:lang w:eastAsia="zh-CN"/>
        </w:rPr>
        <w:tab/>
      </w:r>
      <w:r>
        <w:rPr>
          <w:rFonts w:hint="eastAsia" w:ascii="仿宋_GB2312" w:hAnsi="仿宋_GB2312" w:eastAsia="仿宋_GB2312" w:cs="仿宋_GB2312"/>
          <w:szCs w:val="21"/>
          <w:lang w:eastAsia="zh-CN"/>
        </w:rPr>
        <w:t>小便器、</w:t>
      </w:r>
      <w:r>
        <w:rPr>
          <w:rFonts w:hint="eastAsia" w:ascii="仿宋_GB2312" w:hAnsi="仿宋_GB2312" w:eastAsia="仿宋_GB2312" w:cs="仿宋_GB2312"/>
          <w:szCs w:val="21"/>
          <w:lang w:val="en-US" w:eastAsia="zh-CN"/>
        </w:rPr>
        <w:t>蹲位</w:t>
      </w:r>
      <w:r>
        <w:rPr>
          <w:rFonts w:hint="eastAsia" w:ascii="仿宋_GB2312" w:hAnsi="仿宋_GB2312" w:eastAsia="仿宋_GB2312" w:cs="仿宋_GB2312"/>
          <w:szCs w:val="21"/>
          <w:lang w:eastAsia="zh-CN"/>
        </w:rPr>
        <w:t>、洗手盆无污渍、无积水、无垢、无臭，瓷器光洁明亮；</w:t>
      </w:r>
    </w:p>
    <w:p w14:paraId="05A423BC">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c.</w:t>
      </w:r>
      <w:r>
        <w:rPr>
          <w:rFonts w:hint="eastAsia" w:ascii="仿宋_GB2312" w:hAnsi="仿宋_GB2312" w:eastAsia="仿宋_GB2312" w:cs="仿宋_GB2312"/>
          <w:szCs w:val="21"/>
          <w:lang w:eastAsia="zh-CN"/>
        </w:rPr>
        <w:tab/>
      </w:r>
      <w:r>
        <w:rPr>
          <w:rFonts w:hint="eastAsia" w:ascii="仿宋_GB2312" w:hAnsi="仿宋_GB2312" w:eastAsia="仿宋_GB2312" w:cs="仿宋_GB2312"/>
          <w:szCs w:val="21"/>
          <w:lang w:eastAsia="zh-CN"/>
        </w:rPr>
        <w:t>保持下水管道水流畅通；</w:t>
      </w:r>
    </w:p>
    <w:p w14:paraId="26DFA802">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F、露天部分清洁要求</w:t>
      </w:r>
    </w:p>
    <w:p w14:paraId="25E3735B">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a.</w:t>
      </w:r>
      <w:r>
        <w:rPr>
          <w:rFonts w:hint="eastAsia" w:ascii="仿宋_GB2312" w:hAnsi="仿宋_GB2312" w:eastAsia="仿宋_GB2312" w:cs="仿宋_GB2312"/>
          <w:szCs w:val="21"/>
          <w:lang w:eastAsia="zh-CN"/>
        </w:rPr>
        <w:tab/>
      </w:r>
      <w:r>
        <w:rPr>
          <w:rFonts w:hint="eastAsia" w:ascii="仿宋_GB2312" w:hAnsi="仿宋_GB2312" w:eastAsia="仿宋_GB2312" w:cs="仿宋_GB2312"/>
          <w:szCs w:val="21"/>
          <w:lang w:eastAsia="zh-CN"/>
        </w:rPr>
        <w:t>无垃圾杂物、无积水、无明显污渍油迹；</w:t>
      </w:r>
    </w:p>
    <w:p w14:paraId="550D6B2F">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b.</w:t>
      </w:r>
      <w:r>
        <w:rPr>
          <w:rFonts w:hint="eastAsia" w:ascii="仿宋_GB2312" w:hAnsi="仿宋_GB2312" w:eastAsia="仿宋_GB2312" w:cs="仿宋_GB2312"/>
          <w:szCs w:val="21"/>
          <w:lang w:eastAsia="zh-CN"/>
        </w:rPr>
        <w:tab/>
      </w:r>
      <w:r>
        <w:rPr>
          <w:rFonts w:hint="eastAsia" w:ascii="仿宋_GB2312" w:hAnsi="仿宋_GB2312" w:eastAsia="仿宋_GB2312" w:cs="仿宋_GB2312"/>
          <w:szCs w:val="21"/>
          <w:lang w:eastAsia="zh-CN"/>
        </w:rPr>
        <w:t>门岗、道闸无明显尘迹、污渍、无垃圾杂物；</w:t>
      </w:r>
    </w:p>
    <w:p w14:paraId="24AB67BB">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c.</w:t>
      </w:r>
      <w:r>
        <w:rPr>
          <w:rFonts w:hint="eastAsia" w:ascii="仿宋_GB2312" w:hAnsi="仿宋_GB2312" w:eastAsia="仿宋_GB2312" w:cs="仿宋_GB2312"/>
          <w:szCs w:val="21"/>
          <w:lang w:eastAsia="zh-CN"/>
        </w:rPr>
        <w:tab/>
      </w:r>
      <w:r>
        <w:rPr>
          <w:rFonts w:hint="eastAsia" w:ascii="仿宋_GB2312" w:hAnsi="仿宋_GB2312" w:eastAsia="仿宋_GB2312" w:cs="仿宋_GB2312"/>
          <w:szCs w:val="21"/>
          <w:lang w:eastAsia="zh-CN"/>
        </w:rPr>
        <w:t>室外设施无明显灰尘污渍及不良张贴物；</w:t>
      </w:r>
    </w:p>
    <w:p w14:paraId="4269F993">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d.</w:t>
      </w:r>
      <w:r>
        <w:rPr>
          <w:rFonts w:hint="eastAsia" w:ascii="仿宋_GB2312" w:hAnsi="仿宋_GB2312" w:eastAsia="仿宋_GB2312" w:cs="仿宋_GB2312"/>
          <w:szCs w:val="21"/>
          <w:lang w:eastAsia="zh-CN"/>
        </w:rPr>
        <w:tab/>
      </w:r>
      <w:r>
        <w:rPr>
          <w:rFonts w:hint="eastAsia" w:ascii="仿宋_GB2312" w:hAnsi="仿宋_GB2312" w:eastAsia="仿宋_GB2312" w:cs="仿宋_GB2312"/>
          <w:szCs w:val="21"/>
          <w:lang w:eastAsia="zh-CN"/>
        </w:rPr>
        <w:t>灯饰、栏杆、指示牌无污渍、水迹及明显灰尘；</w:t>
      </w:r>
    </w:p>
    <w:p w14:paraId="21976A2E">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e</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eastAsia="zh-CN"/>
        </w:rPr>
        <w:tab/>
      </w:r>
      <w:r>
        <w:rPr>
          <w:rFonts w:hint="eastAsia" w:ascii="仿宋_GB2312" w:hAnsi="仿宋_GB2312" w:eastAsia="仿宋_GB2312" w:cs="仿宋_GB2312"/>
          <w:szCs w:val="21"/>
          <w:lang w:eastAsia="zh-CN"/>
        </w:rPr>
        <w:t>垃圾房垃圾清运及时，物品摆放整齐；</w:t>
      </w:r>
    </w:p>
    <w:p w14:paraId="44115F90">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f</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eastAsia="zh-CN"/>
        </w:rPr>
        <w:tab/>
      </w:r>
      <w:r>
        <w:rPr>
          <w:rFonts w:hint="eastAsia" w:ascii="仿宋_GB2312" w:hAnsi="仿宋_GB2312" w:eastAsia="仿宋_GB2312" w:cs="仿宋_GB2312"/>
          <w:szCs w:val="21"/>
          <w:lang w:eastAsia="zh-CN"/>
        </w:rPr>
        <w:t>垃圾桶无明显灰尘污渍，不过满；</w:t>
      </w:r>
    </w:p>
    <w:p w14:paraId="10D9693E">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g</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eastAsia="zh-CN"/>
        </w:rPr>
        <w:tab/>
      </w:r>
      <w:r>
        <w:rPr>
          <w:rFonts w:hint="eastAsia" w:ascii="仿宋_GB2312" w:hAnsi="仿宋_GB2312" w:eastAsia="仿宋_GB2312" w:cs="仿宋_GB2312"/>
          <w:szCs w:val="21"/>
          <w:lang w:val="en-US" w:eastAsia="zh-CN"/>
        </w:rPr>
        <w:t>窨井</w:t>
      </w:r>
      <w:r>
        <w:rPr>
          <w:rFonts w:hint="eastAsia" w:ascii="仿宋_GB2312" w:hAnsi="仿宋_GB2312" w:eastAsia="仿宋_GB2312" w:cs="仿宋_GB2312"/>
          <w:szCs w:val="21"/>
          <w:lang w:eastAsia="zh-CN"/>
        </w:rPr>
        <w:t>、沙</w:t>
      </w:r>
      <w:r>
        <w:rPr>
          <w:rFonts w:hint="eastAsia" w:ascii="仿宋_GB2312" w:hAnsi="仿宋_GB2312" w:eastAsia="仿宋_GB2312" w:cs="仿宋_GB2312"/>
          <w:szCs w:val="21"/>
          <w:lang w:val="en-US" w:eastAsia="zh-CN"/>
        </w:rPr>
        <w:t>坑</w:t>
      </w:r>
      <w:r>
        <w:rPr>
          <w:rFonts w:hint="eastAsia" w:ascii="仿宋_GB2312" w:hAnsi="仿宋_GB2312" w:eastAsia="仿宋_GB2312" w:cs="仿宋_GB2312"/>
          <w:szCs w:val="21"/>
          <w:lang w:eastAsia="zh-CN"/>
        </w:rPr>
        <w:t>、天台无明显杂物、杂草；</w:t>
      </w:r>
    </w:p>
    <w:p w14:paraId="3975573A">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h</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eastAsia="zh-CN"/>
        </w:rPr>
        <w:tab/>
      </w:r>
      <w:r>
        <w:rPr>
          <w:rFonts w:hint="eastAsia" w:ascii="仿宋_GB2312" w:hAnsi="仿宋_GB2312" w:eastAsia="仿宋_GB2312" w:cs="仿宋_GB2312"/>
          <w:szCs w:val="21"/>
          <w:lang w:eastAsia="zh-CN"/>
        </w:rPr>
        <w:t>房屋立面无杂草，道路整洁，无堆放杂物现象；</w:t>
      </w:r>
    </w:p>
    <w:p w14:paraId="440A2410">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G、排水沟（井）无堵塞物、排放通畅。</w:t>
      </w:r>
    </w:p>
    <w:p w14:paraId="5630F139">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3.清洁</w:t>
      </w:r>
      <w:r>
        <w:rPr>
          <w:rFonts w:hint="eastAsia" w:ascii="仿宋_GB2312" w:hAnsi="仿宋_GB2312" w:eastAsia="仿宋_GB2312" w:cs="仿宋_GB2312"/>
          <w:szCs w:val="21"/>
          <w:lang w:val="en-US" w:eastAsia="zh-CN"/>
        </w:rPr>
        <w:t>消杀</w:t>
      </w:r>
      <w:r>
        <w:rPr>
          <w:rFonts w:hint="eastAsia" w:ascii="仿宋_GB2312" w:hAnsi="仿宋_GB2312" w:eastAsia="仿宋_GB2312" w:cs="仿宋_GB2312"/>
          <w:szCs w:val="21"/>
          <w:lang w:eastAsia="zh-CN"/>
        </w:rPr>
        <w:t>工作时间</w:t>
      </w:r>
    </w:p>
    <w:p w14:paraId="2310B4B8">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（1）课室：早上6:30-8:00、中午1</w:t>
      </w: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lang w:eastAsia="zh-CN"/>
        </w:rPr>
        <w:t>:00-1</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lang w:eastAsia="zh-CN"/>
        </w:rPr>
        <w:t>:00、下午</w:t>
      </w:r>
      <w:r>
        <w:rPr>
          <w:rFonts w:hint="eastAsia" w:ascii="仿宋_GB2312" w:hAnsi="仿宋_GB2312" w:eastAsia="仿宋_GB2312" w:cs="仿宋_GB2312"/>
          <w:szCs w:val="21"/>
          <w:lang w:val="en-US" w:eastAsia="zh-CN"/>
        </w:rPr>
        <w:t>19</w:t>
      </w:r>
      <w:r>
        <w:rPr>
          <w:rFonts w:hint="eastAsia" w:ascii="仿宋_GB2312" w:hAnsi="仿宋_GB2312" w:eastAsia="仿宋_GB2312" w:cs="仿宋_GB2312"/>
          <w:szCs w:val="21"/>
          <w:lang w:eastAsia="zh-CN"/>
        </w:rPr>
        <w:t>:00-</w:t>
      </w:r>
      <w:r>
        <w:rPr>
          <w:rFonts w:hint="eastAsia" w:ascii="仿宋_GB2312" w:hAnsi="仿宋_GB2312" w:eastAsia="仿宋_GB2312" w:cs="仿宋_GB2312"/>
          <w:szCs w:val="21"/>
          <w:lang w:val="en-US" w:eastAsia="zh-CN"/>
        </w:rPr>
        <w:t>20</w:t>
      </w:r>
      <w:r>
        <w:rPr>
          <w:rFonts w:hint="eastAsia" w:ascii="仿宋_GB2312" w:hAnsi="仿宋_GB2312" w:eastAsia="仿宋_GB2312" w:cs="仿宋_GB2312"/>
          <w:szCs w:val="21"/>
          <w:lang w:eastAsia="zh-CN"/>
        </w:rPr>
        <w:t>:30；</w:t>
      </w:r>
    </w:p>
    <w:p w14:paraId="6DECB7B2">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（2）办公场所：早上8:00前清洁一次，12:00-18:00进行保洁；</w:t>
      </w:r>
    </w:p>
    <w:p w14:paraId="37B7E033">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（3）学生宿舍：7:00-9:30清洁一次、14:00-17:30进行保洁；</w:t>
      </w:r>
    </w:p>
    <w:p w14:paraId="38628B3E">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（4）礼堂、体育馆、报告厅、会议室等在每次使用前后以及寒暑假前后进行保洁。</w:t>
      </w:r>
    </w:p>
    <w:p w14:paraId="51A9AA04">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（5）</w:t>
      </w:r>
      <w:r>
        <w:rPr>
          <w:rFonts w:hint="eastAsia" w:ascii="仿宋_GB2312" w:hAnsi="仿宋_GB2312" w:eastAsia="仿宋_GB2312" w:cs="仿宋_GB2312"/>
          <w:szCs w:val="21"/>
          <w:lang w:val="en-US" w:eastAsia="zh-CN"/>
        </w:rPr>
        <w:t>窨井</w:t>
      </w:r>
      <w:r>
        <w:rPr>
          <w:rFonts w:hint="eastAsia" w:ascii="仿宋_GB2312" w:hAnsi="仿宋_GB2312" w:eastAsia="仿宋_GB2312" w:cs="仿宋_GB2312"/>
          <w:szCs w:val="21"/>
          <w:lang w:eastAsia="zh-CN"/>
        </w:rPr>
        <w:t>、沙</w:t>
      </w:r>
      <w:r>
        <w:rPr>
          <w:rFonts w:hint="eastAsia" w:ascii="仿宋_GB2312" w:hAnsi="仿宋_GB2312" w:eastAsia="仿宋_GB2312" w:cs="仿宋_GB2312"/>
          <w:szCs w:val="21"/>
          <w:lang w:val="en-US" w:eastAsia="zh-CN"/>
        </w:rPr>
        <w:t>坑</w:t>
      </w:r>
      <w:r>
        <w:rPr>
          <w:rFonts w:hint="eastAsia" w:ascii="仿宋_GB2312" w:hAnsi="仿宋_GB2312" w:eastAsia="仿宋_GB2312" w:cs="仿宋_GB2312"/>
          <w:szCs w:val="21"/>
          <w:lang w:eastAsia="zh-CN"/>
        </w:rPr>
        <w:t>须寒暑假彻底清理一次，特殊情况及时清理，不另增加费用。</w:t>
      </w:r>
    </w:p>
    <w:p w14:paraId="3C337F5C">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（6）天面每月、露台每周清扫一次。</w:t>
      </w:r>
    </w:p>
    <w:p w14:paraId="6ADF6EBD">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（7）其它范围：每天7:00-11:30、14:00-17:30进行全面清洁一次，并派人负责保洁。</w:t>
      </w:r>
    </w:p>
    <w:p w14:paraId="73598308">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（8）垃圾分类工作时间按垃圾分类文件要求执行。</w:t>
      </w:r>
    </w:p>
    <w:p w14:paraId="6A2F2B04">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（9）以上按照要求建立报表存档备查。</w:t>
      </w:r>
    </w:p>
    <w:p w14:paraId="4755ECDD">
      <w:pPr>
        <w:spacing w:line="360" w:lineRule="auto"/>
        <w:rPr>
          <w:rFonts w:hint="eastAsia" w:ascii="仿宋_GB2312" w:hAnsi="仿宋_GB2312" w:eastAsia="仿宋_GB2312" w:cs="仿宋_GB2312"/>
          <w:b/>
          <w:bCs/>
          <w:szCs w:val="21"/>
          <w:lang w:eastAsia="zh-CN"/>
        </w:rPr>
      </w:pPr>
      <w:r>
        <w:rPr>
          <w:rFonts w:hint="eastAsia" w:ascii="仿宋_GB2312" w:hAnsi="仿宋_GB2312" w:eastAsia="仿宋_GB2312" w:cs="仿宋_GB2312"/>
          <w:b/>
          <w:bCs/>
          <w:szCs w:val="21"/>
          <w:lang w:eastAsia="zh-CN"/>
        </w:rPr>
        <w:t>（</w:t>
      </w:r>
      <w:r>
        <w:rPr>
          <w:rFonts w:hint="eastAsia" w:ascii="仿宋_GB2312" w:hAnsi="仿宋_GB2312" w:eastAsia="仿宋_GB2312" w:cs="仿宋_GB2312"/>
          <w:b/>
          <w:bCs/>
          <w:szCs w:val="21"/>
          <w:lang w:val="en-US" w:eastAsia="zh-CN"/>
        </w:rPr>
        <w:t>三</w:t>
      </w:r>
      <w:r>
        <w:rPr>
          <w:rFonts w:hint="eastAsia" w:ascii="仿宋_GB2312" w:hAnsi="仿宋_GB2312" w:eastAsia="仿宋_GB2312" w:cs="仿宋_GB2312"/>
          <w:b/>
          <w:bCs/>
          <w:szCs w:val="21"/>
          <w:lang w:eastAsia="zh-CN"/>
        </w:rPr>
        <w:t>）设施设备维修服务</w:t>
      </w:r>
    </w:p>
    <w:p w14:paraId="0B576C2F">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1.★按规范和供电部门要求负责学校变、配电房、给排水设备及相关附属设施的管理维护工作，确保设备安全、正常运行，并做好设备台帐和维护运行记录；</w:t>
      </w:r>
    </w:p>
    <w:p w14:paraId="3EC719E2">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2.负责校园内公共区域、各建筑物供电线路、沟、槽等的管理维护工作，保障公共照明；</w:t>
      </w:r>
    </w:p>
    <w:p w14:paraId="70B59F03">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3.按规范做好校园内给、排水设备、设施的保养、维护工作，并做好维护记录；</w:t>
      </w:r>
    </w:p>
    <w:p w14:paraId="6ADAA44B">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4.负责校园内给水</w:t>
      </w:r>
      <w:r>
        <w:rPr>
          <w:rFonts w:hint="eastAsia" w:ascii="仿宋_GB2312" w:hAnsi="仿宋_GB2312" w:eastAsia="仿宋_GB2312" w:cs="仿宋_GB2312"/>
          <w:szCs w:val="21"/>
          <w:lang w:val="en-US" w:eastAsia="zh-CN"/>
        </w:rPr>
        <w:t>供暖</w:t>
      </w:r>
      <w:r>
        <w:rPr>
          <w:rFonts w:hint="eastAsia" w:ascii="仿宋_GB2312" w:hAnsi="仿宋_GB2312" w:eastAsia="仿宋_GB2312" w:cs="仿宋_GB2312"/>
          <w:szCs w:val="21"/>
          <w:lang w:eastAsia="zh-CN"/>
        </w:rPr>
        <w:t>管道保养维护工作；</w:t>
      </w:r>
    </w:p>
    <w:p w14:paraId="7E332E66">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5.负责校园内所有水电计量器具的检查核定工作，发现超出误差允许范围要及时报告相关部门，并采取相应措施；</w:t>
      </w:r>
    </w:p>
    <w:p w14:paraId="1B206066">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6.办公室内、课室内、实验室内、学生宿舍内、会议室（厅）、礼堂、体育馆内等的日常维修须做到24小时承诺制，不能按时完成的需向使用者解释并说明原因；</w:t>
      </w:r>
    </w:p>
    <w:p w14:paraId="4EA4AD1B">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lang w:eastAsia="zh-CN"/>
        </w:rPr>
        <w:t>7.</w:t>
      </w:r>
      <w:r>
        <w:rPr>
          <w:rFonts w:hint="eastAsia" w:ascii="仿宋_GB2312" w:hAnsi="仿宋_GB2312" w:eastAsia="仿宋_GB2312" w:cs="仿宋_GB2312"/>
          <w:szCs w:val="21"/>
          <w:lang w:val="en-US" w:eastAsia="zh-CN"/>
        </w:rPr>
        <w:t>配合学校做好</w:t>
      </w:r>
      <w:r>
        <w:rPr>
          <w:rFonts w:hint="eastAsia" w:ascii="仿宋_GB2312" w:hAnsi="仿宋_GB2312" w:eastAsia="仿宋_GB2312" w:cs="仿宋_GB2312"/>
          <w:szCs w:val="21"/>
          <w:lang w:eastAsia="zh-CN"/>
        </w:rPr>
        <w:t>大型活动</w:t>
      </w:r>
      <w:r>
        <w:rPr>
          <w:rFonts w:hint="eastAsia" w:ascii="仿宋_GB2312" w:hAnsi="仿宋_GB2312" w:eastAsia="仿宋_GB2312" w:cs="仿宋_GB2312"/>
          <w:szCs w:val="21"/>
          <w:lang w:val="en-US" w:eastAsia="zh-CN"/>
        </w:rPr>
        <w:t>管理</w:t>
      </w:r>
      <w:r>
        <w:rPr>
          <w:rFonts w:hint="eastAsia" w:ascii="仿宋_GB2312" w:hAnsi="仿宋_GB2312" w:eastAsia="仿宋_GB2312" w:cs="仿宋_GB2312"/>
          <w:szCs w:val="21"/>
          <w:lang w:eastAsia="zh-CN"/>
        </w:rPr>
        <w:t xml:space="preserve">、节假日彩灯、音响设备的安装调试等相关工作； </w:t>
      </w:r>
    </w:p>
    <w:p w14:paraId="457C1C5C">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8.专业设备设施如电梯、消防设备、高压变配电房由采购人委托专业部门维护，投标人协助专业部门做好设备日常养护工作；电梯管理员负责校园所有电梯日常巡查和监督保养及办理相关资料。</w:t>
      </w:r>
    </w:p>
    <w:p w14:paraId="48D68F35">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9.及时做好公共场所设备、设施维修，杜绝长流水、长明灯的现象；根据天气及季节，做好路灯、梯灯、走廊灯等关控工作，避免长明灯和节约用电；</w:t>
      </w:r>
    </w:p>
    <w:p w14:paraId="68ACB873">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10.协助采购人做好各类考试的用电保障，并负责考试及平时教学用电铃的管理维护工作；</w:t>
      </w:r>
    </w:p>
    <w:p w14:paraId="08795942">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lang w:eastAsia="zh-CN"/>
        </w:rPr>
        <w:t>12.每天巡查责任区内的水电消防等设施设备（如：电房、水泵加压房、热泵、电梯、定时器等）运行情况，并按规定进行维护保养，确保设施设备正常运行，并按学校要求做好巡查记录，对发现的问题填写报修单，并及时维修，做好台账；对于不能维修的，报至后勤管理人；当天的报修单，原则上要当天完成维修，维修工作量大的要向后勤管理人报告并说明原因，维修完工后要请使用部门或使用人签验；每月抄表一次，分析用水用电的合理性并将情况、数据报告后勤管理人；</w:t>
      </w:r>
    </w:p>
    <w:p w14:paraId="57CB76DC">
      <w:pPr>
        <w:spacing w:line="360" w:lineRule="auto"/>
        <w:rPr>
          <w:rFonts w:hint="eastAsia" w:ascii="仿宋_GB2312" w:hAnsi="仿宋_GB2312" w:eastAsia="仿宋_GB2312" w:cs="仿宋_GB2312"/>
          <w:b/>
          <w:bCs/>
          <w:szCs w:val="21"/>
          <w:lang w:eastAsia="zh-CN"/>
        </w:rPr>
      </w:pPr>
      <w:r>
        <w:rPr>
          <w:rFonts w:hint="eastAsia" w:ascii="仿宋_GB2312" w:hAnsi="仿宋_GB2312" w:eastAsia="仿宋_GB2312" w:cs="仿宋_GB2312"/>
          <w:b/>
          <w:bCs/>
          <w:szCs w:val="21"/>
          <w:lang w:eastAsia="zh-CN"/>
        </w:rPr>
        <w:t>（</w:t>
      </w:r>
      <w:r>
        <w:rPr>
          <w:rFonts w:hint="eastAsia" w:ascii="仿宋_GB2312" w:hAnsi="仿宋_GB2312" w:eastAsia="仿宋_GB2312" w:cs="仿宋_GB2312"/>
          <w:b/>
          <w:bCs/>
          <w:szCs w:val="21"/>
          <w:lang w:val="en-US" w:eastAsia="zh-CN"/>
        </w:rPr>
        <w:t>四</w:t>
      </w:r>
      <w:r>
        <w:rPr>
          <w:rFonts w:hint="eastAsia" w:ascii="仿宋_GB2312" w:hAnsi="仿宋_GB2312" w:eastAsia="仿宋_GB2312" w:cs="仿宋_GB2312"/>
          <w:b/>
          <w:bCs/>
          <w:szCs w:val="21"/>
          <w:lang w:eastAsia="zh-CN"/>
        </w:rPr>
        <w:t>）校园绿化服务</w:t>
      </w:r>
    </w:p>
    <w:p w14:paraId="28ACD7FE">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1.服务范围</w:t>
      </w:r>
    </w:p>
    <w:p w14:paraId="45597A57">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学校校区范围内所有绿化场地上的绿植管理。</w:t>
      </w:r>
    </w:p>
    <w:p w14:paraId="77E33833">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2.服务要求</w:t>
      </w:r>
    </w:p>
    <w:p w14:paraId="1CEF0E58">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2.1★绿化养护服务（专业服务）质量标准。具体服务内容及配套设备的要求符合《奎屯市绿地养护管理标准》三级养护以上服务标准的规定。</w:t>
      </w:r>
    </w:p>
    <w:p w14:paraId="597B33F4">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lang w:eastAsia="zh-CN"/>
        </w:rPr>
        <w:t>2.2建立绿化档案，按绿地编号分别核定乔、灌木和花卉、地被植物品种、数量（含树木等级）；提交副本给采购人。</w:t>
      </w:r>
    </w:p>
    <w:p w14:paraId="37B069F2">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2.3绿化养护项目实施养护管理所用的一切劳动力、养护工具设备、燃料和服务由投标人自行组织，由此产生的一切费用及责任由乙方承担。养护所需的肥料和农药等由乙方负责提供，绿化过程中产生的废草、树枝、砖石等垃圾的清除和清运费用由投标人负责承担，随产随清，绿地内大型落叶（如棕榈类）当日清理。</w:t>
      </w:r>
    </w:p>
    <w:p w14:paraId="216478B3">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2.4 绿地养护</w:t>
      </w:r>
    </w:p>
    <w:p w14:paraId="2661C5E4">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2.4.1校园内不得有黄土裸露现象，裸露泥土不超过10%；因拆建、校园改造、等形成的新裸露土，应及时种植绿化，</w:t>
      </w:r>
      <w:r>
        <w:rPr>
          <w:rFonts w:hint="eastAsia" w:ascii="仿宋_GB2312" w:hAnsi="仿宋_GB2312" w:eastAsia="仿宋_GB2312" w:cs="仿宋_GB2312"/>
          <w:szCs w:val="21"/>
          <w:lang w:val="hr-HR" w:eastAsia="zh-CN"/>
        </w:rPr>
        <w:t>无坑洼积水。</w:t>
      </w:r>
    </w:p>
    <w:p w14:paraId="14138975">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2.4.2维持绿地及绿地中的人行道、桌椅、绿篱内（含绿篱边内的枯叶）卫生整洁无杂物垃圾。保持绿地、绿化带整齐、美观、无杂草、无虫害，草坪内杂草率不得超过10%。容易受损坏的绿地，应设立保护措施，设置警示牌。</w:t>
      </w:r>
    </w:p>
    <w:p w14:paraId="57BF9E49">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2.4.3应使用割草机割草或进行人工割草，人工草坪草的高度不超过8公分，一般绿地草的高度应不超过15公分，路边及角隅草块也要定期进行割草养护。</w:t>
      </w:r>
    </w:p>
    <w:p w14:paraId="4096FA5A">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草坪中杂草须连根拔除，草坪纯度保持在80﹪以上，地被植物区块视杂草生长情况进行除杂养护。</w:t>
      </w:r>
    </w:p>
    <w:p w14:paraId="54BF0B35">
      <w:pPr>
        <w:spacing w:line="360" w:lineRule="auto"/>
        <w:rPr>
          <w:rFonts w:hint="eastAsia" w:ascii="仿宋_GB2312" w:hAnsi="仿宋_GB2312" w:eastAsia="仿宋_GB2312" w:cs="仿宋_GB2312"/>
          <w:szCs w:val="21"/>
          <w:lang w:val="hr-HR" w:eastAsia="zh-CN"/>
        </w:rPr>
      </w:pPr>
      <w:r>
        <w:rPr>
          <w:rFonts w:hint="eastAsia" w:ascii="仿宋_GB2312" w:hAnsi="仿宋_GB2312" w:eastAsia="仿宋_GB2312" w:cs="仿宋_GB2312"/>
          <w:szCs w:val="21"/>
          <w:lang w:eastAsia="zh-CN"/>
        </w:rPr>
        <w:t>2.4.4</w:t>
      </w:r>
      <w:r>
        <w:rPr>
          <w:rFonts w:hint="eastAsia" w:ascii="仿宋_GB2312" w:hAnsi="仿宋_GB2312" w:eastAsia="仿宋_GB2312" w:cs="仿宋_GB2312"/>
          <w:szCs w:val="21"/>
          <w:lang w:val="hr-HR" w:eastAsia="zh-CN"/>
        </w:rPr>
        <w:t>根据草坪植物生长需要进行淋水和施肥，以保证草坪植物正常生长的，草坪整齐雅观，四季常绿。</w:t>
      </w:r>
    </w:p>
    <w:p w14:paraId="1CB81CE9">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2.5.乔灌木养护</w:t>
      </w:r>
    </w:p>
    <w:p w14:paraId="5D093BBD">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2.5.1 树木高度、密度、形态、树冠的大小基本达到均匀一致，行道树树干基本直立，倾斜数量不超过该路段行道树10%。树高度控制在7至8米不能因超高引发安全事故（对现已超高的本合同生效后立即修剪成7至8米）因控高不到位修剪不及时而造成的事故由投标人负全部责任。</w:t>
      </w:r>
    </w:p>
    <w:p w14:paraId="64F1E8D7">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2.5.2 全路段缺株植物不超过该路段的10%，补植树木应保持与原品种规格基本一致，缺株、倒伏、受损的树木能比较及时扶正、支撑或补种。折断或劈裂枝，做到去除残桩或修平断（裂）口。</w:t>
      </w:r>
    </w:p>
    <w:p w14:paraId="7058BFF8">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2.5.3根据校园高大乔木的生长情况，做好每年的高空修剪计划，报送学校，并做好高空修剪工程现场监督、做好安全作业。根据季节对苗木的树干进行涂白，要求一年不得少于一次。</w:t>
      </w:r>
    </w:p>
    <w:p w14:paraId="0F39ED41">
      <w:pPr>
        <w:spacing w:line="360" w:lineRule="auto"/>
        <w:rPr>
          <w:rFonts w:hint="eastAsia" w:ascii="仿宋_GB2312" w:hAnsi="仿宋_GB2312" w:eastAsia="仿宋_GB2312" w:cs="仿宋_GB2312"/>
          <w:szCs w:val="21"/>
          <w:lang w:val="hr-HR" w:eastAsia="zh-CN"/>
        </w:rPr>
      </w:pPr>
      <w:r>
        <w:rPr>
          <w:rFonts w:hint="eastAsia" w:ascii="仿宋_GB2312" w:hAnsi="仿宋_GB2312" w:eastAsia="仿宋_GB2312" w:cs="仿宋_GB2312"/>
          <w:szCs w:val="21"/>
          <w:lang w:eastAsia="zh-CN"/>
        </w:rPr>
        <w:t>2.5.4</w:t>
      </w:r>
      <w:r>
        <w:rPr>
          <w:rFonts w:hint="eastAsia" w:ascii="仿宋_GB2312" w:hAnsi="仿宋_GB2312" w:eastAsia="仿宋_GB2312" w:cs="仿宋_GB2312"/>
          <w:szCs w:val="21"/>
          <w:lang w:val="hr-HR" w:eastAsia="zh-CN"/>
        </w:rPr>
        <w:t>灌木和花卉生长正常，造型较美观，具有一定的艺术感，花卉能适时开花，生长势正常，枝叶正常，无枯枝残叶，花坛、绿篱完整无断层，花卉能适时开花。造型美观，与环境协调，花卉要适时开花，及时修剪残花败叶，绿篱和花坛整形符合造景要求。</w:t>
      </w:r>
    </w:p>
    <w:p w14:paraId="6BD0D3EE">
      <w:pPr>
        <w:spacing w:line="360" w:lineRule="auto"/>
        <w:rPr>
          <w:rFonts w:hint="eastAsia" w:ascii="仿宋_GB2312" w:hAnsi="仿宋_GB2312" w:eastAsia="仿宋_GB2312" w:cs="仿宋_GB2312"/>
          <w:szCs w:val="21"/>
          <w:lang w:val="hr-HR" w:eastAsia="zh-CN"/>
        </w:rPr>
      </w:pPr>
      <w:r>
        <w:rPr>
          <w:rFonts w:hint="eastAsia" w:ascii="仿宋_GB2312" w:hAnsi="仿宋_GB2312" w:eastAsia="仿宋_GB2312" w:cs="仿宋_GB2312"/>
          <w:szCs w:val="21"/>
          <w:lang w:eastAsia="zh-CN"/>
        </w:rPr>
        <w:t>2.5.5</w:t>
      </w:r>
      <w:r>
        <w:rPr>
          <w:rFonts w:hint="eastAsia" w:ascii="仿宋_GB2312" w:hAnsi="仿宋_GB2312" w:eastAsia="仿宋_GB2312" w:cs="仿宋_GB2312"/>
          <w:szCs w:val="21"/>
          <w:lang w:val="hr-HR" w:eastAsia="zh-CN"/>
        </w:rPr>
        <w:t>在雨水缺少的季节，每天的淋水量要求接近于该种类该规格的蒸腾量，使含水量保持在 12</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hr-HR" w:eastAsia="zh-CN"/>
        </w:rPr>
        <w:t>20%。需水量大的植物，其土壤含水量一般要求为21</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hr-HR" w:eastAsia="zh-CN"/>
        </w:rPr>
        <w:t>22%。</w:t>
      </w:r>
    </w:p>
    <w:p w14:paraId="65357788">
      <w:pPr>
        <w:spacing w:line="360" w:lineRule="auto"/>
        <w:rPr>
          <w:rFonts w:hint="eastAsia" w:ascii="仿宋_GB2312" w:hAnsi="仿宋_GB2312" w:eastAsia="仿宋_GB2312" w:cs="仿宋_GB2312"/>
          <w:szCs w:val="21"/>
          <w:lang w:val="hr-HR" w:eastAsia="zh-CN"/>
        </w:rPr>
      </w:pPr>
      <w:r>
        <w:rPr>
          <w:rFonts w:hint="eastAsia" w:ascii="仿宋_GB2312" w:hAnsi="仿宋_GB2312" w:eastAsia="仿宋_GB2312" w:cs="仿宋_GB2312"/>
          <w:szCs w:val="21"/>
          <w:lang w:eastAsia="zh-CN"/>
        </w:rPr>
        <w:t>2.5.6</w:t>
      </w:r>
      <w:r>
        <w:rPr>
          <w:rFonts w:hint="eastAsia" w:ascii="仿宋_GB2312" w:hAnsi="仿宋_GB2312" w:eastAsia="仿宋_GB2312" w:cs="仿宋_GB2312"/>
          <w:szCs w:val="21"/>
          <w:lang w:val="hr-HR" w:eastAsia="zh-CN"/>
        </w:rPr>
        <w:t>每年春季或秋季重点施肥1</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hr-HR" w:eastAsia="zh-CN"/>
        </w:rPr>
        <w:t>2次。肥料不能裸露，可采用埋施或水施等不同方法。埋施要先挖穴或开沟，施肥后要回填土、踏实、淋足水。</w:t>
      </w:r>
    </w:p>
    <w:p w14:paraId="7AEC00AC">
      <w:pPr>
        <w:spacing w:line="360" w:lineRule="auto"/>
        <w:rPr>
          <w:rFonts w:hint="eastAsia" w:ascii="仿宋_GB2312" w:hAnsi="仿宋_GB2312" w:eastAsia="仿宋_GB2312" w:cs="仿宋_GB2312"/>
          <w:szCs w:val="21"/>
          <w:lang w:val="hr-HR" w:eastAsia="zh-CN"/>
        </w:rPr>
      </w:pPr>
      <w:r>
        <w:rPr>
          <w:rFonts w:hint="eastAsia" w:ascii="仿宋_GB2312" w:hAnsi="仿宋_GB2312" w:eastAsia="仿宋_GB2312" w:cs="仿宋_GB2312"/>
          <w:szCs w:val="21"/>
          <w:lang w:eastAsia="zh-CN"/>
        </w:rPr>
        <w:t>2.5.7乔木要</w:t>
      </w:r>
      <w:r>
        <w:rPr>
          <w:rFonts w:hint="eastAsia" w:ascii="仿宋_GB2312" w:hAnsi="仿宋_GB2312" w:eastAsia="仿宋_GB2312" w:cs="仿宋_GB2312"/>
          <w:szCs w:val="21"/>
          <w:lang w:val="hr-HR" w:eastAsia="zh-CN"/>
        </w:rPr>
        <w:t>生长正常，枝叶正常，无死树缺株，无枯枝残叶。生长势正常，行道树上缘线和下缘线整齐，修剪适度枝叶正常，无枯枝残叶。及时剪去干枯枝叶和病枝。</w:t>
      </w:r>
    </w:p>
    <w:p w14:paraId="53D1EE71">
      <w:pPr>
        <w:spacing w:line="360" w:lineRule="auto"/>
        <w:rPr>
          <w:rFonts w:hint="eastAsia" w:ascii="仿宋_GB2312" w:hAnsi="仿宋_GB2312" w:eastAsia="仿宋_GB2312" w:cs="仿宋_GB2312"/>
          <w:szCs w:val="21"/>
          <w:lang w:val="hr-HR" w:eastAsia="zh-CN"/>
        </w:rPr>
      </w:pPr>
      <w:r>
        <w:rPr>
          <w:rFonts w:hint="eastAsia" w:ascii="仿宋_GB2312" w:hAnsi="仿宋_GB2312" w:eastAsia="仿宋_GB2312" w:cs="仿宋_GB2312"/>
          <w:szCs w:val="21"/>
          <w:lang w:eastAsia="zh-CN"/>
        </w:rPr>
        <w:t>2.5.8</w:t>
      </w:r>
      <w:r>
        <w:rPr>
          <w:rFonts w:hint="eastAsia" w:ascii="仿宋_GB2312" w:hAnsi="仿宋_GB2312" w:eastAsia="仿宋_GB2312" w:cs="仿宋_GB2312"/>
          <w:szCs w:val="21"/>
          <w:lang w:val="hr-HR" w:eastAsia="zh-CN"/>
        </w:rPr>
        <w:t>每年的春、秋季重点施肥1次，乔木施肥穴的规格一般为30×30×40厘米，挖沟的规格为30×40厘米。挖穴或开沟的位置一般是树冠外缘的投影（行道树除外），每株树挖对称的两穴或四穴。</w:t>
      </w:r>
    </w:p>
    <w:p w14:paraId="4C7AFFD8">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2.6综合管理</w:t>
      </w:r>
    </w:p>
    <w:p w14:paraId="26F8E18F">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2.6.1绿化工具齐全，定期维护和保证绿化设备及工具完整，工具收纳于指定区域并摆放整齐。</w:t>
      </w:r>
    </w:p>
    <w:p w14:paraId="38691E81">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2.6.2 进行防治病虫害、施肥、绿地使用、新种植和移除植株等工作，应提前知会校方，并出具相关施工公告。</w:t>
      </w:r>
    </w:p>
    <w:p w14:paraId="2B4861E0">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lang w:eastAsia="zh-CN"/>
        </w:rPr>
        <w:t>2.6.3 做好白蚁、红火蚁防治工作，加强对白蚁、红火蚁为害易发植物品种的监察，发现为害迹象应立即通知校方主管部门并及时处理现场，对倒伏树木按防治要求及时处理，避免加重为害程度。</w:t>
      </w:r>
    </w:p>
    <w:p w14:paraId="360DD8E8">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2.6.4 对已枯死的或</w:t>
      </w:r>
      <w:r>
        <w:rPr>
          <w:rFonts w:hint="eastAsia" w:ascii="仿宋_GB2312" w:hAnsi="仿宋_GB2312" w:eastAsia="仿宋_GB2312" w:cs="仿宋_GB2312"/>
          <w:szCs w:val="21"/>
          <w:lang w:val="en-US" w:eastAsia="zh-CN"/>
        </w:rPr>
        <w:t>被狂风</w:t>
      </w:r>
      <w:r>
        <w:rPr>
          <w:rFonts w:hint="eastAsia" w:ascii="仿宋_GB2312" w:hAnsi="仿宋_GB2312" w:eastAsia="仿宋_GB2312" w:cs="仿宋_GB2312"/>
          <w:szCs w:val="21"/>
          <w:lang w:eastAsia="zh-CN"/>
        </w:rPr>
        <w:t>暴雨刮断的树枝，经检查无白蚁为害后及时将树头挖走，清理断枝残叶，防止白蚁孳生。</w:t>
      </w:r>
    </w:p>
    <w:p w14:paraId="6FF59F3B">
      <w:pPr>
        <w:spacing w:line="360" w:lineRule="auto"/>
        <w:rPr>
          <w:rFonts w:hint="eastAsia" w:ascii="仿宋_GB2312" w:hAnsi="仿宋_GB2312" w:eastAsia="仿宋_GB2312" w:cs="仿宋_GB2312"/>
          <w:szCs w:val="21"/>
          <w:lang w:val="hr-HR" w:eastAsia="zh-CN"/>
        </w:rPr>
      </w:pPr>
      <w:r>
        <w:rPr>
          <w:rFonts w:hint="eastAsia" w:ascii="仿宋_GB2312" w:hAnsi="仿宋_GB2312" w:eastAsia="仿宋_GB2312" w:cs="仿宋_GB2312"/>
          <w:szCs w:val="21"/>
          <w:lang w:eastAsia="zh-CN"/>
        </w:rPr>
        <w:t>2.6.5</w:t>
      </w:r>
      <w:r>
        <w:rPr>
          <w:rFonts w:hint="eastAsia" w:ascii="仿宋_GB2312" w:hAnsi="仿宋_GB2312" w:eastAsia="仿宋_GB2312" w:cs="仿宋_GB2312"/>
          <w:szCs w:val="21"/>
          <w:lang w:val="hr-HR" w:eastAsia="zh-CN"/>
        </w:rPr>
        <w:t>应</w:t>
      </w:r>
      <w:r>
        <w:rPr>
          <w:rFonts w:hint="eastAsia" w:ascii="仿宋_GB2312" w:hAnsi="仿宋_GB2312" w:eastAsia="仿宋_GB2312" w:cs="仿宋_GB2312"/>
          <w:szCs w:val="21"/>
          <w:lang w:eastAsia="zh-CN"/>
        </w:rPr>
        <w:t>每天</w:t>
      </w:r>
      <w:r>
        <w:rPr>
          <w:rFonts w:hint="eastAsia" w:ascii="仿宋_GB2312" w:hAnsi="仿宋_GB2312" w:eastAsia="仿宋_GB2312" w:cs="仿宋_GB2312"/>
          <w:szCs w:val="21"/>
          <w:lang w:val="hr-HR" w:eastAsia="zh-CN"/>
        </w:rPr>
        <w:t>维护</w:t>
      </w:r>
      <w:r>
        <w:rPr>
          <w:rFonts w:hint="eastAsia" w:ascii="仿宋_GB2312" w:hAnsi="仿宋_GB2312" w:eastAsia="仿宋_GB2312" w:cs="仿宋_GB2312"/>
          <w:szCs w:val="21"/>
          <w:lang w:eastAsia="zh-CN"/>
        </w:rPr>
        <w:t>假山鱼池及</w:t>
      </w:r>
      <w:r>
        <w:rPr>
          <w:rFonts w:hint="eastAsia" w:ascii="仿宋_GB2312" w:hAnsi="仿宋_GB2312" w:eastAsia="仿宋_GB2312" w:cs="仿宋_GB2312"/>
          <w:szCs w:val="21"/>
          <w:lang w:val="hr-HR" w:eastAsia="zh-CN"/>
        </w:rPr>
        <w:t>周边的</w:t>
      </w:r>
      <w:r>
        <w:rPr>
          <w:rFonts w:hint="eastAsia" w:ascii="仿宋_GB2312" w:hAnsi="仿宋_GB2312" w:eastAsia="仿宋_GB2312" w:cs="仿宋_GB2312"/>
          <w:szCs w:val="21"/>
          <w:lang w:eastAsia="zh-CN"/>
        </w:rPr>
        <w:t>环境卫生</w:t>
      </w:r>
      <w:r>
        <w:rPr>
          <w:rFonts w:hint="eastAsia" w:ascii="仿宋_GB2312" w:hAnsi="仿宋_GB2312" w:eastAsia="仿宋_GB2312" w:cs="仿宋_GB2312"/>
          <w:szCs w:val="21"/>
          <w:lang w:val="hr-HR" w:eastAsia="zh-CN"/>
        </w:rPr>
        <w:t>，打捞清理</w:t>
      </w:r>
      <w:r>
        <w:rPr>
          <w:rFonts w:hint="eastAsia" w:ascii="仿宋_GB2312" w:hAnsi="仿宋_GB2312" w:eastAsia="仿宋_GB2312" w:cs="仿宋_GB2312"/>
          <w:szCs w:val="21"/>
          <w:lang w:eastAsia="zh-CN"/>
        </w:rPr>
        <w:t>水面</w:t>
      </w:r>
      <w:r>
        <w:rPr>
          <w:rFonts w:hint="eastAsia" w:ascii="仿宋_GB2312" w:hAnsi="仿宋_GB2312" w:eastAsia="仿宋_GB2312" w:cs="仿宋_GB2312"/>
          <w:szCs w:val="21"/>
          <w:lang w:val="hr-HR" w:eastAsia="zh-CN"/>
        </w:rPr>
        <w:t>杂草、树叶、垃圾等，防止</w:t>
      </w:r>
      <w:r>
        <w:rPr>
          <w:rFonts w:hint="eastAsia" w:ascii="仿宋_GB2312" w:hAnsi="仿宋_GB2312" w:eastAsia="仿宋_GB2312" w:cs="仿宋_GB2312"/>
          <w:szCs w:val="21"/>
          <w:lang w:eastAsia="zh-CN"/>
        </w:rPr>
        <w:t>假山</w:t>
      </w:r>
      <w:r>
        <w:rPr>
          <w:rFonts w:hint="eastAsia" w:ascii="仿宋_GB2312" w:hAnsi="仿宋_GB2312" w:eastAsia="仿宋_GB2312" w:cs="仿宋_GB2312"/>
          <w:szCs w:val="21"/>
          <w:lang w:val="hr-HR" w:eastAsia="zh-CN"/>
        </w:rPr>
        <w:t>崩塌，确保安全</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hr-HR" w:eastAsia="zh-CN"/>
        </w:rPr>
        <w:t>每月1次清洗</w:t>
      </w:r>
      <w:r>
        <w:rPr>
          <w:rFonts w:hint="eastAsia" w:ascii="仿宋_GB2312" w:hAnsi="仿宋_GB2312" w:eastAsia="仿宋_GB2312" w:cs="仿宋_GB2312"/>
          <w:szCs w:val="21"/>
          <w:lang w:eastAsia="zh-CN"/>
        </w:rPr>
        <w:t>假山</w:t>
      </w:r>
      <w:r>
        <w:rPr>
          <w:rFonts w:hint="eastAsia" w:ascii="仿宋_GB2312" w:hAnsi="仿宋_GB2312" w:eastAsia="仿宋_GB2312" w:cs="仿宋_GB2312"/>
          <w:szCs w:val="21"/>
          <w:lang w:val="hr-HR" w:eastAsia="zh-CN"/>
        </w:rPr>
        <w:t>景观，确保干净整洁。</w:t>
      </w:r>
    </w:p>
    <w:p w14:paraId="08439EC0">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2.7. 自然灾害应急处理</w:t>
      </w:r>
    </w:p>
    <w:p w14:paraId="076E4940">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2.7.1 有完备的《绿化应急工作预案》，如遇突发事件和学校重要活动时，无条件积极配合校方，搞好绿化工作，随叫随到。</w:t>
      </w:r>
    </w:p>
    <w:p w14:paraId="7F46A71E">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 xml:space="preserve">2.7.2 </w:t>
      </w:r>
      <w:r>
        <w:rPr>
          <w:rFonts w:hint="eastAsia" w:ascii="仿宋_GB2312" w:hAnsi="仿宋_GB2312" w:eastAsia="仿宋_GB2312" w:cs="仿宋_GB2312"/>
          <w:szCs w:val="21"/>
          <w:lang w:val="en-US" w:eastAsia="zh-CN"/>
        </w:rPr>
        <w:t>大</w:t>
      </w:r>
      <w:r>
        <w:rPr>
          <w:rFonts w:hint="eastAsia" w:ascii="仿宋_GB2312" w:hAnsi="仿宋_GB2312" w:eastAsia="仿宋_GB2312" w:cs="仿宋_GB2312"/>
          <w:szCs w:val="21"/>
          <w:lang w:eastAsia="zh-CN"/>
        </w:rPr>
        <w:t>风季节应提前做好防风措施，修剪枯枝、残枝、败叶，对新种或易折断的植物进行适当的支撑、加固（如支架绑扎等）。</w:t>
      </w:r>
    </w:p>
    <w:p w14:paraId="6C97FE5A">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 xml:space="preserve">2.7.3 </w:t>
      </w:r>
      <w:r>
        <w:rPr>
          <w:rFonts w:hint="eastAsia" w:ascii="仿宋_GB2312" w:hAnsi="仿宋_GB2312" w:eastAsia="仿宋_GB2312" w:cs="仿宋_GB2312"/>
          <w:szCs w:val="21"/>
          <w:lang w:val="en-US" w:eastAsia="zh-CN"/>
        </w:rPr>
        <w:t>大</w:t>
      </w:r>
      <w:r>
        <w:rPr>
          <w:rFonts w:hint="eastAsia" w:ascii="仿宋_GB2312" w:hAnsi="仿宋_GB2312" w:eastAsia="仿宋_GB2312" w:cs="仿宋_GB2312"/>
          <w:szCs w:val="21"/>
          <w:lang w:eastAsia="zh-CN"/>
        </w:rPr>
        <w:t>风过程中，安排应急值班人员，2小时内排除险情，维护校园正常秩序。</w:t>
      </w:r>
    </w:p>
    <w:p w14:paraId="72F51F98">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 xml:space="preserve">2.7.4 </w:t>
      </w:r>
      <w:r>
        <w:rPr>
          <w:rFonts w:hint="eastAsia" w:ascii="仿宋_GB2312" w:hAnsi="仿宋_GB2312" w:eastAsia="仿宋_GB2312" w:cs="仿宋_GB2312"/>
          <w:szCs w:val="21"/>
          <w:lang w:val="en-US" w:eastAsia="zh-CN"/>
        </w:rPr>
        <w:t>大</w:t>
      </w:r>
      <w:r>
        <w:rPr>
          <w:rFonts w:hint="eastAsia" w:ascii="仿宋_GB2312" w:hAnsi="仿宋_GB2312" w:eastAsia="仿宋_GB2312" w:cs="仿宋_GB2312"/>
          <w:szCs w:val="21"/>
          <w:lang w:eastAsia="zh-CN"/>
        </w:rPr>
        <w:t>风过后应及时扶正，清理断枝落叶等。</w:t>
      </w:r>
    </w:p>
    <w:p w14:paraId="7B933A8D">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lang w:eastAsia="zh-CN"/>
        </w:rPr>
        <w:t>2.8.节假日及学校重要活动时花摆放</w:t>
      </w:r>
    </w:p>
    <w:p w14:paraId="00C541E6">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2.8.1 保证节假日、校庆等重大活动时，应保持花坛内的花卉鲜艳盛开。</w:t>
      </w:r>
    </w:p>
    <w:p w14:paraId="7B517E68">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2.8.2 为学校的重大活动（迎新典礼、毕业典礼、重大会议等）提供绿植盆栽、盆花布置会场。</w:t>
      </w:r>
    </w:p>
    <w:p w14:paraId="7A687602">
      <w:pPr>
        <w:spacing w:line="360" w:lineRule="auto"/>
        <w:rPr>
          <w:rFonts w:hint="eastAsia" w:ascii="仿宋_GB2312" w:hAnsi="仿宋_GB2312" w:eastAsia="仿宋_GB2312" w:cs="仿宋_GB2312"/>
          <w:b/>
          <w:bCs/>
          <w:szCs w:val="21"/>
          <w:lang w:eastAsia="zh-CN"/>
        </w:rPr>
      </w:pPr>
      <w:r>
        <w:rPr>
          <w:rFonts w:hint="eastAsia" w:ascii="仿宋_GB2312" w:hAnsi="仿宋_GB2312" w:eastAsia="仿宋_GB2312" w:cs="仿宋_GB2312"/>
          <w:b/>
          <w:bCs/>
          <w:szCs w:val="21"/>
          <w:lang w:eastAsia="zh-CN"/>
        </w:rPr>
        <w:t>（</w:t>
      </w:r>
      <w:r>
        <w:rPr>
          <w:rFonts w:hint="eastAsia" w:ascii="仿宋_GB2312" w:hAnsi="仿宋_GB2312" w:eastAsia="仿宋_GB2312" w:cs="仿宋_GB2312"/>
          <w:b/>
          <w:bCs/>
          <w:szCs w:val="21"/>
          <w:lang w:val="en-US" w:eastAsia="zh-CN"/>
        </w:rPr>
        <w:t>五</w:t>
      </w:r>
      <w:r>
        <w:rPr>
          <w:rFonts w:hint="eastAsia" w:ascii="仿宋_GB2312" w:hAnsi="仿宋_GB2312" w:eastAsia="仿宋_GB2312" w:cs="仿宋_GB2312"/>
          <w:b/>
          <w:bCs/>
          <w:szCs w:val="21"/>
          <w:lang w:eastAsia="zh-CN"/>
        </w:rPr>
        <w:t>）课室管理服务</w:t>
      </w:r>
    </w:p>
    <w:p w14:paraId="57474BC5">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1.工作范围</w:t>
      </w:r>
    </w:p>
    <w:p w14:paraId="18F88DCA">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教学楼、实训楼课室。</w:t>
      </w:r>
    </w:p>
    <w:p w14:paraId="2D3EE955">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2.工作内容</w:t>
      </w:r>
    </w:p>
    <w:p w14:paraId="23FFD545">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每天早晨8时前、中午13时前、下午18时前，根据教务处下达的课室使用安排，提前20分钟完成课室内部桌椅、黑板、窗帘、空调或吊扇、照明等设施的调整，按功能要求摆放整齐，并打开课室门；调度有序、及时，随时保障教学需要；</w:t>
      </w:r>
    </w:p>
    <w:p w14:paraId="0B97D0E9">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（2）在采购人组织活动及用作考场期间，根据需要投标人免费增派服务人员；</w:t>
      </w:r>
    </w:p>
    <w:p w14:paraId="7392B94A">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（3）对小型教具（如：白板笔、麦克风等）进行保管、维护，每天根据各课室的情况供给发放，并做好情况记录，耗材型教具由采购人提供；</w:t>
      </w:r>
    </w:p>
    <w:p w14:paraId="331D88EE">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（4）对每间课室的课桌椅等的设施设备记录建档；</w:t>
      </w:r>
    </w:p>
    <w:p w14:paraId="14F957BA">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（5）配合采购人处理其他临时搬运任务，包括大件工程维修实验设备等；</w:t>
      </w:r>
    </w:p>
    <w:p w14:paraId="4982F9B2">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（6）★每天晚上10：30分，在课室活动结束后，及时关好课室电器和门窗；</w:t>
      </w:r>
    </w:p>
    <w:p w14:paraId="040B80EF">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（7）发现课室实际运行与计划安排有冲突时应及时报告教学管理部门，根据教学管理部门调度意见妥善处理，并做好情况记录；</w:t>
      </w:r>
    </w:p>
    <w:p w14:paraId="3AC4867E">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（8）根据采购人的要求，定时巡查课室，发现长明灯、长转风扇、长开空调等浪费情况及时关闭；</w:t>
      </w:r>
    </w:p>
    <w:p w14:paraId="3F15059F">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（9）对课室使用情况进行记录，发现门窗损坏、设备故障等影响教学的情况，及时报告教学管理部门；</w:t>
      </w:r>
    </w:p>
    <w:p w14:paraId="2E29B410">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lang w:eastAsia="zh-CN"/>
        </w:rPr>
        <w:t>（10）对未按规定使用课室的人员及时进行劝离，并报告教学、保卫等管理部门。</w:t>
      </w:r>
    </w:p>
    <w:p w14:paraId="71CEB1E1">
      <w:pPr>
        <w:spacing w:line="360" w:lineRule="auto"/>
        <w:rPr>
          <w:rFonts w:hint="eastAsia" w:ascii="仿宋_GB2312" w:hAnsi="仿宋_GB2312" w:eastAsia="仿宋_GB2312" w:cs="仿宋_GB2312"/>
          <w:b/>
          <w:bCs/>
          <w:szCs w:val="21"/>
          <w:lang w:eastAsia="zh-CN"/>
        </w:rPr>
      </w:pPr>
      <w:r>
        <w:rPr>
          <w:rFonts w:hint="eastAsia" w:ascii="仿宋_GB2312" w:hAnsi="仿宋_GB2312" w:eastAsia="仿宋_GB2312" w:cs="仿宋_GB2312"/>
          <w:b/>
          <w:bCs/>
          <w:szCs w:val="21"/>
          <w:lang w:eastAsia="zh-CN"/>
        </w:rPr>
        <w:t>（</w:t>
      </w:r>
      <w:r>
        <w:rPr>
          <w:rFonts w:hint="eastAsia" w:ascii="仿宋_GB2312" w:hAnsi="仿宋_GB2312" w:eastAsia="仿宋_GB2312" w:cs="仿宋_GB2312"/>
          <w:b/>
          <w:bCs/>
          <w:szCs w:val="21"/>
          <w:lang w:val="en-US" w:eastAsia="zh-CN"/>
        </w:rPr>
        <w:t>六</w:t>
      </w:r>
      <w:r>
        <w:rPr>
          <w:rFonts w:hint="eastAsia" w:ascii="仿宋_GB2312" w:hAnsi="仿宋_GB2312" w:eastAsia="仿宋_GB2312" w:cs="仿宋_GB2312"/>
          <w:b/>
          <w:bCs/>
          <w:szCs w:val="21"/>
          <w:lang w:eastAsia="zh-CN"/>
        </w:rPr>
        <w:t>）垃圾清理、分类服务</w:t>
      </w:r>
    </w:p>
    <w:p w14:paraId="41EEDEC8">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1.服务范围</w:t>
      </w:r>
    </w:p>
    <w:p w14:paraId="1640A5E9">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学校范围内每日产生的垃圾（含饭堂的餐厨垃圾）。</w:t>
      </w:r>
    </w:p>
    <w:p w14:paraId="27C2F067">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2.服务要求</w:t>
      </w:r>
    </w:p>
    <w:p w14:paraId="2AB89B25">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lang w:eastAsia="zh-CN"/>
        </w:rPr>
        <w:t>)清理校区所有垃圾，包括生活垃圾、杂物、杂草绿化树枝（物业清理的）、废旧家具等，所有垃圾及时清运，不另增加费用。</w:t>
      </w:r>
    </w:p>
    <w:p w14:paraId="4696AF99">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lang w:eastAsia="zh-CN"/>
        </w:rPr>
        <w:t>)垃圾清运途中，不得有撒漏垃圾的情况，处理过程中无散积垃圾、无异味，须经常喷洒药水，防止发生虫害。</w:t>
      </w:r>
    </w:p>
    <w:p w14:paraId="0A34F174">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lang w:eastAsia="zh-CN"/>
        </w:rPr>
        <w:t>)垃圾临时堆放点周围保持干净。</w:t>
      </w:r>
    </w:p>
    <w:p w14:paraId="1BD9546B">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lang w:eastAsia="zh-CN"/>
        </w:rPr>
        <w:t>) 垃圾分类执行政府和学校等有关规定要求：进行垃圾分拣、分类，各种宣传资料制作等。不另增加费用。由于投标人的原因，导致学校受到行政处罚的（含罚款处罚），责任由投标人承担。</w:t>
      </w:r>
    </w:p>
    <w:p w14:paraId="5E509207">
      <w:pPr>
        <w:spacing w:line="360" w:lineRule="auto"/>
        <w:rPr>
          <w:rFonts w:hint="eastAsia" w:ascii="仿宋_GB2312" w:hAnsi="仿宋_GB2312" w:eastAsia="仿宋_GB2312" w:cs="仿宋_GB2312"/>
          <w:b/>
          <w:bCs/>
          <w:szCs w:val="21"/>
          <w:lang w:eastAsia="zh-CN"/>
        </w:rPr>
      </w:pPr>
      <w:r>
        <w:rPr>
          <w:rFonts w:hint="eastAsia" w:ascii="仿宋_GB2312" w:hAnsi="仿宋_GB2312" w:eastAsia="仿宋_GB2312" w:cs="仿宋_GB2312"/>
          <w:b/>
          <w:bCs/>
          <w:szCs w:val="21"/>
          <w:lang w:eastAsia="zh-CN"/>
        </w:rPr>
        <w:t>（</w:t>
      </w:r>
      <w:r>
        <w:rPr>
          <w:rFonts w:hint="eastAsia" w:ascii="仿宋_GB2312" w:hAnsi="仿宋_GB2312" w:eastAsia="仿宋_GB2312" w:cs="仿宋_GB2312"/>
          <w:b/>
          <w:bCs/>
          <w:szCs w:val="21"/>
          <w:lang w:val="en-US" w:eastAsia="zh-CN"/>
        </w:rPr>
        <w:t>七</w:t>
      </w:r>
      <w:r>
        <w:rPr>
          <w:rFonts w:hint="eastAsia" w:ascii="仿宋_GB2312" w:hAnsi="仿宋_GB2312" w:eastAsia="仿宋_GB2312" w:cs="仿宋_GB2312"/>
          <w:b/>
          <w:bCs/>
          <w:szCs w:val="21"/>
          <w:lang w:eastAsia="zh-CN"/>
        </w:rPr>
        <w:t>）除四害、蚁害防治、爱国卫生运动、消毒等服务</w:t>
      </w:r>
    </w:p>
    <w:p w14:paraId="50CC57C6">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1.除四害、蚁害防治服务、爱国卫生运动服务的要求</w:t>
      </w:r>
    </w:p>
    <w:p w14:paraId="102579EB">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 xml:space="preserve">（1）服务范围：校区 （含食堂内部） </w:t>
      </w:r>
    </w:p>
    <w:p w14:paraId="60A98D66">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（2）服务要求</w:t>
      </w:r>
    </w:p>
    <w:p w14:paraId="1B144CAE">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（a）校区每月两次进行除四害消杀工作，蚊虫滋生高峰季节每周一次，包括投放有效灭鼠药、提供灭鼠器具，如老鼠贴、老鼠药、灭鼠屋等。</w:t>
      </w:r>
    </w:p>
    <w:p w14:paraId="2420A685">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（b）灭鼠标准：鼠迹不超过检查点2% 。</w:t>
      </w:r>
    </w:p>
    <w:p w14:paraId="22FEE3E6">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（c）灭蚊标准：校区蚊幼及蛹的阳性孳生不超过检查点3%。</w:t>
      </w:r>
    </w:p>
    <w:p w14:paraId="0C7CD46A">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（d）灭蝇标准: 校区蝇幼及蛹的阳性孳生不超过3处。</w:t>
      </w:r>
    </w:p>
    <w:p w14:paraId="2C330B85">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（e）灭鼠、灭蚊、灭苍蝇、灭蟑螂达到当地“除四害”管理规定的标准；不得使用国家禁用药品。</w:t>
      </w:r>
    </w:p>
    <w:p w14:paraId="4D9A541A">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（f）每次完成消杀任务后，建立健全的除四害消杀工作档案，经学校有关管理员签名确认，并将相关资料归档。</w:t>
      </w:r>
    </w:p>
    <w:p w14:paraId="6F639C01">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lang w:eastAsia="zh-CN"/>
        </w:rPr>
        <w:t>).害防治服务：投放灭蚁药等防止蚁害；</w:t>
      </w:r>
    </w:p>
    <w:p w14:paraId="43A716C6">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lang w:eastAsia="zh-CN"/>
        </w:rPr>
        <w:t>)根据学校要求开展爱国卫生运动。</w:t>
      </w:r>
    </w:p>
    <w:p w14:paraId="27479CFE">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2.消毒服务要求</w:t>
      </w:r>
    </w:p>
    <w:p w14:paraId="4EE1FBE0">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 xml:space="preserve">（1）服务范围：校区 （含宿舍、食堂内部） </w:t>
      </w:r>
    </w:p>
    <w:p w14:paraId="6D744585">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（2）服务要求</w:t>
      </w:r>
    </w:p>
    <w:p w14:paraId="30C6AF6E">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（a）校区范围内每月两次进行消毒工作，发现传染病病例、传染病等疫情发生按学校要求增加消毒次数，宿舍每日进行消杀，不另增加费用。</w:t>
      </w:r>
    </w:p>
    <w:p w14:paraId="490039AC">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（b）消毒器械：超低容量喷雾器等。</w:t>
      </w:r>
    </w:p>
    <w:p w14:paraId="06EBA509">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（c）消毒药物按卫生部门有关规定。</w:t>
      </w:r>
    </w:p>
    <w:p w14:paraId="78726953">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3.建立健全的消毒工作档案。每次完成消毒任务后，须经采购人有关管理员签名确认，并将相关资料归档。</w:t>
      </w:r>
    </w:p>
    <w:p w14:paraId="01C611BC">
      <w:pPr>
        <w:spacing w:line="360" w:lineRule="auto"/>
        <w:rPr>
          <w:rFonts w:hint="eastAsia" w:ascii="仿宋_GB2312" w:hAnsi="仿宋_GB2312" w:eastAsia="仿宋_GB2312" w:cs="仿宋_GB2312"/>
          <w:b/>
          <w:bCs/>
          <w:szCs w:val="21"/>
          <w:lang w:eastAsia="zh-CN"/>
        </w:rPr>
      </w:pPr>
      <w:r>
        <w:rPr>
          <w:rFonts w:hint="eastAsia" w:ascii="仿宋_GB2312" w:hAnsi="仿宋_GB2312" w:eastAsia="仿宋_GB2312" w:cs="仿宋_GB2312"/>
          <w:b/>
          <w:bCs/>
          <w:szCs w:val="21"/>
          <w:lang w:eastAsia="zh-CN"/>
        </w:rPr>
        <w:t>（</w:t>
      </w:r>
      <w:r>
        <w:rPr>
          <w:rFonts w:hint="eastAsia" w:ascii="仿宋_GB2312" w:hAnsi="仿宋_GB2312" w:eastAsia="仿宋_GB2312" w:cs="仿宋_GB2312"/>
          <w:b/>
          <w:bCs/>
          <w:szCs w:val="21"/>
          <w:lang w:val="en-US" w:eastAsia="zh-CN"/>
        </w:rPr>
        <w:t>八</w:t>
      </w:r>
      <w:r>
        <w:rPr>
          <w:rFonts w:hint="eastAsia" w:ascii="仿宋_GB2312" w:hAnsi="仿宋_GB2312" w:eastAsia="仿宋_GB2312" w:cs="仿宋_GB2312"/>
          <w:b/>
          <w:bCs/>
          <w:szCs w:val="21"/>
          <w:lang w:eastAsia="zh-CN"/>
        </w:rPr>
        <w:t>）管道（含水沟）疏通服务</w:t>
      </w:r>
    </w:p>
    <w:p w14:paraId="29654FDA">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1.服务范围</w:t>
      </w:r>
    </w:p>
    <w:p w14:paraId="6320938C">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学校校区范围内所有明管和暗管（包括建筑物内外）及厕所的疏通。</w:t>
      </w:r>
    </w:p>
    <w:p w14:paraId="180C3EE3">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2.服务要求</w:t>
      </w:r>
    </w:p>
    <w:p w14:paraId="7789F959">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（1）出现管道、厕所堵塞时，当天疏通（需换厕盆的除外）。</w:t>
      </w:r>
    </w:p>
    <w:p w14:paraId="6AAD0F0F">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（2）服务单位只负责管道疏通的实施，如需更换材料，超出规定范围的费用由采购人承担；施工应在1-3个工作日内全部完成，不另增加费用。</w:t>
      </w:r>
    </w:p>
    <w:p w14:paraId="3EBBA77F">
      <w:pPr>
        <w:spacing w:line="360" w:lineRule="auto"/>
        <w:rPr>
          <w:rFonts w:hint="eastAsia" w:ascii="仿宋_GB2312" w:hAnsi="仿宋_GB2312" w:eastAsia="仿宋_GB2312" w:cs="仿宋_GB2312"/>
          <w:b/>
          <w:bCs/>
          <w:szCs w:val="21"/>
          <w:lang w:eastAsia="zh-CN"/>
        </w:rPr>
      </w:pPr>
      <w:r>
        <w:rPr>
          <w:rFonts w:hint="eastAsia" w:ascii="仿宋_GB2312" w:hAnsi="仿宋_GB2312" w:eastAsia="仿宋_GB2312" w:cs="仿宋_GB2312"/>
          <w:b/>
          <w:bCs/>
          <w:szCs w:val="21"/>
          <w:lang w:eastAsia="zh-CN"/>
        </w:rPr>
        <w:t>（</w:t>
      </w:r>
      <w:r>
        <w:rPr>
          <w:rFonts w:hint="eastAsia" w:ascii="仿宋_GB2312" w:hAnsi="仿宋_GB2312" w:eastAsia="仿宋_GB2312" w:cs="仿宋_GB2312"/>
          <w:b/>
          <w:bCs/>
          <w:szCs w:val="21"/>
          <w:lang w:val="en-US" w:eastAsia="zh-CN"/>
        </w:rPr>
        <w:t>九</w:t>
      </w:r>
      <w:r>
        <w:rPr>
          <w:rFonts w:hint="eastAsia" w:ascii="仿宋_GB2312" w:hAnsi="仿宋_GB2312" w:eastAsia="仿宋_GB2312" w:cs="仿宋_GB2312"/>
          <w:b/>
          <w:bCs/>
          <w:szCs w:val="21"/>
          <w:lang w:eastAsia="zh-CN"/>
        </w:rPr>
        <w:t>）校园</w:t>
      </w:r>
      <w:r>
        <w:rPr>
          <w:rFonts w:hint="eastAsia" w:ascii="仿宋_GB2312" w:hAnsi="仿宋_GB2312" w:eastAsia="仿宋_GB2312" w:cs="仿宋_GB2312"/>
          <w:b/>
          <w:bCs/>
          <w:szCs w:val="21"/>
          <w:lang w:val="en-US" w:eastAsia="zh-CN"/>
        </w:rPr>
        <w:t>安全保障</w:t>
      </w:r>
      <w:r>
        <w:rPr>
          <w:rFonts w:hint="eastAsia" w:ascii="仿宋_GB2312" w:hAnsi="仿宋_GB2312" w:eastAsia="仿宋_GB2312" w:cs="仿宋_GB2312"/>
          <w:b/>
          <w:bCs/>
          <w:szCs w:val="21"/>
          <w:lang w:eastAsia="zh-CN"/>
        </w:rPr>
        <w:t>服务</w:t>
      </w:r>
    </w:p>
    <w:p w14:paraId="38B27B33">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1.服务范围</w:t>
      </w:r>
    </w:p>
    <w:p w14:paraId="1120875E">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学校校区范围内的安全保卫，预防、发现、制止和处理校园欺凌和打架斗殴。</w:t>
      </w:r>
    </w:p>
    <w:p w14:paraId="05901AA8">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服务要求</w:t>
      </w:r>
    </w:p>
    <w:p w14:paraId="2FD73D20">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（1）全天候负责区域内正门、侧门、区域通道、围墙、各楼层/区域内办公室及公共走道交通及每天24小时巡逻、值勤。日常安全及秩序管理服务符合GA/T 594规范的要求。</w:t>
      </w:r>
    </w:p>
    <w:p w14:paraId="1D669F49">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（2）校园来人来访人员通报、登记、证件检查等。</w:t>
      </w:r>
    </w:p>
    <w:p w14:paraId="5F964839">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（3）积极配合公安部门工作，制定或完善监控室管理制度。</w:t>
      </w:r>
    </w:p>
    <w:p w14:paraId="3C64816D">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执行当地公安部门关于物业管理和后勤服务校园范围内的安全保卫工作方针、政策和有关条例。认真做好各种应急预案，并报备采购人审查。遇恶劣天气（如雷雨、酷暑和极潮湿等）或突发事件须及时出示警告牌，并记录和保护相关资料。</w:t>
      </w:r>
    </w:p>
    <w:p w14:paraId="7EFBA7BD">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（5）及时制止物业管理和后勤服务区域内的不文明及违法行为。</w:t>
      </w:r>
    </w:p>
    <w:p w14:paraId="0BCAE9F8">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（6）不少于每天1次对开关和照明灯具等进行检查。</w:t>
      </w:r>
    </w:p>
    <w:p w14:paraId="3D7F1737">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（7）建立防火制度和安全操作等制度。每半年1次开展预防校园欺凌伤害、防盗、防火宣传教育。</w:t>
      </w:r>
    </w:p>
    <w:p w14:paraId="383383F4">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（8）按公安、消防等行政部门要求，发布、张贴有关政策法规的宣传资料。</w:t>
      </w:r>
    </w:p>
    <w:p w14:paraId="646362D5">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（9）巡逻范围包括校园内的公共区域、绿地带、设备用房和各办公楼（区域）及采购人指定场所。</w:t>
      </w:r>
    </w:p>
    <w:p w14:paraId="7C4D7A07">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★（10）预防、发现、制止和处理校园欺凌和打架斗殴等各种突发事件。严重事件及时及时报告学校。</w:t>
      </w:r>
    </w:p>
    <w:p w14:paraId="56E27ACC">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（11）每周2次巡视消防器材和设备，及时通知指定有关人员负责保养、维修和管理。</w:t>
      </w:r>
    </w:p>
    <w:p w14:paraId="1B57FE2B">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（12）制定停车场使用条例，停车管理规定或执行采购人制定的外来车辆管理规定。在停车场区域使用显著的标志指引进出车辆，标志的设置符合GB 5768.2及GB/T 10001.1的规范。</w:t>
      </w:r>
    </w:p>
    <w:p w14:paraId="1FFAC306">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（13）定期对停车场出入口设备进行维护保养。设备故障、维保期间应安排人员指挥、控制车辆及人员的出入。</w:t>
      </w:r>
    </w:p>
    <w:p w14:paraId="00C3609A">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（14）外来车辆进出辖区应登记日期、进出时间、车牌号码。建立登记制度，严防盗抢事件发生。</w:t>
      </w:r>
    </w:p>
    <w:p w14:paraId="16F14224">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△（15）非机动车、机动车等各种车辆停放有序，有专人指引按规定停放在划定的露天车位或车棚内，做到车辆停放规范、整齐、分类、安全。制止车辆在行车通道、消防通道及非停车位上停车。</w:t>
      </w:r>
    </w:p>
    <w:p w14:paraId="731081B5">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16）负责维护校园内的工作人员的人身和财产安全。劝阻、纠正、制止校园内各种违章（法）违规（纪）行为，包括车辆（包括电动车、单车）乱停乱放交通违章、消防违规、推销、乱搭建、乱张贴、乱摆卖、乱涂乱画等，维护校园内的正常工作、生活秩序，净化环境。</w:t>
      </w:r>
    </w:p>
    <w:p w14:paraId="3420E10B">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（17）负责采购人重大活动、会务以及来访领导、贵宾的安全保卫工作，维护重大活动、集会秩序，确保领导、贵宾的安全和活动的顺利进行。根据要求做好活动或会务期间的服务工作。</w:t>
      </w:r>
    </w:p>
    <w:p w14:paraId="4882EC86">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（18）询问并登记搬入/运离校园的大宗物品和贵重物品的来源及去处，确认有相关部门或采购人的书面确认材料，经登记后才可放行。</w:t>
      </w:r>
    </w:p>
    <w:p w14:paraId="4A8D7696">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（19）每学期4次进行重大的消防演练或防灾应急演习。</w:t>
      </w:r>
    </w:p>
    <w:p w14:paraId="5F76B1A7">
      <w:pPr>
        <w:spacing w:line="360" w:lineRule="auto"/>
        <w:rPr>
          <w:rFonts w:hint="eastAsia" w:ascii="仿宋_GB2312" w:hAnsi="仿宋_GB2312" w:eastAsia="仿宋_GB2312" w:cs="仿宋_GB2312"/>
          <w:b/>
          <w:bCs/>
          <w:szCs w:val="21"/>
          <w:lang w:eastAsia="zh-CN"/>
        </w:rPr>
      </w:pPr>
      <w:r>
        <w:rPr>
          <w:rFonts w:hint="eastAsia" w:ascii="仿宋_GB2312" w:hAnsi="仿宋_GB2312" w:eastAsia="仿宋_GB2312" w:cs="仿宋_GB2312"/>
          <w:b/>
          <w:bCs/>
          <w:szCs w:val="21"/>
          <w:lang w:val="en-US" w:eastAsia="zh-CN"/>
        </w:rPr>
        <w:t>四、</w:t>
      </w:r>
      <w:r>
        <w:rPr>
          <w:rFonts w:hint="eastAsia" w:ascii="仿宋_GB2312" w:hAnsi="仿宋_GB2312" w:eastAsia="仿宋_GB2312" w:cs="仿宋_GB2312"/>
          <w:b/>
          <w:bCs/>
          <w:szCs w:val="21"/>
          <w:lang w:eastAsia="zh-CN"/>
        </w:rPr>
        <w:t>餐饮服务详细要求</w:t>
      </w:r>
    </w:p>
    <w:p w14:paraId="4B7B84D8">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lang w:eastAsia="zh-CN"/>
        </w:rPr>
        <w:t>服务范围：</w:t>
      </w:r>
    </w:p>
    <w:p w14:paraId="2468A95F">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 全校</w:t>
      </w:r>
      <w:r>
        <w:rPr>
          <w:rFonts w:hint="eastAsia" w:ascii="仿宋_GB2312" w:hAnsi="仿宋_GB2312" w:eastAsia="仿宋_GB2312" w:cs="仿宋_GB2312"/>
          <w:szCs w:val="21"/>
          <w:lang w:val="en-US" w:eastAsia="zh-CN"/>
        </w:rPr>
        <w:t>内初班学生</w:t>
      </w:r>
      <w:r>
        <w:rPr>
          <w:rFonts w:hint="eastAsia" w:ascii="仿宋_GB2312" w:hAnsi="仿宋_GB2312" w:eastAsia="仿宋_GB2312" w:cs="仿宋_GB2312"/>
          <w:szCs w:val="21"/>
          <w:lang w:eastAsia="zh-CN"/>
        </w:rPr>
        <w:t>的早餐、午餐、晚餐等（清</w:t>
      </w:r>
      <w:r>
        <w:rPr>
          <w:rFonts w:hint="eastAsia" w:ascii="仿宋_GB2312" w:hAnsi="仿宋_GB2312" w:eastAsia="仿宋_GB2312" w:cs="仿宋_GB2312"/>
          <w:szCs w:val="21"/>
          <w:lang w:val="en-US" w:eastAsia="zh-CN"/>
        </w:rPr>
        <w:t>餐</w:t>
      </w:r>
      <w:r>
        <w:rPr>
          <w:rFonts w:hint="eastAsia" w:ascii="仿宋_GB2312" w:hAnsi="仿宋_GB2312" w:eastAsia="仿宋_GB2312" w:cs="仿宋_GB2312"/>
          <w:szCs w:val="21"/>
          <w:lang w:eastAsia="zh-CN"/>
        </w:rPr>
        <w:t>）</w:t>
      </w:r>
    </w:p>
    <w:p w14:paraId="2326B543">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lang w:eastAsia="zh-CN"/>
        </w:rPr>
        <w:t>服务要求：</w:t>
      </w:r>
    </w:p>
    <w:p w14:paraId="0EFEE5DF">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lang w:eastAsia="zh-CN"/>
        </w:rPr>
        <w:t>）与采购人协商制作菜单及菜谱，根据季节变化，不断推出创新菜，主要烹饪适合师生营养餐的饭菜品；监督食品质量，使用、管理与维护整个厨房设备；全面检查菜点质量，杜绝不符合规格及质量要求的成品和半成品。</w:t>
      </w:r>
    </w:p>
    <w:p w14:paraId="3639B21B">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lang w:eastAsia="zh-CN"/>
        </w:rPr>
        <w:t>2</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lang w:eastAsia="zh-CN"/>
        </w:rPr>
        <w:t>各餐食物要求菜谱、样式翻新，每周周内不重复。</w:t>
      </w:r>
    </w:p>
    <w:p w14:paraId="030D5596">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（3）采购人提供厨房、餐厅、全套厨房设备、厨房员工劳保用品(包括衣服、口罩、帽子,每人两套)，并负责水、电和燃料;投标人负责厨房设施的日常维护和管理。  </w:t>
      </w:r>
      <w:r>
        <w:rPr>
          <w:rFonts w:hint="eastAsia" w:ascii="仿宋_GB2312" w:hAnsi="仿宋_GB2312" w:eastAsia="仿宋_GB2312" w:cs="仿宋_GB2312"/>
          <w:szCs w:val="21"/>
          <w:lang w:val="en-US" w:eastAsia="zh-CN"/>
        </w:rPr>
        <w:t xml:space="preserve"> （4）食材由采购人负责采购，投标人按照采购人的要求按时按量</w:t>
      </w:r>
      <w:r>
        <w:rPr>
          <w:rFonts w:hint="eastAsia" w:ascii="仿宋_GB2312" w:hAnsi="仿宋_GB2312" w:eastAsia="仿宋_GB2312" w:cs="仿宋_GB2312"/>
          <w:szCs w:val="21"/>
          <w:lang w:eastAsia="zh-CN"/>
        </w:rPr>
        <w:t>烹饪适合</w:t>
      </w:r>
      <w:r>
        <w:rPr>
          <w:rFonts w:hint="eastAsia" w:ascii="仿宋_GB2312" w:hAnsi="仿宋_GB2312" w:eastAsia="仿宋_GB2312" w:cs="仿宋_GB2312"/>
          <w:szCs w:val="21"/>
          <w:lang w:val="en-US" w:eastAsia="zh-CN"/>
        </w:rPr>
        <w:t>学</w:t>
      </w:r>
      <w:r>
        <w:rPr>
          <w:rFonts w:hint="eastAsia" w:ascii="仿宋_GB2312" w:hAnsi="仿宋_GB2312" w:eastAsia="仿宋_GB2312" w:cs="仿宋_GB2312"/>
          <w:szCs w:val="21"/>
          <w:lang w:eastAsia="zh-CN"/>
        </w:rPr>
        <w:t>生营养餐的饭菜品。</w:t>
      </w:r>
    </w:p>
    <w:p w14:paraId="7C5A6B12">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lang w:eastAsia="zh-CN"/>
        </w:rPr>
        <w:t>服务标准：加工制作的所有食品必须卫生安全、营养、健康，符合所有食品法律法规要求，对食品的安全负责任。</w:t>
      </w:r>
    </w:p>
    <w:p w14:paraId="14779509">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在加工前应当检查待加工的食品及原料，不得加工过期、腐败变质、油脂酸败、霉变生虫、污秽不洁、混有异物、掺假掺杂或者感官性状异常不合格的食品、食品添加剂；特别不得加工制作冷荤类食品、生食类食品、裱花蛋糕，不得加工制作高风险食品。</w:t>
      </w:r>
    </w:p>
    <w:p w14:paraId="67F8399E">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★（2）操作规范。所有操作环节必须符合《餐饮服务食品安全操作规范》的所有规定。</w:t>
      </w:r>
    </w:p>
    <w:p w14:paraId="379FABFE">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lang w:eastAsia="zh-CN"/>
        </w:rPr>
        <w:t>）与单位食堂管理人员共同制订饭菜谱，按照食品卫生标准加工烹饪菜谱所列的菜肴及主食（清真餐）。</w:t>
      </w:r>
    </w:p>
    <w:p w14:paraId="2A16604B">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lang w:eastAsia="zh-CN"/>
        </w:rPr>
        <w:t>）按规定做好食材的清洗工作，食材中不得出现异物；按要求做好食品留样工作、餐具消毒工作并做好记录。</w:t>
      </w:r>
    </w:p>
    <w:p w14:paraId="70547AD4">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lang w:eastAsia="zh-CN"/>
        </w:rPr>
        <w:t>）负责餐饮操作间及室内外的环境卫生和所有物品的规范摆放，包括所有食品材料的规范摆放，对离地离墙的食材按要求摆放，做到有专人负责整理，专人检查落实。</w:t>
      </w:r>
    </w:p>
    <w:p w14:paraId="74F3ABA4">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6</w:t>
      </w:r>
      <w:r>
        <w:rPr>
          <w:rFonts w:hint="eastAsia" w:ascii="仿宋_GB2312" w:hAnsi="仿宋_GB2312" w:eastAsia="仿宋_GB2312" w:cs="仿宋_GB2312"/>
          <w:szCs w:val="21"/>
          <w:lang w:eastAsia="zh-CN"/>
        </w:rPr>
        <w:t>）按单位规定的时间准备好饭菜。服务周到，热情大方。完成单位安排的临时性工作。</w:t>
      </w:r>
    </w:p>
    <w:p w14:paraId="20001693">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7</w:t>
      </w:r>
      <w:r>
        <w:rPr>
          <w:rFonts w:hint="eastAsia" w:ascii="仿宋_GB2312" w:hAnsi="仿宋_GB2312" w:eastAsia="仿宋_GB2312" w:cs="仿宋_GB2312"/>
          <w:szCs w:val="21"/>
          <w:lang w:eastAsia="zh-CN"/>
        </w:rPr>
        <w:t>）工作人员必须遵守采购方的各项管理制度，服从采购人的管理，必须严格执行食品卫生安全相关法等有关法律法规，遵守食品卫生安全管理各项制度。</w:t>
      </w:r>
    </w:p>
    <w:p w14:paraId="7646ACB7">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lang w:eastAsia="zh-CN"/>
        </w:rPr>
        <w:t>、服务及质量需求</w:t>
      </w:r>
    </w:p>
    <w:p w14:paraId="31164E40">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lang w:eastAsia="zh-CN"/>
        </w:rPr>
        <w:t>）按照烹饪工作要求，招聘思想好、身体心理健康、品行端正、作风正派、富有爱心、热爱烹饪工作、热情大方、烹饪技术好的人员从事餐饮工作。</w:t>
      </w:r>
    </w:p>
    <w:p w14:paraId="04F4C2A3">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lang w:eastAsia="zh-CN"/>
        </w:rPr>
        <w:t>从业人员管理应按照培训计划和要求参加培训，每学期培训应不少于20学时，培训合格后方能上岗。应取得有效健康证，保持良好个人卫生，操作时应穿戴清洁的工作衣帽，头发不得外露，不得留长指甲、涂指甲油、佩带饰物。售卖食品时戴口罩、胸卡（工号牌），</w:t>
      </w:r>
      <w:r>
        <w:rPr>
          <w:rFonts w:hint="eastAsia" w:ascii="仿宋_GB2312" w:hAnsi="仿宋_GB2312" w:eastAsia="仿宋_GB2312" w:cs="仿宋_GB2312"/>
          <w:szCs w:val="21"/>
          <w:lang w:val="en-US" w:eastAsia="zh-CN"/>
        </w:rPr>
        <w:t>拿取</w:t>
      </w:r>
      <w:r>
        <w:rPr>
          <w:rFonts w:hint="eastAsia" w:ascii="仿宋_GB2312" w:hAnsi="仿宋_GB2312" w:eastAsia="仿宋_GB2312" w:cs="仿宋_GB2312"/>
          <w:szCs w:val="21"/>
          <w:lang w:eastAsia="zh-CN"/>
        </w:rPr>
        <w:t>熟食戴一次性手套。</w:t>
      </w:r>
    </w:p>
    <w:p w14:paraId="35676515">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lang w:eastAsia="zh-CN"/>
        </w:rPr>
        <w:t>接触直接入口食品的操作人员从事任何可能会污染双手的活动后应洗手并消毒。</w:t>
      </w:r>
    </w:p>
    <w:p w14:paraId="3304389E">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lang w:eastAsia="zh-CN"/>
        </w:rPr>
        <w:t>）不得将私人物品带入食品处理区,不得在食堂内吸烟、饮食或从事其他可能污染食品的行为。</w:t>
      </w:r>
    </w:p>
    <w:p w14:paraId="35C23F8A">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lang w:eastAsia="zh-CN"/>
        </w:rPr>
        <w:t>）专间操作人员进入专间时，应更换专用工作衣帽并佩戴口罩，不得穿戴专间工作衣帽从事与专间内操作无关的工作。</w:t>
      </w:r>
    </w:p>
    <w:p w14:paraId="0387BAA3">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(6</w:t>
      </w:r>
      <w:r>
        <w:rPr>
          <w:rFonts w:hint="eastAsia" w:ascii="仿宋_GB2312" w:hAnsi="仿宋_GB2312" w:eastAsia="仿宋_GB2312" w:cs="仿宋_GB2312"/>
          <w:szCs w:val="21"/>
          <w:lang w:eastAsia="zh-CN"/>
        </w:rPr>
        <w:t>）实行晨检制度，发现有发热、腹泻、皮肤伤口或感染、咽部炎症等有碍食品安全病症的人员，应立即调离工作岗位。</w:t>
      </w:r>
    </w:p>
    <w:p w14:paraId="395BE19E">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(7</w:t>
      </w:r>
      <w:r>
        <w:rPr>
          <w:rFonts w:hint="eastAsia" w:ascii="仿宋_GB2312" w:hAnsi="仿宋_GB2312" w:eastAsia="仿宋_GB2312" w:cs="仿宋_GB2312"/>
          <w:szCs w:val="21"/>
          <w:lang w:eastAsia="zh-CN"/>
        </w:rPr>
        <w:t>）上岗应统一着装，衣帽整洁；接触直接入口食品的操作人员的工作服应每天更换；不得穿着工作服离开食品处理区，待清洗的工作服应远离食品处理区。</w:t>
      </w:r>
    </w:p>
    <w:p w14:paraId="2EFC86FC">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(8</w:t>
      </w:r>
      <w:r>
        <w:rPr>
          <w:rFonts w:hint="eastAsia" w:ascii="仿宋_GB2312" w:hAnsi="仿宋_GB2312" w:eastAsia="仿宋_GB2312" w:cs="仿宋_GB2312"/>
          <w:szCs w:val="21"/>
          <w:lang w:eastAsia="zh-CN"/>
        </w:rPr>
        <w:t>）食品原料应建立入库台账。</w:t>
      </w:r>
    </w:p>
    <w:p w14:paraId="7F54B1AD">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(9</w:t>
      </w:r>
      <w:r>
        <w:rPr>
          <w:rFonts w:hint="eastAsia" w:ascii="仿宋_GB2312" w:hAnsi="仿宋_GB2312" w:eastAsia="仿宋_GB2312" w:cs="仿宋_GB2312"/>
          <w:szCs w:val="21"/>
          <w:lang w:eastAsia="zh-CN"/>
        </w:rPr>
        <w:t>）食品原料应分类、分架存放，隔墙、离地不低于10cm，不得与有毒、有害物品、个人生活用品、杂物同库存放。</w:t>
      </w:r>
    </w:p>
    <w:p w14:paraId="08A30EFB">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(10</w:t>
      </w:r>
      <w:r>
        <w:rPr>
          <w:rFonts w:hint="eastAsia" w:ascii="仿宋_GB2312" w:hAnsi="仿宋_GB2312" w:eastAsia="仿宋_GB2312" w:cs="仿宋_GB2312"/>
          <w:szCs w:val="21"/>
          <w:lang w:eastAsia="zh-CN"/>
        </w:rPr>
        <w:t>）食品应炸（炒）熟煮透，加工中心温度应不低于70℃。不得超范围、超剂量使用食品添加剂，不得使用亚硝酸盐和非食用物质加工制作食品。烹调好的食品应在备餐间存放，售饭前半小时开紫外线消毒灯消毒。10℃-60℃温度条件下存放的食品烧熟至食用时间应不超过 2 小时。</w:t>
      </w:r>
    </w:p>
    <w:p w14:paraId="5FE77735">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(11</w:t>
      </w:r>
      <w:r>
        <w:rPr>
          <w:rFonts w:hint="eastAsia" w:ascii="仿宋_GB2312" w:hAnsi="仿宋_GB2312" w:eastAsia="仿宋_GB2312" w:cs="仿宋_GB2312"/>
          <w:szCs w:val="21"/>
          <w:lang w:eastAsia="zh-CN"/>
        </w:rPr>
        <w:t>）食品留样，全部制售食品保存48小时以上留样。记录留样食品名 称、留样量、留样时间、留样人、审核人员等。应有专用的留样冰箱，冰箱能上锁，专人负责。</w:t>
      </w:r>
    </w:p>
    <w:p w14:paraId="7B191C4E">
      <w:pPr>
        <w:spacing w:line="360" w:lineRule="auto"/>
        <w:rPr>
          <w:rFonts w:hint="eastAsia" w:ascii="仿宋_GB2312" w:hAnsi="仿宋_GB2312" w:eastAsia="仿宋_GB2312" w:cs="仿宋_GB2312"/>
          <w:b/>
          <w:bCs/>
          <w:szCs w:val="21"/>
          <w:lang w:eastAsia="zh-CN"/>
        </w:rPr>
      </w:pPr>
      <w:r>
        <w:rPr>
          <w:rFonts w:hint="eastAsia" w:ascii="仿宋_GB2312" w:hAnsi="仿宋_GB2312" w:eastAsia="仿宋_GB2312" w:cs="仿宋_GB2312"/>
          <w:b/>
          <w:bCs/>
          <w:szCs w:val="21"/>
          <w:lang w:val="en-US" w:eastAsia="zh-CN"/>
        </w:rPr>
        <w:t>五、</w:t>
      </w:r>
      <w:r>
        <w:rPr>
          <w:rFonts w:hint="eastAsia" w:ascii="仿宋_GB2312" w:hAnsi="仿宋_GB2312" w:eastAsia="仿宋_GB2312" w:cs="仿宋_GB2312"/>
          <w:b/>
          <w:bCs/>
          <w:szCs w:val="21"/>
          <w:lang w:eastAsia="zh-CN"/>
        </w:rPr>
        <w:t>人员要求</w:t>
      </w:r>
    </w:p>
    <w:p w14:paraId="1C3DDFFC">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（一）人员配置数量</w:t>
      </w:r>
    </w:p>
    <w:p w14:paraId="3CA3057E">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奎屯市第八中学</w:t>
      </w:r>
      <w:r>
        <w:rPr>
          <w:rFonts w:hint="eastAsia" w:ascii="仿宋_GB2312" w:hAnsi="仿宋_GB2312" w:eastAsia="仿宋_GB2312" w:cs="仿宋_GB2312"/>
          <w:szCs w:val="21"/>
          <w:lang w:eastAsia="zh-CN"/>
        </w:rPr>
        <w:t xml:space="preserve">物业管理和后勤服务人员配置表 </w:t>
      </w:r>
    </w:p>
    <w:tbl>
      <w:tblPr>
        <w:tblStyle w:val="21"/>
        <w:tblW w:w="497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487"/>
        <w:gridCol w:w="1506"/>
        <w:gridCol w:w="885"/>
        <w:gridCol w:w="885"/>
        <w:gridCol w:w="885"/>
        <w:gridCol w:w="885"/>
        <w:gridCol w:w="1233"/>
        <w:gridCol w:w="1097"/>
      </w:tblGrid>
      <w:tr w14:paraId="4E3C5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2" w:type="pct"/>
            <w:vMerge w:val="restart"/>
            <w:tcBorders>
              <w:top w:val="single" w:color="auto" w:sz="4" w:space="0"/>
              <w:left w:val="single" w:color="auto" w:sz="4" w:space="0"/>
              <w:bottom w:val="single" w:color="auto" w:sz="4" w:space="0"/>
              <w:right w:val="single" w:color="auto" w:sz="4" w:space="0"/>
            </w:tcBorders>
            <w:noWrap w:val="0"/>
            <w:vAlign w:val="center"/>
          </w:tcPr>
          <w:p w14:paraId="020D89A0">
            <w:pPr>
              <w:spacing w:line="360" w:lineRule="auto"/>
              <w:rPr>
                <w:rFonts w:hint="eastAsia" w:ascii="仿宋_GB2312" w:hAnsi="仿宋_GB2312" w:eastAsia="仿宋_GB2312" w:cs="仿宋_GB2312"/>
                <w:szCs w:val="21"/>
                <w:lang w:eastAsia="zh-CN"/>
              </w:rPr>
            </w:pPr>
          </w:p>
        </w:tc>
        <w:tc>
          <w:tcPr>
            <w:tcW w:w="287" w:type="pct"/>
            <w:vMerge w:val="restart"/>
            <w:tcBorders>
              <w:top w:val="single" w:color="auto" w:sz="4" w:space="0"/>
              <w:left w:val="single" w:color="auto" w:sz="4" w:space="0"/>
              <w:bottom w:val="single" w:color="auto" w:sz="4" w:space="0"/>
              <w:right w:val="single" w:color="auto" w:sz="4" w:space="0"/>
            </w:tcBorders>
            <w:noWrap w:val="0"/>
            <w:vAlign w:val="center"/>
          </w:tcPr>
          <w:p w14:paraId="3EFC6663">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序号</w:t>
            </w:r>
          </w:p>
        </w:tc>
        <w:tc>
          <w:tcPr>
            <w:tcW w:w="888" w:type="pct"/>
            <w:vMerge w:val="restart"/>
            <w:tcBorders>
              <w:top w:val="single" w:color="auto" w:sz="4" w:space="0"/>
              <w:left w:val="single" w:color="auto" w:sz="4" w:space="0"/>
              <w:bottom w:val="single" w:color="auto" w:sz="4" w:space="0"/>
              <w:right w:val="single" w:color="auto" w:sz="4" w:space="0"/>
            </w:tcBorders>
            <w:noWrap w:val="0"/>
            <w:vAlign w:val="center"/>
          </w:tcPr>
          <w:p w14:paraId="7352FFA5">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岗位名称</w:t>
            </w:r>
          </w:p>
        </w:tc>
        <w:tc>
          <w:tcPr>
            <w:tcW w:w="2088" w:type="pct"/>
            <w:gridSpan w:val="4"/>
            <w:tcBorders>
              <w:top w:val="single" w:color="auto" w:sz="4" w:space="0"/>
              <w:left w:val="single" w:color="auto" w:sz="4" w:space="0"/>
              <w:bottom w:val="single" w:color="auto" w:sz="4" w:space="0"/>
              <w:right w:val="single" w:color="auto" w:sz="4" w:space="0"/>
            </w:tcBorders>
            <w:noWrap w:val="0"/>
            <w:vAlign w:val="center"/>
          </w:tcPr>
          <w:p w14:paraId="2047FEDF">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班次编排</w:t>
            </w:r>
          </w:p>
        </w:tc>
        <w:tc>
          <w:tcPr>
            <w:tcW w:w="727" w:type="pct"/>
            <w:vMerge w:val="restart"/>
            <w:tcBorders>
              <w:top w:val="single" w:color="auto" w:sz="4" w:space="0"/>
              <w:left w:val="single" w:color="auto" w:sz="4" w:space="0"/>
              <w:bottom w:val="single" w:color="auto" w:sz="4" w:space="0"/>
              <w:right w:val="single" w:color="auto" w:sz="4" w:space="0"/>
            </w:tcBorders>
            <w:noWrap w:val="0"/>
            <w:vAlign w:val="center"/>
          </w:tcPr>
          <w:p w14:paraId="5C89BE57">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每天在岗人员配置小计（人）</w:t>
            </w:r>
          </w:p>
        </w:tc>
        <w:tc>
          <w:tcPr>
            <w:tcW w:w="646" w:type="pct"/>
            <w:vMerge w:val="restart"/>
            <w:tcBorders>
              <w:top w:val="single" w:color="auto" w:sz="4" w:space="0"/>
              <w:left w:val="single" w:color="auto" w:sz="4" w:space="0"/>
              <w:bottom w:val="single" w:color="auto" w:sz="4" w:space="0"/>
              <w:right w:val="single" w:color="auto" w:sz="4" w:space="0"/>
            </w:tcBorders>
            <w:noWrap w:val="0"/>
            <w:vAlign w:val="center"/>
          </w:tcPr>
          <w:p w14:paraId="1E97AEE9">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共计（人）</w:t>
            </w:r>
          </w:p>
        </w:tc>
      </w:tr>
      <w:tr w14:paraId="54360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2" w:type="pct"/>
            <w:vMerge w:val="continue"/>
            <w:tcBorders>
              <w:top w:val="single" w:color="auto" w:sz="4" w:space="0"/>
              <w:left w:val="single" w:color="auto" w:sz="4" w:space="0"/>
              <w:bottom w:val="single" w:color="auto" w:sz="4" w:space="0"/>
              <w:right w:val="single" w:color="auto" w:sz="4" w:space="0"/>
            </w:tcBorders>
            <w:noWrap w:val="0"/>
            <w:vAlign w:val="center"/>
          </w:tcPr>
          <w:p w14:paraId="7CC2EB74">
            <w:pPr>
              <w:spacing w:line="360" w:lineRule="auto"/>
              <w:rPr>
                <w:rFonts w:hint="eastAsia" w:ascii="仿宋_GB2312" w:hAnsi="仿宋_GB2312" w:eastAsia="仿宋_GB2312" w:cs="仿宋_GB2312"/>
                <w:szCs w:val="21"/>
                <w:lang w:eastAsia="zh-CN"/>
              </w:rPr>
            </w:pPr>
          </w:p>
        </w:tc>
        <w:tc>
          <w:tcPr>
            <w:tcW w:w="287" w:type="pct"/>
            <w:vMerge w:val="continue"/>
            <w:tcBorders>
              <w:top w:val="single" w:color="auto" w:sz="4" w:space="0"/>
              <w:left w:val="single" w:color="auto" w:sz="4" w:space="0"/>
              <w:bottom w:val="single" w:color="auto" w:sz="4" w:space="0"/>
              <w:right w:val="single" w:color="auto" w:sz="4" w:space="0"/>
            </w:tcBorders>
            <w:noWrap w:val="0"/>
            <w:vAlign w:val="center"/>
          </w:tcPr>
          <w:p w14:paraId="2411300E">
            <w:pPr>
              <w:spacing w:line="360" w:lineRule="auto"/>
              <w:rPr>
                <w:rFonts w:hint="eastAsia" w:ascii="仿宋_GB2312" w:hAnsi="仿宋_GB2312" w:eastAsia="仿宋_GB2312" w:cs="仿宋_GB2312"/>
                <w:szCs w:val="21"/>
                <w:lang w:eastAsia="zh-CN"/>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26C35E6">
            <w:pPr>
              <w:spacing w:line="360" w:lineRule="auto"/>
              <w:rPr>
                <w:rFonts w:hint="eastAsia" w:ascii="仿宋_GB2312" w:hAnsi="仿宋_GB2312" w:eastAsia="仿宋_GB2312" w:cs="仿宋_GB2312"/>
                <w:szCs w:val="21"/>
                <w:lang w:eastAsia="zh-CN"/>
              </w:rPr>
            </w:pPr>
          </w:p>
        </w:tc>
        <w:tc>
          <w:tcPr>
            <w:tcW w:w="522" w:type="pct"/>
            <w:tcBorders>
              <w:top w:val="single" w:color="auto" w:sz="4" w:space="0"/>
              <w:left w:val="single" w:color="auto" w:sz="4" w:space="0"/>
              <w:bottom w:val="single" w:color="auto" w:sz="4" w:space="0"/>
              <w:right w:val="single" w:color="auto" w:sz="4" w:space="0"/>
            </w:tcBorders>
            <w:noWrap w:val="0"/>
            <w:vAlign w:val="center"/>
          </w:tcPr>
          <w:p w14:paraId="0FC6C928">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早班（人）</w:t>
            </w:r>
          </w:p>
        </w:tc>
        <w:tc>
          <w:tcPr>
            <w:tcW w:w="522" w:type="pct"/>
            <w:tcBorders>
              <w:top w:val="single" w:color="auto" w:sz="4" w:space="0"/>
              <w:left w:val="single" w:color="auto" w:sz="4" w:space="0"/>
              <w:bottom w:val="single" w:color="auto" w:sz="4" w:space="0"/>
              <w:right w:val="single" w:color="auto" w:sz="4" w:space="0"/>
            </w:tcBorders>
            <w:noWrap w:val="0"/>
            <w:vAlign w:val="center"/>
          </w:tcPr>
          <w:p w14:paraId="12EAC642">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中班（人）</w:t>
            </w:r>
          </w:p>
        </w:tc>
        <w:tc>
          <w:tcPr>
            <w:tcW w:w="522" w:type="pct"/>
            <w:tcBorders>
              <w:top w:val="single" w:color="auto" w:sz="4" w:space="0"/>
              <w:left w:val="single" w:color="auto" w:sz="4" w:space="0"/>
              <w:bottom w:val="single" w:color="auto" w:sz="4" w:space="0"/>
              <w:right w:val="single" w:color="auto" w:sz="4" w:space="0"/>
            </w:tcBorders>
            <w:noWrap w:val="0"/>
            <w:vAlign w:val="center"/>
          </w:tcPr>
          <w:p w14:paraId="209F1D7F">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晚班（人）</w:t>
            </w:r>
          </w:p>
        </w:tc>
        <w:tc>
          <w:tcPr>
            <w:tcW w:w="522" w:type="pct"/>
            <w:tcBorders>
              <w:top w:val="single" w:color="auto" w:sz="4" w:space="0"/>
              <w:left w:val="single" w:color="auto" w:sz="4" w:space="0"/>
              <w:bottom w:val="single" w:color="auto" w:sz="4" w:space="0"/>
              <w:right w:val="single" w:color="auto" w:sz="4" w:space="0"/>
            </w:tcBorders>
            <w:noWrap w:val="0"/>
            <w:vAlign w:val="center"/>
          </w:tcPr>
          <w:p w14:paraId="4766E661">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轮休（人）</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EBC607E">
            <w:pPr>
              <w:spacing w:line="360" w:lineRule="auto"/>
              <w:rPr>
                <w:rFonts w:hint="eastAsia" w:ascii="仿宋_GB2312" w:hAnsi="仿宋_GB2312" w:eastAsia="仿宋_GB2312" w:cs="仿宋_GB2312"/>
                <w:szCs w:val="21"/>
                <w:lang w:eastAsia="zh-CN"/>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F10EB55">
            <w:pPr>
              <w:spacing w:line="360" w:lineRule="auto"/>
              <w:rPr>
                <w:rFonts w:hint="eastAsia" w:ascii="仿宋_GB2312" w:hAnsi="仿宋_GB2312" w:eastAsia="仿宋_GB2312" w:cs="仿宋_GB2312"/>
                <w:szCs w:val="21"/>
                <w:lang w:eastAsia="zh-CN"/>
              </w:rPr>
            </w:pPr>
          </w:p>
        </w:tc>
      </w:tr>
      <w:tr w14:paraId="340F6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362" w:type="pct"/>
            <w:vMerge w:val="restart"/>
            <w:tcBorders>
              <w:top w:val="single" w:color="auto" w:sz="4" w:space="0"/>
              <w:left w:val="single" w:color="auto" w:sz="4" w:space="0"/>
              <w:right w:val="single" w:color="auto" w:sz="4" w:space="0"/>
            </w:tcBorders>
            <w:noWrap w:val="0"/>
            <w:vAlign w:val="center"/>
          </w:tcPr>
          <w:p w14:paraId="46CC2C96">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宿舍和课室管理员岗位</w:t>
            </w:r>
          </w:p>
        </w:tc>
        <w:tc>
          <w:tcPr>
            <w:tcW w:w="287" w:type="pct"/>
            <w:tcBorders>
              <w:top w:val="single" w:color="auto" w:sz="4" w:space="0"/>
              <w:left w:val="single" w:color="auto" w:sz="4" w:space="0"/>
              <w:bottom w:val="single" w:color="auto" w:sz="4" w:space="0"/>
              <w:right w:val="single" w:color="auto" w:sz="4" w:space="0"/>
            </w:tcBorders>
            <w:noWrap w:val="0"/>
            <w:vAlign w:val="center"/>
          </w:tcPr>
          <w:p w14:paraId="4EB2BAC0">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w:t>
            </w:r>
          </w:p>
        </w:tc>
        <w:tc>
          <w:tcPr>
            <w:tcW w:w="888" w:type="pct"/>
            <w:tcBorders>
              <w:top w:val="single" w:color="auto" w:sz="4" w:space="0"/>
              <w:left w:val="single" w:color="auto" w:sz="4" w:space="0"/>
              <w:bottom w:val="single" w:color="auto" w:sz="4" w:space="0"/>
              <w:right w:val="single" w:color="auto" w:sz="4" w:space="0"/>
            </w:tcBorders>
            <w:noWrap w:val="0"/>
            <w:vAlign w:val="center"/>
          </w:tcPr>
          <w:p w14:paraId="07BF7EEA">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学生宿舍</w:t>
            </w:r>
            <w:r>
              <w:rPr>
                <w:rFonts w:hint="eastAsia" w:ascii="仿宋_GB2312" w:hAnsi="仿宋_GB2312" w:eastAsia="仿宋_GB2312" w:cs="仿宋_GB2312"/>
                <w:szCs w:val="21"/>
                <w:lang w:val="en-US" w:eastAsia="zh-CN"/>
              </w:rPr>
              <w:t xml:space="preserve"> </w:t>
            </w:r>
          </w:p>
        </w:tc>
        <w:tc>
          <w:tcPr>
            <w:tcW w:w="522" w:type="pct"/>
            <w:tcBorders>
              <w:top w:val="single" w:color="auto" w:sz="4" w:space="0"/>
              <w:left w:val="single" w:color="auto" w:sz="4" w:space="0"/>
              <w:bottom w:val="single" w:color="auto" w:sz="4" w:space="0"/>
              <w:right w:val="single" w:color="auto" w:sz="4" w:space="0"/>
            </w:tcBorders>
            <w:noWrap w:val="0"/>
            <w:vAlign w:val="center"/>
          </w:tcPr>
          <w:p w14:paraId="05AE9FD9">
            <w:pPr>
              <w:spacing w:line="360" w:lineRule="auto"/>
              <w:rPr>
                <w:rFonts w:hint="eastAsia" w:ascii="仿宋_GB2312" w:hAnsi="仿宋_GB2312" w:eastAsia="仿宋_GB2312" w:cs="仿宋_GB2312"/>
                <w:szCs w:val="21"/>
                <w:lang w:eastAsia="zh-CN"/>
              </w:rPr>
            </w:pPr>
          </w:p>
        </w:tc>
        <w:tc>
          <w:tcPr>
            <w:tcW w:w="522" w:type="pct"/>
            <w:tcBorders>
              <w:top w:val="single" w:color="auto" w:sz="4" w:space="0"/>
              <w:left w:val="single" w:color="auto" w:sz="4" w:space="0"/>
              <w:bottom w:val="single" w:color="auto" w:sz="4" w:space="0"/>
              <w:right w:val="single" w:color="auto" w:sz="4" w:space="0"/>
            </w:tcBorders>
            <w:noWrap w:val="0"/>
            <w:vAlign w:val="center"/>
          </w:tcPr>
          <w:p w14:paraId="146DEF8A">
            <w:pPr>
              <w:spacing w:line="360" w:lineRule="auto"/>
              <w:rPr>
                <w:rFonts w:hint="eastAsia" w:ascii="仿宋_GB2312" w:hAnsi="仿宋_GB2312" w:eastAsia="仿宋_GB2312" w:cs="仿宋_GB2312"/>
                <w:szCs w:val="21"/>
                <w:lang w:eastAsia="zh-CN"/>
              </w:rPr>
            </w:pPr>
          </w:p>
        </w:tc>
        <w:tc>
          <w:tcPr>
            <w:tcW w:w="522" w:type="pct"/>
            <w:tcBorders>
              <w:top w:val="single" w:color="auto" w:sz="4" w:space="0"/>
              <w:left w:val="single" w:color="auto" w:sz="4" w:space="0"/>
              <w:bottom w:val="single" w:color="auto" w:sz="4" w:space="0"/>
              <w:right w:val="single" w:color="auto" w:sz="4" w:space="0"/>
            </w:tcBorders>
            <w:noWrap w:val="0"/>
            <w:vAlign w:val="center"/>
          </w:tcPr>
          <w:p w14:paraId="67D535E5">
            <w:pPr>
              <w:spacing w:line="360" w:lineRule="auto"/>
              <w:rPr>
                <w:rFonts w:hint="eastAsia" w:ascii="仿宋_GB2312" w:hAnsi="仿宋_GB2312" w:eastAsia="仿宋_GB2312" w:cs="仿宋_GB2312"/>
                <w:szCs w:val="21"/>
                <w:lang w:eastAsia="zh-CN"/>
              </w:rPr>
            </w:pPr>
          </w:p>
        </w:tc>
        <w:tc>
          <w:tcPr>
            <w:tcW w:w="522" w:type="pct"/>
            <w:vMerge w:val="restart"/>
            <w:tcBorders>
              <w:top w:val="single" w:color="auto" w:sz="4" w:space="0"/>
              <w:left w:val="single" w:color="auto" w:sz="4" w:space="0"/>
              <w:bottom w:val="single" w:color="auto" w:sz="4" w:space="0"/>
              <w:right w:val="single" w:color="auto" w:sz="4" w:space="0"/>
            </w:tcBorders>
            <w:noWrap w:val="0"/>
            <w:vAlign w:val="center"/>
          </w:tcPr>
          <w:p w14:paraId="4073C096">
            <w:pPr>
              <w:spacing w:line="360" w:lineRule="auto"/>
              <w:rPr>
                <w:rFonts w:hint="eastAsia" w:ascii="仿宋_GB2312" w:hAnsi="仿宋_GB2312" w:eastAsia="仿宋_GB2312" w:cs="仿宋_GB2312"/>
                <w:szCs w:val="21"/>
                <w:lang w:eastAsia="zh-CN"/>
              </w:rPr>
            </w:pPr>
          </w:p>
        </w:tc>
        <w:tc>
          <w:tcPr>
            <w:tcW w:w="727" w:type="pct"/>
            <w:vMerge w:val="restart"/>
            <w:tcBorders>
              <w:top w:val="single" w:color="auto" w:sz="4" w:space="0"/>
              <w:left w:val="single" w:color="auto" w:sz="4" w:space="0"/>
              <w:bottom w:val="single" w:color="auto" w:sz="4" w:space="0"/>
              <w:right w:val="single" w:color="auto" w:sz="4" w:space="0"/>
            </w:tcBorders>
            <w:noWrap w:val="0"/>
            <w:vAlign w:val="center"/>
          </w:tcPr>
          <w:p w14:paraId="5BF9CD35">
            <w:pPr>
              <w:spacing w:line="360" w:lineRule="auto"/>
              <w:rPr>
                <w:rFonts w:hint="eastAsia" w:ascii="仿宋_GB2312" w:hAnsi="仿宋_GB2312" w:eastAsia="仿宋_GB2312" w:cs="仿宋_GB2312"/>
                <w:szCs w:val="21"/>
                <w:lang w:val="en-US" w:eastAsia="zh-CN"/>
              </w:rPr>
            </w:pPr>
          </w:p>
        </w:tc>
        <w:tc>
          <w:tcPr>
            <w:tcW w:w="646" w:type="pct"/>
            <w:vMerge w:val="restart"/>
            <w:tcBorders>
              <w:top w:val="single" w:color="auto" w:sz="4" w:space="0"/>
              <w:left w:val="single" w:color="auto" w:sz="4" w:space="0"/>
              <w:bottom w:val="single" w:color="auto" w:sz="4" w:space="0"/>
              <w:right w:val="single" w:color="auto" w:sz="4" w:space="0"/>
            </w:tcBorders>
            <w:noWrap w:val="0"/>
            <w:vAlign w:val="center"/>
          </w:tcPr>
          <w:p w14:paraId="1DF8391D">
            <w:pPr>
              <w:spacing w:line="360" w:lineRule="auto"/>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8</w:t>
            </w:r>
          </w:p>
        </w:tc>
      </w:tr>
      <w:tr w14:paraId="013F5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0" w:type="auto"/>
            <w:vMerge w:val="continue"/>
            <w:tcBorders>
              <w:left w:val="single" w:color="auto" w:sz="4" w:space="0"/>
              <w:right w:val="single" w:color="auto" w:sz="4" w:space="0"/>
            </w:tcBorders>
            <w:noWrap w:val="0"/>
            <w:vAlign w:val="center"/>
          </w:tcPr>
          <w:p w14:paraId="4281F679">
            <w:pPr>
              <w:spacing w:line="360" w:lineRule="auto"/>
              <w:rPr>
                <w:rFonts w:hint="eastAsia" w:ascii="仿宋_GB2312" w:hAnsi="仿宋_GB2312" w:eastAsia="仿宋_GB2312" w:cs="仿宋_GB2312"/>
                <w:szCs w:val="21"/>
                <w:lang w:eastAsia="zh-CN"/>
              </w:rPr>
            </w:pPr>
          </w:p>
        </w:tc>
        <w:tc>
          <w:tcPr>
            <w:tcW w:w="287" w:type="pct"/>
            <w:tcBorders>
              <w:top w:val="single" w:color="auto" w:sz="4" w:space="0"/>
              <w:left w:val="single" w:color="auto" w:sz="4" w:space="0"/>
              <w:bottom w:val="single" w:color="auto" w:sz="4" w:space="0"/>
              <w:right w:val="single" w:color="auto" w:sz="4" w:space="0"/>
            </w:tcBorders>
            <w:noWrap w:val="0"/>
            <w:vAlign w:val="center"/>
          </w:tcPr>
          <w:p w14:paraId="727046E8">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w:t>
            </w:r>
          </w:p>
        </w:tc>
        <w:tc>
          <w:tcPr>
            <w:tcW w:w="888" w:type="pct"/>
            <w:tcBorders>
              <w:top w:val="single" w:color="auto" w:sz="4" w:space="0"/>
              <w:left w:val="single" w:color="auto" w:sz="4" w:space="0"/>
              <w:bottom w:val="single" w:color="auto" w:sz="4" w:space="0"/>
              <w:right w:val="single" w:color="auto" w:sz="4" w:space="0"/>
            </w:tcBorders>
            <w:noWrap w:val="0"/>
            <w:vAlign w:val="center"/>
          </w:tcPr>
          <w:p w14:paraId="6987AD68">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教学楼</w:t>
            </w:r>
            <w:r>
              <w:rPr>
                <w:rFonts w:hint="eastAsia" w:ascii="仿宋_GB2312" w:hAnsi="仿宋_GB2312" w:eastAsia="仿宋_GB2312" w:cs="仿宋_GB2312"/>
                <w:szCs w:val="21"/>
                <w:lang w:val="en-US" w:eastAsia="zh-CN"/>
              </w:rPr>
              <w:t xml:space="preserve"> </w:t>
            </w:r>
          </w:p>
        </w:tc>
        <w:tc>
          <w:tcPr>
            <w:tcW w:w="1566" w:type="pct"/>
            <w:gridSpan w:val="3"/>
            <w:tcBorders>
              <w:top w:val="single" w:color="auto" w:sz="4" w:space="0"/>
              <w:left w:val="single" w:color="auto" w:sz="4" w:space="0"/>
              <w:bottom w:val="single" w:color="auto" w:sz="4" w:space="0"/>
              <w:right w:val="single" w:color="auto" w:sz="4" w:space="0"/>
            </w:tcBorders>
            <w:noWrap w:val="0"/>
            <w:vAlign w:val="center"/>
          </w:tcPr>
          <w:p w14:paraId="38472F33">
            <w:pPr>
              <w:spacing w:line="360" w:lineRule="auto"/>
              <w:rPr>
                <w:rFonts w:hint="eastAsia" w:ascii="仿宋_GB2312" w:hAnsi="仿宋_GB2312" w:eastAsia="仿宋_GB2312" w:cs="仿宋_GB2312"/>
                <w:szCs w:val="21"/>
                <w:lang w:eastAsia="zh-CN"/>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5767685">
            <w:pPr>
              <w:spacing w:line="360" w:lineRule="auto"/>
              <w:rPr>
                <w:rFonts w:hint="eastAsia" w:ascii="仿宋_GB2312" w:hAnsi="仿宋_GB2312" w:eastAsia="仿宋_GB2312" w:cs="仿宋_GB2312"/>
                <w:szCs w:val="21"/>
                <w:lang w:eastAsia="zh-CN"/>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981B781">
            <w:pPr>
              <w:spacing w:line="360" w:lineRule="auto"/>
              <w:rPr>
                <w:rFonts w:hint="eastAsia" w:ascii="仿宋_GB2312" w:hAnsi="仿宋_GB2312" w:eastAsia="仿宋_GB2312" w:cs="仿宋_GB2312"/>
                <w:szCs w:val="21"/>
                <w:lang w:eastAsia="zh-CN"/>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6241199">
            <w:pPr>
              <w:spacing w:line="360" w:lineRule="auto"/>
              <w:rPr>
                <w:rFonts w:hint="eastAsia" w:ascii="仿宋_GB2312" w:hAnsi="仿宋_GB2312" w:eastAsia="仿宋_GB2312" w:cs="仿宋_GB2312"/>
                <w:szCs w:val="21"/>
                <w:lang w:eastAsia="zh-CN"/>
              </w:rPr>
            </w:pPr>
          </w:p>
        </w:tc>
      </w:tr>
      <w:tr w14:paraId="0605A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0" w:type="auto"/>
            <w:vMerge w:val="continue"/>
            <w:tcBorders>
              <w:left w:val="single" w:color="auto" w:sz="4" w:space="0"/>
              <w:right w:val="single" w:color="auto" w:sz="4" w:space="0"/>
            </w:tcBorders>
            <w:noWrap w:val="0"/>
            <w:vAlign w:val="center"/>
          </w:tcPr>
          <w:p w14:paraId="1572F57C">
            <w:pPr>
              <w:spacing w:line="360" w:lineRule="auto"/>
              <w:rPr>
                <w:rFonts w:hint="eastAsia" w:ascii="仿宋_GB2312" w:hAnsi="仿宋_GB2312" w:eastAsia="仿宋_GB2312" w:cs="仿宋_GB2312"/>
                <w:szCs w:val="21"/>
                <w:lang w:eastAsia="zh-CN"/>
              </w:rPr>
            </w:pPr>
          </w:p>
        </w:tc>
        <w:tc>
          <w:tcPr>
            <w:tcW w:w="287" w:type="pct"/>
            <w:tcBorders>
              <w:top w:val="single" w:color="auto" w:sz="4" w:space="0"/>
              <w:left w:val="single" w:color="auto" w:sz="4" w:space="0"/>
              <w:bottom w:val="single" w:color="auto" w:sz="4" w:space="0"/>
              <w:right w:val="single" w:color="auto" w:sz="4" w:space="0"/>
            </w:tcBorders>
            <w:noWrap w:val="0"/>
            <w:vAlign w:val="center"/>
          </w:tcPr>
          <w:p w14:paraId="136E1012">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3</w:t>
            </w:r>
          </w:p>
        </w:tc>
        <w:tc>
          <w:tcPr>
            <w:tcW w:w="888" w:type="pct"/>
            <w:tcBorders>
              <w:top w:val="single" w:color="auto" w:sz="4" w:space="0"/>
              <w:left w:val="single" w:color="auto" w:sz="4" w:space="0"/>
              <w:bottom w:val="single" w:color="auto" w:sz="4" w:space="0"/>
              <w:right w:val="single" w:color="auto" w:sz="4" w:space="0"/>
            </w:tcBorders>
            <w:noWrap w:val="0"/>
            <w:vAlign w:val="center"/>
          </w:tcPr>
          <w:p w14:paraId="5D022E3F">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实验楼</w:t>
            </w:r>
            <w:r>
              <w:rPr>
                <w:rFonts w:hint="eastAsia" w:ascii="仿宋_GB2312" w:hAnsi="仿宋_GB2312" w:eastAsia="仿宋_GB2312" w:cs="仿宋_GB2312"/>
                <w:szCs w:val="21"/>
                <w:lang w:val="en-US" w:eastAsia="zh-CN"/>
              </w:rPr>
              <w:t xml:space="preserve"> </w:t>
            </w:r>
          </w:p>
        </w:tc>
        <w:tc>
          <w:tcPr>
            <w:tcW w:w="1566" w:type="pct"/>
            <w:gridSpan w:val="3"/>
            <w:tcBorders>
              <w:top w:val="single" w:color="auto" w:sz="4" w:space="0"/>
              <w:left w:val="single" w:color="auto" w:sz="4" w:space="0"/>
              <w:bottom w:val="single" w:color="auto" w:sz="4" w:space="0"/>
              <w:right w:val="single" w:color="auto" w:sz="4" w:space="0"/>
            </w:tcBorders>
            <w:noWrap w:val="0"/>
            <w:vAlign w:val="center"/>
          </w:tcPr>
          <w:p w14:paraId="03F7D28B">
            <w:pPr>
              <w:spacing w:line="360" w:lineRule="auto"/>
              <w:rPr>
                <w:rFonts w:hint="eastAsia" w:ascii="仿宋_GB2312" w:hAnsi="仿宋_GB2312" w:eastAsia="仿宋_GB2312" w:cs="仿宋_GB2312"/>
                <w:szCs w:val="21"/>
                <w:lang w:eastAsia="zh-CN"/>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48980DF">
            <w:pPr>
              <w:spacing w:line="360" w:lineRule="auto"/>
              <w:rPr>
                <w:rFonts w:hint="eastAsia" w:ascii="仿宋_GB2312" w:hAnsi="仿宋_GB2312" w:eastAsia="仿宋_GB2312" w:cs="仿宋_GB2312"/>
                <w:szCs w:val="21"/>
                <w:lang w:eastAsia="zh-CN"/>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A6B47C6">
            <w:pPr>
              <w:spacing w:line="360" w:lineRule="auto"/>
              <w:rPr>
                <w:rFonts w:hint="eastAsia" w:ascii="仿宋_GB2312" w:hAnsi="仿宋_GB2312" w:eastAsia="仿宋_GB2312" w:cs="仿宋_GB2312"/>
                <w:szCs w:val="21"/>
                <w:lang w:eastAsia="zh-CN"/>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4712763">
            <w:pPr>
              <w:spacing w:line="360" w:lineRule="auto"/>
              <w:rPr>
                <w:rFonts w:hint="eastAsia" w:ascii="仿宋_GB2312" w:hAnsi="仿宋_GB2312" w:eastAsia="仿宋_GB2312" w:cs="仿宋_GB2312"/>
                <w:szCs w:val="21"/>
                <w:lang w:eastAsia="zh-CN"/>
              </w:rPr>
            </w:pPr>
          </w:p>
        </w:tc>
      </w:tr>
      <w:tr w14:paraId="02629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2" w:type="pct"/>
            <w:vMerge w:val="restart"/>
            <w:tcBorders>
              <w:top w:val="single" w:color="auto" w:sz="4" w:space="0"/>
              <w:left w:val="single" w:color="auto" w:sz="4" w:space="0"/>
              <w:right w:val="single" w:color="auto" w:sz="4" w:space="0"/>
            </w:tcBorders>
            <w:noWrap w:val="0"/>
            <w:vAlign w:val="center"/>
          </w:tcPr>
          <w:p w14:paraId="56F96681">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设施设备岗位</w:t>
            </w:r>
          </w:p>
        </w:tc>
        <w:tc>
          <w:tcPr>
            <w:tcW w:w="287" w:type="pct"/>
            <w:tcBorders>
              <w:top w:val="single" w:color="auto" w:sz="4" w:space="0"/>
              <w:left w:val="single" w:color="auto" w:sz="4" w:space="0"/>
              <w:bottom w:val="single" w:color="auto" w:sz="4" w:space="0"/>
              <w:right w:val="single" w:color="auto" w:sz="4" w:space="0"/>
            </w:tcBorders>
            <w:noWrap w:val="0"/>
            <w:vAlign w:val="center"/>
          </w:tcPr>
          <w:p w14:paraId="42D26DE0">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w:t>
            </w:r>
          </w:p>
        </w:tc>
        <w:tc>
          <w:tcPr>
            <w:tcW w:w="888" w:type="pct"/>
            <w:tcBorders>
              <w:top w:val="single" w:color="auto" w:sz="4" w:space="0"/>
              <w:left w:val="single" w:color="auto" w:sz="4" w:space="0"/>
              <w:bottom w:val="single" w:color="auto" w:sz="4" w:space="0"/>
              <w:right w:val="single" w:color="auto" w:sz="4" w:space="0"/>
            </w:tcBorders>
            <w:noWrap w:val="0"/>
            <w:vAlign w:val="center"/>
          </w:tcPr>
          <w:p w14:paraId="3F70FA36">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学生宿舍教师宿舍</w:t>
            </w:r>
          </w:p>
        </w:tc>
        <w:tc>
          <w:tcPr>
            <w:tcW w:w="1566" w:type="pct"/>
            <w:gridSpan w:val="3"/>
            <w:vMerge w:val="restart"/>
            <w:tcBorders>
              <w:top w:val="single" w:color="auto" w:sz="4" w:space="0"/>
              <w:left w:val="single" w:color="auto" w:sz="4" w:space="0"/>
              <w:bottom w:val="single" w:color="auto" w:sz="4" w:space="0"/>
              <w:right w:val="single" w:color="auto" w:sz="4" w:space="0"/>
            </w:tcBorders>
            <w:noWrap w:val="0"/>
            <w:vAlign w:val="center"/>
          </w:tcPr>
          <w:p w14:paraId="2AEFA85B">
            <w:pPr>
              <w:spacing w:line="360" w:lineRule="auto"/>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1895" w:type="pct"/>
            <w:gridSpan w:val="3"/>
            <w:vMerge w:val="restart"/>
            <w:tcBorders>
              <w:top w:val="single" w:color="auto" w:sz="4" w:space="0"/>
              <w:left w:val="single" w:color="auto" w:sz="4" w:space="0"/>
              <w:bottom w:val="single" w:color="auto" w:sz="4" w:space="0"/>
              <w:right w:val="single" w:color="auto" w:sz="4" w:space="0"/>
            </w:tcBorders>
            <w:noWrap w:val="0"/>
            <w:vAlign w:val="center"/>
          </w:tcPr>
          <w:p w14:paraId="35CADF97">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ab/>
            </w:r>
          </w:p>
        </w:tc>
      </w:tr>
      <w:tr w14:paraId="0954C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0" w:type="auto"/>
            <w:vMerge w:val="continue"/>
            <w:tcBorders>
              <w:left w:val="single" w:color="auto" w:sz="4" w:space="0"/>
              <w:right w:val="single" w:color="auto" w:sz="4" w:space="0"/>
            </w:tcBorders>
            <w:noWrap w:val="0"/>
            <w:vAlign w:val="center"/>
          </w:tcPr>
          <w:p w14:paraId="437038E4">
            <w:pPr>
              <w:spacing w:line="360" w:lineRule="auto"/>
              <w:rPr>
                <w:rFonts w:hint="eastAsia" w:ascii="仿宋_GB2312" w:hAnsi="仿宋_GB2312" w:eastAsia="仿宋_GB2312" w:cs="仿宋_GB2312"/>
                <w:szCs w:val="21"/>
                <w:lang w:eastAsia="zh-CN"/>
              </w:rPr>
            </w:pPr>
          </w:p>
        </w:tc>
        <w:tc>
          <w:tcPr>
            <w:tcW w:w="287" w:type="pct"/>
            <w:tcBorders>
              <w:top w:val="single" w:color="auto" w:sz="4" w:space="0"/>
              <w:left w:val="single" w:color="auto" w:sz="4" w:space="0"/>
              <w:bottom w:val="single" w:color="auto" w:sz="4" w:space="0"/>
              <w:right w:val="single" w:color="auto" w:sz="4" w:space="0"/>
            </w:tcBorders>
            <w:noWrap w:val="0"/>
            <w:vAlign w:val="center"/>
          </w:tcPr>
          <w:p w14:paraId="1AC96021">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w:t>
            </w:r>
          </w:p>
        </w:tc>
        <w:tc>
          <w:tcPr>
            <w:tcW w:w="888" w:type="pct"/>
            <w:tcBorders>
              <w:top w:val="single" w:color="auto" w:sz="4" w:space="0"/>
              <w:left w:val="single" w:color="auto" w:sz="4" w:space="0"/>
              <w:bottom w:val="single" w:color="auto" w:sz="4" w:space="0"/>
              <w:right w:val="single" w:color="auto" w:sz="4" w:space="0"/>
            </w:tcBorders>
            <w:noWrap w:val="0"/>
            <w:vAlign w:val="center"/>
          </w:tcPr>
          <w:p w14:paraId="7F2619D0">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实验楼</w:t>
            </w:r>
          </w:p>
        </w:tc>
        <w:tc>
          <w:tcPr>
            <w:tcW w:w="1566" w:type="pct"/>
            <w:gridSpan w:val="3"/>
            <w:vMerge w:val="continue"/>
            <w:tcBorders>
              <w:top w:val="single" w:color="auto" w:sz="4" w:space="0"/>
              <w:left w:val="single" w:color="auto" w:sz="4" w:space="0"/>
              <w:bottom w:val="single" w:color="auto" w:sz="4" w:space="0"/>
              <w:right w:val="single" w:color="auto" w:sz="4" w:space="0"/>
            </w:tcBorders>
            <w:noWrap w:val="0"/>
            <w:vAlign w:val="center"/>
          </w:tcPr>
          <w:p w14:paraId="6429E5A7">
            <w:pPr>
              <w:spacing w:line="360" w:lineRule="auto"/>
              <w:rPr>
                <w:rFonts w:hint="eastAsia" w:ascii="仿宋_GB2312" w:hAnsi="仿宋_GB2312" w:eastAsia="仿宋_GB2312" w:cs="仿宋_GB2312"/>
                <w:szCs w:val="21"/>
                <w:lang w:eastAsia="zh-CN"/>
              </w:rPr>
            </w:pPr>
          </w:p>
        </w:tc>
        <w:tc>
          <w:tcPr>
            <w:tcW w:w="1895" w:type="pct"/>
            <w:gridSpan w:val="3"/>
            <w:vMerge w:val="continue"/>
            <w:tcBorders>
              <w:top w:val="single" w:color="auto" w:sz="4" w:space="0"/>
              <w:left w:val="single" w:color="auto" w:sz="4" w:space="0"/>
              <w:bottom w:val="single" w:color="auto" w:sz="4" w:space="0"/>
              <w:right w:val="single" w:color="auto" w:sz="4" w:space="0"/>
            </w:tcBorders>
            <w:noWrap w:val="0"/>
            <w:vAlign w:val="center"/>
          </w:tcPr>
          <w:p w14:paraId="6B481F89">
            <w:pPr>
              <w:spacing w:line="360" w:lineRule="auto"/>
              <w:rPr>
                <w:rFonts w:hint="eastAsia" w:ascii="仿宋_GB2312" w:hAnsi="仿宋_GB2312" w:eastAsia="仿宋_GB2312" w:cs="仿宋_GB2312"/>
                <w:szCs w:val="21"/>
                <w:lang w:eastAsia="zh-CN"/>
              </w:rPr>
            </w:pPr>
          </w:p>
        </w:tc>
      </w:tr>
      <w:tr w14:paraId="1E326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tcBorders>
              <w:left w:val="single" w:color="auto" w:sz="4" w:space="0"/>
              <w:right w:val="single" w:color="auto" w:sz="4" w:space="0"/>
            </w:tcBorders>
            <w:noWrap w:val="0"/>
            <w:vAlign w:val="center"/>
          </w:tcPr>
          <w:p w14:paraId="581C493E">
            <w:pPr>
              <w:spacing w:line="360" w:lineRule="auto"/>
              <w:rPr>
                <w:rFonts w:hint="eastAsia" w:ascii="仿宋_GB2312" w:hAnsi="仿宋_GB2312" w:eastAsia="仿宋_GB2312" w:cs="仿宋_GB2312"/>
                <w:szCs w:val="21"/>
                <w:lang w:eastAsia="zh-CN"/>
              </w:rPr>
            </w:pPr>
          </w:p>
        </w:tc>
        <w:tc>
          <w:tcPr>
            <w:tcW w:w="287" w:type="pct"/>
            <w:tcBorders>
              <w:top w:val="single" w:color="auto" w:sz="4" w:space="0"/>
              <w:left w:val="single" w:color="auto" w:sz="4" w:space="0"/>
              <w:bottom w:val="single" w:color="auto" w:sz="4" w:space="0"/>
              <w:right w:val="single" w:color="auto" w:sz="4" w:space="0"/>
            </w:tcBorders>
            <w:noWrap w:val="0"/>
            <w:vAlign w:val="center"/>
          </w:tcPr>
          <w:p w14:paraId="0276B5A3">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3</w:t>
            </w:r>
          </w:p>
        </w:tc>
        <w:tc>
          <w:tcPr>
            <w:tcW w:w="888" w:type="pct"/>
            <w:tcBorders>
              <w:top w:val="single" w:color="auto" w:sz="4" w:space="0"/>
              <w:left w:val="single" w:color="auto" w:sz="4" w:space="0"/>
              <w:bottom w:val="single" w:color="auto" w:sz="4" w:space="0"/>
              <w:right w:val="single" w:color="auto" w:sz="4" w:space="0"/>
            </w:tcBorders>
            <w:noWrap w:val="0"/>
            <w:vAlign w:val="center"/>
          </w:tcPr>
          <w:p w14:paraId="50019C9B">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教学楼、办公楼等公共场所</w:t>
            </w:r>
          </w:p>
        </w:tc>
        <w:tc>
          <w:tcPr>
            <w:tcW w:w="1566" w:type="pct"/>
            <w:gridSpan w:val="3"/>
            <w:vMerge w:val="continue"/>
            <w:tcBorders>
              <w:top w:val="single" w:color="auto" w:sz="4" w:space="0"/>
              <w:left w:val="single" w:color="auto" w:sz="4" w:space="0"/>
              <w:bottom w:val="single" w:color="auto" w:sz="4" w:space="0"/>
              <w:right w:val="single" w:color="auto" w:sz="4" w:space="0"/>
            </w:tcBorders>
            <w:noWrap w:val="0"/>
            <w:vAlign w:val="center"/>
          </w:tcPr>
          <w:p w14:paraId="6041C2DC">
            <w:pPr>
              <w:spacing w:line="360" w:lineRule="auto"/>
              <w:rPr>
                <w:rFonts w:hint="eastAsia" w:ascii="仿宋_GB2312" w:hAnsi="仿宋_GB2312" w:eastAsia="仿宋_GB2312" w:cs="仿宋_GB2312"/>
                <w:szCs w:val="21"/>
                <w:lang w:eastAsia="zh-CN"/>
              </w:rPr>
            </w:pPr>
          </w:p>
        </w:tc>
        <w:tc>
          <w:tcPr>
            <w:tcW w:w="1895" w:type="pct"/>
            <w:gridSpan w:val="3"/>
            <w:vMerge w:val="continue"/>
            <w:tcBorders>
              <w:top w:val="single" w:color="auto" w:sz="4" w:space="0"/>
              <w:left w:val="single" w:color="auto" w:sz="4" w:space="0"/>
              <w:bottom w:val="single" w:color="auto" w:sz="4" w:space="0"/>
              <w:right w:val="single" w:color="auto" w:sz="4" w:space="0"/>
            </w:tcBorders>
            <w:noWrap w:val="0"/>
            <w:vAlign w:val="center"/>
          </w:tcPr>
          <w:p w14:paraId="608BB6A4">
            <w:pPr>
              <w:spacing w:line="360" w:lineRule="auto"/>
              <w:rPr>
                <w:rFonts w:hint="eastAsia" w:ascii="仿宋_GB2312" w:hAnsi="仿宋_GB2312" w:eastAsia="仿宋_GB2312" w:cs="仿宋_GB2312"/>
                <w:szCs w:val="21"/>
                <w:lang w:eastAsia="zh-CN"/>
              </w:rPr>
            </w:pPr>
          </w:p>
        </w:tc>
      </w:tr>
      <w:tr w14:paraId="23E77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362" w:type="pct"/>
            <w:tcBorders>
              <w:top w:val="single" w:color="auto" w:sz="4" w:space="0"/>
              <w:left w:val="single" w:color="auto" w:sz="4" w:space="0"/>
              <w:right w:val="single" w:color="auto" w:sz="4" w:space="0"/>
            </w:tcBorders>
            <w:noWrap w:val="0"/>
            <w:vAlign w:val="center"/>
          </w:tcPr>
          <w:p w14:paraId="4DDDFE38">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清</w:t>
            </w:r>
          </w:p>
          <w:p w14:paraId="76683160">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洁</w:t>
            </w:r>
          </w:p>
          <w:p w14:paraId="7698C3A6">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卫</w:t>
            </w:r>
          </w:p>
          <w:p w14:paraId="3F23443D">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生</w:t>
            </w:r>
          </w:p>
          <w:p w14:paraId="17029A55">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岗</w:t>
            </w:r>
          </w:p>
          <w:p w14:paraId="1C956133">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位</w:t>
            </w:r>
          </w:p>
        </w:tc>
        <w:tc>
          <w:tcPr>
            <w:tcW w:w="287" w:type="pct"/>
            <w:tcBorders>
              <w:top w:val="single" w:color="auto" w:sz="4" w:space="0"/>
              <w:left w:val="single" w:color="auto" w:sz="4" w:space="0"/>
              <w:right w:val="single" w:color="auto" w:sz="4" w:space="0"/>
            </w:tcBorders>
            <w:noWrap w:val="0"/>
            <w:vAlign w:val="center"/>
          </w:tcPr>
          <w:p w14:paraId="2E13CF42">
            <w:pPr>
              <w:spacing w:line="360" w:lineRule="auto"/>
              <w:rPr>
                <w:rFonts w:hint="eastAsia" w:ascii="仿宋_GB2312" w:hAnsi="仿宋_GB2312" w:eastAsia="仿宋_GB2312" w:cs="仿宋_GB2312"/>
                <w:szCs w:val="21"/>
                <w:lang w:eastAsia="zh-CN"/>
              </w:rPr>
            </w:pPr>
          </w:p>
        </w:tc>
        <w:tc>
          <w:tcPr>
            <w:tcW w:w="888" w:type="pct"/>
            <w:tcBorders>
              <w:top w:val="single" w:color="auto" w:sz="4" w:space="0"/>
              <w:left w:val="single" w:color="auto" w:sz="4" w:space="0"/>
              <w:right w:val="single" w:color="auto" w:sz="4" w:space="0"/>
            </w:tcBorders>
            <w:noWrap w:val="0"/>
            <w:vAlign w:val="center"/>
          </w:tcPr>
          <w:p w14:paraId="62EFB8EC">
            <w:pPr>
              <w:spacing w:line="360" w:lineRule="auto"/>
              <w:rPr>
                <w:rFonts w:hint="eastAsia" w:ascii="仿宋_GB2312" w:hAnsi="仿宋_GB2312" w:eastAsia="仿宋_GB2312" w:cs="仿宋_GB2312"/>
                <w:szCs w:val="21"/>
                <w:lang w:eastAsia="zh-CN"/>
              </w:rPr>
            </w:pPr>
          </w:p>
        </w:tc>
        <w:tc>
          <w:tcPr>
            <w:tcW w:w="1566" w:type="pct"/>
            <w:gridSpan w:val="3"/>
            <w:tcBorders>
              <w:top w:val="single" w:color="auto" w:sz="4" w:space="0"/>
              <w:left w:val="single" w:color="auto" w:sz="4" w:space="0"/>
              <w:right w:val="single" w:color="auto" w:sz="4" w:space="0"/>
            </w:tcBorders>
            <w:noWrap w:val="0"/>
            <w:vAlign w:val="center"/>
          </w:tcPr>
          <w:p w14:paraId="4FBED6B2">
            <w:pPr>
              <w:spacing w:line="360" w:lineRule="auto"/>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w:t>
            </w:r>
          </w:p>
        </w:tc>
        <w:tc>
          <w:tcPr>
            <w:tcW w:w="522" w:type="pct"/>
            <w:tcBorders>
              <w:top w:val="single" w:color="auto" w:sz="4" w:space="0"/>
              <w:left w:val="single" w:color="auto" w:sz="4" w:space="0"/>
              <w:right w:val="single" w:color="auto" w:sz="4" w:space="0"/>
            </w:tcBorders>
            <w:noWrap w:val="0"/>
            <w:vAlign w:val="center"/>
          </w:tcPr>
          <w:p w14:paraId="5C2F0B25">
            <w:pPr>
              <w:spacing w:line="360" w:lineRule="auto"/>
              <w:rPr>
                <w:rFonts w:hint="eastAsia" w:ascii="仿宋_GB2312" w:hAnsi="仿宋_GB2312" w:eastAsia="仿宋_GB2312" w:cs="仿宋_GB2312"/>
                <w:szCs w:val="21"/>
                <w:lang w:eastAsia="zh-CN"/>
              </w:rPr>
            </w:pPr>
          </w:p>
        </w:tc>
        <w:tc>
          <w:tcPr>
            <w:tcW w:w="727" w:type="pct"/>
            <w:tcBorders>
              <w:top w:val="single" w:color="auto" w:sz="4" w:space="0"/>
              <w:left w:val="single" w:color="auto" w:sz="4" w:space="0"/>
              <w:right w:val="single" w:color="auto" w:sz="4" w:space="0"/>
            </w:tcBorders>
            <w:noWrap w:val="0"/>
            <w:vAlign w:val="center"/>
          </w:tcPr>
          <w:p w14:paraId="1AE0DD78">
            <w:pPr>
              <w:spacing w:line="360" w:lineRule="auto"/>
              <w:rPr>
                <w:rFonts w:hint="eastAsia" w:ascii="仿宋_GB2312" w:hAnsi="仿宋_GB2312" w:eastAsia="仿宋_GB2312" w:cs="仿宋_GB2312"/>
                <w:szCs w:val="21"/>
                <w:lang w:eastAsia="zh-CN"/>
              </w:rPr>
            </w:pPr>
          </w:p>
        </w:tc>
        <w:tc>
          <w:tcPr>
            <w:tcW w:w="646" w:type="pct"/>
            <w:tcBorders>
              <w:top w:val="single" w:color="auto" w:sz="4" w:space="0"/>
              <w:left w:val="single" w:color="auto" w:sz="4" w:space="0"/>
              <w:right w:val="single" w:color="auto" w:sz="4" w:space="0"/>
            </w:tcBorders>
            <w:noWrap w:val="0"/>
            <w:vAlign w:val="center"/>
          </w:tcPr>
          <w:p w14:paraId="55AC0352">
            <w:pPr>
              <w:spacing w:line="360" w:lineRule="auto"/>
              <w:rPr>
                <w:rFonts w:hint="eastAsia" w:ascii="仿宋_GB2312" w:hAnsi="仿宋_GB2312" w:eastAsia="仿宋_GB2312" w:cs="仿宋_GB2312"/>
                <w:szCs w:val="21"/>
                <w:lang w:eastAsia="zh-CN"/>
              </w:rPr>
            </w:pPr>
          </w:p>
        </w:tc>
      </w:tr>
      <w:tr w14:paraId="35E17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37" w:type="pct"/>
            <w:gridSpan w:val="3"/>
            <w:tcBorders>
              <w:top w:val="single" w:color="auto" w:sz="4" w:space="0"/>
              <w:left w:val="single" w:color="auto" w:sz="4" w:space="0"/>
              <w:bottom w:val="single" w:color="auto" w:sz="4" w:space="0"/>
              <w:right w:val="single" w:color="auto" w:sz="4" w:space="0"/>
            </w:tcBorders>
            <w:noWrap w:val="0"/>
            <w:vAlign w:val="center"/>
          </w:tcPr>
          <w:p w14:paraId="705BCCE0">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绿化岗</w:t>
            </w:r>
          </w:p>
        </w:tc>
        <w:tc>
          <w:tcPr>
            <w:tcW w:w="2088" w:type="pct"/>
            <w:gridSpan w:val="4"/>
            <w:tcBorders>
              <w:top w:val="single" w:color="auto" w:sz="4" w:space="0"/>
              <w:left w:val="single" w:color="auto" w:sz="4" w:space="0"/>
              <w:bottom w:val="single" w:color="auto" w:sz="4" w:space="0"/>
              <w:right w:val="single" w:color="auto" w:sz="4" w:space="0"/>
            </w:tcBorders>
            <w:noWrap w:val="0"/>
            <w:vAlign w:val="center"/>
          </w:tcPr>
          <w:p w14:paraId="4813F80A">
            <w:pPr>
              <w:spacing w:line="360" w:lineRule="auto"/>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w:t>
            </w:r>
          </w:p>
        </w:tc>
        <w:tc>
          <w:tcPr>
            <w:tcW w:w="0" w:type="auto"/>
            <w:tcBorders>
              <w:left w:val="single" w:color="auto" w:sz="4" w:space="0"/>
              <w:bottom w:val="single" w:color="auto" w:sz="4" w:space="0"/>
              <w:right w:val="single" w:color="auto" w:sz="4" w:space="0"/>
            </w:tcBorders>
            <w:noWrap w:val="0"/>
            <w:vAlign w:val="center"/>
          </w:tcPr>
          <w:p w14:paraId="2DF3EC41">
            <w:pPr>
              <w:spacing w:line="360" w:lineRule="auto"/>
              <w:rPr>
                <w:rFonts w:hint="eastAsia" w:ascii="仿宋_GB2312" w:hAnsi="仿宋_GB2312" w:eastAsia="仿宋_GB2312" w:cs="仿宋_GB2312"/>
                <w:szCs w:val="21"/>
                <w:lang w:eastAsia="zh-CN"/>
              </w:rPr>
            </w:pPr>
          </w:p>
        </w:tc>
        <w:tc>
          <w:tcPr>
            <w:tcW w:w="0" w:type="auto"/>
            <w:tcBorders>
              <w:left w:val="single" w:color="auto" w:sz="4" w:space="0"/>
              <w:bottom w:val="single" w:color="auto" w:sz="4" w:space="0"/>
              <w:right w:val="single" w:color="auto" w:sz="4" w:space="0"/>
            </w:tcBorders>
            <w:noWrap w:val="0"/>
            <w:vAlign w:val="center"/>
          </w:tcPr>
          <w:p w14:paraId="76D69D8E">
            <w:pPr>
              <w:spacing w:line="360" w:lineRule="auto"/>
              <w:rPr>
                <w:rFonts w:hint="eastAsia" w:ascii="仿宋_GB2312" w:hAnsi="仿宋_GB2312" w:eastAsia="仿宋_GB2312" w:cs="仿宋_GB2312"/>
                <w:szCs w:val="21"/>
                <w:lang w:eastAsia="zh-CN"/>
              </w:rPr>
            </w:pPr>
          </w:p>
        </w:tc>
      </w:tr>
      <w:tr w14:paraId="28C1C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37" w:type="pct"/>
            <w:gridSpan w:val="3"/>
            <w:tcBorders>
              <w:top w:val="single" w:color="auto" w:sz="4" w:space="0"/>
              <w:left w:val="single" w:color="auto" w:sz="4" w:space="0"/>
              <w:bottom w:val="single" w:color="auto" w:sz="4" w:space="0"/>
              <w:right w:val="single" w:color="auto" w:sz="4" w:space="0"/>
            </w:tcBorders>
            <w:noWrap w:val="0"/>
            <w:vAlign w:val="center"/>
          </w:tcPr>
          <w:p w14:paraId="52030867">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门卫安保岗</w:t>
            </w:r>
          </w:p>
        </w:tc>
        <w:tc>
          <w:tcPr>
            <w:tcW w:w="2088" w:type="pct"/>
            <w:gridSpan w:val="4"/>
            <w:tcBorders>
              <w:top w:val="single" w:color="auto" w:sz="4" w:space="0"/>
              <w:left w:val="single" w:color="auto" w:sz="4" w:space="0"/>
              <w:bottom w:val="single" w:color="auto" w:sz="4" w:space="0"/>
              <w:right w:val="single" w:color="auto" w:sz="4" w:space="0"/>
            </w:tcBorders>
            <w:noWrap w:val="0"/>
            <w:vAlign w:val="center"/>
          </w:tcPr>
          <w:p w14:paraId="6910B6A0">
            <w:pPr>
              <w:spacing w:line="360" w:lineRule="auto"/>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w:t>
            </w:r>
          </w:p>
        </w:tc>
        <w:tc>
          <w:tcPr>
            <w:tcW w:w="0" w:type="auto"/>
            <w:tcBorders>
              <w:left w:val="single" w:color="auto" w:sz="4" w:space="0"/>
              <w:bottom w:val="single" w:color="auto" w:sz="4" w:space="0"/>
              <w:right w:val="single" w:color="auto" w:sz="4" w:space="0"/>
            </w:tcBorders>
            <w:noWrap w:val="0"/>
            <w:vAlign w:val="center"/>
          </w:tcPr>
          <w:p w14:paraId="04751961">
            <w:pPr>
              <w:spacing w:line="360" w:lineRule="auto"/>
              <w:rPr>
                <w:rFonts w:hint="eastAsia" w:ascii="仿宋_GB2312" w:hAnsi="仿宋_GB2312" w:eastAsia="仿宋_GB2312" w:cs="仿宋_GB2312"/>
                <w:szCs w:val="21"/>
                <w:lang w:eastAsia="zh-CN"/>
              </w:rPr>
            </w:pPr>
          </w:p>
        </w:tc>
        <w:tc>
          <w:tcPr>
            <w:tcW w:w="0" w:type="auto"/>
            <w:tcBorders>
              <w:left w:val="single" w:color="auto" w:sz="4" w:space="0"/>
              <w:bottom w:val="single" w:color="auto" w:sz="4" w:space="0"/>
              <w:right w:val="single" w:color="auto" w:sz="4" w:space="0"/>
            </w:tcBorders>
            <w:noWrap w:val="0"/>
            <w:vAlign w:val="center"/>
          </w:tcPr>
          <w:p w14:paraId="5909C281">
            <w:pPr>
              <w:spacing w:line="360" w:lineRule="auto"/>
              <w:rPr>
                <w:rFonts w:hint="eastAsia" w:ascii="仿宋_GB2312" w:hAnsi="仿宋_GB2312" w:eastAsia="仿宋_GB2312" w:cs="仿宋_GB2312"/>
                <w:szCs w:val="21"/>
                <w:lang w:eastAsia="zh-CN"/>
              </w:rPr>
            </w:pPr>
          </w:p>
        </w:tc>
      </w:tr>
      <w:tr w14:paraId="04161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37" w:type="pct"/>
            <w:gridSpan w:val="3"/>
            <w:tcBorders>
              <w:top w:val="single" w:color="auto" w:sz="4" w:space="0"/>
              <w:left w:val="single" w:color="auto" w:sz="4" w:space="0"/>
              <w:bottom w:val="single" w:color="auto" w:sz="4" w:space="0"/>
              <w:right w:val="single" w:color="auto" w:sz="4" w:space="0"/>
            </w:tcBorders>
            <w:noWrap w:val="0"/>
            <w:vAlign w:val="center"/>
          </w:tcPr>
          <w:p w14:paraId="31EF3A99">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餐饮岗</w:t>
            </w:r>
          </w:p>
        </w:tc>
        <w:tc>
          <w:tcPr>
            <w:tcW w:w="2088" w:type="pct"/>
            <w:gridSpan w:val="4"/>
            <w:tcBorders>
              <w:top w:val="single" w:color="auto" w:sz="4" w:space="0"/>
              <w:left w:val="single" w:color="auto" w:sz="4" w:space="0"/>
              <w:bottom w:val="single" w:color="auto" w:sz="4" w:space="0"/>
              <w:right w:val="single" w:color="auto" w:sz="4" w:space="0"/>
            </w:tcBorders>
            <w:noWrap w:val="0"/>
            <w:vAlign w:val="center"/>
          </w:tcPr>
          <w:p w14:paraId="1011B3EC">
            <w:pPr>
              <w:spacing w:line="360" w:lineRule="auto"/>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19</w:t>
            </w:r>
          </w:p>
        </w:tc>
        <w:tc>
          <w:tcPr>
            <w:tcW w:w="0" w:type="auto"/>
            <w:tcBorders>
              <w:left w:val="single" w:color="auto" w:sz="4" w:space="0"/>
              <w:bottom w:val="single" w:color="auto" w:sz="4" w:space="0"/>
              <w:right w:val="single" w:color="auto" w:sz="4" w:space="0"/>
            </w:tcBorders>
            <w:noWrap w:val="0"/>
            <w:vAlign w:val="center"/>
          </w:tcPr>
          <w:p w14:paraId="1A67207A">
            <w:pPr>
              <w:spacing w:line="360" w:lineRule="auto"/>
              <w:rPr>
                <w:rFonts w:hint="eastAsia" w:ascii="仿宋_GB2312" w:hAnsi="仿宋_GB2312" w:eastAsia="仿宋_GB2312" w:cs="仿宋_GB2312"/>
                <w:szCs w:val="21"/>
                <w:lang w:eastAsia="zh-CN"/>
              </w:rPr>
            </w:pPr>
          </w:p>
        </w:tc>
        <w:tc>
          <w:tcPr>
            <w:tcW w:w="0" w:type="auto"/>
            <w:tcBorders>
              <w:left w:val="single" w:color="auto" w:sz="4" w:space="0"/>
              <w:bottom w:val="single" w:color="auto" w:sz="4" w:space="0"/>
              <w:right w:val="single" w:color="auto" w:sz="4" w:space="0"/>
            </w:tcBorders>
            <w:noWrap w:val="0"/>
            <w:vAlign w:val="center"/>
          </w:tcPr>
          <w:p w14:paraId="7D6BF9BD">
            <w:pPr>
              <w:spacing w:line="360" w:lineRule="auto"/>
              <w:rPr>
                <w:rFonts w:hint="eastAsia" w:ascii="仿宋_GB2312" w:hAnsi="仿宋_GB2312" w:eastAsia="仿宋_GB2312" w:cs="仿宋_GB2312"/>
                <w:szCs w:val="21"/>
                <w:lang w:eastAsia="zh-CN"/>
              </w:rPr>
            </w:pPr>
          </w:p>
        </w:tc>
      </w:tr>
      <w:tr w14:paraId="11705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37" w:type="pct"/>
            <w:gridSpan w:val="3"/>
            <w:tcBorders>
              <w:top w:val="single" w:color="auto" w:sz="4" w:space="0"/>
              <w:left w:val="single" w:color="auto" w:sz="4" w:space="0"/>
              <w:bottom w:val="single" w:color="auto" w:sz="4" w:space="0"/>
              <w:right w:val="single" w:color="auto" w:sz="4" w:space="0"/>
            </w:tcBorders>
            <w:noWrap w:val="0"/>
            <w:vAlign w:val="center"/>
          </w:tcPr>
          <w:p w14:paraId="3828C7BC">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项目经理</w:t>
            </w:r>
          </w:p>
        </w:tc>
        <w:tc>
          <w:tcPr>
            <w:tcW w:w="2088" w:type="pct"/>
            <w:gridSpan w:val="4"/>
            <w:tcBorders>
              <w:top w:val="single" w:color="auto" w:sz="4" w:space="0"/>
              <w:left w:val="single" w:color="auto" w:sz="4" w:space="0"/>
              <w:bottom w:val="single" w:color="auto" w:sz="4" w:space="0"/>
              <w:right w:val="single" w:color="auto" w:sz="4" w:space="0"/>
            </w:tcBorders>
            <w:noWrap w:val="0"/>
            <w:vAlign w:val="center"/>
          </w:tcPr>
          <w:p w14:paraId="556A3E19">
            <w:pPr>
              <w:spacing w:line="360" w:lineRule="auto"/>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w:t>
            </w:r>
          </w:p>
        </w:tc>
        <w:tc>
          <w:tcPr>
            <w:tcW w:w="727" w:type="pct"/>
            <w:tcBorders>
              <w:top w:val="single" w:color="auto" w:sz="4" w:space="0"/>
              <w:left w:val="single" w:color="auto" w:sz="4" w:space="0"/>
              <w:bottom w:val="single" w:color="auto" w:sz="4" w:space="0"/>
              <w:right w:val="single" w:color="auto" w:sz="4" w:space="0"/>
            </w:tcBorders>
            <w:noWrap w:val="0"/>
            <w:vAlign w:val="center"/>
          </w:tcPr>
          <w:p w14:paraId="5B56434E">
            <w:pPr>
              <w:spacing w:line="360" w:lineRule="auto"/>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w:t>
            </w:r>
          </w:p>
        </w:tc>
        <w:tc>
          <w:tcPr>
            <w:tcW w:w="646" w:type="pct"/>
            <w:tcBorders>
              <w:top w:val="single" w:color="auto" w:sz="4" w:space="0"/>
              <w:left w:val="single" w:color="auto" w:sz="4" w:space="0"/>
              <w:bottom w:val="single" w:color="auto" w:sz="4" w:space="0"/>
              <w:right w:val="single" w:color="auto" w:sz="4" w:space="0"/>
            </w:tcBorders>
            <w:noWrap w:val="0"/>
            <w:vAlign w:val="center"/>
          </w:tcPr>
          <w:p w14:paraId="7491E759">
            <w:pPr>
              <w:spacing w:line="360" w:lineRule="auto"/>
              <w:rPr>
                <w:rFonts w:hint="eastAsia" w:ascii="仿宋_GB2312" w:hAnsi="仿宋_GB2312" w:eastAsia="仿宋_GB2312" w:cs="仿宋_GB2312"/>
                <w:szCs w:val="21"/>
                <w:lang w:val="en-US" w:eastAsia="zh-CN"/>
              </w:rPr>
            </w:pPr>
          </w:p>
        </w:tc>
      </w:tr>
      <w:tr w14:paraId="49034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37" w:type="pct"/>
            <w:gridSpan w:val="3"/>
            <w:tcBorders>
              <w:top w:val="single" w:color="auto" w:sz="4" w:space="0"/>
              <w:left w:val="single" w:color="auto" w:sz="4" w:space="0"/>
              <w:bottom w:val="single" w:color="auto" w:sz="4" w:space="0"/>
              <w:right w:val="single" w:color="auto" w:sz="4" w:space="0"/>
            </w:tcBorders>
            <w:noWrap w:val="0"/>
            <w:vAlign w:val="center"/>
          </w:tcPr>
          <w:p w14:paraId="4D43863D">
            <w:pPr>
              <w:spacing w:line="360" w:lineRule="auto"/>
              <w:rPr>
                <w:rFonts w:hint="eastAsia" w:ascii="仿宋_GB2312" w:hAnsi="仿宋_GB2312" w:eastAsia="仿宋_GB2312" w:cs="仿宋_GB2312"/>
                <w:color w:val="auto"/>
                <w:szCs w:val="21"/>
                <w:highlight w:val="red"/>
                <w:lang w:eastAsia="zh-CN"/>
              </w:rPr>
            </w:pPr>
            <w:r>
              <w:rPr>
                <w:rFonts w:hint="eastAsia" w:ascii="仿宋_GB2312" w:hAnsi="仿宋_GB2312" w:eastAsia="仿宋_GB2312" w:cs="仿宋_GB2312"/>
                <w:color w:val="auto"/>
                <w:szCs w:val="21"/>
                <w:highlight w:val="none"/>
                <w:lang w:eastAsia="zh-CN"/>
              </w:rPr>
              <w:t>总计</w:t>
            </w:r>
          </w:p>
        </w:tc>
        <w:tc>
          <w:tcPr>
            <w:tcW w:w="522" w:type="pct"/>
            <w:tcBorders>
              <w:top w:val="single" w:color="auto" w:sz="4" w:space="0"/>
              <w:left w:val="single" w:color="auto" w:sz="4" w:space="0"/>
              <w:bottom w:val="single" w:color="auto" w:sz="4" w:space="0"/>
              <w:right w:val="single" w:color="auto" w:sz="4" w:space="0"/>
            </w:tcBorders>
            <w:noWrap w:val="0"/>
            <w:vAlign w:val="center"/>
          </w:tcPr>
          <w:p w14:paraId="3791ADE7">
            <w:pPr>
              <w:spacing w:line="360" w:lineRule="auto"/>
              <w:rPr>
                <w:rFonts w:hint="eastAsia" w:ascii="仿宋_GB2312" w:hAnsi="仿宋_GB2312" w:eastAsia="仿宋_GB2312" w:cs="仿宋_GB2312"/>
                <w:color w:val="auto"/>
                <w:szCs w:val="21"/>
                <w:highlight w:val="red"/>
                <w:lang w:eastAsia="zh-CN"/>
              </w:rPr>
            </w:pPr>
          </w:p>
        </w:tc>
        <w:tc>
          <w:tcPr>
            <w:tcW w:w="522" w:type="pct"/>
            <w:tcBorders>
              <w:top w:val="single" w:color="auto" w:sz="4" w:space="0"/>
              <w:left w:val="single" w:color="auto" w:sz="4" w:space="0"/>
              <w:bottom w:val="single" w:color="auto" w:sz="4" w:space="0"/>
              <w:right w:val="single" w:color="auto" w:sz="4" w:space="0"/>
            </w:tcBorders>
            <w:noWrap w:val="0"/>
            <w:vAlign w:val="center"/>
          </w:tcPr>
          <w:p w14:paraId="37235956">
            <w:pPr>
              <w:spacing w:line="360" w:lineRule="auto"/>
              <w:rPr>
                <w:rFonts w:hint="eastAsia" w:ascii="仿宋_GB2312" w:hAnsi="仿宋_GB2312" w:eastAsia="仿宋_GB2312" w:cs="仿宋_GB2312"/>
                <w:color w:val="auto"/>
                <w:szCs w:val="21"/>
                <w:highlight w:val="red"/>
                <w:lang w:eastAsia="zh-CN"/>
              </w:rPr>
            </w:pPr>
          </w:p>
        </w:tc>
        <w:tc>
          <w:tcPr>
            <w:tcW w:w="522" w:type="pct"/>
            <w:tcBorders>
              <w:top w:val="single" w:color="auto" w:sz="4" w:space="0"/>
              <w:left w:val="single" w:color="auto" w:sz="4" w:space="0"/>
              <w:bottom w:val="single" w:color="auto" w:sz="4" w:space="0"/>
              <w:right w:val="single" w:color="auto" w:sz="4" w:space="0"/>
            </w:tcBorders>
            <w:noWrap w:val="0"/>
            <w:vAlign w:val="center"/>
          </w:tcPr>
          <w:p w14:paraId="32CC7338">
            <w:pPr>
              <w:spacing w:line="360" w:lineRule="auto"/>
              <w:rPr>
                <w:rFonts w:hint="eastAsia" w:ascii="仿宋_GB2312" w:hAnsi="仿宋_GB2312" w:eastAsia="仿宋_GB2312" w:cs="仿宋_GB2312"/>
                <w:color w:val="auto"/>
                <w:szCs w:val="21"/>
                <w:highlight w:val="red"/>
                <w:lang w:eastAsia="zh-CN"/>
              </w:rPr>
            </w:pPr>
          </w:p>
        </w:tc>
        <w:tc>
          <w:tcPr>
            <w:tcW w:w="522" w:type="pct"/>
            <w:tcBorders>
              <w:top w:val="single" w:color="auto" w:sz="4" w:space="0"/>
              <w:left w:val="single" w:color="auto" w:sz="4" w:space="0"/>
              <w:bottom w:val="single" w:color="auto" w:sz="4" w:space="0"/>
              <w:right w:val="single" w:color="auto" w:sz="4" w:space="0"/>
            </w:tcBorders>
            <w:noWrap w:val="0"/>
            <w:vAlign w:val="center"/>
          </w:tcPr>
          <w:p w14:paraId="4C5A7302">
            <w:pPr>
              <w:spacing w:line="360" w:lineRule="auto"/>
              <w:rPr>
                <w:rFonts w:hint="eastAsia" w:ascii="仿宋_GB2312" w:hAnsi="仿宋_GB2312" w:eastAsia="仿宋_GB2312" w:cs="仿宋_GB2312"/>
                <w:color w:val="auto"/>
                <w:szCs w:val="21"/>
                <w:highlight w:val="red"/>
                <w:lang w:eastAsia="zh-CN"/>
              </w:rPr>
            </w:pPr>
          </w:p>
        </w:tc>
        <w:tc>
          <w:tcPr>
            <w:tcW w:w="727" w:type="pct"/>
            <w:tcBorders>
              <w:top w:val="single" w:color="auto" w:sz="4" w:space="0"/>
              <w:left w:val="single" w:color="auto" w:sz="4" w:space="0"/>
              <w:bottom w:val="single" w:color="auto" w:sz="4" w:space="0"/>
              <w:right w:val="single" w:color="auto" w:sz="4" w:space="0"/>
            </w:tcBorders>
            <w:noWrap w:val="0"/>
            <w:vAlign w:val="center"/>
          </w:tcPr>
          <w:p w14:paraId="1DA7D215">
            <w:pPr>
              <w:spacing w:line="360" w:lineRule="auto"/>
              <w:rPr>
                <w:rFonts w:hint="eastAsia" w:ascii="仿宋_GB2312" w:hAnsi="仿宋_GB2312" w:eastAsia="仿宋_GB2312" w:cs="仿宋_GB2312"/>
                <w:color w:val="auto"/>
                <w:szCs w:val="21"/>
                <w:highlight w:val="red"/>
                <w:lang w:eastAsia="zh-CN"/>
              </w:rPr>
            </w:pPr>
          </w:p>
        </w:tc>
        <w:tc>
          <w:tcPr>
            <w:tcW w:w="646" w:type="pct"/>
            <w:tcBorders>
              <w:top w:val="single" w:color="auto" w:sz="4" w:space="0"/>
              <w:left w:val="single" w:color="auto" w:sz="4" w:space="0"/>
              <w:bottom w:val="single" w:color="auto" w:sz="4" w:space="0"/>
              <w:right w:val="single" w:color="auto" w:sz="4" w:space="0"/>
            </w:tcBorders>
            <w:noWrap w:val="0"/>
            <w:vAlign w:val="center"/>
          </w:tcPr>
          <w:p w14:paraId="3C01915F">
            <w:pPr>
              <w:spacing w:line="360" w:lineRule="auto"/>
              <w:rPr>
                <w:rFonts w:hint="default" w:ascii="仿宋_GB2312" w:hAnsi="仿宋_GB2312" w:eastAsia="宋体" w:cs="仿宋_GB2312"/>
                <w:color w:val="auto"/>
                <w:szCs w:val="21"/>
                <w:highlight w:val="red"/>
                <w:lang w:val="en-US" w:eastAsia="zh-CN"/>
              </w:rPr>
            </w:pPr>
            <w:r>
              <w:rPr>
                <w:rFonts w:hint="eastAsia" w:ascii="仿宋_GB2312" w:hAnsi="仿宋_GB2312" w:eastAsia="仿宋_GB2312" w:cs="仿宋_GB2312"/>
                <w:lang w:eastAsia="zh-CN"/>
              </w:rPr>
              <w:t>共计</w:t>
            </w:r>
            <w:r>
              <w:rPr>
                <w:rFonts w:hint="eastAsia" w:ascii="仿宋_GB2312" w:hAnsi="仿宋_GB2312" w:eastAsia="仿宋_GB2312" w:cs="仿宋_GB2312"/>
                <w:lang w:val="en-US" w:eastAsia="zh-CN"/>
              </w:rPr>
              <w:t>40人</w:t>
            </w:r>
          </w:p>
        </w:tc>
      </w:tr>
    </w:tbl>
    <w:p w14:paraId="3DA3BDF4">
      <w:pPr>
        <w:spacing w:line="360" w:lineRule="auto"/>
        <w:rPr>
          <w:rFonts w:hint="eastAsia" w:ascii="仿宋_GB2312" w:hAnsi="仿宋_GB2312" w:eastAsia="仿宋_GB2312" w:cs="仿宋_GB2312"/>
          <w:szCs w:val="21"/>
          <w:lang w:eastAsia="zh-CN"/>
        </w:rPr>
      </w:pPr>
    </w:p>
    <w:p w14:paraId="0E32511E">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学校物业管理和后勤服务人员配备要求表</w:t>
      </w:r>
    </w:p>
    <w:tbl>
      <w:tblPr>
        <w:tblStyle w:val="21"/>
        <w:tblW w:w="8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3362"/>
        <w:gridCol w:w="4060"/>
      </w:tblGrid>
      <w:tr w14:paraId="5F554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15" w:type="dxa"/>
            <w:tcBorders>
              <w:top w:val="single" w:color="auto" w:sz="4" w:space="0"/>
              <w:left w:val="single" w:color="auto" w:sz="4" w:space="0"/>
              <w:bottom w:val="single" w:color="auto" w:sz="4" w:space="0"/>
              <w:right w:val="single" w:color="auto" w:sz="4" w:space="0"/>
            </w:tcBorders>
            <w:noWrap w:val="0"/>
            <w:vAlign w:val="center"/>
          </w:tcPr>
          <w:p w14:paraId="26609518">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职位</w:t>
            </w:r>
          </w:p>
        </w:tc>
        <w:tc>
          <w:tcPr>
            <w:tcW w:w="3362" w:type="dxa"/>
            <w:tcBorders>
              <w:top w:val="single" w:color="auto" w:sz="4" w:space="0"/>
              <w:left w:val="nil"/>
              <w:right w:val="single" w:color="auto" w:sz="4" w:space="0"/>
            </w:tcBorders>
            <w:noWrap w:val="0"/>
            <w:vAlign w:val="center"/>
          </w:tcPr>
          <w:p w14:paraId="173699F1">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主要服务内容及岗位说明</w:t>
            </w:r>
          </w:p>
        </w:tc>
        <w:tc>
          <w:tcPr>
            <w:tcW w:w="4060" w:type="dxa"/>
            <w:tcBorders>
              <w:top w:val="single" w:color="auto" w:sz="4" w:space="0"/>
              <w:left w:val="single" w:color="auto" w:sz="4" w:space="0"/>
              <w:bottom w:val="single" w:color="auto" w:sz="4" w:space="0"/>
              <w:right w:val="single" w:color="auto" w:sz="4" w:space="0"/>
            </w:tcBorders>
            <w:noWrap w:val="0"/>
            <w:vAlign w:val="center"/>
          </w:tcPr>
          <w:p w14:paraId="1679B8F7">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配备要求</w:t>
            </w:r>
          </w:p>
        </w:tc>
      </w:tr>
      <w:tr w14:paraId="244A2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6" w:hRule="atLeast"/>
          <w:jc w:val="center"/>
        </w:trPr>
        <w:tc>
          <w:tcPr>
            <w:tcW w:w="915" w:type="dxa"/>
            <w:tcBorders>
              <w:top w:val="single" w:color="auto" w:sz="4" w:space="0"/>
              <w:left w:val="single" w:color="auto" w:sz="4" w:space="0"/>
              <w:bottom w:val="single" w:color="auto" w:sz="4" w:space="0"/>
              <w:right w:val="single" w:color="auto" w:sz="4" w:space="0"/>
            </w:tcBorders>
            <w:noWrap w:val="0"/>
            <w:vAlign w:val="center"/>
          </w:tcPr>
          <w:p w14:paraId="0955F8AB">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项目经理</w:t>
            </w:r>
          </w:p>
        </w:tc>
        <w:tc>
          <w:tcPr>
            <w:tcW w:w="3362" w:type="dxa"/>
            <w:tcBorders>
              <w:top w:val="single" w:color="auto" w:sz="4" w:space="0"/>
              <w:left w:val="nil"/>
              <w:bottom w:val="single" w:color="auto" w:sz="4" w:space="0"/>
              <w:right w:val="single" w:color="auto" w:sz="4" w:space="0"/>
            </w:tcBorders>
            <w:noWrap w:val="0"/>
            <w:vAlign w:val="center"/>
          </w:tcPr>
          <w:p w14:paraId="35D523E7">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全面负责物业服务中心的各项工作负责各部门之间的统筹配合，制订绿化服务方案，制订工作人员管理计划，建立各项规章制度，每月要对所录用人员进行至少1次业务培训、安全教育，带领全体员工完成公司及业主下达的责任目标。</w:t>
            </w:r>
          </w:p>
        </w:tc>
        <w:tc>
          <w:tcPr>
            <w:tcW w:w="4060" w:type="dxa"/>
            <w:tcBorders>
              <w:top w:val="single" w:color="auto" w:sz="4" w:space="0"/>
              <w:left w:val="single" w:color="auto" w:sz="4" w:space="0"/>
              <w:bottom w:val="single" w:color="auto" w:sz="4" w:space="0"/>
              <w:right w:val="single" w:color="auto" w:sz="4" w:space="0"/>
            </w:tcBorders>
            <w:noWrap w:val="0"/>
            <w:vAlign w:val="center"/>
          </w:tcPr>
          <w:p w14:paraId="367A6C02">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1、大学专科或以上学历，具有中级以上（含中级）职称，。</w:t>
            </w:r>
          </w:p>
          <w:p w14:paraId="29063D3E">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2、有较强的组织协调能力和良好的敬业精神，服务意识、各项综合素质高。</w:t>
            </w:r>
          </w:p>
          <w:p w14:paraId="18209F97">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3、掌握国家政策法规和地方管理规定。</w:t>
            </w:r>
          </w:p>
          <w:p w14:paraId="59B90495">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4、需是本企业在职或者退休三年内的员工，以社保证明或者聘用合同为准。</w:t>
            </w:r>
          </w:p>
          <w:p w14:paraId="672E3BE6">
            <w:pPr>
              <w:spacing w:line="360" w:lineRule="auto"/>
              <w:rPr>
                <w:rFonts w:hint="eastAsia" w:ascii="仿宋_GB2312" w:hAnsi="仿宋_GB2312" w:eastAsia="仿宋_GB2312" w:cs="仿宋_GB2312"/>
                <w:szCs w:val="21"/>
                <w:lang w:val="en-US" w:eastAsia="zh-CN"/>
              </w:rPr>
            </w:pPr>
          </w:p>
        </w:tc>
      </w:tr>
      <w:tr w14:paraId="37556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jc w:val="center"/>
        </w:trPr>
        <w:tc>
          <w:tcPr>
            <w:tcW w:w="915" w:type="dxa"/>
            <w:tcBorders>
              <w:top w:val="single" w:color="auto" w:sz="4" w:space="0"/>
              <w:left w:val="single" w:color="auto" w:sz="4" w:space="0"/>
              <w:bottom w:val="single" w:color="auto" w:sz="4" w:space="0"/>
              <w:right w:val="single" w:color="auto" w:sz="4" w:space="0"/>
            </w:tcBorders>
            <w:noWrap w:val="0"/>
            <w:vAlign w:val="center"/>
          </w:tcPr>
          <w:p w14:paraId="4A92D5A8">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设施设备泥水技工电梯管理员</w:t>
            </w:r>
          </w:p>
        </w:tc>
        <w:tc>
          <w:tcPr>
            <w:tcW w:w="3362" w:type="dxa"/>
            <w:tcBorders>
              <w:top w:val="single" w:color="auto" w:sz="4" w:space="0"/>
              <w:left w:val="nil"/>
              <w:bottom w:val="single" w:color="auto" w:sz="4" w:space="0"/>
              <w:right w:val="single" w:color="auto" w:sz="4" w:space="0"/>
            </w:tcBorders>
            <w:noWrap w:val="0"/>
            <w:vAlign w:val="center"/>
          </w:tcPr>
          <w:p w14:paraId="68C0536E">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1.负责校区水电供应、设备运行及门窗保养维护。</w:t>
            </w:r>
          </w:p>
          <w:p w14:paraId="2825F5D4">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2.负责水电值班。</w:t>
            </w:r>
          </w:p>
          <w:p w14:paraId="7D45FD3D">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3.风扇、空调滤网清洗。</w:t>
            </w:r>
          </w:p>
          <w:p w14:paraId="6407151A">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4.管道（含水沟）疏通。</w:t>
            </w:r>
          </w:p>
          <w:p w14:paraId="3B3C4B6B">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5.电梯管理员负责校园所有电梯日常巡查和监督保养及办理相关资料。</w:t>
            </w:r>
          </w:p>
          <w:p w14:paraId="12171F41">
            <w:pPr>
              <w:spacing w:line="360" w:lineRule="auto"/>
              <w:rPr>
                <w:rFonts w:hint="eastAsia" w:ascii="仿宋_GB2312" w:hAnsi="仿宋_GB2312" w:eastAsia="仿宋_GB2312" w:cs="仿宋_GB2312"/>
                <w:szCs w:val="21"/>
                <w:lang w:eastAsia="zh-CN"/>
              </w:rPr>
            </w:pPr>
          </w:p>
        </w:tc>
        <w:tc>
          <w:tcPr>
            <w:tcW w:w="4060" w:type="dxa"/>
            <w:tcBorders>
              <w:top w:val="single" w:color="auto" w:sz="4" w:space="0"/>
              <w:left w:val="single" w:color="auto" w:sz="4" w:space="0"/>
              <w:bottom w:val="single" w:color="auto" w:sz="4" w:space="0"/>
              <w:right w:val="single" w:color="auto" w:sz="4" w:space="0"/>
            </w:tcBorders>
            <w:noWrap w:val="0"/>
            <w:vAlign w:val="center"/>
          </w:tcPr>
          <w:p w14:paraId="6E2EC0DE">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1、高中毕业以上，有三年以上相关工作经验，熟练掌握应聘岗位的操作技能。</w:t>
            </w:r>
          </w:p>
          <w:p w14:paraId="6EADF768">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2、★具有特种作业操作证书（准操项目:高压或低压电工作业）证，提供证书复印件或承诺合同签订七个工作日内。</w:t>
            </w:r>
          </w:p>
          <w:p w14:paraId="7B5132FD">
            <w:pPr>
              <w:pStyle w:val="2"/>
              <w:rPr>
                <w:rFonts w:hint="default"/>
                <w:lang w:val="en-US" w:eastAsia="zh-CN"/>
              </w:rPr>
            </w:pPr>
            <w:r>
              <w:rPr>
                <w:rFonts w:hint="eastAsia" w:ascii="仿宋_GB2312" w:hAnsi="仿宋_GB2312" w:eastAsia="仿宋_GB2312" w:cs="仿宋_GB2312"/>
                <w:sz w:val="21"/>
                <w:szCs w:val="21"/>
                <w:lang w:val="en-US" w:eastAsia="zh-CN"/>
              </w:rPr>
              <w:t>3、具有电焊证（加分项）</w:t>
            </w:r>
          </w:p>
          <w:p w14:paraId="7F28513A">
            <w:pPr>
              <w:spacing w:line="360" w:lineRule="auto"/>
              <w:rPr>
                <w:rFonts w:hint="eastAsia" w:ascii="仿宋_GB2312" w:hAnsi="仿宋_GB2312" w:eastAsia="仿宋_GB2312" w:cs="仿宋_GB2312"/>
                <w:szCs w:val="21"/>
                <w:lang w:eastAsia="zh-CN"/>
              </w:rPr>
            </w:pPr>
          </w:p>
        </w:tc>
      </w:tr>
      <w:tr w14:paraId="596D3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915" w:type="dxa"/>
            <w:tcBorders>
              <w:top w:val="single" w:color="auto" w:sz="4" w:space="0"/>
              <w:left w:val="single" w:color="auto" w:sz="4" w:space="0"/>
              <w:bottom w:val="single" w:color="auto" w:sz="4" w:space="0"/>
              <w:right w:val="single" w:color="auto" w:sz="4" w:space="0"/>
            </w:tcBorders>
            <w:noWrap w:val="0"/>
            <w:vAlign w:val="center"/>
          </w:tcPr>
          <w:p w14:paraId="6988A110">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宿管员、课室管理员</w:t>
            </w:r>
          </w:p>
        </w:tc>
        <w:tc>
          <w:tcPr>
            <w:tcW w:w="3362" w:type="dxa"/>
            <w:tcBorders>
              <w:top w:val="single" w:color="auto" w:sz="4" w:space="0"/>
              <w:left w:val="nil"/>
              <w:bottom w:val="single" w:color="auto" w:sz="4" w:space="0"/>
              <w:right w:val="single" w:color="auto" w:sz="4" w:space="0"/>
            </w:tcBorders>
            <w:noWrap w:val="0"/>
            <w:vAlign w:val="center"/>
          </w:tcPr>
          <w:p w14:paraId="6524EE5E">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宿管员：24小时固定岗，负责宿舍的进出管控、学生诉求处理等工作，服务内容包括但不限于入住调宿退宿手续、人员物品进出登记、物品摆放、宣传品张贴、协助水电收费、日常巡查、晚归登记、失物登记、监管设施设备使用情况、安全用电检查、节能宣传、处理突发事件等，教师宿舍日常管理。如遇突发事件或突击检查时，无条件积极配合学校。</w:t>
            </w:r>
          </w:p>
          <w:p w14:paraId="27A3B0B9">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课室管理员：负责实训楼、教学楼科室管理的日常管理。</w:t>
            </w:r>
          </w:p>
        </w:tc>
        <w:tc>
          <w:tcPr>
            <w:tcW w:w="4060" w:type="dxa"/>
            <w:tcBorders>
              <w:top w:val="single" w:color="auto" w:sz="4" w:space="0"/>
              <w:left w:val="single" w:color="auto" w:sz="4" w:space="0"/>
              <w:bottom w:val="single" w:color="auto" w:sz="4" w:space="0"/>
              <w:right w:val="single" w:color="auto" w:sz="4" w:space="0"/>
            </w:tcBorders>
            <w:noWrap w:val="0"/>
            <w:vAlign w:val="center"/>
          </w:tcPr>
          <w:p w14:paraId="0FB52539">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w:t>
            </w:r>
            <w:r>
              <w:rPr>
                <w:rFonts w:hint="eastAsia" w:ascii="仿宋_GB2312" w:hAnsi="仿宋_GB2312" w:eastAsia="仿宋_GB2312" w:cs="仿宋_GB2312"/>
                <w:szCs w:val="21"/>
                <w:lang w:val="en-US" w:eastAsia="zh-CN"/>
              </w:rPr>
              <w:t>大专</w:t>
            </w:r>
            <w:r>
              <w:rPr>
                <w:rFonts w:hint="eastAsia" w:ascii="仿宋_GB2312" w:hAnsi="仿宋_GB2312" w:eastAsia="仿宋_GB2312" w:cs="仿宋_GB2312"/>
                <w:szCs w:val="21"/>
                <w:lang w:eastAsia="zh-CN"/>
              </w:rPr>
              <w:t>毕业以上，懂电脑操作。</w:t>
            </w:r>
          </w:p>
          <w:p w14:paraId="1C8CFBF6">
            <w:pPr>
              <w:spacing w:line="360" w:lineRule="auto"/>
              <w:rPr>
                <w:rFonts w:hint="eastAsia" w:ascii="仿宋_GB2312" w:hAnsi="仿宋_GB2312" w:eastAsia="仿宋_GB2312" w:cs="仿宋_GB2312"/>
                <w:sz w:val="21"/>
                <w:szCs w:val="21"/>
                <w:lang w:eastAsia="zh-CN"/>
              </w:rPr>
            </w:pPr>
            <w:r>
              <w:rPr>
                <w:rFonts w:hint="eastAsia" w:ascii="仿宋_GB2312" w:hAnsi="仿宋_GB2312" w:eastAsia="仿宋_GB2312" w:cs="仿宋_GB2312"/>
                <w:szCs w:val="21"/>
                <w:lang w:eastAsia="zh-CN"/>
              </w:rPr>
              <w:t>2</w:t>
            </w:r>
            <w:r>
              <w:rPr>
                <w:rFonts w:hint="eastAsia" w:ascii="仿宋_GB2312" w:hAnsi="仿宋_GB2312" w:eastAsia="仿宋_GB2312" w:cs="仿宋_GB2312"/>
                <w:color w:val="auto"/>
                <w:szCs w:val="21"/>
                <w:lang w:eastAsia="zh-CN"/>
              </w:rPr>
              <w:t>、具有2年以上学生宿舍管理经验，有较强工作责任心，吃苦耐劳，性格热情、积极肯干，作风正派,善于与学生沟通。能够在晚间、节假日期间在校工作。并通过培训合格后方能上岗，</w:t>
            </w:r>
            <w:r>
              <w:rPr>
                <w:rFonts w:hint="eastAsia" w:ascii="仿宋_GB2312" w:hAnsi="Arial" w:eastAsia="仿宋_GB2312" w:cs="Calibri"/>
                <w:color w:val="auto"/>
                <w:kern w:val="2"/>
                <w:sz w:val="21"/>
                <w:szCs w:val="21"/>
                <w:highlight w:val="none"/>
                <w:lang w:val="en-US" w:eastAsia="zh-CN" w:bidi="ar-SA"/>
              </w:rPr>
              <w:t>具备</w:t>
            </w:r>
            <w:r>
              <w:rPr>
                <w:rFonts w:hint="eastAsia" w:ascii="仿宋_GB2312" w:hAnsi="Arial" w:eastAsia="仿宋_GB2312" w:cs="Calibri"/>
                <w:kern w:val="2"/>
                <w:sz w:val="21"/>
                <w:szCs w:val="21"/>
                <w:highlight w:val="none"/>
                <w:lang w:val="en-US" w:eastAsia="zh-CN" w:bidi="ar-SA"/>
              </w:rPr>
              <w:t>退伍证、普通话资格证及专业岗位证书。</w:t>
            </w:r>
            <w:r>
              <w:rPr>
                <w:rFonts w:hint="eastAsia" w:ascii="仿宋_GB2312" w:hAnsi="仿宋_GB2312" w:eastAsia="仿宋_GB2312" w:cs="仿宋_GB2312"/>
                <w:sz w:val="21"/>
                <w:szCs w:val="21"/>
                <w:lang w:eastAsia="zh-CN"/>
              </w:rPr>
              <w:t>（加分项）</w:t>
            </w:r>
          </w:p>
          <w:p w14:paraId="299A4F85">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3、熟悉国家和地方的少数民族政策，尊重少数民族地区风俗习惯。</w:t>
            </w:r>
          </w:p>
          <w:p w14:paraId="01198757">
            <w:pPr>
              <w:pStyle w:val="2"/>
              <w:rPr>
                <w:rFonts w:hint="default"/>
                <w:lang w:val="en-US" w:eastAsia="zh-CN"/>
              </w:rPr>
            </w:pPr>
          </w:p>
          <w:p w14:paraId="33605084">
            <w:pPr>
              <w:spacing w:line="360" w:lineRule="auto"/>
              <w:rPr>
                <w:rFonts w:hint="eastAsia" w:ascii="仿宋_GB2312" w:hAnsi="仿宋_GB2312" w:eastAsia="仿宋_GB2312" w:cs="仿宋_GB2312"/>
                <w:szCs w:val="21"/>
                <w:lang w:val="en-US" w:eastAsia="zh-CN"/>
              </w:rPr>
            </w:pPr>
          </w:p>
        </w:tc>
      </w:tr>
      <w:tr w14:paraId="12156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jc w:val="center"/>
        </w:trPr>
        <w:tc>
          <w:tcPr>
            <w:tcW w:w="915" w:type="dxa"/>
            <w:tcBorders>
              <w:top w:val="single" w:color="auto" w:sz="4" w:space="0"/>
              <w:left w:val="single" w:color="auto" w:sz="4" w:space="0"/>
              <w:bottom w:val="single" w:color="auto" w:sz="4" w:space="0"/>
              <w:right w:val="single" w:color="auto" w:sz="4" w:space="0"/>
            </w:tcBorders>
            <w:noWrap w:val="0"/>
            <w:vAlign w:val="center"/>
          </w:tcPr>
          <w:p w14:paraId="2538A6AF">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保洁、垃圾分类、垃圾清运员</w:t>
            </w:r>
          </w:p>
        </w:tc>
        <w:tc>
          <w:tcPr>
            <w:tcW w:w="3362" w:type="dxa"/>
            <w:tcBorders>
              <w:top w:val="single" w:color="auto" w:sz="4" w:space="0"/>
              <w:left w:val="nil"/>
              <w:bottom w:val="single" w:color="auto" w:sz="4" w:space="0"/>
              <w:right w:val="single" w:color="auto" w:sz="4" w:space="0"/>
            </w:tcBorders>
            <w:noWrap w:val="0"/>
            <w:vAlign w:val="center"/>
          </w:tcPr>
          <w:p w14:paraId="34857E81">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按工作程序对范围内的场所进行日常定期清扫、保洁，室外绿化带白色垃圾清理，垃圾的分类收集、清运，定期清理垃圾箱，做到垃圾日产日清</w:t>
            </w:r>
          </w:p>
        </w:tc>
        <w:tc>
          <w:tcPr>
            <w:tcW w:w="4060" w:type="dxa"/>
            <w:tcBorders>
              <w:top w:val="single" w:color="auto" w:sz="4" w:space="0"/>
              <w:left w:val="single" w:color="auto" w:sz="4" w:space="0"/>
              <w:bottom w:val="single" w:color="auto" w:sz="4" w:space="0"/>
              <w:right w:val="single" w:color="auto" w:sz="4" w:space="0"/>
            </w:tcBorders>
            <w:noWrap w:val="0"/>
            <w:vAlign w:val="center"/>
          </w:tcPr>
          <w:p w14:paraId="32C92B82">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1、初中以上文化程度。</w:t>
            </w:r>
          </w:p>
          <w:p w14:paraId="6E529351">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2、政历清楚，身体健康，吃苦耐劳，无不良习惯。</w:t>
            </w:r>
          </w:p>
          <w:p w14:paraId="529AA865">
            <w:pPr>
              <w:spacing w:line="360" w:lineRule="auto"/>
              <w:rPr>
                <w:rFonts w:hint="eastAsia" w:ascii="仿宋_GB2312" w:hAnsi="仿宋_GB2312" w:eastAsia="仿宋_GB2312" w:cs="仿宋_GB2312"/>
                <w:szCs w:val="21"/>
                <w:lang w:val="en-US" w:eastAsia="zh-CN"/>
              </w:rPr>
            </w:pPr>
          </w:p>
        </w:tc>
      </w:tr>
      <w:tr w14:paraId="01E3E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915" w:type="dxa"/>
            <w:tcBorders>
              <w:top w:val="single" w:color="auto" w:sz="4" w:space="0"/>
              <w:left w:val="single" w:color="auto" w:sz="4" w:space="0"/>
              <w:bottom w:val="single" w:color="auto" w:sz="4" w:space="0"/>
              <w:right w:val="single" w:color="auto" w:sz="4" w:space="0"/>
            </w:tcBorders>
            <w:noWrap w:val="0"/>
            <w:vAlign w:val="center"/>
          </w:tcPr>
          <w:p w14:paraId="0703E311">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绿化工</w:t>
            </w:r>
          </w:p>
        </w:tc>
        <w:tc>
          <w:tcPr>
            <w:tcW w:w="3362" w:type="dxa"/>
            <w:tcBorders>
              <w:top w:val="single" w:color="auto" w:sz="4" w:space="0"/>
              <w:left w:val="nil"/>
              <w:bottom w:val="single" w:color="auto" w:sz="4" w:space="0"/>
              <w:right w:val="single" w:color="auto" w:sz="4" w:space="0"/>
            </w:tcBorders>
            <w:noWrap w:val="0"/>
            <w:vAlign w:val="center"/>
          </w:tcPr>
          <w:p w14:paraId="6D05A81A">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负责校园公共区域的绿化修剪及养护管理。对校区内的绿化植物进行日常浇水、除草、松土、剪枝、摘果木、砍树、整形、杀虫、施肥、防风、排涝、防杀等专业护理，营造良好的园林景观，美化学校环境。</w:t>
            </w:r>
          </w:p>
        </w:tc>
        <w:tc>
          <w:tcPr>
            <w:tcW w:w="4060" w:type="dxa"/>
            <w:tcBorders>
              <w:top w:val="single" w:color="auto" w:sz="4" w:space="0"/>
              <w:left w:val="single" w:color="auto" w:sz="4" w:space="0"/>
              <w:bottom w:val="single" w:color="auto" w:sz="4" w:space="0"/>
              <w:right w:val="single" w:color="auto" w:sz="4" w:space="0"/>
            </w:tcBorders>
            <w:noWrap w:val="0"/>
            <w:vAlign w:val="center"/>
          </w:tcPr>
          <w:p w14:paraId="28032F8C">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1.身体健康</w:t>
            </w:r>
          </w:p>
          <w:p w14:paraId="1E6B5210">
            <w:pPr>
              <w:spacing w:line="360" w:lineRule="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lang w:eastAsia="zh-CN"/>
              </w:rPr>
              <w:t>.具有相关绿化养护管理服务经验，</w:t>
            </w:r>
            <w:r>
              <w:rPr>
                <w:rFonts w:hint="eastAsia" w:ascii="仿宋_GB2312" w:hAnsi="Arial" w:eastAsia="仿宋_GB2312" w:cs="Calibri"/>
                <w:kern w:val="2"/>
                <w:sz w:val="21"/>
                <w:szCs w:val="21"/>
                <w:highlight w:val="none"/>
                <w:lang w:val="en-US" w:eastAsia="zh-CN" w:bidi="ar-SA"/>
              </w:rPr>
              <w:t>园林绿化证。（加分项）</w:t>
            </w:r>
          </w:p>
          <w:p w14:paraId="48B28400">
            <w:pPr>
              <w:spacing w:line="360" w:lineRule="auto"/>
              <w:rPr>
                <w:rFonts w:hint="eastAsia" w:ascii="仿宋_GB2312" w:hAnsi="仿宋_GB2312" w:eastAsia="仿宋_GB2312" w:cs="仿宋_GB2312"/>
                <w:szCs w:val="21"/>
                <w:lang w:val="en-US" w:eastAsia="zh-CN"/>
              </w:rPr>
            </w:pPr>
          </w:p>
        </w:tc>
      </w:tr>
      <w:tr w14:paraId="58AD3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915" w:type="dxa"/>
            <w:tcBorders>
              <w:top w:val="single" w:color="auto" w:sz="4" w:space="0"/>
              <w:left w:val="single" w:color="auto" w:sz="4" w:space="0"/>
              <w:bottom w:val="single" w:color="auto" w:sz="4" w:space="0"/>
              <w:right w:val="single" w:color="auto" w:sz="4" w:space="0"/>
            </w:tcBorders>
            <w:noWrap w:val="0"/>
            <w:vAlign w:val="center"/>
          </w:tcPr>
          <w:p w14:paraId="2A3D5A41">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门卫安保人员</w:t>
            </w:r>
          </w:p>
        </w:tc>
        <w:tc>
          <w:tcPr>
            <w:tcW w:w="3362" w:type="dxa"/>
            <w:tcBorders>
              <w:top w:val="single" w:color="auto" w:sz="4" w:space="0"/>
              <w:left w:val="nil"/>
              <w:bottom w:val="single" w:color="auto" w:sz="4" w:space="0"/>
              <w:right w:val="single" w:color="auto" w:sz="4" w:space="0"/>
            </w:tcBorders>
            <w:noWrap w:val="0"/>
            <w:vAlign w:val="center"/>
          </w:tcPr>
          <w:p w14:paraId="1720A465">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学校门卫和校园内的安全保卫，发现制止和处理校园欺凌和打架斗殴。</w:t>
            </w:r>
          </w:p>
        </w:tc>
        <w:tc>
          <w:tcPr>
            <w:tcW w:w="4060" w:type="dxa"/>
            <w:tcBorders>
              <w:top w:val="single" w:color="auto" w:sz="4" w:space="0"/>
              <w:left w:val="single" w:color="auto" w:sz="4" w:space="0"/>
              <w:bottom w:val="single" w:color="auto" w:sz="4" w:space="0"/>
              <w:right w:val="single" w:color="auto" w:sz="4" w:space="0"/>
            </w:tcBorders>
            <w:noWrap w:val="0"/>
            <w:vAlign w:val="center"/>
          </w:tcPr>
          <w:p w14:paraId="10B8866F">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1.身体健康</w:t>
            </w:r>
          </w:p>
          <w:p w14:paraId="11557BEE">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2.人员年龄要求：男</w:t>
            </w:r>
            <w:r>
              <w:rPr>
                <w:rFonts w:hint="eastAsia" w:ascii="仿宋_GB2312" w:hAnsi="仿宋_GB2312" w:eastAsia="仿宋_GB2312" w:cs="仿宋_GB2312"/>
                <w:szCs w:val="21"/>
                <w:lang w:val="en-US" w:eastAsia="zh-CN"/>
              </w:rPr>
              <w:t>60</w:t>
            </w:r>
            <w:r>
              <w:rPr>
                <w:rFonts w:hint="eastAsia" w:ascii="仿宋_GB2312" w:hAnsi="仿宋_GB2312" w:eastAsia="仿宋_GB2312" w:cs="仿宋_GB2312"/>
                <w:szCs w:val="21"/>
                <w:lang w:eastAsia="zh-CN"/>
              </w:rPr>
              <w:t>岁以下，女5</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lang w:eastAsia="zh-CN"/>
              </w:rPr>
              <w:t>岁以下。</w:t>
            </w:r>
          </w:p>
          <w:p w14:paraId="54A59A6E">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lang w:eastAsia="zh-CN"/>
              </w:rPr>
              <w:t>有保安证</w:t>
            </w:r>
          </w:p>
          <w:p w14:paraId="79DD03B4">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highlight w:val="none"/>
                <w:lang w:val="en-US" w:eastAsia="zh-CN"/>
              </w:rPr>
              <w:t>4、</w:t>
            </w:r>
            <w:r>
              <w:rPr>
                <w:rFonts w:hint="eastAsia" w:ascii="仿宋_GB2312" w:hAnsi="仿宋_GB2312" w:eastAsia="仿宋_GB2312" w:cs="仿宋_GB2312"/>
                <w:szCs w:val="21"/>
                <w:highlight w:val="none"/>
                <w:lang w:eastAsia="zh-CN"/>
              </w:rPr>
              <w:t>退役军人</w:t>
            </w:r>
            <w:r>
              <w:rPr>
                <w:rFonts w:hint="eastAsia" w:ascii="仿宋_GB2312" w:hAnsi="仿宋_GB2312" w:eastAsia="仿宋_GB2312" w:cs="仿宋_GB2312"/>
                <w:szCs w:val="21"/>
                <w:highlight w:val="none"/>
                <w:lang w:val="en-US" w:eastAsia="zh-CN"/>
              </w:rPr>
              <w:t>（加分项）</w:t>
            </w:r>
          </w:p>
        </w:tc>
      </w:tr>
      <w:tr w14:paraId="15911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915" w:type="dxa"/>
            <w:tcBorders>
              <w:top w:val="single" w:color="auto" w:sz="4" w:space="0"/>
              <w:left w:val="single" w:color="auto" w:sz="4" w:space="0"/>
              <w:bottom w:val="single" w:color="auto" w:sz="4" w:space="0"/>
              <w:right w:val="single" w:color="auto" w:sz="4" w:space="0"/>
            </w:tcBorders>
            <w:noWrap w:val="0"/>
            <w:vAlign w:val="center"/>
          </w:tcPr>
          <w:p w14:paraId="4F5F7083">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餐饮人员</w:t>
            </w:r>
          </w:p>
        </w:tc>
        <w:tc>
          <w:tcPr>
            <w:tcW w:w="3362" w:type="dxa"/>
            <w:tcBorders>
              <w:top w:val="single" w:color="auto" w:sz="4" w:space="0"/>
              <w:left w:val="nil"/>
              <w:bottom w:val="single" w:color="auto" w:sz="4" w:space="0"/>
              <w:right w:val="single" w:color="auto" w:sz="4" w:space="0"/>
            </w:tcBorders>
            <w:noWrap w:val="0"/>
            <w:vAlign w:val="center"/>
          </w:tcPr>
          <w:p w14:paraId="12E82816">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全校师生员工的早餐、午餐、晚餐等（清真餐）</w:t>
            </w:r>
          </w:p>
          <w:p w14:paraId="6466FA8E">
            <w:pPr>
              <w:spacing w:line="360" w:lineRule="auto"/>
              <w:rPr>
                <w:rFonts w:hint="eastAsia" w:ascii="仿宋_GB2312" w:hAnsi="仿宋_GB2312" w:eastAsia="仿宋_GB2312" w:cs="仿宋_GB2312"/>
                <w:szCs w:val="21"/>
                <w:lang w:eastAsia="zh-CN"/>
              </w:rPr>
            </w:pPr>
          </w:p>
        </w:tc>
        <w:tc>
          <w:tcPr>
            <w:tcW w:w="4060" w:type="dxa"/>
            <w:tcBorders>
              <w:top w:val="single" w:color="auto" w:sz="4" w:space="0"/>
              <w:left w:val="single" w:color="auto" w:sz="4" w:space="0"/>
              <w:bottom w:val="single" w:color="auto" w:sz="4" w:space="0"/>
              <w:right w:val="single" w:color="auto" w:sz="4" w:space="0"/>
            </w:tcBorders>
            <w:noWrap w:val="0"/>
            <w:vAlign w:val="center"/>
          </w:tcPr>
          <w:p w14:paraId="3B40C517">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有健康证</w:t>
            </w:r>
          </w:p>
          <w:p w14:paraId="02B128AE">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两年以上从业经验</w:t>
            </w:r>
          </w:p>
          <w:p w14:paraId="19F5A045">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中级以上厨师证</w:t>
            </w:r>
          </w:p>
          <w:p w14:paraId="1641E0DF">
            <w:pPr>
              <w:spacing w:line="360" w:lineRule="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highlight w:val="none"/>
                <w:lang w:val="en-US" w:eastAsia="zh-CN"/>
              </w:rPr>
              <w:t>具有清真餐从业经验，</w:t>
            </w:r>
            <w:r>
              <w:rPr>
                <w:rFonts w:hint="eastAsia" w:ascii="仿宋_GB2312" w:hAnsi="Arial" w:eastAsia="仿宋_GB2312" w:cs="Calibri"/>
                <w:kern w:val="2"/>
                <w:sz w:val="21"/>
                <w:szCs w:val="21"/>
                <w:lang w:val="en-US" w:eastAsia="zh-CN" w:bidi="ar-SA"/>
              </w:rPr>
              <w:t>厨师证：具有由中华人民共和国人力资源和社会保障部颁发或其他职业技能鉴定中心颁发的中式烹调师职业技能三级技师证书；面点师：具有由中华人民共和国人力资源和社会保障部颁发或其他职业技能鉴定中心颁发的中（西）式面点师证书；营养师：须具有由中华人民共和国人力资源和社会保障部颁发的营养师配餐师证书；</w:t>
            </w:r>
            <w:r>
              <w:rPr>
                <w:rFonts w:hint="eastAsia" w:ascii="仿宋_GB2312" w:hAnsi="仿宋_GB2312" w:eastAsia="仿宋_GB2312" w:cs="仿宋_GB2312"/>
                <w:sz w:val="21"/>
                <w:szCs w:val="21"/>
                <w:highlight w:val="none"/>
                <w:lang w:val="en-US" w:eastAsia="zh-CN"/>
              </w:rPr>
              <w:t>（加分项）</w:t>
            </w:r>
          </w:p>
        </w:tc>
      </w:tr>
      <w:tr w14:paraId="0792B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15" w:type="dxa"/>
            <w:tcBorders>
              <w:top w:val="single" w:color="auto" w:sz="4" w:space="0"/>
              <w:left w:val="single" w:color="auto" w:sz="4" w:space="0"/>
              <w:bottom w:val="single" w:color="auto" w:sz="4" w:space="0"/>
              <w:right w:val="single" w:color="auto" w:sz="4" w:space="0"/>
            </w:tcBorders>
            <w:noWrap w:val="0"/>
            <w:vAlign w:val="center"/>
          </w:tcPr>
          <w:p w14:paraId="4D4A23CB">
            <w:pPr>
              <w:spacing w:line="360" w:lineRule="auto"/>
              <w:rPr>
                <w:rFonts w:hint="eastAsia" w:ascii="仿宋_GB2312" w:hAnsi="仿宋_GB2312" w:eastAsia="仿宋_GB2312" w:cs="仿宋_GB2312"/>
                <w:color w:val="C00000"/>
                <w:szCs w:val="21"/>
                <w:lang w:eastAsia="zh-CN"/>
              </w:rPr>
            </w:pPr>
            <w:r>
              <w:rPr>
                <w:rFonts w:hint="eastAsia" w:ascii="仿宋_GB2312" w:hAnsi="仿宋_GB2312" w:eastAsia="仿宋_GB2312" w:cs="仿宋_GB2312"/>
                <w:color w:val="auto"/>
                <w:szCs w:val="21"/>
                <w:lang w:eastAsia="zh-CN"/>
              </w:rPr>
              <w:t>合计</w:t>
            </w:r>
          </w:p>
        </w:tc>
        <w:tc>
          <w:tcPr>
            <w:tcW w:w="3362" w:type="dxa"/>
            <w:tcBorders>
              <w:top w:val="single" w:color="auto" w:sz="4" w:space="0"/>
              <w:left w:val="nil"/>
              <w:bottom w:val="single" w:color="auto" w:sz="4" w:space="0"/>
              <w:right w:val="single" w:color="auto" w:sz="4" w:space="0"/>
            </w:tcBorders>
            <w:noWrap w:val="0"/>
            <w:vAlign w:val="center"/>
          </w:tcPr>
          <w:p w14:paraId="3DF9D8F4">
            <w:pPr>
              <w:spacing w:line="360" w:lineRule="auto"/>
              <w:rPr>
                <w:rFonts w:hint="eastAsia" w:ascii="仿宋_GB2312" w:hAnsi="仿宋_GB2312" w:eastAsia="仿宋_GB2312" w:cs="仿宋_GB2312"/>
                <w:color w:val="C00000"/>
                <w:szCs w:val="21"/>
                <w:lang w:eastAsia="zh-CN"/>
              </w:rPr>
            </w:pPr>
          </w:p>
        </w:tc>
        <w:tc>
          <w:tcPr>
            <w:tcW w:w="4060" w:type="dxa"/>
            <w:tcBorders>
              <w:top w:val="single" w:color="auto" w:sz="4" w:space="0"/>
              <w:left w:val="single" w:color="auto" w:sz="4" w:space="0"/>
              <w:bottom w:val="single" w:color="auto" w:sz="4" w:space="0"/>
              <w:right w:val="single" w:color="auto" w:sz="4" w:space="0"/>
            </w:tcBorders>
            <w:noWrap w:val="0"/>
            <w:vAlign w:val="center"/>
          </w:tcPr>
          <w:p w14:paraId="216ECDAF">
            <w:pPr>
              <w:spacing w:line="360" w:lineRule="auto"/>
              <w:rPr>
                <w:rFonts w:hint="eastAsia" w:ascii="仿宋_GB2312" w:hAnsi="仿宋_GB2312" w:eastAsia="仿宋_GB2312" w:cs="仿宋_GB2312"/>
                <w:color w:val="C00000"/>
                <w:szCs w:val="21"/>
                <w:lang w:eastAsia="zh-CN"/>
              </w:rPr>
            </w:pPr>
          </w:p>
        </w:tc>
      </w:tr>
    </w:tbl>
    <w:p w14:paraId="3135E0C3">
      <w:pPr>
        <w:spacing w:line="360" w:lineRule="auto"/>
        <w:rPr>
          <w:rFonts w:hint="eastAsia" w:ascii="仿宋_GB2312" w:hAnsi="仿宋_GB2312" w:eastAsia="仿宋_GB2312" w:cs="仿宋_GB2312"/>
          <w:szCs w:val="21"/>
          <w:lang w:eastAsia="zh-CN"/>
        </w:rPr>
      </w:pPr>
    </w:p>
    <w:p w14:paraId="2CA91316">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lang w:eastAsia="zh-CN"/>
        </w:rPr>
        <w:t>投标人在投标文件中所配备的人员，须为项目实施时的人员。未经采购人同意，不得随意更换。</w:t>
      </w:r>
    </w:p>
    <w:p w14:paraId="2590FD65">
      <w:pPr>
        <w:spacing w:line="360" w:lineRule="auto"/>
        <w:rPr>
          <w:rFonts w:hint="eastAsia" w:ascii="仿宋_GB2312" w:hAnsi="仿宋_GB2312" w:eastAsia="仿宋_GB2312" w:cs="仿宋_GB2312"/>
          <w:color w:val="000000"/>
          <w:szCs w:val="21"/>
          <w:highlight w:val="none"/>
          <w:lang w:eastAsia="zh-CN"/>
        </w:rPr>
      </w:pPr>
      <w:r>
        <w:rPr>
          <w:rFonts w:hint="eastAsia" w:ascii="仿宋_GB2312" w:hAnsi="仿宋_GB2312" w:eastAsia="仿宋_GB2312" w:cs="仿宋_GB2312"/>
          <w:color w:val="000000"/>
          <w:szCs w:val="21"/>
          <w:highlight w:val="none"/>
          <w:lang w:val="en-US" w:eastAsia="zh-CN"/>
        </w:rPr>
        <w:t>2、人员要求中的“加分项”作为评审因素，不满足的评标时不得分。</w:t>
      </w:r>
      <w:r>
        <w:rPr>
          <w:rFonts w:hint="eastAsia" w:ascii="仿宋_GB2312" w:hAnsi="仿宋_GB2312" w:eastAsia="仿宋_GB2312" w:cs="仿宋_GB2312"/>
          <w:color w:val="000000"/>
          <w:szCs w:val="21"/>
          <w:highlight w:val="none"/>
          <w:lang w:eastAsia="zh-CN"/>
        </w:rPr>
        <w:t xml:space="preserve"> </w:t>
      </w:r>
    </w:p>
    <w:p w14:paraId="37FF086D">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★（二）人员管理要求</w:t>
      </w:r>
    </w:p>
    <w:p w14:paraId="520AAEDF">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投标人须做出书面承诺：如获中标的话，须按照国家、省、市有关法律法规文件规定，负责为员工缴纳社保部门规定应缴的养老、医疗、失业等社会保障项目费用、以及法律法规要求企业须为员工办理的其它费用（如住房公积金等）。投标人聘用人员的工资待遇不能低于当地政府的最低工资待遇标准，若因投标人不为员工购买社会保障等原因引起员工劳资纠纷，所有责任由投标人负责。（投标时提供承诺函）</w:t>
      </w:r>
    </w:p>
    <w:p w14:paraId="4D942305">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2.投标人根据学校的实际情况合理调整人员做好学校的整体工作，如发生突发事件时，应整体调配人员，配合采购人进行现场处理。</w:t>
      </w:r>
    </w:p>
    <w:p w14:paraId="3AD8454D">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3.投标人须保证服务人员的数量和岗位，无论是在学校寒、暑假期间还是日常工作期间，投标人的岗位人员不得减少，采购人将对投标人的人员数量每月核查一次，如发现人员减少，</w:t>
      </w:r>
      <w:r>
        <w:rPr>
          <w:rFonts w:hint="eastAsia" w:ascii="仿宋_GB2312" w:hAnsi="仿宋_GB2312" w:eastAsia="仿宋_GB2312" w:cs="仿宋_GB2312"/>
          <w:szCs w:val="21"/>
          <w:lang w:val="en-US" w:eastAsia="zh-CN"/>
        </w:rPr>
        <w:t>每</w:t>
      </w:r>
      <w:r>
        <w:rPr>
          <w:rFonts w:hint="eastAsia" w:ascii="仿宋_GB2312" w:hAnsi="仿宋_GB2312" w:eastAsia="仿宋_GB2312" w:cs="仿宋_GB2312"/>
          <w:szCs w:val="21"/>
          <w:lang w:eastAsia="zh-CN"/>
        </w:rPr>
        <w:t>缺员一人超过 10 天（含10 天）以上，扣减当月物业服务费￥5000.00元/人；投标人在确保岗位要求的同时，人员数需达到要求的最少数量，每缺员一人一天，扣减当月物业服务费￥200元/人。</w:t>
      </w:r>
    </w:p>
    <w:p w14:paraId="1E926174">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4.采购人对岗位设置、人员选用与日常管理具有监督权和协调权。投标人须保证派驻学校工作人员的稳定性，如有工作人员调离，需书面通知学校相关负责人。</w:t>
      </w:r>
    </w:p>
    <w:p w14:paraId="60ABBC40">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5.投标人的工作人员须符合政府用工相关标准要求，全部人员须购买相应的劳动保险。需持有上岗证的工种须全部持有相应职位的资格上岗证方可上岗。</w:t>
      </w:r>
    </w:p>
    <w:p w14:paraId="3DDA5CA6">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6.投标人各类工作人员按岗位要求统一着装，言行规范（会使用普通话），注意仪容、公众形象。</w:t>
      </w:r>
    </w:p>
    <w:p w14:paraId="2EFE3CCD">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7.中标人的工作人员须遵守学校相关规章制度规定，如有违反或损害学校利益经教育无效，采购人有拒绝中标人违规工作人员在此工作的权利。</w:t>
      </w:r>
    </w:p>
    <w:p w14:paraId="4D48BC9B">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8.投标人需负责各工作人员的制服、劳动工具（厨房炊具除外）、劳保福利等。</w:t>
      </w:r>
    </w:p>
    <w:p w14:paraId="12A6DCCF">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9.投标人人员工作时间须符合劳动法相关规定，专技岗需执证上岗；投标人在满足岗位服务质量要求以及遵守劳动法的前提条件下、派驻足够数量的人员按值班岗(需要全天候每天24小时值班人员在岗,清洁卫生岗位除外)的岗位数量和要求的服务质量提供服务，人员相对固定,未经学校同意不得随意更换人员。岗位班次编排及在岗人员配置情况按物业服务人员配置表。</w:t>
      </w:r>
    </w:p>
    <w:p w14:paraId="423AFD67">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（三）服务管理目标</w:t>
      </w:r>
    </w:p>
    <w:p w14:paraId="5D70F6C3">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1.由于设备、设施的缺陷而预期会带来的安全隐患，投标人应及时告知采购人，否则由此引发的安全事故或财产损失由投标人负全责。</w:t>
      </w:r>
    </w:p>
    <w:p w14:paraId="52E76029">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2.投标人没有尽责管理保养维护设备设施而造成安全事故或是财产损失，由投标人负全责。</w:t>
      </w:r>
    </w:p>
    <w:p w14:paraId="5C4ACBB4">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3.合同期限内，发生与本项目相关的任何突发和应急事件，投标人须在学校要求的时间内按要求完成。</w:t>
      </w:r>
    </w:p>
    <w:p w14:paraId="4DCEAED8">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（四）其他说明</w:t>
      </w:r>
    </w:p>
    <w:p w14:paraId="79FA8912">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★1.投标人的员工在校内发生违法、违规行为或在操作过程中出现工伤等事故，所造成一切后果及损失，由投标人承担责任和负责赔偿。</w:t>
      </w:r>
    </w:p>
    <w:p w14:paraId="2C75704A">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2.投标人派驻学校的员工不尽职守的，须在接到采购人书面通知后3天内更换人员。</w:t>
      </w:r>
    </w:p>
    <w:p w14:paraId="02C30FCE">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3.投标人须接受学校检查、监督和指导，并按采购人要求提供所有相关记录台账。根据实际情况，采购方将不定期组织双方工作协调会，投标人应派出具有调配公司人、财、物等资源的项目经理或更高级别的经理参加会议，对存在的问题要按要求进行整改，并做好会议记录，没有完成整改的，扣减当月物业服务费￥200元/项。</w:t>
      </w:r>
    </w:p>
    <w:p w14:paraId="6F359DFB">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4.投标人须配合学校做好学校质量管理体系相关工作。</w:t>
      </w:r>
    </w:p>
    <w:p w14:paraId="33A23AB8">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★5.本服务项目不得转包、分包或实施其他变相管理，否则，一经发现，采购人有权责令限期改正、扣减服务，直至终止合同及没收履约保证金。（投标时提供承诺函）</w:t>
      </w:r>
    </w:p>
    <w:p w14:paraId="55173C53">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6</w:t>
      </w:r>
      <w:r>
        <w:rPr>
          <w:rFonts w:hint="eastAsia" w:ascii="仿宋_GB2312" w:hAnsi="仿宋_GB2312" w:eastAsia="仿宋_GB2312" w:cs="仿宋_GB2312"/>
          <w:szCs w:val="21"/>
          <w:lang w:eastAsia="zh-CN"/>
        </w:rPr>
        <w:t>.本服务项目不另增加“开荒费”等费用。</w:t>
      </w:r>
    </w:p>
    <w:p w14:paraId="35016686">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7</w:t>
      </w:r>
      <w:r>
        <w:rPr>
          <w:rFonts w:hint="eastAsia" w:ascii="仿宋_GB2312" w:hAnsi="仿宋_GB2312" w:eastAsia="仿宋_GB2312" w:cs="仿宋_GB2312"/>
          <w:szCs w:val="21"/>
          <w:lang w:eastAsia="zh-CN"/>
        </w:rPr>
        <w:t>.采购人为投标人提供办公室一间，电工值班房一间。项目经理须住在学校内，由采购人免费提供住宿用房，配套由投标人在征得采购人同意后自理；水电费及卫生费由投标人按实际支付。</w:t>
      </w:r>
    </w:p>
    <w:p w14:paraId="21B6B62E">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8</w:t>
      </w:r>
      <w:r>
        <w:rPr>
          <w:rFonts w:hint="eastAsia" w:ascii="仿宋_GB2312" w:hAnsi="仿宋_GB2312" w:eastAsia="仿宋_GB2312" w:cs="仿宋_GB2312"/>
          <w:szCs w:val="21"/>
          <w:lang w:eastAsia="zh-CN"/>
        </w:rPr>
        <w:t>.投标人自行承担办公桌、电脑、打印机、文件柜、工作表格、标识等自身使用的办公用品。投标人为达到采购人服务目标提供各种表格、标志、标识，不另增加费用。</w:t>
      </w:r>
    </w:p>
    <w:p w14:paraId="3A509D82">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9</w:t>
      </w:r>
      <w:r>
        <w:rPr>
          <w:rFonts w:hint="eastAsia" w:ascii="仿宋_GB2312" w:hAnsi="仿宋_GB2312" w:eastAsia="仿宋_GB2312" w:cs="仿宋_GB2312"/>
          <w:szCs w:val="21"/>
          <w:lang w:eastAsia="zh-CN"/>
        </w:rPr>
        <w:t>.配置足够的清洁卫生容器和清洗设备，包括不限于地面强力冲洗机、垃圾收集桶、用于垃圾清运运输服务的垃圾分类桶；垃圾桶外观须统一、完整、整洁卫生，如政府要求实行垃圾分类，则须严格按政府要求配足分类设施、设备等。</w:t>
      </w:r>
    </w:p>
    <w:p w14:paraId="6013973D">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10</w:t>
      </w:r>
      <w:r>
        <w:rPr>
          <w:rFonts w:hint="eastAsia" w:ascii="仿宋_GB2312" w:hAnsi="仿宋_GB2312" w:eastAsia="仿宋_GB2312" w:cs="仿宋_GB2312"/>
          <w:szCs w:val="21"/>
          <w:lang w:eastAsia="zh-CN"/>
        </w:rPr>
        <w:t>.投标人要导入物业服务6T管理（天天处理、天天整合、天天清扫、天天规范、天天检查、天天改进）和学生宿舍6S管理 (整理、整顿、清扫、清洁、素养、安全)等标准化现场管理工具，规范物业服务管理的质量标准。</w:t>
      </w:r>
    </w:p>
    <w:p w14:paraId="286FB4C7">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w:t>
      </w: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lang w:eastAsia="zh-CN"/>
        </w:rPr>
        <w:t>.合同终止投标人须把所有工作表格完好、齐全移交给采购人。否则，投标人承担产生的后果。</w:t>
      </w:r>
    </w:p>
    <w:p w14:paraId="116C5B15">
      <w:pPr>
        <w:pStyle w:val="2"/>
        <w:rPr>
          <w:rFonts w:hint="eastAsia"/>
          <w:b/>
          <w:bCs/>
          <w:lang w:eastAsia="zh-CN"/>
        </w:rPr>
      </w:pPr>
      <w:r>
        <w:rPr>
          <w:rFonts w:hint="eastAsia"/>
          <w:b/>
          <w:bCs/>
          <w:lang w:val="en-US" w:eastAsia="zh-CN"/>
        </w:rPr>
        <w:t>五、</w:t>
      </w:r>
      <w:r>
        <w:rPr>
          <w:rFonts w:hint="eastAsia"/>
          <w:b/>
          <w:bCs/>
          <w:lang w:eastAsia="zh-CN"/>
        </w:rPr>
        <w:t>考核办法及检查标准</w:t>
      </w:r>
    </w:p>
    <w:p w14:paraId="5AB65308">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（一）考核原则</w:t>
      </w:r>
    </w:p>
    <w:p w14:paraId="5284D045">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坚持平时检查与集中考核相结合，按服务项目单项考核与综合考核相结合的原则。</w:t>
      </w:r>
    </w:p>
    <w:p w14:paraId="45C0FA2F">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（二）考核范围和内容</w:t>
      </w:r>
    </w:p>
    <w:p w14:paraId="586BB92C">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1.考核范围：</w:t>
      </w:r>
    </w:p>
    <w:p w14:paraId="3C3EECF5">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根据物业管理服务、学生宿舍管理服务、设施设备维修服务、校园卫生保洁服务、校园绿化养护服务、门卫安保服务、餐饮服务、校医服务项目所涉及的内容和范围，重点考核学生宿舍管理、设施设备维修、校园保洁、绿化养护服务、餐饮服务、门卫安保服务等内容。</w:t>
      </w:r>
    </w:p>
    <w:p w14:paraId="32C32F64">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2.考核内容：</w:t>
      </w:r>
    </w:p>
    <w:p w14:paraId="455947AA">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依据本项目的管理服务质量标准与要求，对上述各服务项目的服务质量、服务评价和综合管理进行考核。在保证服务质量的前提下，采购人可通过弹性考核机制鼓励中标人提升智能化、机械化作业能力，适度更新替代传统作业模式，有效降低人工成本因素干扰度。</w:t>
      </w:r>
    </w:p>
    <w:p w14:paraId="097255E3">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（三）考核方式和标准</w:t>
      </w:r>
    </w:p>
    <w:p w14:paraId="59219CD1">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1.日常检查考核</w:t>
      </w:r>
    </w:p>
    <w:p w14:paraId="46F19384">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采购人监督管理部门安排专人根据工作计划和需要，对投标人项目组进行工作检查考核。检查的内容分单项或多项，或某个独立的事项和问题。检查发现的问题在要求期限未整改的，按每个事项或问题200元的标准扣减投标人月度管理费用。</w:t>
      </w:r>
    </w:p>
    <w:p w14:paraId="7C66BF7A">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学校物业管理和后勤服务日常检查表</w:t>
      </w:r>
    </w:p>
    <w:tbl>
      <w:tblPr>
        <w:tblStyle w:val="2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425"/>
        <w:gridCol w:w="851"/>
        <w:gridCol w:w="1701"/>
        <w:gridCol w:w="1814"/>
        <w:gridCol w:w="1163"/>
        <w:gridCol w:w="1388"/>
        <w:gridCol w:w="993"/>
      </w:tblGrid>
      <w:tr w14:paraId="07429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gridSpan w:val="2"/>
            <w:noWrap w:val="0"/>
            <w:vAlign w:val="center"/>
          </w:tcPr>
          <w:p w14:paraId="0AEBBA33">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检查时间</w:t>
            </w:r>
          </w:p>
        </w:tc>
        <w:tc>
          <w:tcPr>
            <w:tcW w:w="851" w:type="dxa"/>
            <w:noWrap w:val="0"/>
            <w:vAlign w:val="center"/>
          </w:tcPr>
          <w:p w14:paraId="63D23A1F">
            <w:pPr>
              <w:pStyle w:val="2"/>
              <w:rPr>
                <w:rFonts w:hint="eastAsia" w:ascii="仿宋_GB2312" w:hAnsi="仿宋_GB2312" w:eastAsia="仿宋_GB2312" w:cs="仿宋_GB2312"/>
                <w:kern w:val="2"/>
                <w:sz w:val="21"/>
                <w:szCs w:val="21"/>
                <w:lang w:val="en-US" w:eastAsia="zh-CN" w:bidi="ar-SA"/>
              </w:rPr>
            </w:pPr>
          </w:p>
        </w:tc>
        <w:tc>
          <w:tcPr>
            <w:tcW w:w="1701" w:type="dxa"/>
            <w:noWrap w:val="0"/>
            <w:vAlign w:val="center"/>
          </w:tcPr>
          <w:p w14:paraId="770AFFBB">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检查人</w:t>
            </w:r>
          </w:p>
        </w:tc>
        <w:tc>
          <w:tcPr>
            <w:tcW w:w="5358" w:type="dxa"/>
            <w:gridSpan w:val="4"/>
            <w:noWrap w:val="0"/>
            <w:vAlign w:val="center"/>
          </w:tcPr>
          <w:p w14:paraId="039E03EF">
            <w:pPr>
              <w:pStyle w:val="2"/>
              <w:rPr>
                <w:rFonts w:hint="eastAsia" w:ascii="仿宋_GB2312" w:hAnsi="仿宋_GB2312" w:eastAsia="仿宋_GB2312" w:cs="仿宋_GB2312"/>
                <w:kern w:val="2"/>
                <w:sz w:val="21"/>
                <w:szCs w:val="21"/>
                <w:lang w:val="en-US" w:eastAsia="zh-CN" w:bidi="ar-SA"/>
              </w:rPr>
            </w:pPr>
          </w:p>
        </w:tc>
      </w:tr>
      <w:tr w14:paraId="0F529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14:paraId="4FD00BBB">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序号</w:t>
            </w:r>
          </w:p>
        </w:tc>
        <w:tc>
          <w:tcPr>
            <w:tcW w:w="1276" w:type="dxa"/>
            <w:gridSpan w:val="2"/>
            <w:noWrap w:val="0"/>
            <w:vAlign w:val="center"/>
          </w:tcPr>
          <w:p w14:paraId="23817F29">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地点</w:t>
            </w:r>
          </w:p>
        </w:tc>
        <w:tc>
          <w:tcPr>
            <w:tcW w:w="1701" w:type="dxa"/>
            <w:noWrap w:val="0"/>
            <w:vAlign w:val="center"/>
          </w:tcPr>
          <w:p w14:paraId="4665B9B7">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检查事项或内容</w:t>
            </w:r>
          </w:p>
        </w:tc>
        <w:tc>
          <w:tcPr>
            <w:tcW w:w="1814" w:type="dxa"/>
            <w:noWrap w:val="0"/>
            <w:vAlign w:val="center"/>
          </w:tcPr>
          <w:p w14:paraId="7BE303EC">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检查情况</w:t>
            </w:r>
          </w:p>
        </w:tc>
        <w:tc>
          <w:tcPr>
            <w:tcW w:w="1163" w:type="dxa"/>
            <w:noWrap w:val="0"/>
            <w:vAlign w:val="center"/>
          </w:tcPr>
          <w:p w14:paraId="3E999253">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整改期限</w:t>
            </w:r>
          </w:p>
        </w:tc>
        <w:tc>
          <w:tcPr>
            <w:tcW w:w="1388" w:type="dxa"/>
            <w:noWrap w:val="0"/>
            <w:vAlign w:val="center"/>
          </w:tcPr>
          <w:p w14:paraId="7F34776C">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是否已整改</w:t>
            </w:r>
          </w:p>
        </w:tc>
        <w:tc>
          <w:tcPr>
            <w:tcW w:w="993" w:type="dxa"/>
            <w:noWrap w:val="0"/>
            <w:vAlign w:val="center"/>
          </w:tcPr>
          <w:p w14:paraId="6188BC7D">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签名</w:t>
            </w:r>
          </w:p>
        </w:tc>
      </w:tr>
      <w:tr w14:paraId="28C5D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14:paraId="0C9C56CB">
            <w:pPr>
              <w:pStyle w:val="2"/>
              <w:rPr>
                <w:rFonts w:hint="eastAsia"/>
                <w:lang w:eastAsia="zh-CN"/>
              </w:rPr>
            </w:pPr>
          </w:p>
        </w:tc>
        <w:tc>
          <w:tcPr>
            <w:tcW w:w="1276" w:type="dxa"/>
            <w:gridSpan w:val="2"/>
            <w:noWrap w:val="0"/>
            <w:vAlign w:val="center"/>
          </w:tcPr>
          <w:p w14:paraId="7FB0D4B0">
            <w:pPr>
              <w:pStyle w:val="2"/>
              <w:rPr>
                <w:rFonts w:hint="eastAsia"/>
                <w:lang w:eastAsia="zh-CN"/>
              </w:rPr>
            </w:pPr>
          </w:p>
        </w:tc>
        <w:tc>
          <w:tcPr>
            <w:tcW w:w="1701" w:type="dxa"/>
            <w:noWrap w:val="0"/>
            <w:vAlign w:val="center"/>
          </w:tcPr>
          <w:p w14:paraId="1EE866CD">
            <w:pPr>
              <w:pStyle w:val="2"/>
              <w:rPr>
                <w:rFonts w:hint="eastAsia"/>
                <w:lang w:eastAsia="zh-CN"/>
              </w:rPr>
            </w:pPr>
          </w:p>
        </w:tc>
        <w:tc>
          <w:tcPr>
            <w:tcW w:w="1814" w:type="dxa"/>
            <w:noWrap w:val="0"/>
            <w:vAlign w:val="center"/>
          </w:tcPr>
          <w:p w14:paraId="36862AEA">
            <w:pPr>
              <w:pStyle w:val="2"/>
              <w:rPr>
                <w:rFonts w:hint="eastAsia"/>
                <w:lang w:eastAsia="zh-CN"/>
              </w:rPr>
            </w:pPr>
          </w:p>
        </w:tc>
        <w:tc>
          <w:tcPr>
            <w:tcW w:w="1163" w:type="dxa"/>
            <w:noWrap w:val="0"/>
            <w:vAlign w:val="center"/>
          </w:tcPr>
          <w:p w14:paraId="3B4E8662">
            <w:pPr>
              <w:pStyle w:val="2"/>
              <w:rPr>
                <w:rFonts w:hint="eastAsia"/>
                <w:lang w:eastAsia="zh-CN"/>
              </w:rPr>
            </w:pPr>
          </w:p>
        </w:tc>
        <w:tc>
          <w:tcPr>
            <w:tcW w:w="1388" w:type="dxa"/>
            <w:noWrap w:val="0"/>
            <w:vAlign w:val="center"/>
          </w:tcPr>
          <w:p w14:paraId="2CFC3995">
            <w:pPr>
              <w:pStyle w:val="2"/>
              <w:rPr>
                <w:rFonts w:hint="eastAsia"/>
                <w:lang w:eastAsia="zh-CN"/>
              </w:rPr>
            </w:pPr>
          </w:p>
        </w:tc>
        <w:tc>
          <w:tcPr>
            <w:tcW w:w="993" w:type="dxa"/>
            <w:noWrap w:val="0"/>
            <w:vAlign w:val="center"/>
          </w:tcPr>
          <w:p w14:paraId="6EED8C6B">
            <w:pPr>
              <w:pStyle w:val="2"/>
              <w:rPr>
                <w:rFonts w:hint="eastAsia"/>
                <w:lang w:eastAsia="zh-CN"/>
              </w:rPr>
            </w:pPr>
          </w:p>
        </w:tc>
      </w:tr>
      <w:tr w14:paraId="4E6BD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14:paraId="55F0466D">
            <w:pPr>
              <w:pStyle w:val="2"/>
              <w:rPr>
                <w:rFonts w:hint="eastAsia"/>
                <w:lang w:eastAsia="zh-CN"/>
              </w:rPr>
            </w:pPr>
          </w:p>
        </w:tc>
        <w:tc>
          <w:tcPr>
            <w:tcW w:w="1276" w:type="dxa"/>
            <w:gridSpan w:val="2"/>
            <w:noWrap w:val="0"/>
            <w:vAlign w:val="center"/>
          </w:tcPr>
          <w:p w14:paraId="1C1FB971">
            <w:pPr>
              <w:pStyle w:val="2"/>
              <w:rPr>
                <w:rFonts w:hint="eastAsia"/>
                <w:lang w:eastAsia="zh-CN"/>
              </w:rPr>
            </w:pPr>
          </w:p>
        </w:tc>
        <w:tc>
          <w:tcPr>
            <w:tcW w:w="1701" w:type="dxa"/>
            <w:noWrap w:val="0"/>
            <w:vAlign w:val="center"/>
          </w:tcPr>
          <w:p w14:paraId="41EB1617">
            <w:pPr>
              <w:pStyle w:val="2"/>
              <w:rPr>
                <w:rFonts w:hint="eastAsia"/>
                <w:lang w:eastAsia="zh-CN"/>
              </w:rPr>
            </w:pPr>
          </w:p>
        </w:tc>
        <w:tc>
          <w:tcPr>
            <w:tcW w:w="1814" w:type="dxa"/>
            <w:noWrap w:val="0"/>
            <w:vAlign w:val="center"/>
          </w:tcPr>
          <w:p w14:paraId="3086DEBC">
            <w:pPr>
              <w:pStyle w:val="2"/>
              <w:rPr>
                <w:rFonts w:hint="eastAsia"/>
                <w:lang w:eastAsia="zh-CN"/>
              </w:rPr>
            </w:pPr>
          </w:p>
        </w:tc>
        <w:tc>
          <w:tcPr>
            <w:tcW w:w="1163" w:type="dxa"/>
            <w:noWrap w:val="0"/>
            <w:vAlign w:val="center"/>
          </w:tcPr>
          <w:p w14:paraId="59189CC9">
            <w:pPr>
              <w:pStyle w:val="2"/>
              <w:rPr>
                <w:rFonts w:hint="eastAsia"/>
                <w:lang w:eastAsia="zh-CN"/>
              </w:rPr>
            </w:pPr>
          </w:p>
        </w:tc>
        <w:tc>
          <w:tcPr>
            <w:tcW w:w="1388" w:type="dxa"/>
            <w:noWrap w:val="0"/>
            <w:vAlign w:val="center"/>
          </w:tcPr>
          <w:p w14:paraId="73F4E6A1">
            <w:pPr>
              <w:pStyle w:val="2"/>
              <w:rPr>
                <w:rFonts w:hint="eastAsia"/>
                <w:lang w:eastAsia="zh-CN"/>
              </w:rPr>
            </w:pPr>
          </w:p>
        </w:tc>
        <w:tc>
          <w:tcPr>
            <w:tcW w:w="993" w:type="dxa"/>
            <w:noWrap w:val="0"/>
            <w:vAlign w:val="center"/>
          </w:tcPr>
          <w:p w14:paraId="4448C461">
            <w:pPr>
              <w:pStyle w:val="2"/>
              <w:rPr>
                <w:rFonts w:hint="eastAsia"/>
                <w:lang w:eastAsia="zh-CN"/>
              </w:rPr>
            </w:pPr>
          </w:p>
        </w:tc>
      </w:tr>
      <w:tr w14:paraId="173CB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14:paraId="56103ECF">
            <w:pPr>
              <w:pStyle w:val="2"/>
              <w:rPr>
                <w:rFonts w:hint="eastAsia"/>
                <w:lang w:eastAsia="zh-CN"/>
              </w:rPr>
            </w:pPr>
          </w:p>
        </w:tc>
        <w:tc>
          <w:tcPr>
            <w:tcW w:w="1276" w:type="dxa"/>
            <w:gridSpan w:val="2"/>
            <w:noWrap w:val="0"/>
            <w:vAlign w:val="center"/>
          </w:tcPr>
          <w:p w14:paraId="3BA9E934">
            <w:pPr>
              <w:pStyle w:val="2"/>
              <w:rPr>
                <w:rFonts w:hint="eastAsia"/>
                <w:lang w:eastAsia="zh-CN"/>
              </w:rPr>
            </w:pPr>
          </w:p>
        </w:tc>
        <w:tc>
          <w:tcPr>
            <w:tcW w:w="1701" w:type="dxa"/>
            <w:noWrap w:val="0"/>
            <w:vAlign w:val="center"/>
          </w:tcPr>
          <w:p w14:paraId="5F7407C4">
            <w:pPr>
              <w:pStyle w:val="2"/>
              <w:rPr>
                <w:rFonts w:hint="eastAsia"/>
                <w:lang w:eastAsia="zh-CN"/>
              </w:rPr>
            </w:pPr>
          </w:p>
        </w:tc>
        <w:tc>
          <w:tcPr>
            <w:tcW w:w="1814" w:type="dxa"/>
            <w:noWrap w:val="0"/>
            <w:vAlign w:val="center"/>
          </w:tcPr>
          <w:p w14:paraId="78EC41B2">
            <w:pPr>
              <w:pStyle w:val="2"/>
              <w:rPr>
                <w:rFonts w:hint="eastAsia"/>
                <w:lang w:eastAsia="zh-CN"/>
              </w:rPr>
            </w:pPr>
          </w:p>
        </w:tc>
        <w:tc>
          <w:tcPr>
            <w:tcW w:w="1163" w:type="dxa"/>
            <w:noWrap w:val="0"/>
            <w:vAlign w:val="center"/>
          </w:tcPr>
          <w:p w14:paraId="46807972">
            <w:pPr>
              <w:pStyle w:val="2"/>
              <w:rPr>
                <w:rFonts w:hint="eastAsia"/>
                <w:lang w:eastAsia="zh-CN"/>
              </w:rPr>
            </w:pPr>
          </w:p>
        </w:tc>
        <w:tc>
          <w:tcPr>
            <w:tcW w:w="1388" w:type="dxa"/>
            <w:noWrap w:val="0"/>
            <w:vAlign w:val="center"/>
          </w:tcPr>
          <w:p w14:paraId="65010242">
            <w:pPr>
              <w:pStyle w:val="2"/>
              <w:rPr>
                <w:rFonts w:hint="eastAsia"/>
                <w:lang w:eastAsia="zh-CN"/>
              </w:rPr>
            </w:pPr>
          </w:p>
        </w:tc>
        <w:tc>
          <w:tcPr>
            <w:tcW w:w="993" w:type="dxa"/>
            <w:noWrap w:val="0"/>
            <w:vAlign w:val="center"/>
          </w:tcPr>
          <w:p w14:paraId="6EFE8414">
            <w:pPr>
              <w:pStyle w:val="2"/>
              <w:rPr>
                <w:rFonts w:hint="eastAsia"/>
                <w:lang w:eastAsia="zh-CN"/>
              </w:rPr>
            </w:pPr>
          </w:p>
        </w:tc>
      </w:tr>
      <w:tr w14:paraId="2E3E1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14:paraId="4B16C0B8">
            <w:pPr>
              <w:pStyle w:val="2"/>
              <w:rPr>
                <w:rFonts w:hint="eastAsia"/>
                <w:lang w:eastAsia="zh-CN"/>
              </w:rPr>
            </w:pPr>
          </w:p>
        </w:tc>
        <w:tc>
          <w:tcPr>
            <w:tcW w:w="1276" w:type="dxa"/>
            <w:gridSpan w:val="2"/>
            <w:noWrap w:val="0"/>
            <w:vAlign w:val="center"/>
          </w:tcPr>
          <w:p w14:paraId="19E1E561">
            <w:pPr>
              <w:pStyle w:val="2"/>
              <w:rPr>
                <w:rFonts w:hint="eastAsia"/>
                <w:lang w:eastAsia="zh-CN"/>
              </w:rPr>
            </w:pPr>
          </w:p>
        </w:tc>
        <w:tc>
          <w:tcPr>
            <w:tcW w:w="1701" w:type="dxa"/>
            <w:noWrap w:val="0"/>
            <w:vAlign w:val="center"/>
          </w:tcPr>
          <w:p w14:paraId="003FE7E5">
            <w:pPr>
              <w:pStyle w:val="2"/>
              <w:rPr>
                <w:rFonts w:hint="eastAsia"/>
                <w:lang w:eastAsia="zh-CN"/>
              </w:rPr>
            </w:pPr>
          </w:p>
        </w:tc>
        <w:tc>
          <w:tcPr>
            <w:tcW w:w="1814" w:type="dxa"/>
            <w:noWrap w:val="0"/>
            <w:vAlign w:val="center"/>
          </w:tcPr>
          <w:p w14:paraId="5F27AA69">
            <w:pPr>
              <w:pStyle w:val="2"/>
              <w:rPr>
                <w:rFonts w:hint="eastAsia"/>
                <w:lang w:eastAsia="zh-CN"/>
              </w:rPr>
            </w:pPr>
          </w:p>
        </w:tc>
        <w:tc>
          <w:tcPr>
            <w:tcW w:w="1163" w:type="dxa"/>
            <w:noWrap w:val="0"/>
            <w:vAlign w:val="center"/>
          </w:tcPr>
          <w:p w14:paraId="5D45E73F">
            <w:pPr>
              <w:pStyle w:val="2"/>
              <w:rPr>
                <w:rFonts w:hint="eastAsia"/>
                <w:lang w:eastAsia="zh-CN"/>
              </w:rPr>
            </w:pPr>
          </w:p>
        </w:tc>
        <w:tc>
          <w:tcPr>
            <w:tcW w:w="1388" w:type="dxa"/>
            <w:noWrap w:val="0"/>
            <w:vAlign w:val="center"/>
          </w:tcPr>
          <w:p w14:paraId="43847E84">
            <w:pPr>
              <w:pStyle w:val="2"/>
              <w:rPr>
                <w:rFonts w:hint="eastAsia"/>
                <w:lang w:eastAsia="zh-CN"/>
              </w:rPr>
            </w:pPr>
          </w:p>
        </w:tc>
        <w:tc>
          <w:tcPr>
            <w:tcW w:w="993" w:type="dxa"/>
            <w:noWrap w:val="0"/>
            <w:vAlign w:val="center"/>
          </w:tcPr>
          <w:p w14:paraId="70FEFF87">
            <w:pPr>
              <w:pStyle w:val="2"/>
              <w:rPr>
                <w:rFonts w:hint="eastAsia"/>
                <w:lang w:eastAsia="zh-CN"/>
              </w:rPr>
            </w:pPr>
          </w:p>
        </w:tc>
      </w:tr>
    </w:tbl>
    <w:p w14:paraId="6151D425">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投标人项目组须设置登记薄，每个服务项目进行登记。登记薄的具体内容由双方依据合同约定共同协商确定。登记薄放置在服务项目的明显位置，由服务人员每日完成任务后如实填写，学校随机检查，发现弄虚作假的，第一次扣当月总评分5分，第二次扣当月总评分10分，三次以上（含三次）直接按当月总评分不合格处理。</w:t>
      </w:r>
    </w:p>
    <w:p w14:paraId="577B7204">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2、月度工作考核</w:t>
      </w:r>
    </w:p>
    <w:p w14:paraId="31F905DA">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学校物业管理和后勤服务月度工作考核表</w:t>
      </w:r>
    </w:p>
    <w:tbl>
      <w:tblPr>
        <w:tblStyle w:val="21"/>
        <w:tblW w:w="8797" w:type="dxa"/>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61"/>
        <w:gridCol w:w="1707"/>
        <w:gridCol w:w="5295"/>
        <w:gridCol w:w="567"/>
        <w:gridCol w:w="567"/>
      </w:tblGrid>
      <w:tr w14:paraId="37773F3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661" w:type="dxa"/>
            <w:tcBorders>
              <w:top w:val="outset" w:color="auto" w:sz="6" w:space="0"/>
              <w:left w:val="outset" w:color="auto" w:sz="6" w:space="0"/>
              <w:bottom w:val="outset" w:color="auto" w:sz="6" w:space="0"/>
              <w:right w:val="outset" w:color="auto" w:sz="6" w:space="0"/>
            </w:tcBorders>
            <w:noWrap w:val="0"/>
            <w:vAlign w:val="center"/>
          </w:tcPr>
          <w:p w14:paraId="4ED579A1">
            <w:pPr>
              <w:pStyle w:val="2"/>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序 号</w:t>
            </w:r>
          </w:p>
        </w:tc>
        <w:tc>
          <w:tcPr>
            <w:tcW w:w="1707" w:type="dxa"/>
            <w:tcBorders>
              <w:top w:val="outset" w:color="auto" w:sz="6" w:space="0"/>
              <w:left w:val="outset" w:color="auto" w:sz="6" w:space="0"/>
              <w:bottom w:val="outset" w:color="auto" w:sz="6" w:space="0"/>
              <w:right w:val="outset" w:color="auto" w:sz="6" w:space="0"/>
            </w:tcBorders>
            <w:noWrap w:val="0"/>
            <w:vAlign w:val="center"/>
          </w:tcPr>
          <w:p w14:paraId="1FCD573D">
            <w:pPr>
              <w:pStyle w:val="2"/>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考核项目及分值</w:t>
            </w:r>
          </w:p>
        </w:tc>
        <w:tc>
          <w:tcPr>
            <w:tcW w:w="5295" w:type="dxa"/>
            <w:tcBorders>
              <w:top w:val="outset" w:color="auto" w:sz="6" w:space="0"/>
              <w:left w:val="outset" w:color="auto" w:sz="6" w:space="0"/>
              <w:bottom w:val="outset" w:color="auto" w:sz="6" w:space="0"/>
              <w:right w:val="outset" w:color="auto" w:sz="6" w:space="0"/>
            </w:tcBorders>
            <w:noWrap w:val="0"/>
            <w:vAlign w:val="center"/>
          </w:tcPr>
          <w:p w14:paraId="57CB3E96">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考  核  内  容</w:t>
            </w:r>
          </w:p>
        </w:tc>
        <w:tc>
          <w:tcPr>
            <w:tcW w:w="567" w:type="dxa"/>
            <w:tcBorders>
              <w:top w:val="outset" w:color="auto" w:sz="6" w:space="0"/>
              <w:left w:val="outset" w:color="auto" w:sz="6" w:space="0"/>
              <w:bottom w:val="outset" w:color="auto" w:sz="6" w:space="0"/>
              <w:right w:val="outset" w:color="auto" w:sz="6" w:space="0"/>
            </w:tcBorders>
            <w:noWrap w:val="0"/>
            <w:vAlign w:val="center"/>
          </w:tcPr>
          <w:p w14:paraId="2067207C">
            <w:pPr>
              <w:pStyle w:val="2"/>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分值</w:t>
            </w:r>
          </w:p>
        </w:tc>
        <w:tc>
          <w:tcPr>
            <w:tcW w:w="567" w:type="dxa"/>
            <w:tcBorders>
              <w:top w:val="outset" w:color="auto" w:sz="6" w:space="0"/>
              <w:left w:val="outset" w:color="auto" w:sz="6" w:space="0"/>
              <w:bottom w:val="outset" w:color="auto" w:sz="6" w:space="0"/>
              <w:right w:val="outset" w:color="auto" w:sz="6" w:space="0"/>
            </w:tcBorders>
            <w:noWrap w:val="0"/>
            <w:vAlign w:val="center"/>
          </w:tcPr>
          <w:p w14:paraId="7DD8AC00">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得分</w:t>
            </w:r>
          </w:p>
        </w:tc>
      </w:tr>
      <w:tr w14:paraId="71E7C06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661" w:type="dxa"/>
            <w:vMerge w:val="restart"/>
            <w:tcBorders>
              <w:top w:val="outset" w:color="auto" w:sz="6" w:space="0"/>
              <w:left w:val="outset" w:color="auto" w:sz="6" w:space="0"/>
              <w:bottom w:val="outset" w:color="auto" w:sz="6" w:space="0"/>
              <w:right w:val="outset" w:color="auto" w:sz="6" w:space="0"/>
            </w:tcBorders>
            <w:noWrap w:val="0"/>
            <w:vAlign w:val="center"/>
          </w:tcPr>
          <w:p w14:paraId="4F69566A">
            <w:pPr>
              <w:pStyle w:val="2"/>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一</w:t>
            </w:r>
          </w:p>
        </w:tc>
        <w:tc>
          <w:tcPr>
            <w:tcW w:w="1707" w:type="dxa"/>
            <w:vMerge w:val="restart"/>
            <w:tcBorders>
              <w:top w:val="outset" w:color="auto" w:sz="6" w:space="0"/>
              <w:left w:val="outset" w:color="auto" w:sz="6" w:space="0"/>
              <w:bottom w:val="outset" w:color="auto" w:sz="6" w:space="0"/>
              <w:right w:val="outset" w:color="auto" w:sz="6" w:space="0"/>
            </w:tcBorders>
            <w:noWrap w:val="0"/>
            <w:vAlign w:val="center"/>
          </w:tcPr>
          <w:p w14:paraId="6EA1FE50">
            <w:pPr>
              <w:pStyle w:val="2"/>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安全管理</w:t>
            </w:r>
          </w:p>
          <w:p w14:paraId="11E898D8">
            <w:pPr>
              <w:pStyle w:val="2"/>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（15分）</w:t>
            </w:r>
          </w:p>
        </w:tc>
        <w:tc>
          <w:tcPr>
            <w:tcW w:w="5295" w:type="dxa"/>
            <w:tcBorders>
              <w:top w:val="outset" w:color="auto" w:sz="6" w:space="0"/>
              <w:left w:val="outset" w:color="auto" w:sz="6" w:space="0"/>
              <w:bottom w:val="single" w:color="auto" w:sz="4" w:space="0"/>
              <w:right w:val="outset" w:color="auto" w:sz="6" w:space="0"/>
            </w:tcBorders>
            <w:noWrap w:val="0"/>
            <w:vAlign w:val="center"/>
          </w:tcPr>
          <w:p w14:paraId="30AE6804">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安全、消防制度规范健全，基础档案齐全</w:t>
            </w:r>
          </w:p>
        </w:tc>
        <w:tc>
          <w:tcPr>
            <w:tcW w:w="567" w:type="dxa"/>
            <w:tcBorders>
              <w:top w:val="outset" w:color="auto" w:sz="6" w:space="0"/>
              <w:left w:val="outset" w:color="auto" w:sz="6" w:space="0"/>
              <w:bottom w:val="single" w:color="auto" w:sz="4" w:space="0"/>
              <w:right w:val="outset" w:color="auto" w:sz="6" w:space="0"/>
            </w:tcBorders>
            <w:noWrap w:val="0"/>
            <w:vAlign w:val="center"/>
          </w:tcPr>
          <w:p w14:paraId="02581D76">
            <w:pPr>
              <w:pStyle w:val="2"/>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w:t>
            </w:r>
          </w:p>
        </w:tc>
        <w:tc>
          <w:tcPr>
            <w:tcW w:w="567" w:type="dxa"/>
            <w:tcBorders>
              <w:top w:val="outset" w:color="auto" w:sz="6" w:space="0"/>
              <w:left w:val="outset" w:color="auto" w:sz="6" w:space="0"/>
              <w:bottom w:val="outset" w:color="auto" w:sz="6" w:space="0"/>
              <w:right w:val="outset" w:color="auto" w:sz="6" w:space="0"/>
            </w:tcBorders>
            <w:noWrap w:val="0"/>
            <w:vAlign w:val="center"/>
          </w:tcPr>
          <w:p w14:paraId="246AF5A8">
            <w:pPr>
              <w:pStyle w:val="2"/>
              <w:rPr>
                <w:rFonts w:hint="eastAsia" w:ascii="仿宋_GB2312" w:hAnsi="仿宋_GB2312" w:eastAsia="仿宋_GB2312" w:cs="仿宋_GB2312"/>
                <w:kern w:val="2"/>
                <w:sz w:val="21"/>
                <w:szCs w:val="21"/>
                <w:lang w:val="en-US" w:eastAsia="zh-CN" w:bidi="ar-SA"/>
              </w:rPr>
            </w:pPr>
          </w:p>
        </w:tc>
      </w:tr>
      <w:tr w14:paraId="29DA916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661" w:type="dxa"/>
            <w:vMerge w:val="continue"/>
            <w:tcBorders>
              <w:top w:val="outset" w:color="auto" w:sz="6" w:space="0"/>
              <w:left w:val="outset" w:color="auto" w:sz="6" w:space="0"/>
              <w:bottom w:val="outset" w:color="auto" w:sz="6" w:space="0"/>
              <w:right w:val="outset" w:color="auto" w:sz="6" w:space="0"/>
            </w:tcBorders>
            <w:noWrap w:val="0"/>
            <w:vAlign w:val="center"/>
          </w:tcPr>
          <w:p w14:paraId="407DA1DF">
            <w:pPr>
              <w:pStyle w:val="2"/>
              <w:jc w:val="center"/>
              <w:rPr>
                <w:rFonts w:hint="eastAsia" w:ascii="仿宋_GB2312" w:hAnsi="仿宋_GB2312" w:eastAsia="仿宋_GB2312" w:cs="仿宋_GB2312"/>
                <w:kern w:val="2"/>
                <w:sz w:val="21"/>
                <w:szCs w:val="21"/>
                <w:lang w:val="en-US" w:eastAsia="zh-CN" w:bidi="ar-SA"/>
              </w:rPr>
            </w:pPr>
          </w:p>
        </w:tc>
        <w:tc>
          <w:tcPr>
            <w:tcW w:w="1707" w:type="dxa"/>
            <w:vMerge w:val="continue"/>
            <w:tcBorders>
              <w:top w:val="outset" w:color="auto" w:sz="6" w:space="0"/>
              <w:left w:val="outset" w:color="auto" w:sz="6" w:space="0"/>
              <w:bottom w:val="outset" w:color="auto" w:sz="6" w:space="0"/>
              <w:right w:val="outset" w:color="auto" w:sz="6" w:space="0"/>
            </w:tcBorders>
            <w:noWrap w:val="0"/>
            <w:vAlign w:val="center"/>
          </w:tcPr>
          <w:p w14:paraId="5D0A0633">
            <w:pPr>
              <w:pStyle w:val="2"/>
              <w:jc w:val="center"/>
              <w:rPr>
                <w:rFonts w:hint="eastAsia" w:ascii="仿宋_GB2312" w:hAnsi="仿宋_GB2312" w:eastAsia="仿宋_GB2312" w:cs="仿宋_GB2312"/>
                <w:kern w:val="2"/>
                <w:sz w:val="21"/>
                <w:szCs w:val="21"/>
                <w:lang w:val="en-US" w:eastAsia="zh-CN" w:bidi="ar-SA"/>
              </w:rPr>
            </w:pPr>
          </w:p>
        </w:tc>
        <w:tc>
          <w:tcPr>
            <w:tcW w:w="5295" w:type="dxa"/>
            <w:tcBorders>
              <w:top w:val="single" w:color="auto" w:sz="4" w:space="0"/>
              <w:left w:val="outset" w:color="auto" w:sz="6" w:space="0"/>
              <w:bottom w:val="outset" w:color="auto" w:sz="6" w:space="0"/>
              <w:right w:val="single" w:color="auto" w:sz="4" w:space="0"/>
            </w:tcBorders>
            <w:noWrap w:val="0"/>
            <w:vAlign w:val="center"/>
          </w:tcPr>
          <w:p w14:paraId="0CB27483">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有楼宇的钥匙管理制度，登记手续齐全</w:t>
            </w:r>
          </w:p>
        </w:tc>
        <w:tc>
          <w:tcPr>
            <w:tcW w:w="567" w:type="dxa"/>
            <w:tcBorders>
              <w:top w:val="single" w:color="auto" w:sz="4" w:space="0"/>
              <w:left w:val="single" w:color="auto" w:sz="4" w:space="0"/>
              <w:bottom w:val="single" w:color="auto" w:sz="4" w:space="0"/>
              <w:right w:val="outset" w:color="auto" w:sz="6" w:space="0"/>
            </w:tcBorders>
            <w:noWrap w:val="0"/>
            <w:vAlign w:val="center"/>
          </w:tcPr>
          <w:p w14:paraId="01A606E6">
            <w:pPr>
              <w:pStyle w:val="2"/>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w:t>
            </w:r>
          </w:p>
        </w:tc>
        <w:tc>
          <w:tcPr>
            <w:tcW w:w="567" w:type="dxa"/>
            <w:tcBorders>
              <w:top w:val="outset" w:color="auto" w:sz="6" w:space="0"/>
              <w:left w:val="outset" w:color="auto" w:sz="6" w:space="0"/>
              <w:bottom w:val="outset" w:color="auto" w:sz="6" w:space="0"/>
              <w:right w:val="outset" w:color="auto" w:sz="6" w:space="0"/>
            </w:tcBorders>
            <w:noWrap w:val="0"/>
            <w:vAlign w:val="center"/>
          </w:tcPr>
          <w:p w14:paraId="59B5E5E0">
            <w:pPr>
              <w:pStyle w:val="2"/>
              <w:rPr>
                <w:rFonts w:hint="eastAsia" w:ascii="仿宋_GB2312" w:hAnsi="仿宋_GB2312" w:eastAsia="仿宋_GB2312" w:cs="仿宋_GB2312"/>
                <w:kern w:val="2"/>
                <w:sz w:val="21"/>
                <w:szCs w:val="21"/>
                <w:lang w:val="en-US" w:eastAsia="zh-CN" w:bidi="ar-SA"/>
              </w:rPr>
            </w:pPr>
          </w:p>
        </w:tc>
      </w:tr>
      <w:tr w14:paraId="277049D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661" w:type="dxa"/>
            <w:vMerge w:val="continue"/>
            <w:tcBorders>
              <w:top w:val="outset" w:color="auto" w:sz="6" w:space="0"/>
              <w:left w:val="outset" w:color="auto" w:sz="6" w:space="0"/>
              <w:bottom w:val="outset" w:color="auto" w:sz="6" w:space="0"/>
              <w:right w:val="outset" w:color="auto" w:sz="6" w:space="0"/>
            </w:tcBorders>
            <w:noWrap w:val="0"/>
            <w:vAlign w:val="center"/>
          </w:tcPr>
          <w:p w14:paraId="719D221E">
            <w:pPr>
              <w:pStyle w:val="2"/>
              <w:jc w:val="center"/>
              <w:rPr>
                <w:rFonts w:hint="eastAsia" w:ascii="仿宋_GB2312" w:hAnsi="仿宋_GB2312" w:eastAsia="仿宋_GB2312" w:cs="仿宋_GB2312"/>
                <w:kern w:val="2"/>
                <w:sz w:val="21"/>
                <w:szCs w:val="21"/>
                <w:lang w:val="en-US" w:eastAsia="zh-CN" w:bidi="ar-SA"/>
              </w:rPr>
            </w:pPr>
          </w:p>
        </w:tc>
        <w:tc>
          <w:tcPr>
            <w:tcW w:w="1707" w:type="dxa"/>
            <w:vMerge w:val="continue"/>
            <w:tcBorders>
              <w:top w:val="outset" w:color="auto" w:sz="6" w:space="0"/>
              <w:left w:val="outset" w:color="auto" w:sz="6" w:space="0"/>
              <w:bottom w:val="outset" w:color="auto" w:sz="6" w:space="0"/>
              <w:right w:val="outset" w:color="auto" w:sz="6" w:space="0"/>
            </w:tcBorders>
            <w:noWrap w:val="0"/>
            <w:vAlign w:val="center"/>
          </w:tcPr>
          <w:p w14:paraId="428FA3FA">
            <w:pPr>
              <w:pStyle w:val="2"/>
              <w:jc w:val="center"/>
              <w:rPr>
                <w:rFonts w:hint="eastAsia" w:ascii="仿宋_GB2312" w:hAnsi="仿宋_GB2312" w:eastAsia="仿宋_GB2312" w:cs="仿宋_GB2312"/>
                <w:kern w:val="2"/>
                <w:sz w:val="21"/>
                <w:szCs w:val="21"/>
                <w:lang w:val="en-US" w:eastAsia="zh-CN" w:bidi="ar-SA"/>
              </w:rPr>
            </w:pPr>
          </w:p>
        </w:tc>
        <w:tc>
          <w:tcPr>
            <w:tcW w:w="5295" w:type="dxa"/>
            <w:tcBorders>
              <w:top w:val="outset" w:color="auto" w:sz="6" w:space="0"/>
              <w:left w:val="outset" w:color="auto" w:sz="6" w:space="0"/>
              <w:bottom w:val="outset" w:color="auto" w:sz="6" w:space="0"/>
              <w:right w:val="single" w:color="auto" w:sz="4" w:space="0"/>
            </w:tcBorders>
            <w:noWrap w:val="0"/>
            <w:vAlign w:val="center"/>
          </w:tcPr>
          <w:p w14:paraId="0A6C29B2">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员工会正确使用安全消防器材，持证上岗</w:t>
            </w:r>
          </w:p>
        </w:tc>
        <w:tc>
          <w:tcPr>
            <w:tcW w:w="567" w:type="dxa"/>
            <w:tcBorders>
              <w:top w:val="single" w:color="auto" w:sz="4" w:space="0"/>
              <w:left w:val="single" w:color="auto" w:sz="4" w:space="0"/>
              <w:bottom w:val="single" w:color="auto" w:sz="4" w:space="0"/>
              <w:right w:val="outset" w:color="auto" w:sz="6" w:space="0"/>
            </w:tcBorders>
            <w:noWrap w:val="0"/>
            <w:vAlign w:val="center"/>
          </w:tcPr>
          <w:p w14:paraId="2C66C8C2">
            <w:pPr>
              <w:pStyle w:val="2"/>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w:t>
            </w:r>
          </w:p>
        </w:tc>
        <w:tc>
          <w:tcPr>
            <w:tcW w:w="567" w:type="dxa"/>
            <w:tcBorders>
              <w:top w:val="outset" w:color="auto" w:sz="6" w:space="0"/>
              <w:left w:val="outset" w:color="auto" w:sz="6" w:space="0"/>
              <w:bottom w:val="outset" w:color="auto" w:sz="6" w:space="0"/>
              <w:right w:val="outset" w:color="auto" w:sz="6" w:space="0"/>
            </w:tcBorders>
            <w:noWrap w:val="0"/>
            <w:vAlign w:val="center"/>
          </w:tcPr>
          <w:p w14:paraId="53CD0FBB">
            <w:pPr>
              <w:pStyle w:val="2"/>
              <w:rPr>
                <w:rFonts w:hint="eastAsia" w:ascii="仿宋_GB2312" w:hAnsi="仿宋_GB2312" w:eastAsia="仿宋_GB2312" w:cs="仿宋_GB2312"/>
                <w:kern w:val="2"/>
                <w:sz w:val="21"/>
                <w:szCs w:val="21"/>
                <w:lang w:val="en-US" w:eastAsia="zh-CN" w:bidi="ar-SA"/>
              </w:rPr>
            </w:pPr>
          </w:p>
        </w:tc>
      </w:tr>
      <w:tr w14:paraId="63A7D26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661" w:type="dxa"/>
            <w:vMerge w:val="continue"/>
            <w:tcBorders>
              <w:top w:val="outset" w:color="auto" w:sz="6" w:space="0"/>
              <w:left w:val="outset" w:color="auto" w:sz="6" w:space="0"/>
              <w:bottom w:val="outset" w:color="auto" w:sz="6" w:space="0"/>
              <w:right w:val="outset" w:color="auto" w:sz="6" w:space="0"/>
            </w:tcBorders>
            <w:noWrap w:val="0"/>
            <w:vAlign w:val="center"/>
          </w:tcPr>
          <w:p w14:paraId="220B1192">
            <w:pPr>
              <w:pStyle w:val="2"/>
              <w:jc w:val="center"/>
              <w:rPr>
                <w:rFonts w:hint="eastAsia" w:ascii="仿宋_GB2312" w:hAnsi="仿宋_GB2312" w:eastAsia="仿宋_GB2312" w:cs="仿宋_GB2312"/>
                <w:kern w:val="2"/>
                <w:sz w:val="21"/>
                <w:szCs w:val="21"/>
                <w:lang w:val="en-US" w:eastAsia="zh-CN" w:bidi="ar-SA"/>
              </w:rPr>
            </w:pPr>
          </w:p>
        </w:tc>
        <w:tc>
          <w:tcPr>
            <w:tcW w:w="1707" w:type="dxa"/>
            <w:vMerge w:val="continue"/>
            <w:tcBorders>
              <w:top w:val="outset" w:color="auto" w:sz="6" w:space="0"/>
              <w:left w:val="outset" w:color="auto" w:sz="6" w:space="0"/>
              <w:bottom w:val="outset" w:color="auto" w:sz="6" w:space="0"/>
              <w:right w:val="outset" w:color="auto" w:sz="6" w:space="0"/>
            </w:tcBorders>
            <w:noWrap w:val="0"/>
            <w:vAlign w:val="center"/>
          </w:tcPr>
          <w:p w14:paraId="55B5A1C4">
            <w:pPr>
              <w:pStyle w:val="2"/>
              <w:jc w:val="center"/>
              <w:rPr>
                <w:rFonts w:hint="eastAsia" w:ascii="仿宋_GB2312" w:hAnsi="仿宋_GB2312" w:eastAsia="仿宋_GB2312" w:cs="仿宋_GB2312"/>
                <w:kern w:val="2"/>
                <w:sz w:val="21"/>
                <w:szCs w:val="21"/>
                <w:lang w:val="en-US" w:eastAsia="zh-CN" w:bidi="ar-SA"/>
              </w:rPr>
            </w:pPr>
          </w:p>
        </w:tc>
        <w:tc>
          <w:tcPr>
            <w:tcW w:w="5295" w:type="dxa"/>
            <w:tcBorders>
              <w:top w:val="outset" w:color="auto" w:sz="6" w:space="0"/>
              <w:left w:val="outset" w:color="auto" w:sz="6" w:space="0"/>
              <w:bottom w:val="outset" w:color="auto" w:sz="6" w:space="0"/>
              <w:right w:val="single" w:color="auto" w:sz="4" w:space="0"/>
            </w:tcBorders>
            <w:noWrap w:val="0"/>
            <w:vAlign w:val="center"/>
          </w:tcPr>
          <w:p w14:paraId="0FFC5A80">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有突发事件工作预案，及时处理紧急情况</w:t>
            </w:r>
          </w:p>
        </w:tc>
        <w:tc>
          <w:tcPr>
            <w:tcW w:w="567" w:type="dxa"/>
            <w:tcBorders>
              <w:top w:val="single" w:color="auto" w:sz="4" w:space="0"/>
              <w:left w:val="single" w:color="auto" w:sz="4" w:space="0"/>
              <w:bottom w:val="single" w:color="auto" w:sz="4" w:space="0"/>
              <w:right w:val="outset" w:color="auto" w:sz="6" w:space="0"/>
            </w:tcBorders>
            <w:noWrap w:val="0"/>
            <w:vAlign w:val="center"/>
          </w:tcPr>
          <w:p w14:paraId="4C507117">
            <w:pPr>
              <w:pStyle w:val="2"/>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w:t>
            </w:r>
          </w:p>
        </w:tc>
        <w:tc>
          <w:tcPr>
            <w:tcW w:w="567" w:type="dxa"/>
            <w:tcBorders>
              <w:top w:val="outset" w:color="auto" w:sz="6" w:space="0"/>
              <w:left w:val="outset" w:color="auto" w:sz="6" w:space="0"/>
              <w:bottom w:val="outset" w:color="auto" w:sz="6" w:space="0"/>
              <w:right w:val="outset" w:color="auto" w:sz="6" w:space="0"/>
            </w:tcBorders>
            <w:noWrap w:val="0"/>
            <w:vAlign w:val="center"/>
          </w:tcPr>
          <w:p w14:paraId="48387637">
            <w:pPr>
              <w:pStyle w:val="2"/>
              <w:rPr>
                <w:rFonts w:hint="eastAsia" w:ascii="仿宋_GB2312" w:hAnsi="仿宋_GB2312" w:eastAsia="仿宋_GB2312" w:cs="仿宋_GB2312"/>
                <w:kern w:val="2"/>
                <w:sz w:val="21"/>
                <w:szCs w:val="21"/>
                <w:lang w:val="en-US" w:eastAsia="zh-CN" w:bidi="ar-SA"/>
              </w:rPr>
            </w:pPr>
          </w:p>
        </w:tc>
      </w:tr>
      <w:tr w14:paraId="567D6E3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661" w:type="dxa"/>
            <w:vMerge w:val="continue"/>
            <w:tcBorders>
              <w:top w:val="outset" w:color="auto" w:sz="6" w:space="0"/>
              <w:left w:val="outset" w:color="auto" w:sz="6" w:space="0"/>
              <w:bottom w:val="outset" w:color="auto" w:sz="6" w:space="0"/>
              <w:right w:val="outset" w:color="auto" w:sz="6" w:space="0"/>
            </w:tcBorders>
            <w:noWrap w:val="0"/>
            <w:vAlign w:val="center"/>
          </w:tcPr>
          <w:p w14:paraId="472DA090">
            <w:pPr>
              <w:pStyle w:val="2"/>
              <w:jc w:val="center"/>
              <w:rPr>
                <w:rFonts w:hint="eastAsia" w:ascii="仿宋_GB2312" w:hAnsi="仿宋_GB2312" w:eastAsia="仿宋_GB2312" w:cs="仿宋_GB2312"/>
                <w:kern w:val="2"/>
                <w:sz w:val="21"/>
                <w:szCs w:val="21"/>
                <w:lang w:val="en-US" w:eastAsia="zh-CN" w:bidi="ar-SA"/>
              </w:rPr>
            </w:pPr>
          </w:p>
        </w:tc>
        <w:tc>
          <w:tcPr>
            <w:tcW w:w="1707" w:type="dxa"/>
            <w:vMerge w:val="continue"/>
            <w:tcBorders>
              <w:top w:val="outset" w:color="auto" w:sz="6" w:space="0"/>
              <w:left w:val="outset" w:color="auto" w:sz="6" w:space="0"/>
              <w:bottom w:val="outset" w:color="auto" w:sz="6" w:space="0"/>
              <w:right w:val="outset" w:color="auto" w:sz="6" w:space="0"/>
            </w:tcBorders>
            <w:noWrap w:val="0"/>
            <w:vAlign w:val="center"/>
          </w:tcPr>
          <w:p w14:paraId="775B17CC">
            <w:pPr>
              <w:pStyle w:val="2"/>
              <w:jc w:val="center"/>
              <w:rPr>
                <w:rFonts w:hint="eastAsia" w:ascii="仿宋_GB2312" w:hAnsi="仿宋_GB2312" w:eastAsia="仿宋_GB2312" w:cs="仿宋_GB2312"/>
                <w:kern w:val="2"/>
                <w:sz w:val="21"/>
                <w:szCs w:val="21"/>
                <w:lang w:val="en-US" w:eastAsia="zh-CN" w:bidi="ar-SA"/>
              </w:rPr>
            </w:pPr>
          </w:p>
        </w:tc>
        <w:tc>
          <w:tcPr>
            <w:tcW w:w="5295" w:type="dxa"/>
            <w:tcBorders>
              <w:top w:val="outset" w:color="auto" w:sz="6" w:space="0"/>
              <w:left w:val="outset" w:color="auto" w:sz="6" w:space="0"/>
              <w:bottom w:val="outset" w:color="auto" w:sz="6" w:space="0"/>
              <w:right w:val="single" w:color="auto" w:sz="4" w:space="0"/>
            </w:tcBorders>
            <w:noWrap w:val="0"/>
            <w:vAlign w:val="center"/>
          </w:tcPr>
          <w:p w14:paraId="0A77A887">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整月保障安全，无重大责任事故</w:t>
            </w:r>
          </w:p>
        </w:tc>
        <w:tc>
          <w:tcPr>
            <w:tcW w:w="567" w:type="dxa"/>
            <w:tcBorders>
              <w:top w:val="single" w:color="auto" w:sz="4" w:space="0"/>
              <w:left w:val="single" w:color="auto" w:sz="4" w:space="0"/>
              <w:bottom w:val="outset" w:color="auto" w:sz="6" w:space="0"/>
              <w:right w:val="outset" w:color="auto" w:sz="6" w:space="0"/>
            </w:tcBorders>
            <w:noWrap w:val="0"/>
            <w:vAlign w:val="center"/>
          </w:tcPr>
          <w:p w14:paraId="27E7BD5D">
            <w:pPr>
              <w:pStyle w:val="2"/>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w:t>
            </w:r>
          </w:p>
        </w:tc>
        <w:tc>
          <w:tcPr>
            <w:tcW w:w="567" w:type="dxa"/>
            <w:tcBorders>
              <w:top w:val="outset" w:color="auto" w:sz="6" w:space="0"/>
              <w:left w:val="outset" w:color="auto" w:sz="6" w:space="0"/>
              <w:bottom w:val="outset" w:color="auto" w:sz="6" w:space="0"/>
              <w:right w:val="outset" w:color="auto" w:sz="6" w:space="0"/>
            </w:tcBorders>
            <w:noWrap w:val="0"/>
            <w:vAlign w:val="center"/>
          </w:tcPr>
          <w:p w14:paraId="2FA9FABC">
            <w:pPr>
              <w:pStyle w:val="2"/>
              <w:rPr>
                <w:rFonts w:hint="eastAsia" w:ascii="仿宋_GB2312" w:hAnsi="仿宋_GB2312" w:eastAsia="仿宋_GB2312" w:cs="仿宋_GB2312"/>
                <w:kern w:val="2"/>
                <w:sz w:val="21"/>
                <w:szCs w:val="21"/>
                <w:lang w:val="en-US" w:eastAsia="zh-CN" w:bidi="ar-SA"/>
              </w:rPr>
            </w:pPr>
          </w:p>
        </w:tc>
      </w:tr>
      <w:tr w14:paraId="072D85F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661" w:type="dxa"/>
            <w:vMerge w:val="restart"/>
            <w:tcBorders>
              <w:top w:val="outset" w:color="auto" w:sz="6" w:space="0"/>
              <w:left w:val="outset" w:color="auto" w:sz="6" w:space="0"/>
              <w:bottom w:val="outset" w:color="auto" w:sz="6" w:space="0"/>
              <w:right w:val="outset" w:color="auto" w:sz="6" w:space="0"/>
            </w:tcBorders>
            <w:noWrap w:val="0"/>
            <w:vAlign w:val="center"/>
          </w:tcPr>
          <w:p w14:paraId="25E1A12B">
            <w:pPr>
              <w:pStyle w:val="2"/>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二</w:t>
            </w:r>
          </w:p>
        </w:tc>
        <w:tc>
          <w:tcPr>
            <w:tcW w:w="1707" w:type="dxa"/>
            <w:vMerge w:val="restart"/>
            <w:tcBorders>
              <w:top w:val="outset" w:color="auto" w:sz="6" w:space="0"/>
              <w:left w:val="outset" w:color="auto" w:sz="6" w:space="0"/>
              <w:bottom w:val="outset" w:color="auto" w:sz="6" w:space="0"/>
              <w:right w:val="outset" w:color="auto" w:sz="6" w:space="0"/>
            </w:tcBorders>
            <w:noWrap w:val="0"/>
            <w:vAlign w:val="center"/>
          </w:tcPr>
          <w:p w14:paraId="3B4D4811">
            <w:pPr>
              <w:pStyle w:val="2"/>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日常管理</w:t>
            </w:r>
          </w:p>
          <w:p w14:paraId="30CA8D98">
            <w:pPr>
              <w:pStyle w:val="2"/>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（15分）</w:t>
            </w:r>
          </w:p>
        </w:tc>
        <w:tc>
          <w:tcPr>
            <w:tcW w:w="5295" w:type="dxa"/>
            <w:tcBorders>
              <w:top w:val="outset" w:color="auto" w:sz="6" w:space="0"/>
              <w:left w:val="outset" w:color="auto" w:sz="6" w:space="0"/>
              <w:bottom w:val="single" w:color="auto" w:sz="4" w:space="0"/>
              <w:right w:val="outset" w:color="auto" w:sz="6" w:space="0"/>
            </w:tcBorders>
            <w:noWrap w:val="0"/>
            <w:vAlign w:val="center"/>
          </w:tcPr>
          <w:p w14:paraId="0C26E07C">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管理规章制度健全、人员岗位职责明确，有详尽的记录</w:t>
            </w:r>
          </w:p>
        </w:tc>
        <w:tc>
          <w:tcPr>
            <w:tcW w:w="567" w:type="dxa"/>
            <w:tcBorders>
              <w:top w:val="outset" w:color="auto" w:sz="6" w:space="0"/>
              <w:left w:val="outset" w:color="auto" w:sz="6" w:space="0"/>
              <w:bottom w:val="outset" w:color="auto" w:sz="6" w:space="0"/>
              <w:right w:val="outset" w:color="auto" w:sz="6" w:space="0"/>
            </w:tcBorders>
            <w:noWrap w:val="0"/>
            <w:vAlign w:val="center"/>
          </w:tcPr>
          <w:p w14:paraId="3D8A72D1">
            <w:pPr>
              <w:pStyle w:val="2"/>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w:t>
            </w:r>
          </w:p>
        </w:tc>
        <w:tc>
          <w:tcPr>
            <w:tcW w:w="567" w:type="dxa"/>
            <w:tcBorders>
              <w:top w:val="outset" w:color="auto" w:sz="6" w:space="0"/>
              <w:left w:val="outset" w:color="auto" w:sz="6" w:space="0"/>
              <w:bottom w:val="outset" w:color="auto" w:sz="6" w:space="0"/>
              <w:right w:val="outset" w:color="auto" w:sz="6" w:space="0"/>
            </w:tcBorders>
            <w:noWrap w:val="0"/>
            <w:vAlign w:val="center"/>
          </w:tcPr>
          <w:p w14:paraId="6DD8F79F">
            <w:pPr>
              <w:pStyle w:val="2"/>
              <w:rPr>
                <w:rFonts w:hint="eastAsia" w:ascii="仿宋_GB2312" w:hAnsi="仿宋_GB2312" w:eastAsia="仿宋_GB2312" w:cs="仿宋_GB2312"/>
                <w:kern w:val="2"/>
                <w:sz w:val="21"/>
                <w:szCs w:val="21"/>
                <w:lang w:val="en-US" w:eastAsia="zh-CN" w:bidi="ar-SA"/>
              </w:rPr>
            </w:pPr>
          </w:p>
        </w:tc>
      </w:tr>
      <w:tr w14:paraId="7A284BA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661" w:type="dxa"/>
            <w:vMerge w:val="continue"/>
            <w:tcBorders>
              <w:top w:val="outset" w:color="auto" w:sz="6" w:space="0"/>
              <w:left w:val="outset" w:color="auto" w:sz="6" w:space="0"/>
              <w:bottom w:val="outset" w:color="auto" w:sz="6" w:space="0"/>
              <w:right w:val="outset" w:color="auto" w:sz="6" w:space="0"/>
            </w:tcBorders>
            <w:noWrap w:val="0"/>
            <w:vAlign w:val="center"/>
          </w:tcPr>
          <w:p w14:paraId="0DC53437">
            <w:pPr>
              <w:pStyle w:val="2"/>
              <w:jc w:val="center"/>
              <w:rPr>
                <w:rFonts w:hint="eastAsia" w:ascii="仿宋_GB2312" w:hAnsi="仿宋_GB2312" w:eastAsia="仿宋_GB2312" w:cs="仿宋_GB2312"/>
                <w:kern w:val="2"/>
                <w:sz w:val="21"/>
                <w:szCs w:val="21"/>
                <w:lang w:val="en-US" w:eastAsia="zh-CN" w:bidi="ar-SA"/>
              </w:rPr>
            </w:pPr>
          </w:p>
        </w:tc>
        <w:tc>
          <w:tcPr>
            <w:tcW w:w="1707" w:type="dxa"/>
            <w:vMerge w:val="continue"/>
            <w:tcBorders>
              <w:top w:val="outset" w:color="auto" w:sz="6" w:space="0"/>
              <w:left w:val="outset" w:color="auto" w:sz="6" w:space="0"/>
              <w:bottom w:val="outset" w:color="auto" w:sz="6" w:space="0"/>
              <w:right w:val="outset" w:color="auto" w:sz="6" w:space="0"/>
            </w:tcBorders>
            <w:noWrap w:val="0"/>
            <w:vAlign w:val="center"/>
          </w:tcPr>
          <w:p w14:paraId="1BE98B56">
            <w:pPr>
              <w:pStyle w:val="2"/>
              <w:jc w:val="center"/>
              <w:rPr>
                <w:rFonts w:hint="eastAsia" w:ascii="仿宋_GB2312" w:hAnsi="仿宋_GB2312" w:eastAsia="仿宋_GB2312" w:cs="仿宋_GB2312"/>
                <w:kern w:val="2"/>
                <w:sz w:val="21"/>
                <w:szCs w:val="21"/>
                <w:lang w:val="en-US" w:eastAsia="zh-CN" w:bidi="ar-SA"/>
              </w:rPr>
            </w:pPr>
          </w:p>
        </w:tc>
        <w:tc>
          <w:tcPr>
            <w:tcW w:w="5295" w:type="dxa"/>
            <w:tcBorders>
              <w:top w:val="outset" w:color="auto" w:sz="6" w:space="0"/>
              <w:left w:val="outset" w:color="auto" w:sz="6" w:space="0"/>
              <w:bottom w:val="outset" w:color="auto" w:sz="6" w:space="0"/>
              <w:right w:val="outset" w:color="auto" w:sz="6" w:space="0"/>
            </w:tcBorders>
            <w:noWrap w:val="0"/>
            <w:vAlign w:val="center"/>
          </w:tcPr>
          <w:p w14:paraId="1D1F528C">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员工统一着装，热情为师生服务</w:t>
            </w:r>
          </w:p>
        </w:tc>
        <w:tc>
          <w:tcPr>
            <w:tcW w:w="567" w:type="dxa"/>
            <w:tcBorders>
              <w:top w:val="single" w:color="auto" w:sz="4" w:space="0"/>
              <w:left w:val="outset" w:color="auto" w:sz="6" w:space="0"/>
              <w:bottom w:val="single" w:color="auto" w:sz="4" w:space="0"/>
              <w:right w:val="outset" w:color="auto" w:sz="6" w:space="0"/>
            </w:tcBorders>
            <w:noWrap w:val="0"/>
            <w:vAlign w:val="center"/>
          </w:tcPr>
          <w:p w14:paraId="0281967F">
            <w:pPr>
              <w:pStyle w:val="2"/>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w:t>
            </w:r>
          </w:p>
        </w:tc>
        <w:tc>
          <w:tcPr>
            <w:tcW w:w="567" w:type="dxa"/>
            <w:tcBorders>
              <w:top w:val="outset" w:color="auto" w:sz="6" w:space="0"/>
              <w:left w:val="outset" w:color="auto" w:sz="6" w:space="0"/>
              <w:bottom w:val="outset" w:color="auto" w:sz="6" w:space="0"/>
              <w:right w:val="outset" w:color="auto" w:sz="6" w:space="0"/>
            </w:tcBorders>
            <w:noWrap w:val="0"/>
            <w:vAlign w:val="center"/>
          </w:tcPr>
          <w:p w14:paraId="4CD1BCE4">
            <w:pPr>
              <w:pStyle w:val="2"/>
              <w:rPr>
                <w:rFonts w:hint="eastAsia" w:ascii="仿宋_GB2312" w:hAnsi="仿宋_GB2312" w:eastAsia="仿宋_GB2312" w:cs="仿宋_GB2312"/>
                <w:kern w:val="2"/>
                <w:sz w:val="21"/>
                <w:szCs w:val="21"/>
                <w:lang w:val="en-US" w:eastAsia="zh-CN" w:bidi="ar-SA"/>
              </w:rPr>
            </w:pPr>
          </w:p>
        </w:tc>
      </w:tr>
      <w:tr w14:paraId="1711521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661" w:type="dxa"/>
            <w:vMerge w:val="continue"/>
            <w:tcBorders>
              <w:top w:val="outset" w:color="auto" w:sz="6" w:space="0"/>
              <w:left w:val="outset" w:color="auto" w:sz="6" w:space="0"/>
              <w:bottom w:val="outset" w:color="auto" w:sz="6" w:space="0"/>
              <w:right w:val="outset" w:color="auto" w:sz="6" w:space="0"/>
            </w:tcBorders>
            <w:noWrap w:val="0"/>
            <w:vAlign w:val="center"/>
          </w:tcPr>
          <w:p w14:paraId="43DB0A7B">
            <w:pPr>
              <w:pStyle w:val="2"/>
              <w:jc w:val="center"/>
              <w:rPr>
                <w:rFonts w:hint="eastAsia" w:ascii="仿宋_GB2312" w:hAnsi="仿宋_GB2312" w:eastAsia="仿宋_GB2312" w:cs="仿宋_GB2312"/>
                <w:kern w:val="2"/>
                <w:sz w:val="21"/>
                <w:szCs w:val="21"/>
                <w:lang w:val="en-US" w:eastAsia="zh-CN" w:bidi="ar-SA"/>
              </w:rPr>
            </w:pPr>
          </w:p>
        </w:tc>
        <w:tc>
          <w:tcPr>
            <w:tcW w:w="1707" w:type="dxa"/>
            <w:vMerge w:val="continue"/>
            <w:tcBorders>
              <w:top w:val="outset" w:color="auto" w:sz="6" w:space="0"/>
              <w:left w:val="outset" w:color="auto" w:sz="6" w:space="0"/>
              <w:bottom w:val="outset" w:color="auto" w:sz="6" w:space="0"/>
              <w:right w:val="outset" w:color="auto" w:sz="6" w:space="0"/>
            </w:tcBorders>
            <w:noWrap w:val="0"/>
            <w:vAlign w:val="center"/>
          </w:tcPr>
          <w:p w14:paraId="02BD099E">
            <w:pPr>
              <w:pStyle w:val="2"/>
              <w:jc w:val="center"/>
              <w:rPr>
                <w:rFonts w:hint="eastAsia" w:ascii="仿宋_GB2312" w:hAnsi="仿宋_GB2312" w:eastAsia="仿宋_GB2312" w:cs="仿宋_GB2312"/>
                <w:kern w:val="2"/>
                <w:sz w:val="21"/>
                <w:szCs w:val="21"/>
                <w:lang w:val="en-US" w:eastAsia="zh-CN" w:bidi="ar-SA"/>
              </w:rPr>
            </w:pPr>
          </w:p>
        </w:tc>
        <w:tc>
          <w:tcPr>
            <w:tcW w:w="5295" w:type="dxa"/>
            <w:tcBorders>
              <w:top w:val="outset" w:color="auto" w:sz="6" w:space="0"/>
              <w:left w:val="outset" w:color="auto" w:sz="6" w:space="0"/>
              <w:bottom w:val="outset" w:color="auto" w:sz="6" w:space="0"/>
              <w:right w:val="outset" w:color="auto" w:sz="6" w:space="0"/>
            </w:tcBorders>
            <w:noWrap w:val="0"/>
            <w:vAlign w:val="center"/>
          </w:tcPr>
          <w:p w14:paraId="318B13B6">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员工配备齐全，严格考勤、考核纪录</w:t>
            </w:r>
          </w:p>
        </w:tc>
        <w:tc>
          <w:tcPr>
            <w:tcW w:w="567" w:type="dxa"/>
            <w:tcBorders>
              <w:top w:val="single" w:color="auto" w:sz="4" w:space="0"/>
              <w:left w:val="outset" w:color="auto" w:sz="6" w:space="0"/>
              <w:bottom w:val="single" w:color="auto" w:sz="4" w:space="0"/>
              <w:right w:val="outset" w:color="auto" w:sz="6" w:space="0"/>
            </w:tcBorders>
            <w:noWrap w:val="0"/>
            <w:vAlign w:val="center"/>
          </w:tcPr>
          <w:p w14:paraId="30BFC17B">
            <w:pPr>
              <w:pStyle w:val="2"/>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w:t>
            </w:r>
          </w:p>
        </w:tc>
        <w:tc>
          <w:tcPr>
            <w:tcW w:w="567" w:type="dxa"/>
            <w:tcBorders>
              <w:top w:val="outset" w:color="auto" w:sz="6" w:space="0"/>
              <w:left w:val="outset" w:color="auto" w:sz="6" w:space="0"/>
              <w:bottom w:val="outset" w:color="auto" w:sz="6" w:space="0"/>
              <w:right w:val="outset" w:color="auto" w:sz="6" w:space="0"/>
            </w:tcBorders>
            <w:noWrap w:val="0"/>
            <w:vAlign w:val="center"/>
          </w:tcPr>
          <w:p w14:paraId="47452DA6">
            <w:pPr>
              <w:pStyle w:val="2"/>
              <w:rPr>
                <w:rFonts w:hint="eastAsia" w:ascii="仿宋_GB2312" w:hAnsi="仿宋_GB2312" w:eastAsia="仿宋_GB2312" w:cs="仿宋_GB2312"/>
                <w:kern w:val="2"/>
                <w:sz w:val="21"/>
                <w:szCs w:val="21"/>
                <w:lang w:val="en-US" w:eastAsia="zh-CN" w:bidi="ar-SA"/>
              </w:rPr>
            </w:pPr>
          </w:p>
        </w:tc>
      </w:tr>
      <w:tr w14:paraId="0FE975D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661" w:type="dxa"/>
            <w:vMerge w:val="continue"/>
            <w:tcBorders>
              <w:top w:val="outset" w:color="auto" w:sz="6" w:space="0"/>
              <w:left w:val="outset" w:color="auto" w:sz="6" w:space="0"/>
              <w:bottom w:val="outset" w:color="auto" w:sz="6" w:space="0"/>
              <w:right w:val="outset" w:color="auto" w:sz="6" w:space="0"/>
            </w:tcBorders>
            <w:noWrap w:val="0"/>
            <w:vAlign w:val="center"/>
          </w:tcPr>
          <w:p w14:paraId="3F4A7F16">
            <w:pPr>
              <w:pStyle w:val="2"/>
              <w:jc w:val="center"/>
              <w:rPr>
                <w:rFonts w:hint="eastAsia" w:ascii="仿宋_GB2312" w:hAnsi="仿宋_GB2312" w:eastAsia="仿宋_GB2312" w:cs="仿宋_GB2312"/>
                <w:kern w:val="2"/>
                <w:sz w:val="21"/>
                <w:szCs w:val="21"/>
                <w:lang w:val="en-US" w:eastAsia="zh-CN" w:bidi="ar-SA"/>
              </w:rPr>
            </w:pPr>
          </w:p>
        </w:tc>
        <w:tc>
          <w:tcPr>
            <w:tcW w:w="1707" w:type="dxa"/>
            <w:vMerge w:val="continue"/>
            <w:tcBorders>
              <w:top w:val="outset" w:color="auto" w:sz="6" w:space="0"/>
              <w:left w:val="outset" w:color="auto" w:sz="6" w:space="0"/>
              <w:bottom w:val="outset" w:color="auto" w:sz="6" w:space="0"/>
              <w:right w:val="outset" w:color="auto" w:sz="6" w:space="0"/>
            </w:tcBorders>
            <w:noWrap w:val="0"/>
            <w:vAlign w:val="center"/>
          </w:tcPr>
          <w:p w14:paraId="6C1A68A9">
            <w:pPr>
              <w:pStyle w:val="2"/>
              <w:jc w:val="center"/>
              <w:rPr>
                <w:rFonts w:hint="eastAsia" w:ascii="仿宋_GB2312" w:hAnsi="仿宋_GB2312" w:eastAsia="仿宋_GB2312" w:cs="仿宋_GB2312"/>
                <w:kern w:val="2"/>
                <w:sz w:val="21"/>
                <w:szCs w:val="21"/>
                <w:lang w:val="en-US" w:eastAsia="zh-CN" w:bidi="ar-SA"/>
              </w:rPr>
            </w:pPr>
          </w:p>
        </w:tc>
        <w:tc>
          <w:tcPr>
            <w:tcW w:w="5295" w:type="dxa"/>
            <w:tcBorders>
              <w:top w:val="outset" w:color="auto" w:sz="6" w:space="0"/>
              <w:left w:val="outset" w:color="auto" w:sz="6" w:space="0"/>
              <w:bottom w:val="outset" w:color="auto" w:sz="6" w:space="0"/>
              <w:right w:val="outset" w:color="auto" w:sz="6" w:space="0"/>
            </w:tcBorders>
            <w:noWrap w:val="0"/>
            <w:vAlign w:val="center"/>
          </w:tcPr>
          <w:p w14:paraId="3F78A3CA">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人员稳定，人员变动报后勤管理人</w:t>
            </w:r>
          </w:p>
        </w:tc>
        <w:tc>
          <w:tcPr>
            <w:tcW w:w="567" w:type="dxa"/>
            <w:tcBorders>
              <w:top w:val="single" w:color="auto" w:sz="4" w:space="0"/>
              <w:left w:val="outset" w:color="auto" w:sz="6" w:space="0"/>
              <w:bottom w:val="single" w:color="auto" w:sz="4" w:space="0"/>
              <w:right w:val="outset" w:color="auto" w:sz="6" w:space="0"/>
            </w:tcBorders>
            <w:noWrap w:val="0"/>
            <w:vAlign w:val="center"/>
          </w:tcPr>
          <w:p w14:paraId="75F9792F">
            <w:pPr>
              <w:pStyle w:val="2"/>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w:t>
            </w:r>
          </w:p>
        </w:tc>
        <w:tc>
          <w:tcPr>
            <w:tcW w:w="567" w:type="dxa"/>
            <w:tcBorders>
              <w:top w:val="outset" w:color="auto" w:sz="6" w:space="0"/>
              <w:left w:val="outset" w:color="auto" w:sz="6" w:space="0"/>
              <w:bottom w:val="outset" w:color="auto" w:sz="6" w:space="0"/>
              <w:right w:val="outset" w:color="auto" w:sz="6" w:space="0"/>
            </w:tcBorders>
            <w:noWrap w:val="0"/>
            <w:vAlign w:val="center"/>
          </w:tcPr>
          <w:p w14:paraId="71A4580C">
            <w:pPr>
              <w:pStyle w:val="2"/>
              <w:rPr>
                <w:rFonts w:hint="eastAsia" w:ascii="仿宋_GB2312" w:hAnsi="仿宋_GB2312" w:eastAsia="仿宋_GB2312" w:cs="仿宋_GB2312"/>
                <w:kern w:val="2"/>
                <w:sz w:val="21"/>
                <w:szCs w:val="21"/>
                <w:lang w:val="en-US" w:eastAsia="zh-CN" w:bidi="ar-SA"/>
              </w:rPr>
            </w:pPr>
          </w:p>
        </w:tc>
      </w:tr>
      <w:tr w14:paraId="0EC5DCA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661" w:type="dxa"/>
            <w:vMerge w:val="continue"/>
            <w:tcBorders>
              <w:top w:val="outset" w:color="auto" w:sz="6" w:space="0"/>
              <w:left w:val="outset" w:color="auto" w:sz="6" w:space="0"/>
              <w:bottom w:val="outset" w:color="auto" w:sz="6" w:space="0"/>
              <w:right w:val="outset" w:color="auto" w:sz="6" w:space="0"/>
            </w:tcBorders>
            <w:noWrap w:val="0"/>
            <w:vAlign w:val="center"/>
          </w:tcPr>
          <w:p w14:paraId="30C92298">
            <w:pPr>
              <w:pStyle w:val="2"/>
              <w:jc w:val="center"/>
              <w:rPr>
                <w:rFonts w:hint="eastAsia" w:ascii="仿宋_GB2312" w:hAnsi="仿宋_GB2312" w:eastAsia="仿宋_GB2312" w:cs="仿宋_GB2312"/>
                <w:kern w:val="2"/>
                <w:sz w:val="21"/>
                <w:szCs w:val="21"/>
                <w:lang w:val="en-US" w:eastAsia="zh-CN" w:bidi="ar-SA"/>
              </w:rPr>
            </w:pPr>
          </w:p>
        </w:tc>
        <w:tc>
          <w:tcPr>
            <w:tcW w:w="1707" w:type="dxa"/>
            <w:vMerge w:val="continue"/>
            <w:tcBorders>
              <w:top w:val="outset" w:color="auto" w:sz="6" w:space="0"/>
              <w:left w:val="outset" w:color="auto" w:sz="6" w:space="0"/>
              <w:bottom w:val="outset" w:color="auto" w:sz="6" w:space="0"/>
              <w:right w:val="outset" w:color="auto" w:sz="6" w:space="0"/>
            </w:tcBorders>
            <w:noWrap w:val="0"/>
            <w:vAlign w:val="center"/>
          </w:tcPr>
          <w:p w14:paraId="43F29243">
            <w:pPr>
              <w:pStyle w:val="2"/>
              <w:jc w:val="center"/>
              <w:rPr>
                <w:rFonts w:hint="eastAsia" w:ascii="仿宋_GB2312" w:hAnsi="仿宋_GB2312" w:eastAsia="仿宋_GB2312" w:cs="仿宋_GB2312"/>
                <w:kern w:val="2"/>
                <w:sz w:val="21"/>
                <w:szCs w:val="21"/>
                <w:lang w:val="en-US" w:eastAsia="zh-CN" w:bidi="ar-SA"/>
              </w:rPr>
            </w:pPr>
          </w:p>
        </w:tc>
        <w:tc>
          <w:tcPr>
            <w:tcW w:w="5295" w:type="dxa"/>
            <w:tcBorders>
              <w:top w:val="outset" w:color="auto" w:sz="6" w:space="0"/>
              <w:left w:val="outset" w:color="auto" w:sz="6" w:space="0"/>
              <w:bottom w:val="outset" w:color="auto" w:sz="6" w:space="0"/>
              <w:right w:val="outset" w:color="auto" w:sz="6" w:space="0"/>
            </w:tcBorders>
            <w:noWrap w:val="0"/>
            <w:vAlign w:val="center"/>
          </w:tcPr>
          <w:p w14:paraId="744B60AB">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大楼物品出入登记、检查、处理情况记录</w:t>
            </w:r>
          </w:p>
        </w:tc>
        <w:tc>
          <w:tcPr>
            <w:tcW w:w="567" w:type="dxa"/>
            <w:tcBorders>
              <w:top w:val="single" w:color="auto" w:sz="4" w:space="0"/>
              <w:left w:val="outset" w:color="auto" w:sz="6" w:space="0"/>
              <w:bottom w:val="outset" w:color="auto" w:sz="6" w:space="0"/>
              <w:right w:val="outset" w:color="auto" w:sz="6" w:space="0"/>
            </w:tcBorders>
            <w:noWrap w:val="0"/>
            <w:vAlign w:val="center"/>
          </w:tcPr>
          <w:p w14:paraId="00067169">
            <w:pPr>
              <w:pStyle w:val="2"/>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w:t>
            </w:r>
          </w:p>
        </w:tc>
        <w:tc>
          <w:tcPr>
            <w:tcW w:w="567" w:type="dxa"/>
            <w:tcBorders>
              <w:top w:val="outset" w:color="auto" w:sz="6" w:space="0"/>
              <w:left w:val="outset" w:color="auto" w:sz="6" w:space="0"/>
              <w:bottom w:val="outset" w:color="auto" w:sz="6" w:space="0"/>
              <w:right w:val="outset" w:color="auto" w:sz="6" w:space="0"/>
            </w:tcBorders>
            <w:noWrap w:val="0"/>
            <w:vAlign w:val="center"/>
          </w:tcPr>
          <w:p w14:paraId="036D7DA2">
            <w:pPr>
              <w:pStyle w:val="2"/>
              <w:rPr>
                <w:rFonts w:hint="eastAsia" w:ascii="仿宋_GB2312" w:hAnsi="仿宋_GB2312" w:eastAsia="仿宋_GB2312" w:cs="仿宋_GB2312"/>
                <w:kern w:val="2"/>
                <w:sz w:val="21"/>
                <w:szCs w:val="21"/>
                <w:lang w:val="en-US" w:eastAsia="zh-CN" w:bidi="ar-SA"/>
              </w:rPr>
            </w:pPr>
          </w:p>
        </w:tc>
      </w:tr>
      <w:tr w14:paraId="04907AA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0" w:hRule="atLeast"/>
        </w:trPr>
        <w:tc>
          <w:tcPr>
            <w:tcW w:w="661" w:type="dxa"/>
            <w:vMerge w:val="restart"/>
            <w:tcBorders>
              <w:top w:val="outset" w:color="auto" w:sz="6" w:space="0"/>
              <w:left w:val="outset" w:color="auto" w:sz="6" w:space="0"/>
              <w:bottom w:val="outset" w:color="auto" w:sz="6" w:space="0"/>
              <w:right w:val="outset" w:color="auto" w:sz="6" w:space="0"/>
            </w:tcBorders>
            <w:noWrap w:val="0"/>
            <w:vAlign w:val="center"/>
          </w:tcPr>
          <w:p w14:paraId="141EAD8F">
            <w:pPr>
              <w:pStyle w:val="2"/>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三</w:t>
            </w:r>
          </w:p>
        </w:tc>
        <w:tc>
          <w:tcPr>
            <w:tcW w:w="1707" w:type="dxa"/>
            <w:vMerge w:val="restart"/>
            <w:tcBorders>
              <w:top w:val="outset" w:color="auto" w:sz="6" w:space="0"/>
              <w:left w:val="outset" w:color="auto" w:sz="6" w:space="0"/>
              <w:bottom w:val="outset" w:color="auto" w:sz="6" w:space="0"/>
              <w:right w:val="outset" w:color="auto" w:sz="6" w:space="0"/>
            </w:tcBorders>
            <w:noWrap w:val="0"/>
            <w:vAlign w:val="center"/>
          </w:tcPr>
          <w:p w14:paraId="65E149C0">
            <w:pPr>
              <w:pStyle w:val="2"/>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卫生保洁</w:t>
            </w:r>
          </w:p>
          <w:p w14:paraId="01D64F34">
            <w:pPr>
              <w:pStyle w:val="2"/>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（15分）</w:t>
            </w:r>
          </w:p>
        </w:tc>
        <w:tc>
          <w:tcPr>
            <w:tcW w:w="5295" w:type="dxa"/>
            <w:tcBorders>
              <w:top w:val="outset" w:color="auto" w:sz="6" w:space="0"/>
              <w:left w:val="outset" w:color="auto" w:sz="6" w:space="0"/>
              <w:bottom w:val="outset" w:color="auto" w:sz="6" w:space="0"/>
              <w:right w:val="outset" w:color="auto" w:sz="6" w:space="0"/>
            </w:tcBorders>
            <w:noWrap w:val="0"/>
            <w:vAlign w:val="center"/>
          </w:tcPr>
          <w:p w14:paraId="62EA4FD1">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管理规章制度健全、人员岗位职责明确，有详尽的记录</w:t>
            </w:r>
          </w:p>
        </w:tc>
        <w:tc>
          <w:tcPr>
            <w:tcW w:w="567" w:type="dxa"/>
            <w:tcBorders>
              <w:top w:val="outset" w:color="auto" w:sz="6" w:space="0"/>
              <w:left w:val="outset" w:color="auto" w:sz="6" w:space="0"/>
              <w:bottom w:val="single" w:color="auto" w:sz="4" w:space="0"/>
              <w:right w:val="outset" w:color="auto" w:sz="6" w:space="0"/>
            </w:tcBorders>
            <w:noWrap w:val="0"/>
            <w:vAlign w:val="center"/>
          </w:tcPr>
          <w:p w14:paraId="603B6484">
            <w:pPr>
              <w:pStyle w:val="2"/>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w:t>
            </w:r>
          </w:p>
        </w:tc>
        <w:tc>
          <w:tcPr>
            <w:tcW w:w="567" w:type="dxa"/>
            <w:tcBorders>
              <w:top w:val="outset" w:color="auto" w:sz="6" w:space="0"/>
              <w:left w:val="outset" w:color="auto" w:sz="6" w:space="0"/>
              <w:bottom w:val="outset" w:color="auto" w:sz="6" w:space="0"/>
              <w:right w:val="outset" w:color="auto" w:sz="6" w:space="0"/>
            </w:tcBorders>
            <w:noWrap w:val="0"/>
            <w:vAlign w:val="center"/>
          </w:tcPr>
          <w:p w14:paraId="5A66881A">
            <w:pPr>
              <w:pStyle w:val="2"/>
              <w:rPr>
                <w:rFonts w:hint="eastAsia" w:ascii="仿宋_GB2312" w:hAnsi="仿宋_GB2312" w:eastAsia="仿宋_GB2312" w:cs="仿宋_GB2312"/>
                <w:kern w:val="2"/>
                <w:sz w:val="21"/>
                <w:szCs w:val="21"/>
                <w:lang w:val="en-US" w:eastAsia="zh-CN" w:bidi="ar-SA"/>
              </w:rPr>
            </w:pPr>
          </w:p>
        </w:tc>
      </w:tr>
      <w:tr w14:paraId="03D80A6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661" w:type="dxa"/>
            <w:vMerge w:val="continue"/>
            <w:tcBorders>
              <w:top w:val="outset" w:color="auto" w:sz="6" w:space="0"/>
              <w:left w:val="outset" w:color="auto" w:sz="6" w:space="0"/>
              <w:bottom w:val="outset" w:color="auto" w:sz="6" w:space="0"/>
              <w:right w:val="outset" w:color="auto" w:sz="6" w:space="0"/>
            </w:tcBorders>
            <w:noWrap w:val="0"/>
            <w:vAlign w:val="center"/>
          </w:tcPr>
          <w:p w14:paraId="3A5B63DE">
            <w:pPr>
              <w:pStyle w:val="2"/>
              <w:jc w:val="center"/>
              <w:rPr>
                <w:rFonts w:hint="eastAsia" w:ascii="仿宋_GB2312" w:hAnsi="仿宋_GB2312" w:eastAsia="仿宋_GB2312" w:cs="仿宋_GB2312"/>
                <w:kern w:val="2"/>
                <w:sz w:val="21"/>
                <w:szCs w:val="21"/>
                <w:lang w:val="en-US" w:eastAsia="zh-CN" w:bidi="ar-SA"/>
              </w:rPr>
            </w:pPr>
          </w:p>
        </w:tc>
        <w:tc>
          <w:tcPr>
            <w:tcW w:w="1707" w:type="dxa"/>
            <w:vMerge w:val="continue"/>
            <w:tcBorders>
              <w:top w:val="outset" w:color="auto" w:sz="6" w:space="0"/>
              <w:left w:val="outset" w:color="auto" w:sz="6" w:space="0"/>
              <w:bottom w:val="outset" w:color="auto" w:sz="6" w:space="0"/>
              <w:right w:val="outset" w:color="auto" w:sz="6" w:space="0"/>
            </w:tcBorders>
            <w:noWrap w:val="0"/>
            <w:vAlign w:val="center"/>
          </w:tcPr>
          <w:p w14:paraId="227351F9">
            <w:pPr>
              <w:pStyle w:val="2"/>
              <w:jc w:val="center"/>
              <w:rPr>
                <w:rFonts w:hint="eastAsia" w:ascii="仿宋_GB2312" w:hAnsi="仿宋_GB2312" w:eastAsia="仿宋_GB2312" w:cs="仿宋_GB2312"/>
                <w:kern w:val="2"/>
                <w:sz w:val="21"/>
                <w:szCs w:val="21"/>
                <w:lang w:val="en-US" w:eastAsia="zh-CN" w:bidi="ar-SA"/>
              </w:rPr>
            </w:pPr>
          </w:p>
        </w:tc>
        <w:tc>
          <w:tcPr>
            <w:tcW w:w="5295" w:type="dxa"/>
            <w:tcBorders>
              <w:top w:val="outset" w:color="auto" w:sz="6" w:space="0"/>
              <w:left w:val="outset" w:color="auto" w:sz="6" w:space="0"/>
              <w:bottom w:val="outset" w:color="auto" w:sz="6" w:space="0"/>
              <w:right w:val="outset" w:color="auto" w:sz="6" w:space="0"/>
            </w:tcBorders>
            <w:noWrap w:val="0"/>
            <w:vAlign w:val="center"/>
          </w:tcPr>
          <w:p w14:paraId="7E0F197F">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楼宇公共部位卫生及保洁</w:t>
            </w:r>
          </w:p>
        </w:tc>
        <w:tc>
          <w:tcPr>
            <w:tcW w:w="567" w:type="dxa"/>
            <w:tcBorders>
              <w:top w:val="single" w:color="auto" w:sz="4" w:space="0"/>
              <w:left w:val="outset" w:color="auto" w:sz="6" w:space="0"/>
              <w:bottom w:val="single" w:color="auto" w:sz="4" w:space="0"/>
              <w:right w:val="outset" w:color="auto" w:sz="6" w:space="0"/>
            </w:tcBorders>
            <w:noWrap w:val="0"/>
            <w:vAlign w:val="center"/>
          </w:tcPr>
          <w:p w14:paraId="61857DA2">
            <w:pPr>
              <w:pStyle w:val="2"/>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w:t>
            </w:r>
          </w:p>
        </w:tc>
        <w:tc>
          <w:tcPr>
            <w:tcW w:w="567" w:type="dxa"/>
            <w:tcBorders>
              <w:top w:val="outset" w:color="auto" w:sz="6" w:space="0"/>
              <w:left w:val="outset" w:color="auto" w:sz="6" w:space="0"/>
              <w:bottom w:val="outset" w:color="auto" w:sz="6" w:space="0"/>
              <w:right w:val="outset" w:color="auto" w:sz="6" w:space="0"/>
            </w:tcBorders>
            <w:noWrap w:val="0"/>
            <w:vAlign w:val="center"/>
          </w:tcPr>
          <w:p w14:paraId="38BCB640">
            <w:pPr>
              <w:pStyle w:val="2"/>
              <w:rPr>
                <w:rFonts w:hint="eastAsia" w:ascii="仿宋_GB2312" w:hAnsi="仿宋_GB2312" w:eastAsia="仿宋_GB2312" w:cs="仿宋_GB2312"/>
                <w:kern w:val="2"/>
                <w:sz w:val="21"/>
                <w:szCs w:val="21"/>
                <w:lang w:val="en-US" w:eastAsia="zh-CN" w:bidi="ar-SA"/>
              </w:rPr>
            </w:pPr>
          </w:p>
        </w:tc>
      </w:tr>
      <w:tr w14:paraId="6B86941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661" w:type="dxa"/>
            <w:vMerge w:val="continue"/>
            <w:tcBorders>
              <w:top w:val="outset" w:color="auto" w:sz="6" w:space="0"/>
              <w:left w:val="outset" w:color="auto" w:sz="6" w:space="0"/>
              <w:bottom w:val="outset" w:color="auto" w:sz="6" w:space="0"/>
              <w:right w:val="outset" w:color="auto" w:sz="6" w:space="0"/>
            </w:tcBorders>
            <w:noWrap w:val="0"/>
            <w:vAlign w:val="center"/>
          </w:tcPr>
          <w:p w14:paraId="277411E7">
            <w:pPr>
              <w:pStyle w:val="2"/>
              <w:jc w:val="center"/>
              <w:rPr>
                <w:rFonts w:hint="eastAsia" w:ascii="仿宋_GB2312" w:hAnsi="仿宋_GB2312" w:eastAsia="仿宋_GB2312" w:cs="仿宋_GB2312"/>
                <w:kern w:val="2"/>
                <w:sz w:val="21"/>
                <w:szCs w:val="21"/>
                <w:lang w:val="en-US" w:eastAsia="zh-CN" w:bidi="ar-SA"/>
              </w:rPr>
            </w:pPr>
          </w:p>
        </w:tc>
        <w:tc>
          <w:tcPr>
            <w:tcW w:w="1707" w:type="dxa"/>
            <w:vMerge w:val="continue"/>
            <w:tcBorders>
              <w:top w:val="outset" w:color="auto" w:sz="6" w:space="0"/>
              <w:left w:val="outset" w:color="auto" w:sz="6" w:space="0"/>
              <w:bottom w:val="outset" w:color="auto" w:sz="6" w:space="0"/>
              <w:right w:val="outset" w:color="auto" w:sz="6" w:space="0"/>
            </w:tcBorders>
            <w:noWrap w:val="0"/>
            <w:vAlign w:val="center"/>
          </w:tcPr>
          <w:p w14:paraId="4CEA7ADA">
            <w:pPr>
              <w:pStyle w:val="2"/>
              <w:jc w:val="center"/>
              <w:rPr>
                <w:rFonts w:hint="eastAsia" w:ascii="仿宋_GB2312" w:hAnsi="仿宋_GB2312" w:eastAsia="仿宋_GB2312" w:cs="仿宋_GB2312"/>
                <w:kern w:val="2"/>
                <w:sz w:val="21"/>
                <w:szCs w:val="21"/>
                <w:lang w:val="en-US" w:eastAsia="zh-CN" w:bidi="ar-SA"/>
              </w:rPr>
            </w:pPr>
          </w:p>
        </w:tc>
        <w:tc>
          <w:tcPr>
            <w:tcW w:w="5295" w:type="dxa"/>
            <w:tcBorders>
              <w:top w:val="outset" w:color="auto" w:sz="6" w:space="0"/>
              <w:left w:val="outset" w:color="auto" w:sz="6" w:space="0"/>
              <w:bottom w:val="single" w:color="auto" w:sz="4" w:space="0"/>
              <w:right w:val="outset" w:color="auto" w:sz="6" w:space="0"/>
            </w:tcBorders>
            <w:noWrap w:val="0"/>
            <w:vAlign w:val="center"/>
          </w:tcPr>
          <w:p w14:paraId="5F5E04D3">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室内卫生及保洁</w:t>
            </w:r>
          </w:p>
        </w:tc>
        <w:tc>
          <w:tcPr>
            <w:tcW w:w="567" w:type="dxa"/>
            <w:tcBorders>
              <w:top w:val="single" w:color="auto" w:sz="4" w:space="0"/>
              <w:left w:val="outset" w:color="auto" w:sz="6" w:space="0"/>
              <w:bottom w:val="single" w:color="auto" w:sz="4" w:space="0"/>
              <w:right w:val="outset" w:color="auto" w:sz="6" w:space="0"/>
            </w:tcBorders>
            <w:noWrap w:val="0"/>
            <w:vAlign w:val="center"/>
          </w:tcPr>
          <w:p w14:paraId="77AE3119">
            <w:pPr>
              <w:pStyle w:val="2"/>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w:t>
            </w:r>
          </w:p>
        </w:tc>
        <w:tc>
          <w:tcPr>
            <w:tcW w:w="567" w:type="dxa"/>
            <w:tcBorders>
              <w:top w:val="outset" w:color="auto" w:sz="6" w:space="0"/>
              <w:left w:val="outset" w:color="auto" w:sz="6" w:space="0"/>
              <w:bottom w:val="outset" w:color="auto" w:sz="6" w:space="0"/>
              <w:right w:val="outset" w:color="auto" w:sz="6" w:space="0"/>
            </w:tcBorders>
            <w:noWrap w:val="0"/>
            <w:vAlign w:val="center"/>
          </w:tcPr>
          <w:p w14:paraId="102C7631">
            <w:pPr>
              <w:pStyle w:val="2"/>
              <w:rPr>
                <w:rFonts w:hint="eastAsia" w:ascii="仿宋_GB2312" w:hAnsi="仿宋_GB2312" w:eastAsia="仿宋_GB2312" w:cs="仿宋_GB2312"/>
                <w:kern w:val="2"/>
                <w:sz w:val="21"/>
                <w:szCs w:val="21"/>
                <w:lang w:val="en-US" w:eastAsia="zh-CN" w:bidi="ar-SA"/>
              </w:rPr>
            </w:pPr>
          </w:p>
        </w:tc>
      </w:tr>
      <w:tr w14:paraId="665CC32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661" w:type="dxa"/>
            <w:vMerge w:val="continue"/>
            <w:tcBorders>
              <w:top w:val="outset" w:color="auto" w:sz="6" w:space="0"/>
              <w:left w:val="outset" w:color="auto" w:sz="6" w:space="0"/>
              <w:bottom w:val="outset" w:color="auto" w:sz="6" w:space="0"/>
              <w:right w:val="outset" w:color="auto" w:sz="6" w:space="0"/>
            </w:tcBorders>
            <w:noWrap w:val="0"/>
            <w:vAlign w:val="center"/>
          </w:tcPr>
          <w:p w14:paraId="2514FDED">
            <w:pPr>
              <w:pStyle w:val="2"/>
              <w:jc w:val="center"/>
              <w:rPr>
                <w:rFonts w:hint="eastAsia" w:ascii="仿宋_GB2312" w:hAnsi="仿宋_GB2312" w:eastAsia="仿宋_GB2312" w:cs="仿宋_GB2312"/>
                <w:kern w:val="2"/>
                <w:sz w:val="21"/>
                <w:szCs w:val="21"/>
                <w:lang w:val="en-US" w:eastAsia="zh-CN" w:bidi="ar-SA"/>
              </w:rPr>
            </w:pPr>
          </w:p>
        </w:tc>
        <w:tc>
          <w:tcPr>
            <w:tcW w:w="1707" w:type="dxa"/>
            <w:vMerge w:val="continue"/>
            <w:tcBorders>
              <w:top w:val="outset" w:color="auto" w:sz="6" w:space="0"/>
              <w:left w:val="outset" w:color="auto" w:sz="6" w:space="0"/>
              <w:bottom w:val="outset" w:color="auto" w:sz="6" w:space="0"/>
              <w:right w:val="outset" w:color="auto" w:sz="6" w:space="0"/>
            </w:tcBorders>
            <w:noWrap w:val="0"/>
            <w:vAlign w:val="center"/>
          </w:tcPr>
          <w:p w14:paraId="5458C6CA">
            <w:pPr>
              <w:pStyle w:val="2"/>
              <w:jc w:val="center"/>
              <w:rPr>
                <w:rFonts w:hint="eastAsia" w:ascii="仿宋_GB2312" w:hAnsi="仿宋_GB2312" w:eastAsia="仿宋_GB2312" w:cs="仿宋_GB2312"/>
                <w:kern w:val="2"/>
                <w:sz w:val="21"/>
                <w:szCs w:val="21"/>
                <w:lang w:val="en-US" w:eastAsia="zh-CN" w:bidi="ar-SA"/>
              </w:rPr>
            </w:pPr>
          </w:p>
        </w:tc>
        <w:tc>
          <w:tcPr>
            <w:tcW w:w="5295" w:type="dxa"/>
            <w:tcBorders>
              <w:top w:val="outset" w:color="auto" w:sz="6" w:space="0"/>
              <w:left w:val="outset" w:color="auto" w:sz="6" w:space="0"/>
              <w:bottom w:val="outset" w:color="auto" w:sz="6" w:space="0"/>
              <w:right w:val="outset" w:color="auto" w:sz="6" w:space="0"/>
            </w:tcBorders>
            <w:noWrap w:val="0"/>
            <w:vAlign w:val="center"/>
          </w:tcPr>
          <w:p w14:paraId="77B95474">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卫生间清洁卫生</w:t>
            </w:r>
          </w:p>
        </w:tc>
        <w:tc>
          <w:tcPr>
            <w:tcW w:w="567" w:type="dxa"/>
            <w:tcBorders>
              <w:top w:val="single" w:color="auto" w:sz="4" w:space="0"/>
              <w:left w:val="outset" w:color="auto" w:sz="6" w:space="0"/>
              <w:bottom w:val="single" w:color="auto" w:sz="4" w:space="0"/>
              <w:right w:val="outset" w:color="auto" w:sz="6" w:space="0"/>
            </w:tcBorders>
            <w:noWrap w:val="0"/>
            <w:vAlign w:val="center"/>
          </w:tcPr>
          <w:p w14:paraId="6C92E5D0">
            <w:pPr>
              <w:pStyle w:val="2"/>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w:t>
            </w:r>
          </w:p>
        </w:tc>
        <w:tc>
          <w:tcPr>
            <w:tcW w:w="567" w:type="dxa"/>
            <w:tcBorders>
              <w:top w:val="outset" w:color="auto" w:sz="6" w:space="0"/>
              <w:left w:val="outset" w:color="auto" w:sz="6" w:space="0"/>
              <w:bottom w:val="outset" w:color="auto" w:sz="6" w:space="0"/>
              <w:right w:val="outset" w:color="auto" w:sz="6" w:space="0"/>
            </w:tcBorders>
            <w:noWrap w:val="0"/>
            <w:vAlign w:val="center"/>
          </w:tcPr>
          <w:p w14:paraId="1470D16D">
            <w:pPr>
              <w:pStyle w:val="2"/>
              <w:rPr>
                <w:rFonts w:hint="eastAsia" w:ascii="仿宋_GB2312" w:hAnsi="仿宋_GB2312" w:eastAsia="仿宋_GB2312" w:cs="仿宋_GB2312"/>
                <w:kern w:val="2"/>
                <w:sz w:val="21"/>
                <w:szCs w:val="21"/>
                <w:lang w:val="en-US" w:eastAsia="zh-CN" w:bidi="ar-SA"/>
              </w:rPr>
            </w:pPr>
          </w:p>
        </w:tc>
      </w:tr>
      <w:tr w14:paraId="45134DF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661" w:type="dxa"/>
            <w:vMerge w:val="continue"/>
            <w:tcBorders>
              <w:top w:val="outset" w:color="auto" w:sz="6" w:space="0"/>
              <w:left w:val="outset" w:color="auto" w:sz="6" w:space="0"/>
              <w:bottom w:val="outset" w:color="auto" w:sz="6" w:space="0"/>
              <w:right w:val="outset" w:color="auto" w:sz="6" w:space="0"/>
            </w:tcBorders>
            <w:noWrap w:val="0"/>
            <w:vAlign w:val="center"/>
          </w:tcPr>
          <w:p w14:paraId="23A0CF8B">
            <w:pPr>
              <w:pStyle w:val="2"/>
              <w:jc w:val="center"/>
              <w:rPr>
                <w:rFonts w:hint="eastAsia" w:ascii="仿宋_GB2312" w:hAnsi="仿宋_GB2312" w:eastAsia="仿宋_GB2312" w:cs="仿宋_GB2312"/>
                <w:kern w:val="2"/>
                <w:sz w:val="21"/>
                <w:szCs w:val="21"/>
                <w:lang w:val="en-US" w:eastAsia="zh-CN" w:bidi="ar-SA"/>
              </w:rPr>
            </w:pPr>
          </w:p>
        </w:tc>
        <w:tc>
          <w:tcPr>
            <w:tcW w:w="1707" w:type="dxa"/>
            <w:vMerge w:val="continue"/>
            <w:tcBorders>
              <w:top w:val="outset" w:color="auto" w:sz="6" w:space="0"/>
              <w:left w:val="outset" w:color="auto" w:sz="6" w:space="0"/>
              <w:bottom w:val="outset" w:color="auto" w:sz="6" w:space="0"/>
              <w:right w:val="outset" w:color="auto" w:sz="6" w:space="0"/>
            </w:tcBorders>
            <w:noWrap w:val="0"/>
            <w:vAlign w:val="center"/>
          </w:tcPr>
          <w:p w14:paraId="3B83A013">
            <w:pPr>
              <w:pStyle w:val="2"/>
              <w:jc w:val="center"/>
              <w:rPr>
                <w:rFonts w:hint="eastAsia" w:ascii="仿宋_GB2312" w:hAnsi="仿宋_GB2312" w:eastAsia="仿宋_GB2312" w:cs="仿宋_GB2312"/>
                <w:kern w:val="2"/>
                <w:sz w:val="21"/>
                <w:szCs w:val="21"/>
                <w:lang w:val="en-US" w:eastAsia="zh-CN" w:bidi="ar-SA"/>
              </w:rPr>
            </w:pPr>
          </w:p>
        </w:tc>
        <w:tc>
          <w:tcPr>
            <w:tcW w:w="5295" w:type="dxa"/>
            <w:tcBorders>
              <w:top w:val="outset" w:color="auto" w:sz="6" w:space="0"/>
              <w:left w:val="outset" w:color="auto" w:sz="6" w:space="0"/>
              <w:bottom w:val="single" w:color="auto" w:sz="4" w:space="0"/>
              <w:right w:val="outset" w:color="auto" w:sz="6" w:space="0"/>
            </w:tcBorders>
            <w:noWrap w:val="0"/>
            <w:vAlign w:val="center"/>
          </w:tcPr>
          <w:p w14:paraId="6F7B7AF3">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定期消毒，无害虫滋生源</w:t>
            </w:r>
          </w:p>
        </w:tc>
        <w:tc>
          <w:tcPr>
            <w:tcW w:w="567" w:type="dxa"/>
            <w:tcBorders>
              <w:top w:val="single" w:color="auto" w:sz="4" w:space="0"/>
              <w:left w:val="outset" w:color="auto" w:sz="6" w:space="0"/>
              <w:bottom w:val="single" w:color="auto" w:sz="4" w:space="0"/>
              <w:right w:val="outset" w:color="auto" w:sz="6" w:space="0"/>
            </w:tcBorders>
            <w:noWrap w:val="0"/>
            <w:vAlign w:val="center"/>
          </w:tcPr>
          <w:p w14:paraId="6B889F48">
            <w:pPr>
              <w:pStyle w:val="2"/>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w:t>
            </w:r>
          </w:p>
        </w:tc>
        <w:tc>
          <w:tcPr>
            <w:tcW w:w="567" w:type="dxa"/>
            <w:tcBorders>
              <w:top w:val="outset" w:color="auto" w:sz="6" w:space="0"/>
              <w:left w:val="outset" w:color="auto" w:sz="6" w:space="0"/>
              <w:bottom w:val="outset" w:color="auto" w:sz="6" w:space="0"/>
              <w:right w:val="outset" w:color="auto" w:sz="6" w:space="0"/>
            </w:tcBorders>
            <w:noWrap w:val="0"/>
            <w:vAlign w:val="center"/>
          </w:tcPr>
          <w:p w14:paraId="179139FD">
            <w:pPr>
              <w:pStyle w:val="2"/>
              <w:rPr>
                <w:rFonts w:hint="eastAsia" w:ascii="仿宋_GB2312" w:hAnsi="仿宋_GB2312" w:eastAsia="仿宋_GB2312" w:cs="仿宋_GB2312"/>
                <w:kern w:val="2"/>
                <w:sz w:val="21"/>
                <w:szCs w:val="21"/>
                <w:lang w:val="en-US" w:eastAsia="zh-CN" w:bidi="ar-SA"/>
              </w:rPr>
            </w:pPr>
          </w:p>
        </w:tc>
      </w:tr>
      <w:tr w14:paraId="08B8CFD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661" w:type="dxa"/>
            <w:vMerge w:val="restart"/>
            <w:tcBorders>
              <w:top w:val="outset" w:color="auto" w:sz="6" w:space="0"/>
              <w:left w:val="outset" w:color="auto" w:sz="6" w:space="0"/>
              <w:bottom w:val="outset" w:color="auto" w:sz="6" w:space="0"/>
              <w:right w:val="outset" w:color="auto" w:sz="6" w:space="0"/>
            </w:tcBorders>
            <w:noWrap w:val="0"/>
            <w:vAlign w:val="center"/>
          </w:tcPr>
          <w:p w14:paraId="03A01B75">
            <w:pPr>
              <w:pStyle w:val="2"/>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四</w:t>
            </w:r>
          </w:p>
        </w:tc>
        <w:tc>
          <w:tcPr>
            <w:tcW w:w="1707" w:type="dxa"/>
            <w:vMerge w:val="restart"/>
            <w:tcBorders>
              <w:top w:val="outset" w:color="auto" w:sz="6" w:space="0"/>
              <w:left w:val="outset" w:color="auto" w:sz="6" w:space="0"/>
              <w:bottom w:val="outset" w:color="auto" w:sz="6" w:space="0"/>
              <w:right w:val="outset" w:color="auto" w:sz="6" w:space="0"/>
            </w:tcBorders>
            <w:noWrap w:val="0"/>
            <w:vAlign w:val="center"/>
          </w:tcPr>
          <w:p w14:paraId="62252039">
            <w:pPr>
              <w:pStyle w:val="2"/>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设施的维护</w:t>
            </w:r>
          </w:p>
          <w:p w14:paraId="331BDD00">
            <w:pPr>
              <w:pStyle w:val="2"/>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（15分）</w:t>
            </w:r>
          </w:p>
        </w:tc>
        <w:tc>
          <w:tcPr>
            <w:tcW w:w="5295" w:type="dxa"/>
            <w:tcBorders>
              <w:top w:val="outset" w:color="auto" w:sz="6" w:space="0"/>
              <w:left w:val="outset" w:color="auto" w:sz="6" w:space="0"/>
              <w:bottom w:val="single" w:color="auto" w:sz="4" w:space="0"/>
              <w:right w:val="outset" w:color="auto" w:sz="6" w:space="0"/>
            </w:tcBorders>
            <w:noWrap w:val="0"/>
            <w:vAlign w:val="center"/>
          </w:tcPr>
          <w:p w14:paraId="06B4CC8F">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维修和管理制度健全，有报修档案</w:t>
            </w:r>
          </w:p>
        </w:tc>
        <w:tc>
          <w:tcPr>
            <w:tcW w:w="567" w:type="dxa"/>
            <w:tcBorders>
              <w:top w:val="outset" w:color="auto" w:sz="6" w:space="0"/>
              <w:left w:val="outset" w:color="auto" w:sz="6" w:space="0"/>
              <w:bottom w:val="outset" w:color="auto" w:sz="6" w:space="0"/>
              <w:right w:val="outset" w:color="auto" w:sz="6" w:space="0"/>
            </w:tcBorders>
            <w:noWrap w:val="0"/>
            <w:vAlign w:val="center"/>
          </w:tcPr>
          <w:p w14:paraId="6DC7E3B2">
            <w:pPr>
              <w:pStyle w:val="2"/>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w:t>
            </w:r>
          </w:p>
        </w:tc>
        <w:tc>
          <w:tcPr>
            <w:tcW w:w="567" w:type="dxa"/>
            <w:tcBorders>
              <w:top w:val="outset" w:color="auto" w:sz="6" w:space="0"/>
              <w:left w:val="outset" w:color="auto" w:sz="6" w:space="0"/>
              <w:bottom w:val="outset" w:color="auto" w:sz="6" w:space="0"/>
              <w:right w:val="outset" w:color="auto" w:sz="6" w:space="0"/>
            </w:tcBorders>
            <w:noWrap w:val="0"/>
            <w:vAlign w:val="center"/>
          </w:tcPr>
          <w:p w14:paraId="476A1303">
            <w:pPr>
              <w:pStyle w:val="2"/>
              <w:rPr>
                <w:rFonts w:hint="eastAsia" w:ascii="仿宋_GB2312" w:hAnsi="仿宋_GB2312" w:eastAsia="仿宋_GB2312" w:cs="仿宋_GB2312"/>
                <w:kern w:val="2"/>
                <w:sz w:val="21"/>
                <w:szCs w:val="21"/>
                <w:lang w:val="en-US" w:eastAsia="zh-CN" w:bidi="ar-SA"/>
              </w:rPr>
            </w:pPr>
          </w:p>
        </w:tc>
      </w:tr>
      <w:tr w14:paraId="655E2EB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661" w:type="dxa"/>
            <w:vMerge w:val="continue"/>
            <w:tcBorders>
              <w:top w:val="outset" w:color="auto" w:sz="6" w:space="0"/>
              <w:left w:val="outset" w:color="auto" w:sz="6" w:space="0"/>
              <w:bottom w:val="outset" w:color="auto" w:sz="6" w:space="0"/>
              <w:right w:val="outset" w:color="auto" w:sz="6" w:space="0"/>
            </w:tcBorders>
            <w:noWrap w:val="0"/>
            <w:vAlign w:val="center"/>
          </w:tcPr>
          <w:p w14:paraId="342609E0">
            <w:pPr>
              <w:pStyle w:val="2"/>
              <w:jc w:val="center"/>
              <w:rPr>
                <w:rFonts w:hint="eastAsia" w:ascii="仿宋_GB2312" w:hAnsi="仿宋_GB2312" w:eastAsia="仿宋_GB2312" w:cs="仿宋_GB2312"/>
                <w:kern w:val="2"/>
                <w:sz w:val="21"/>
                <w:szCs w:val="21"/>
                <w:lang w:val="en-US" w:eastAsia="zh-CN" w:bidi="ar-SA"/>
              </w:rPr>
            </w:pPr>
          </w:p>
        </w:tc>
        <w:tc>
          <w:tcPr>
            <w:tcW w:w="1707" w:type="dxa"/>
            <w:vMerge w:val="continue"/>
            <w:tcBorders>
              <w:top w:val="outset" w:color="auto" w:sz="6" w:space="0"/>
              <w:left w:val="outset" w:color="auto" w:sz="6" w:space="0"/>
              <w:bottom w:val="outset" w:color="auto" w:sz="6" w:space="0"/>
              <w:right w:val="outset" w:color="auto" w:sz="6" w:space="0"/>
            </w:tcBorders>
            <w:noWrap w:val="0"/>
            <w:vAlign w:val="center"/>
          </w:tcPr>
          <w:p w14:paraId="193A8AD7">
            <w:pPr>
              <w:pStyle w:val="2"/>
              <w:jc w:val="center"/>
              <w:rPr>
                <w:rFonts w:hint="eastAsia" w:ascii="仿宋_GB2312" w:hAnsi="仿宋_GB2312" w:eastAsia="仿宋_GB2312" w:cs="仿宋_GB2312"/>
                <w:kern w:val="2"/>
                <w:sz w:val="21"/>
                <w:szCs w:val="21"/>
                <w:lang w:val="en-US" w:eastAsia="zh-CN" w:bidi="ar-SA"/>
              </w:rPr>
            </w:pPr>
          </w:p>
        </w:tc>
        <w:tc>
          <w:tcPr>
            <w:tcW w:w="5295" w:type="dxa"/>
            <w:tcBorders>
              <w:top w:val="outset" w:color="auto" w:sz="6" w:space="0"/>
              <w:left w:val="outset" w:color="auto" w:sz="6" w:space="0"/>
              <w:bottom w:val="outset" w:color="auto" w:sz="6" w:space="0"/>
              <w:right w:val="outset" w:color="auto" w:sz="6" w:space="0"/>
            </w:tcBorders>
            <w:noWrap w:val="0"/>
            <w:vAlign w:val="center"/>
          </w:tcPr>
          <w:p w14:paraId="0E5B919F">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零星维修及时完成，重大维修及时发现、报告、查处</w:t>
            </w:r>
          </w:p>
        </w:tc>
        <w:tc>
          <w:tcPr>
            <w:tcW w:w="567" w:type="dxa"/>
            <w:tcBorders>
              <w:top w:val="single" w:color="auto" w:sz="4" w:space="0"/>
              <w:left w:val="outset" w:color="auto" w:sz="6" w:space="0"/>
              <w:bottom w:val="single" w:color="auto" w:sz="4" w:space="0"/>
              <w:right w:val="outset" w:color="auto" w:sz="6" w:space="0"/>
            </w:tcBorders>
            <w:noWrap w:val="0"/>
            <w:vAlign w:val="center"/>
          </w:tcPr>
          <w:p w14:paraId="40C09887">
            <w:pPr>
              <w:pStyle w:val="2"/>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w:t>
            </w:r>
          </w:p>
        </w:tc>
        <w:tc>
          <w:tcPr>
            <w:tcW w:w="567" w:type="dxa"/>
            <w:tcBorders>
              <w:top w:val="outset" w:color="auto" w:sz="6" w:space="0"/>
              <w:left w:val="outset" w:color="auto" w:sz="6" w:space="0"/>
              <w:bottom w:val="outset" w:color="auto" w:sz="6" w:space="0"/>
              <w:right w:val="outset" w:color="auto" w:sz="6" w:space="0"/>
            </w:tcBorders>
            <w:noWrap w:val="0"/>
            <w:vAlign w:val="center"/>
          </w:tcPr>
          <w:p w14:paraId="2A0384BC">
            <w:pPr>
              <w:pStyle w:val="2"/>
              <w:rPr>
                <w:rFonts w:hint="eastAsia" w:ascii="仿宋_GB2312" w:hAnsi="仿宋_GB2312" w:eastAsia="仿宋_GB2312" w:cs="仿宋_GB2312"/>
                <w:kern w:val="2"/>
                <w:sz w:val="21"/>
                <w:szCs w:val="21"/>
                <w:lang w:val="en-US" w:eastAsia="zh-CN" w:bidi="ar-SA"/>
              </w:rPr>
            </w:pPr>
          </w:p>
        </w:tc>
      </w:tr>
      <w:tr w14:paraId="07C1655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661" w:type="dxa"/>
            <w:vMerge w:val="continue"/>
            <w:tcBorders>
              <w:top w:val="outset" w:color="auto" w:sz="6" w:space="0"/>
              <w:left w:val="outset" w:color="auto" w:sz="6" w:space="0"/>
              <w:bottom w:val="outset" w:color="auto" w:sz="6" w:space="0"/>
              <w:right w:val="outset" w:color="auto" w:sz="6" w:space="0"/>
            </w:tcBorders>
            <w:noWrap w:val="0"/>
            <w:vAlign w:val="center"/>
          </w:tcPr>
          <w:p w14:paraId="02178CD6">
            <w:pPr>
              <w:pStyle w:val="2"/>
              <w:jc w:val="center"/>
              <w:rPr>
                <w:rFonts w:hint="eastAsia" w:ascii="仿宋_GB2312" w:hAnsi="仿宋_GB2312" w:eastAsia="仿宋_GB2312" w:cs="仿宋_GB2312"/>
                <w:kern w:val="2"/>
                <w:sz w:val="21"/>
                <w:szCs w:val="21"/>
                <w:lang w:val="en-US" w:eastAsia="zh-CN" w:bidi="ar-SA"/>
              </w:rPr>
            </w:pPr>
          </w:p>
        </w:tc>
        <w:tc>
          <w:tcPr>
            <w:tcW w:w="1707" w:type="dxa"/>
            <w:vMerge w:val="continue"/>
            <w:tcBorders>
              <w:top w:val="outset" w:color="auto" w:sz="6" w:space="0"/>
              <w:left w:val="outset" w:color="auto" w:sz="6" w:space="0"/>
              <w:bottom w:val="outset" w:color="auto" w:sz="6" w:space="0"/>
              <w:right w:val="outset" w:color="auto" w:sz="6" w:space="0"/>
            </w:tcBorders>
            <w:noWrap w:val="0"/>
            <w:vAlign w:val="center"/>
          </w:tcPr>
          <w:p w14:paraId="168C1D03">
            <w:pPr>
              <w:pStyle w:val="2"/>
              <w:jc w:val="center"/>
              <w:rPr>
                <w:rFonts w:hint="eastAsia" w:ascii="仿宋_GB2312" w:hAnsi="仿宋_GB2312" w:eastAsia="仿宋_GB2312" w:cs="仿宋_GB2312"/>
                <w:kern w:val="2"/>
                <w:sz w:val="21"/>
                <w:szCs w:val="21"/>
                <w:lang w:val="en-US" w:eastAsia="zh-CN" w:bidi="ar-SA"/>
              </w:rPr>
            </w:pPr>
          </w:p>
        </w:tc>
        <w:tc>
          <w:tcPr>
            <w:tcW w:w="5295" w:type="dxa"/>
            <w:tcBorders>
              <w:top w:val="outset" w:color="auto" w:sz="6" w:space="0"/>
              <w:left w:val="outset" w:color="auto" w:sz="6" w:space="0"/>
              <w:bottom w:val="outset" w:color="auto" w:sz="6" w:space="0"/>
              <w:right w:val="outset" w:color="auto" w:sz="6" w:space="0"/>
            </w:tcBorders>
            <w:noWrap w:val="0"/>
            <w:vAlign w:val="center"/>
          </w:tcPr>
          <w:p w14:paraId="70D27285">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多媒体等教学设施的维护</w:t>
            </w:r>
          </w:p>
        </w:tc>
        <w:tc>
          <w:tcPr>
            <w:tcW w:w="567" w:type="dxa"/>
            <w:tcBorders>
              <w:top w:val="single" w:color="auto" w:sz="4" w:space="0"/>
              <w:left w:val="outset" w:color="auto" w:sz="6" w:space="0"/>
              <w:bottom w:val="single" w:color="auto" w:sz="4" w:space="0"/>
              <w:right w:val="outset" w:color="auto" w:sz="6" w:space="0"/>
            </w:tcBorders>
            <w:noWrap w:val="0"/>
            <w:vAlign w:val="center"/>
          </w:tcPr>
          <w:p w14:paraId="1775A24B">
            <w:pPr>
              <w:pStyle w:val="2"/>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w:t>
            </w:r>
          </w:p>
        </w:tc>
        <w:tc>
          <w:tcPr>
            <w:tcW w:w="567" w:type="dxa"/>
            <w:tcBorders>
              <w:top w:val="outset" w:color="auto" w:sz="6" w:space="0"/>
              <w:left w:val="outset" w:color="auto" w:sz="6" w:space="0"/>
              <w:bottom w:val="outset" w:color="auto" w:sz="6" w:space="0"/>
              <w:right w:val="outset" w:color="auto" w:sz="6" w:space="0"/>
            </w:tcBorders>
            <w:noWrap w:val="0"/>
            <w:vAlign w:val="center"/>
          </w:tcPr>
          <w:p w14:paraId="6BA390A7">
            <w:pPr>
              <w:pStyle w:val="2"/>
              <w:rPr>
                <w:rFonts w:hint="eastAsia" w:ascii="仿宋_GB2312" w:hAnsi="仿宋_GB2312" w:eastAsia="仿宋_GB2312" w:cs="仿宋_GB2312"/>
                <w:kern w:val="2"/>
                <w:sz w:val="21"/>
                <w:szCs w:val="21"/>
                <w:lang w:val="en-US" w:eastAsia="zh-CN" w:bidi="ar-SA"/>
              </w:rPr>
            </w:pPr>
          </w:p>
        </w:tc>
      </w:tr>
      <w:tr w14:paraId="015B25B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0" w:hRule="atLeast"/>
        </w:trPr>
        <w:tc>
          <w:tcPr>
            <w:tcW w:w="661" w:type="dxa"/>
            <w:vMerge w:val="continue"/>
            <w:tcBorders>
              <w:top w:val="outset" w:color="auto" w:sz="6" w:space="0"/>
              <w:left w:val="outset" w:color="auto" w:sz="6" w:space="0"/>
              <w:bottom w:val="outset" w:color="auto" w:sz="6" w:space="0"/>
              <w:right w:val="outset" w:color="auto" w:sz="6" w:space="0"/>
            </w:tcBorders>
            <w:noWrap w:val="0"/>
            <w:vAlign w:val="center"/>
          </w:tcPr>
          <w:p w14:paraId="382C2977">
            <w:pPr>
              <w:pStyle w:val="2"/>
              <w:jc w:val="center"/>
              <w:rPr>
                <w:rFonts w:hint="eastAsia" w:ascii="仿宋_GB2312" w:hAnsi="仿宋_GB2312" w:eastAsia="仿宋_GB2312" w:cs="仿宋_GB2312"/>
                <w:kern w:val="2"/>
                <w:sz w:val="21"/>
                <w:szCs w:val="21"/>
                <w:lang w:val="en-US" w:eastAsia="zh-CN" w:bidi="ar-SA"/>
              </w:rPr>
            </w:pPr>
          </w:p>
        </w:tc>
        <w:tc>
          <w:tcPr>
            <w:tcW w:w="1707" w:type="dxa"/>
            <w:vMerge w:val="continue"/>
            <w:tcBorders>
              <w:top w:val="outset" w:color="auto" w:sz="6" w:space="0"/>
              <w:left w:val="outset" w:color="auto" w:sz="6" w:space="0"/>
              <w:bottom w:val="outset" w:color="auto" w:sz="6" w:space="0"/>
              <w:right w:val="outset" w:color="auto" w:sz="6" w:space="0"/>
            </w:tcBorders>
            <w:noWrap w:val="0"/>
            <w:vAlign w:val="center"/>
          </w:tcPr>
          <w:p w14:paraId="18260FC1">
            <w:pPr>
              <w:pStyle w:val="2"/>
              <w:jc w:val="center"/>
              <w:rPr>
                <w:rFonts w:hint="eastAsia" w:ascii="仿宋_GB2312" w:hAnsi="仿宋_GB2312" w:eastAsia="仿宋_GB2312" w:cs="仿宋_GB2312"/>
                <w:kern w:val="2"/>
                <w:sz w:val="21"/>
                <w:szCs w:val="21"/>
                <w:lang w:val="en-US" w:eastAsia="zh-CN" w:bidi="ar-SA"/>
              </w:rPr>
            </w:pPr>
          </w:p>
        </w:tc>
        <w:tc>
          <w:tcPr>
            <w:tcW w:w="5295" w:type="dxa"/>
            <w:tcBorders>
              <w:top w:val="outset" w:color="auto" w:sz="6" w:space="0"/>
              <w:left w:val="outset" w:color="auto" w:sz="6" w:space="0"/>
              <w:bottom w:val="outset" w:color="auto" w:sz="6" w:space="0"/>
              <w:right w:val="outset" w:color="auto" w:sz="6" w:space="0"/>
            </w:tcBorders>
            <w:noWrap w:val="0"/>
            <w:vAlign w:val="center"/>
          </w:tcPr>
          <w:p w14:paraId="644DED43">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楼宇内的公共财物齐全、无人为损坏</w:t>
            </w:r>
          </w:p>
        </w:tc>
        <w:tc>
          <w:tcPr>
            <w:tcW w:w="567" w:type="dxa"/>
            <w:tcBorders>
              <w:top w:val="single" w:color="auto" w:sz="4" w:space="0"/>
              <w:left w:val="outset" w:color="auto" w:sz="6" w:space="0"/>
              <w:bottom w:val="single" w:color="auto" w:sz="4" w:space="0"/>
              <w:right w:val="outset" w:color="auto" w:sz="6" w:space="0"/>
            </w:tcBorders>
            <w:noWrap w:val="0"/>
            <w:vAlign w:val="center"/>
          </w:tcPr>
          <w:p w14:paraId="3AB72883">
            <w:pPr>
              <w:pStyle w:val="2"/>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w:t>
            </w:r>
          </w:p>
        </w:tc>
        <w:tc>
          <w:tcPr>
            <w:tcW w:w="567" w:type="dxa"/>
            <w:tcBorders>
              <w:top w:val="outset" w:color="auto" w:sz="6" w:space="0"/>
              <w:left w:val="outset" w:color="auto" w:sz="6" w:space="0"/>
              <w:bottom w:val="outset" w:color="auto" w:sz="6" w:space="0"/>
              <w:right w:val="outset" w:color="auto" w:sz="6" w:space="0"/>
            </w:tcBorders>
            <w:noWrap w:val="0"/>
            <w:vAlign w:val="center"/>
          </w:tcPr>
          <w:p w14:paraId="2C0D8EB2">
            <w:pPr>
              <w:pStyle w:val="2"/>
              <w:rPr>
                <w:rFonts w:hint="eastAsia" w:ascii="仿宋_GB2312" w:hAnsi="仿宋_GB2312" w:eastAsia="仿宋_GB2312" w:cs="仿宋_GB2312"/>
                <w:kern w:val="2"/>
                <w:sz w:val="21"/>
                <w:szCs w:val="21"/>
                <w:lang w:val="en-US" w:eastAsia="zh-CN" w:bidi="ar-SA"/>
              </w:rPr>
            </w:pPr>
          </w:p>
        </w:tc>
      </w:tr>
      <w:tr w14:paraId="19AAFE7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661" w:type="dxa"/>
            <w:vMerge w:val="continue"/>
            <w:tcBorders>
              <w:top w:val="outset" w:color="auto" w:sz="6" w:space="0"/>
              <w:left w:val="outset" w:color="auto" w:sz="6" w:space="0"/>
              <w:bottom w:val="outset" w:color="auto" w:sz="6" w:space="0"/>
              <w:right w:val="outset" w:color="auto" w:sz="6" w:space="0"/>
            </w:tcBorders>
            <w:noWrap w:val="0"/>
            <w:vAlign w:val="center"/>
          </w:tcPr>
          <w:p w14:paraId="0CB64CBF">
            <w:pPr>
              <w:pStyle w:val="2"/>
              <w:jc w:val="center"/>
              <w:rPr>
                <w:rFonts w:hint="eastAsia" w:ascii="仿宋_GB2312" w:hAnsi="仿宋_GB2312" w:eastAsia="仿宋_GB2312" w:cs="仿宋_GB2312"/>
                <w:kern w:val="2"/>
                <w:sz w:val="21"/>
                <w:szCs w:val="21"/>
                <w:lang w:val="en-US" w:eastAsia="zh-CN" w:bidi="ar-SA"/>
              </w:rPr>
            </w:pPr>
          </w:p>
        </w:tc>
        <w:tc>
          <w:tcPr>
            <w:tcW w:w="1707" w:type="dxa"/>
            <w:vMerge w:val="continue"/>
            <w:tcBorders>
              <w:top w:val="outset" w:color="auto" w:sz="6" w:space="0"/>
              <w:left w:val="outset" w:color="auto" w:sz="6" w:space="0"/>
              <w:bottom w:val="outset" w:color="auto" w:sz="6" w:space="0"/>
              <w:right w:val="outset" w:color="auto" w:sz="6" w:space="0"/>
            </w:tcBorders>
            <w:noWrap w:val="0"/>
            <w:vAlign w:val="center"/>
          </w:tcPr>
          <w:p w14:paraId="18BFC588">
            <w:pPr>
              <w:pStyle w:val="2"/>
              <w:jc w:val="center"/>
              <w:rPr>
                <w:rFonts w:hint="eastAsia" w:ascii="仿宋_GB2312" w:hAnsi="仿宋_GB2312" w:eastAsia="仿宋_GB2312" w:cs="仿宋_GB2312"/>
                <w:kern w:val="2"/>
                <w:sz w:val="21"/>
                <w:szCs w:val="21"/>
                <w:lang w:val="en-US" w:eastAsia="zh-CN" w:bidi="ar-SA"/>
              </w:rPr>
            </w:pPr>
          </w:p>
        </w:tc>
        <w:tc>
          <w:tcPr>
            <w:tcW w:w="5295" w:type="dxa"/>
            <w:tcBorders>
              <w:top w:val="outset" w:color="auto" w:sz="6" w:space="0"/>
              <w:left w:val="outset" w:color="auto" w:sz="6" w:space="0"/>
              <w:bottom w:val="outset" w:color="auto" w:sz="6" w:space="0"/>
              <w:right w:val="outset" w:color="auto" w:sz="6" w:space="0"/>
            </w:tcBorders>
            <w:noWrap w:val="0"/>
            <w:vAlign w:val="center"/>
          </w:tcPr>
          <w:p w14:paraId="1A348709">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教学、水电、电梯设施和消防器材定期检查、保养</w:t>
            </w:r>
          </w:p>
        </w:tc>
        <w:tc>
          <w:tcPr>
            <w:tcW w:w="567" w:type="dxa"/>
            <w:tcBorders>
              <w:top w:val="single" w:color="auto" w:sz="4" w:space="0"/>
              <w:left w:val="outset" w:color="auto" w:sz="6" w:space="0"/>
              <w:bottom w:val="outset" w:color="auto" w:sz="6" w:space="0"/>
              <w:right w:val="outset" w:color="auto" w:sz="6" w:space="0"/>
            </w:tcBorders>
            <w:noWrap w:val="0"/>
            <w:vAlign w:val="center"/>
          </w:tcPr>
          <w:p w14:paraId="6E75D1AE">
            <w:pPr>
              <w:pStyle w:val="2"/>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w:t>
            </w:r>
          </w:p>
        </w:tc>
        <w:tc>
          <w:tcPr>
            <w:tcW w:w="567" w:type="dxa"/>
            <w:tcBorders>
              <w:top w:val="outset" w:color="auto" w:sz="6" w:space="0"/>
              <w:left w:val="outset" w:color="auto" w:sz="6" w:space="0"/>
              <w:bottom w:val="outset" w:color="auto" w:sz="6" w:space="0"/>
              <w:right w:val="outset" w:color="auto" w:sz="6" w:space="0"/>
            </w:tcBorders>
            <w:noWrap w:val="0"/>
            <w:vAlign w:val="center"/>
          </w:tcPr>
          <w:p w14:paraId="3C98CB8D">
            <w:pPr>
              <w:pStyle w:val="2"/>
              <w:rPr>
                <w:rFonts w:hint="eastAsia" w:ascii="仿宋_GB2312" w:hAnsi="仿宋_GB2312" w:eastAsia="仿宋_GB2312" w:cs="仿宋_GB2312"/>
                <w:kern w:val="2"/>
                <w:sz w:val="21"/>
                <w:szCs w:val="21"/>
                <w:lang w:val="en-US" w:eastAsia="zh-CN" w:bidi="ar-SA"/>
              </w:rPr>
            </w:pPr>
          </w:p>
        </w:tc>
      </w:tr>
      <w:tr w14:paraId="1D5A1E3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661" w:type="dxa"/>
            <w:vMerge w:val="restart"/>
            <w:tcBorders>
              <w:top w:val="outset" w:color="auto" w:sz="6" w:space="0"/>
              <w:left w:val="outset" w:color="auto" w:sz="6" w:space="0"/>
              <w:bottom w:val="outset" w:color="auto" w:sz="6" w:space="0"/>
              <w:right w:val="outset" w:color="auto" w:sz="6" w:space="0"/>
            </w:tcBorders>
            <w:noWrap w:val="0"/>
            <w:vAlign w:val="center"/>
          </w:tcPr>
          <w:p w14:paraId="4665F910">
            <w:pPr>
              <w:pStyle w:val="2"/>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五</w:t>
            </w:r>
          </w:p>
        </w:tc>
        <w:tc>
          <w:tcPr>
            <w:tcW w:w="1707" w:type="dxa"/>
            <w:vMerge w:val="restart"/>
            <w:tcBorders>
              <w:top w:val="outset" w:color="auto" w:sz="6" w:space="0"/>
              <w:left w:val="outset" w:color="auto" w:sz="6" w:space="0"/>
              <w:bottom w:val="outset" w:color="auto" w:sz="6" w:space="0"/>
              <w:right w:val="outset" w:color="auto" w:sz="6" w:space="0"/>
            </w:tcBorders>
            <w:noWrap w:val="0"/>
            <w:vAlign w:val="center"/>
          </w:tcPr>
          <w:p w14:paraId="49CD8A74">
            <w:pPr>
              <w:pStyle w:val="2"/>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餐饮服务</w:t>
            </w:r>
          </w:p>
          <w:p w14:paraId="504D393B">
            <w:pPr>
              <w:pStyle w:val="2"/>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（10分）</w:t>
            </w:r>
          </w:p>
        </w:tc>
        <w:tc>
          <w:tcPr>
            <w:tcW w:w="5295" w:type="dxa"/>
            <w:tcBorders>
              <w:top w:val="outset" w:color="auto" w:sz="6" w:space="0"/>
              <w:left w:val="outset" w:color="auto" w:sz="6" w:space="0"/>
              <w:bottom w:val="single" w:color="auto" w:sz="0" w:space="0"/>
              <w:right w:val="outset" w:color="auto" w:sz="6" w:space="0"/>
            </w:tcBorders>
            <w:noWrap w:val="0"/>
            <w:vAlign w:val="center"/>
          </w:tcPr>
          <w:p w14:paraId="74BEB11E">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食堂干净卫生整洁</w:t>
            </w:r>
          </w:p>
        </w:tc>
        <w:tc>
          <w:tcPr>
            <w:tcW w:w="567" w:type="dxa"/>
            <w:tcBorders>
              <w:top w:val="outset" w:color="auto" w:sz="6" w:space="0"/>
              <w:left w:val="outset" w:color="auto" w:sz="6" w:space="0"/>
              <w:bottom w:val="single" w:color="auto" w:sz="4" w:space="0"/>
              <w:right w:val="outset" w:color="auto" w:sz="6" w:space="0"/>
            </w:tcBorders>
            <w:noWrap w:val="0"/>
            <w:vAlign w:val="center"/>
          </w:tcPr>
          <w:p w14:paraId="57A1F259">
            <w:pPr>
              <w:pStyle w:val="2"/>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w:t>
            </w:r>
          </w:p>
        </w:tc>
        <w:tc>
          <w:tcPr>
            <w:tcW w:w="567" w:type="dxa"/>
            <w:tcBorders>
              <w:top w:val="outset" w:color="auto" w:sz="6" w:space="0"/>
              <w:left w:val="outset" w:color="auto" w:sz="6" w:space="0"/>
              <w:bottom w:val="outset" w:color="auto" w:sz="6" w:space="0"/>
              <w:right w:val="outset" w:color="auto" w:sz="6" w:space="0"/>
            </w:tcBorders>
            <w:noWrap w:val="0"/>
            <w:vAlign w:val="center"/>
          </w:tcPr>
          <w:p w14:paraId="5A2B562E">
            <w:pPr>
              <w:pStyle w:val="2"/>
              <w:rPr>
                <w:rFonts w:hint="eastAsia" w:ascii="仿宋_GB2312" w:hAnsi="仿宋_GB2312" w:eastAsia="仿宋_GB2312" w:cs="仿宋_GB2312"/>
                <w:kern w:val="2"/>
                <w:sz w:val="21"/>
                <w:szCs w:val="21"/>
                <w:lang w:val="en-US" w:eastAsia="zh-CN" w:bidi="ar-SA"/>
              </w:rPr>
            </w:pPr>
          </w:p>
        </w:tc>
      </w:tr>
      <w:tr w14:paraId="6AFBF12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661" w:type="dxa"/>
            <w:vMerge w:val="continue"/>
            <w:tcBorders>
              <w:top w:val="outset" w:color="auto" w:sz="6" w:space="0"/>
              <w:left w:val="outset" w:color="auto" w:sz="6" w:space="0"/>
              <w:bottom w:val="outset" w:color="auto" w:sz="6" w:space="0"/>
              <w:right w:val="outset" w:color="auto" w:sz="6" w:space="0"/>
            </w:tcBorders>
            <w:noWrap w:val="0"/>
            <w:vAlign w:val="center"/>
          </w:tcPr>
          <w:p w14:paraId="40B62F76">
            <w:pPr>
              <w:pStyle w:val="2"/>
              <w:jc w:val="center"/>
              <w:rPr>
                <w:rFonts w:hint="eastAsia" w:ascii="仿宋_GB2312" w:hAnsi="仿宋_GB2312" w:eastAsia="仿宋_GB2312" w:cs="仿宋_GB2312"/>
                <w:kern w:val="2"/>
                <w:sz w:val="21"/>
                <w:szCs w:val="21"/>
                <w:lang w:val="en-US" w:eastAsia="zh-CN" w:bidi="ar-SA"/>
              </w:rPr>
            </w:pPr>
          </w:p>
        </w:tc>
        <w:tc>
          <w:tcPr>
            <w:tcW w:w="1707" w:type="dxa"/>
            <w:vMerge w:val="continue"/>
            <w:tcBorders>
              <w:top w:val="outset" w:color="auto" w:sz="6" w:space="0"/>
              <w:left w:val="outset" w:color="auto" w:sz="6" w:space="0"/>
              <w:bottom w:val="outset" w:color="auto" w:sz="6" w:space="0"/>
              <w:right w:val="outset" w:color="auto" w:sz="6" w:space="0"/>
            </w:tcBorders>
            <w:noWrap w:val="0"/>
            <w:vAlign w:val="center"/>
          </w:tcPr>
          <w:p w14:paraId="473BA166">
            <w:pPr>
              <w:pStyle w:val="2"/>
              <w:jc w:val="center"/>
              <w:rPr>
                <w:rFonts w:hint="eastAsia" w:ascii="仿宋_GB2312" w:hAnsi="仿宋_GB2312" w:eastAsia="仿宋_GB2312" w:cs="仿宋_GB2312"/>
                <w:kern w:val="2"/>
                <w:sz w:val="21"/>
                <w:szCs w:val="21"/>
                <w:lang w:val="en-US" w:eastAsia="zh-CN" w:bidi="ar-SA"/>
              </w:rPr>
            </w:pPr>
          </w:p>
        </w:tc>
        <w:tc>
          <w:tcPr>
            <w:tcW w:w="5295" w:type="dxa"/>
            <w:tcBorders>
              <w:top w:val="outset" w:color="auto" w:sz="6" w:space="0"/>
              <w:left w:val="outset" w:color="auto" w:sz="6" w:space="0"/>
              <w:bottom w:val="single" w:color="auto" w:sz="0" w:space="0"/>
              <w:right w:val="outset" w:color="auto" w:sz="6" w:space="0"/>
            </w:tcBorders>
            <w:noWrap w:val="0"/>
            <w:vAlign w:val="center"/>
          </w:tcPr>
          <w:p w14:paraId="40D613EC">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有无过期变质食品</w:t>
            </w:r>
          </w:p>
        </w:tc>
        <w:tc>
          <w:tcPr>
            <w:tcW w:w="567" w:type="dxa"/>
            <w:tcBorders>
              <w:top w:val="single" w:color="auto" w:sz="4" w:space="0"/>
              <w:left w:val="outset" w:color="auto" w:sz="6" w:space="0"/>
              <w:bottom w:val="single" w:color="auto" w:sz="4" w:space="0"/>
              <w:right w:val="outset" w:color="auto" w:sz="6" w:space="0"/>
            </w:tcBorders>
            <w:noWrap w:val="0"/>
            <w:vAlign w:val="center"/>
          </w:tcPr>
          <w:p w14:paraId="28E64103">
            <w:pPr>
              <w:pStyle w:val="2"/>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w:t>
            </w:r>
          </w:p>
        </w:tc>
        <w:tc>
          <w:tcPr>
            <w:tcW w:w="567" w:type="dxa"/>
            <w:tcBorders>
              <w:top w:val="outset" w:color="auto" w:sz="6" w:space="0"/>
              <w:left w:val="outset" w:color="auto" w:sz="6" w:space="0"/>
              <w:bottom w:val="outset" w:color="auto" w:sz="6" w:space="0"/>
              <w:right w:val="outset" w:color="auto" w:sz="6" w:space="0"/>
            </w:tcBorders>
            <w:noWrap w:val="0"/>
            <w:vAlign w:val="center"/>
          </w:tcPr>
          <w:p w14:paraId="252A8414">
            <w:pPr>
              <w:pStyle w:val="2"/>
              <w:rPr>
                <w:rFonts w:hint="eastAsia" w:ascii="仿宋_GB2312" w:hAnsi="仿宋_GB2312" w:eastAsia="仿宋_GB2312" w:cs="仿宋_GB2312"/>
                <w:kern w:val="2"/>
                <w:sz w:val="21"/>
                <w:szCs w:val="21"/>
                <w:lang w:val="en-US" w:eastAsia="zh-CN" w:bidi="ar-SA"/>
              </w:rPr>
            </w:pPr>
          </w:p>
        </w:tc>
      </w:tr>
      <w:tr w14:paraId="7E524CF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661" w:type="dxa"/>
            <w:vMerge w:val="continue"/>
            <w:tcBorders>
              <w:top w:val="outset" w:color="auto" w:sz="6" w:space="0"/>
              <w:left w:val="outset" w:color="auto" w:sz="6" w:space="0"/>
              <w:bottom w:val="outset" w:color="auto" w:sz="6" w:space="0"/>
              <w:right w:val="outset" w:color="auto" w:sz="6" w:space="0"/>
            </w:tcBorders>
            <w:noWrap w:val="0"/>
            <w:vAlign w:val="center"/>
          </w:tcPr>
          <w:p w14:paraId="5F1613AD">
            <w:pPr>
              <w:pStyle w:val="2"/>
              <w:jc w:val="center"/>
              <w:rPr>
                <w:rFonts w:hint="eastAsia" w:ascii="仿宋_GB2312" w:hAnsi="仿宋_GB2312" w:eastAsia="仿宋_GB2312" w:cs="仿宋_GB2312"/>
                <w:kern w:val="2"/>
                <w:sz w:val="21"/>
                <w:szCs w:val="21"/>
                <w:lang w:val="en-US" w:eastAsia="zh-CN" w:bidi="ar-SA"/>
              </w:rPr>
            </w:pPr>
          </w:p>
        </w:tc>
        <w:tc>
          <w:tcPr>
            <w:tcW w:w="1707" w:type="dxa"/>
            <w:vMerge w:val="continue"/>
            <w:tcBorders>
              <w:top w:val="outset" w:color="auto" w:sz="6" w:space="0"/>
              <w:left w:val="outset" w:color="auto" w:sz="6" w:space="0"/>
              <w:bottom w:val="outset" w:color="auto" w:sz="6" w:space="0"/>
              <w:right w:val="outset" w:color="auto" w:sz="6" w:space="0"/>
            </w:tcBorders>
            <w:noWrap w:val="0"/>
            <w:vAlign w:val="center"/>
          </w:tcPr>
          <w:p w14:paraId="17BAAE7F">
            <w:pPr>
              <w:pStyle w:val="2"/>
              <w:jc w:val="center"/>
              <w:rPr>
                <w:rFonts w:hint="eastAsia" w:ascii="仿宋_GB2312" w:hAnsi="仿宋_GB2312" w:eastAsia="仿宋_GB2312" w:cs="仿宋_GB2312"/>
                <w:kern w:val="2"/>
                <w:sz w:val="21"/>
                <w:szCs w:val="21"/>
                <w:lang w:val="en-US" w:eastAsia="zh-CN" w:bidi="ar-SA"/>
              </w:rPr>
            </w:pPr>
          </w:p>
        </w:tc>
        <w:tc>
          <w:tcPr>
            <w:tcW w:w="5295" w:type="dxa"/>
            <w:tcBorders>
              <w:top w:val="outset" w:color="auto" w:sz="6" w:space="0"/>
              <w:left w:val="outset" w:color="auto" w:sz="6" w:space="0"/>
              <w:bottom w:val="outset" w:color="auto" w:sz="6" w:space="0"/>
              <w:right w:val="outset" w:color="auto" w:sz="6" w:space="0"/>
            </w:tcBorders>
            <w:noWrap w:val="0"/>
            <w:vAlign w:val="center"/>
          </w:tcPr>
          <w:p w14:paraId="2D8C9003">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服务是否按时按量</w:t>
            </w:r>
          </w:p>
        </w:tc>
        <w:tc>
          <w:tcPr>
            <w:tcW w:w="567" w:type="dxa"/>
            <w:tcBorders>
              <w:top w:val="single" w:color="auto" w:sz="4" w:space="0"/>
              <w:left w:val="outset" w:color="auto" w:sz="6" w:space="0"/>
              <w:bottom w:val="outset" w:color="auto" w:sz="6" w:space="0"/>
              <w:right w:val="outset" w:color="auto" w:sz="6" w:space="0"/>
            </w:tcBorders>
            <w:noWrap w:val="0"/>
            <w:vAlign w:val="center"/>
          </w:tcPr>
          <w:p w14:paraId="40B66A54">
            <w:pPr>
              <w:pStyle w:val="2"/>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4</w:t>
            </w:r>
          </w:p>
        </w:tc>
        <w:tc>
          <w:tcPr>
            <w:tcW w:w="567" w:type="dxa"/>
            <w:tcBorders>
              <w:top w:val="outset" w:color="auto" w:sz="6" w:space="0"/>
              <w:left w:val="outset" w:color="auto" w:sz="6" w:space="0"/>
              <w:bottom w:val="outset" w:color="000000" w:sz="6" w:space="0"/>
              <w:right w:val="outset" w:color="auto" w:sz="6" w:space="0"/>
            </w:tcBorders>
            <w:noWrap w:val="0"/>
            <w:vAlign w:val="center"/>
          </w:tcPr>
          <w:p w14:paraId="1F653B44">
            <w:pPr>
              <w:pStyle w:val="2"/>
              <w:rPr>
                <w:rFonts w:hint="eastAsia" w:ascii="仿宋_GB2312" w:hAnsi="仿宋_GB2312" w:eastAsia="仿宋_GB2312" w:cs="仿宋_GB2312"/>
                <w:kern w:val="2"/>
                <w:sz w:val="21"/>
                <w:szCs w:val="21"/>
                <w:lang w:val="en-US" w:eastAsia="zh-CN" w:bidi="ar-SA"/>
              </w:rPr>
            </w:pPr>
          </w:p>
        </w:tc>
      </w:tr>
      <w:tr w14:paraId="1551784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661" w:type="dxa"/>
            <w:vMerge w:val="restart"/>
            <w:tcBorders>
              <w:top w:val="outset" w:color="auto" w:sz="6" w:space="0"/>
              <w:left w:val="outset" w:color="auto" w:sz="6" w:space="0"/>
              <w:bottom w:val="outset" w:color="auto" w:sz="6" w:space="0"/>
              <w:right w:val="outset" w:color="auto" w:sz="6" w:space="0"/>
            </w:tcBorders>
            <w:noWrap w:val="0"/>
            <w:vAlign w:val="center"/>
          </w:tcPr>
          <w:p w14:paraId="731198C6">
            <w:pPr>
              <w:pStyle w:val="2"/>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六</w:t>
            </w:r>
          </w:p>
        </w:tc>
        <w:tc>
          <w:tcPr>
            <w:tcW w:w="1707" w:type="dxa"/>
            <w:vMerge w:val="restart"/>
            <w:tcBorders>
              <w:top w:val="outset" w:color="auto" w:sz="6" w:space="0"/>
              <w:left w:val="outset" w:color="auto" w:sz="6" w:space="0"/>
              <w:bottom w:val="outset" w:color="auto" w:sz="6" w:space="0"/>
              <w:right w:val="single" w:color="auto" w:sz="4" w:space="0"/>
            </w:tcBorders>
            <w:noWrap w:val="0"/>
            <w:vAlign w:val="center"/>
          </w:tcPr>
          <w:p w14:paraId="5FE75566">
            <w:pPr>
              <w:pStyle w:val="2"/>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学生宿舍管理</w:t>
            </w:r>
          </w:p>
          <w:p w14:paraId="6CBBDA10">
            <w:pPr>
              <w:pStyle w:val="2"/>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（10分））</w:t>
            </w:r>
          </w:p>
        </w:tc>
        <w:tc>
          <w:tcPr>
            <w:tcW w:w="5295" w:type="dxa"/>
            <w:tcBorders>
              <w:top w:val="outset" w:color="auto" w:sz="6" w:space="0"/>
              <w:left w:val="single" w:color="auto" w:sz="4" w:space="0"/>
              <w:bottom w:val="outset" w:color="auto" w:sz="6" w:space="0"/>
              <w:right w:val="outset" w:color="auto" w:sz="6" w:space="0"/>
            </w:tcBorders>
            <w:noWrap w:val="0"/>
            <w:vAlign w:val="center"/>
          </w:tcPr>
          <w:p w14:paraId="7131749C">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执行学校学生宿舍管理办法</w:t>
            </w:r>
          </w:p>
        </w:tc>
        <w:tc>
          <w:tcPr>
            <w:tcW w:w="567" w:type="dxa"/>
            <w:tcBorders>
              <w:top w:val="outset" w:color="auto" w:sz="6" w:space="0"/>
              <w:left w:val="outset" w:color="auto" w:sz="6" w:space="0"/>
              <w:bottom w:val="outset" w:color="auto" w:sz="6" w:space="0"/>
              <w:right w:val="outset" w:color="000000" w:sz="6" w:space="0"/>
            </w:tcBorders>
            <w:noWrap w:val="0"/>
            <w:vAlign w:val="center"/>
          </w:tcPr>
          <w:p w14:paraId="4098D57C">
            <w:pPr>
              <w:pStyle w:val="2"/>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5</w:t>
            </w:r>
          </w:p>
        </w:tc>
        <w:tc>
          <w:tcPr>
            <w:tcW w:w="567" w:type="dxa"/>
            <w:tcBorders>
              <w:top w:val="outset" w:color="000000" w:sz="6" w:space="0"/>
              <w:left w:val="outset" w:color="000000" w:sz="6" w:space="0"/>
              <w:bottom w:val="outset" w:color="000000" w:sz="6" w:space="0"/>
              <w:right w:val="outset" w:color="000000" w:sz="6" w:space="0"/>
            </w:tcBorders>
            <w:noWrap w:val="0"/>
            <w:vAlign w:val="center"/>
          </w:tcPr>
          <w:p w14:paraId="2F4B1087">
            <w:pPr>
              <w:pStyle w:val="2"/>
              <w:rPr>
                <w:rFonts w:hint="eastAsia" w:ascii="仿宋_GB2312" w:hAnsi="仿宋_GB2312" w:eastAsia="仿宋_GB2312" w:cs="仿宋_GB2312"/>
                <w:kern w:val="2"/>
                <w:sz w:val="21"/>
                <w:szCs w:val="21"/>
                <w:lang w:val="en-US" w:eastAsia="zh-CN" w:bidi="ar-SA"/>
              </w:rPr>
            </w:pPr>
          </w:p>
        </w:tc>
      </w:tr>
      <w:tr w14:paraId="7DB8CCD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661" w:type="dxa"/>
            <w:vMerge w:val="continue"/>
            <w:tcBorders>
              <w:top w:val="outset" w:color="auto" w:sz="6" w:space="0"/>
              <w:left w:val="outset" w:color="auto" w:sz="6" w:space="0"/>
              <w:bottom w:val="outset" w:color="auto" w:sz="6" w:space="0"/>
              <w:right w:val="outset" w:color="auto" w:sz="6" w:space="0"/>
            </w:tcBorders>
            <w:noWrap w:val="0"/>
            <w:vAlign w:val="center"/>
          </w:tcPr>
          <w:p w14:paraId="167A0BAE">
            <w:pPr>
              <w:pStyle w:val="2"/>
              <w:jc w:val="center"/>
              <w:rPr>
                <w:rFonts w:hint="eastAsia" w:ascii="仿宋_GB2312" w:hAnsi="仿宋_GB2312" w:eastAsia="仿宋_GB2312" w:cs="仿宋_GB2312"/>
                <w:kern w:val="2"/>
                <w:sz w:val="21"/>
                <w:szCs w:val="21"/>
                <w:lang w:val="en-US" w:eastAsia="zh-CN" w:bidi="ar-SA"/>
              </w:rPr>
            </w:pPr>
          </w:p>
        </w:tc>
        <w:tc>
          <w:tcPr>
            <w:tcW w:w="1707" w:type="dxa"/>
            <w:vMerge w:val="continue"/>
            <w:tcBorders>
              <w:top w:val="outset" w:color="auto" w:sz="6" w:space="0"/>
              <w:left w:val="outset" w:color="auto" w:sz="6" w:space="0"/>
              <w:bottom w:val="outset" w:color="auto" w:sz="6" w:space="0"/>
              <w:right w:val="single" w:color="auto" w:sz="4" w:space="0"/>
            </w:tcBorders>
            <w:noWrap w:val="0"/>
            <w:vAlign w:val="center"/>
          </w:tcPr>
          <w:p w14:paraId="27034298">
            <w:pPr>
              <w:pStyle w:val="2"/>
              <w:jc w:val="center"/>
              <w:rPr>
                <w:rFonts w:hint="eastAsia" w:ascii="仿宋_GB2312" w:hAnsi="仿宋_GB2312" w:eastAsia="仿宋_GB2312" w:cs="仿宋_GB2312"/>
                <w:kern w:val="2"/>
                <w:sz w:val="21"/>
                <w:szCs w:val="21"/>
                <w:lang w:val="en-US" w:eastAsia="zh-CN" w:bidi="ar-SA"/>
              </w:rPr>
            </w:pPr>
          </w:p>
        </w:tc>
        <w:tc>
          <w:tcPr>
            <w:tcW w:w="5295" w:type="dxa"/>
            <w:tcBorders>
              <w:top w:val="outset" w:color="auto" w:sz="6" w:space="0"/>
              <w:left w:val="single" w:color="auto" w:sz="4" w:space="0"/>
              <w:bottom w:val="outset" w:color="auto" w:sz="6" w:space="0"/>
              <w:right w:val="outset" w:color="auto" w:sz="6" w:space="0"/>
            </w:tcBorders>
            <w:noWrap w:val="0"/>
            <w:vAlign w:val="center"/>
          </w:tcPr>
          <w:p w14:paraId="098F35E3">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配合学校相关部门进行学生宿舍管理</w:t>
            </w:r>
          </w:p>
        </w:tc>
        <w:tc>
          <w:tcPr>
            <w:tcW w:w="567" w:type="dxa"/>
            <w:tcBorders>
              <w:top w:val="outset" w:color="auto" w:sz="6" w:space="0"/>
              <w:left w:val="outset" w:color="auto" w:sz="6" w:space="0"/>
              <w:bottom w:val="outset" w:color="auto" w:sz="6" w:space="0"/>
              <w:right w:val="outset" w:color="000000" w:sz="6" w:space="0"/>
            </w:tcBorders>
            <w:noWrap w:val="0"/>
            <w:vAlign w:val="center"/>
          </w:tcPr>
          <w:p w14:paraId="01F9B700">
            <w:pPr>
              <w:pStyle w:val="2"/>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5</w:t>
            </w:r>
          </w:p>
        </w:tc>
        <w:tc>
          <w:tcPr>
            <w:tcW w:w="567" w:type="dxa"/>
            <w:tcBorders>
              <w:top w:val="outset" w:color="000000" w:sz="6" w:space="0"/>
              <w:left w:val="outset" w:color="000000" w:sz="6" w:space="0"/>
              <w:bottom w:val="outset" w:color="000000" w:sz="6" w:space="0"/>
              <w:right w:val="outset" w:color="000000" w:sz="6" w:space="0"/>
            </w:tcBorders>
            <w:noWrap w:val="0"/>
            <w:vAlign w:val="center"/>
          </w:tcPr>
          <w:p w14:paraId="7B5C4E1F">
            <w:pPr>
              <w:pStyle w:val="2"/>
              <w:rPr>
                <w:rFonts w:hint="eastAsia" w:ascii="仿宋_GB2312" w:hAnsi="仿宋_GB2312" w:eastAsia="仿宋_GB2312" w:cs="仿宋_GB2312"/>
                <w:kern w:val="2"/>
                <w:sz w:val="21"/>
                <w:szCs w:val="21"/>
                <w:lang w:val="en-US" w:eastAsia="zh-CN" w:bidi="ar-SA"/>
              </w:rPr>
            </w:pPr>
          </w:p>
        </w:tc>
      </w:tr>
      <w:tr w14:paraId="24B80E6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661" w:type="dxa"/>
            <w:vMerge w:val="restart"/>
            <w:tcBorders>
              <w:top w:val="outset" w:color="auto" w:sz="6" w:space="0"/>
              <w:left w:val="outset" w:color="auto" w:sz="6" w:space="0"/>
              <w:bottom w:val="outset" w:color="auto" w:sz="6" w:space="0"/>
              <w:right w:val="outset" w:color="auto" w:sz="6" w:space="0"/>
            </w:tcBorders>
            <w:noWrap w:val="0"/>
            <w:vAlign w:val="center"/>
          </w:tcPr>
          <w:p w14:paraId="341BAFD1">
            <w:pPr>
              <w:pStyle w:val="2"/>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七</w:t>
            </w:r>
          </w:p>
        </w:tc>
        <w:tc>
          <w:tcPr>
            <w:tcW w:w="1707" w:type="dxa"/>
            <w:vMerge w:val="restart"/>
            <w:tcBorders>
              <w:top w:val="outset" w:color="auto" w:sz="6" w:space="0"/>
              <w:left w:val="outset" w:color="auto" w:sz="6" w:space="0"/>
              <w:bottom w:val="outset" w:color="auto" w:sz="6" w:space="0"/>
              <w:right w:val="single" w:color="auto" w:sz="4" w:space="0"/>
            </w:tcBorders>
            <w:noWrap w:val="0"/>
            <w:vAlign w:val="center"/>
          </w:tcPr>
          <w:p w14:paraId="24C371D7">
            <w:pPr>
              <w:pStyle w:val="2"/>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门卫安保服务</w:t>
            </w:r>
          </w:p>
          <w:p w14:paraId="3AB4F93C">
            <w:pPr>
              <w:pStyle w:val="2"/>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(15分)</w:t>
            </w:r>
          </w:p>
        </w:tc>
        <w:tc>
          <w:tcPr>
            <w:tcW w:w="5295" w:type="dxa"/>
            <w:tcBorders>
              <w:top w:val="outset" w:color="auto" w:sz="6" w:space="0"/>
              <w:left w:val="single" w:color="auto" w:sz="4" w:space="0"/>
              <w:bottom w:val="outset" w:color="auto" w:sz="6" w:space="0"/>
              <w:right w:val="outset" w:color="auto" w:sz="6" w:space="0"/>
            </w:tcBorders>
            <w:noWrap w:val="0"/>
            <w:vAlign w:val="center"/>
          </w:tcPr>
          <w:p w14:paraId="4EF15D66">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员工无故离岗</w:t>
            </w:r>
          </w:p>
        </w:tc>
        <w:tc>
          <w:tcPr>
            <w:tcW w:w="567" w:type="dxa"/>
            <w:tcBorders>
              <w:top w:val="outset" w:color="auto" w:sz="6" w:space="0"/>
              <w:left w:val="outset" w:color="auto" w:sz="6" w:space="0"/>
              <w:bottom w:val="outset" w:color="auto" w:sz="6" w:space="0"/>
              <w:right w:val="outset" w:color="000000" w:sz="6" w:space="0"/>
            </w:tcBorders>
            <w:noWrap w:val="0"/>
            <w:vAlign w:val="center"/>
          </w:tcPr>
          <w:p w14:paraId="1472007D">
            <w:pPr>
              <w:pStyle w:val="2"/>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5</w:t>
            </w:r>
          </w:p>
        </w:tc>
        <w:tc>
          <w:tcPr>
            <w:tcW w:w="567" w:type="dxa"/>
            <w:tcBorders>
              <w:top w:val="outset" w:color="000000" w:sz="6" w:space="0"/>
              <w:left w:val="outset" w:color="000000" w:sz="6" w:space="0"/>
              <w:bottom w:val="outset" w:color="000000" w:sz="6" w:space="0"/>
              <w:right w:val="outset" w:color="000000" w:sz="6" w:space="0"/>
            </w:tcBorders>
            <w:noWrap w:val="0"/>
            <w:vAlign w:val="center"/>
          </w:tcPr>
          <w:p w14:paraId="04386321">
            <w:pPr>
              <w:pStyle w:val="2"/>
              <w:rPr>
                <w:rFonts w:hint="eastAsia" w:ascii="仿宋_GB2312" w:hAnsi="仿宋_GB2312" w:eastAsia="仿宋_GB2312" w:cs="仿宋_GB2312"/>
                <w:kern w:val="2"/>
                <w:sz w:val="21"/>
                <w:szCs w:val="21"/>
                <w:lang w:val="en-US" w:eastAsia="zh-CN" w:bidi="ar-SA"/>
              </w:rPr>
            </w:pPr>
          </w:p>
        </w:tc>
      </w:tr>
      <w:tr w14:paraId="1153A3B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661" w:type="dxa"/>
            <w:vMerge w:val="continue"/>
            <w:tcBorders>
              <w:top w:val="outset" w:color="auto" w:sz="6" w:space="0"/>
              <w:left w:val="outset" w:color="auto" w:sz="6" w:space="0"/>
              <w:bottom w:val="outset" w:color="auto" w:sz="6" w:space="0"/>
              <w:right w:val="outset" w:color="auto" w:sz="6" w:space="0"/>
            </w:tcBorders>
            <w:noWrap w:val="0"/>
            <w:vAlign w:val="center"/>
          </w:tcPr>
          <w:p w14:paraId="6FFF772A">
            <w:pPr>
              <w:pStyle w:val="2"/>
              <w:jc w:val="center"/>
              <w:rPr>
                <w:rFonts w:hint="eastAsia" w:ascii="仿宋_GB2312" w:hAnsi="仿宋_GB2312" w:eastAsia="仿宋_GB2312" w:cs="仿宋_GB2312"/>
                <w:kern w:val="2"/>
                <w:sz w:val="21"/>
                <w:szCs w:val="21"/>
                <w:lang w:val="en-US" w:eastAsia="zh-CN" w:bidi="ar-SA"/>
              </w:rPr>
            </w:pPr>
          </w:p>
        </w:tc>
        <w:tc>
          <w:tcPr>
            <w:tcW w:w="1707" w:type="dxa"/>
            <w:vMerge w:val="continue"/>
            <w:tcBorders>
              <w:top w:val="outset" w:color="auto" w:sz="6" w:space="0"/>
              <w:left w:val="outset" w:color="auto" w:sz="6" w:space="0"/>
              <w:bottom w:val="outset" w:color="auto" w:sz="6" w:space="0"/>
              <w:right w:val="single" w:color="auto" w:sz="4" w:space="0"/>
            </w:tcBorders>
            <w:noWrap w:val="0"/>
            <w:vAlign w:val="center"/>
          </w:tcPr>
          <w:p w14:paraId="5FF79772">
            <w:pPr>
              <w:pStyle w:val="2"/>
              <w:jc w:val="center"/>
              <w:rPr>
                <w:rFonts w:hint="eastAsia" w:ascii="仿宋_GB2312" w:hAnsi="仿宋_GB2312" w:eastAsia="仿宋_GB2312" w:cs="仿宋_GB2312"/>
                <w:kern w:val="2"/>
                <w:sz w:val="21"/>
                <w:szCs w:val="21"/>
                <w:lang w:val="en-US" w:eastAsia="zh-CN" w:bidi="ar-SA"/>
              </w:rPr>
            </w:pPr>
          </w:p>
        </w:tc>
        <w:tc>
          <w:tcPr>
            <w:tcW w:w="5295" w:type="dxa"/>
            <w:tcBorders>
              <w:top w:val="outset" w:color="auto" w:sz="6" w:space="0"/>
              <w:left w:val="single" w:color="auto" w:sz="4" w:space="0"/>
              <w:bottom w:val="outset" w:color="auto" w:sz="6" w:space="0"/>
              <w:right w:val="outset" w:color="auto" w:sz="6" w:space="0"/>
            </w:tcBorders>
            <w:noWrap w:val="0"/>
            <w:vAlign w:val="center"/>
          </w:tcPr>
          <w:p w14:paraId="701F5ED1">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在岗睡觉、长时间玩手机等</w:t>
            </w:r>
          </w:p>
        </w:tc>
        <w:tc>
          <w:tcPr>
            <w:tcW w:w="567" w:type="dxa"/>
            <w:tcBorders>
              <w:top w:val="outset" w:color="auto" w:sz="6" w:space="0"/>
              <w:left w:val="outset" w:color="auto" w:sz="6" w:space="0"/>
              <w:bottom w:val="outset" w:color="auto" w:sz="6" w:space="0"/>
              <w:right w:val="outset" w:color="000000" w:sz="6" w:space="0"/>
            </w:tcBorders>
            <w:noWrap w:val="0"/>
            <w:vAlign w:val="center"/>
          </w:tcPr>
          <w:p w14:paraId="27DD635D">
            <w:pPr>
              <w:pStyle w:val="2"/>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5</w:t>
            </w:r>
          </w:p>
        </w:tc>
        <w:tc>
          <w:tcPr>
            <w:tcW w:w="567" w:type="dxa"/>
            <w:tcBorders>
              <w:top w:val="outset" w:color="000000" w:sz="6" w:space="0"/>
              <w:left w:val="outset" w:color="000000" w:sz="6" w:space="0"/>
              <w:bottom w:val="outset" w:color="000000" w:sz="6" w:space="0"/>
              <w:right w:val="outset" w:color="000000" w:sz="6" w:space="0"/>
            </w:tcBorders>
            <w:noWrap w:val="0"/>
            <w:vAlign w:val="center"/>
          </w:tcPr>
          <w:p w14:paraId="6D898FD6">
            <w:pPr>
              <w:pStyle w:val="2"/>
              <w:rPr>
                <w:rFonts w:hint="eastAsia" w:ascii="仿宋_GB2312" w:hAnsi="仿宋_GB2312" w:eastAsia="仿宋_GB2312" w:cs="仿宋_GB2312"/>
                <w:kern w:val="2"/>
                <w:sz w:val="21"/>
                <w:szCs w:val="21"/>
                <w:lang w:val="en-US" w:eastAsia="zh-CN" w:bidi="ar-SA"/>
              </w:rPr>
            </w:pPr>
          </w:p>
        </w:tc>
      </w:tr>
      <w:tr w14:paraId="085CE00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661" w:type="dxa"/>
            <w:vMerge w:val="continue"/>
            <w:tcBorders>
              <w:top w:val="outset" w:color="auto" w:sz="6" w:space="0"/>
              <w:left w:val="outset" w:color="auto" w:sz="6" w:space="0"/>
              <w:bottom w:val="outset" w:color="auto" w:sz="6" w:space="0"/>
              <w:right w:val="outset" w:color="auto" w:sz="6" w:space="0"/>
            </w:tcBorders>
            <w:noWrap w:val="0"/>
            <w:vAlign w:val="center"/>
          </w:tcPr>
          <w:p w14:paraId="6E32BD9A">
            <w:pPr>
              <w:pStyle w:val="2"/>
              <w:jc w:val="center"/>
              <w:rPr>
                <w:rFonts w:hint="eastAsia" w:ascii="仿宋_GB2312" w:hAnsi="仿宋_GB2312" w:eastAsia="仿宋_GB2312" w:cs="仿宋_GB2312"/>
                <w:kern w:val="2"/>
                <w:sz w:val="21"/>
                <w:szCs w:val="21"/>
                <w:lang w:val="en-US" w:eastAsia="zh-CN" w:bidi="ar-SA"/>
              </w:rPr>
            </w:pPr>
          </w:p>
        </w:tc>
        <w:tc>
          <w:tcPr>
            <w:tcW w:w="1707" w:type="dxa"/>
            <w:vMerge w:val="continue"/>
            <w:tcBorders>
              <w:top w:val="outset" w:color="auto" w:sz="6" w:space="0"/>
              <w:left w:val="outset" w:color="auto" w:sz="6" w:space="0"/>
              <w:bottom w:val="outset" w:color="auto" w:sz="6" w:space="0"/>
              <w:right w:val="single" w:color="auto" w:sz="4" w:space="0"/>
            </w:tcBorders>
            <w:noWrap w:val="0"/>
            <w:vAlign w:val="center"/>
          </w:tcPr>
          <w:p w14:paraId="605A6F76">
            <w:pPr>
              <w:pStyle w:val="2"/>
              <w:jc w:val="center"/>
              <w:rPr>
                <w:rFonts w:hint="eastAsia" w:ascii="仿宋_GB2312" w:hAnsi="仿宋_GB2312" w:eastAsia="仿宋_GB2312" w:cs="仿宋_GB2312"/>
                <w:kern w:val="2"/>
                <w:sz w:val="21"/>
                <w:szCs w:val="21"/>
                <w:lang w:val="en-US" w:eastAsia="zh-CN" w:bidi="ar-SA"/>
              </w:rPr>
            </w:pPr>
          </w:p>
        </w:tc>
        <w:tc>
          <w:tcPr>
            <w:tcW w:w="5295" w:type="dxa"/>
            <w:tcBorders>
              <w:top w:val="outset" w:color="auto" w:sz="6" w:space="0"/>
              <w:left w:val="single" w:color="auto" w:sz="4" w:space="0"/>
              <w:bottom w:val="outset" w:color="auto" w:sz="6" w:space="0"/>
              <w:right w:val="outset" w:color="auto" w:sz="6" w:space="0"/>
            </w:tcBorders>
            <w:noWrap w:val="0"/>
            <w:vAlign w:val="center"/>
          </w:tcPr>
          <w:p w14:paraId="01FA89E1">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空岗</w:t>
            </w:r>
          </w:p>
        </w:tc>
        <w:tc>
          <w:tcPr>
            <w:tcW w:w="567" w:type="dxa"/>
            <w:tcBorders>
              <w:top w:val="outset" w:color="auto" w:sz="6" w:space="0"/>
              <w:left w:val="outset" w:color="auto" w:sz="6" w:space="0"/>
              <w:bottom w:val="outset" w:color="auto" w:sz="6" w:space="0"/>
              <w:right w:val="outset" w:color="000000" w:sz="6" w:space="0"/>
            </w:tcBorders>
            <w:noWrap w:val="0"/>
            <w:vAlign w:val="center"/>
          </w:tcPr>
          <w:p w14:paraId="10373AC9">
            <w:pPr>
              <w:pStyle w:val="2"/>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5</w:t>
            </w:r>
          </w:p>
        </w:tc>
        <w:tc>
          <w:tcPr>
            <w:tcW w:w="567" w:type="dxa"/>
            <w:tcBorders>
              <w:top w:val="outset" w:color="000000" w:sz="6" w:space="0"/>
              <w:left w:val="outset" w:color="000000" w:sz="6" w:space="0"/>
              <w:bottom w:val="outset" w:color="000000" w:sz="6" w:space="0"/>
              <w:right w:val="outset" w:color="000000" w:sz="6" w:space="0"/>
            </w:tcBorders>
            <w:noWrap w:val="0"/>
            <w:vAlign w:val="center"/>
          </w:tcPr>
          <w:p w14:paraId="0F436C06">
            <w:pPr>
              <w:pStyle w:val="2"/>
              <w:rPr>
                <w:rFonts w:hint="eastAsia" w:ascii="仿宋_GB2312" w:hAnsi="仿宋_GB2312" w:eastAsia="仿宋_GB2312" w:cs="仿宋_GB2312"/>
                <w:kern w:val="2"/>
                <w:sz w:val="21"/>
                <w:szCs w:val="21"/>
                <w:lang w:val="en-US" w:eastAsia="zh-CN" w:bidi="ar-SA"/>
              </w:rPr>
            </w:pPr>
          </w:p>
        </w:tc>
      </w:tr>
      <w:tr w14:paraId="3B0145F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661" w:type="dxa"/>
            <w:tcBorders>
              <w:top w:val="outset" w:color="auto" w:sz="6" w:space="0"/>
              <w:left w:val="outset" w:color="auto" w:sz="6" w:space="0"/>
              <w:bottom w:val="outset" w:color="auto" w:sz="6" w:space="0"/>
              <w:right w:val="outset" w:color="auto" w:sz="6" w:space="0"/>
            </w:tcBorders>
            <w:noWrap w:val="0"/>
            <w:vAlign w:val="center"/>
          </w:tcPr>
          <w:p w14:paraId="0C461D18">
            <w:pPr>
              <w:pStyle w:val="2"/>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八</w:t>
            </w:r>
          </w:p>
        </w:tc>
        <w:tc>
          <w:tcPr>
            <w:tcW w:w="1707" w:type="dxa"/>
            <w:tcBorders>
              <w:top w:val="outset" w:color="auto" w:sz="6" w:space="0"/>
              <w:left w:val="outset" w:color="auto" w:sz="6" w:space="0"/>
              <w:bottom w:val="outset" w:color="auto" w:sz="6" w:space="0"/>
              <w:right w:val="single" w:color="auto" w:sz="4" w:space="0"/>
            </w:tcBorders>
            <w:noWrap w:val="0"/>
            <w:vAlign w:val="center"/>
          </w:tcPr>
          <w:p w14:paraId="182133C4">
            <w:pPr>
              <w:pStyle w:val="2"/>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服务反馈</w:t>
            </w:r>
          </w:p>
          <w:p w14:paraId="51315330">
            <w:pPr>
              <w:pStyle w:val="2"/>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（5分）</w:t>
            </w:r>
          </w:p>
        </w:tc>
        <w:tc>
          <w:tcPr>
            <w:tcW w:w="5295" w:type="dxa"/>
            <w:tcBorders>
              <w:top w:val="outset" w:color="auto" w:sz="6" w:space="0"/>
              <w:left w:val="single" w:color="auto" w:sz="4" w:space="0"/>
              <w:bottom w:val="outset" w:color="auto" w:sz="6" w:space="0"/>
              <w:right w:val="outset" w:color="auto" w:sz="6" w:space="0"/>
            </w:tcBorders>
            <w:noWrap w:val="0"/>
            <w:vAlign w:val="center"/>
          </w:tcPr>
          <w:p w14:paraId="06C0B153">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校长信箱等收到投诉意见</w:t>
            </w:r>
          </w:p>
        </w:tc>
        <w:tc>
          <w:tcPr>
            <w:tcW w:w="567" w:type="dxa"/>
            <w:tcBorders>
              <w:top w:val="outset" w:color="auto" w:sz="6" w:space="0"/>
              <w:left w:val="outset" w:color="auto" w:sz="6" w:space="0"/>
              <w:bottom w:val="outset" w:color="auto" w:sz="6" w:space="0"/>
              <w:right w:val="outset" w:color="000000" w:sz="6" w:space="0"/>
            </w:tcBorders>
            <w:noWrap w:val="0"/>
            <w:vAlign w:val="center"/>
          </w:tcPr>
          <w:p w14:paraId="270E7E9C">
            <w:pPr>
              <w:pStyle w:val="2"/>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5</w:t>
            </w:r>
          </w:p>
        </w:tc>
        <w:tc>
          <w:tcPr>
            <w:tcW w:w="567" w:type="dxa"/>
            <w:tcBorders>
              <w:top w:val="outset" w:color="000000" w:sz="6" w:space="0"/>
              <w:left w:val="outset" w:color="000000" w:sz="6" w:space="0"/>
              <w:bottom w:val="outset" w:color="auto" w:sz="6" w:space="0"/>
              <w:right w:val="outset" w:color="000000" w:sz="6" w:space="0"/>
            </w:tcBorders>
            <w:noWrap w:val="0"/>
            <w:vAlign w:val="center"/>
          </w:tcPr>
          <w:p w14:paraId="6EC07178">
            <w:pPr>
              <w:pStyle w:val="2"/>
              <w:rPr>
                <w:rFonts w:hint="eastAsia" w:ascii="仿宋_GB2312" w:hAnsi="仿宋_GB2312" w:eastAsia="仿宋_GB2312" w:cs="仿宋_GB2312"/>
                <w:kern w:val="2"/>
                <w:sz w:val="21"/>
                <w:szCs w:val="21"/>
                <w:lang w:val="en-US" w:eastAsia="zh-CN" w:bidi="ar-SA"/>
              </w:rPr>
            </w:pPr>
          </w:p>
        </w:tc>
      </w:tr>
      <w:tr w14:paraId="4187485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661" w:type="dxa"/>
            <w:tcBorders>
              <w:top w:val="outset" w:color="auto" w:sz="6" w:space="0"/>
              <w:left w:val="outset" w:color="auto" w:sz="6" w:space="0"/>
              <w:bottom w:val="outset" w:color="auto" w:sz="6" w:space="0"/>
              <w:right w:val="single" w:color="auto" w:sz="4" w:space="0"/>
            </w:tcBorders>
            <w:noWrap w:val="0"/>
            <w:vAlign w:val="center"/>
          </w:tcPr>
          <w:p w14:paraId="39E5D9C3">
            <w:pPr>
              <w:pStyle w:val="2"/>
              <w:jc w:val="center"/>
              <w:rPr>
                <w:rFonts w:hint="eastAsia" w:ascii="仿宋_GB2312" w:hAnsi="仿宋_GB2312" w:eastAsia="仿宋_GB2312" w:cs="仿宋_GB2312"/>
                <w:kern w:val="2"/>
                <w:sz w:val="21"/>
                <w:szCs w:val="21"/>
                <w:lang w:val="en-US" w:eastAsia="zh-CN" w:bidi="ar-SA"/>
              </w:rPr>
            </w:pPr>
          </w:p>
        </w:tc>
        <w:tc>
          <w:tcPr>
            <w:tcW w:w="1707" w:type="dxa"/>
            <w:tcBorders>
              <w:top w:val="outset" w:color="auto" w:sz="6" w:space="0"/>
              <w:left w:val="outset" w:color="auto" w:sz="6" w:space="0"/>
              <w:bottom w:val="outset" w:color="auto" w:sz="6" w:space="0"/>
              <w:right w:val="single" w:color="auto" w:sz="4" w:space="0"/>
            </w:tcBorders>
            <w:noWrap w:val="0"/>
            <w:vAlign w:val="center"/>
          </w:tcPr>
          <w:p w14:paraId="2913409A">
            <w:pPr>
              <w:pStyle w:val="2"/>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综合得分</w:t>
            </w:r>
          </w:p>
          <w:p w14:paraId="3CCA8990">
            <w:pPr>
              <w:pStyle w:val="2"/>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(100分)</w:t>
            </w:r>
          </w:p>
        </w:tc>
        <w:tc>
          <w:tcPr>
            <w:tcW w:w="5295" w:type="dxa"/>
            <w:tcBorders>
              <w:top w:val="outset" w:color="auto" w:sz="6" w:space="0"/>
              <w:left w:val="single" w:color="auto" w:sz="4" w:space="0"/>
              <w:bottom w:val="outset" w:color="auto" w:sz="6" w:space="0"/>
              <w:right w:val="outset" w:color="auto" w:sz="6" w:space="0"/>
            </w:tcBorders>
            <w:noWrap w:val="0"/>
            <w:vAlign w:val="center"/>
          </w:tcPr>
          <w:p w14:paraId="3C22D849">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 </w:t>
            </w:r>
          </w:p>
        </w:tc>
        <w:tc>
          <w:tcPr>
            <w:tcW w:w="567" w:type="dxa"/>
            <w:tcBorders>
              <w:top w:val="outset" w:color="auto" w:sz="6" w:space="0"/>
              <w:left w:val="single" w:color="auto" w:sz="4" w:space="0"/>
              <w:bottom w:val="outset" w:color="auto" w:sz="6" w:space="0"/>
              <w:right w:val="outset" w:color="auto" w:sz="6" w:space="0"/>
            </w:tcBorders>
            <w:noWrap w:val="0"/>
            <w:vAlign w:val="center"/>
          </w:tcPr>
          <w:p w14:paraId="24D6DBDB">
            <w:pPr>
              <w:pStyle w:val="2"/>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100</w:t>
            </w:r>
          </w:p>
        </w:tc>
        <w:tc>
          <w:tcPr>
            <w:tcW w:w="567" w:type="dxa"/>
            <w:tcBorders>
              <w:top w:val="outset" w:color="auto" w:sz="6" w:space="0"/>
              <w:left w:val="single" w:color="auto" w:sz="4" w:space="0"/>
              <w:bottom w:val="outset" w:color="auto" w:sz="6" w:space="0"/>
              <w:right w:val="outset" w:color="auto" w:sz="6" w:space="0"/>
            </w:tcBorders>
            <w:noWrap w:val="0"/>
            <w:vAlign w:val="center"/>
          </w:tcPr>
          <w:p w14:paraId="0DDA19EE">
            <w:pPr>
              <w:pStyle w:val="2"/>
              <w:rPr>
                <w:rFonts w:hint="eastAsia" w:ascii="仿宋_GB2312" w:hAnsi="仿宋_GB2312" w:eastAsia="仿宋_GB2312" w:cs="仿宋_GB2312"/>
                <w:kern w:val="2"/>
                <w:sz w:val="21"/>
                <w:szCs w:val="21"/>
                <w:lang w:val="en-US" w:eastAsia="zh-CN" w:bidi="ar-SA"/>
              </w:rPr>
            </w:pPr>
          </w:p>
        </w:tc>
      </w:tr>
      <w:tr w14:paraId="036AA20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trPr>
        <w:tc>
          <w:tcPr>
            <w:tcW w:w="8797" w:type="dxa"/>
            <w:gridSpan w:val="5"/>
            <w:tcBorders>
              <w:top w:val="outset" w:color="auto" w:sz="6" w:space="0"/>
              <w:left w:val="outset" w:color="auto" w:sz="6" w:space="0"/>
              <w:bottom w:val="outset" w:color="auto" w:sz="6" w:space="0"/>
              <w:right w:val="outset" w:color="auto" w:sz="6" w:space="0"/>
            </w:tcBorders>
            <w:noWrap w:val="0"/>
            <w:vAlign w:val="center"/>
          </w:tcPr>
          <w:p w14:paraId="344AF737">
            <w:pPr>
              <w:pStyle w:val="2"/>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备注:每月由后勤部门随机抽查，按月进行汇总，满分为100分。</w:t>
            </w:r>
          </w:p>
        </w:tc>
      </w:tr>
    </w:tbl>
    <w:p w14:paraId="0FEC00EA">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考核结果应用：</w:t>
      </w:r>
    </w:p>
    <w:p w14:paraId="7597F5F5">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如当月评分在85分及以上（满分100分），则全额支付当月物业服务费，如当月评分在85分以下，则当月所得物业服务费按下列办法计算后支付：</w:t>
      </w:r>
    </w:p>
    <w:p w14:paraId="595D3419">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 xml:space="preserve">（1）分值计算办法：每分分值=合同金额÷12个月÷100分 </w:t>
      </w:r>
    </w:p>
    <w:p w14:paraId="699B7191">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（2）当月评分低于85分的，按每低于壹分乘以每分分值的结果为当月考核评分扣减的物业服务费。</w:t>
      </w:r>
    </w:p>
    <w:p w14:paraId="23427190">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（3）当月所得物业服务费=（合同金额÷12个月）-当月考核评分扣减的物业服务费。</w:t>
      </w:r>
    </w:p>
    <w:p w14:paraId="1C663AB4">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3、年度工作考核</w:t>
      </w:r>
    </w:p>
    <w:p w14:paraId="6E2758FE">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以月度考核得分加服务满意度得分加权平均组成，全年月度考核平均得分占比70%，服务满意度得分占比30%，即总分100分，月度考核平均得分占70分，年度满意度得分占30分。</w:t>
      </w:r>
    </w:p>
    <w:p w14:paraId="71A6BB77">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年度考核得分=全年月度考核平均得分*70%＋年度满意度得分*30%</w:t>
      </w:r>
    </w:p>
    <w:p w14:paraId="18DF385D">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学校物业管理和后勤服务公司服务满意度调查表（教职工）</w:t>
      </w:r>
    </w:p>
    <w:tbl>
      <w:tblPr>
        <w:tblStyle w:val="21"/>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3796"/>
        <w:gridCol w:w="4272"/>
      </w:tblGrid>
      <w:tr w14:paraId="064C4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767" w:type="dxa"/>
            <w:gridSpan w:val="3"/>
            <w:tcBorders>
              <w:left w:val="single" w:color="auto" w:sz="4" w:space="0"/>
              <w:right w:val="single" w:color="auto" w:sz="4" w:space="0"/>
            </w:tcBorders>
            <w:noWrap w:val="0"/>
            <w:vAlign w:val="center"/>
          </w:tcPr>
          <w:p w14:paraId="09E528D2">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调  查  内  容  及  评 价</w:t>
            </w:r>
          </w:p>
        </w:tc>
      </w:tr>
      <w:tr w14:paraId="78D4F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jc w:val="center"/>
        </w:trPr>
        <w:tc>
          <w:tcPr>
            <w:tcW w:w="699" w:type="dxa"/>
            <w:vMerge w:val="restart"/>
            <w:tcBorders>
              <w:left w:val="single" w:color="auto" w:sz="4" w:space="0"/>
            </w:tcBorders>
            <w:noWrap w:val="0"/>
            <w:vAlign w:val="center"/>
          </w:tcPr>
          <w:p w14:paraId="13D4484D">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工程维修</w:t>
            </w:r>
          </w:p>
        </w:tc>
        <w:tc>
          <w:tcPr>
            <w:tcW w:w="3796" w:type="dxa"/>
            <w:tcBorders>
              <w:left w:val="single" w:color="auto" w:sz="4" w:space="0"/>
            </w:tcBorders>
            <w:noWrap w:val="0"/>
            <w:vAlign w:val="center"/>
          </w:tcPr>
          <w:p w14:paraId="304AFC05">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工作人员仪容仪表、服务态度</w:t>
            </w:r>
          </w:p>
        </w:tc>
        <w:tc>
          <w:tcPr>
            <w:tcW w:w="4272" w:type="dxa"/>
            <w:tcBorders>
              <w:right w:val="single" w:color="auto" w:sz="4" w:space="0"/>
            </w:tcBorders>
            <w:noWrap w:val="0"/>
            <w:vAlign w:val="center"/>
          </w:tcPr>
          <w:p w14:paraId="20F3EAF6">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 xml:space="preserve">□满意         □不满意 </w:t>
            </w:r>
          </w:p>
        </w:tc>
      </w:tr>
      <w:tr w14:paraId="1E14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99" w:type="dxa"/>
            <w:vMerge w:val="continue"/>
            <w:tcBorders>
              <w:left w:val="single" w:color="auto" w:sz="4" w:space="0"/>
            </w:tcBorders>
            <w:noWrap w:val="0"/>
            <w:vAlign w:val="center"/>
          </w:tcPr>
          <w:p w14:paraId="57459290">
            <w:pPr>
              <w:pStyle w:val="2"/>
              <w:rPr>
                <w:rFonts w:hint="eastAsia" w:ascii="仿宋_GB2312" w:hAnsi="仿宋_GB2312" w:eastAsia="仿宋_GB2312" w:cs="仿宋_GB2312"/>
                <w:kern w:val="2"/>
                <w:sz w:val="21"/>
                <w:szCs w:val="21"/>
                <w:lang w:val="en-US" w:eastAsia="zh-CN" w:bidi="ar-SA"/>
              </w:rPr>
            </w:pPr>
          </w:p>
        </w:tc>
        <w:tc>
          <w:tcPr>
            <w:tcW w:w="3796" w:type="dxa"/>
            <w:tcBorders>
              <w:left w:val="single" w:color="auto" w:sz="4" w:space="0"/>
            </w:tcBorders>
            <w:noWrap w:val="0"/>
            <w:vAlign w:val="center"/>
          </w:tcPr>
          <w:p w14:paraId="6FD12422">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设施设备及附属管理情况</w:t>
            </w:r>
          </w:p>
        </w:tc>
        <w:tc>
          <w:tcPr>
            <w:tcW w:w="4272" w:type="dxa"/>
            <w:tcBorders>
              <w:right w:val="single" w:color="auto" w:sz="4" w:space="0"/>
            </w:tcBorders>
            <w:noWrap w:val="0"/>
            <w:vAlign w:val="center"/>
          </w:tcPr>
          <w:p w14:paraId="47F4083C">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□满意         □不满意</w:t>
            </w:r>
          </w:p>
        </w:tc>
      </w:tr>
      <w:tr w14:paraId="5F9FC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99" w:type="dxa"/>
            <w:vMerge w:val="continue"/>
            <w:tcBorders>
              <w:left w:val="single" w:color="auto" w:sz="4" w:space="0"/>
            </w:tcBorders>
            <w:noWrap w:val="0"/>
            <w:vAlign w:val="center"/>
          </w:tcPr>
          <w:p w14:paraId="0028F04E">
            <w:pPr>
              <w:pStyle w:val="2"/>
              <w:rPr>
                <w:rFonts w:hint="eastAsia" w:ascii="仿宋_GB2312" w:hAnsi="仿宋_GB2312" w:eastAsia="仿宋_GB2312" w:cs="仿宋_GB2312"/>
                <w:kern w:val="2"/>
                <w:sz w:val="21"/>
                <w:szCs w:val="21"/>
                <w:lang w:val="en-US" w:eastAsia="zh-CN" w:bidi="ar-SA"/>
              </w:rPr>
            </w:pPr>
          </w:p>
        </w:tc>
        <w:tc>
          <w:tcPr>
            <w:tcW w:w="3796" w:type="dxa"/>
            <w:tcBorders>
              <w:left w:val="single" w:color="auto" w:sz="4" w:space="0"/>
            </w:tcBorders>
            <w:noWrap w:val="0"/>
            <w:vAlign w:val="center"/>
          </w:tcPr>
          <w:p w14:paraId="59947EC0">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维修的质量情况</w:t>
            </w:r>
          </w:p>
        </w:tc>
        <w:tc>
          <w:tcPr>
            <w:tcW w:w="4272" w:type="dxa"/>
            <w:tcBorders>
              <w:right w:val="single" w:color="auto" w:sz="4" w:space="0"/>
            </w:tcBorders>
            <w:noWrap w:val="0"/>
            <w:vAlign w:val="center"/>
          </w:tcPr>
          <w:p w14:paraId="06343006">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 xml:space="preserve">□满意         □不满意 </w:t>
            </w:r>
          </w:p>
        </w:tc>
      </w:tr>
      <w:tr w14:paraId="1C707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99" w:type="dxa"/>
            <w:vMerge w:val="continue"/>
            <w:tcBorders>
              <w:left w:val="single" w:color="auto" w:sz="4" w:space="0"/>
            </w:tcBorders>
            <w:noWrap w:val="0"/>
            <w:vAlign w:val="center"/>
          </w:tcPr>
          <w:p w14:paraId="359335A1">
            <w:pPr>
              <w:pStyle w:val="2"/>
              <w:rPr>
                <w:rFonts w:hint="eastAsia" w:ascii="仿宋_GB2312" w:hAnsi="仿宋_GB2312" w:eastAsia="仿宋_GB2312" w:cs="仿宋_GB2312"/>
                <w:kern w:val="2"/>
                <w:sz w:val="21"/>
                <w:szCs w:val="21"/>
                <w:lang w:val="en-US" w:eastAsia="zh-CN" w:bidi="ar-SA"/>
              </w:rPr>
            </w:pPr>
          </w:p>
        </w:tc>
        <w:tc>
          <w:tcPr>
            <w:tcW w:w="3796" w:type="dxa"/>
            <w:tcBorders>
              <w:left w:val="single" w:color="auto" w:sz="4" w:space="0"/>
            </w:tcBorders>
            <w:noWrap w:val="0"/>
            <w:vAlign w:val="center"/>
          </w:tcPr>
          <w:p w14:paraId="665859B0">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维修及时率</w:t>
            </w:r>
          </w:p>
        </w:tc>
        <w:tc>
          <w:tcPr>
            <w:tcW w:w="4272" w:type="dxa"/>
            <w:tcBorders>
              <w:right w:val="single" w:color="auto" w:sz="4" w:space="0"/>
            </w:tcBorders>
            <w:noWrap w:val="0"/>
            <w:vAlign w:val="center"/>
          </w:tcPr>
          <w:p w14:paraId="68C8987E">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□满意         □不满意</w:t>
            </w:r>
          </w:p>
        </w:tc>
      </w:tr>
      <w:tr w14:paraId="63A97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99" w:type="dxa"/>
            <w:vMerge w:val="restart"/>
            <w:tcBorders>
              <w:left w:val="single" w:color="auto" w:sz="4" w:space="0"/>
            </w:tcBorders>
            <w:noWrap w:val="0"/>
            <w:vAlign w:val="center"/>
          </w:tcPr>
          <w:p w14:paraId="5BA2F793">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清洁部</w:t>
            </w:r>
          </w:p>
        </w:tc>
        <w:tc>
          <w:tcPr>
            <w:tcW w:w="3796" w:type="dxa"/>
            <w:tcBorders>
              <w:left w:val="single" w:color="auto" w:sz="4" w:space="0"/>
            </w:tcBorders>
            <w:noWrap w:val="0"/>
            <w:vAlign w:val="center"/>
          </w:tcPr>
          <w:p w14:paraId="1DCC331E">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工作人员仪容仪表、服务态度</w:t>
            </w:r>
          </w:p>
        </w:tc>
        <w:tc>
          <w:tcPr>
            <w:tcW w:w="4272" w:type="dxa"/>
            <w:tcBorders>
              <w:right w:val="single" w:color="auto" w:sz="4" w:space="0"/>
            </w:tcBorders>
            <w:noWrap w:val="0"/>
            <w:vAlign w:val="center"/>
          </w:tcPr>
          <w:p w14:paraId="0332D732">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□满意         □不满意</w:t>
            </w:r>
          </w:p>
        </w:tc>
      </w:tr>
      <w:tr w14:paraId="16130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99" w:type="dxa"/>
            <w:vMerge w:val="continue"/>
            <w:tcBorders>
              <w:left w:val="single" w:color="auto" w:sz="4" w:space="0"/>
            </w:tcBorders>
            <w:noWrap w:val="0"/>
            <w:vAlign w:val="center"/>
          </w:tcPr>
          <w:p w14:paraId="5B41F369">
            <w:pPr>
              <w:pStyle w:val="2"/>
              <w:rPr>
                <w:rFonts w:hint="eastAsia" w:ascii="仿宋_GB2312" w:hAnsi="仿宋_GB2312" w:eastAsia="仿宋_GB2312" w:cs="仿宋_GB2312"/>
                <w:kern w:val="2"/>
                <w:sz w:val="21"/>
                <w:szCs w:val="21"/>
                <w:lang w:val="en-US" w:eastAsia="zh-CN" w:bidi="ar-SA"/>
              </w:rPr>
            </w:pPr>
          </w:p>
        </w:tc>
        <w:tc>
          <w:tcPr>
            <w:tcW w:w="3796" w:type="dxa"/>
            <w:tcBorders>
              <w:left w:val="single" w:color="auto" w:sz="4" w:space="0"/>
            </w:tcBorders>
            <w:noWrap w:val="0"/>
            <w:vAlign w:val="center"/>
          </w:tcPr>
          <w:p w14:paraId="79895492">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教学楼、实训楼、图书馆清洁</w:t>
            </w:r>
          </w:p>
        </w:tc>
        <w:tc>
          <w:tcPr>
            <w:tcW w:w="4272" w:type="dxa"/>
            <w:tcBorders>
              <w:right w:val="single" w:color="auto" w:sz="4" w:space="0"/>
            </w:tcBorders>
            <w:noWrap w:val="0"/>
            <w:vAlign w:val="center"/>
          </w:tcPr>
          <w:p w14:paraId="767BE0FA">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□满意         □不满意</w:t>
            </w:r>
          </w:p>
        </w:tc>
      </w:tr>
      <w:tr w14:paraId="0B4F0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99" w:type="dxa"/>
            <w:vMerge w:val="continue"/>
            <w:tcBorders>
              <w:left w:val="single" w:color="auto" w:sz="4" w:space="0"/>
            </w:tcBorders>
            <w:noWrap w:val="0"/>
            <w:vAlign w:val="center"/>
          </w:tcPr>
          <w:p w14:paraId="314AA4D8">
            <w:pPr>
              <w:pStyle w:val="2"/>
              <w:rPr>
                <w:rFonts w:hint="eastAsia" w:ascii="仿宋_GB2312" w:hAnsi="仿宋_GB2312" w:eastAsia="仿宋_GB2312" w:cs="仿宋_GB2312"/>
                <w:kern w:val="2"/>
                <w:sz w:val="21"/>
                <w:szCs w:val="21"/>
                <w:lang w:val="en-US" w:eastAsia="zh-CN" w:bidi="ar-SA"/>
              </w:rPr>
            </w:pPr>
          </w:p>
        </w:tc>
        <w:tc>
          <w:tcPr>
            <w:tcW w:w="3796" w:type="dxa"/>
            <w:tcBorders>
              <w:left w:val="single" w:color="auto" w:sz="4" w:space="0"/>
            </w:tcBorders>
            <w:noWrap w:val="0"/>
            <w:vAlign w:val="center"/>
          </w:tcPr>
          <w:p w14:paraId="3B36C2A0">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综合楼、办公室清洁</w:t>
            </w:r>
          </w:p>
        </w:tc>
        <w:tc>
          <w:tcPr>
            <w:tcW w:w="4272" w:type="dxa"/>
            <w:tcBorders>
              <w:right w:val="single" w:color="auto" w:sz="4" w:space="0"/>
            </w:tcBorders>
            <w:noWrap w:val="0"/>
            <w:vAlign w:val="center"/>
          </w:tcPr>
          <w:p w14:paraId="2C142AC5">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 xml:space="preserve">□满意         □不满意 </w:t>
            </w:r>
          </w:p>
        </w:tc>
      </w:tr>
      <w:tr w14:paraId="03C96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99" w:type="dxa"/>
            <w:vMerge w:val="continue"/>
            <w:tcBorders>
              <w:left w:val="single" w:color="auto" w:sz="4" w:space="0"/>
            </w:tcBorders>
            <w:noWrap w:val="0"/>
            <w:vAlign w:val="center"/>
          </w:tcPr>
          <w:p w14:paraId="352202DE">
            <w:pPr>
              <w:pStyle w:val="2"/>
              <w:rPr>
                <w:rFonts w:hint="eastAsia" w:ascii="仿宋_GB2312" w:hAnsi="仿宋_GB2312" w:eastAsia="仿宋_GB2312" w:cs="仿宋_GB2312"/>
                <w:kern w:val="2"/>
                <w:sz w:val="21"/>
                <w:szCs w:val="21"/>
                <w:lang w:val="en-US" w:eastAsia="zh-CN" w:bidi="ar-SA"/>
              </w:rPr>
            </w:pPr>
          </w:p>
        </w:tc>
        <w:tc>
          <w:tcPr>
            <w:tcW w:w="3796" w:type="dxa"/>
            <w:tcBorders>
              <w:left w:val="single" w:color="auto" w:sz="4" w:space="0"/>
            </w:tcBorders>
            <w:noWrap w:val="0"/>
            <w:vAlign w:val="center"/>
          </w:tcPr>
          <w:p w14:paraId="4D75EBEE">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公共场所清洁</w:t>
            </w:r>
          </w:p>
        </w:tc>
        <w:tc>
          <w:tcPr>
            <w:tcW w:w="4272" w:type="dxa"/>
            <w:tcBorders>
              <w:right w:val="single" w:color="auto" w:sz="4" w:space="0"/>
            </w:tcBorders>
            <w:noWrap w:val="0"/>
            <w:vAlign w:val="center"/>
          </w:tcPr>
          <w:p w14:paraId="5F01427D">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 xml:space="preserve">□满意         □不满意 </w:t>
            </w:r>
          </w:p>
        </w:tc>
      </w:tr>
      <w:tr w14:paraId="13B32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99" w:type="dxa"/>
            <w:vMerge w:val="continue"/>
            <w:tcBorders>
              <w:left w:val="single" w:color="auto" w:sz="4" w:space="0"/>
            </w:tcBorders>
            <w:noWrap w:val="0"/>
            <w:vAlign w:val="center"/>
          </w:tcPr>
          <w:p w14:paraId="509EB910">
            <w:pPr>
              <w:pStyle w:val="2"/>
              <w:rPr>
                <w:rFonts w:hint="eastAsia" w:ascii="仿宋_GB2312" w:hAnsi="仿宋_GB2312" w:eastAsia="仿宋_GB2312" w:cs="仿宋_GB2312"/>
                <w:kern w:val="2"/>
                <w:sz w:val="21"/>
                <w:szCs w:val="21"/>
                <w:lang w:val="en-US" w:eastAsia="zh-CN" w:bidi="ar-SA"/>
              </w:rPr>
            </w:pPr>
          </w:p>
        </w:tc>
        <w:tc>
          <w:tcPr>
            <w:tcW w:w="3796" w:type="dxa"/>
            <w:tcBorders>
              <w:left w:val="single" w:color="auto" w:sz="4" w:space="0"/>
            </w:tcBorders>
            <w:noWrap w:val="0"/>
            <w:vAlign w:val="center"/>
          </w:tcPr>
          <w:p w14:paraId="341A1A2F">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室外广场、绿地清洁</w:t>
            </w:r>
          </w:p>
        </w:tc>
        <w:tc>
          <w:tcPr>
            <w:tcW w:w="4272" w:type="dxa"/>
            <w:tcBorders>
              <w:right w:val="single" w:color="auto" w:sz="4" w:space="0"/>
            </w:tcBorders>
            <w:noWrap w:val="0"/>
            <w:vAlign w:val="center"/>
          </w:tcPr>
          <w:p w14:paraId="656C7EDE">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□满意         □不满意</w:t>
            </w:r>
          </w:p>
        </w:tc>
      </w:tr>
      <w:tr w14:paraId="31A83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99" w:type="dxa"/>
            <w:vMerge w:val="continue"/>
            <w:tcBorders>
              <w:left w:val="single" w:color="auto" w:sz="4" w:space="0"/>
            </w:tcBorders>
            <w:noWrap w:val="0"/>
            <w:vAlign w:val="center"/>
          </w:tcPr>
          <w:p w14:paraId="5C503CE8">
            <w:pPr>
              <w:pStyle w:val="2"/>
              <w:rPr>
                <w:rFonts w:hint="eastAsia" w:ascii="仿宋_GB2312" w:hAnsi="仿宋_GB2312" w:eastAsia="仿宋_GB2312" w:cs="仿宋_GB2312"/>
                <w:kern w:val="2"/>
                <w:sz w:val="21"/>
                <w:szCs w:val="21"/>
                <w:lang w:val="en-US" w:eastAsia="zh-CN" w:bidi="ar-SA"/>
              </w:rPr>
            </w:pPr>
          </w:p>
        </w:tc>
        <w:tc>
          <w:tcPr>
            <w:tcW w:w="3796" w:type="dxa"/>
            <w:tcBorders>
              <w:left w:val="single" w:color="auto" w:sz="4" w:space="0"/>
            </w:tcBorders>
            <w:noWrap w:val="0"/>
            <w:vAlign w:val="center"/>
          </w:tcPr>
          <w:p w14:paraId="3CB1C19D">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卫生间卫生状况</w:t>
            </w:r>
          </w:p>
        </w:tc>
        <w:tc>
          <w:tcPr>
            <w:tcW w:w="4272" w:type="dxa"/>
            <w:tcBorders>
              <w:right w:val="single" w:color="auto" w:sz="4" w:space="0"/>
            </w:tcBorders>
            <w:noWrap w:val="0"/>
            <w:vAlign w:val="center"/>
          </w:tcPr>
          <w:p w14:paraId="0EC32BFD">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 xml:space="preserve">□满意         □不满意 </w:t>
            </w:r>
          </w:p>
        </w:tc>
      </w:tr>
      <w:tr w14:paraId="3DEDE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99" w:type="dxa"/>
            <w:vMerge w:val="restart"/>
            <w:tcBorders>
              <w:left w:val="single" w:color="auto" w:sz="4" w:space="0"/>
            </w:tcBorders>
            <w:noWrap w:val="0"/>
            <w:vAlign w:val="center"/>
          </w:tcPr>
          <w:p w14:paraId="7BD4349E">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管理处</w:t>
            </w:r>
          </w:p>
        </w:tc>
        <w:tc>
          <w:tcPr>
            <w:tcW w:w="3796" w:type="dxa"/>
            <w:tcBorders>
              <w:left w:val="single" w:color="auto" w:sz="4" w:space="0"/>
            </w:tcBorders>
            <w:noWrap w:val="0"/>
            <w:vAlign w:val="center"/>
          </w:tcPr>
          <w:p w14:paraId="4491E250">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工作人员仪容仪表、服务态度</w:t>
            </w:r>
          </w:p>
        </w:tc>
        <w:tc>
          <w:tcPr>
            <w:tcW w:w="4272" w:type="dxa"/>
            <w:tcBorders>
              <w:right w:val="single" w:color="auto" w:sz="4" w:space="0"/>
            </w:tcBorders>
            <w:noWrap w:val="0"/>
            <w:vAlign w:val="center"/>
          </w:tcPr>
          <w:p w14:paraId="20113196">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 xml:space="preserve">□满意         □不满意 </w:t>
            </w:r>
          </w:p>
        </w:tc>
      </w:tr>
      <w:tr w14:paraId="6EA1F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99" w:type="dxa"/>
            <w:vMerge w:val="continue"/>
            <w:tcBorders>
              <w:left w:val="single" w:color="auto" w:sz="4" w:space="0"/>
            </w:tcBorders>
            <w:noWrap w:val="0"/>
            <w:vAlign w:val="center"/>
          </w:tcPr>
          <w:p w14:paraId="7905BE69">
            <w:pPr>
              <w:pStyle w:val="2"/>
              <w:rPr>
                <w:rFonts w:hint="eastAsia" w:ascii="仿宋_GB2312" w:hAnsi="仿宋_GB2312" w:eastAsia="仿宋_GB2312" w:cs="仿宋_GB2312"/>
                <w:kern w:val="2"/>
                <w:sz w:val="21"/>
                <w:szCs w:val="21"/>
                <w:lang w:val="en-US" w:eastAsia="zh-CN" w:bidi="ar-SA"/>
              </w:rPr>
            </w:pPr>
          </w:p>
        </w:tc>
        <w:tc>
          <w:tcPr>
            <w:tcW w:w="3796" w:type="dxa"/>
            <w:tcBorders>
              <w:left w:val="single" w:color="auto" w:sz="4" w:space="0"/>
            </w:tcBorders>
            <w:noWrap w:val="0"/>
            <w:vAlign w:val="center"/>
          </w:tcPr>
          <w:p w14:paraId="3991F47F">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及时处理报障、报修</w:t>
            </w:r>
          </w:p>
        </w:tc>
        <w:tc>
          <w:tcPr>
            <w:tcW w:w="4272" w:type="dxa"/>
            <w:tcBorders>
              <w:right w:val="single" w:color="auto" w:sz="4" w:space="0"/>
            </w:tcBorders>
            <w:noWrap w:val="0"/>
            <w:vAlign w:val="center"/>
          </w:tcPr>
          <w:p w14:paraId="52250EE5">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□满意         □不满意</w:t>
            </w:r>
          </w:p>
        </w:tc>
      </w:tr>
      <w:tr w14:paraId="27740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99" w:type="dxa"/>
            <w:vMerge w:val="continue"/>
            <w:tcBorders>
              <w:left w:val="single" w:color="auto" w:sz="4" w:space="0"/>
            </w:tcBorders>
            <w:noWrap w:val="0"/>
            <w:vAlign w:val="center"/>
          </w:tcPr>
          <w:p w14:paraId="4CAA3979">
            <w:pPr>
              <w:pStyle w:val="2"/>
              <w:rPr>
                <w:rFonts w:hint="eastAsia" w:ascii="仿宋_GB2312" w:hAnsi="仿宋_GB2312" w:eastAsia="仿宋_GB2312" w:cs="仿宋_GB2312"/>
                <w:kern w:val="2"/>
                <w:sz w:val="21"/>
                <w:szCs w:val="21"/>
                <w:lang w:val="en-US" w:eastAsia="zh-CN" w:bidi="ar-SA"/>
              </w:rPr>
            </w:pPr>
          </w:p>
        </w:tc>
        <w:tc>
          <w:tcPr>
            <w:tcW w:w="3796" w:type="dxa"/>
            <w:tcBorders>
              <w:left w:val="single" w:color="auto" w:sz="4" w:space="0"/>
            </w:tcBorders>
            <w:noWrap w:val="0"/>
            <w:vAlign w:val="center"/>
          </w:tcPr>
          <w:p w14:paraId="35D309C7">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投诉处理、回访及时率</w:t>
            </w:r>
          </w:p>
        </w:tc>
        <w:tc>
          <w:tcPr>
            <w:tcW w:w="4272" w:type="dxa"/>
            <w:tcBorders>
              <w:right w:val="single" w:color="auto" w:sz="4" w:space="0"/>
            </w:tcBorders>
            <w:noWrap w:val="0"/>
            <w:vAlign w:val="center"/>
          </w:tcPr>
          <w:p w14:paraId="2D417BFB">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 xml:space="preserve">□满意         □不满意  </w:t>
            </w:r>
          </w:p>
        </w:tc>
      </w:tr>
      <w:tr w14:paraId="2E578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99" w:type="dxa"/>
            <w:vMerge w:val="continue"/>
            <w:tcBorders>
              <w:left w:val="single" w:color="auto" w:sz="4" w:space="0"/>
            </w:tcBorders>
            <w:noWrap w:val="0"/>
            <w:vAlign w:val="center"/>
          </w:tcPr>
          <w:p w14:paraId="162A664E">
            <w:pPr>
              <w:pStyle w:val="2"/>
              <w:rPr>
                <w:rFonts w:hint="eastAsia" w:ascii="仿宋_GB2312" w:hAnsi="仿宋_GB2312" w:eastAsia="仿宋_GB2312" w:cs="仿宋_GB2312"/>
                <w:kern w:val="2"/>
                <w:sz w:val="21"/>
                <w:szCs w:val="21"/>
                <w:lang w:val="en-US" w:eastAsia="zh-CN" w:bidi="ar-SA"/>
              </w:rPr>
            </w:pPr>
          </w:p>
        </w:tc>
        <w:tc>
          <w:tcPr>
            <w:tcW w:w="3796" w:type="dxa"/>
            <w:tcBorders>
              <w:left w:val="single" w:color="auto" w:sz="4" w:space="0"/>
            </w:tcBorders>
            <w:noWrap w:val="0"/>
            <w:vAlign w:val="center"/>
          </w:tcPr>
          <w:p w14:paraId="5A7B69AC">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巡查、巡视的情况</w:t>
            </w:r>
            <w:r>
              <w:rPr>
                <w:rFonts w:hint="eastAsia" w:ascii="仿宋_GB2312" w:hAnsi="仿宋_GB2312" w:eastAsia="仿宋_GB2312" w:cs="仿宋_GB2312"/>
                <w:kern w:val="2"/>
                <w:sz w:val="21"/>
                <w:szCs w:val="21"/>
                <w:lang w:val="en-US" w:eastAsia="zh-CN" w:bidi="ar-SA"/>
              </w:rPr>
              <w:tab/>
            </w:r>
          </w:p>
        </w:tc>
        <w:tc>
          <w:tcPr>
            <w:tcW w:w="4272" w:type="dxa"/>
            <w:tcBorders>
              <w:right w:val="single" w:color="auto" w:sz="4" w:space="0"/>
            </w:tcBorders>
            <w:noWrap w:val="0"/>
            <w:vAlign w:val="center"/>
          </w:tcPr>
          <w:p w14:paraId="7C43B777">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 xml:space="preserve">□满意         □不满意 </w:t>
            </w:r>
          </w:p>
        </w:tc>
      </w:tr>
      <w:tr w14:paraId="57BE0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99" w:type="dxa"/>
            <w:vMerge w:val="continue"/>
            <w:tcBorders>
              <w:left w:val="single" w:color="auto" w:sz="4" w:space="0"/>
            </w:tcBorders>
            <w:noWrap w:val="0"/>
            <w:vAlign w:val="center"/>
          </w:tcPr>
          <w:p w14:paraId="16763C6C">
            <w:pPr>
              <w:pStyle w:val="2"/>
              <w:rPr>
                <w:rFonts w:hint="eastAsia" w:ascii="仿宋_GB2312" w:hAnsi="仿宋_GB2312" w:eastAsia="仿宋_GB2312" w:cs="仿宋_GB2312"/>
                <w:kern w:val="2"/>
                <w:sz w:val="21"/>
                <w:szCs w:val="21"/>
                <w:lang w:val="en-US" w:eastAsia="zh-CN" w:bidi="ar-SA"/>
              </w:rPr>
            </w:pPr>
          </w:p>
        </w:tc>
        <w:tc>
          <w:tcPr>
            <w:tcW w:w="3796" w:type="dxa"/>
            <w:tcBorders>
              <w:left w:val="single" w:color="auto" w:sz="4" w:space="0"/>
            </w:tcBorders>
            <w:noWrap w:val="0"/>
            <w:vAlign w:val="center"/>
          </w:tcPr>
          <w:p w14:paraId="1BEE7193">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及时、全面灭蚊杀虫情况</w:t>
            </w:r>
          </w:p>
        </w:tc>
        <w:tc>
          <w:tcPr>
            <w:tcW w:w="4272" w:type="dxa"/>
            <w:tcBorders>
              <w:right w:val="single" w:color="auto" w:sz="4" w:space="0"/>
            </w:tcBorders>
            <w:noWrap w:val="0"/>
            <w:vAlign w:val="center"/>
          </w:tcPr>
          <w:p w14:paraId="44CC516E">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□满意         □不满意</w:t>
            </w:r>
          </w:p>
        </w:tc>
      </w:tr>
      <w:tr w14:paraId="1E3B2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99" w:type="dxa"/>
            <w:tcBorders>
              <w:left w:val="single" w:color="auto" w:sz="4" w:space="0"/>
            </w:tcBorders>
            <w:noWrap w:val="0"/>
            <w:vAlign w:val="center"/>
          </w:tcPr>
          <w:p w14:paraId="67172056">
            <w:pPr>
              <w:pStyle w:val="2"/>
              <w:rPr>
                <w:rFonts w:hint="eastAsia" w:ascii="仿宋_GB2312" w:hAnsi="仿宋_GB2312" w:eastAsia="仿宋_GB2312" w:cs="仿宋_GB2312"/>
                <w:kern w:val="2"/>
                <w:sz w:val="21"/>
                <w:szCs w:val="21"/>
                <w:lang w:val="en-US" w:eastAsia="zh-CN" w:bidi="ar-SA"/>
              </w:rPr>
            </w:pPr>
          </w:p>
        </w:tc>
        <w:tc>
          <w:tcPr>
            <w:tcW w:w="3796" w:type="dxa"/>
            <w:tcBorders>
              <w:left w:val="single" w:color="auto" w:sz="4" w:space="0"/>
            </w:tcBorders>
            <w:noWrap w:val="0"/>
            <w:vAlign w:val="center"/>
          </w:tcPr>
          <w:p w14:paraId="11DFC97A">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供餐及时</w:t>
            </w:r>
          </w:p>
        </w:tc>
        <w:tc>
          <w:tcPr>
            <w:tcW w:w="4272" w:type="dxa"/>
            <w:tcBorders>
              <w:right w:val="single" w:color="auto" w:sz="4" w:space="0"/>
            </w:tcBorders>
            <w:noWrap w:val="0"/>
            <w:vAlign w:val="center"/>
          </w:tcPr>
          <w:p w14:paraId="2E351FD6">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□满意         □不满意</w:t>
            </w:r>
          </w:p>
        </w:tc>
      </w:tr>
      <w:tr w14:paraId="70732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99" w:type="dxa"/>
            <w:tcBorders>
              <w:left w:val="single" w:color="auto" w:sz="4" w:space="0"/>
            </w:tcBorders>
            <w:noWrap w:val="0"/>
            <w:vAlign w:val="center"/>
          </w:tcPr>
          <w:p w14:paraId="5C48204F">
            <w:pPr>
              <w:pStyle w:val="2"/>
              <w:rPr>
                <w:rFonts w:hint="eastAsia" w:ascii="仿宋_GB2312" w:hAnsi="仿宋_GB2312" w:eastAsia="仿宋_GB2312" w:cs="仿宋_GB2312"/>
                <w:kern w:val="2"/>
                <w:sz w:val="21"/>
                <w:szCs w:val="21"/>
                <w:lang w:val="en-US" w:eastAsia="zh-CN" w:bidi="ar-SA"/>
              </w:rPr>
            </w:pPr>
          </w:p>
        </w:tc>
        <w:tc>
          <w:tcPr>
            <w:tcW w:w="3796" w:type="dxa"/>
            <w:tcBorders>
              <w:left w:val="single" w:color="auto" w:sz="4" w:space="0"/>
            </w:tcBorders>
            <w:noWrap w:val="0"/>
            <w:vAlign w:val="center"/>
          </w:tcPr>
          <w:p w14:paraId="11E1AD79">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每份饭菜数量足额</w:t>
            </w:r>
          </w:p>
        </w:tc>
        <w:tc>
          <w:tcPr>
            <w:tcW w:w="4272" w:type="dxa"/>
            <w:tcBorders>
              <w:right w:val="single" w:color="auto" w:sz="4" w:space="0"/>
            </w:tcBorders>
            <w:noWrap w:val="0"/>
            <w:vAlign w:val="center"/>
          </w:tcPr>
          <w:p w14:paraId="1A3AA258">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□满意         □不满意</w:t>
            </w:r>
          </w:p>
        </w:tc>
      </w:tr>
      <w:tr w14:paraId="20EC4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99" w:type="dxa"/>
            <w:tcBorders>
              <w:left w:val="single" w:color="auto" w:sz="4" w:space="0"/>
            </w:tcBorders>
            <w:noWrap w:val="0"/>
            <w:vAlign w:val="center"/>
          </w:tcPr>
          <w:p w14:paraId="40CB2623">
            <w:pPr>
              <w:pStyle w:val="2"/>
              <w:rPr>
                <w:rFonts w:hint="eastAsia" w:ascii="仿宋_GB2312" w:hAnsi="仿宋_GB2312" w:eastAsia="仿宋_GB2312" w:cs="仿宋_GB2312"/>
                <w:kern w:val="2"/>
                <w:sz w:val="21"/>
                <w:szCs w:val="21"/>
                <w:lang w:val="en-US" w:eastAsia="zh-CN" w:bidi="ar-SA"/>
              </w:rPr>
            </w:pPr>
          </w:p>
        </w:tc>
        <w:tc>
          <w:tcPr>
            <w:tcW w:w="3796" w:type="dxa"/>
            <w:tcBorders>
              <w:left w:val="single" w:color="auto" w:sz="4" w:space="0"/>
            </w:tcBorders>
            <w:noWrap w:val="0"/>
            <w:vAlign w:val="center"/>
          </w:tcPr>
          <w:p w14:paraId="533781DB">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饭菜质量新鲜可口</w:t>
            </w:r>
          </w:p>
        </w:tc>
        <w:tc>
          <w:tcPr>
            <w:tcW w:w="4272" w:type="dxa"/>
            <w:tcBorders>
              <w:right w:val="single" w:color="auto" w:sz="4" w:space="0"/>
            </w:tcBorders>
            <w:noWrap w:val="0"/>
            <w:vAlign w:val="center"/>
          </w:tcPr>
          <w:p w14:paraId="6760D0A8">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□满意         □不满意</w:t>
            </w:r>
          </w:p>
        </w:tc>
      </w:tr>
      <w:tr w14:paraId="7B6B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99" w:type="dxa"/>
            <w:tcBorders>
              <w:left w:val="single" w:color="auto" w:sz="4" w:space="0"/>
            </w:tcBorders>
            <w:noWrap w:val="0"/>
            <w:vAlign w:val="center"/>
          </w:tcPr>
          <w:p w14:paraId="64F2043A">
            <w:pPr>
              <w:pStyle w:val="2"/>
              <w:rPr>
                <w:rFonts w:hint="eastAsia" w:ascii="仿宋_GB2312" w:hAnsi="仿宋_GB2312" w:eastAsia="仿宋_GB2312" w:cs="仿宋_GB2312"/>
                <w:kern w:val="2"/>
                <w:sz w:val="21"/>
                <w:szCs w:val="21"/>
                <w:lang w:val="en-US" w:eastAsia="zh-CN" w:bidi="ar-SA"/>
              </w:rPr>
            </w:pPr>
          </w:p>
        </w:tc>
        <w:tc>
          <w:tcPr>
            <w:tcW w:w="3796" w:type="dxa"/>
            <w:tcBorders>
              <w:left w:val="single" w:color="auto" w:sz="4" w:space="0"/>
            </w:tcBorders>
            <w:noWrap w:val="0"/>
            <w:vAlign w:val="center"/>
          </w:tcPr>
          <w:p w14:paraId="71B020B6">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门卫管理规范</w:t>
            </w:r>
          </w:p>
        </w:tc>
        <w:tc>
          <w:tcPr>
            <w:tcW w:w="4272" w:type="dxa"/>
            <w:tcBorders>
              <w:right w:val="single" w:color="auto" w:sz="4" w:space="0"/>
            </w:tcBorders>
            <w:noWrap w:val="0"/>
            <w:vAlign w:val="center"/>
          </w:tcPr>
          <w:p w14:paraId="2FE20DD7">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□满意         □不满意</w:t>
            </w:r>
          </w:p>
        </w:tc>
      </w:tr>
      <w:tr w14:paraId="3CC64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99" w:type="dxa"/>
            <w:tcBorders>
              <w:left w:val="single" w:color="auto" w:sz="4" w:space="0"/>
            </w:tcBorders>
            <w:noWrap w:val="0"/>
            <w:vAlign w:val="center"/>
          </w:tcPr>
          <w:p w14:paraId="7E4F3C06">
            <w:pPr>
              <w:pStyle w:val="2"/>
              <w:rPr>
                <w:rFonts w:hint="eastAsia" w:ascii="仿宋_GB2312" w:hAnsi="仿宋_GB2312" w:eastAsia="仿宋_GB2312" w:cs="仿宋_GB2312"/>
                <w:kern w:val="2"/>
                <w:sz w:val="21"/>
                <w:szCs w:val="21"/>
                <w:lang w:val="en-US" w:eastAsia="zh-CN" w:bidi="ar-SA"/>
              </w:rPr>
            </w:pPr>
          </w:p>
        </w:tc>
        <w:tc>
          <w:tcPr>
            <w:tcW w:w="3796" w:type="dxa"/>
            <w:tcBorders>
              <w:left w:val="single" w:color="auto" w:sz="4" w:space="0"/>
            </w:tcBorders>
            <w:noWrap w:val="0"/>
            <w:vAlign w:val="center"/>
          </w:tcPr>
          <w:p w14:paraId="384437B8">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保安巡逻处置及时</w:t>
            </w:r>
          </w:p>
        </w:tc>
        <w:tc>
          <w:tcPr>
            <w:tcW w:w="4272" w:type="dxa"/>
            <w:tcBorders>
              <w:right w:val="single" w:color="auto" w:sz="4" w:space="0"/>
            </w:tcBorders>
            <w:noWrap w:val="0"/>
            <w:vAlign w:val="center"/>
          </w:tcPr>
          <w:p w14:paraId="485B604B">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□满意         □不满意</w:t>
            </w:r>
          </w:p>
        </w:tc>
      </w:tr>
      <w:tr w14:paraId="19A9B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jc w:val="center"/>
        </w:trPr>
        <w:tc>
          <w:tcPr>
            <w:tcW w:w="4495" w:type="dxa"/>
            <w:gridSpan w:val="2"/>
            <w:tcBorders>
              <w:left w:val="single" w:color="auto" w:sz="4" w:space="0"/>
            </w:tcBorders>
            <w:noWrap w:val="0"/>
            <w:vAlign w:val="center"/>
          </w:tcPr>
          <w:p w14:paraId="6E3964D8">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整体服务质量情况</w:t>
            </w:r>
          </w:p>
        </w:tc>
        <w:tc>
          <w:tcPr>
            <w:tcW w:w="4272" w:type="dxa"/>
            <w:tcBorders>
              <w:right w:val="single" w:color="auto" w:sz="4" w:space="0"/>
            </w:tcBorders>
            <w:noWrap w:val="0"/>
            <w:vAlign w:val="center"/>
          </w:tcPr>
          <w:p w14:paraId="087918C6">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□满意        □不满意</w:t>
            </w:r>
          </w:p>
        </w:tc>
      </w:tr>
      <w:tr w14:paraId="389FC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767" w:type="dxa"/>
            <w:gridSpan w:val="3"/>
            <w:tcBorders>
              <w:left w:val="single" w:color="auto" w:sz="4" w:space="0"/>
              <w:bottom w:val="single" w:color="auto" w:sz="4" w:space="0"/>
              <w:right w:val="single" w:color="auto" w:sz="4" w:space="0"/>
            </w:tcBorders>
            <w:noWrap w:val="0"/>
            <w:vAlign w:val="center"/>
          </w:tcPr>
          <w:p w14:paraId="4F0880D4">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主要问题及建议：</w:t>
            </w:r>
          </w:p>
          <w:p w14:paraId="0BFFD5D4">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 xml:space="preserve">（可另附页）。              </w:t>
            </w:r>
          </w:p>
          <w:p w14:paraId="5BFA00F5">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年     月    日</w:t>
            </w:r>
          </w:p>
        </w:tc>
      </w:tr>
    </w:tbl>
    <w:p w14:paraId="6565A117">
      <w:pPr>
        <w:pStyle w:val="2"/>
        <w:rPr>
          <w:rFonts w:hint="eastAsia" w:ascii="仿宋_GB2312" w:hAnsi="仿宋_GB2312" w:eastAsia="仿宋_GB2312" w:cs="仿宋_GB2312"/>
          <w:kern w:val="2"/>
          <w:sz w:val="21"/>
          <w:szCs w:val="21"/>
          <w:lang w:val="en-US" w:eastAsia="zh-CN" w:bidi="ar-SA"/>
        </w:rPr>
      </w:pPr>
    </w:p>
    <w:p w14:paraId="0EB7A6CF">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学校物业管理和后勤服务公司服务满意度调查表（学生）</w:t>
      </w:r>
    </w:p>
    <w:tbl>
      <w:tblPr>
        <w:tblStyle w:val="21"/>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3813"/>
        <w:gridCol w:w="4423"/>
      </w:tblGrid>
      <w:tr w14:paraId="2C21A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855" w:type="dxa"/>
            <w:gridSpan w:val="3"/>
            <w:tcBorders>
              <w:left w:val="single" w:color="auto" w:sz="4" w:space="0"/>
              <w:right w:val="single" w:color="auto" w:sz="4" w:space="0"/>
            </w:tcBorders>
            <w:noWrap w:val="0"/>
            <w:vAlign w:val="center"/>
          </w:tcPr>
          <w:p w14:paraId="0228319E">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调  查  内  容  及  评 价</w:t>
            </w:r>
          </w:p>
        </w:tc>
      </w:tr>
      <w:tr w14:paraId="00846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9" w:type="dxa"/>
            <w:vMerge w:val="restart"/>
            <w:tcBorders>
              <w:left w:val="single" w:color="auto" w:sz="4" w:space="0"/>
            </w:tcBorders>
            <w:noWrap w:val="0"/>
            <w:vAlign w:val="center"/>
          </w:tcPr>
          <w:p w14:paraId="0B70C138">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宿管</w:t>
            </w:r>
          </w:p>
        </w:tc>
        <w:tc>
          <w:tcPr>
            <w:tcW w:w="3813" w:type="dxa"/>
            <w:tcBorders>
              <w:left w:val="single" w:color="auto" w:sz="4" w:space="0"/>
            </w:tcBorders>
            <w:noWrap w:val="0"/>
            <w:vAlign w:val="center"/>
          </w:tcPr>
          <w:p w14:paraId="21DA9B95">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宿管员仪容仪表、服务态度</w:t>
            </w:r>
          </w:p>
        </w:tc>
        <w:tc>
          <w:tcPr>
            <w:tcW w:w="4423" w:type="dxa"/>
            <w:tcBorders>
              <w:right w:val="single" w:color="auto" w:sz="4" w:space="0"/>
            </w:tcBorders>
            <w:noWrap w:val="0"/>
            <w:vAlign w:val="center"/>
          </w:tcPr>
          <w:p w14:paraId="67D69412">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 xml:space="preserve">□满意          □不满意  </w:t>
            </w:r>
          </w:p>
        </w:tc>
      </w:tr>
      <w:tr w14:paraId="050C9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9" w:type="dxa"/>
            <w:vMerge w:val="continue"/>
            <w:tcBorders>
              <w:left w:val="single" w:color="auto" w:sz="4" w:space="0"/>
            </w:tcBorders>
            <w:noWrap w:val="0"/>
            <w:vAlign w:val="center"/>
          </w:tcPr>
          <w:p w14:paraId="401CC80B">
            <w:pPr>
              <w:pStyle w:val="2"/>
              <w:rPr>
                <w:rFonts w:hint="eastAsia" w:ascii="仿宋_GB2312" w:hAnsi="仿宋_GB2312" w:eastAsia="仿宋_GB2312" w:cs="仿宋_GB2312"/>
                <w:kern w:val="2"/>
                <w:sz w:val="21"/>
                <w:szCs w:val="21"/>
                <w:lang w:val="en-US" w:eastAsia="zh-CN" w:bidi="ar-SA"/>
              </w:rPr>
            </w:pPr>
          </w:p>
        </w:tc>
        <w:tc>
          <w:tcPr>
            <w:tcW w:w="3813" w:type="dxa"/>
            <w:tcBorders>
              <w:left w:val="single" w:color="auto" w:sz="4" w:space="0"/>
            </w:tcBorders>
            <w:noWrap w:val="0"/>
            <w:vAlign w:val="center"/>
          </w:tcPr>
          <w:p w14:paraId="39D21A26">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宿管员责任心情况</w:t>
            </w:r>
          </w:p>
        </w:tc>
        <w:tc>
          <w:tcPr>
            <w:tcW w:w="4423" w:type="dxa"/>
            <w:tcBorders>
              <w:right w:val="single" w:color="auto" w:sz="4" w:space="0"/>
            </w:tcBorders>
            <w:noWrap w:val="0"/>
            <w:vAlign w:val="center"/>
          </w:tcPr>
          <w:p w14:paraId="0066233C">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□满意          □不满意</w:t>
            </w:r>
          </w:p>
        </w:tc>
      </w:tr>
      <w:tr w14:paraId="5861F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9" w:type="dxa"/>
            <w:vMerge w:val="continue"/>
            <w:tcBorders>
              <w:left w:val="single" w:color="auto" w:sz="4" w:space="0"/>
            </w:tcBorders>
            <w:noWrap w:val="0"/>
            <w:vAlign w:val="center"/>
          </w:tcPr>
          <w:p w14:paraId="42A723AC">
            <w:pPr>
              <w:pStyle w:val="2"/>
              <w:rPr>
                <w:rFonts w:hint="eastAsia" w:ascii="仿宋_GB2312" w:hAnsi="仿宋_GB2312" w:eastAsia="仿宋_GB2312" w:cs="仿宋_GB2312"/>
                <w:kern w:val="2"/>
                <w:sz w:val="21"/>
                <w:szCs w:val="21"/>
                <w:lang w:val="en-US" w:eastAsia="zh-CN" w:bidi="ar-SA"/>
              </w:rPr>
            </w:pPr>
          </w:p>
        </w:tc>
        <w:tc>
          <w:tcPr>
            <w:tcW w:w="3813" w:type="dxa"/>
            <w:tcBorders>
              <w:left w:val="single" w:color="auto" w:sz="4" w:space="0"/>
            </w:tcBorders>
            <w:noWrap w:val="0"/>
            <w:vAlign w:val="center"/>
          </w:tcPr>
          <w:p w14:paraId="4F62FEF3">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宿管员在岗情况</w:t>
            </w:r>
          </w:p>
        </w:tc>
        <w:tc>
          <w:tcPr>
            <w:tcW w:w="4423" w:type="dxa"/>
            <w:tcBorders>
              <w:right w:val="single" w:color="auto" w:sz="4" w:space="0"/>
            </w:tcBorders>
            <w:noWrap w:val="0"/>
            <w:vAlign w:val="center"/>
          </w:tcPr>
          <w:p w14:paraId="58120131">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□满意          □不满意</w:t>
            </w:r>
          </w:p>
        </w:tc>
      </w:tr>
      <w:tr w14:paraId="01800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9" w:type="dxa"/>
            <w:vMerge w:val="continue"/>
            <w:tcBorders>
              <w:left w:val="single" w:color="auto" w:sz="4" w:space="0"/>
            </w:tcBorders>
            <w:noWrap w:val="0"/>
            <w:vAlign w:val="center"/>
          </w:tcPr>
          <w:p w14:paraId="1EE7C5A4">
            <w:pPr>
              <w:pStyle w:val="2"/>
              <w:rPr>
                <w:rFonts w:hint="eastAsia" w:ascii="仿宋_GB2312" w:hAnsi="仿宋_GB2312" w:eastAsia="仿宋_GB2312" w:cs="仿宋_GB2312"/>
                <w:kern w:val="2"/>
                <w:sz w:val="21"/>
                <w:szCs w:val="21"/>
                <w:lang w:val="en-US" w:eastAsia="zh-CN" w:bidi="ar-SA"/>
              </w:rPr>
            </w:pPr>
          </w:p>
        </w:tc>
        <w:tc>
          <w:tcPr>
            <w:tcW w:w="3813" w:type="dxa"/>
            <w:tcBorders>
              <w:left w:val="single" w:color="auto" w:sz="4" w:space="0"/>
            </w:tcBorders>
            <w:noWrap w:val="0"/>
            <w:vAlign w:val="center"/>
          </w:tcPr>
          <w:p w14:paraId="0D088790">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宿管员处理应急事件及时率</w:t>
            </w:r>
          </w:p>
        </w:tc>
        <w:tc>
          <w:tcPr>
            <w:tcW w:w="4423" w:type="dxa"/>
            <w:tcBorders>
              <w:right w:val="single" w:color="auto" w:sz="4" w:space="0"/>
            </w:tcBorders>
            <w:noWrap w:val="0"/>
            <w:vAlign w:val="center"/>
          </w:tcPr>
          <w:p w14:paraId="4CE2C27F">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□满意          □不满意</w:t>
            </w:r>
          </w:p>
        </w:tc>
      </w:tr>
      <w:tr w14:paraId="2E43D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9" w:type="dxa"/>
            <w:vMerge w:val="continue"/>
            <w:tcBorders>
              <w:left w:val="single" w:color="auto" w:sz="4" w:space="0"/>
            </w:tcBorders>
            <w:noWrap w:val="0"/>
            <w:vAlign w:val="center"/>
          </w:tcPr>
          <w:p w14:paraId="08BBE2C0">
            <w:pPr>
              <w:pStyle w:val="2"/>
              <w:rPr>
                <w:rFonts w:hint="eastAsia" w:ascii="仿宋_GB2312" w:hAnsi="仿宋_GB2312" w:eastAsia="仿宋_GB2312" w:cs="仿宋_GB2312"/>
                <w:kern w:val="2"/>
                <w:sz w:val="21"/>
                <w:szCs w:val="21"/>
                <w:lang w:val="en-US" w:eastAsia="zh-CN" w:bidi="ar-SA"/>
              </w:rPr>
            </w:pPr>
          </w:p>
        </w:tc>
        <w:tc>
          <w:tcPr>
            <w:tcW w:w="3813" w:type="dxa"/>
            <w:tcBorders>
              <w:left w:val="single" w:color="auto" w:sz="4" w:space="0"/>
            </w:tcBorders>
            <w:noWrap w:val="0"/>
            <w:vAlign w:val="center"/>
          </w:tcPr>
          <w:p w14:paraId="3C8AE02A">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宿管员对公共场所管理情况</w:t>
            </w:r>
          </w:p>
        </w:tc>
        <w:tc>
          <w:tcPr>
            <w:tcW w:w="4423" w:type="dxa"/>
            <w:tcBorders>
              <w:right w:val="single" w:color="auto" w:sz="4" w:space="0"/>
            </w:tcBorders>
            <w:noWrap w:val="0"/>
            <w:vAlign w:val="center"/>
          </w:tcPr>
          <w:p w14:paraId="2C6EA738">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□满意          □不满意</w:t>
            </w:r>
          </w:p>
        </w:tc>
      </w:tr>
      <w:tr w14:paraId="3260B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9" w:type="dxa"/>
            <w:vMerge w:val="restart"/>
            <w:tcBorders>
              <w:left w:val="single" w:color="auto" w:sz="4" w:space="0"/>
            </w:tcBorders>
            <w:noWrap w:val="0"/>
            <w:vAlign w:val="center"/>
          </w:tcPr>
          <w:p w14:paraId="0C9DA701">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维修</w:t>
            </w:r>
          </w:p>
        </w:tc>
        <w:tc>
          <w:tcPr>
            <w:tcW w:w="3813" w:type="dxa"/>
            <w:tcBorders>
              <w:left w:val="single" w:color="auto" w:sz="4" w:space="0"/>
            </w:tcBorders>
            <w:noWrap w:val="0"/>
            <w:vAlign w:val="center"/>
          </w:tcPr>
          <w:p w14:paraId="75B70861">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工作人员仪容仪表、服务态度</w:t>
            </w:r>
          </w:p>
        </w:tc>
        <w:tc>
          <w:tcPr>
            <w:tcW w:w="4423" w:type="dxa"/>
            <w:tcBorders>
              <w:right w:val="single" w:color="auto" w:sz="4" w:space="0"/>
            </w:tcBorders>
            <w:noWrap w:val="0"/>
            <w:vAlign w:val="center"/>
          </w:tcPr>
          <w:p w14:paraId="3226F345">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 xml:space="preserve">□满意          □不满意 </w:t>
            </w:r>
          </w:p>
        </w:tc>
      </w:tr>
      <w:tr w14:paraId="04AA0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9" w:type="dxa"/>
            <w:vMerge w:val="continue"/>
            <w:tcBorders>
              <w:left w:val="single" w:color="auto" w:sz="4" w:space="0"/>
            </w:tcBorders>
            <w:noWrap w:val="0"/>
            <w:vAlign w:val="center"/>
          </w:tcPr>
          <w:p w14:paraId="1EEE2C98">
            <w:pPr>
              <w:pStyle w:val="2"/>
              <w:rPr>
                <w:rFonts w:hint="eastAsia" w:ascii="仿宋_GB2312" w:hAnsi="仿宋_GB2312" w:eastAsia="仿宋_GB2312" w:cs="仿宋_GB2312"/>
                <w:kern w:val="2"/>
                <w:sz w:val="21"/>
                <w:szCs w:val="21"/>
                <w:lang w:val="en-US" w:eastAsia="zh-CN" w:bidi="ar-SA"/>
              </w:rPr>
            </w:pPr>
          </w:p>
        </w:tc>
        <w:tc>
          <w:tcPr>
            <w:tcW w:w="3813" w:type="dxa"/>
            <w:tcBorders>
              <w:left w:val="single" w:color="auto" w:sz="4" w:space="0"/>
            </w:tcBorders>
            <w:noWrap w:val="0"/>
            <w:vAlign w:val="center"/>
          </w:tcPr>
          <w:p w14:paraId="56474BE7">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设施设备及附属管理情况</w:t>
            </w:r>
          </w:p>
        </w:tc>
        <w:tc>
          <w:tcPr>
            <w:tcW w:w="4423" w:type="dxa"/>
            <w:tcBorders>
              <w:right w:val="single" w:color="auto" w:sz="4" w:space="0"/>
            </w:tcBorders>
            <w:noWrap w:val="0"/>
            <w:vAlign w:val="center"/>
          </w:tcPr>
          <w:p w14:paraId="7146E907">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□满意          □不满意</w:t>
            </w:r>
          </w:p>
        </w:tc>
      </w:tr>
      <w:tr w14:paraId="7A7A9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9" w:type="dxa"/>
            <w:vMerge w:val="continue"/>
            <w:tcBorders>
              <w:left w:val="single" w:color="auto" w:sz="4" w:space="0"/>
            </w:tcBorders>
            <w:noWrap w:val="0"/>
            <w:vAlign w:val="center"/>
          </w:tcPr>
          <w:p w14:paraId="579EC093">
            <w:pPr>
              <w:pStyle w:val="2"/>
              <w:rPr>
                <w:rFonts w:hint="eastAsia" w:ascii="仿宋_GB2312" w:hAnsi="仿宋_GB2312" w:eastAsia="仿宋_GB2312" w:cs="仿宋_GB2312"/>
                <w:kern w:val="2"/>
                <w:sz w:val="21"/>
                <w:szCs w:val="21"/>
                <w:lang w:val="en-US" w:eastAsia="zh-CN" w:bidi="ar-SA"/>
              </w:rPr>
            </w:pPr>
          </w:p>
        </w:tc>
        <w:tc>
          <w:tcPr>
            <w:tcW w:w="3813" w:type="dxa"/>
            <w:tcBorders>
              <w:left w:val="single" w:color="auto" w:sz="4" w:space="0"/>
            </w:tcBorders>
            <w:noWrap w:val="0"/>
            <w:vAlign w:val="center"/>
          </w:tcPr>
          <w:p w14:paraId="5352B9B2">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维修的质量情况</w:t>
            </w:r>
          </w:p>
        </w:tc>
        <w:tc>
          <w:tcPr>
            <w:tcW w:w="4423" w:type="dxa"/>
            <w:tcBorders>
              <w:right w:val="single" w:color="auto" w:sz="4" w:space="0"/>
            </w:tcBorders>
            <w:noWrap w:val="0"/>
            <w:vAlign w:val="center"/>
          </w:tcPr>
          <w:p w14:paraId="35803ACA">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 xml:space="preserve">□满意          □不满意 </w:t>
            </w:r>
          </w:p>
        </w:tc>
      </w:tr>
      <w:tr w14:paraId="6BBE5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9" w:type="dxa"/>
            <w:vMerge w:val="continue"/>
            <w:tcBorders>
              <w:left w:val="single" w:color="auto" w:sz="4" w:space="0"/>
            </w:tcBorders>
            <w:noWrap w:val="0"/>
            <w:vAlign w:val="center"/>
          </w:tcPr>
          <w:p w14:paraId="2E1D4320">
            <w:pPr>
              <w:pStyle w:val="2"/>
              <w:rPr>
                <w:rFonts w:hint="eastAsia" w:ascii="仿宋_GB2312" w:hAnsi="仿宋_GB2312" w:eastAsia="仿宋_GB2312" w:cs="仿宋_GB2312"/>
                <w:kern w:val="2"/>
                <w:sz w:val="21"/>
                <w:szCs w:val="21"/>
                <w:lang w:val="en-US" w:eastAsia="zh-CN" w:bidi="ar-SA"/>
              </w:rPr>
            </w:pPr>
          </w:p>
        </w:tc>
        <w:tc>
          <w:tcPr>
            <w:tcW w:w="3813" w:type="dxa"/>
            <w:tcBorders>
              <w:left w:val="single" w:color="auto" w:sz="4" w:space="0"/>
            </w:tcBorders>
            <w:noWrap w:val="0"/>
            <w:vAlign w:val="center"/>
          </w:tcPr>
          <w:p w14:paraId="2B1C2F84">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维修及时率</w:t>
            </w:r>
          </w:p>
        </w:tc>
        <w:tc>
          <w:tcPr>
            <w:tcW w:w="4423" w:type="dxa"/>
            <w:tcBorders>
              <w:right w:val="single" w:color="auto" w:sz="4" w:space="0"/>
            </w:tcBorders>
            <w:noWrap w:val="0"/>
            <w:vAlign w:val="center"/>
          </w:tcPr>
          <w:p w14:paraId="3940D4D1">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□满意          □不满意</w:t>
            </w:r>
          </w:p>
        </w:tc>
      </w:tr>
      <w:tr w14:paraId="3BE4D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19" w:type="dxa"/>
            <w:vMerge w:val="restart"/>
            <w:tcBorders>
              <w:left w:val="single" w:color="auto" w:sz="4" w:space="0"/>
            </w:tcBorders>
            <w:noWrap w:val="0"/>
            <w:vAlign w:val="center"/>
          </w:tcPr>
          <w:p w14:paraId="3F14811F">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清洁</w:t>
            </w:r>
          </w:p>
        </w:tc>
        <w:tc>
          <w:tcPr>
            <w:tcW w:w="3813" w:type="dxa"/>
            <w:tcBorders>
              <w:left w:val="single" w:color="auto" w:sz="4" w:space="0"/>
            </w:tcBorders>
            <w:noWrap w:val="0"/>
            <w:vAlign w:val="center"/>
          </w:tcPr>
          <w:p w14:paraId="1E1DBD1E">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工作人员仪容仪表、服务态度</w:t>
            </w:r>
          </w:p>
        </w:tc>
        <w:tc>
          <w:tcPr>
            <w:tcW w:w="4423" w:type="dxa"/>
            <w:tcBorders>
              <w:right w:val="single" w:color="auto" w:sz="4" w:space="0"/>
            </w:tcBorders>
            <w:noWrap w:val="0"/>
            <w:vAlign w:val="center"/>
          </w:tcPr>
          <w:p w14:paraId="029F4452">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□满意          □不满意</w:t>
            </w:r>
          </w:p>
        </w:tc>
      </w:tr>
      <w:tr w14:paraId="3193D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9" w:type="dxa"/>
            <w:vMerge w:val="continue"/>
            <w:tcBorders>
              <w:left w:val="single" w:color="auto" w:sz="4" w:space="0"/>
            </w:tcBorders>
            <w:noWrap w:val="0"/>
            <w:vAlign w:val="center"/>
          </w:tcPr>
          <w:p w14:paraId="6743597C">
            <w:pPr>
              <w:pStyle w:val="2"/>
              <w:rPr>
                <w:rFonts w:hint="eastAsia" w:ascii="仿宋_GB2312" w:hAnsi="仿宋_GB2312" w:eastAsia="仿宋_GB2312" w:cs="仿宋_GB2312"/>
                <w:kern w:val="2"/>
                <w:sz w:val="21"/>
                <w:szCs w:val="21"/>
                <w:lang w:val="en-US" w:eastAsia="zh-CN" w:bidi="ar-SA"/>
              </w:rPr>
            </w:pPr>
          </w:p>
        </w:tc>
        <w:tc>
          <w:tcPr>
            <w:tcW w:w="3813" w:type="dxa"/>
            <w:tcBorders>
              <w:left w:val="single" w:color="auto" w:sz="4" w:space="0"/>
            </w:tcBorders>
            <w:noWrap w:val="0"/>
            <w:vAlign w:val="center"/>
          </w:tcPr>
          <w:p w14:paraId="067C0A3A">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教学楼、实训楼、图书馆清洁</w:t>
            </w:r>
          </w:p>
        </w:tc>
        <w:tc>
          <w:tcPr>
            <w:tcW w:w="4423" w:type="dxa"/>
            <w:tcBorders>
              <w:right w:val="single" w:color="auto" w:sz="4" w:space="0"/>
            </w:tcBorders>
            <w:noWrap w:val="0"/>
            <w:vAlign w:val="center"/>
          </w:tcPr>
          <w:p w14:paraId="18B52313">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 xml:space="preserve">□满意          □不满意 </w:t>
            </w:r>
          </w:p>
        </w:tc>
      </w:tr>
      <w:tr w14:paraId="08F6A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9" w:type="dxa"/>
            <w:vMerge w:val="continue"/>
            <w:tcBorders>
              <w:left w:val="single" w:color="auto" w:sz="4" w:space="0"/>
            </w:tcBorders>
            <w:noWrap w:val="0"/>
            <w:vAlign w:val="center"/>
          </w:tcPr>
          <w:p w14:paraId="67A0B743">
            <w:pPr>
              <w:pStyle w:val="2"/>
              <w:rPr>
                <w:rFonts w:hint="eastAsia" w:ascii="仿宋_GB2312" w:hAnsi="仿宋_GB2312" w:eastAsia="仿宋_GB2312" w:cs="仿宋_GB2312"/>
                <w:kern w:val="2"/>
                <w:sz w:val="21"/>
                <w:szCs w:val="21"/>
                <w:lang w:val="en-US" w:eastAsia="zh-CN" w:bidi="ar-SA"/>
              </w:rPr>
            </w:pPr>
          </w:p>
        </w:tc>
        <w:tc>
          <w:tcPr>
            <w:tcW w:w="3813" w:type="dxa"/>
            <w:tcBorders>
              <w:left w:val="single" w:color="auto" w:sz="4" w:space="0"/>
            </w:tcBorders>
            <w:noWrap w:val="0"/>
            <w:vAlign w:val="center"/>
          </w:tcPr>
          <w:p w14:paraId="152AD357">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公共场所清洁</w:t>
            </w:r>
          </w:p>
        </w:tc>
        <w:tc>
          <w:tcPr>
            <w:tcW w:w="4423" w:type="dxa"/>
            <w:tcBorders>
              <w:right w:val="single" w:color="auto" w:sz="4" w:space="0"/>
            </w:tcBorders>
            <w:noWrap w:val="0"/>
            <w:vAlign w:val="center"/>
          </w:tcPr>
          <w:p w14:paraId="362077CA">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 xml:space="preserve">□满意          □不满意 </w:t>
            </w:r>
          </w:p>
        </w:tc>
      </w:tr>
      <w:tr w14:paraId="64060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9" w:type="dxa"/>
            <w:vMerge w:val="continue"/>
            <w:tcBorders>
              <w:left w:val="single" w:color="auto" w:sz="4" w:space="0"/>
            </w:tcBorders>
            <w:noWrap w:val="0"/>
            <w:vAlign w:val="center"/>
          </w:tcPr>
          <w:p w14:paraId="17D595E0">
            <w:pPr>
              <w:pStyle w:val="2"/>
              <w:rPr>
                <w:rFonts w:hint="eastAsia" w:ascii="仿宋_GB2312" w:hAnsi="仿宋_GB2312" w:eastAsia="仿宋_GB2312" w:cs="仿宋_GB2312"/>
                <w:kern w:val="2"/>
                <w:sz w:val="21"/>
                <w:szCs w:val="21"/>
                <w:lang w:val="en-US" w:eastAsia="zh-CN" w:bidi="ar-SA"/>
              </w:rPr>
            </w:pPr>
          </w:p>
        </w:tc>
        <w:tc>
          <w:tcPr>
            <w:tcW w:w="3813" w:type="dxa"/>
            <w:tcBorders>
              <w:left w:val="single" w:color="auto" w:sz="4" w:space="0"/>
            </w:tcBorders>
            <w:noWrap w:val="0"/>
            <w:vAlign w:val="center"/>
          </w:tcPr>
          <w:p w14:paraId="742DA5F8">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室外广场、绿地清洁</w:t>
            </w:r>
          </w:p>
        </w:tc>
        <w:tc>
          <w:tcPr>
            <w:tcW w:w="4423" w:type="dxa"/>
            <w:tcBorders>
              <w:right w:val="single" w:color="auto" w:sz="4" w:space="0"/>
            </w:tcBorders>
            <w:noWrap w:val="0"/>
            <w:vAlign w:val="center"/>
          </w:tcPr>
          <w:p w14:paraId="72ABD6D6">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□满意          □不满意</w:t>
            </w:r>
          </w:p>
        </w:tc>
      </w:tr>
      <w:tr w14:paraId="15C8A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9" w:type="dxa"/>
            <w:vMerge w:val="continue"/>
            <w:tcBorders>
              <w:left w:val="single" w:color="auto" w:sz="4" w:space="0"/>
            </w:tcBorders>
            <w:noWrap w:val="0"/>
            <w:vAlign w:val="center"/>
          </w:tcPr>
          <w:p w14:paraId="5BD56F17">
            <w:pPr>
              <w:pStyle w:val="2"/>
              <w:rPr>
                <w:rFonts w:hint="eastAsia" w:ascii="仿宋_GB2312" w:hAnsi="仿宋_GB2312" w:eastAsia="仿宋_GB2312" w:cs="仿宋_GB2312"/>
                <w:kern w:val="2"/>
                <w:sz w:val="21"/>
                <w:szCs w:val="21"/>
                <w:lang w:val="en-US" w:eastAsia="zh-CN" w:bidi="ar-SA"/>
              </w:rPr>
            </w:pPr>
          </w:p>
        </w:tc>
        <w:tc>
          <w:tcPr>
            <w:tcW w:w="3813" w:type="dxa"/>
            <w:tcBorders>
              <w:left w:val="single" w:color="auto" w:sz="4" w:space="0"/>
            </w:tcBorders>
            <w:noWrap w:val="0"/>
            <w:vAlign w:val="center"/>
          </w:tcPr>
          <w:p w14:paraId="74B02C39">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教学楼、实训楼、图书馆卫生间卫生状况</w:t>
            </w:r>
          </w:p>
        </w:tc>
        <w:tc>
          <w:tcPr>
            <w:tcW w:w="4423" w:type="dxa"/>
            <w:tcBorders>
              <w:right w:val="single" w:color="auto" w:sz="4" w:space="0"/>
            </w:tcBorders>
            <w:noWrap w:val="0"/>
            <w:vAlign w:val="center"/>
          </w:tcPr>
          <w:p w14:paraId="6C1B7D40">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 xml:space="preserve">□满意          □不满意 </w:t>
            </w:r>
          </w:p>
        </w:tc>
      </w:tr>
      <w:tr w14:paraId="78DE0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9" w:type="dxa"/>
            <w:vMerge w:val="continue"/>
            <w:tcBorders>
              <w:left w:val="single" w:color="auto" w:sz="4" w:space="0"/>
            </w:tcBorders>
            <w:noWrap w:val="0"/>
            <w:vAlign w:val="center"/>
          </w:tcPr>
          <w:p w14:paraId="6646D445">
            <w:pPr>
              <w:pStyle w:val="2"/>
              <w:rPr>
                <w:rFonts w:hint="eastAsia" w:ascii="仿宋_GB2312" w:hAnsi="仿宋_GB2312" w:eastAsia="仿宋_GB2312" w:cs="仿宋_GB2312"/>
                <w:kern w:val="2"/>
                <w:sz w:val="21"/>
                <w:szCs w:val="21"/>
                <w:lang w:val="en-US" w:eastAsia="zh-CN" w:bidi="ar-SA"/>
              </w:rPr>
            </w:pPr>
          </w:p>
        </w:tc>
        <w:tc>
          <w:tcPr>
            <w:tcW w:w="3813" w:type="dxa"/>
            <w:tcBorders>
              <w:left w:val="single" w:color="auto" w:sz="4" w:space="0"/>
            </w:tcBorders>
            <w:noWrap w:val="0"/>
            <w:vAlign w:val="center"/>
          </w:tcPr>
          <w:p w14:paraId="13D18024">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学生宿舍公共通道及垃圾收运</w:t>
            </w:r>
          </w:p>
        </w:tc>
        <w:tc>
          <w:tcPr>
            <w:tcW w:w="4423" w:type="dxa"/>
            <w:tcBorders>
              <w:right w:val="single" w:color="auto" w:sz="4" w:space="0"/>
            </w:tcBorders>
            <w:noWrap w:val="0"/>
            <w:vAlign w:val="center"/>
          </w:tcPr>
          <w:p w14:paraId="0995B3FD">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□满意          □不满意</w:t>
            </w:r>
          </w:p>
        </w:tc>
      </w:tr>
      <w:tr w14:paraId="3365B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9" w:type="dxa"/>
            <w:vMerge w:val="restart"/>
            <w:tcBorders>
              <w:left w:val="single" w:color="auto" w:sz="4" w:space="0"/>
            </w:tcBorders>
            <w:noWrap w:val="0"/>
            <w:vAlign w:val="center"/>
          </w:tcPr>
          <w:p w14:paraId="6A7E0E76">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其他管理</w:t>
            </w:r>
          </w:p>
        </w:tc>
        <w:tc>
          <w:tcPr>
            <w:tcW w:w="3813" w:type="dxa"/>
            <w:tcBorders>
              <w:left w:val="single" w:color="auto" w:sz="4" w:space="0"/>
            </w:tcBorders>
            <w:noWrap w:val="0"/>
            <w:vAlign w:val="center"/>
          </w:tcPr>
          <w:p w14:paraId="1B28F399">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工作人员仪容仪表、服务态度</w:t>
            </w:r>
          </w:p>
        </w:tc>
        <w:tc>
          <w:tcPr>
            <w:tcW w:w="4423" w:type="dxa"/>
            <w:tcBorders>
              <w:right w:val="single" w:color="auto" w:sz="4" w:space="0"/>
            </w:tcBorders>
            <w:noWrap w:val="0"/>
            <w:vAlign w:val="center"/>
          </w:tcPr>
          <w:p w14:paraId="024E2ED9">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 xml:space="preserve">□满意          □不满意 </w:t>
            </w:r>
          </w:p>
        </w:tc>
      </w:tr>
      <w:tr w14:paraId="039E1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9" w:type="dxa"/>
            <w:vMerge w:val="continue"/>
            <w:tcBorders>
              <w:left w:val="single" w:color="auto" w:sz="4" w:space="0"/>
            </w:tcBorders>
            <w:noWrap w:val="0"/>
            <w:vAlign w:val="center"/>
          </w:tcPr>
          <w:p w14:paraId="0FFC93BD">
            <w:pPr>
              <w:pStyle w:val="2"/>
              <w:rPr>
                <w:rFonts w:hint="eastAsia" w:ascii="仿宋_GB2312" w:hAnsi="仿宋_GB2312" w:eastAsia="仿宋_GB2312" w:cs="仿宋_GB2312"/>
                <w:kern w:val="2"/>
                <w:sz w:val="21"/>
                <w:szCs w:val="21"/>
                <w:lang w:val="en-US" w:eastAsia="zh-CN" w:bidi="ar-SA"/>
              </w:rPr>
            </w:pPr>
          </w:p>
        </w:tc>
        <w:tc>
          <w:tcPr>
            <w:tcW w:w="3813" w:type="dxa"/>
            <w:tcBorders>
              <w:left w:val="single" w:color="auto" w:sz="4" w:space="0"/>
            </w:tcBorders>
            <w:noWrap w:val="0"/>
            <w:vAlign w:val="center"/>
          </w:tcPr>
          <w:p w14:paraId="6BA87DA5">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及时处理报障、报修</w:t>
            </w:r>
          </w:p>
        </w:tc>
        <w:tc>
          <w:tcPr>
            <w:tcW w:w="4423" w:type="dxa"/>
            <w:tcBorders>
              <w:right w:val="single" w:color="auto" w:sz="4" w:space="0"/>
            </w:tcBorders>
            <w:noWrap w:val="0"/>
            <w:vAlign w:val="center"/>
          </w:tcPr>
          <w:p w14:paraId="2D4B8079">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□满意          □不满意</w:t>
            </w:r>
          </w:p>
        </w:tc>
      </w:tr>
      <w:tr w14:paraId="0E0AE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9" w:type="dxa"/>
            <w:vMerge w:val="continue"/>
            <w:tcBorders>
              <w:left w:val="single" w:color="auto" w:sz="4" w:space="0"/>
            </w:tcBorders>
            <w:noWrap w:val="0"/>
            <w:vAlign w:val="center"/>
          </w:tcPr>
          <w:p w14:paraId="1A72524B">
            <w:pPr>
              <w:pStyle w:val="2"/>
              <w:rPr>
                <w:rFonts w:hint="eastAsia" w:ascii="仿宋_GB2312" w:hAnsi="仿宋_GB2312" w:eastAsia="仿宋_GB2312" w:cs="仿宋_GB2312"/>
                <w:kern w:val="2"/>
                <w:sz w:val="21"/>
                <w:szCs w:val="21"/>
                <w:lang w:val="en-US" w:eastAsia="zh-CN" w:bidi="ar-SA"/>
              </w:rPr>
            </w:pPr>
          </w:p>
        </w:tc>
        <w:tc>
          <w:tcPr>
            <w:tcW w:w="3813" w:type="dxa"/>
            <w:tcBorders>
              <w:left w:val="single" w:color="auto" w:sz="4" w:space="0"/>
            </w:tcBorders>
            <w:noWrap w:val="0"/>
            <w:vAlign w:val="center"/>
          </w:tcPr>
          <w:p w14:paraId="55354CDD">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投诉处理、回访及时率</w:t>
            </w:r>
          </w:p>
        </w:tc>
        <w:tc>
          <w:tcPr>
            <w:tcW w:w="4423" w:type="dxa"/>
            <w:tcBorders>
              <w:right w:val="single" w:color="auto" w:sz="4" w:space="0"/>
            </w:tcBorders>
            <w:noWrap w:val="0"/>
            <w:vAlign w:val="center"/>
          </w:tcPr>
          <w:p w14:paraId="1328643C">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 xml:space="preserve">□满意          □不满意  </w:t>
            </w:r>
          </w:p>
        </w:tc>
      </w:tr>
      <w:tr w14:paraId="227BD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9" w:type="dxa"/>
            <w:vMerge w:val="continue"/>
            <w:tcBorders>
              <w:left w:val="single" w:color="auto" w:sz="4" w:space="0"/>
            </w:tcBorders>
            <w:noWrap w:val="0"/>
            <w:vAlign w:val="center"/>
          </w:tcPr>
          <w:p w14:paraId="77F11899">
            <w:pPr>
              <w:pStyle w:val="2"/>
              <w:rPr>
                <w:rFonts w:hint="eastAsia" w:ascii="仿宋_GB2312" w:hAnsi="仿宋_GB2312" w:eastAsia="仿宋_GB2312" w:cs="仿宋_GB2312"/>
                <w:kern w:val="2"/>
                <w:sz w:val="21"/>
                <w:szCs w:val="21"/>
                <w:lang w:val="en-US" w:eastAsia="zh-CN" w:bidi="ar-SA"/>
              </w:rPr>
            </w:pPr>
          </w:p>
        </w:tc>
        <w:tc>
          <w:tcPr>
            <w:tcW w:w="3813" w:type="dxa"/>
            <w:tcBorders>
              <w:left w:val="single" w:color="auto" w:sz="4" w:space="0"/>
            </w:tcBorders>
            <w:noWrap w:val="0"/>
            <w:vAlign w:val="center"/>
          </w:tcPr>
          <w:p w14:paraId="5A2DE7C9">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巡查、巡视的情况</w:t>
            </w:r>
          </w:p>
        </w:tc>
        <w:tc>
          <w:tcPr>
            <w:tcW w:w="4423" w:type="dxa"/>
            <w:tcBorders>
              <w:right w:val="single" w:color="auto" w:sz="4" w:space="0"/>
            </w:tcBorders>
            <w:noWrap w:val="0"/>
            <w:vAlign w:val="center"/>
          </w:tcPr>
          <w:p w14:paraId="3D73C0C4">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 xml:space="preserve">□满意          □不满意 </w:t>
            </w:r>
          </w:p>
        </w:tc>
      </w:tr>
      <w:tr w14:paraId="43708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9" w:type="dxa"/>
            <w:vMerge w:val="continue"/>
            <w:tcBorders>
              <w:left w:val="single" w:color="auto" w:sz="4" w:space="0"/>
            </w:tcBorders>
            <w:noWrap w:val="0"/>
            <w:vAlign w:val="center"/>
          </w:tcPr>
          <w:p w14:paraId="03A70D1B">
            <w:pPr>
              <w:pStyle w:val="2"/>
              <w:rPr>
                <w:rFonts w:hint="eastAsia" w:ascii="仿宋_GB2312" w:hAnsi="仿宋_GB2312" w:eastAsia="仿宋_GB2312" w:cs="仿宋_GB2312"/>
                <w:kern w:val="2"/>
                <w:sz w:val="21"/>
                <w:szCs w:val="21"/>
                <w:lang w:val="en-US" w:eastAsia="zh-CN" w:bidi="ar-SA"/>
              </w:rPr>
            </w:pPr>
          </w:p>
        </w:tc>
        <w:tc>
          <w:tcPr>
            <w:tcW w:w="3813" w:type="dxa"/>
            <w:tcBorders>
              <w:left w:val="single" w:color="auto" w:sz="4" w:space="0"/>
            </w:tcBorders>
            <w:noWrap w:val="0"/>
            <w:vAlign w:val="center"/>
          </w:tcPr>
          <w:p w14:paraId="6797483B">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及时、全面灭蚊杀虫情况</w:t>
            </w:r>
          </w:p>
        </w:tc>
        <w:tc>
          <w:tcPr>
            <w:tcW w:w="4423" w:type="dxa"/>
            <w:tcBorders>
              <w:right w:val="single" w:color="auto" w:sz="4" w:space="0"/>
            </w:tcBorders>
            <w:noWrap w:val="0"/>
            <w:vAlign w:val="center"/>
          </w:tcPr>
          <w:p w14:paraId="4F02EA43">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□满意          □不满意</w:t>
            </w:r>
          </w:p>
        </w:tc>
      </w:tr>
      <w:tr w14:paraId="18319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9" w:type="dxa"/>
            <w:tcBorders>
              <w:left w:val="single" w:color="auto" w:sz="4" w:space="0"/>
            </w:tcBorders>
            <w:noWrap w:val="0"/>
            <w:vAlign w:val="center"/>
          </w:tcPr>
          <w:p w14:paraId="41E37054">
            <w:pPr>
              <w:pStyle w:val="2"/>
              <w:rPr>
                <w:rFonts w:hint="eastAsia" w:ascii="仿宋_GB2312" w:hAnsi="仿宋_GB2312" w:eastAsia="仿宋_GB2312" w:cs="仿宋_GB2312"/>
                <w:kern w:val="2"/>
                <w:sz w:val="21"/>
                <w:szCs w:val="21"/>
                <w:lang w:val="en-US" w:eastAsia="zh-CN" w:bidi="ar-SA"/>
              </w:rPr>
            </w:pPr>
          </w:p>
        </w:tc>
        <w:tc>
          <w:tcPr>
            <w:tcW w:w="3813" w:type="dxa"/>
            <w:tcBorders>
              <w:left w:val="single" w:color="auto" w:sz="4" w:space="0"/>
            </w:tcBorders>
            <w:noWrap w:val="0"/>
            <w:vAlign w:val="center"/>
          </w:tcPr>
          <w:p w14:paraId="67DAF304">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供餐及时</w:t>
            </w:r>
          </w:p>
        </w:tc>
        <w:tc>
          <w:tcPr>
            <w:tcW w:w="4423" w:type="dxa"/>
            <w:tcBorders>
              <w:right w:val="single" w:color="auto" w:sz="4" w:space="0"/>
            </w:tcBorders>
            <w:noWrap w:val="0"/>
            <w:vAlign w:val="center"/>
          </w:tcPr>
          <w:p w14:paraId="55B2A785">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□满意         □不满意</w:t>
            </w:r>
          </w:p>
        </w:tc>
      </w:tr>
      <w:tr w14:paraId="68F84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9" w:type="dxa"/>
            <w:tcBorders>
              <w:left w:val="single" w:color="auto" w:sz="4" w:space="0"/>
            </w:tcBorders>
            <w:noWrap w:val="0"/>
            <w:vAlign w:val="center"/>
          </w:tcPr>
          <w:p w14:paraId="1A98D0E5">
            <w:pPr>
              <w:pStyle w:val="2"/>
              <w:rPr>
                <w:rFonts w:hint="eastAsia" w:ascii="仿宋_GB2312" w:hAnsi="仿宋_GB2312" w:eastAsia="仿宋_GB2312" w:cs="仿宋_GB2312"/>
                <w:kern w:val="2"/>
                <w:sz w:val="21"/>
                <w:szCs w:val="21"/>
                <w:lang w:val="en-US" w:eastAsia="zh-CN" w:bidi="ar-SA"/>
              </w:rPr>
            </w:pPr>
          </w:p>
        </w:tc>
        <w:tc>
          <w:tcPr>
            <w:tcW w:w="3813" w:type="dxa"/>
            <w:tcBorders>
              <w:left w:val="single" w:color="auto" w:sz="4" w:space="0"/>
            </w:tcBorders>
            <w:noWrap w:val="0"/>
            <w:vAlign w:val="center"/>
          </w:tcPr>
          <w:p w14:paraId="12ECF482">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每份饭菜数量足额</w:t>
            </w:r>
          </w:p>
        </w:tc>
        <w:tc>
          <w:tcPr>
            <w:tcW w:w="4423" w:type="dxa"/>
            <w:tcBorders>
              <w:right w:val="single" w:color="auto" w:sz="4" w:space="0"/>
            </w:tcBorders>
            <w:noWrap w:val="0"/>
            <w:vAlign w:val="center"/>
          </w:tcPr>
          <w:p w14:paraId="1E8BD214">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□满意         □不满意</w:t>
            </w:r>
          </w:p>
        </w:tc>
      </w:tr>
      <w:tr w14:paraId="33A2B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9" w:type="dxa"/>
            <w:tcBorders>
              <w:left w:val="single" w:color="auto" w:sz="4" w:space="0"/>
            </w:tcBorders>
            <w:noWrap w:val="0"/>
            <w:vAlign w:val="center"/>
          </w:tcPr>
          <w:p w14:paraId="6C5901B9">
            <w:pPr>
              <w:pStyle w:val="2"/>
              <w:rPr>
                <w:rFonts w:hint="eastAsia" w:ascii="仿宋_GB2312" w:hAnsi="仿宋_GB2312" w:eastAsia="仿宋_GB2312" w:cs="仿宋_GB2312"/>
                <w:kern w:val="2"/>
                <w:sz w:val="21"/>
                <w:szCs w:val="21"/>
                <w:lang w:val="en-US" w:eastAsia="zh-CN" w:bidi="ar-SA"/>
              </w:rPr>
            </w:pPr>
          </w:p>
        </w:tc>
        <w:tc>
          <w:tcPr>
            <w:tcW w:w="3813" w:type="dxa"/>
            <w:tcBorders>
              <w:left w:val="single" w:color="auto" w:sz="4" w:space="0"/>
            </w:tcBorders>
            <w:noWrap w:val="0"/>
            <w:vAlign w:val="center"/>
          </w:tcPr>
          <w:p w14:paraId="11ABD85B">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饭菜质量新鲜可口</w:t>
            </w:r>
          </w:p>
        </w:tc>
        <w:tc>
          <w:tcPr>
            <w:tcW w:w="4423" w:type="dxa"/>
            <w:tcBorders>
              <w:right w:val="single" w:color="auto" w:sz="4" w:space="0"/>
            </w:tcBorders>
            <w:noWrap w:val="0"/>
            <w:vAlign w:val="center"/>
          </w:tcPr>
          <w:p w14:paraId="57EE8439">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□满意         □不满意</w:t>
            </w:r>
          </w:p>
        </w:tc>
      </w:tr>
      <w:tr w14:paraId="72D84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9" w:type="dxa"/>
            <w:tcBorders>
              <w:left w:val="single" w:color="auto" w:sz="4" w:space="0"/>
            </w:tcBorders>
            <w:noWrap w:val="0"/>
            <w:vAlign w:val="center"/>
          </w:tcPr>
          <w:p w14:paraId="71AD5B99">
            <w:pPr>
              <w:pStyle w:val="2"/>
              <w:rPr>
                <w:rFonts w:hint="eastAsia" w:ascii="仿宋_GB2312" w:hAnsi="仿宋_GB2312" w:eastAsia="仿宋_GB2312" w:cs="仿宋_GB2312"/>
                <w:kern w:val="2"/>
                <w:sz w:val="21"/>
                <w:szCs w:val="21"/>
                <w:lang w:val="en-US" w:eastAsia="zh-CN" w:bidi="ar-SA"/>
              </w:rPr>
            </w:pPr>
          </w:p>
        </w:tc>
        <w:tc>
          <w:tcPr>
            <w:tcW w:w="3813" w:type="dxa"/>
            <w:tcBorders>
              <w:left w:val="single" w:color="auto" w:sz="4" w:space="0"/>
            </w:tcBorders>
            <w:noWrap w:val="0"/>
            <w:vAlign w:val="center"/>
          </w:tcPr>
          <w:p w14:paraId="5D54E652">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门卫管理规范</w:t>
            </w:r>
          </w:p>
        </w:tc>
        <w:tc>
          <w:tcPr>
            <w:tcW w:w="4423" w:type="dxa"/>
            <w:tcBorders>
              <w:right w:val="single" w:color="auto" w:sz="4" w:space="0"/>
            </w:tcBorders>
            <w:noWrap w:val="0"/>
            <w:vAlign w:val="center"/>
          </w:tcPr>
          <w:p w14:paraId="0245EA9D">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□满意         □不满意</w:t>
            </w:r>
          </w:p>
        </w:tc>
      </w:tr>
      <w:tr w14:paraId="56E3F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9" w:type="dxa"/>
            <w:tcBorders>
              <w:left w:val="single" w:color="auto" w:sz="4" w:space="0"/>
            </w:tcBorders>
            <w:noWrap w:val="0"/>
            <w:vAlign w:val="center"/>
          </w:tcPr>
          <w:p w14:paraId="2F3C1B50">
            <w:pPr>
              <w:pStyle w:val="2"/>
              <w:rPr>
                <w:rFonts w:hint="eastAsia" w:ascii="仿宋_GB2312" w:hAnsi="仿宋_GB2312" w:eastAsia="仿宋_GB2312" w:cs="仿宋_GB2312"/>
                <w:kern w:val="2"/>
                <w:sz w:val="21"/>
                <w:szCs w:val="21"/>
                <w:lang w:val="en-US" w:eastAsia="zh-CN" w:bidi="ar-SA"/>
              </w:rPr>
            </w:pPr>
          </w:p>
        </w:tc>
        <w:tc>
          <w:tcPr>
            <w:tcW w:w="3813" w:type="dxa"/>
            <w:tcBorders>
              <w:left w:val="single" w:color="auto" w:sz="4" w:space="0"/>
            </w:tcBorders>
            <w:noWrap w:val="0"/>
            <w:vAlign w:val="center"/>
          </w:tcPr>
          <w:p w14:paraId="2E9D4158">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保安巡逻处置及时</w:t>
            </w:r>
          </w:p>
        </w:tc>
        <w:tc>
          <w:tcPr>
            <w:tcW w:w="4423" w:type="dxa"/>
            <w:tcBorders>
              <w:right w:val="single" w:color="auto" w:sz="4" w:space="0"/>
            </w:tcBorders>
            <w:noWrap w:val="0"/>
            <w:vAlign w:val="center"/>
          </w:tcPr>
          <w:p w14:paraId="09059328">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□满意         □不满意</w:t>
            </w:r>
          </w:p>
        </w:tc>
      </w:tr>
      <w:tr w14:paraId="59EC4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9" w:type="dxa"/>
            <w:tcBorders>
              <w:left w:val="single" w:color="auto" w:sz="4" w:space="0"/>
            </w:tcBorders>
            <w:noWrap w:val="0"/>
            <w:vAlign w:val="center"/>
          </w:tcPr>
          <w:p w14:paraId="22292C40">
            <w:pPr>
              <w:pStyle w:val="2"/>
              <w:rPr>
                <w:rFonts w:hint="eastAsia" w:ascii="仿宋_GB2312" w:hAnsi="仿宋_GB2312" w:eastAsia="仿宋_GB2312" w:cs="仿宋_GB2312"/>
                <w:kern w:val="2"/>
                <w:sz w:val="21"/>
                <w:szCs w:val="21"/>
                <w:lang w:val="en-US" w:eastAsia="zh-CN" w:bidi="ar-SA"/>
              </w:rPr>
            </w:pPr>
          </w:p>
        </w:tc>
        <w:tc>
          <w:tcPr>
            <w:tcW w:w="3813" w:type="dxa"/>
            <w:tcBorders>
              <w:left w:val="single" w:color="auto" w:sz="4" w:space="0"/>
            </w:tcBorders>
            <w:noWrap w:val="0"/>
            <w:vAlign w:val="center"/>
          </w:tcPr>
          <w:p w14:paraId="6FA50933">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校医安排体检规范</w:t>
            </w:r>
          </w:p>
        </w:tc>
        <w:tc>
          <w:tcPr>
            <w:tcW w:w="4423" w:type="dxa"/>
            <w:tcBorders>
              <w:right w:val="single" w:color="auto" w:sz="4" w:space="0"/>
            </w:tcBorders>
            <w:noWrap w:val="0"/>
            <w:vAlign w:val="center"/>
          </w:tcPr>
          <w:p w14:paraId="54AC5436">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□满意         □不满意</w:t>
            </w:r>
          </w:p>
        </w:tc>
      </w:tr>
      <w:tr w14:paraId="45F0A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9" w:type="dxa"/>
            <w:tcBorders>
              <w:left w:val="single" w:color="auto" w:sz="4" w:space="0"/>
            </w:tcBorders>
            <w:noWrap w:val="0"/>
            <w:vAlign w:val="center"/>
          </w:tcPr>
          <w:p w14:paraId="24AFCCA7">
            <w:pPr>
              <w:pStyle w:val="2"/>
              <w:rPr>
                <w:rFonts w:hint="eastAsia" w:ascii="仿宋_GB2312" w:hAnsi="仿宋_GB2312" w:eastAsia="仿宋_GB2312" w:cs="仿宋_GB2312"/>
                <w:kern w:val="2"/>
                <w:sz w:val="21"/>
                <w:szCs w:val="21"/>
                <w:lang w:val="en-US" w:eastAsia="zh-CN" w:bidi="ar-SA"/>
              </w:rPr>
            </w:pPr>
          </w:p>
        </w:tc>
        <w:tc>
          <w:tcPr>
            <w:tcW w:w="3813" w:type="dxa"/>
            <w:tcBorders>
              <w:left w:val="single" w:color="auto" w:sz="4" w:space="0"/>
            </w:tcBorders>
            <w:noWrap w:val="0"/>
            <w:vAlign w:val="center"/>
          </w:tcPr>
          <w:p w14:paraId="484F64AC">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急救、日常伤病处置及时</w:t>
            </w:r>
          </w:p>
        </w:tc>
        <w:tc>
          <w:tcPr>
            <w:tcW w:w="4423" w:type="dxa"/>
            <w:tcBorders>
              <w:right w:val="single" w:color="auto" w:sz="4" w:space="0"/>
            </w:tcBorders>
            <w:noWrap w:val="0"/>
            <w:vAlign w:val="center"/>
          </w:tcPr>
          <w:p w14:paraId="3D6CDD0B">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□满意         □不满意</w:t>
            </w:r>
          </w:p>
        </w:tc>
      </w:tr>
      <w:tr w14:paraId="6E504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432" w:type="dxa"/>
            <w:gridSpan w:val="2"/>
            <w:tcBorders>
              <w:left w:val="single" w:color="auto" w:sz="4" w:space="0"/>
            </w:tcBorders>
            <w:noWrap w:val="0"/>
            <w:vAlign w:val="center"/>
          </w:tcPr>
          <w:p w14:paraId="10ECF7B9">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整体服务质量情况</w:t>
            </w:r>
          </w:p>
        </w:tc>
        <w:tc>
          <w:tcPr>
            <w:tcW w:w="4423" w:type="dxa"/>
            <w:tcBorders>
              <w:right w:val="single" w:color="auto" w:sz="4" w:space="0"/>
            </w:tcBorders>
            <w:noWrap w:val="0"/>
            <w:vAlign w:val="center"/>
          </w:tcPr>
          <w:p w14:paraId="35932DAF">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□满意          □不满意</w:t>
            </w:r>
          </w:p>
        </w:tc>
      </w:tr>
      <w:tr w14:paraId="29464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855" w:type="dxa"/>
            <w:gridSpan w:val="3"/>
            <w:tcBorders>
              <w:left w:val="single" w:color="auto" w:sz="4" w:space="0"/>
              <w:bottom w:val="single" w:color="auto" w:sz="4" w:space="0"/>
              <w:right w:val="single" w:color="auto" w:sz="4" w:space="0"/>
            </w:tcBorders>
            <w:noWrap w:val="0"/>
            <w:vAlign w:val="center"/>
          </w:tcPr>
          <w:p w14:paraId="346BE592">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主要问题及建议：</w:t>
            </w:r>
          </w:p>
          <w:p w14:paraId="3D77E903">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（可另附页）。              年     月    日</w:t>
            </w:r>
          </w:p>
        </w:tc>
      </w:tr>
    </w:tbl>
    <w:p w14:paraId="7738FCBC">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考核办法：</w:t>
      </w:r>
    </w:p>
    <w:p w14:paraId="1574A330">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（1）每年由后勤部门组织相关人员对物业管理和后勤服务进行考核。</w:t>
      </w:r>
    </w:p>
    <w:p w14:paraId="6B7A5B33">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（2）采用师生座谈、电话或问卷等调查方式，调查师生对物业管理和后勤服务服务的满意情况。</w:t>
      </w:r>
    </w:p>
    <w:p w14:paraId="42688E06">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（3）等级标准：年度考核得分90分及以上为优秀；80至89分为良好；70至79分为合格；70分以下为一般。</w:t>
      </w:r>
    </w:p>
    <w:p w14:paraId="01D056EB">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（4）第一年考核得分70分以下，约谈中标人负责人，并在考核后第一个月支付的物业服务费时一次性扣减5000元；第二年考核得分70分以下，在考核后第一个月支付的物业服务费时一次性扣减10000元。</w:t>
      </w:r>
    </w:p>
    <w:p w14:paraId="10CF5E02">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（5）将考核情况及时反馈至投标人，并报送学校分管校领导。</w:t>
      </w:r>
    </w:p>
    <w:p w14:paraId="0C978283">
      <w:pPr>
        <w:pStyle w:val="2"/>
        <w:rPr>
          <w:rFonts w:hint="eastAsia" w:ascii="Calibri" w:hAnsi="Calibri" w:eastAsia="宋体" w:cs="Times New Roman"/>
          <w:b/>
          <w:bCs/>
          <w:lang w:val="en-US" w:eastAsia="zh-CN"/>
        </w:rPr>
      </w:pPr>
      <w:r>
        <w:rPr>
          <w:rFonts w:hint="eastAsia" w:ascii="Calibri" w:hAnsi="Calibri" w:eastAsia="宋体" w:cs="Times New Roman"/>
          <w:b/>
          <w:bCs/>
          <w:lang w:val="en-US" w:eastAsia="zh-CN"/>
        </w:rPr>
        <w:t>（四）奖惩办法</w:t>
      </w:r>
    </w:p>
    <w:p w14:paraId="557AE763">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投标人需在4小时内处理师生一般报修投诉，非不可抗力原因超过4小时不处理或敷衍处理的，经采购人监管人员与投标人双方核查属实，每次扣减100元，不设上限；投标人需在8小时内处理师生报修投诉，非不可抗力原因超过8小时不处理或敷衍处理的，经监管人员与投标人双方核查属实，每次扣减200元，不设上限。上述扣减在当月物业管理和后勤服务服务费中扣除。</w:t>
      </w:r>
    </w:p>
    <w:p w14:paraId="13338CB1">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2.投标人在执行本合同中，因工作出色，能提供合理化建议并取得较大成效，或为挽回重大经济损失有特殊贡献，经采购人确认，可给予奖励。具体由采购人研究视具体情况决定。</w:t>
      </w:r>
    </w:p>
    <w:p w14:paraId="1DD91B26">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3.投标人工作人员违反管理规定受到有效投诉或由于投标人责任出现管理过错，采购人有权扣减投标人当月物业管理和后勤服务服务费（不含造成经济损失的赔偿），共分为 5 档，分别是：</w:t>
      </w:r>
    </w:p>
    <w:p w14:paraId="17ABA662">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（1）一般过错，扣减 500 元/次。包括但不仅限于以下过错：浪费水电资源、维修不及时、工作低效、人员无礼貌、形象差、卫生保洁不到位、完工后不及时清理现场、上班开小差、当班打瞌睡、上班干与工作无关事、脱岗、设备故障无及时报修等。</w:t>
      </w:r>
    </w:p>
    <w:p w14:paraId="624DAB33">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（2）较大过错，扣减1000 元/次。包括但不仅限于以下过错：不执行学校规章制度、教职工和学生发现指出存在的问题未及时整改、拾遗不报、缺岗但未造成采购人损失或不良影响、员工打架等。</w:t>
      </w:r>
    </w:p>
    <w:p w14:paraId="4853D7AE">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（3）较大过失，扣减 5000 元/次。包括但不仅限于以下情况：违反国家政策、法律、法规没有为员工购买“五险一金”或欠薪导致员工向采购人或其他相关部门投诉,因缺岗而造成采购人损失或不良影响，员工偷窃采购人财物，未经采购人同意处理变卖采购人物资或设备，出现事故或过错隐瞒不报,因检查、维护不到位，造成意外停水及停电事故等。</w:t>
      </w:r>
    </w:p>
    <w:p w14:paraId="1F3AD2D3">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（4）重大过错，扣减 10000 元/次。包括但不仅限于以下过错：失窃、事故、不正确操作规范等设备造成严重损失的。</w:t>
      </w:r>
    </w:p>
    <w:p w14:paraId="09382CC2">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（5）重大事故，由于投标人管理不善，致使发生财产重大损失或人员伤亡事故的，由投标人承担经济赔偿责任并追究投标人的法律责任，并终止合同，履约保证金不予退还。</w:t>
      </w:r>
    </w:p>
    <w:p w14:paraId="75D8DDA9">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4.上述物业管理和后勤服务服务费扣减涉及的投诉类型、过错大小、事故性质、有效性的确定由双方另行协商予以明确，个别投诉事项可以具体个案具体明确，有分歧异议的，以采购人的意见为准。</w:t>
      </w:r>
    </w:p>
    <w:p w14:paraId="58C90D6B">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5.无条件退出。有下列情况之一者，属投标人违约采购人有权单方面解除合同，投标人无条件退出，其履约保证金不予退还。</w:t>
      </w:r>
    </w:p>
    <w:p w14:paraId="7BFB1810">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（1）在合同执行后每12个月每月考核平均分不及格（平均分低于 80 分）次数累计达到三次的, 投标人无条件退出，其履约保证金不予退还；当月考评成绩小于或等于55分的为“严重违约”，投标人无条件退出，其履约保证金不予退还。</w:t>
      </w:r>
    </w:p>
    <w:p w14:paraId="67103411">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（2）因管理或服务不当，未能达到本合同约定的管理目标，造成采购人不能进行正常的教学、科研和生活等活动的；</w:t>
      </w:r>
    </w:p>
    <w:p w14:paraId="46501DE1">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（3）因管理或服务不当发生重大安全责任事故，造成采购人直接经济损失10万元以上或致采购人人员二级伤残1人以上事件的；</w:t>
      </w:r>
    </w:p>
    <w:p w14:paraId="3A76C4F6">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（4）因管理或服务不当，引发的学生大规模集体静坐、游行等群体事件的；</w:t>
      </w:r>
    </w:p>
    <w:p w14:paraId="25BBD9C3">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（5）因违反国家政策、法律、法规，引发本单位发员工集体辞工、打架、上访等群发事件的；</w:t>
      </w:r>
    </w:p>
    <w:p w14:paraId="21C2374B">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（6）擅自转包、分包，或以任何其它形式与第三方进行合作的；</w:t>
      </w:r>
    </w:p>
    <w:p w14:paraId="672F67F4">
      <w:pPr>
        <w:pStyle w:val="2"/>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（7）每年有效投诉满30次或以上的。</w:t>
      </w:r>
    </w:p>
    <w:p w14:paraId="62D26060">
      <w:pPr>
        <w:pStyle w:val="2"/>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val="en-US" w:eastAsia="zh-CN"/>
        </w:rPr>
        <w:t>六、</w:t>
      </w:r>
      <w:r>
        <w:rPr>
          <w:rFonts w:hint="eastAsia" w:ascii="仿宋_GB2312" w:hAnsi="仿宋_GB2312" w:eastAsia="仿宋_GB2312" w:cs="仿宋_GB2312"/>
          <w:b/>
          <w:bCs/>
          <w:sz w:val="21"/>
          <w:szCs w:val="21"/>
          <w:lang w:eastAsia="zh-CN"/>
        </w:rPr>
        <w:t>付款方式</w:t>
      </w:r>
    </w:p>
    <w:p w14:paraId="4896A1AB">
      <w:pPr>
        <w:pStyle w:val="2"/>
      </w:pPr>
      <w:r>
        <w:rPr>
          <w:rFonts w:hint="eastAsia" w:ascii="仿宋_GB2312" w:hAnsi="仿宋_GB2312" w:eastAsia="仿宋_GB2312" w:cs="仿宋_GB2312"/>
          <w:sz w:val="21"/>
          <w:szCs w:val="21"/>
          <w:lang w:eastAsia="zh-CN"/>
        </w:rPr>
        <w:t>（一）第一部分为预付款部分：合同签订后30天内中标投标人应向采购人提供有效发票。采购人收到投标人提供的有效发票后，应在15日内将按一年合同金额的30%支付给中标投标人。第二部分为月结款部分：余下的70%合同金额将按月结形式，投标人履行合同满1个月后，应在次月15日前提供有效发票。采购人将在收到发票的15日内支付上月服务款给中标投标人。服务款项以支票形式或转帐方式支付。</w:t>
      </w:r>
    </w:p>
    <w:p w14:paraId="719680FA">
      <w:pPr>
        <w:adjustRightInd w:val="0"/>
        <w:snapToGrid w:val="0"/>
        <w:spacing w:line="360" w:lineRule="auto"/>
        <w:jc w:val="center"/>
        <w:rPr>
          <w:rFonts w:hint="eastAsia" w:ascii="宋体" w:hAnsi="宋体" w:cs="宋体"/>
          <w:b/>
          <w:bCs/>
          <w:sz w:val="36"/>
          <w:szCs w:val="36"/>
        </w:rPr>
      </w:pPr>
      <w:r>
        <w:rPr>
          <w:rFonts w:hint="eastAsia" w:ascii="宋体" w:hAnsi="宋体" w:cs="宋体"/>
          <w:b/>
          <w:bCs/>
          <w:sz w:val="36"/>
          <w:szCs w:val="36"/>
        </w:rPr>
        <w:t>项目质量</w:t>
      </w:r>
    </w:p>
    <w:p w14:paraId="294352FE">
      <w:pPr>
        <w:adjustRightInd w:val="0"/>
        <w:snapToGrid w:val="0"/>
        <w:spacing w:line="360" w:lineRule="auto"/>
        <w:ind w:firstLine="480" w:firstLineChars="200"/>
        <w:rPr>
          <w:rFonts w:hint="eastAsia" w:ascii="宋体" w:hAnsi="宋体" w:cs="宋体"/>
          <w:bCs/>
          <w:sz w:val="24"/>
        </w:rPr>
      </w:pPr>
      <w:r>
        <w:rPr>
          <w:rFonts w:hint="eastAsia" w:ascii="宋体" w:hAnsi="宋体" w:cs="宋体"/>
          <w:bCs/>
          <w:sz w:val="24"/>
        </w:rPr>
        <w:t>1.由于设备、设施的缺陷而预期会带来的安全隐患，中标人应及时告知采购人，否则由此引发的安全事故或财产损失由投标人负全责。</w:t>
      </w:r>
    </w:p>
    <w:p w14:paraId="4B0B9138">
      <w:pPr>
        <w:adjustRightInd w:val="0"/>
        <w:snapToGrid w:val="0"/>
        <w:spacing w:line="360" w:lineRule="auto"/>
        <w:ind w:firstLine="480" w:firstLineChars="200"/>
        <w:rPr>
          <w:rFonts w:hint="eastAsia" w:ascii="宋体" w:hAnsi="宋体" w:cs="宋体"/>
          <w:bCs/>
          <w:sz w:val="24"/>
        </w:rPr>
      </w:pPr>
      <w:r>
        <w:rPr>
          <w:rFonts w:hint="eastAsia" w:ascii="宋体" w:hAnsi="宋体" w:cs="宋体"/>
          <w:bCs/>
          <w:sz w:val="24"/>
        </w:rPr>
        <w:t>2.中标人没有尽责管理保养维护设备设施而造成安全事故或是财产损失，由投标人负全责。</w:t>
      </w:r>
    </w:p>
    <w:p w14:paraId="7FD60082">
      <w:pPr>
        <w:adjustRightInd w:val="0"/>
        <w:snapToGrid w:val="0"/>
        <w:spacing w:line="360" w:lineRule="auto"/>
        <w:ind w:firstLine="480" w:firstLineChars="200"/>
        <w:rPr>
          <w:rFonts w:hint="eastAsia" w:ascii="宋体" w:hAnsi="宋体" w:cs="宋体"/>
          <w:kern w:val="0"/>
          <w:sz w:val="24"/>
        </w:rPr>
      </w:pPr>
      <w:r>
        <w:rPr>
          <w:rFonts w:hint="eastAsia" w:ascii="宋体" w:hAnsi="宋体" w:cs="宋体"/>
          <w:bCs/>
          <w:sz w:val="24"/>
        </w:rPr>
        <w:t>3.</w:t>
      </w:r>
      <w:r>
        <w:rPr>
          <w:rFonts w:hint="eastAsia" w:ascii="宋体" w:hAnsi="宋体" w:cs="宋体"/>
          <w:sz w:val="24"/>
        </w:rPr>
        <w:t>合同期限内，发生与本项目相关的任何突发和应急事件，中标人须在学校要求的时间内按要求完成。</w:t>
      </w:r>
    </w:p>
    <w:p w14:paraId="0AC4E145">
      <w:pPr>
        <w:pStyle w:val="5"/>
        <w:spacing w:before="0" w:after="0" w:line="360" w:lineRule="auto"/>
        <w:jc w:val="center"/>
        <w:rPr>
          <w:rFonts w:ascii="宋体" w:hAnsi="宋体" w:eastAsia="宋体" w:cs="宋体"/>
          <w:b w:val="0"/>
          <w:bCs w:val="0"/>
          <w:sz w:val="36"/>
          <w:szCs w:val="36"/>
        </w:rPr>
      </w:pPr>
      <w:r>
        <w:rPr>
          <w:rFonts w:hint="eastAsia" w:ascii="宋体" w:hAnsi="宋体" w:eastAsia="宋体" w:cs="宋体"/>
          <w:sz w:val="36"/>
          <w:szCs w:val="36"/>
        </w:rPr>
        <w:t>项目执行</w:t>
      </w:r>
    </w:p>
    <w:p w14:paraId="55D27AA9">
      <w:pPr>
        <w:adjustRightInd w:val="0"/>
        <w:snapToGrid w:val="0"/>
        <w:spacing w:line="360" w:lineRule="auto"/>
        <w:ind w:firstLine="480" w:firstLineChars="200"/>
        <w:rPr>
          <w:rFonts w:hint="eastAsia" w:ascii="宋体" w:hAnsi="宋体"/>
          <w:bCs/>
          <w:sz w:val="24"/>
        </w:rPr>
      </w:pPr>
      <w:r>
        <w:rPr>
          <w:rFonts w:hint="eastAsia" w:ascii="宋体" w:hAnsi="宋体"/>
          <w:bCs/>
          <w:sz w:val="24"/>
        </w:rPr>
        <w:t>1、服务时间（项目工期）：合同签订之日起服务期</w:t>
      </w:r>
      <w:r>
        <w:rPr>
          <w:rFonts w:hint="eastAsia" w:ascii="宋体" w:hAnsi="宋体"/>
          <w:bCs/>
          <w:sz w:val="24"/>
          <w:lang w:val="en-US" w:eastAsia="zh-CN"/>
        </w:rPr>
        <w:t>三</w:t>
      </w:r>
      <w:r>
        <w:rPr>
          <w:rFonts w:hint="eastAsia" w:ascii="宋体" w:hAnsi="宋体"/>
          <w:bCs/>
          <w:sz w:val="24"/>
        </w:rPr>
        <w:t>年。</w:t>
      </w:r>
    </w:p>
    <w:p w14:paraId="3A019B96">
      <w:pPr>
        <w:adjustRightInd w:val="0"/>
        <w:snapToGrid w:val="0"/>
        <w:spacing w:line="360" w:lineRule="auto"/>
        <w:ind w:firstLine="480" w:firstLineChars="200"/>
        <w:rPr>
          <w:rFonts w:ascii="宋体" w:hAnsi="宋体"/>
          <w:bCs/>
          <w:sz w:val="24"/>
        </w:rPr>
      </w:pPr>
      <w:r>
        <w:rPr>
          <w:rFonts w:hint="eastAsia" w:ascii="宋体" w:hAnsi="宋体"/>
          <w:bCs/>
          <w:sz w:val="24"/>
        </w:rPr>
        <w:t>2、服务地点（项目地点）： 奎屯市第</w:t>
      </w:r>
      <w:r>
        <w:rPr>
          <w:rFonts w:hint="eastAsia" w:ascii="宋体" w:hAnsi="宋体"/>
          <w:bCs/>
          <w:sz w:val="24"/>
          <w:lang w:eastAsia="zh-CN"/>
        </w:rPr>
        <w:t>七中学、第</w:t>
      </w:r>
      <w:r>
        <w:rPr>
          <w:rFonts w:hint="eastAsia" w:ascii="宋体" w:hAnsi="宋体"/>
          <w:bCs/>
          <w:sz w:val="24"/>
        </w:rPr>
        <w:t>八中学</w:t>
      </w:r>
    </w:p>
    <w:p w14:paraId="07B7FBDF">
      <w:pPr>
        <w:adjustRightInd w:val="0"/>
        <w:snapToGrid w:val="0"/>
        <w:spacing w:line="360" w:lineRule="auto"/>
        <w:ind w:firstLine="480" w:firstLineChars="200"/>
        <w:rPr>
          <w:rFonts w:hint="eastAsia" w:ascii="宋体" w:hAnsi="宋体"/>
          <w:bCs/>
          <w:sz w:val="24"/>
        </w:rPr>
      </w:pPr>
      <w:r>
        <w:rPr>
          <w:rFonts w:hint="eastAsia" w:ascii="宋体" w:hAnsi="宋体"/>
          <w:bCs/>
          <w:sz w:val="24"/>
        </w:rPr>
        <w:t xml:space="preserve">3、违约责任及争议解决方式：所发生的或与合同有关的一切争议，甲、乙双方应通过友好协商解决；如果协商不能解决，双方均可向甲方所在地人民法院提起诉讼，为实现上述债权所产生的诉讼费、律师费、交通费等费用由违约方承担。  </w:t>
      </w:r>
    </w:p>
    <w:p w14:paraId="57C274CC">
      <w:pPr>
        <w:pStyle w:val="54"/>
        <w:widowControl w:val="0"/>
        <w:autoSpaceDE w:val="0"/>
        <w:autoSpaceDN w:val="0"/>
        <w:spacing w:before="0" w:after="0" w:line="360" w:lineRule="auto"/>
        <w:ind w:firstLine="480" w:firstLineChars="200"/>
        <w:jc w:val="left"/>
        <w:rPr>
          <w:rFonts w:hint="eastAsia" w:ascii="宋体" w:hAnsi="宋体" w:eastAsia="宋体" w:cs="宋体"/>
          <w:sz w:val="24"/>
          <w:szCs w:val="24"/>
          <w:lang w:val="en-US" w:eastAsia="zh-CN"/>
        </w:rPr>
      </w:pPr>
    </w:p>
    <w:p w14:paraId="7C6A4E49">
      <w:pPr>
        <w:pStyle w:val="44"/>
        <w:widowControl/>
        <w:snapToGrid w:val="0"/>
        <w:spacing w:line="360" w:lineRule="auto"/>
        <w:ind w:right="-506" w:rightChars="-241" w:firstLine="0" w:firstLineChars="0"/>
        <w:jc w:val="right"/>
        <w:rPr>
          <w:rFonts w:hint="eastAsia" w:ascii="宋体" w:hAnsi="宋体" w:cs="宋体"/>
          <w:sz w:val="28"/>
          <w:szCs w:val="28"/>
        </w:rPr>
      </w:pPr>
    </w:p>
    <w:p w14:paraId="3ABE93CD">
      <w:pPr>
        <w:pStyle w:val="44"/>
        <w:widowControl/>
        <w:snapToGrid w:val="0"/>
        <w:spacing w:line="360" w:lineRule="auto"/>
        <w:ind w:right="-506" w:rightChars="-241" w:firstLine="0" w:firstLineChars="0"/>
        <w:jc w:val="right"/>
        <w:rPr>
          <w:rFonts w:hint="eastAsia" w:ascii="宋体" w:hAnsi="宋体" w:cs="宋体"/>
          <w:sz w:val="28"/>
          <w:szCs w:val="28"/>
        </w:rPr>
      </w:pPr>
    </w:p>
    <w:p w14:paraId="722CBEB0">
      <w:pPr>
        <w:pStyle w:val="9"/>
        <w:rPr>
          <w:rFonts w:hint="eastAsia"/>
        </w:rPr>
      </w:pPr>
    </w:p>
    <w:p w14:paraId="39F6109D">
      <w:pPr>
        <w:pStyle w:val="2"/>
        <w:rPr>
          <w:rFonts w:hint="eastAsia"/>
          <w:lang w:eastAsia="zh-CN"/>
        </w:rPr>
      </w:pPr>
    </w:p>
    <w:p w14:paraId="4511FB67">
      <w:pPr>
        <w:pStyle w:val="2"/>
        <w:rPr>
          <w:rFonts w:hint="eastAsia"/>
          <w:lang w:eastAsia="zh-CN"/>
        </w:rPr>
      </w:pPr>
    </w:p>
    <w:p w14:paraId="0DAC50CD">
      <w:pPr>
        <w:pStyle w:val="2"/>
        <w:rPr>
          <w:rFonts w:hint="eastAsia"/>
          <w:lang w:eastAsia="zh-CN"/>
        </w:rPr>
      </w:pPr>
    </w:p>
    <w:p w14:paraId="1684D795">
      <w:pPr>
        <w:pStyle w:val="2"/>
        <w:rPr>
          <w:rFonts w:hint="eastAsia"/>
          <w:lang w:eastAsia="zh-CN"/>
        </w:rPr>
      </w:pPr>
    </w:p>
    <w:p w14:paraId="0919242B">
      <w:pPr>
        <w:pStyle w:val="2"/>
        <w:rPr>
          <w:rFonts w:hint="eastAsia"/>
          <w:lang w:eastAsia="zh-CN"/>
        </w:rPr>
      </w:pPr>
    </w:p>
    <w:p w14:paraId="2556408A">
      <w:pPr>
        <w:pStyle w:val="2"/>
        <w:rPr>
          <w:rFonts w:hint="eastAsia"/>
          <w:lang w:eastAsia="zh-CN"/>
        </w:rPr>
      </w:pPr>
    </w:p>
    <w:p w14:paraId="6714A2CB">
      <w:pPr>
        <w:pStyle w:val="2"/>
        <w:rPr>
          <w:rFonts w:hint="eastAsia"/>
          <w:lang w:eastAsia="zh-CN"/>
        </w:rPr>
      </w:pPr>
    </w:p>
    <w:p w14:paraId="568CF477">
      <w:pPr>
        <w:pStyle w:val="2"/>
        <w:rPr>
          <w:rFonts w:hint="eastAsia"/>
          <w:lang w:eastAsia="zh-CN"/>
        </w:rPr>
      </w:pPr>
    </w:p>
    <w:p w14:paraId="3D28406D">
      <w:pPr>
        <w:pStyle w:val="2"/>
        <w:rPr>
          <w:rFonts w:hint="eastAsia"/>
          <w:lang w:eastAsia="zh-CN"/>
        </w:rPr>
      </w:pPr>
    </w:p>
    <w:p w14:paraId="4858E7AF">
      <w:pPr>
        <w:pStyle w:val="2"/>
        <w:rPr>
          <w:rFonts w:hint="eastAsia"/>
          <w:lang w:eastAsia="zh-CN"/>
        </w:rPr>
      </w:pPr>
    </w:p>
    <w:p w14:paraId="0D2E1D68">
      <w:pPr>
        <w:pStyle w:val="2"/>
        <w:rPr>
          <w:rFonts w:hint="eastAsia"/>
          <w:lang w:eastAsia="zh-CN"/>
        </w:rPr>
      </w:pPr>
    </w:p>
    <w:p w14:paraId="611BCF83">
      <w:pPr>
        <w:pStyle w:val="2"/>
        <w:rPr>
          <w:rFonts w:hint="eastAsia"/>
          <w:lang w:eastAsia="zh-CN"/>
        </w:rPr>
      </w:pPr>
    </w:p>
    <w:p w14:paraId="631A7633">
      <w:pPr>
        <w:pStyle w:val="2"/>
        <w:rPr>
          <w:rFonts w:hint="eastAsia"/>
          <w:lang w:eastAsia="zh-CN"/>
        </w:rPr>
      </w:pPr>
    </w:p>
    <w:p w14:paraId="3B6E6D08">
      <w:pPr>
        <w:pStyle w:val="3"/>
        <w:snapToGrid w:val="0"/>
        <w:spacing w:before="0" w:after="0" w:line="240" w:lineRule="auto"/>
        <w:jc w:val="center"/>
        <w:rPr>
          <w:rFonts w:ascii="仿宋_GB2312" w:hAnsi="仿宋_GB2312" w:eastAsia="仿宋_GB2312" w:cs="仿宋_GB2312"/>
        </w:rPr>
      </w:pPr>
      <w:bookmarkStart w:id="114" w:name="_Toc8241"/>
      <w:bookmarkStart w:id="115" w:name="_Toc8062"/>
      <w:r>
        <w:rPr>
          <w:rFonts w:hint="eastAsia" w:ascii="仿宋_GB2312" w:hAnsi="仿宋_GB2312" w:eastAsia="仿宋_GB2312" w:cs="仿宋_GB2312"/>
        </w:rPr>
        <w:t>第四章 评标方法</w:t>
      </w:r>
      <w:bookmarkEnd w:id="109"/>
      <w:bookmarkEnd w:id="114"/>
      <w:bookmarkEnd w:id="115"/>
    </w:p>
    <w:p w14:paraId="41155BB9">
      <w:pPr>
        <w:adjustRightInd w:val="0"/>
        <w:snapToGrid w:val="0"/>
        <w:spacing w:line="360" w:lineRule="auto"/>
        <w:ind w:firstLine="420" w:firstLineChars="200"/>
        <w:rPr>
          <w:rFonts w:ascii="仿宋_GB2312" w:hAnsi="仿宋_GB2312" w:eastAsia="仿宋_GB2312" w:cs="仿宋_GB2312"/>
          <w:b/>
          <w:kern w:val="0"/>
          <w:szCs w:val="21"/>
        </w:rPr>
      </w:pPr>
      <w:r>
        <w:rPr>
          <w:rFonts w:hint="eastAsia" w:ascii="仿宋_GB2312" w:hAnsi="仿宋_GB2312" w:eastAsia="仿宋_GB2312" w:cs="仿宋_GB2312"/>
          <w:bCs/>
          <w:kern w:val="0"/>
          <w:szCs w:val="21"/>
        </w:rPr>
        <w:t>本项目将按照招标文件第一章投标人须知中“六 开标及评标”、“七 确定中标”及本章的规定评标。</w:t>
      </w:r>
    </w:p>
    <w:p w14:paraId="48959FF9">
      <w:pPr>
        <w:adjustRightInd w:val="0"/>
        <w:snapToGrid w:val="0"/>
        <w:spacing w:line="360" w:lineRule="auto"/>
        <w:ind w:firstLine="420" w:firstLineChars="200"/>
        <w:rPr>
          <w:rFonts w:ascii="仿宋_GB2312" w:hAnsi="仿宋_GB2312" w:eastAsia="仿宋_GB2312" w:cs="仿宋_GB2312"/>
          <w:b/>
          <w:kern w:val="0"/>
          <w:szCs w:val="21"/>
        </w:rPr>
      </w:pPr>
      <w:bookmarkStart w:id="116" w:name="_Toc22313_WPSOffice_Level2"/>
      <w:r>
        <w:rPr>
          <w:rFonts w:hint="eastAsia" w:ascii="仿宋_GB2312" w:hAnsi="仿宋_GB2312" w:eastAsia="仿宋_GB2312" w:cs="仿宋_GB2312"/>
          <w:b/>
          <w:kern w:val="0"/>
          <w:szCs w:val="21"/>
        </w:rPr>
        <w:t>一、评标方法</w:t>
      </w:r>
      <w:bookmarkEnd w:id="116"/>
    </w:p>
    <w:p w14:paraId="40D1B9E5">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本项目采用</w:t>
      </w:r>
      <w:r>
        <w:rPr>
          <w:rFonts w:hint="eastAsia" w:ascii="仿宋_GB2312" w:hAnsi="仿宋_GB2312" w:eastAsia="仿宋_GB2312" w:cs="仿宋_GB2312"/>
          <w:kern w:val="0"/>
          <w:szCs w:val="21"/>
          <w:u w:val="single"/>
        </w:rPr>
        <w:t>综合评分法</w:t>
      </w:r>
      <w:r>
        <w:rPr>
          <w:rFonts w:hint="eastAsia" w:ascii="仿宋_GB2312" w:hAnsi="仿宋_GB2312" w:eastAsia="仿宋_GB2312" w:cs="仿宋_GB2312"/>
          <w:kern w:val="0"/>
          <w:szCs w:val="21"/>
        </w:rPr>
        <w:t>进行评标。</w:t>
      </w:r>
    </w:p>
    <w:p w14:paraId="28351699">
      <w:pPr>
        <w:adjustRightInd w:val="0"/>
        <w:snapToGrid w:val="0"/>
        <w:spacing w:line="360" w:lineRule="auto"/>
        <w:ind w:firstLine="420" w:firstLineChars="200"/>
        <w:textAlignment w:val="baseline"/>
        <w:rPr>
          <w:rFonts w:ascii="仿宋_GB2312" w:hAnsi="仿宋_GB2312" w:eastAsia="仿宋_GB2312" w:cs="仿宋_GB2312"/>
          <w:b/>
          <w:kern w:val="0"/>
          <w:szCs w:val="21"/>
        </w:rPr>
      </w:pPr>
      <w:bookmarkStart w:id="117" w:name="_Toc21368_WPSOffice_Level2"/>
      <w:r>
        <w:rPr>
          <w:rFonts w:hint="eastAsia" w:ascii="仿宋_GB2312" w:hAnsi="仿宋_GB2312" w:eastAsia="仿宋_GB2312" w:cs="仿宋_GB2312"/>
          <w:b/>
          <w:kern w:val="0"/>
          <w:szCs w:val="21"/>
        </w:rPr>
        <w:t>二、评标原则及程序</w:t>
      </w:r>
      <w:bookmarkEnd w:id="117"/>
    </w:p>
    <w:p w14:paraId="11132D23">
      <w:pPr>
        <w:adjustRightInd w:val="0"/>
        <w:snapToGrid w:val="0"/>
        <w:spacing w:line="360" w:lineRule="auto"/>
        <w:ind w:firstLine="420"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（一）评标原则</w:t>
      </w:r>
    </w:p>
    <w:p w14:paraId="4250F883">
      <w:pPr>
        <w:adjustRightInd w:val="0"/>
        <w:snapToGrid w:val="0"/>
        <w:spacing w:line="360" w:lineRule="auto"/>
        <w:ind w:firstLine="420"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14:paraId="113237EB">
      <w:pPr>
        <w:adjustRightInd w:val="0"/>
        <w:snapToGrid w:val="0"/>
        <w:spacing w:line="360" w:lineRule="auto"/>
        <w:ind w:firstLine="420"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（二）评标程序</w:t>
      </w:r>
    </w:p>
    <w:p w14:paraId="0C2E060F">
      <w:pPr>
        <w:adjustRightInd w:val="0"/>
        <w:snapToGrid w:val="0"/>
        <w:spacing w:line="360" w:lineRule="auto"/>
        <w:ind w:firstLine="420"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★1、资格审查</w:t>
      </w:r>
    </w:p>
    <w:p w14:paraId="7AD30C0F">
      <w:pPr>
        <w:adjustRightInd w:val="0"/>
        <w:snapToGrid w:val="0"/>
        <w:spacing w:line="360" w:lineRule="auto"/>
        <w:ind w:firstLine="420" w:firstLineChars="200"/>
        <w:textAlignment w:val="baseline"/>
        <w:rPr>
          <w:rFonts w:ascii="仿宋_GB2312" w:hAnsi="仿宋_GB2312" w:eastAsia="仿宋_GB2312" w:cs="仿宋_GB2312"/>
          <w:kern w:val="0"/>
          <w:szCs w:val="21"/>
        </w:rPr>
      </w:pPr>
      <w:r>
        <w:rPr>
          <w:rFonts w:hint="eastAsia" w:ascii="仿宋_GB2312" w:hAnsi="仿宋_GB2312" w:eastAsia="仿宋_GB2312" w:cs="仿宋_GB2312"/>
          <w:kern w:val="0"/>
          <w:szCs w:val="21"/>
        </w:rPr>
        <w:t>1.1详见投标人须知22条。资格审查表详见本章附件1。</w:t>
      </w:r>
    </w:p>
    <w:p w14:paraId="59AFFFB8">
      <w:pPr>
        <w:adjustRightInd w:val="0"/>
        <w:snapToGrid w:val="0"/>
        <w:spacing w:line="360" w:lineRule="auto"/>
        <w:ind w:firstLine="420"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w:t>
      </w:r>
      <w:r>
        <w:rPr>
          <w:rFonts w:hint="eastAsia" w:ascii="仿宋_GB2312" w:hAnsi="仿宋_GB2312" w:eastAsia="仿宋_GB2312" w:cs="仿宋_GB2312"/>
          <w:b/>
          <w:bCs/>
          <w:kern w:val="0"/>
          <w:szCs w:val="21"/>
        </w:rPr>
        <w:t>2、符合性审查</w:t>
      </w:r>
    </w:p>
    <w:p w14:paraId="0980D6DF">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2.1详见投标人须知23条。符合性审查表详见本章附件2。</w:t>
      </w:r>
    </w:p>
    <w:p w14:paraId="299CDD0A">
      <w:pPr>
        <w:adjustRightInd w:val="0"/>
        <w:snapToGrid w:val="0"/>
        <w:spacing w:line="360" w:lineRule="auto"/>
        <w:ind w:firstLine="420"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3、样品及演示</w:t>
      </w:r>
    </w:p>
    <w:p w14:paraId="61BC264E">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3.1</w:t>
      </w:r>
      <w:r>
        <w:rPr>
          <w:rFonts w:hint="eastAsia" w:ascii="仿宋_GB2312" w:hAnsi="仿宋_GB2312" w:eastAsia="仿宋_GB2312" w:cs="仿宋_GB2312"/>
          <w:kern w:val="0"/>
          <w:szCs w:val="21"/>
        </w:rPr>
        <w:t>投标人须知表11.3条</w:t>
      </w:r>
      <w:r>
        <w:rPr>
          <w:rFonts w:hint="eastAsia" w:ascii="仿宋_GB2312" w:hAnsi="仿宋_GB2312" w:eastAsia="仿宋_GB2312" w:cs="仿宋_GB2312"/>
          <w:szCs w:val="21"/>
        </w:rPr>
        <w:t>中要求投标人提供样品或演示的，按照</w:t>
      </w:r>
      <w:r>
        <w:rPr>
          <w:rFonts w:hint="eastAsia" w:ascii="仿宋_GB2312" w:hAnsi="仿宋_GB2312" w:eastAsia="仿宋_GB2312" w:cs="仿宋_GB2312"/>
          <w:kern w:val="0"/>
          <w:szCs w:val="21"/>
        </w:rPr>
        <w:t>投标人须知表25.1条</w:t>
      </w:r>
      <w:r>
        <w:rPr>
          <w:rFonts w:hint="eastAsia" w:ascii="仿宋_GB2312" w:hAnsi="仿宋_GB2312" w:eastAsia="仿宋_GB2312" w:cs="仿宋_GB2312"/>
          <w:szCs w:val="21"/>
        </w:rPr>
        <w:t>中确定的评审方法以及评审标准进行评审。(样品或演示属于符合性审查的，按照</w:t>
      </w:r>
      <w:r>
        <w:rPr>
          <w:rFonts w:hint="eastAsia" w:ascii="仿宋_GB2312" w:hAnsi="仿宋_GB2312" w:eastAsia="仿宋_GB2312" w:cs="仿宋_GB2312"/>
          <w:kern w:val="0"/>
          <w:szCs w:val="21"/>
        </w:rPr>
        <w:t>投标人须知23条</w:t>
      </w:r>
      <w:r>
        <w:rPr>
          <w:rFonts w:hint="eastAsia" w:ascii="仿宋_GB2312" w:hAnsi="仿宋_GB2312" w:eastAsia="仿宋_GB2312" w:cs="仿宋_GB2312"/>
          <w:szCs w:val="21"/>
        </w:rPr>
        <w:t>规定执行）</w:t>
      </w:r>
    </w:p>
    <w:p w14:paraId="72B1273A">
      <w:pPr>
        <w:adjustRightInd w:val="0"/>
        <w:snapToGrid w:val="0"/>
        <w:spacing w:line="360" w:lineRule="auto"/>
        <w:ind w:firstLine="420"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★4</w:t>
      </w:r>
      <w:r>
        <w:rPr>
          <w:rFonts w:hint="eastAsia" w:ascii="仿宋_GB2312" w:hAnsi="仿宋_GB2312" w:eastAsia="仿宋_GB2312" w:cs="仿宋_GB2312"/>
          <w:b/>
          <w:bCs/>
          <w:kern w:val="0"/>
          <w:szCs w:val="21"/>
        </w:rPr>
        <w:t>、比较及评价</w:t>
      </w:r>
    </w:p>
    <w:p w14:paraId="6DC1BE99">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5.1评标委员会对通过符合性审查的投标文件进行比较和评价。</w:t>
      </w:r>
    </w:p>
    <w:p w14:paraId="60DCDB99">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5.2在评标期间，对投标文件的澄清按投标人须知24条内容执行。</w:t>
      </w:r>
    </w:p>
    <w:p w14:paraId="64C52B84">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5.3评标委员会认为投标人的报价明显低于其他通过符合性审查的投标人报价，有可能影响服务质量或者不能诚信履约的，评标委员会应当要求其在评标现场合理的时间（</w:t>
      </w:r>
      <w:r>
        <w:rPr>
          <w:rFonts w:hint="eastAsia" w:ascii="仿宋_GB2312" w:hAnsi="仿宋_GB2312" w:eastAsia="仿宋_GB2312" w:cs="仿宋_GB2312"/>
          <w:kern w:val="0"/>
          <w:szCs w:val="21"/>
        </w:rPr>
        <w:t>接到通知后</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小时</w:t>
      </w:r>
      <w:r>
        <w:rPr>
          <w:rFonts w:hint="eastAsia" w:ascii="仿宋_GB2312" w:hAnsi="仿宋_GB2312" w:eastAsia="仿宋_GB2312" w:cs="仿宋_GB2312"/>
          <w:szCs w:val="21"/>
        </w:rPr>
        <w:t>）内提供书面说明，并提交相关证明材料，</w:t>
      </w:r>
      <w:r>
        <w:rPr>
          <w:rFonts w:hint="eastAsia" w:ascii="仿宋_GB2312" w:hAnsi="仿宋_GB2312" w:eastAsia="仿宋_GB2312" w:cs="仿宋_GB2312"/>
          <w:kern w:val="0"/>
          <w:szCs w:val="21"/>
        </w:rPr>
        <w:t>投标人不能证明其报价合理性的，评标委员会应当将</w:t>
      </w:r>
      <w:r>
        <w:rPr>
          <w:rFonts w:hint="eastAsia" w:ascii="仿宋_GB2312" w:hAnsi="仿宋_GB2312" w:eastAsia="仿宋_GB2312" w:cs="仿宋_GB2312"/>
          <w:szCs w:val="21"/>
        </w:rPr>
        <w:t>其投标作为</w:t>
      </w:r>
      <w:r>
        <w:rPr>
          <w:rFonts w:hint="eastAsia" w:ascii="仿宋_GB2312" w:hAnsi="仿宋_GB2312" w:eastAsia="仿宋_GB2312" w:cs="仿宋_GB2312"/>
          <w:b/>
          <w:bCs/>
          <w:szCs w:val="21"/>
        </w:rPr>
        <w:t>无效投标处理</w:t>
      </w:r>
      <w:r>
        <w:rPr>
          <w:rFonts w:hint="eastAsia" w:ascii="仿宋_GB2312" w:hAnsi="仿宋_GB2312" w:eastAsia="仿宋_GB2312" w:cs="仿宋_GB2312"/>
          <w:szCs w:val="21"/>
        </w:rPr>
        <w:t>。</w:t>
      </w:r>
    </w:p>
    <w:p w14:paraId="208B6667">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投标人的书面说明材料包含服务本身成本、人工费用、运输、税收等，以及报价不会影响服务质量或诚信履约能力的说明等。</w:t>
      </w:r>
    </w:p>
    <w:p w14:paraId="247FFA7D">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投标人的书面说明应当签字确认或者加盖公章，否则无效。书面说明的签字确认，由其法定代表人（非法人单位负责人或自然人本人）或者其授权代表签字确认。</w:t>
      </w:r>
    </w:p>
    <w:p w14:paraId="58A72FFB">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14:paraId="7B4C2DCF">
      <w:pPr>
        <w:numPr>
          <w:ilvl w:val="0"/>
          <w:numId w:val="8"/>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拒绝或者变相拒绝提供有效书面说明；</w:t>
      </w:r>
    </w:p>
    <w:p w14:paraId="1954177B">
      <w:pPr>
        <w:numPr>
          <w:ilvl w:val="0"/>
          <w:numId w:val="8"/>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书面说明不能证明其报价合理性的；</w:t>
      </w:r>
    </w:p>
    <w:p w14:paraId="4BEE94C6">
      <w:pPr>
        <w:numPr>
          <w:ilvl w:val="0"/>
          <w:numId w:val="8"/>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未在规定时间内递交有效书面说明书的。</w:t>
      </w:r>
    </w:p>
    <w:p w14:paraId="3CAD482B">
      <w:pPr>
        <w:adjustRightInd w:val="0"/>
        <w:snapToGrid w:val="0"/>
        <w:spacing w:line="360" w:lineRule="auto"/>
        <w:ind w:firstLine="420"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★5</w:t>
      </w:r>
      <w:r>
        <w:rPr>
          <w:rFonts w:hint="eastAsia" w:ascii="仿宋_GB2312" w:hAnsi="仿宋_GB2312" w:eastAsia="仿宋_GB2312" w:cs="仿宋_GB2312"/>
          <w:b/>
          <w:bCs/>
          <w:kern w:val="0"/>
          <w:szCs w:val="21"/>
        </w:rPr>
        <w:t>、需落实的政府采购政策性规定：</w:t>
      </w:r>
    </w:p>
    <w:p w14:paraId="1AD0575B">
      <w:pPr>
        <w:adjustRightInd w:val="0"/>
        <w:snapToGrid w:val="0"/>
        <w:spacing w:line="360" w:lineRule="auto"/>
        <w:ind w:firstLine="420"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5.1对于中小微企业的相关规定</w:t>
      </w:r>
    </w:p>
    <w:p w14:paraId="4A1DC580">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5.1.1对于非专门面向中小企业的项目，在满足价格扣除条件且在投标文件中按要求提交了《中小企业声明函》、《制造商企业（单位）类型声明函》</w:t>
      </w:r>
      <w:r>
        <w:rPr>
          <w:rFonts w:hint="eastAsia" w:ascii="仿宋_GB2312" w:hAnsi="仿宋_GB2312" w:eastAsia="仿宋_GB2312" w:cs="仿宋_GB2312"/>
          <w:kern w:val="0"/>
          <w:szCs w:val="21"/>
        </w:rPr>
        <w:t>（采购人采购的服务有伴随货物时，投标人所投货物为其它企业生产时须提供此声明函，仅作为价格扣除条件）的，</w:t>
      </w:r>
      <w:r>
        <w:rPr>
          <w:rFonts w:hint="eastAsia" w:ascii="仿宋_GB2312" w:hAnsi="仿宋_GB2312" w:eastAsia="仿宋_GB2312" w:cs="仿宋_GB2312"/>
          <w:szCs w:val="21"/>
        </w:rPr>
        <w:t>对投标报价给予价格扣除，用扣除后的价格参与评审。投标报价扣除比例如下：</w:t>
      </w:r>
    </w:p>
    <w:p w14:paraId="56BFBD47">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（1）非联合体投标</w:t>
      </w:r>
    </w:p>
    <w:p w14:paraId="21AB65A9">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小型和微型企业相应产品、服务投标报价的</w:t>
      </w:r>
      <w:r>
        <w:rPr>
          <w:rFonts w:hint="eastAsia" w:ascii="仿宋_GB2312" w:hAnsi="仿宋_GB2312" w:eastAsia="仿宋_GB2312" w:cs="仿宋_GB2312"/>
          <w:kern w:val="0"/>
          <w:szCs w:val="21"/>
          <w:u w:val="single"/>
        </w:rPr>
        <w:t xml:space="preserve">   10%   </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10-20%）</w:t>
      </w:r>
    </w:p>
    <w:p w14:paraId="15E8BC71">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（2）联合体投标</w:t>
      </w:r>
    </w:p>
    <w:p w14:paraId="47F0E073">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Pr>
          <w:rFonts w:hint="eastAsia" w:ascii="仿宋_GB2312" w:hAnsi="仿宋_GB2312" w:eastAsia="仿宋_GB2312" w:cs="仿宋_GB2312"/>
          <w:kern w:val="0"/>
          <w:szCs w:val="21"/>
          <w:u w:val="single"/>
        </w:rPr>
        <w:t xml:space="preserve">  /    </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2-3%）。</w:t>
      </w:r>
    </w:p>
    <w:p w14:paraId="53A76F29">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14:paraId="0DFC155B">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5.1.2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hint="eastAsia" w:ascii="仿宋_GB2312" w:hAnsi="仿宋_GB2312" w:eastAsia="仿宋_GB2312" w:cs="仿宋_GB2312"/>
          <w:kern w:val="0"/>
          <w:szCs w:val="21"/>
        </w:rPr>
        <w:t>用扣除后的价格参与评审</w:t>
      </w:r>
      <w:r>
        <w:rPr>
          <w:rFonts w:hint="eastAsia" w:ascii="仿宋_GB2312" w:hAnsi="仿宋_GB2312" w:eastAsia="仿宋_GB2312" w:cs="仿宋_GB2312"/>
          <w:szCs w:val="21"/>
        </w:rPr>
        <w:t>。</w:t>
      </w:r>
    </w:p>
    <w:p w14:paraId="16E4A3DD">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b/>
          <w:kern w:val="0"/>
          <w:szCs w:val="21"/>
        </w:rPr>
        <w:t>5.1.3</w:t>
      </w:r>
      <w:r>
        <w:rPr>
          <w:rFonts w:hint="eastAsia" w:ascii="仿宋_GB2312" w:hAnsi="仿宋_GB2312" w:eastAsia="仿宋_GB2312" w:cs="仿宋_GB2312"/>
          <w:szCs w:val="21"/>
        </w:rPr>
        <w:t>残疾人福利性单位视同小型、微型企业，在满足价格扣除条件且在</w:t>
      </w:r>
      <w:r>
        <w:rPr>
          <w:rFonts w:hint="eastAsia" w:ascii="仿宋_GB2312" w:hAnsi="仿宋_GB2312" w:eastAsia="仿宋_GB2312" w:cs="仿宋_GB2312"/>
          <w:kern w:val="0"/>
          <w:szCs w:val="21"/>
        </w:rPr>
        <w:t>投标文件中提供了《残疾人福利性单位声明函》的，</w:t>
      </w:r>
      <w:r>
        <w:rPr>
          <w:rFonts w:hint="eastAsia" w:ascii="仿宋_GB2312" w:hAnsi="仿宋_GB2312" w:eastAsia="仿宋_GB2312" w:cs="仿宋_GB2312"/>
          <w:szCs w:val="21"/>
        </w:rPr>
        <w:t>对其投标报价按本章5.1.1条款的比例予以扣除</w:t>
      </w:r>
      <w:r>
        <w:rPr>
          <w:rFonts w:hint="eastAsia" w:ascii="仿宋_GB2312" w:hAnsi="仿宋_GB2312" w:eastAsia="仿宋_GB2312" w:cs="仿宋_GB2312"/>
          <w:kern w:val="0"/>
          <w:szCs w:val="21"/>
        </w:rPr>
        <w:t>，用扣除后的价格参与评审。</w:t>
      </w:r>
    </w:p>
    <w:p w14:paraId="616B421C">
      <w:pPr>
        <w:adjustRightInd w:val="0"/>
        <w:snapToGrid w:val="0"/>
        <w:spacing w:line="360" w:lineRule="auto"/>
        <w:ind w:firstLine="420" w:firstLineChars="200"/>
        <w:rPr>
          <w:rFonts w:ascii="仿宋_GB2312" w:hAnsi="仿宋_GB2312" w:eastAsia="仿宋_GB2312" w:cs="仿宋_GB2312"/>
          <w:b/>
          <w:szCs w:val="21"/>
        </w:rPr>
      </w:pPr>
      <w:r>
        <w:rPr>
          <w:rFonts w:hint="eastAsia" w:ascii="仿宋_GB2312" w:hAnsi="仿宋_GB2312" w:eastAsia="仿宋_GB2312" w:cs="仿宋_GB2312"/>
          <w:b/>
          <w:szCs w:val="21"/>
        </w:rPr>
        <w:t>5.1.4残疾人福利性单位属于小型、微型企业的，不重复享受政策。</w:t>
      </w:r>
    </w:p>
    <w:p w14:paraId="6B8DF63F">
      <w:pPr>
        <w:adjustRightInd w:val="0"/>
        <w:spacing w:line="360" w:lineRule="auto"/>
        <w:ind w:firstLine="420" w:firstLineChars="200"/>
        <w:jc w:val="left"/>
        <w:rPr>
          <w:rFonts w:ascii="仿宋_GB2312" w:hAnsi="仿宋_GB2312" w:eastAsia="仿宋_GB2312" w:cs="仿宋_GB2312"/>
          <w:b/>
          <w:bCs/>
          <w:szCs w:val="21"/>
        </w:rPr>
      </w:pPr>
      <w:r>
        <w:rPr>
          <w:rFonts w:hint="eastAsia" w:ascii="仿宋_GB2312" w:hAnsi="仿宋_GB2312" w:eastAsia="仿宋_GB2312" w:cs="仿宋_GB2312"/>
          <w:b/>
          <w:bCs/>
          <w:szCs w:val="21"/>
        </w:rPr>
        <w:t>5.2对于节能产品、环境标志产品的相关规定</w:t>
      </w:r>
    </w:p>
    <w:p w14:paraId="79D048CD">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招标人招标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14:paraId="07A9226D">
      <w:pPr>
        <w:adjustRightInd w:val="0"/>
        <w:snapToGrid w:val="0"/>
        <w:spacing w:line="360" w:lineRule="auto"/>
        <w:ind w:firstLine="630" w:firstLineChars="3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采用最低评标价法的，</w:t>
      </w:r>
      <w:r>
        <w:rPr>
          <w:rFonts w:hint="eastAsia" w:ascii="仿宋_GB2312" w:hAnsi="仿宋_GB2312" w:eastAsia="仿宋_GB2312" w:cs="仿宋_GB2312"/>
          <w:szCs w:val="21"/>
        </w:rPr>
        <w:t>对</w:t>
      </w:r>
      <w:r>
        <w:rPr>
          <w:rFonts w:hint="eastAsia" w:ascii="仿宋_GB2312" w:hAnsi="仿宋_GB2312" w:eastAsia="仿宋_GB2312" w:cs="仿宋_GB2312"/>
          <w:kern w:val="0"/>
          <w:szCs w:val="21"/>
        </w:rPr>
        <w:t>清单中投标产品的报价</w:t>
      </w:r>
      <w:r>
        <w:rPr>
          <w:rFonts w:hint="eastAsia" w:ascii="仿宋_GB2312" w:hAnsi="仿宋_GB2312" w:eastAsia="仿宋_GB2312" w:cs="仿宋_GB2312"/>
          <w:szCs w:val="21"/>
        </w:rPr>
        <w:t>给予价格扣除，用扣除后的价格参与评审。报价扣除比例为</w:t>
      </w:r>
      <w:r>
        <w:rPr>
          <w:rFonts w:hint="eastAsia" w:ascii="仿宋_GB2312" w:hAnsi="仿宋_GB2312" w:eastAsia="仿宋_GB2312" w:cs="仿宋_GB2312"/>
          <w:kern w:val="0"/>
          <w:szCs w:val="21"/>
        </w:rPr>
        <w:t>清单中产品报价的</w:t>
      </w:r>
      <w:r>
        <w:rPr>
          <w:rFonts w:hint="eastAsia" w:ascii="仿宋_GB2312" w:hAnsi="仿宋_GB2312" w:eastAsia="仿宋_GB2312" w:cs="仿宋_GB2312"/>
          <w:szCs w:val="21"/>
          <w:u w:val="single"/>
        </w:rPr>
        <w:t xml:space="preserve">    /   </w:t>
      </w:r>
      <w:r>
        <w:rPr>
          <w:rFonts w:hint="eastAsia" w:ascii="仿宋_GB2312" w:hAnsi="仿宋_GB2312" w:eastAsia="仿宋_GB2312" w:cs="仿宋_GB2312"/>
          <w:szCs w:val="21"/>
        </w:rPr>
        <w:t xml:space="preserve"> %。</w:t>
      </w:r>
    </w:p>
    <w:p w14:paraId="3807D311">
      <w:pPr>
        <w:adjustRightInd w:val="0"/>
        <w:snapToGrid w:val="0"/>
        <w:spacing w:line="360" w:lineRule="auto"/>
        <w:ind w:firstLine="630" w:firstLineChars="3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采用综合评分法评标的项目，对清单中产品给予相应的加分。（详见评分细则）</w:t>
      </w:r>
    </w:p>
    <w:p w14:paraId="03475ACC">
      <w:pPr>
        <w:adjustRightIn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（2）投标人应同时提供品目清单网络截图，并以明确标注所报产品信息和位置的方式，用以方便评审。</w:t>
      </w:r>
    </w:p>
    <w:p w14:paraId="22B2954B">
      <w:pPr>
        <w:adjustRightIn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（3）认证机构和获证产品信息发布媒体：详见中国政府采购网（www.ccgp.gov.cn）建立的与认证结果信息发布平台的链接。</w:t>
      </w:r>
    </w:p>
    <w:p w14:paraId="7F122286">
      <w:pPr>
        <w:adjustRightInd w:val="0"/>
        <w:snapToGrid w:val="0"/>
        <w:spacing w:line="360" w:lineRule="auto"/>
        <w:ind w:firstLine="420"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5.3对于聘用建档立卡贫困人员物业公司的相关规定</w:t>
      </w:r>
    </w:p>
    <w:p w14:paraId="14DE6C92">
      <w:pPr>
        <w:adjustRightIn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在满足价格扣除条件且在投标文件中按要求提交了《聘用建档立卡贫困人员物业公司声明函》的供应商，对最后报价给予价格扣除，用扣除后的价格参与评审。扣除比例为最后</w:t>
      </w:r>
      <w:r>
        <w:rPr>
          <w:rFonts w:hint="eastAsia" w:ascii="仿宋_GB2312" w:hAnsi="仿宋_GB2312" w:eastAsia="仿宋_GB2312" w:cs="仿宋_GB2312"/>
          <w:kern w:val="0"/>
          <w:szCs w:val="21"/>
        </w:rPr>
        <w:t>报价的</w:t>
      </w:r>
      <w:r>
        <w:rPr>
          <w:rFonts w:hint="eastAsia" w:ascii="仿宋_GB2312" w:hAnsi="仿宋_GB2312" w:eastAsia="仿宋_GB2312" w:cs="仿宋_GB2312"/>
          <w:szCs w:val="21"/>
          <w:u w:val="single"/>
        </w:rPr>
        <w:t xml:space="preserve">    /   </w:t>
      </w:r>
      <w:r>
        <w:rPr>
          <w:rFonts w:hint="eastAsia" w:ascii="仿宋_GB2312" w:hAnsi="仿宋_GB2312" w:eastAsia="仿宋_GB2312" w:cs="仿宋_GB2312"/>
          <w:szCs w:val="21"/>
        </w:rPr>
        <w:t xml:space="preserve"> %。</w:t>
      </w:r>
    </w:p>
    <w:p w14:paraId="4F75A654">
      <w:pPr>
        <w:adjustRightInd w:val="0"/>
        <w:snapToGrid w:val="0"/>
        <w:spacing w:line="360" w:lineRule="auto"/>
        <w:ind w:firstLine="420"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★6</w:t>
      </w:r>
      <w:r>
        <w:rPr>
          <w:rFonts w:hint="eastAsia" w:ascii="仿宋_GB2312" w:hAnsi="仿宋_GB2312" w:eastAsia="仿宋_GB2312" w:cs="仿宋_GB2312"/>
          <w:b/>
          <w:bCs/>
          <w:kern w:val="0"/>
          <w:szCs w:val="21"/>
        </w:rPr>
        <w:t>、投标无效情况详见投标人须知。</w:t>
      </w:r>
    </w:p>
    <w:p w14:paraId="7F17D083">
      <w:pPr>
        <w:adjustRightInd w:val="0"/>
        <w:snapToGrid w:val="0"/>
        <w:spacing w:line="360" w:lineRule="auto"/>
        <w:ind w:firstLine="420"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★7</w:t>
      </w:r>
      <w:r>
        <w:rPr>
          <w:rFonts w:hint="eastAsia" w:ascii="仿宋_GB2312" w:hAnsi="仿宋_GB2312" w:eastAsia="仿宋_GB2312" w:cs="仿宋_GB2312"/>
          <w:b/>
          <w:bCs/>
          <w:kern w:val="0"/>
          <w:szCs w:val="21"/>
        </w:rPr>
        <w:t>、推荐中标候选人的原则</w:t>
      </w:r>
    </w:p>
    <w:p w14:paraId="3CC11A6A">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详见第一章投标人须知第29条，具体处理办法如下：</w:t>
      </w:r>
    </w:p>
    <w:p w14:paraId="723CCA3A">
      <w:pPr>
        <w:numPr>
          <w:ilvl w:val="0"/>
          <w:numId w:val="9"/>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采用最低评标价法的：</w:t>
      </w:r>
    </w:p>
    <w:p w14:paraId="63A53D65">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扣除后的投标报价相同时，按投标报价由低至高排序；</w:t>
      </w:r>
    </w:p>
    <w:p w14:paraId="7AFC7F15">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14:paraId="2E579DC3">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其他情况，由评标委员会投票处理。</w:t>
      </w:r>
    </w:p>
    <w:p w14:paraId="02B4E81D">
      <w:pPr>
        <w:numPr>
          <w:ilvl w:val="0"/>
          <w:numId w:val="9"/>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采用综合评分法的：</w:t>
      </w:r>
    </w:p>
    <w:p w14:paraId="05EEBA1A">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得分相同的，按扣除后的投标报价由低到高顺序排序；</w:t>
      </w:r>
    </w:p>
    <w:p w14:paraId="5FEDA617">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按前款不能区分的，按投标报价由低至高顺序排序；</w:t>
      </w:r>
    </w:p>
    <w:p w14:paraId="320B4B3A">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14:paraId="43069770">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其他情况，由评标委员会投票处理。</w:t>
      </w:r>
    </w:p>
    <w:p w14:paraId="5A5D9890">
      <w:pPr>
        <w:adjustRightInd w:val="0"/>
        <w:snapToGrid w:val="0"/>
        <w:spacing w:line="360" w:lineRule="auto"/>
        <w:ind w:firstLine="420" w:firstLineChars="200"/>
        <w:rPr>
          <w:rFonts w:ascii="仿宋_GB2312" w:hAnsi="仿宋_GB2312" w:eastAsia="仿宋_GB2312" w:cs="仿宋_GB2312"/>
          <w:b/>
          <w:kern w:val="0"/>
          <w:szCs w:val="21"/>
        </w:rPr>
      </w:pPr>
      <w:bookmarkStart w:id="118" w:name="_Toc30297_WPSOffice_Level2"/>
      <w:r>
        <w:rPr>
          <w:rFonts w:hint="eastAsia" w:ascii="仿宋_GB2312" w:hAnsi="仿宋_GB2312" w:eastAsia="仿宋_GB2312" w:cs="仿宋_GB2312"/>
          <w:b/>
          <w:szCs w:val="21"/>
        </w:rPr>
        <w:t>三、</w:t>
      </w:r>
      <w:r>
        <w:rPr>
          <w:rFonts w:hint="eastAsia" w:ascii="仿宋_GB2312" w:hAnsi="仿宋_GB2312" w:eastAsia="仿宋_GB2312" w:cs="仿宋_GB2312"/>
          <w:b/>
          <w:kern w:val="0"/>
          <w:szCs w:val="21"/>
        </w:rPr>
        <w:t>确定中标人</w:t>
      </w:r>
      <w:bookmarkEnd w:id="118"/>
    </w:p>
    <w:p w14:paraId="3199640D">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评标委员会根据全体评标委员会成员签字的原始评标记录和评标结果编写评标报告，并向采购人提交书面评标报告。</w:t>
      </w:r>
    </w:p>
    <w:p w14:paraId="3CBC3938">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采购人按照评标报告确定的中标候选人名单按顺序确定中标人，或由采购人委托评标委员会按照第一章投标人须知第31条规定的方式确定中标人。</w:t>
      </w:r>
    </w:p>
    <w:p w14:paraId="17DB2631">
      <w:pPr>
        <w:widowControl/>
        <w:jc w:val="left"/>
        <w:rPr>
          <w:rFonts w:ascii="仿宋_GB2312" w:hAnsi="仿宋_GB2312" w:eastAsia="仿宋_GB2312" w:cs="仿宋_GB2312"/>
          <w:kern w:val="0"/>
          <w:sz w:val="24"/>
        </w:rPr>
      </w:pPr>
      <w:r>
        <w:rPr>
          <w:rFonts w:hint="eastAsia" w:ascii="仿宋_GB2312" w:hAnsi="仿宋_GB2312" w:eastAsia="仿宋_GB2312" w:cs="仿宋_GB2312"/>
        </w:rPr>
        <w:br w:type="page"/>
      </w:r>
    </w:p>
    <w:p w14:paraId="6EDEA06B">
      <w:pPr>
        <w:pStyle w:val="5"/>
        <w:adjustRightInd w:val="0"/>
        <w:snapToGrid w:val="0"/>
        <w:spacing w:before="0" w:after="0" w:line="240" w:lineRule="auto"/>
        <w:jc w:val="left"/>
        <w:rPr>
          <w:rFonts w:ascii="仿宋_GB2312" w:hAnsi="仿宋_GB2312" w:eastAsia="仿宋_GB2312" w:cs="仿宋_GB2312"/>
          <w:szCs w:val="28"/>
        </w:rPr>
      </w:pPr>
      <w:bookmarkStart w:id="119" w:name="_Toc32318_WPSOffice_Level2"/>
      <w:r>
        <w:rPr>
          <w:rFonts w:hint="eastAsia" w:ascii="仿宋_GB2312" w:hAnsi="仿宋_GB2312" w:eastAsia="仿宋_GB2312" w:cs="仿宋_GB2312"/>
          <w:szCs w:val="28"/>
        </w:rPr>
        <w:t xml:space="preserve">附件1                   </w:t>
      </w:r>
      <w:bookmarkEnd w:id="119"/>
    </w:p>
    <w:p w14:paraId="3804C637">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资格审查表</w:t>
      </w:r>
    </w:p>
    <w:tbl>
      <w:tblPr>
        <w:tblStyle w:val="21"/>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3959"/>
        <w:gridCol w:w="2003"/>
        <w:gridCol w:w="923"/>
        <w:gridCol w:w="804"/>
        <w:gridCol w:w="941"/>
      </w:tblGrid>
      <w:tr w14:paraId="0C7C7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46" w:type="dxa"/>
            <w:vMerge w:val="restart"/>
            <w:vAlign w:val="center"/>
          </w:tcPr>
          <w:p w14:paraId="4B02324C">
            <w:pPr>
              <w:ind w:left="-96" w:leftChars="-46" w:right="-86" w:rightChars="-41"/>
              <w:jc w:val="center"/>
              <w:rPr>
                <w:rFonts w:ascii="仿宋_GB2312" w:hAnsi="仿宋_GB2312" w:eastAsia="仿宋_GB2312" w:cs="仿宋_GB2312"/>
              </w:rPr>
            </w:pPr>
            <w:r>
              <w:rPr>
                <w:rFonts w:hint="eastAsia" w:ascii="仿宋_GB2312" w:hAnsi="仿宋_GB2312" w:eastAsia="仿宋_GB2312" w:cs="仿宋_GB2312"/>
              </w:rPr>
              <w:t>序号</w:t>
            </w:r>
          </w:p>
        </w:tc>
        <w:tc>
          <w:tcPr>
            <w:tcW w:w="3959" w:type="dxa"/>
            <w:vMerge w:val="restart"/>
            <w:vAlign w:val="center"/>
          </w:tcPr>
          <w:p w14:paraId="2AC732F7">
            <w:pPr>
              <w:pStyle w:val="5"/>
              <w:adjustRightInd w:val="0"/>
              <w:snapToGrid w:val="0"/>
              <w:spacing w:before="0" w:after="0" w:line="240" w:lineRule="auto"/>
              <w:ind w:left="-96" w:leftChars="-46" w:right="-86"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审查项目</w:t>
            </w:r>
          </w:p>
        </w:tc>
        <w:tc>
          <w:tcPr>
            <w:tcW w:w="2003" w:type="dxa"/>
            <w:vMerge w:val="restart"/>
            <w:vAlign w:val="center"/>
          </w:tcPr>
          <w:p w14:paraId="305B9023">
            <w:pPr>
              <w:pStyle w:val="5"/>
              <w:adjustRightInd w:val="0"/>
              <w:snapToGrid w:val="0"/>
              <w:spacing w:before="0" w:after="0" w:line="240" w:lineRule="auto"/>
              <w:ind w:left="-96" w:leftChars="-46" w:right="-86"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审查标准</w:t>
            </w:r>
          </w:p>
        </w:tc>
        <w:tc>
          <w:tcPr>
            <w:tcW w:w="2668" w:type="dxa"/>
            <w:gridSpan w:val="3"/>
            <w:vAlign w:val="center"/>
          </w:tcPr>
          <w:p w14:paraId="752043BD">
            <w:pPr>
              <w:pStyle w:val="5"/>
              <w:adjustRightInd w:val="0"/>
              <w:snapToGrid w:val="0"/>
              <w:spacing w:before="0" w:after="0" w:line="240" w:lineRule="auto"/>
              <w:ind w:left="-96" w:leftChars="-46" w:right="-86"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投标人名称</w:t>
            </w:r>
          </w:p>
        </w:tc>
      </w:tr>
      <w:tr w14:paraId="74FF0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46" w:type="dxa"/>
            <w:vMerge w:val="continue"/>
            <w:vAlign w:val="center"/>
          </w:tcPr>
          <w:p w14:paraId="368A5AAE">
            <w:pPr>
              <w:pStyle w:val="5"/>
              <w:adjustRightInd w:val="0"/>
              <w:snapToGrid w:val="0"/>
              <w:spacing w:before="0" w:after="0" w:line="240" w:lineRule="auto"/>
              <w:rPr>
                <w:rFonts w:ascii="仿宋_GB2312" w:hAnsi="仿宋_GB2312" w:eastAsia="仿宋_GB2312" w:cs="仿宋_GB2312"/>
              </w:rPr>
            </w:pPr>
          </w:p>
        </w:tc>
        <w:tc>
          <w:tcPr>
            <w:tcW w:w="3959" w:type="dxa"/>
            <w:vMerge w:val="continue"/>
            <w:vAlign w:val="center"/>
          </w:tcPr>
          <w:p w14:paraId="1A9FC8D3">
            <w:pPr>
              <w:pStyle w:val="5"/>
              <w:adjustRightInd w:val="0"/>
              <w:snapToGrid w:val="0"/>
              <w:spacing w:before="0" w:after="0" w:line="240" w:lineRule="auto"/>
              <w:rPr>
                <w:rFonts w:ascii="仿宋_GB2312" w:hAnsi="仿宋_GB2312" w:eastAsia="仿宋_GB2312" w:cs="仿宋_GB2312"/>
                <w:sz w:val="21"/>
                <w:szCs w:val="21"/>
              </w:rPr>
            </w:pPr>
          </w:p>
        </w:tc>
        <w:tc>
          <w:tcPr>
            <w:tcW w:w="2003" w:type="dxa"/>
            <w:vMerge w:val="continue"/>
            <w:vAlign w:val="center"/>
          </w:tcPr>
          <w:p w14:paraId="5B7D330E">
            <w:pPr>
              <w:pStyle w:val="5"/>
              <w:adjustRightInd w:val="0"/>
              <w:snapToGrid w:val="0"/>
              <w:spacing w:before="0" w:after="0" w:line="240" w:lineRule="auto"/>
              <w:rPr>
                <w:rFonts w:ascii="仿宋_GB2312" w:hAnsi="仿宋_GB2312" w:eastAsia="仿宋_GB2312" w:cs="仿宋_GB2312"/>
                <w:sz w:val="21"/>
                <w:szCs w:val="21"/>
              </w:rPr>
            </w:pPr>
          </w:p>
        </w:tc>
        <w:tc>
          <w:tcPr>
            <w:tcW w:w="923" w:type="dxa"/>
            <w:vAlign w:val="center"/>
          </w:tcPr>
          <w:p w14:paraId="23B46B69">
            <w:pPr>
              <w:pStyle w:val="5"/>
              <w:adjustRightInd w:val="0"/>
              <w:snapToGrid w:val="0"/>
              <w:spacing w:before="0" w:after="0" w:line="240" w:lineRule="auto"/>
              <w:rPr>
                <w:rFonts w:ascii="仿宋_GB2312" w:hAnsi="仿宋_GB2312" w:eastAsia="仿宋_GB2312" w:cs="仿宋_GB2312"/>
                <w:sz w:val="21"/>
                <w:szCs w:val="21"/>
              </w:rPr>
            </w:pPr>
          </w:p>
        </w:tc>
        <w:tc>
          <w:tcPr>
            <w:tcW w:w="804" w:type="dxa"/>
            <w:vAlign w:val="center"/>
          </w:tcPr>
          <w:p w14:paraId="0729C721">
            <w:pPr>
              <w:pStyle w:val="5"/>
              <w:adjustRightInd w:val="0"/>
              <w:snapToGrid w:val="0"/>
              <w:spacing w:before="0" w:after="0" w:line="240" w:lineRule="auto"/>
              <w:rPr>
                <w:rFonts w:ascii="仿宋_GB2312" w:hAnsi="仿宋_GB2312" w:eastAsia="仿宋_GB2312" w:cs="仿宋_GB2312"/>
                <w:sz w:val="21"/>
                <w:szCs w:val="21"/>
              </w:rPr>
            </w:pPr>
          </w:p>
        </w:tc>
        <w:tc>
          <w:tcPr>
            <w:tcW w:w="941" w:type="dxa"/>
            <w:vAlign w:val="center"/>
          </w:tcPr>
          <w:p w14:paraId="7DCA7926">
            <w:pPr>
              <w:pStyle w:val="5"/>
              <w:adjustRightInd w:val="0"/>
              <w:snapToGrid w:val="0"/>
              <w:spacing w:before="0" w:after="0" w:line="240" w:lineRule="auto"/>
              <w:rPr>
                <w:rFonts w:ascii="仿宋_GB2312" w:hAnsi="仿宋_GB2312" w:eastAsia="仿宋_GB2312" w:cs="仿宋_GB2312"/>
                <w:sz w:val="21"/>
                <w:szCs w:val="21"/>
              </w:rPr>
            </w:pPr>
          </w:p>
        </w:tc>
      </w:tr>
      <w:tr w14:paraId="6CCCE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14:paraId="458F5B77">
            <w:pPr>
              <w:snapToGrid w:val="0"/>
              <w:jc w:val="center"/>
              <w:rPr>
                <w:rFonts w:ascii="仿宋_GB2312" w:hAnsi="仿宋_GB2312" w:eastAsia="仿宋_GB2312" w:cs="仿宋_GB2312"/>
              </w:rPr>
            </w:pPr>
            <w:r>
              <w:rPr>
                <w:rFonts w:hint="eastAsia" w:ascii="仿宋_GB2312" w:hAnsi="仿宋_GB2312" w:eastAsia="仿宋_GB2312" w:cs="仿宋_GB2312"/>
              </w:rPr>
              <w:t>1</w:t>
            </w:r>
          </w:p>
        </w:tc>
        <w:tc>
          <w:tcPr>
            <w:tcW w:w="3959" w:type="dxa"/>
            <w:vAlign w:val="center"/>
          </w:tcPr>
          <w:p w14:paraId="1BFF7480">
            <w:pPr>
              <w:snapToGrid w:val="0"/>
              <w:jc w:val="left"/>
              <w:rPr>
                <w:rFonts w:ascii="仿宋_GB2312" w:hAnsi="仿宋_GB2312" w:eastAsia="仿宋_GB2312" w:cs="仿宋_GB2312"/>
                <w:b/>
                <w:szCs w:val="21"/>
              </w:rPr>
            </w:pPr>
            <w:r>
              <w:rPr>
                <w:rFonts w:hint="eastAsia" w:ascii="仿宋_GB2312" w:hAnsi="仿宋_GB2312" w:eastAsia="仿宋_GB2312" w:cs="仿宋_GB2312"/>
              </w:rPr>
              <w:t>营业执照或事业单位法人证书或执业许可证等证明文件或自然人的身份证明</w:t>
            </w:r>
          </w:p>
        </w:tc>
        <w:tc>
          <w:tcPr>
            <w:tcW w:w="2003" w:type="dxa"/>
            <w:vAlign w:val="center"/>
          </w:tcPr>
          <w:p w14:paraId="3F910549">
            <w:pPr>
              <w:pStyle w:val="5"/>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14:paraId="57A757BE">
            <w:pPr>
              <w:pStyle w:val="5"/>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vAlign w:val="center"/>
          </w:tcPr>
          <w:p w14:paraId="284FF8D0">
            <w:pPr>
              <w:pStyle w:val="5"/>
              <w:adjustRightInd w:val="0"/>
              <w:snapToGrid w:val="0"/>
              <w:spacing w:before="0" w:after="0" w:line="240" w:lineRule="auto"/>
              <w:rPr>
                <w:rFonts w:ascii="仿宋_GB2312" w:hAnsi="仿宋_GB2312" w:eastAsia="仿宋_GB2312" w:cs="仿宋_GB2312"/>
                <w:sz w:val="21"/>
                <w:szCs w:val="21"/>
              </w:rPr>
            </w:pPr>
          </w:p>
        </w:tc>
        <w:tc>
          <w:tcPr>
            <w:tcW w:w="804" w:type="dxa"/>
            <w:vAlign w:val="center"/>
          </w:tcPr>
          <w:p w14:paraId="15680263">
            <w:pPr>
              <w:pStyle w:val="5"/>
              <w:adjustRightInd w:val="0"/>
              <w:snapToGrid w:val="0"/>
              <w:spacing w:before="0" w:after="0" w:line="240" w:lineRule="auto"/>
              <w:rPr>
                <w:rFonts w:ascii="仿宋_GB2312" w:hAnsi="仿宋_GB2312" w:eastAsia="仿宋_GB2312" w:cs="仿宋_GB2312"/>
                <w:sz w:val="21"/>
                <w:szCs w:val="21"/>
              </w:rPr>
            </w:pPr>
          </w:p>
        </w:tc>
        <w:tc>
          <w:tcPr>
            <w:tcW w:w="941" w:type="dxa"/>
            <w:vAlign w:val="center"/>
          </w:tcPr>
          <w:p w14:paraId="43F63723">
            <w:pPr>
              <w:pStyle w:val="5"/>
              <w:adjustRightInd w:val="0"/>
              <w:snapToGrid w:val="0"/>
              <w:spacing w:before="0" w:after="0" w:line="240" w:lineRule="auto"/>
              <w:rPr>
                <w:rFonts w:ascii="仿宋_GB2312" w:hAnsi="仿宋_GB2312" w:eastAsia="仿宋_GB2312" w:cs="仿宋_GB2312"/>
                <w:sz w:val="21"/>
                <w:szCs w:val="21"/>
              </w:rPr>
            </w:pPr>
          </w:p>
        </w:tc>
      </w:tr>
      <w:tr w14:paraId="6F1E2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46" w:type="dxa"/>
            <w:vAlign w:val="center"/>
          </w:tcPr>
          <w:p w14:paraId="6B407563">
            <w:pPr>
              <w:widowControl/>
              <w:snapToGrid w:val="0"/>
              <w:jc w:val="center"/>
              <w:rPr>
                <w:rFonts w:ascii="仿宋_GB2312" w:hAnsi="仿宋_GB2312" w:eastAsia="仿宋_GB2312" w:cs="仿宋_GB2312"/>
              </w:rPr>
            </w:pPr>
            <w:r>
              <w:rPr>
                <w:rFonts w:hint="eastAsia" w:ascii="仿宋_GB2312" w:hAnsi="仿宋_GB2312" w:eastAsia="仿宋_GB2312" w:cs="仿宋_GB2312"/>
              </w:rPr>
              <w:t>2</w:t>
            </w:r>
          </w:p>
        </w:tc>
        <w:tc>
          <w:tcPr>
            <w:tcW w:w="3959" w:type="dxa"/>
            <w:vAlign w:val="center"/>
          </w:tcPr>
          <w:p w14:paraId="6DA0571D">
            <w:pPr>
              <w:widowControl/>
              <w:snapToGrid w:val="0"/>
              <w:jc w:val="left"/>
              <w:rPr>
                <w:rFonts w:ascii="仿宋_GB2312" w:hAnsi="仿宋_GB2312" w:eastAsia="仿宋_GB2312" w:cs="仿宋_GB2312"/>
                <w:b/>
                <w:szCs w:val="21"/>
              </w:rPr>
            </w:pPr>
            <w:r>
              <w:rPr>
                <w:rFonts w:hint="eastAsia" w:ascii="仿宋_GB2312" w:hAnsi="仿宋_GB2312" w:eastAsia="仿宋_GB2312" w:cs="仿宋_GB2312"/>
              </w:rPr>
              <w:t>组织机构代码证</w:t>
            </w:r>
          </w:p>
        </w:tc>
        <w:tc>
          <w:tcPr>
            <w:tcW w:w="2003" w:type="dxa"/>
            <w:vAlign w:val="center"/>
          </w:tcPr>
          <w:p w14:paraId="39ED6854">
            <w:pPr>
              <w:pStyle w:val="5"/>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14:paraId="691DD301">
            <w:pPr>
              <w:pStyle w:val="5"/>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14:paraId="40482B15">
            <w:pPr>
              <w:pStyle w:val="5"/>
              <w:adjustRightInd w:val="0"/>
              <w:snapToGrid w:val="0"/>
              <w:spacing w:before="0" w:after="0" w:line="240" w:lineRule="auto"/>
              <w:rPr>
                <w:rFonts w:ascii="仿宋_GB2312" w:hAnsi="仿宋_GB2312" w:eastAsia="仿宋_GB2312" w:cs="仿宋_GB2312"/>
                <w:sz w:val="21"/>
                <w:szCs w:val="21"/>
              </w:rPr>
            </w:pPr>
          </w:p>
        </w:tc>
        <w:tc>
          <w:tcPr>
            <w:tcW w:w="804" w:type="dxa"/>
          </w:tcPr>
          <w:p w14:paraId="7C7A0DDE">
            <w:pPr>
              <w:pStyle w:val="5"/>
              <w:adjustRightInd w:val="0"/>
              <w:snapToGrid w:val="0"/>
              <w:spacing w:before="0" w:after="0" w:line="240" w:lineRule="auto"/>
              <w:rPr>
                <w:rFonts w:ascii="仿宋_GB2312" w:hAnsi="仿宋_GB2312" w:eastAsia="仿宋_GB2312" w:cs="仿宋_GB2312"/>
                <w:sz w:val="21"/>
                <w:szCs w:val="21"/>
              </w:rPr>
            </w:pPr>
          </w:p>
        </w:tc>
        <w:tc>
          <w:tcPr>
            <w:tcW w:w="941" w:type="dxa"/>
          </w:tcPr>
          <w:p w14:paraId="77BD2B2E">
            <w:pPr>
              <w:pStyle w:val="5"/>
              <w:adjustRightInd w:val="0"/>
              <w:snapToGrid w:val="0"/>
              <w:spacing w:before="0" w:after="0" w:line="240" w:lineRule="auto"/>
              <w:rPr>
                <w:rFonts w:ascii="仿宋_GB2312" w:hAnsi="仿宋_GB2312" w:eastAsia="仿宋_GB2312" w:cs="仿宋_GB2312"/>
                <w:sz w:val="21"/>
                <w:szCs w:val="21"/>
              </w:rPr>
            </w:pPr>
          </w:p>
        </w:tc>
      </w:tr>
      <w:tr w14:paraId="5889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14:paraId="57B95B4C">
            <w:pPr>
              <w:widowControl/>
              <w:snapToGrid w:val="0"/>
              <w:jc w:val="center"/>
              <w:rPr>
                <w:rFonts w:ascii="仿宋_GB2312" w:hAnsi="仿宋_GB2312" w:eastAsia="仿宋_GB2312" w:cs="仿宋_GB2312"/>
              </w:rPr>
            </w:pPr>
            <w:r>
              <w:rPr>
                <w:rFonts w:hint="eastAsia" w:ascii="仿宋_GB2312" w:hAnsi="仿宋_GB2312" w:eastAsia="仿宋_GB2312" w:cs="仿宋_GB2312"/>
              </w:rPr>
              <w:t>3</w:t>
            </w:r>
          </w:p>
        </w:tc>
        <w:tc>
          <w:tcPr>
            <w:tcW w:w="3959" w:type="dxa"/>
            <w:vAlign w:val="center"/>
          </w:tcPr>
          <w:p w14:paraId="77C0027A">
            <w:pPr>
              <w:widowControl/>
              <w:snapToGrid w:val="0"/>
              <w:jc w:val="left"/>
              <w:rPr>
                <w:rFonts w:ascii="仿宋_GB2312" w:hAnsi="仿宋_GB2312" w:eastAsia="仿宋_GB2312" w:cs="仿宋_GB2312"/>
                <w:b/>
                <w:szCs w:val="21"/>
              </w:rPr>
            </w:pPr>
            <w:r>
              <w:rPr>
                <w:rFonts w:hint="eastAsia" w:ascii="仿宋_GB2312" w:hAnsi="仿宋_GB2312" w:eastAsia="仿宋_GB2312" w:cs="仿宋_GB2312"/>
              </w:rPr>
              <w:t>税务登记证</w:t>
            </w:r>
          </w:p>
        </w:tc>
        <w:tc>
          <w:tcPr>
            <w:tcW w:w="2003" w:type="dxa"/>
            <w:vAlign w:val="center"/>
          </w:tcPr>
          <w:p w14:paraId="231D9D95">
            <w:pPr>
              <w:pStyle w:val="5"/>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14:paraId="43377D64">
            <w:pPr>
              <w:pStyle w:val="5"/>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14:paraId="055228EB">
            <w:pPr>
              <w:pStyle w:val="5"/>
              <w:adjustRightInd w:val="0"/>
              <w:snapToGrid w:val="0"/>
              <w:spacing w:before="0" w:after="0" w:line="240" w:lineRule="auto"/>
              <w:rPr>
                <w:rFonts w:ascii="仿宋_GB2312" w:hAnsi="仿宋_GB2312" w:eastAsia="仿宋_GB2312" w:cs="仿宋_GB2312"/>
                <w:sz w:val="21"/>
                <w:szCs w:val="21"/>
              </w:rPr>
            </w:pPr>
          </w:p>
        </w:tc>
        <w:tc>
          <w:tcPr>
            <w:tcW w:w="804" w:type="dxa"/>
          </w:tcPr>
          <w:p w14:paraId="5A53C004">
            <w:pPr>
              <w:pStyle w:val="5"/>
              <w:adjustRightInd w:val="0"/>
              <w:snapToGrid w:val="0"/>
              <w:spacing w:before="0" w:after="0" w:line="240" w:lineRule="auto"/>
              <w:rPr>
                <w:rFonts w:ascii="仿宋_GB2312" w:hAnsi="仿宋_GB2312" w:eastAsia="仿宋_GB2312" w:cs="仿宋_GB2312"/>
                <w:sz w:val="21"/>
                <w:szCs w:val="21"/>
              </w:rPr>
            </w:pPr>
          </w:p>
        </w:tc>
        <w:tc>
          <w:tcPr>
            <w:tcW w:w="941" w:type="dxa"/>
          </w:tcPr>
          <w:p w14:paraId="0152CF0A">
            <w:pPr>
              <w:pStyle w:val="5"/>
              <w:adjustRightInd w:val="0"/>
              <w:snapToGrid w:val="0"/>
              <w:spacing w:before="0" w:after="0" w:line="240" w:lineRule="auto"/>
              <w:rPr>
                <w:rFonts w:ascii="仿宋_GB2312" w:hAnsi="仿宋_GB2312" w:eastAsia="仿宋_GB2312" w:cs="仿宋_GB2312"/>
                <w:sz w:val="21"/>
                <w:szCs w:val="21"/>
              </w:rPr>
            </w:pPr>
          </w:p>
        </w:tc>
      </w:tr>
      <w:tr w14:paraId="7B313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14:paraId="18198F7B">
            <w:pPr>
              <w:widowControl/>
              <w:snapToGrid w:val="0"/>
              <w:jc w:val="center"/>
              <w:rPr>
                <w:rFonts w:ascii="仿宋_GB2312" w:hAnsi="仿宋_GB2312" w:eastAsia="仿宋_GB2312" w:cs="仿宋_GB2312"/>
              </w:rPr>
            </w:pPr>
            <w:r>
              <w:rPr>
                <w:rFonts w:hint="eastAsia" w:ascii="仿宋_GB2312" w:hAnsi="仿宋_GB2312" w:eastAsia="仿宋_GB2312" w:cs="仿宋_GB2312"/>
                <w:szCs w:val="21"/>
              </w:rPr>
              <w:t>4</w:t>
            </w:r>
          </w:p>
        </w:tc>
        <w:tc>
          <w:tcPr>
            <w:tcW w:w="3959" w:type="dxa"/>
            <w:vAlign w:val="center"/>
          </w:tcPr>
          <w:p w14:paraId="40841E53">
            <w:pPr>
              <w:widowControl/>
              <w:snapToGrid w:val="0"/>
              <w:jc w:val="left"/>
              <w:rPr>
                <w:rFonts w:ascii="仿宋_GB2312" w:hAnsi="仿宋_GB2312" w:eastAsia="仿宋_GB2312" w:cs="仿宋_GB2312"/>
                <w:b/>
                <w:szCs w:val="21"/>
              </w:rPr>
            </w:pPr>
            <w:r>
              <w:rPr>
                <w:rFonts w:hint="eastAsia" w:ascii="仿宋_GB2312" w:hAnsi="仿宋_GB2312" w:eastAsia="仿宋_GB2312" w:cs="仿宋_GB2312"/>
                <w:szCs w:val="21"/>
              </w:rPr>
              <w:t>法定代表人（或非法人组织负责人）身份证明书</w:t>
            </w:r>
          </w:p>
        </w:tc>
        <w:tc>
          <w:tcPr>
            <w:tcW w:w="2003" w:type="dxa"/>
          </w:tcPr>
          <w:p w14:paraId="7D9AD67B">
            <w:pPr>
              <w:pStyle w:val="5"/>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14:paraId="334D91C8">
            <w:pPr>
              <w:pStyle w:val="5"/>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14:paraId="66EABAFA">
            <w:pPr>
              <w:pStyle w:val="5"/>
              <w:adjustRightInd w:val="0"/>
              <w:snapToGrid w:val="0"/>
              <w:spacing w:before="0" w:after="0" w:line="240" w:lineRule="auto"/>
              <w:rPr>
                <w:rFonts w:ascii="仿宋_GB2312" w:hAnsi="仿宋_GB2312" w:eastAsia="仿宋_GB2312" w:cs="仿宋_GB2312"/>
                <w:sz w:val="21"/>
                <w:szCs w:val="21"/>
              </w:rPr>
            </w:pPr>
          </w:p>
        </w:tc>
        <w:tc>
          <w:tcPr>
            <w:tcW w:w="804" w:type="dxa"/>
          </w:tcPr>
          <w:p w14:paraId="4D69B0A9">
            <w:pPr>
              <w:pStyle w:val="5"/>
              <w:adjustRightInd w:val="0"/>
              <w:snapToGrid w:val="0"/>
              <w:spacing w:before="0" w:after="0" w:line="240" w:lineRule="auto"/>
              <w:rPr>
                <w:rFonts w:ascii="仿宋_GB2312" w:hAnsi="仿宋_GB2312" w:eastAsia="仿宋_GB2312" w:cs="仿宋_GB2312"/>
                <w:sz w:val="21"/>
                <w:szCs w:val="21"/>
              </w:rPr>
            </w:pPr>
          </w:p>
        </w:tc>
        <w:tc>
          <w:tcPr>
            <w:tcW w:w="941" w:type="dxa"/>
          </w:tcPr>
          <w:p w14:paraId="2FE178E2">
            <w:pPr>
              <w:pStyle w:val="5"/>
              <w:adjustRightInd w:val="0"/>
              <w:snapToGrid w:val="0"/>
              <w:spacing w:before="0" w:after="0" w:line="240" w:lineRule="auto"/>
              <w:rPr>
                <w:rFonts w:ascii="仿宋_GB2312" w:hAnsi="仿宋_GB2312" w:eastAsia="仿宋_GB2312" w:cs="仿宋_GB2312"/>
                <w:sz w:val="21"/>
                <w:szCs w:val="21"/>
              </w:rPr>
            </w:pPr>
          </w:p>
        </w:tc>
      </w:tr>
      <w:tr w14:paraId="26DB2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14:paraId="36792604">
            <w:pPr>
              <w:widowControl/>
              <w:snapToGrid w:val="0"/>
              <w:jc w:val="center"/>
              <w:rPr>
                <w:rFonts w:ascii="仿宋_GB2312" w:hAnsi="仿宋_GB2312" w:eastAsia="仿宋_GB2312" w:cs="仿宋_GB2312"/>
              </w:rPr>
            </w:pPr>
            <w:r>
              <w:rPr>
                <w:rFonts w:hint="eastAsia" w:ascii="仿宋_GB2312" w:hAnsi="仿宋_GB2312" w:eastAsia="仿宋_GB2312" w:cs="仿宋_GB2312"/>
              </w:rPr>
              <w:t>5</w:t>
            </w:r>
          </w:p>
        </w:tc>
        <w:tc>
          <w:tcPr>
            <w:tcW w:w="3959" w:type="dxa"/>
            <w:vAlign w:val="center"/>
          </w:tcPr>
          <w:p w14:paraId="4E41DB30">
            <w:pPr>
              <w:widowControl/>
              <w:snapToGrid w:val="0"/>
              <w:jc w:val="left"/>
              <w:rPr>
                <w:rFonts w:ascii="仿宋_GB2312" w:hAnsi="仿宋_GB2312" w:eastAsia="仿宋_GB2312" w:cs="仿宋_GB2312"/>
                <w:b/>
                <w:szCs w:val="21"/>
              </w:rPr>
            </w:pPr>
            <w:r>
              <w:rPr>
                <w:rFonts w:hint="eastAsia" w:ascii="仿宋_GB2312" w:hAnsi="仿宋_GB2312" w:eastAsia="仿宋_GB2312" w:cs="仿宋_GB2312"/>
              </w:rPr>
              <w:t>法定代表人（或非法人组织</w:t>
            </w:r>
            <w:r>
              <w:rPr>
                <w:rFonts w:hint="eastAsia" w:ascii="仿宋_GB2312" w:hAnsi="仿宋_GB2312" w:eastAsia="仿宋_GB2312" w:cs="仿宋_GB2312"/>
                <w:szCs w:val="21"/>
              </w:rPr>
              <w:t>负责人）</w:t>
            </w:r>
            <w:r>
              <w:rPr>
                <w:rFonts w:hint="eastAsia" w:ascii="仿宋_GB2312" w:hAnsi="仿宋_GB2312" w:eastAsia="仿宋_GB2312" w:cs="仿宋_GB2312"/>
              </w:rPr>
              <w:t>授权委托书</w:t>
            </w:r>
            <w:r>
              <w:rPr>
                <w:rFonts w:hint="eastAsia" w:ascii="仿宋_GB2312" w:hAnsi="仿宋_GB2312" w:eastAsia="仿宋_GB2312" w:cs="仿宋_GB2312"/>
                <w:szCs w:val="21"/>
              </w:rPr>
              <w:t>（授权委托人参加投标的须提供）</w:t>
            </w:r>
          </w:p>
        </w:tc>
        <w:tc>
          <w:tcPr>
            <w:tcW w:w="2003" w:type="dxa"/>
          </w:tcPr>
          <w:p w14:paraId="5702770F">
            <w:pPr>
              <w:pStyle w:val="5"/>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14:paraId="68CEF838">
            <w:pPr>
              <w:pStyle w:val="5"/>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14:paraId="7CB3D694">
            <w:pPr>
              <w:pStyle w:val="5"/>
              <w:adjustRightInd w:val="0"/>
              <w:snapToGrid w:val="0"/>
              <w:spacing w:before="0" w:after="0" w:line="240" w:lineRule="auto"/>
              <w:rPr>
                <w:rFonts w:ascii="仿宋_GB2312" w:hAnsi="仿宋_GB2312" w:eastAsia="仿宋_GB2312" w:cs="仿宋_GB2312"/>
                <w:sz w:val="21"/>
                <w:szCs w:val="21"/>
              </w:rPr>
            </w:pPr>
          </w:p>
        </w:tc>
        <w:tc>
          <w:tcPr>
            <w:tcW w:w="804" w:type="dxa"/>
          </w:tcPr>
          <w:p w14:paraId="023B6582">
            <w:pPr>
              <w:pStyle w:val="5"/>
              <w:adjustRightInd w:val="0"/>
              <w:snapToGrid w:val="0"/>
              <w:spacing w:before="0" w:after="0" w:line="240" w:lineRule="auto"/>
              <w:rPr>
                <w:rFonts w:ascii="仿宋_GB2312" w:hAnsi="仿宋_GB2312" w:eastAsia="仿宋_GB2312" w:cs="仿宋_GB2312"/>
                <w:sz w:val="21"/>
                <w:szCs w:val="21"/>
              </w:rPr>
            </w:pPr>
          </w:p>
        </w:tc>
        <w:tc>
          <w:tcPr>
            <w:tcW w:w="941" w:type="dxa"/>
          </w:tcPr>
          <w:p w14:paraId="4BC6259A">
            <w:pPr>
              <w:pStyle w:val="5"/>
              <w:adjustRightInd w:val="0"/>
              <w:snapToGrid w:val="0"/>
              <w:spacing w:before="0" w:after="0" w:line="240" w:lineRule="auto"/>
              <w:rPr>
                <w:rFonts w:ascii="仿宋_GB2312" w:hAnsi="仿宋_GB2312" w:eastAsia="仿宋_GB2312" w:cs="仿宋_GB2312"/>
                <w:sz w:val="21"/>
                <w:szCs w:val="21"/>
              </w:rPr>
            </w:pPr>
          </w:p>
        </w:tc>
      </w:tr>
      <w:tr w14:paraId="3FB69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46" w:type="dxa"/>
            <w:vAlign w:val="center"/>
          </w:tcPr>
          <w:p w14:paraId="2433EF22">
            <w:pPr>
              <w:widowControl/>
              <w:snapToGrid w:val="0"/>
              <w:jc w:val="center"/>
              <w:rPr>
                <w:rFonts w:ascii="仿宋_GB2312" w:hAnsi="仿宋_GB2312" w:eastAsia="仿宋_GB2312" w:cs="仿宋_GB2312"/>
              </w:rPr>
            </w:pPr>
            <w:r>
              <w:rPr>
                <w:rFonts w:hint="eastAsia" w:ascii="仿宋_GB2312" w:hAnsi="仿宋_GB2312" w:eastAsia="仿宋_GB2312" w:cs="仿宋_GB2312"/>
              </w:rPr>
              <w:t>6</w:t>
            </w:r>
          </w:p>
        </w:tc>
        <w:tc>
          <w:tcPr>
            <w:tcW w:w="3959" w:type="dxa"/>
            <w:vAlign w:val="center"/>
          </w:tcPr>
          <w:p w14:paraId="5FD68FBC">
            <w:pPr>
              <w:widowControl/>
              <w:snapToGrid w:val="0"/>
              <w:jc w:val="left"/>
              <w:rPr>
                <w:rFonts w:ascii="仿宋_GB2312" w:hAnsi="仿宋_GB2312" w:eastAsia="仿宋_GB2312" w:cs="仿宋_GB2312"/>
                <w:b/>
                <w:szCs w:val="21"/>
              </w:rPr>
            </w:pPr>
            <w:r>
              <w:rPr>
                <w:rFonts w:hint="eastAsia" w:ascii="仿宋_GB2312" w:hAnsi="仿宋_GB2312" w:eastAsia="仿宋_GB2312" w:cs="仿宋_GB2312"/>
              </w:rPr>
              <w:t>具有良好的商业信誉和健全的财务会计制度的承诺函</w:t>
            </w:r>
          </w:p>
        </w:tc>
        <w:tc>
          <w:tcPr>
            <w:tcW w:w="2003" w:type="dxa"/>
            <w:vAlign w:val="center"/>
          </w:tcPr>
          <w:p w14:paraId="6AF8B16B">
            <w:pPr>
              <w:pStyle w:val="5"/>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14:paraId="6B67E3C7">
            <w:pPr>
              <w:pStyle w:val="5"/>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14:paraId="67546FEB">
            <w:pPr>
              <w:pStyle w:val="5"/>
              <w:adjustRightInd w:val="0"/>
              <w:snapToGrid w:val="0"/>
              <w:spacing w:before="0" w:after="0" w:line="240" w:lineRule="auto"/>
              <w:rPr>
                <w:rFonts w:ascii="仿宋_GB2312" w:hAnsi="仿宋_GB2312" w:eastAsia="仿宋_GB2312" w:cs="仿宋_GB2312"/>
                <w:sz w:val="21"/>
                <w:szCs w:val="21"/>
              </w:rPr>
            </w:pPr>
          </w:p>
        </w:tc>
        <w:tc>
          <w:tcPr>
            <w:tcW w:w="804" w:type="dxa"/>
          </w:tcPr>
          <w:p w14:paraId="27298B40">
            <w:pPr>
              <w:pStyle w:val="5"/>
              <w:adjustRightInd w:val="0"/>
              <w:snapToGrid w:val="0"/>
              <w:spacing w:before="0" w:after="0" w:line="240" w:lineRule="auto"/>
              <w:rPr>
                <w:rFonts w:ascii="仿宋_GB2312" w:hAnsi="仿宋_GB2312" w:eastAsia="仿宋_GB2312" w:cs="仿宋_GB2312"/>
                <w:sz w:val="21"/>
                <w:szCs w:val="21"/>
              </w:rPr>
            </w:pPr>
          </w:p>
        </w:tc>
        <w:tc>
          <w:tcPr>
            <w:tcW w:w="941" w:type="dxa"/>
          </w:tcPr>
          <w:p w14:paraId="03E1B90E">
            <w:pPr>
              <w:pStyle w:val="5"/>
              <w:adjustRightInd w:val="0"/>
              <w:snapToGrid w:val="0"/>
              <w:spacing w:before="0" w:after="0" w:line="240" w:lineRule="auto"/>
              <w:rPr>
                <w:rFonts w:ascii="仿宋_GB2312" w:hAnsi="仿宋_GB2312" w:eastAsia="仿宋_GB2312" w:cs="仿宋_GB2312"/>
                <w:sz w:val="21"/>
                <w:szCs w:val="21"/>
              </w:rPr>
            </w:pPr>
          </w:p>
        </w:tc>
      </w:tr>
      <w:tr w14:paraId="762E9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14:paraId="155DAEE0">
            <w:pPr>
              <w:snapToGrid w:val="0"/>
              <w:jc w:val="center"/>
              <w:rPr>
                <w:rFonts w:ascii="仿宋_GB2312" w:hAnsi="仿宋_GB2312" w:eastAsia="仿宋_GB2312" w:cs="仿宋_GB2312"/>
              </w:rPr>
            </w:pPr>
            <w:r>
              <w:rPr>
                <w:rFonts w:hint="eastAsia" w:ascii="仿宋_GB2312" w:hAnsi="仿宋_GB2312" w:eastAsia="仿宋_GB2312" w:cs="仿宋_GB2312"/>
              </w:rPr>
              <w:t>7</w:t>
            </w:r>
          </w:p>
        </w:tc>
        <w:tc>
          <w:tcPr>
            <w:tcW w:w="3959" w:type="dxa"/>
            <w:vAlign w:val="center"/>
          </w:tcPr>
          <w:p w14:paraId="5439DDAA">
            <w:pPr>
              <w:adjustRightInd w:val="0"/>
              <w:snapToGrid w:val="0"/>
              <w:jc w:val="left"/>
              <w:rPr>
                <w:rFonts w:hint="eastAsia" w:ascii="仿宋_GB2312" w:hAnsi="仿宋_GB2312" w:eastAsia="仿宋_GB2312" w:cs="仿宋_GB2312"/>
                <w:b/>
                <w:szCs w:val="21"/>
              </w:rPr>
            </w:pPr>
            <w:r>
              <w:rPr>
                <w:rFonts w:hint="eastAsia" w:ascii="仿宋_GB2312" w:hAnsi="仿宋_GB2312" w:eastAsia="仿宋_GB2312" w:cs="仿宋_GB2312"/>
                <w:szCs w:val="21"/>
                <w:lang w:val="en-US" w:eastAsia="zh-CN"/>
              </w:rPr>
              <w:t>投标人须提供本单位营业执照所在地税务机关出具“提交首次响应文件时间”前3个月的税收证明原件；若供应商成立不满3个月，则提供自成立以来的税收证明原件</w:t>
            </w:r>
            <w:r>
              <w:rPr>
                <w:rFonts w:hint="eastAsia" w:ascii="仿宋_GB2312" w:hAnsi="仿宋_GB2312" w:eastAsia="仿宋_GB2312" w:cs="仿宋_GB2312"/>
                <w:szCs w:val="21"/>
              </w:rPr>
              <w:t>（注：依法不需要缴纳社会保障资金的投标人，应提供相关证明材料，包括相关法规要求原文及加盖公章的情况说明）</w:t>
            </w:r>
          </w:p>
        </w:tc>
        <w:tc>
          <w:tcPr>
            <w:tcW w:w="2003" w:type="dxa"/>
            <w:vAlign w:val="center"/>
          </w:tcPr>
          <w:p w14:paraId="7104459F">
            <w:pPr>
              <w:pStyle w:val="5"/>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14:paraId="283EC59D">
            <w:pPr>
              <w:pStyle w:val="5"/>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14:paraId="19E77A88">
            <w:pPr>
              <w:pStyle w:val="5"/>
              <w:adjustRightInd w:val="0"/>
              <w:snapToGrid w:val="0"/>
              <w:spacing w:before="0" w:after="0" w:line="240" w:lineRule="auto"/>
              <w:rPr>
                <w:rFonts w:ascii="仿宋_GB2312" w:hAnsi="仿宋_GB2312" w:eastAsia="仿宋_GB2312" w:cs="仿宋_GB2312"/>
                <w:sz w:val="21"/>
                <w:szCs w:val="21"/>
              </w:rPr>
            </w:pPr>
          </w:p>
        </w:tc>
        <w:tc>
          <w:tcPr>
            <w:tcW w:w="804" w:type="dxa"/>
          </w:tcPr>
          <w:p w14:paraId="055D0A7D">
            <w:pPr>
              <w:pStyle w:val="5"/>
              <w:adjustRightInd w:val="0"/>
              <w:snapToGrid w:val="0"/>
              <w:spacing w:before="0" w:after="0" w:line="240" w:lineRule="auto"/>
              <w:rPr>
                <w:rFonts w:ascii="仿宋_GB2312" w:hAnsi="仿宋_GB2312" w:eastAsia="仿宋_GB2312" w:cs="仿宋_GB2312"/>
                <w:sz w:val="21"/>
                <w:szCs w:val="21"/>
              </w:rPr>
            </w:pPr>
          </w:p>
        </w:tc>
        <w:tc>
          <w:tcPr>
            <w:tcW w:w="941" w:type="dxa"/>
          </w:tcPr>
          <w:p w14:paraId="42501FC3">
            <w:pPr>
              <w:pStyle w:val="5"/>
              <w:adjustRightInd w:val="0"/>
              <w:snapToGrid w:val="0"/>
              <w:spacing w:before="0" w:after="0" w:line="240" w:lineRule="auto"/>
              <w:rPr>
                <w:rFonts w:ascii="仿宋_GB2312" w:hAnsi="仿宋_GB2312" w:eastAsia="仿宋_GB2312" w:cs="仿宋_GB2312"/>
                <w:sz w:val="21"/>
                <w:szCs w:val="21"/>
              </w:rPr>
            </w:pPr>
          </w:p>
        </w:tc>
      </w:tr>
      <w:tr w14:paraId="05287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14:paraId="69588146">
            <w:pPr>
              <w:snapToGrid w:val="0"/>
              <w:jc w:val="center"/>
              <w:rPr>
                <w:rFonts w:ascii="仿宋_GB2312" w:hAnsi="仿宋_GB2312" w:eastAsia="仿宋_GB2312" w:cs="仿宋_GB2312"/>
              </w:rPr>
            </w:pPr>
            <w:r>
              <w:rPr>
                <w:rFonts w:hint="eastAsia" w:ascii="仿宋_GB2312" w:hAnsi="仿宋_GB2312" w:eastAsia="仿宋_GB2312" w:cs="仿宋_GB2312"/>
              </w:rPr>
              <w:t>8</w:t>
            </w:r>
          </w:p>
        </w:tc>
        <w:tc>
          <w:tcPr>
            <w:tcW w:w="3959" w:type="dxa"/>
            <w:vAlign w:val="center"/>
          </w:tcPr>
          <w:p w14:paraId="7A897726">
            <w:pPr>
              <w:adjustRightInd w:val="0"/>
              <w:snapToGrid w:val="0"/>
              <w:jc w:val="left"/>
              <w:rPr>
                <w:rFonts w:hint="eastAsia" w:ascii="仿宋_GB2312" w:hAnsi="仿宋_GB2312" w:eastAsia="仿宋_GB2312" w:cs="仿宋_GB2312"/>
                <w:b/>
                <w:szCs w:val="21"/>
              </w:rPr>
            </w:pPr>
            <w:r>
              <w:rPr>
                <w:rFonts w:hint="eastAsia" w:ascii="仿宋_GB2312" w:hAnsi="仿宋_GB2312" w:eastAsia="仿宋_GB2312" w:cs="仿宋_GB2312"/>
                <w:szCs w:val="21"/>
                <w:lang w:val="en-US" w:eastAsia="zh-CN"/>
              </w:rPr>
              <w:t>投标人须提供投标人所在地社会保险经办机构出具的“提交首次响应文件时间”前3个月内单位实缴社会保险费用证明原件，若供应商成立不满3个月，则提供自成立以来的单位实缴社会保险费用证明原件</w:t>
            </w:r>
            <w:r>
              <w:rPr>
                <w:rFonts w:hint="eastAsia" w:ascii="仿宋_GB2312" w:hAnsi="仿宋_GB2312" w:eastAsia="仿宋_GB2312" w:cs="仿宋_GB2312"/>
                <w:szCs w:val="21"/>
              </w:rPr>
              <w:t>（注：依法免税的投标人，应提供相关证明材料，包括相关法规要求原文及加盖单位公章的情况说明）</w:t>
            </w:r>
          </w:p>
        </w:tc>
        <w:tc>
          <w:tcPr>
            <w:tcW w:w="2003" w:type="dxa"/>
            <w:vAlign w:val="center"/>
          </w:tcPr>
          <w:p w14:paraId="52F1760A">
            <w:pPr>
              <w:pStyle w:val="5"/>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14:paraId="5A5CEDA5">
            <w:pPr>
              <w:pStyle w:val="5"/>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14:paraId="4F6BF9A6">
            <w:pPr>
              <w:pStyle w:val="5"/>
              <w:adjustRightInd w:val="0"/>
              <w:snapToGrid w:val="0"/>
              <w:spacing w:before="0" w:after="0" w:line="240" w:lineRule="auto"/>
              <w:rPr>
                <w:rFonts w:ascii="仿宋_GB2312" w:hAnsi="仿宋_GB2312" w:eastAsia="仿宋_GB2312" w:cs="仿宋_GB2312"/>
                <w:sz w:val="21"/>
                <w:szCs w:val="21"/>
              </w:rPr>
            </w:pPr>
          </w:p>
        </w:tc>
        <w:tc>
          <w:tcPr>
            <w:tcW w:w="804" w:type="dxa"/>
          </w:tcPr>
          <w:p w14:paraId="111D893F">
            <w:pPr>
              <w:pStyle w:val="5"/>
              <w:adjustRightInd w:val="0"/>
              <w:snapToGrid w:val="0"/>
              <w:spacing w:before="0" w:after="0" w:line="240" w:lineRule="auto"/>
              <w:rPr>
                <w:rFonts w:ascii="仿宋_GB2312" w:hAnsi="仿宋_GB2312" w:eastAsia="仿宋_GB2312" w:cs="仿宋_GB2312"/>
                <w:sz w:val="21"/>
                <w:szCs w:val="21"/>
              </w:rPr>
            </w:pPr>
          </w:p>
        </w:tc>
        <w:tc>
          <w:tcPr>
            <w:tcW w:w="941" w:type="dxa"/>
          </w:tcPr>
          <w:p w14:paraId="198BDB38">
            <w:pPr>
              <w:pStyle w:val="5"/>
              <w:adjustRightInd w:val="0"/>
              <w:snapToGrid w:val="0"/>
              <w:spacing w:before="0" w:after="0" w:line="240" w:lineRule="auto"/>
              <w:rPr>
                <w:rFonts w:ascii="仿宋_GB2312" w:hAnsi="仿宋_GB2312" w:eastAsia="仿宋_GB2312" w:cs="仿宋_GB2312"/>
                <w:sz w:val="21"/>
                <w:szCs w:val="21"/>
              </w:rPr>
            </w:pPr>
          </w:p>
        </w:tc>
      </w:tr>
      <w:tr w14:paraId="358CF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14:paraId="55D4FA8B">
            <w:pPr>
              <w:snapToGrid w:val="0"/>
              <w:jc w:val="center"/>
              <w:rPr>
                <w:rFonts w:ascii="仿宋_GB2312" w:hAnsi="仿宋_GB2312" w:eastAsia="仿宋_GB2312" w:cs="仿宋_GB2312"/>
              </w:rPr>
            </w:pPr>
            <w:r>
              <w:rPr>
                <w:rFonts w:hint="eastAsia" w:ascii="仿宋_GB2312" w:hAnsi="仿宋_GB2312" w:eastAsia="仿宋_GB2312" w:cs="仿宋_GB2312"/>
              </w:rPr>
              <w:t>9</w:t>
            </w:r>
          </w:p>
        </w:tc>
        <w:tc>
          <w:tcPr>
            <w:tcW w:w="3959" w:type="dxa"/>
            <w:vAlign w:val="center"/>
          </w:tcPr>
          <w:p w14:paraId="1A86EFD6">
            <w:pPr>
              <w:snapToGrid w:val="0"/>
              <w:jc w:val="left"/>
              <w:rPr>
                <w:rFonts w:ascii="仿宋_GB2312" w:hAnsi="仿宋_GB2312" w:eastAsia="仿宋_GB2312" w:cs="仿宋_GB2312"/>
              </w:rPr>
            </w:pPr>
            <w:r>
              <w:rPr>
                <w:rFonts w:hint="eastAsia" w:ascii="仿宋_GB2312" w:hAnsi="仿宋_GB2312" w:eastAsia="仿宋_GB2312" w:cs="仿宋_GB2312"/>
              </w:rPr>
              <w:t>具备履行合同所必需的设备和专业技术能力声明函</w:t>
            </w:r>
          </w:p>
        </w:tc>
        <w:tc>
          <w:tcPr>
            <w:tcW w:w="2003" w:type="dxa"/>
            <w:vAlign w:val="center"/>
          </w:tcPr>
          <w:p w14:paraId="5FE00114">
            <w:pPr>
              <w:pStyle w:val="5"/>
              <w:adjustRightInd w:val="0"/>
              <w:snapToGrid w:val="0"/>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14:paraId="35705977">
            <w:pPr>
              <w:pStyle w:val="5"/>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14:paraId="5FED10A9">
            <w:pPr>
              <w:pStyle w:val="5"/>
              <w:adjustRightInd w:val="0"/>
              <w:snapToGrid w:val="0"/>
              <w:spacing w:before="0" w:after="0" w:line="240" w:lineRule="auto"/>
              <w:rPr>
                <w:rFonts w:ascii="仿宋_GB2312" w:hAnsi="仿宋_GB2312" w:eastAsia="仿宋_GB2312" w:cs="仿宋_GB2312"/>
                <w:sz w:val="21"/>
                <w:szCs w:val="21"/>
              </w:rPr>
            </w:pPr>
          </w:p>
        </w:tc>
        <w:tc>
          <w:tcPr>
            <w:tcW w:w="804" w:type="dxa"/>
          </w:tcPr>
          <w:p w14:paraId="2600AFC3">
            <w:pPr>
              <w:pStyle w:val="5"/>
              <w:adjustRightInd w:val="0"/>
              <w:snapToGrid w:val="0"/>
              <w:spacing w:before="0" w:after="0" w:line="240" w:lineRule="auto"/>
              <w:rPr>
                <w:rFonts w:ascii="仿宋_GB2312" w:hAnsi="仿宋_GB2312" w:eastAsia="仿宋_GB2312" w:cs="仿宋_GB2312"/>
                <w:sz w:val="21"/>
                <w:szCs w:val="21"/>
              </w:rPr>
            </w:pPr>
          </w:p>
        </w:tc>
        <w:tc>
          <w:tcPr>
            <w:tcW w:w="941" w:type="dxa"/>
          </w:tcPr>
          <w:p w14:paraId="40224E9C">
            <w:pPr>
              <w:pStyle w:val="5"/>
              <w:adjustRightInd w:val="0"/>
              <w:snapToGrid w:val="0"/>
              <w:spacing w:before="0" w:after="0" w:line="240" w:lineRule="auto"/>
              <w:rPr>
                <w:rFonts w:ascii="仿宋_GB2312" w:hAnsi="仿宋_GB2312" w:eastAsia="仿宋_GB2312" w:cs="仿宋_GB2312"/>
                <w:sz w:val="21"/>
                <w:szCs w:val="21"/>
              </w:rPr>
            </w:pPr>
          </w:p>
        </w:tc>
      </w:tr>
      <w:tr w14:paraId="52B3B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14:paraId="30C7060C">
            <w:pPr>
              <w:snapToGrid w:val="0"/>
              <w:jc w:val="center"/>
              <w:rPr>
                <w:rFonts w:ascii="仿宋_GB2312" w:hAnsi="仿宋_GB2312" w:eastAsia="仿宋_GB2312" w:cs="仿宋_GB2312"/>
              </w:rPr>
            </w:pPr>
            <w:r>
              <w:rPr>
                <w:rFonts w:hint="eastAsia" w:ascii="仿宋_GB2312" w:hAnsi="仿宋_GB2312" w:eastAsia="仿宋_GB2312" w:cs="仿宋_GB2312"/>
                <w:szCs w:val="21"/>
              </w:rPr>
              <w:t>10</w:t>
            </w:r>
          </w:p>
        </w:tc>
        <w:tc>
          <w:tcPr>
            <w:tcW w:w="3959" w:type="dxa"/>
            <w:vAlign w:val="center"/>
          </w:tcPr>
          <w:p w14:paraId="4D5988C5">
            <w:pPr>
              <w:snapToGrid w:val="0"/>
              <w:jc w:val="left"/>
              <w:rPr>
                <w:rFonts w:ascii="仿宋_GB2312" w:hAnsi="仿宋_GB2312" w:eastAsia="仿宋_GB2312" w:cs="仿宋_GB2312"/>
              </w:rPr>
            </w:pPr>
            <w:r>
              <w:rPr>
                <w:rFonts w:hint="eastAsia" w:ascii="仿宋_GB2312" w:hAnsi="仿宋_GB2312" w:eastAsia="仿宋_GB2312" w:cs="仿宋_GB2312"/>
                <w:szCs w:val="21"/>
              </w:rPr>
              <w:t>参加政府采购活动前3年内在经营活动中没有重大违法记录的书面声明</w:t>
            </w:r>
          </w:p>
        </w:tc>
        <w:tc>
          <w:tcPr>
            <w:tcW w:w="2003" w:type="dxa"/>
          </w:tcPr>
          <w:p w14:paraId="778539E2">
            <w:pPr>
              <w:pStyle w:val="5"/>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14:paraId="71500702">
            <w:pPr>
              <w:pStyle w:val="5"/>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14:paraId="19ECB63C">
            <w:pPr>
              <w:pStyle w:val="5"/>
              <w:adjustRightInd w:val="0"/>
              <w:snapToGrid w:val="0"/>
              <w:spacing w:before="0" w:after="0" w:line="240" w:lineRule="auto"/>
              <w:rPr>
                <w:rFonts w:ascii="仿宋_GB2312" w:hAnsi="仿宋_GB2312" w:eastAsia="仿宋_GB2312" w:cs="仿宋_GB2312"/>
                <w:sz w:val="21"/>
                <w:szCs w:val="21"/>
              </w:rPr>
            </w:pPr>
          </w:p>
        </w:tc>
        <w:tc>
          <w:tcPr>
            <w:tcW w:w="804" w:type="dxa"/>
          </w:tcPr>
          <w:p w14:paraId="6D3FC091">
            <w:pPr>
              <w:pStyle w:val="5"/>
              <w:adjustRightInd w:val="0"/>
              <w:snapToGrid w:val="0"/>
              <w:spacing w:before="0" w:after="0" w:line="240" w:lineRule="auto"/>
              <w:rPr>
                <w:rFonts w:ascii="仿宋_GB2312" w:hAnsi="仿宋_GB2312" w:eastAsia="仿宋_GB2312" w:cs="仿宋_GB2312"/>
                <w:sz w:val="21"/>
                <w:szCs w:val="21"/>
              </w:rPr>
            </w:pPr>
          </w:p>
        </w:tc>
        <w:tc>
          <w:tcPr>
            <w:tcW w:w="941" w:type="dxa"/>
          </w:tcPr>
          <w:p w14:paraId="0FECA214">
            <w:pPr>
              <w:pStyle w:val="5"/>
              <w:adjustRightInd w:val="0"/>
              <w:snapToGrid w:val="0"/>
              <w:spacing w:before="0" w:after="0" w:line="240" w:lineRule="auto"/>
              <w:rPr>
                <w:rFonts w:ascii="仿宋_GB2312" w:hAnsi="仿宋_GB2312" w:eastAsia="仿宋_GB2312" w:cs="仿宋_GB2312"/>
                <w:sz w:val="21"/>
                <w:szCs w:val="21"/>
              </w:rPr>
            </w:pPr>
          </w:p>
        </w:tc>
      </w:tr>
      <w:tr w14:paraId="745B2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14:paraId="26AFE059">
            <w:pPr>
              <w:snapToGrid w:val="0"/>
              <w:jc w:val="center"/>
              <w:rPr>
                <w:rFonts w:ascii="仿宋_GB2312" w:hAnsi="仿宋_GB2312" w:eastAsia="仿宋_GB2312" w:cs="仿宋_GB2312"/>
              </w:rPr>
            </w:pPr>
            <w:r>
              <w:rPr>
                <w:rFonts w:hint="eastAsia" w:ascii="仿宋_GB2312" w:hAnsi="仿宋_GB2312" w:eastAsia="仿宋_GB2312" w:cs="仿宋_GB2312"/>
                <w:szCs w:val="21"/>
              </w:rPr>
              <w:t>12</w:t>
            </w:r>
          </w:p>
        </w:tc>
        <w:tc>
          <w:tcPr>
            <w:tcW w:w="3959" w:type="dxa"/>
            <w:vAlign w:val="center"/>
          </w:tcPr>
          <w:p w14:paraId="1864B31D">
            <w:pPr>
              <w:snapToGrid w:val="0"/>
              <w:jc w:val="left"/>
              <w:rPr>
                <w:rFonts w:ascii="仿宋_GB2312" w:hAnsi="仿宋_GB2312" w:eastAsia="仿宋_GB2312" w:cs="仿宋_GB2312"/>
                <w:b/>
                <w:szCs w:val="21"/>
              </w:rPr>
            </w:pPr>
            <w:r>
              <w:rPr>
                <w:rFonts w:hint="eastAsia" w:ascii="仿宋_GB2312" w:hAnsi="仿宋_GB2312" w:eastAsia="仿宋_GB2312" w:cs="仿宋_GB2312"/>
                <w:szCs w:val="21"/>
              </w:rPr>
              <w:t>其它资格证明文件（如适用，按投标人须知表1.3.4要求描述）</w:t>
            </w:r>
          </w:p>
        </w:tc>
        <w:tc>
          <w:tcPr>
            <w:tcW w:w="2003" w:type="dxa"/>
            <w:vAlign w:val="center"/>
          </w:tcPr>
          <w:p w14:paraId="29377A63">
            <w:pPr>
              <w:pStyle w:val="5"/>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14:paraId="3F3E7C39">
            <w:pPr>
              <w:pStyle w:val="5"/>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14:paraId="221BF2B9">
            <w:pPr>
              <w:pStyle w:val="5"/>
              <w:adjustRightInd w:val="0"/>
              <w:snapToGrid w:val="0"/>
              <w:spacing w:before="0" w:after="0" w:line="240" w:lineRule="auto"/>
              <w:rPr>
                <w:rFonts w:ascii="仿宋_GB2312" w:hAnsi="仿宋_GB2312" w:eastAsia="仿宋_GB2312" w:cs="仿宋_GB2312"/>
                <w:sz w:val="21"/>
                <w:szCs w:val="21"/>
              </w:rPr>
            </w:pPr>
          </w:p>
        </w:tc>
        <w:tc>
          <w:tcPr>
            <w:tcW w:w="804" w:type="dxa"/>
          </w:tcPr>
          <w:p w14:paraId="3F0135CC">
            <w:pPr>
              <w:pStyle w:val="5"/>
              <w:adjustRightInd w:val="0"/>
              <w:snapToGrid w:val="0"/>
              <w:spacing w:before="0" w:after="0" w:line="240" w:lineRule="auto"/>
              <w:rPr>
                <w:rFonts w:ascii="仿宋_GB2312" w:hAnsi="仿宋_GB2312" w:eastAsia="仿宋_GB2312" w:cs="仿宋_GB2312"/>
                <w:sz w:val="21"/>
                <w:szCs w:val="21"/>
              </w:rPr>
            </w:pPr>
          </w:p>
        </w:tc>
        <w:tc>
          <w:tcPr>
            <w:tcW w:w="941" w:type="dxa"/>
          </w:tcPr>
          <w:p w14:paraId="1FFA8386">
            <w:pPr>
              <w:pStyle w:val="5"/>
              <w:adjustRightInd w:val="0"/>
              <w:snapToGrid w:val="0"/>
              <w:spacing w:before="0" w:after="0" w:line="240" w:lineRule="auto"/>
              <w:rPr>
                <w:rFonts w:ascii="仿宋_GB2312" w:hAnsi="仿宋_GB2312" w:eastAsia="仿宋_GB2312" w:cs="仿宋_GB2312"/>
                <w:sz w:val="21"/>
                <w:szCs w:val="21"/>
              </w:rPr>
            </w:pPr>
          </w:p>
        </w:tc>
      </w:tr>
      <w:tr w14:paraId="1BCEE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46" w:type="dxa"/>
            <w:vAlign w:val="center"/>
          </w:tcPr>
          <w:p w14:paraId="2FAF7179">
            <w:pPr>
              <w:snapToGrid w:val="0"/>
              <w:jc w:val="center"/>
              <w:rPr>
                <w:rFonts w:ascii="仿宋_GB2312" w:hAnsi="仿宋_GB2312" w:eastAsia="仿宋_GB2312" w:cs="仿宋_GB2312"/>
              </w:rPr>
            </w:pPr>
            <w:r>
              <w:rPr>
                <w:rFonts w:hint="eastAsia" w:ascii="仿宋_GB2312" w:hAnsi="仿宋_GB2312" w:eastAsia="仿宋_GB2312" w:cs="仿宋_GB2312"/>
              </w:rPr>
              <w:t>14</w:t>
            </w:r>
          </w:p>
        </w:tc>
        <w:tc>
          <w:tcPr>
            <w:tcW w:w="3959" w:type="dxa"/>
            <w:vAlign w:val="center"/>
          </w:tcPr>
          <w:p w14:paraId="4ADB9BF4">
            <w:pPr>
              <w:snapToGrid w:val="0"/>
              <w:jc w:val="left"/>
              <w:rPr>
                <w:rFonts w:ascii="仿宋_GB2312" w:hAnsi="仿宋_GB2312" w:eastAsia="仿宋_GB2312" w:cs="仿宋_GB2312"/>
              </w:rPr>
            </w:pPr>
            <w:r>
              <w:rPr>
                <w:rFonts w:hint="eastAsia" w:ascii="仿宋_GB2312" w:hAnsi="仿宋_GB2312" w:eastAsia="仿宋_GB2312" w:cs="仿宋_GB2312"/>
              </w:rPr>
              <w:t>信用记录（</w:t>
            </w:r>
            <w:r>
              <w:rPr>
                <w:rFonts w:hint="eastAsia" w:ascii="仿宋_GB2312" w:hAnsi="仿宋_GB2312" w:eastAsia="仿宋_GB2312" w:cs="仿宋_GB2312"/>
                <w:szCs w:val="21"/>
              </w:rPr>
              <w:t>采购人或采购代理机构将按照招标文件规定的审查期间内进行查询</w:t>
            </w:r>
            <w:r>
              <w:rPr>
                <w:rFonts w:hint="eastAsia" w:ascii="仿宋_GB2312" w:hAnsi="仿宋_GB2312" w:eastAsia="仿宋_GB2312" w:cs="仿宋_GB2312"/>
              </w:rPr>
              <w:t>）</w:t>
            </w:r>
          </w:p>
          <w:p w14:paraId="513B5AF5">
            <w:pPr>
              <w:snapToGrid w:val="0"/>
              <w:jc w:val="left"/>
              <w:rPr>
                <w:rFonts w:ascii="仿宋_GB2312" w:hAnsi="仿宋_GB2312" w:eastAsia="仿宋_GB2312" w:cs="仿宋_GB2312"/>
              </w:rPr>
            </w:pPr>
            <w:r>
              <w:rPr>
                <w:rFonts w:hint="eastAsia" w:ascii="仿宋_GB2312" w:hAnsi="仿宋_GB2312" w:eastAsia="仿宋_GB2312" w:cs="仿宋_GB2312"/>
              </w:rPr>
              <w:t>联合体各方均需查询（如适用）</w:t>
            </w:r>
          </w:p>
        </w:tc>
        <w:tc>
          <w:tcPr>
            <w:tcW w:w="2003" w:type="dxa"/>
          </w:tcPr>
          <w:p w14:paraId="646910D1">
            <w:pPr>
              <w:pStyle w:val="5"/>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无投标须知22.2.1所述的不良记录</w:t>
            </w:r>
          </w:p>
        </w:tc>
        <w:tc>
          <w:tcPr>
            <w:tcW w:w="923" w:type="dxa"/>
          </w:tcPr>
          <w:p w14:paraId="272FBBEB">
            <w:pPr>
              <w:pStyle w:val="5"/>
              <w:adjustRightInd w:val="0"/>
              <w:snapToGrid w:val="0"/>
              <w:spacing w:before="0" w:after="0" w:line="240" w:lineRule="auto"/>
              <w:rPr>
                <w:rFonts w:ascii="仿宋_GB2312" w:hAnsi="仿宋_GB2312" w:eastAsia="仿宋_GB2312" w:cs="仿宋_GB2312"/>
                <w:sz w:val="21"/>
                <w:szCs w:val="21"/>
              </w:rPr>
            </w:pPr>
          </w:p>
        </w:tc>
        <w:tc>
          <w:tcPr>
            <w:tcW w:w="804" w:type="dxa"/>
          </w:tcPr>
          <w:p w14:paraId="589F4D17">
            <w:pPr>
              <w:pStyle w:val="5"/>
              <w:adjustRightInd w:val="0"/>
              <w:snapToGrid w:val="0"/>
              <w:spacing w:before="0" w:after="0" w:line="240" w:lineRule="auto"/>
              <w:rPr>
                <w:rFonts w:ascii="仿宋_GB2312" w:hAnsi="仿宋_GB2312" w:eastAsia="仿宋_GB2312" w:cs="仿宋_GB2312"/>
                <w:sz w:val="21"/>
                <w:szCs w:val="21"/>
              </w:rPr>
            </w:pPr>
          </w:p>
        </w:tc>
        <w:tc>
          <w:tcPr>
            <w:tcW w:w="941" w:type="dxa"/>
          </w:tcPr>
          <w:p w14:paraId="61336C2C">
            <w:pPr>
              <w:pStyle w:val="5"/>
              <w:adjustRightInd w:val="0"/>
              <w:snapToGrid w:val="0"/>
              <w:spacing w:before="0" w:after="0" w:line="240" w:lineRule="auto"/>
              <w:rPr>
                <w:rFonts w:ascii="仿宋_GB2312" w:hAnsi="仿宋_GB2312" w:eastAsia="仿宋_GB2312" w:cs="仿宋_GB2312"/>
                <w:sz w:val="21"/>
                <w:szCs w:val="21"/>
              </w:rPr>
            </w:pPr>
          </w:p>
        </w:tc>
      </w:tr>
      <w:tr w14:paraId="57D3B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46" w:type="dxa"/>
            <w:vAlign w:val="center"/>
          </w:tcPr>
          <w:p w14:paraId="031ECB5F">
            <w:pPr>
              <w:snapToGrid w:val="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15</w:t>
            </w:r>
          </w:p>
        </w:tc>
        <w:tc>
          <w:tcPr>
            <w:tcW w:w="3959" w:type="dxa"/>
            <w:vAlign w:val="center"/>
          </w:tcPr>
          <w:p w14:paraId="4372E8BC">
            <w:pPr>
              <w:snapToGrid w:val="0"/>
              <w:jc w:val="left"/>
              <w:rPr>
                <w:rFonts w:ascii="仿宋_GB2312" w:hAnsi="仿宋_GB2312" w:eastAsia="仿宋_GB2312" w:cs="仿宋_GB2312"/>
              </w:rPr>
            </w:pPr>
            <w:r>
              <w:rPr>
                <w:rFonts w:hint="eastAsia" w:ascii="仿宋_GB2312" w:hAnsi="仿宋_GB2312" w:eastAsia="仿宋_GB2312" w:cs="仿宋_GB2312"/>
                <w:szCs w:val="21"/>
                <w:lang w:val="en-US" w:eastAsia="zh-CN"/>
              </w:rPr>
              <w:t>中小企业声明函</w:t>
            </w:r>
          </w:p>
        </w:tc>
        <w:tc>
          <w:tcPr>
            <w:tcW w:w="2003" w:type="dxa"/>
          </w:tcPr>
          <w:p w14:paraId="7F7E9119">
            <w:pPr>
              <w:pStyle w:val="5"/>
              <w:adjustRightInd w:val="0"/>
              <w:snapToGrid w:val="0"/>
              <w:spacing w:before="0" w:after="0" w:line="240" w:lineRule="auto"/>
              <w:jc w:val="left"/>
              <w:rPr>
                <w:rFonts w:ascii="仿宋_GB2312" w:hAnsi="仿宋_GB2312" w:eastAsia="仿宋_GB2312" w:cs="仿宋_GB2312"/>
                <w:b w:val="0"/>
                <w:sz w:val="21"/>
                <w:szCs w:val="21"/>
              </w:rPr>
            </w:pPr>
          </w:p>
        </w:tc>
        <w:tc>
          <w:tcPr>
            <w:tcW w:w="923" w:type="dxa"/>
          </w:tcPr>
          <w:p w14:paraId="6704C865">
            <w:pPr>
              <w:pStyle w:val="5"/>
              <w:adjustRightInd w:val="0"/>
              <w:snapToGrid w:val="0"/>
              <w:spacing w:before="0" w:after="0" w:line="240" w:lineRule="auto"/>
              <w:rPr>
                <w:rFonts w:ascii="仿宋_GB2312" w:hAnsi="仿宋_GB2312" w:eastAsia="仿宋_GB2312" w:cs="仿宋_GB2312"/>
                <w:sz w:val="21"/>
                <w:szCs w:val="21"/>
              </w:rPr>
            </w:pPr>
          </w:p>
        </w:tc>
        <w:tc>
          <w:tcPr>
            <w:tcW w:w="804" w:type="dxa"/>
          </w:tcPr>
          <w:p w14:paraId="3786C542">
            <w:pPr>
              <w:pStyle w:val="5"/>
              <w:adjustRightInd w:val="0"/>
              <w:snapToGrid w:val="0"/>
              <w:spacing w:before="0" w:after="0" w:line="240" w:lineRule="auto"/>
              <w:rPr>
                <w:rFonts w:ascii="仿宋_GB2312" w:hAnsi="仿宋_GB2312" w:eastAsia="仿宋_GB2312" w:cs="仿宋_GB2312"/>
                <w:sz w:val="21"/>
                <w:szCs w:val="21"/>
              </w:rPr>
            </w:pPr>
          </w:p>
        </w:tc>
        <w:tc>
          <w:tcPr>
            <w:tcW w:w="941" w:type="dxa"/>
          </w:tcPr>
          <w:p w14:paraId="61FA1F8C">
            <w:pPr>
              <w:pStyle w:val="5"/>
              <w:adjustRightInd w:val="0"/>
              <w:snapToGrid w:val="0"/>
              <w:spacing w:before="0" w:after="0" w:line="240" w:lineRule="auto"/>
              <w:rPr>
                <w:rFonts w:ascii="仿宋_GB2312" w:hAnsi="仿宋_GB2312" w:eastAsia="仿宋_GB2312" w:cs="仿宋_GB2312"/>
                <w:sz w:val="21"/>
                <w:szCs w:val="21"/>
              </w:rPr>
            </w:pPr>
          </w:p>
        </w:tc>
      </w:tr>
      <w:tr w14:paraId="38100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46" w:type="dxa"/>
            <w:vAlign w:val="center"/>
          </w:tcPr>
          <w:p w14:paraId="2BD59744">
            <w:pPr>
              <w:snapToGrid w:val="0"/>
              <w:jc w:val="center"/>
              <w:rPr>
                <w:rFonts w:ascii="仿宋_GB2312" w:hAnsi="仿宋_GB2312" w:eastAsia="仿宋_GB2312" w:cs="仿宋_GB2312"/>
              </w:rPr>
            </w:pPr>
          </w:p>
        </w:tc>
        <w:tc>
          <w:tcPr>
            <w:tcW w:w="3959" w:type="dxa"/>
            <w:vAlign w:val="center"/>
          </w:tcPr>
          <w:p w14:paraId="026B958A">
            <w:pPr>
              <w:snapToGrid w:val="0"/>
              <w:jc w:val="center"/>
              <w:rPr>
                <w:rFonts w:ascii="仿宋_GB2312" w:hAnsi="仿宋_GB2312" w:eastAsia="仿宋_GB2312" w:cs="仿宋_GB2312"/>
              </w:rPr>
            </w:pPr>
            <w:r>
              <w:rPr>
                <w:rFonts w:hint="eastAsia" w:ascii="仿宋_GB2312" w:hAnsi="仿宋_GB2312" w:eastAsia="仿宋_GB2312" w:cs="仿宋_GB2312"/>
              </w:rPr>
              <w:t>结论</w:t>
            </w:r>
          </w:p>
        </w:tc>
        <w:tc>
          <w:tcPr>
            <w:tcW w:w="2003" w:type="dxa"/>
          </w:tcPr>
          <w:p w14:paraId="2A13A6CE">
            <w:pPr>
              <w:pStyle w:val="5"/>
              <w:adjustRightInd w:val="0"/>
              <w:snapToGrid w:val="0"/>
              <w:spacing w:before="0" w:after="0" w:line="240" w:lineRule="auto"/>
              <w:rPr>
                <w:rFonts w:ascii="仿宋_GB2312" w:hAnsi="仿宋_GB2312" w:eastAsia="仿宋_GB2312" w:cs="仿宋_GB2312"/>
                <w:sz w:val="21"/>
                <w:szCs w:val="21"/>
              </w:rPr>
            </w:pPr>
          </w:p>
        </w:tc>
        <w:tc>
          <w:tcPr>
            <w:tcW w:w="923" w:type="dxa"/>
          </w:tcPr>
          <w:p w14:paraId="03321A45">
            <w:pPr>
              <w:pStyle w:val="5"/>
              <w:adjustRightInd w:val="0"/>
              <w:snapToGrid w:val="0"/>
              <w:spacing w:before="0" w:after="0" w:line="240" w:lineRule="auto"/>
              <w:rPr>
                <w:rFonts w:ascii="仿宋_GB2312" w:hAnsi="仿宋_GB2312" w:eastAsia="仿宋_GB2312" w:cs="仿宋_GB2312"/>
                <w:sz w:val="21"/>
                <w:szCs w:val="21"/>
              </w:rPr>
            </w:pPr>
          </w:p>
        </w:tc>
        <w:tc>
          <w:tcPr>
            <w:tcW w:w="804" w:type="dxa"/>
          </w:tcPr>
          <w:p w14:paraId="39887D1C">
            <w:pPr>
              <w:pStyle w:val="5"/>
              <w:adjustRightInd w:val="0"/>
              <w:snapToGrid w:val="0"/>
              <w:spacing w:before="0" w:after="0" w:line="240" w:lineRule="auto"/>
              <w:rPr>
                <w:rFonts w:ascii="仿宋_GB2312" w:hAnsi="仿宋_GB2312" w:eastAsia="仿宋_GB2312" w:cs="仿宋_GB2312"/>
                <w:sz w:val="21"/>
                <w:szCs w:val="21"/>
              </w:rPr>
            </w:pPr>
          </w:p>
        </w:tc>
        <w:tc>
          <w:tcPr>
            <w:tcW w:w="941" w:type="dxa"/>
          </w:tcPr>
          <w:p w14:paraId="09614DAC">
            <w:pPr>
              <w:pStyle w:val="5"/>
              <w:adjustRightInd w:val="0"/>
              <w:snapToGrid w:val="0"/>
              <w:spacing w:before="0" w:after="0" w:line="240" w:lineRule="auto"/>
              <w:rPr>
                <w:rFonts w:ascii="仿宋_GB2312" w:hAnsi="仿宋_GB2312" w:eastAsia="仿宋_GB2312" w:cs="仿宋_GB2312"/>
                <w:sz w:val="21"/>
                <w:szCs w:val="21"/>
              </w:rPr>
            </w:pPr>
          </w:p>
        </w:tc>
      </w:tr>
    </w:tbl>
    <w:p w14:paraId="73531568">
      <w:pPr>
        <w:snapToGrid w:val="0"/>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14:paraId="1DA9F3F1">
      <w:pPr>
        <w:snapToGrid w:val="0"/>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14:paraId="7585436B">
      <w:pPr>
        <w:rPr>
          <w:rFonts w:ascii="仿宋_GB2312" w:hAnsi="仿宋_GB2312" w:eastAsia="仿宋_GB2312" w:cs="仿宋_GB2312"/>
        </w:rPr>
      </w:pPr>
    </w:p>
    <w:p w14:paraId="0C260465">
      <w:pPr>
        <w:pStyle w:val="18"/>
        <w:widowControl w:val="0"/>
        <w:snapToGrid w:val="0"/>
        <w:spacing w:before="0" w:beforeAutospacing="0" w:after="0" w:afterAutospacing="0" w:line="48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审查人签字：</w:t>
      </w:r>
    </w:p>
    <w:p w14:paraId="2681EBC0">
      <w:pPr>
        <w:pStyle w:val="18"/>
        <w:widowControl w:val="0"/>
        <w:snapToGrid w:val="0"/>
        <w:spacing w:before="0" w:beforeAutospacing="0" w:after="0" w:afterAutospacing="0" w:line="480" w:lineRule="auto"/>
        <w:jc w:val="both"/>
        <w:rPr>
          <w:rFonts w:ascii="仿宋_GB2312" w:hAnsi="仿宋_GB2312" w:eastAsia="仿宋_GB2312" w:cs="仿宋_GB2312"/>
          <w:bCs/>
          <w:sz w:val="21"/>
          <w:szCs w:val="21"/>
        </w:rPr>
      </w:pPr>
      <w:r>
        <w:rPr>
          <w:rFonts w:hint="eastAsia" w:ascii="仿宋_GB2312" w:hAnsi="仿宋_GB2312" w:eastAsia="仿宋_GB2312" w:cs="仿宋_GB2312"/>
          <w:bCs/>
          <w:sz w:val="21"/>
          <w:szCs w:val="21"/>
        </w:rPr>
        <w:t>日      期：</w:t>
      </w:r>
    </w:p>
    <w:p w14:paraId="63CEF4B7">
      <w:pPr>
        <w:pStyle w:val="5"/>
        <w:adjustRightInd w:val="0"/>
        <w:snapToGrid w:val="0"/>
        <w:spacing w:before="0" w:after="0" w:line="240" w:lineRule="auto"/>
        <w:jc w:val="left"/>
        <w:rPr>
          <w:rFonts w:ascii="仿宋_GB2312" w:hAnsi="仿宋_GB2312" w:eastAsia="仿宋_GB2312" w:cs="仿宋_GB2312"/>
          <w:szCs w:val="28"/>
        </w:rPr>
      </w:pPr>
      <w:bookmarkStart w:id="120" w:name="_Toc11558_WPSOffice_Level2"/>
    </w:p>
    <w:p w14:paraId="29146C52">
      <w:pPr>
        <w:pStyle w:val="5"/>
        <w:adjustRightInd w:val="0"/>
        <w:snapToGrid w:val="0"/>
        <w:spacing w:before="0" w:after="0" w:line="240" w:lineRule="auto"/>
        <w:jc w:val="left"/>
        <w:rPr>
          <w:rFonts w:ascii="仿宋_GB2312" w:hAnsi="仿宋_GB2312" w:eastAsia="仿宋_GB2312" w:cs="仿宋_GB2312"/>
          <w:szCs w:val="28"/>
        </w:rPr>
      </w:pPr>
    </w:p>
    <w:p w14:paraId="714A67E8">
      <w:pPr>
        <w:rPr>
          <w:rFonts w:ascii="仿宋_GB2312" w:hAnsi="仿宋_GB2312" w:eastAsia="仿宋_GB2312" w:cs="仿宋_GB2312"/>
          <w:szCs w:val="28"/>
        </w:rPr>
      </w:pPr>
    </w:p>
    <w:p w14:paraId="111E3443">
      <w:pPr>
        <w:pStyle w:val="2"/>
        <w:rPr>
          <w:rFonts w:ascii="仿宋_GB2312" w:hAnsi="仿宋_GB2312" w:eastAsia="仿宋_GB2312" w:cs="仿宋_GB2312"/>
          <w:szCs w:val="28"/>
        </w:rPr>
      </w:pPr>
    </w:p>
    <w:p w14:paraId="63078951">
      <w:pPr>
        <w:pStyle w:val="2"/>
        <w:rPr>
          <w:rFonts w:ascii="仿宋_GB2312" w:hAnsi="仿宋_GB2312" w:eastAsia="仿宋_GB2312" w:cs="仿宋_GB2312"/>
          <w:szCs w:val="28"/>
        </w:rPr>
      </w:pPr>
    </w:p>
    <w:p w14:paraId="6D95F1DF">
      <w:pPr>
        <w:pStyle w:val="2"/>
        <w:rPr>
          <w:rFonts w:ascii="仿宋_GB2312" w:hAnsi="仿宋_GB2312" w:eastAsia="仿宋_GB2312" w:cs="仿宋_GB2312"/>
          <w:szCs w:val="28"/>
        </w:rPr>
      </w:pPr>
    </w:p>
    <w:p w14:paraId="709AE46B">
      <w:pPr>
        <w:pStyle w:val="2"/>
        <w:rPr>
          <w:rFonts w:ascii="仿宋_GB2312" w:hAnsi="仿宋_GB2312" w:eastAsia="仿宋_GB2312" w:cs="仿宋_GB2312"/>
          <w:szCs w:val="28"/>
        </w:rPr>
      </w:pPr>
    </w:p>
    <w:p w14:paraId="3EF5E2ED">
      <w:pPr>
        <w:pStyle w:val="2"/>
        <w:rPr>
          <w:rFonts w:ascii="仿宋_GB2312" w:hAnsi="仿宋_GB2312" w:eastAsia="仿宋_GB2312" w:cs="仿宋_GB2312"/>
          <w:szCs w:val="28"/>
        </w:rPr>
      </w:pPr>
    </w:p>
    <w:p w14:paraId="36E31372">
      <w:pPr>
        <w:pStyle w:val="2"/>
        <w:rPr>
          <w:rFonts w:ascii="仿宋_GB2312" w:hAnsi="仿宋_GB2312" w:eastAsia="仿宋_GB2312" w:cs="仿宋_GB2312"/>
          <w:szCs w:val="28"/>
        </w:rPr>
      </w:pPr>
    </w:p>
    <w:p w14:paraId="575CA697">
      <w:pPr>
        <w:pStyle w:val="2"/>
        <w:rPr>
          <w:rFonts w:ascii="仿宋_GB2312" w:hAnsi="仿宋_GB2312" w:eastAsia="仿宋_GB2312" w:cs="仿宋_GB2312"/>
          <w:szCs w:val="28"/>
        </w:rPr>
      </w:pPr>
    </w:p>
    <w:p w14:paraId="4AD09711">
      <w:pPr>
        <w:pStyle w:val="2"/>
        <w:rPr>
          <w:rFonts w:ascii="仿宋_GB2312" w:hAnsi="仿宋_GB2312" w:eastAsia="仿宋_GB2312" w:cs="仿宋_GB2312"/>
          <w:szCs w:val="28"/>
        </w:rPr>
      </w:pPr>
    </w:p>
    <w:p w14:paraId="5C7D9570">
      <w:pPr>
        <w:pStyle w:val="2"/>
        <w:rPr>
          <w:rFonts w:ascii="仿宋_GB2312" w:hAnsi="仿宋_GB2312" w:eastAsia="仿宋_GB2312" w:cs="仿宋_GB2312"/>
          <w:szCs w:val="28"/>
        </w:rPr>
      </w:pPr>
    </w:p>
    <w:p w14:paraId="63F32DD9">
      <w:pPr>
        <w:pStyle w:val="2"/>
        <w:rPr>
          <w:rFonts w:ascii="仿宋_GB2312" w:hAnsi="仿宋_GB2312" w:eastAsia="仿宋_GB2312" w:cs="仿宋_GB2312"/>
          <w:szCs w:val="28"/>
        </w:rPr>
      </w:pPr>
    </w:p>
    <w:p w14:paraId="13C20C20">
      <w:pPr>
        <w:pStyle w:val="2"/>
        <w:rPr>
          <w:rFonts w:ascii="仿宋_GB2312" w:hAnsi="仿宋_GB2312" w:eastAsia="仿宋_GB2312" w:cs="仿宋_GB2312"/>
          <w:szCs w:val="28"/>
        </w:rPr>
      </w:pPr>
    </w:p>
    <w:p w14:paraId="3D88DC43">
      <w:pPr>
        <w:pStyle w:val="2"/>
        <w:rPr>
          <w:rFonts w:ascii="仿宋_GB2312" w:hAnsi="仿宋_GB2312" w:eastAsia="仿宋_GB2312" w:cs="仿宋_GB2312"/>
          <w:szCs w:val="28"/>
        </w:rPr>
      </w:pPr>
    </w:p>
    <w:p w14:paraId="49B23837">
      <w:pPr>
        <w:pStyle w:val="2"/>
        <w:rPr>
          <w:rFonts w:ascii="仿宋_GB2312" w:hAnsi="仿宋_GB2312" w:eastAsia="仿宋_GB2312" w:cs="仿宋_GB2312"/>
          <w:szCs w:val="28"/>
        </w:rPr>
      </w:pPr>
    </w:p>
    <w:p w14:paraId="4AEBE88F">
      <w:pPr>
        <w:pStyle w:val="2"/>
        <w:rPr>
          <w:rFonts w:ascii="仿宋_GB2312" w:hAnsi="仿宋_GB2312" w:eastAsia="仿宋_GB2312" w:cs="仿宋_GB2312"/>
          <w:szCs w:val="28"/>
        </w:rPr>
      </w:pPr>
    </w:p>
    <w:p w14:paraId="1CF7CE72">
      <w:pPr>
        <w:pStyle w:val="2"/>
        <w:rPr>
          <w:rFonts w:ascii="仿宋_GB2312" w:hAnsi="仿宋_GB2312" w:eastAsia="仿宋_GB2312" w:cs="仿宋_GB2312"/>
          <w:szCs w:val="28"/>
        </w:rPr>
      </w:pPr>
    </w:p>
    <w:p w14:paraId="41079431">
      <w:pPr>
        <w:pStyle w:val="2"/>
        <w:rPr>
          <w:rFonts w:ascii="仿宋_GB2312" w:hAnsi="仿宋_GB2312" w:eastAsia="仿宋_GB2312" w:cs="仿宋_GB2312"/>
          <w:szCs w:val="28"/>
        </w:rPr>
      </w:pPr>
    </w:p>
    <w:p w14:paraId="3965E3ED">
      <w:pPr>
        <w:pStyle w:val="2"/>
        <w:rPr>
          <w:rFonts w:ascii="仿宋_GB2312" w:hAnsi="仿宋_GB2312" w:eastAsia="仿宋_GB2312" w:cs="仿宋_GB2312"/>
          <w:szCs w:val="28"/>
        </w:rPr>
      </w:pPr>
    </w:p>
    <w:p w14:paraId="0C8B333E">
      <w:pPr>
        <w:pStyle w:val="2"/>
        <w:rPr>
          <w:rFonts w:ascii="仿宋_GB2312" w:hAnsi="仿宋_GB2312" w:eastAsia="仿宋_GB2312" w:cs="仿宋_GB2312"/>
          <w:szCs w:val="28"/>
        </w:rPr>
      </w:pPr>
    </w:p>
    <w:p w14:paraId="4B1A5D21">
      <w:pPr>
        <w:pStyle w:val="2"/>
        <w:rPr>
          <w:rFonts w:ascii="仿宋_GB2312" w:hAnsi="仿宋_GB2312" w:eastAsia="仿宋_GB2312" w:cs="仿宋_GB2312"/>
          <w:szCs w:val="28"/>
        </w:rPr>
      </w:pPr>
    </w:p>
    <w:p w14:paraId="3A1DC7B3">
      <w:pPr>
        <w:pStyle w:val="2"/>
        <w:rPr>
          <w:rFonts w:ascii="仿宋_GB2312" w:hAnsi="仿宋_GB2312" w:eastAsia="仿宋_GB2312" w:cs="仿宋_GB2312"/>
          <w:szCs w:val="28"/>
        </w:rPr>
      </w:pPr>
    </w:p>
    <w:p w14:paraId="3667F35F">
      <w:pPr>
        <w:pStyle w:val="2"/>
        <w:rPr>
          <w:rFonts w:ascii="仿宋_GB2312" w:hAnsi="仿宋_GB2312" w:eastAsia="仿宋_GB2312" w:cs="仿宋_GB2312"/>
          <w:szCs w:val="28"/>
        </w:rPr>
      </w:pPr>
    </w:p>
    <w:p w14:paraId="450ABED0"/>
    <w:p w14:paraId="76F7BDC8">
      <w:pPr>
        <w:pStyle w:val="5"/>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 xml:space="preserve">附件2                  </w:t>
      </w:r>
      <w:bookmarkEnd w:id="120"/>
    </w:p>
    <w:p w14:paraId="7406789D">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符合性审查表</w:t>
      </w:r>
    </w:p>
    <w:tbl>
      <w:tblPr>
        <w:tblStyle w:val="21"/>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376"/>
        <w:gridCol w:w="3015"/>
        <w:gridCol w:w="1050"/>
        <w:gridCol w:w="1020"/>
        <w:gridCol w:w="944"/>
      </w:tblGrid>
      <w:tr w14:paraId="20F2A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671" w:type="dxa"/>
            <w:vMerge w:val="restart"/>
            <w:vAlign w:val="center"/>
          </w:tcPr>
          <w:p w14:paraId="5F10322B">
            <w:pPr>
              <w:ind w:left="-84" w:leftChars="-40" w:right="-75" w:rightChars="-36"/>
              <w:jc w:val="center"/>
              <w:rPr>
                <w:rFonts w:ascii="仿宋_GB2312" w:hAnsi="仿宋_GB2312" w:eastAsia="仿宋_GB2312" w:cs="仿宋_GB2312"/>
              </w:rPr>
            </w:pPr>
            <w:r>
              <w:rPr>
                <w:rFonts w:hint="eastAsia" w:ascii="仿宋_GB2312" w:hAnsi="仿宋_GB2312" w:eastAsia="仿宋_GB2312" w:cs="仿宋_GB2312"/>
              </w:rPr>
              <w:t>序号</w:t>
            </w:r>
          </w:p>
        </w:tc>
        <w:tc>
          <w:tcPr>
            <w:tcW w:w="2376" w:type="dxa"/>
            <w:vMerge w:val="restart"/>
            <w:vAlign w:val="center"/>
          </w:tcPr>
          <w:p w14:paraId="77F4D55A">
            <w:pPr>
              <w:ind w:left="-84" w:leftChars="-40" w:right="-75" w:rightChars="-36"/>
              <w:jc w:val="center"/>
              <w:rPr>
                <w:rFonts w:ascii="仿宋_GB2312" w:hAnsi="仿宋_GB2312" w:eastAsia="仿宋_GB2312" w:cs="仿宋_GB2312"/>
              </w:rPr>
            </w:pPr>
            <w:r>
              <w:rPr>
                <w:rFonts w:hint="eastAsia" w:ascii="仿宋_GB2312" w:hAnsi="仿宋_GB2312" w:eastAsia="仿宋_GB2312" w:cs="仿宋_GB2312"/>
              </w:rPr>
              <w:t>审查项目</w:t>
            </w:r>
          </w:p>
        </w:tc>
        <w:tc>
          <w:tcPr>
            <w:tcW w:w="3015" w:type="dxa"/>
            <w:vMerge w:val="restart"/>
            <w:vAlign w:val="center"/>
          </w:tcPr>
          <w:p w14:paraId="528FD6DC">
            <w:pPr>
              <w:ind w:left="-84" w:leftChars="-40" w:right="-75" w:rightChars="-36"/>
              <w:jc w:val="center"/>
              <w:rPr>
                <w:rFonts w:ascii="仿宋_GB2312" w:hAnsi="仿宋_GB2312" w:eastAsia="仿宋_GB2312" w:cs="仿宋_GB2312"/>
              </w:rPr>
            </w:pPr>
            <w:r>
              <w:rPr>
                <w:rFonts w:hint="eastAsia" w:ascii="仿宋_GB2312" w:hAnsi="仿宋_GB2312" w:eastAsia="仿宋_GB2312" w:cs="仿宋_GB2312"/>
              </w:rPr>
              <w:t>审查标准</w:t>
            </w:r>
          </w:p>
        </w:tc>
        <w:tc>
          <w:tcPr>
            <w:tcW w:w="3014" w:type="dxa"/>
            <w:gridSpan w:val="3"/>
            <w:vAlign w:val="center"/>
          </w:tcPr>
          <w:p w14:paraId="0523FF11">
            <w:pPr>
              <w:ind w:left="-84" w:leftChars="-40" w:right="-75" w:rightChars="-36"/>
              <w:jc w:val="center"/>
              <w:rPr>
                <w:rFonts w:ascii="仿宋_GB2312" w:hAnsi="仿宋_GB2312" w:eastAsia="仿宋_GB2312" w:cs="仿宋_GB2312"/>
              </w:rPr>
            </w:pPr>
            <w:r>
              <w:rPr>
                <w:rFonts w:hint="eastAsia" w:ascii="仿宋_GB2312" w:hAnsi="仿宋_GB2312" w:eastAsia="仿宋_GB2312" w:cs="仿宋_GB2312"/>
              </w:rPr>
              <w:t>投标人名称</w:t>
            </w:r>
          </w:p>
        </w:tc>
      </w:tr>
      <w:tr w14:paraId="1BCD7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71" w:type="dxa"/>
            <w:vMerge w:val="continue"/>
            <w:vAlign w:val="center"/>
          </w:tcPr>
          <w:p w14:paraId="54852665">
            <w:pPr>
              <w:pStyle w:val="5"/>
              <w:adjustRightInd w:val="0"/>
              <w:snapToGrid w:val="0"/>
              <w:spacing w:before="0" w:after="0" w:line="240" w:lineRule="auto"/>
              <w:rPr>
                <w:rFonts w:ascii="仿宋_GB2312" w:hAnsi="仿宋_GB2312" w:eastAsia="仿宋_GB2312" w:cs="仿宋_GB2312"/>
              </w:rPr>
            </w:pPr>
          </w:p>
        </w:tc>
        <w:tc>
          <w:tcPr>
            <w:tcW w:w="2376" w:type="dxa"/>
            <w:vMerge w:val="continue"/>
            <w:vAlign w:val="center"/>
          </w:tcPr>
          <w:p w14:paraId="43E9C6BD">
            <w:pPr>
              <w:pStyle w:val="5"/>
              <w:adjustRightInd w:val="0"/>
              <w:snapToGrid w:val="0"/>
              <w:spacing w:before="0" w:after="0" w:line="240" w:lineRule="auto"/>
              <w:jc w:val="both"/>
              <w:rPr>
                <w:rFonts w:ascii="仿宋_GB2312" w:hAnsi="仿宋_GB2312" w:eastAsia="仿宋_GB2312" w:cs="仿宋_GB2312"/>
                <w:sz w:val="21"/>
                <w:szCs w:val="21"/>
              </w:rPr>
            </w:pPr>
          </w:p>
        </w:tc>
        <w:tc>
          <w:tcPr>
            <w:tcW w:w="3015" w:type="dxa"/>
            <w:vMerge w:val="continue"/>
            <w:vAlign w:val="center"/>
          </w:tcPr>
          <w:p w14:paraId="4A12FED8">
            <w:pPr>
              <w:pStyle w:val="5"/>
              <w:adjustRightInd w:val="0"/>
              <w:snapToGrid w:val="0"/>
              <w:spacing w:before="0" w:after="0" w:line="240" w:lineRule="auto"/>
              <w:jc w:val="both"/>
              <w:rPr>
                <w:rFonts w:ascii="仿宋_GB2312" w:hAnsi="仿宋_GB2312" w:eastAsia="仿宋_GB2312" w:cs="仿宋_GB2312"/>
                <w:sz w:val="21"/>
                <w:szCs w:val="21"/>
              </w:rPr>
            </w:pPr>
          </w:p>
        </w:tc>
        <w:tc>
          <w:tcPr>
            <w:tcW w:w="1050" w:type="dxa"/>
            <w:vAlign w:val="center"/>
          </w:tcPr>
          <w:p w14:paraId="6BBB83CF">
            <w:pPr>
              <w:pStyle w:val="5"/>
              <w:adjustRightInd w:val="0"/>
              <w:snapToGrid w:val="0"/>
              <w:spacing w:before="0" w:after="0" w:line="240" w:lineRule="auto"/>
              <w:rPr>
                <w:rFonts w:ascii="仿宋_GB2312" w:hAnsi="仿宋_GB2312" w:eastAsia="仿宋_GB2312" w:cs="仿宋_GB2312"/>
                <w:sz w:val="21"/>
                <w:szCs w:val="21"/>
              </w:rPr>
            </w:pPr>
          </w:p>
        </w:tc>
        <w:tc>
          <w:tcPr>
            <w:tcW w:w="1020" w:type="dxa"/>
            <w:vAlign w:val="center"/>
          </w:tcPr>
          <w:p w14:paraId="4B9CD0DA">
            <w:pPr>
              <w:pStyle w:val="5"/>
              <w:adjustRightInd w:val="0"/>
              <w:snapToGrid w:val="0"/>
              <w:spacing w:before="0" w:after="0" w:line="240" w:lineRule="auto"/>
              <w:rPr>
                <w:rFonts w:ascii="仿宋_GB2312" w:hAnsi="仿宋_GB2312" w:eastAsia="仿宋_GB2312" w:cs="仿宋_GB2312"/>
                <w:sz w:val="21"/>
                <w:szCs w:val="21"/>
              </w:rPr>
            </w:pPr>
          </w:p>
        </w:tc>
        <w:tc>
          <w:tcPr>
            <w:tcW w:w="944" w:type="dxa"/>
            <w:vAlign w:val="center"/>
          </w:tcPr>
          <w:p w14:paraId="21B0AC4C">
            <w:pPr>
              <w:pStyle w:val="5"/>
              <w:adjustRightInd w:val="0"/>
              <w:snapToGrid w:val="0"/>
              <w:spacing w:before="0" w:after="0" w:line="240" w:lineRule="auto"/>
              <w:rPr>
                <w:rFonts w:ascii="仿宋_GB2312" w:hAnsi="仿宋_GB2312" w:eastAsia="仿宋_GB2312" w:cs="仿宋_GB2312"/>
                <w:sz w:val="21"/>
                <w:szCs w:val="21"/>
              </w:rPr>
            </w:pPr>
          </w:p>
        </w:tc>
      </w:tr>
      <w:tr w14:paraId="5DB70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671" w:type="dxa"/>
            <w:vAlign w:val="center"/>
          </w:tcPr>
          <w:p w14:paraId="5E6A414F">
            <w:pPr>
              <w:jc w:val="center"/>
              <w:rPr>
                <w:rFonts w:ascii="仿宋_GB2312" w:hAnsi="仿宋_GB2312" w:eastAsia="仿宋_GB2312" w:cs="仿宋_GB2312"/>
              </w:rPr>
            </w:pPr>
            <w:r>
              <w:rPr>
                <w:rFonts w:hint="eastAsia" w:ascii="仿宋_GB2312" w:hAnsi="仿宋_GB2312" w:eastAsia="仿宋_GB2312" w:cs="仿宋_GB2312"/>
                <w:kern w:val="0"/>
                <w:sz w:val="20"/>
                <w:szCs w:val="21"/>
              </w:rPr>
              <w:t>1</w:t>
            </w:r>
          </w:p>
        </w:tc>
        <w:tc>
          <w:tcPr>
            <w:tcW w:w="2376" w:type="dxa"/>
            <w:vAlign w:val="center"/>
          </w:tcPr>
          <w:p w14:paraId="3629B4BE">
            <w:pPr>
              <w:rPr>
                <w:rFonts w:ascii="仿宋_GB2312" w:hAnsi="仿宋_GB2312" w:eastAsia="仿宋_GB2312" w:cs="仿宋_GB2312"/>
                <w:b/>
                <w:szCs w:val="21"/>
              </w:rPr>
            </w:pPr>
            <w:r>
              <w:rPr>
                <w:rFonts w:hint="eastAsia" w:ascii="仿宋_GB2312" w:hAnsi="仿宋_GB2312" w:eastAsia="仿宋_GB2312" w:cs="仿宋_GB2312"/>
                <w:kern w:val="0"/>
                <w:szCs w:val="21"/>
              </w:rPr>
              <w:t>投标函</w:t>
            </w:r>
          </w:p>
        </w:tc>
        <w:tc>
          <w:tcPr>
            <w:tcW w:w="3015" w:type="dxa"/>
            <w:vAlign w:val="center"/>
          </w:tcPr>
          <w:p w14:paraId="7E2A02AA">
            <w:pPr>
              <w:pStyle w:val="5"/>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14:paraId="20FDFBB4">
            <w:pPr>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14:paraId="72AA3B78">
            <w:pPr>
              <w:pStyle w:val="5"/>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vAlign w:val="center"/>
          </w:tcPr>
          <w:p w14:paraId="021F7F41">
            <w:pPr>
              <w:pStyle w:val="5"/>
              <w:adjustRightInd w:val="0"/>
              <w:snapToGrid w:val="0"/>
              <w:spacing w:before="0" w:after="0" w:line="240" w:lineRule="auto"/>
              <w:rPr>
                <w:rFonts w:ascii="仿宋_GB2312" w:hAnsi="仿宋_GB2312" w:eastAsia="仿宋_GB2312" w:cs="仿宋_GB2312"/>
                <w:sz w:val="21"/>
                <w:szCs w:val="21"/>
              </w:rPr>
            </w:pPr>
          </w:p>
        </w:tc>
        <w:tc>
          <w:tcPr>
            <w:tcW w:w="1020" w:type="dxa"/>
            <w:vAlign w:val="center"/>
          </w:tcPr>
          <w:p w14:paraId="50578E3F">
            <w:pPr>
              <w:pStyle w:val="5"/>
              <w:adjustRightInd w:val="0"/>
              <w:snapToGrid w:val="0"/>
              <w:spacing w:before="0" w:after="0" w:line="240" w:lineRule="auto"/>
              <w:rPr>
                <w:rFonts w:ascii="仿宋_GB2312" w:hAnsi="仿宋_GB2312" w:eastAsia="仿宋_GB2312" w:cs="仿宋_GB2312"/>
                <w:sz w:val="21"/>
                <w:szCs w:val="21"/>
              </w:rPr>
            </w:pPr>
          </w:p>
        </w:tc>
        <w:tc>
          <w:tcPr>
            <w:tcW w:w="944" w:type="dxa"/>
            <w:vAlign w:val="center"/>
          </w:tcPr>
          <w:p w14:paraId="5CC88582">
            <w:pPr>
              <w:pStyle w:val="5"/>
              <w:adjustRightInd w:val="0"/>
              <w:snapToGrid w:val="0"/>
              <w:spacing w:before="0" w:after="0" w:line="240" w:lineRule="auto"/>
              <w:rPr>
                <w:rFonts w:ascii="仿宋_GB2312" w:hAnsi="仿宋_GB2312" w:eastAsia="仿宋_GB2312" w:cs="仿宋_GB2312"/>
                <w:sz w:val="21"/>
                <w:szCs w:val="21"/>
              </w:rPr>
            </w:pPr>
          </w:p>
        </w:tc>
      </w:tr>
      <w:tr w14:paraId="6A4B4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71" w:type="dxa"/>
            <w:vAlign w:val="center"/>
          </w:tcPr>
          <w:p w14:paraId="438059E0">
            <w:pPr>
              <w:jc w:val="center"/>
              <w:rPr>
                <w:rFonts w:ascii="仿宋_GB2312" w:hAnsi="仿宋_GB2312" w:eastAsia="仿宋_GB2312" w:cs="仿宋_GB2312"/>
              </w:rPr>
            </w:pPr>
            <w:r>
              <w:rPr>
                <w:rFonts w:hint="eastAsia" w:ascii="仿宋_GB2312" w:hAnsi="仿宋_GB2312" w:eastAsia="仿宋_GB2312" w:cs="仿宋_GB2312"/>
                <w:szCs w:val="21"/>
              </w:rPr>
              <w:t>2</w:t>
            </w:r>
          </w:p>
        </w:tc>
        <w:tc>
          <w:tcPr>
            <w:tcW w:w="2376" w:type="dxa"/>
            <w:vAlign w:val="center"/>
          </w:tcPr>
          <w:p w14:paraId="64631D9F">
            <w:pPr>
              <w:rPr>
                <w:rFonts w:ascii="仿宋_GB2312" w:hAnsi="仿宋_GB2312" w:eastAsia="仿宋_GB2312" w:cs="仿宋_GB2312"/>
                <w:b/>
                <w:szCs w:val="21"/>
              </w:rPr>
            </w:pPr>
            <w:r>
              <w:rPr>
                <w:rFonts w:hint="eastAsia" w:ascii="仿宋_GB2312" w:hAnsi="仿宋_GB2312" w:eastAsia="仿宋_GB2312" w:cs="仿宋_GB2312"/>
                <w:kern w:val="0"/>
                <w:sz w:val="21"/>
                <w:szCs w:val="22"/>
              </w:rPr>
              <w:t>递交投标保证金证明</w:t>
            </w:r>
          </w:p>
        </w:tc>
        <w:tc>
          <w:tcPr>
            <w:tcW w:w="3015" w:type="dxa"/>
            <w:vAlign w:val="center"/>
          </w:tcPr>
          <w:p w14:paraId="7D8BB872">
            <w:pPr>
              <w:pStyle w:val="5"/>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14:paraId="271E00BF">
            <w:pPr>
              <w:pStyle w:val="5"/>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1050" w:type="dxa"/>
            <w:vAlign w:val="center"/>
          </w:tcPr>
          <w:p w14:paraId="11FA192D">
            <w:pPr>
              <w:pStyle w:val="5"/>
              <w:adjustRightInd w:val="0"/>
              <w:snapToGrid w:val="0"/>
              <w:spacing w:before="0" w:after="0" w:line="240" w:lineRule="auto"/>
              <w:rPr>
                <w:rFonts w:ascii="仿宋_GB2312" w:hAnsi="仿宋_GB2312" w:eastAsia="仿宋_GB2312" w:cs="仿宋_GB2312"/>
                <w:sz w:val="21"/>
                <w:szCs w:val="21"/>
              </w:rPr>
            </w:pPr>
          </w:p>
        </w:tc>
        <w:tc>
          <w:tcPr>
            <w:tcW w:w="1020" w:type="dxa"/>
            <w:vAlign w:val="center"/>
          </w:tcPr>
          <w:p w14:paraId="5DE5E715">
            <w:pPr>
              <w:pStyle w:val="5"/>
              <w:adjustRightInd w:val="0"/>
              <w:snapToGrid w:val="0"/>
              <w:spacing w:before="0" w:after="0" w:line="240" w:lineRule="auto"/>
              <w:rPr>
                <w:rFonts w:ascii="仿宋_GB2312" w:hAnsi="仿宋_GB2312" w:eastAsia="仿宋_GB2312" w:cs="仿宋_GB2312"/>
                <w:sz w:val="21"/>
                <w:szCs w:val="21"/>
              </w:rPr>
            </w:pPr>
          </w:p>
        </w:tc>
        <w:tc>
          <w:tcPr>
            <w:tcW w:w="944" w:type="dxa"/>
            <w:vAlign w:val="center"/>
          </w:tcPr>
          <w:p w14:paraId="5D3AF2CD">
            <w:pPr>
              <w:pStyle w:val="5"/>
              <w:adjustRightInd w:val="0"/>
              <w:snapToGrid w:val="0"/>
              <w:spacing w:before="0" w:after="0" w:line="240" w:lineRule="auto"/>
              <w:rPr>
                <w:rFonts w:ascii="仿宋_GB2312" w:hAnsi="仿宋_GB2312" w:eastAsia="仿宋_GB2312" w:cs="仿宋_GB2312"/>
                <w:sz w:val="21"/>
                <w:szCs w:val="21"/>
              </w:rPr>
            </w:pPr>
          </w:p>
        </w:tc>
      </w:tr>
      <w:tr w14:paraId="0B4E5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671" w:type="dxa"/>
            <w:vAlign w:val="center"/>
          </w:tcPr>
          <w:p w14:paraId="158E0A5A">
            <w:pPr>
              <w:jc w:val="center"/>
              <w:rPr>
                <w:rFonts w:ascii="仿宋_GB2312" w:hAnsi="仿宋_GB2312" w:eastAsia="仿宋_GB2312" w:cs="仿宋_GB2312"/>
              </w:rPr>
            </w:pPr>
            <w:r>
              <w:rPr>
                <w:rFonts w:hint="eastAsia" w:ascii="仿宋_GB2312" w:hAnsi="仿宋_GB2312" w:eastAsia="仿宋_GB2312" w:cs="仿宋_GB2312"/>
                <w:kern w:val="0"/>
                <w:szCs w:val="21"/>
              </w:rPr>
              <w:t>3</w:t>
            </w:r>
          </w:p>
        </w:tc>
        <w:tc>
          <w:tcPr>
            <w:tcW w:w="2376" w:type="dxa"/>
            <w:vAlign w:val="center"/>
          </w:tcPr>
          <w:p w14:paraId="5CDB798E">
            <w:pPr>
              <w:rPr>
                <w:rFonts w:ascii="仿宋_GB2312" w:hAnsi="仿宋_GB2312" w:eastAsia="仿宋_GB2312" w:cs="仿宋_GB2312"/>
                <w:b/>
                <w:szCs w:val="21"/>
              </w:rPr>
            </w:pPr>
            <w:r>
              <w:rPr>
                <w:rFonts w:hint="eastAsia" w:ascii="仿宋_GB2312" w:hAnsi="仿宋_GB2312" w:eastAsia="仿宋_GB2312" w:cs="仿宋_GB2312"/>
                <w:kern w:val="0"/>
                <w:szCs w:val="21"/>
              </w:rPr>
              <w:t>开标一览表</w:t>
            </w:r>
          </w:p>
        </w:tc>
        <w:tc>
          <w:tcPr>
            <w:tcW w:w="3015" w:type="dxa"/>
            <w:vAlign w:val="center"/>
          </w:tcPr>
          <w:p w14:paraId="44595CE7">
            <w:pPr>
              <w:pStyle w:val="5"/>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14:paraId="01864FE6">
            <w:pPr>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14:paraId="090FD590">
            <w:pPr>
              <w:pStyle w:val="5"/>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vAlign w:val="center"/>
          </w:tcPr>
          <w:p w14:paraId="257B12CB">
            <w:pPr>
              <w:pStyle w:val="5"/>
              <w:adjustRightInd w:val="0"/>
              <w:snapToGrid w:val="0"/>
              <w:spacing w:before="0" w:after="0" w:line="240" w:lineRule="auto"/>
              <w:rPr>
                <w:rFonts w:ascii="仿宋_GB2312" w:hAnsi="仿宋_GB2312" w:eastAsia="仿宋_GB2312" w:cs="仿宋_GB2312"/>
                <w:sz w:val="21"/>
                <w:szCs w:val="21"/>
              </w:rPr>
            </w:pPr>
          </w:p>
        </w:tc>
        <w:tc>
          <w:tcPr>
            <w:tcW w:w="1020" w:type="dxa"/>
            <w:vAlign w:val="center"/>
          </w:tcPr>
          <w:p w14:paraId="5C7BD3AB">
            <w:pPr>
              <w:pStyle w:val="5"/>
              <w:adjustRightInd w:val="0"/>
              <w:snapToGrid w:val="0"/>
              <w:spacing w:before="0" w:after="0" w:line="240" w:lineRule="auto"/>
              <w:rPr>
                <w:rFonts w:ascii="仿宋_GB2312" w:hAnsi="仿宋_GB2312" w:eastAsia="仿宋_GB2312" w:cs="仿宋_GB2312"/>
                <w:sz w:val="21"/>
                <w:szCs w:val="21"/>
              </w:rPr>
            </w:pPr>
          </w:p>
        </w:tc>
        <w:tc>
          <w:tcPr>
            <w:tcW w:w="944" w:type="dxa"/>
            <w:vAlign w:val="center"/>
          </w:tcPr>
          <w:p w14:paraId="0FF756E3">
            <w:pPr>
              <w:pStyle w:val="5"/>
              <w:adjustRightInd w:val="0"/>
              <w:snapToGrid w:val="0"/>
              <w:spacing w:before="0" w:after="0" w:line="240" w:lineRule="auto"/>
              <w:rPr>
                <w:rFonts w:ascii="仿宋_GB2312" w:hAnsi="仿宋_GB2312" w:eastAsia="仿宋_GB2312" w:cs="仿宋_GB2312"/>
                <w:sz w:val="21"/>
                <w:szCs w:val="21"/>
              </w:rPr>
            </w:pPr>
          </w:p>
        </w:tc>
      </w:tr>
      <w:tr w14:paraId="055CF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671" w:type="dxa"/>
            <w:vAlign w:val="center"/>
          </w:tcPr>
          <w:p w14:paraId="49AC9E8B">
            <w:pPr>
              <w:jc w:val="center"/>
              <w:rPr>
                <w:rFonts w:ascii="仿宋_GB2312" w:hAnsi="仿宋_GB2312" w:eastAsia="仿宋_GB2312" w:cs="仿宋_GB2312"/>
              </w:rPr>
            </w:pPr>
            <w:r>
              <w:rPr>
                <w:rFonts w:hint="eastAsia" w:ascii="仿宋_GB2312" w:hAnsi="仿宋_GB2312" w:eastAsia="仿宋_GB2312" w:cs="仿宋_GB2312"/>
                <w:kern w:val="0"/>
                <w:szCs w:val="21"/>
              </w:rPr>
              <w:t>4</w:t>
            </w:r>
          </w:p>
        </w:tc>
        <w:tc>
          <w:tcPr>
            <w:tcW w:w="2376" w:type="dxa"/>
            <w:vAlign w:val="center"/>
          </w:tcPr>
          <w:p w14:paraId="255341E6">
            <w:pPr>
              <w:rPr>
                <w:rFonts w:ascii="仿宋_GB2312" w:hAnsi="仿宋_GB2312" w:eastAsia="仿宋_GB2312" w:cs="仿宋_GB2312"/>
                <w:b/>
                <w:szCs w:val="21"/>
              </w:rPr>
            </w:pPr>
            <w:r>
              <w:rPr>
                <w:rFonts w:hint="eastAsia" w:ascii="仿宋_GB2312" w:hAnsi="仿宋_GB2312" w:eastAsia="仿宋_GB2312" w:cs="仿宋_GB2312"/>
                <w:kern w:val="0"/>
                <w:szCs w:val="21"/>
              </w:rPr>
              <w:t>服务价格明细表</w:t>
            </w:r>
          </w:p>
        </w:tc>
        <w:tc>
          <w:tcPr>
            <w:tcW w:w="3015" w:type="dxa"/>
            <w:vAlign w:val="center"/>
          </w:tcPr>
          <w:p w14:paraId="1567B506">
            <w:pPr>
              <w:pStyle w:val="5"/>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14:paraId="031557C5">
            <w:pPr>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14:paraId="0059E8FA">
            <w:pPr>
              <w:pStyle w:val="5"/>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vAlign w:val="center"/>
          </w:tcPr>
          <w:p w14:paraId="5C7FEDF8">
            <w:pPr>
              <w:pStyle w:val="5"/>
              <w:adjustRightInd w:val="0"/>
              <w:snapToGrid w:val="0"/>
              <w:spacing w:before="0" w:after="0" w:line="240" w:lineRule="auto"/>
              <w:rPr>
                <w:rFonts w:ascii="仿宋_GB2312" w:hAnsi="仿宋_GB2312" w:eastAsia="仿宋_GB2312" w:cs="仿宋_GB2312"/>
                <w:sz w:val="21"/>
                <w:szCs w:val="21"/>
              </w:rPr>
            </w:pPr>
          </w:p>
        </w:tc>
        <w:tc>
          <w:tcPr>
            <w:tcW w:w="1020" w:type="dxa"/>
            <w:vAlign w:val="center"/>
          </w:tcPr>
          <w:p w14:paraId="31D85B57">
            <w:pPr>
              <w:pStyle w:val="5"/>
              <w:adjustRightInd w:val="0"/>
              <w:snapToGrid w:val="0"/>
              <w:spacing w:before="0" w:after="0" w:line="240" w:lineRule="auto"/>
              <w:rPr>
                <w:rFonts w:ascii="仿宋_GB2312" w:hAnsi="仿宋_GB2312" w:eastAsia="仿宋_GB2312" w:cs="仿宋_GB2312"/>
                <w:sz w:val="21"/>
                <w:szCs w:val="21"/>
              </w:rPr>
            </w:pPr>
          </w:p>
        </w:tc>
        <w:tc>
          <w:tcPr>
            <w:tcW w:w="944" w:type="dxa"/>
            <w:vAlign w:val="center"/>
          </w:tcPr>
          <w:p w14:paraId="3B56C1BF">
            <w:pPr>
              <w:pStyle w:val="5"/>
              <w:adjustRightInd w:val="0"/>
              <w:snapToGrid w:val="0"/>
              <w:spacing w:before="0" w:after="0" w:line="240" w:lineRule="auto"/>
              <w:rPr>
                <w:rFonts w:ascii="仿宋_GB2312" w:hAnsi="仿宋_GB2312" w:eastAsia="仿宋_GB2312" w:cs="仿宋_GB2312"/>
                <w:sz w:val="21"/>
                <w:szCs w:val="21"/>
              </w:rPr>
            </w:pPr>
          </w:p>
        </w:tc>
      </w:tr>
      <w:tr w14:paraId="34B8F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671" w:type="dxa"/>
            <w:vAlign w:val="center"/>
          </w:tcPr>
          <w:p w14:paraId="65E5B918">
            <w:pPr>
              <w:jc w:val="center"/>
              <w:rPr>
                <w:rFonts w:ascii="仿宋_GB2312" w:hAnsi="仿宋_GB2312" w:eastAsia="仿宋_GB2312" w:cs="仿宋_GB2312"/>
              </w:rPr>
            </w:pPr>
            <w:r>
              <w:rPr>
                <w:rFonts w:hint="eastAsia" w:ascii="仿宋_GB2312" w:hAnsi="仿宋_GB2312" w:eastAsia="仿宋_GB2312" w:cs="仿宋_GB2312"/>
                <w:kern w:val="0"/>
                <w:szCs w:val="21"/>
              </w:rPr>
              <w:t>5</w:t>
            </w:r>
          </w:p>
        </w:tc>
        <w:tc>
          <w:tcPr>
            <w:tcW w:w="2376" w:type="dxa"/>
            <w:vAlign w:val="center"/>
          </w:tcPr>
          <w:p w14:paraId="27A4B27D">
            <w:pPr>
              <w:rPr>
                <w:rFonts w:ascii="仿宋_GB2312" w:hAnsi="仿宋_GB2312" w:eastAsia="仿宋_GB2312" w:cs="仿宋_GB2312"/>
                <w:b/>
                <w:szCs w:val="21"/>
              </w:rPr>
            </w:pPr>
            <w:r>
              <w:rPr>
                <w:rFonts w:hint="eastAsia" w:ascii="仿宋_GB2312" w:hAnsi="仿宋_GB2312" w:eastAsia="仿宋_GB2312" w:cs="仿宋_GB2312"/>
                <w:kern w:val="0"/>
                <w:szCs w:val="21"/>
              </w:rPr>
              <w:t>服务需求响应表</w:t>
            </w:r>
          </w:p>
        </w:tc>
        <w:tc>
          <w:tcPr>
            <w:tcW w:w="3015" w:type="dxa"/>
            <w:vAlign w:val="center"/>
          </w:tcPr>
          <w:p w14:paraId="37087C27">
            <w:pPr>
              <w:pStyle w:val="5"/>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1.按给定格式及填表要求填写</w:t>
            </w:r>
          </w:p>
          <w:p w14:paraId="4C84B74A">
            <w:pPr>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14:paraId="134CE63F">
            <w:pPr>
              <w:pStyle w:val="5"/>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vAlign w:val="center"/>
          </w:tcPr>
          <w:p w14:paraId="5DB4091A">
            <w:pPr>
              <w:pStyle w:val="5"/>
              <w:adjustRightInd w:val="0"/>
              <w:snapToGrid w:val="0"/>
              <w:spacing w:before="0" w:after="0" w:line="240" w:lineRule="auto"/>
              <w:rPr>
                <w:rFonts w:ascii="仿宋_GB2312" w:hAnsi="仿宋_GB2312" w:eastAsia="仿宋_GB2312" w:cs="仿宋_GB2312"/>
                <w:sz w:val="21"/>
                <w:szCs w:val="21"/>
              </w:rPr>
            </w:pPr>
          </w:p>
        </w:tc>
        <w:tc>
          <w:tcPr>
            <w:tcW w:w="1020" w:type="dxa"/>
            <w:vAlign w:val="center"/>
          </w:tcPr>
          <w:p w14:paraId="6C5D8F59">
            <w:pPr>
              <w:pStyle w:val="5"/>
              <w:adjustRightInd w:val="0"/>
              <w:snapToGrid w:val="0"/>
              <w:spacing w:before="0" w:after="0" w:line="240" w:lineRule="auto"/>
              <w:rPr>
                <w:rFonts w:ascii="仿宋_GB2312" w:hAnsi="仿宋_GB2312" w:eastAsia="仿宋_GB2312" w:cs="仿宋_GB2312"/>
                <w:sz w:val="21"/>
                <w:szCs w:val="21"/>
              </w:rPr>
            </w:pPr>
          </w:p>
        </w:tc>
        <w:tc>
          <w:tcPr>
            <w:tcW w:w="944" w:type="dxa"/>
            <w:vAlign w:val="center"/>
          </w:tcPr>
          <w:p w14:paraId="7AF3E392">
            <w:pPr>
              <w:pStyle w:val="5"/>
              <w:adjustRightInd w:val="0"/>
              <w:snapToGrid w:val="0"/>
              <w:spacing w:before="0" w:after="0" w:line="240" w:lineRule="auto"/>
              <w:rPr>
                <w:rFonts w:ascii="仿宋_GB2312" w:hAnsi="仿宋_GB2312" w:eastAsia="仿宋_GB2312" w:cs="仿宋_GB2312"/>
                <w:sz w:val="21"/>
                <w:szCs w:val="21"/>
              </w:rPr>
            </w:pPr>
          </w:p>
        </w:tc>
      </w:tr>
      <w:tr w14:paraId="35DD9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671" w:type="dxa"/>
            <w:vAlign w:val="center"/>
          </w:tcPr>
          <w:p w14:paraId="67E74391">
            <w:pPr>
              <w:jc w:val="center"/>
              <w:rPr>
                <w:rFonts w:ascii="仿宋_GB2312" w:hAnsi="仿宋_GB2312" w:eastAsia="仿宋_GB2312" w:cs="仿宋_GB2312"/>
              </w:rPr>
            </w:pPr>
            <w:r>
              <w:rPr>
                <w:rFonts w:hint="eastAsia" w:ascii="仿宋_GB2312" w:hAnsi="仿宋_GB2312" w:eastAsia="仿宋_GB2312" w:cs="仿宋_GB2312"/>
                <w:kern w:val="0"/>
                <w:szCs w:val="21"/>
              </w:rPr>
              <w:t>6</w:t>
            </w:r>
          </w:p>
        </w:tc>
        <w:tc>
          <w:tcPr>
            <w:tcW w:w="2376" w:type="dxa"/>
            <w:vAlign w:val="center"/>
          </w:tcPr>
          <w:p w14:paraId="4D6F9DBD">
            <w:pPr>
              <w:rPr>
                <w:rFonts w:ascii="仿宋_GB2312" w:hAnsi="仿宋_GB2312" w:eastAsia="仿宋_GB2312" w:cs="仿宋_GB2312"/>
                <w:b/>
                <w:szCs w:val="21"/>
              </w:rPr>
            </w:pPr>
            <w:r>
              <w:rPr>
                <w:rFonts w:hint="eastAsia" w:ascii="仿宋_GB2312" w:hAnsi="仿宋_GB2312" w:eastAsia="仿宋_GB2312" w:cs="仿宋_GB2312"/>
                <w:kern w:val="0"/>
                <w:szCs w:val="21"/>
              </w:rPr>
              <w:t>商务条款偏离表</w:t>
            </w:r>
          </w:p>
        </w:tc>
        <w:tc>
          <w:tcPr>
            <w:tcW w:w="3015" w:type="dxa"/>
            <w:vAlign w:val="center"/>
          </w:tcPr>
          <w:p w14:paraId="5574BF3D">
            <w:pPr>
              <w:pStyle w:val="5"/>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1.按给定格式及填表要求填写</w:t>
            </w:r>
          </w:p>
          <w:p w14:paraId="30C6BBC1">
            <w:pPr>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14:paraId="7558F43C">
            <w:pPr>
              <w:pStyle w:val="5"/>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vAlign w:val="center"/>
          </w:tcPr>
          <w:p w14:paraId="29C574B3">
            <w:pPr>
              <w:pStyle w:val="5"/>
              <w:adjustRightInd w:val="0"/>
              <w:snapToGrid w:val="0"/>
              <w:spacing w:before="0" w:after="0" w:line="240" w:lineRule="auto"/>
              <w:rPr>
                <w:rFonts w:ascii="仿宋_GB2312" w:hAnsi="仿宋_GB2312" w:eastAsia="仿宋_GB2312" w:cs="仿宋_GB2312"/>
                <w:sz w:val="21"/>
                <w:szCs w:val="21"/>
              </w:rPr>
            </w:pPr>
          </w:p>
        </w:tc>
        <w:tc>
          <w:tcPr>
            <w:tcW w:w="1020" w:type="dxa"/>
            <w:vAlign w:val="center"/>
          </w:tcPr>
          <w:p w14:paraId="0DE21192">
            <w:pPr>
              <w:pStyle w:val="5"/>
              <w:adjustRightInd w:val="0"/>
              <w:snapToGrid w:val="0"/>
              <w:spacing w:before="0" w:after="0" w:line="240" w:lineRule="auto"/>
              <w:rPr>
                <w:rFonts w:ascii="仿宋_GB2312" w:hAnsi="仿宋_GB2312" w:eastAsia="仿宋_GB2312" w:cs="仿宋_GB2312"/>
                <w:sz w:val="21"/>
                <w:szCs w:val="21"/>
              </w:rPr>
            </w:pPr>
          </w:p>
        </w:tc>
        <w:tc>
          <w:tcPr>
            <w:tcW w:w="944" w:type="dxa"/>
            <w:vAlign w:val="center"/>
          </w:tcPr>
          <w:p w14:paraId="651797FC">
            <w:pPr>
              <w:pStyle w:val="5"/>
              <w:adjustRightInd w:val="0"/>
              <w:snapToGrid w:val="0"/>
              <w:spacing w:before="0" w:after="0" w:line="240" w:lineRule="auto"/>
              <w:rPr>
                <w:rFonts w:ascii="仿宋_GB2312" w:hAnsi="仿宋_GB2312" w:eastAsia="仿宋_GB2312" w:cs="仿宋_GB2312"/>
                <w:sz w:val="21"/>
                <w:szCs w:val="21"/>
              </w:rPr>
            </w:pPr>
          </w:p>
        </w:tc>
      </w:tr>
      <w:tr w14:paraId="3C24D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jc w:val="center"/>
        </w:trPr>
        <w:tc>
          <w:tcPr>
            <w:tcW w:w="671" w:type="dxa"/>
            <w:vAlign w:val="center"/>
          </w:tcPr>
          <w:p w14:paraId="5447FC27">
            <w:pPr>
              <w:jc w:val="center"/>
              <w:rPr>
                <w:rFonts w:ascii="仿宋_GB2312" w:hAnsi="仿宋_GB2312" w:eastAsia="仿宋_GB2312" w:cs="仿宋_GB2312"/>
              </w:rPr>
            </w:pPr>
            <w:r>
              <w:rPr>
                <w:rFonts w:hint="eastAsia" w:ascii="仿宋_GB2312" w:hAnsi="仿宋_GB2312" w:eastAsia="仿宋_GB2312" w:cs="仿宋_GB2312"/>
                <w:kern w:val="0"/>
                <w:szCs w:val="21"/>
              </w:rPr>
              <w:t>7</w:t>
            </w:r>
          </w:p>
        </w:tc>
        <w:tc>
          <w:tcPr>
            <w:tcW w:w="2376" w:type="dxa"/>
            <w:vAlign w:val="center"/>
          </w:tcPr>
          <w:p w14:paraId="62E3B186">
            <w:pPr>
              <w:rPr>
                <w:rFonts w:ascii="仿宋_GB2312" w:hAnsi="仿宋_GB2312" w:eastAsia="仿宋_GB2312" w:cs="仿宋_GB2312"/>
                <w:b/>
                <w:szCs w:val="21"/>
              </w:rPr>
            </w:pPr>
            <w:r>
              <w:rPr>
                <w:rFonts w:hint="eastAsia" w:ascii="仿宋_GB2312" w:hAnsi="仿宋_GB2312" w:eastAsia="仿宋_GB2312" w:cs="仿宋_GB2312"/>
                <w:kern w:val="0"/>
                <w:szCs w:val="21"/>
              </w:rPr>
              <w:t>投标人关联单位说明</w:t>
            </w:r>
          </w:p>
        </w:tc>
        <w:tc>
          <w:tcPr>
            <w:tcW w:w="3015" w:type="dxa"/>
            <w:vAlign w:val="center"/>
          </w:tcPr>
          <w:p w14:paraId="1034ADAC">
            <w:pPr>
              <w:pStyle w:val="5"/>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无投标须知1.5所述情形</w:t>
            </w:r>
          </w:p>
        </w:tc>
        <w:tc>
          <w:tcPr>
            <w:tcW w:w="1050" w:type="dxa"/>
            <w:vAlign w:val="center"/>
          </w:tcPr>
          <w:p w14:paraId="422BFBC6">
            <w:pPr>
              <w:pStyle w:val="5"/>
              <w:adjustRightInd w:val="0"/>
              <w:snapToGrid w:val="0"/>
              <w:spacing w:before="0" w:after="0" w:line="240" w:lineRule="auto"/>
              <w:rPr>
                <w:rFonts w:ascii="仿宋_GB2312" w:hAnsi="仿宋_GB2312" w:eastAsia="仿宋_GB2312" w:cs="仿宋_GB2312"/>
                <w:sz w:val="21"/>
                <w:szCs w:val="21"/>
              </w:rPr>
            </w:pPr>
          </w:p>
        </w:tc>
        <w:tc>
          <w:tcPr>
            <w:tcW w:w="1020" w:type="dxa"/>
            <w:vAlign w:val="center"/>
          </w:tcPr>
          <w:p w14:paraId="6AFB7AF5">
            <w:pPr>
              <w:pStyle w:val="5"/>
              <w:adjustRightInd w:val="0"/>
              <w:snapToGrid w:val="0"/>
              <w:spacing w:before="0" w:after="0" w:line="240" w:lineRule="auto"/>
              <w:rPr>
                <w:rFonts w:ascii="仿宋_GB2312" w:hAnsi="仿宋_GB2312" w:eastAsia="仿宋_GB2312" w:cs="仿宋_GB2312"/>
                <w:sz w:val="21"/>
                <w:szCs w:val="21"/>
              </w:rPr>
            </w:pPr>
          </w:p>
        </w:tc>
        <w:tc>
          <w:tcPr>
            <w:tcW w:w="944" w:type="dxa"/>
            <w:vAlign w:val="center"/>
          </w:tcPr>
          <w:p w14:paraId="2DA5625F">
            <w:pPr>
              <w:pStyle w:val="5"/>
              <w:adjustRightInd w:val="0"/>
              <w:snapToGrid w:val="0"/>
              <w:spacing w:before="0" w:after="0" w:line="240" w:lineRule="auto"/>
              <w:rPr>
                <w:rFonts w:ascii="仿宋_GB2312" w:hAnsi="仿宋_GB2312" w:eastAsia="仿宋_GB2312" w:cs="仿宋_GB2312"/>
                <w:sz w:val="21"/>
                <w:szCs w:val="21"/>
              </w:rPr>
            </w:pPr>
          </w:p>
        </w:tc>
      </w:tr>
      <w:tr w14:paraId="7D3AE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71" w:type="dxa"/>
            <w:vAlign w:val="center"/>
          </w:tcPr>
          <w:p w14:paraId="31774B55">
            <w:pPr>
              <w:jc w:val="center"/>
              <w:rPr>
                <w:rFonts w:ascii="仿宋_GB2312" w:hAnsi="仿宋_GB2312" w:eastAsia="仿宋_GB2312" w:cs="仿宋_GB2312"/>
              </w:rPr>
            </w:pPr>
            <w:r>
              <w:rPr>
                <w:rFonts w:hint="eastAsia" w:ascii="仿宋_GB2312" w:hAnsi="仿宋_GB2312" w:eastAsia="仿宋_GB2312" w:cs="仿宋_GB2312"/>
                <w:kern w:val="0"/>
                <w:szCs w:val="21"/>
              </w:rPr>
              <w:t>8</w:t>
            </w:r>
          </w:p>
        </w:tc>
        <w:tc>
          <w:tcPr>
            <w:tcW w:w="2376" w:type="dxa"/>
            <w:vAlign w:val="center"/>
          </w:tcPr>
          <w:p w14:paraId="0C32C50B">
            <w:pPr>
              <w:rPr>
                <w:rFonts w:ascii="仿宋_GB2312" w:hAnsi="仿宋_GB2312" w:eastAsia="仿宋_GB2312" w:cs="仿宋_GB2312"/>
                <w:b/>
                <w:szCs w:val="21"/>
              </w:rPr>
            </w:pPr>
            <w:r>
              <w:rPr>
                <w:rFonts w:hint="eastAsia" w:ascii="仿宋_GB2312" w:hAnsi="仿宋_GB2312" w:eastAsia="仿宋_GB2312" w:cs="仿宋_GB2312"/>
                <w:kern w:val="0"/>
                <w:szCs w:val="21"/>
              </w:rPr>
              <w:t>其他符合性证明材料</w:t>
            </w:r>
          </w:p>
        </w:tc>
        <w:tc>
          <w:tcPr>
            <w:tcW w:w="3015" w:type="dxa"/>
            <w:vAlign w:val="center"/>
          </w:tcPr>
          <w:p w14:paraId="4993D5E2">
            <w:pPr>
              <w:rPr>
                <w:rFonts w:ascii="仿宋_GB2312" w:hAnsi="仿宋_GB2312" w:eastAsia="仿宋_GB2312" w:cs="仿宋_GB2312"/>
                <w:szCs w:val="21"/>
              </w:rPr>
            </w:pPr>
            <w:r>
              <w:rPr>
                <w:rFonts w:hint="eastAsia" w:ascii="仿宋_GB2312" w:hAnsi="仿宋_GB2312" w:eastAsia="仿宋_GB2312" w:cs="仿宋_GB2312"/>
                <w:szCs w:val="21"/>
              </w:rPr>
              <w:t>响应招标文件实质性要求</w:t>
            </w:r>
          </w:p>
        </w:tc>
        <w:tc>
          <w:tcPr>
            <w:tcW w:w="1050" w:type="dxa"/>
            <w:vAlign w:val="center"/>
          </w:tcPr>
          <w:p w14:paraId="3B892519">
            <w:pPr>
              <w:pStyle w:val="5"/>
              <w:adjustRightInd w:val="0"/>
              <w:snapToGrid w:val="0"/>
              <w:spacing w:before="0" w:after="0" w:line="240" w:lineRule="auto"/>
              <w:rPr>
                <w:rFonts w:ascii="仿宋_GB2312" w:hAnsi="仿宋_GB2312" w:eastAsia="仿宋_GB2312" w:cs="仿宋_GB2312"/>
                <w:sz w:val="21"/>
                <w:szCs w:val="21"/>
              </w:rPr>
            </w:pPr>
          </w:p>
        </w:tc>
        <w:tc>
          <w:tcPr>
            <w:tcW w:w="1020" w:type="dxa"/>
            <w:vAlign w:val="center"/>
          </w:tcPr>
          <w:p w14:paraId="00DCBC8B">
            <w:pPr>
              <w:pStyle w:val="5"/>
              <w:adjustRightInd w:val="0"/>
              <w:snapToGrid w:val="0"/>
              <w:spacing w:before="0" w:after="0" w:line="240" w:lineRule="auto"/>
              <w:rPr>
                <w:rFonts w:ascii="仿宋_GB2312" w:hAnsi="仿宋_GB2312" w:eastAsia="仿宋_GB2312" w:cs="仿宋_GB2312"/>
                <w:sz w:val="21"/>
                <w:szCs w:val="21"/>
              </w:rPr>
            </w:pPr>
          </w:p>
        </w:tc>
        <w:tc>
          <w:tcPr>
            <w:tcW w:w="944" w:type="dxa"/>
            <w:vAlign w:val="center"/>
          </w:tcPr>
          <w:p w14:paraId="3B94DA86">
            <w:pPr>
              <w:pStyle w:val="5"/>
              <w:adjustRightInd w:val="0"/>
              <w:snapToGrid w:val="0"/>
              <w:spacing w:before="0" w:after="0" w:line="240" w:lineRule="auto"/>
              <w:rPr>
                <w:rFonts w:ascii="仿宋_GB2312" w:hAnsi="仿宋_GB2312" w:eastAsia="仿宋_GB2312" w:cs="仿宋_GB2312"/>
                <w:sz w:val="21"/>
                <w:szCs w:val="21"/>
              </w:rPr>
            </w:pPr>
          </w:p>
        </w:tc>
      </w:tr>
      <w:tr w14:paraId="45A88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1" w:type="dxa"/>
            <w:vAlign w:val="center"/>
          </w:tcPr>
          <w:p w14:paraId="08703948">
            <w:pPr>
              <w:snapToGrid w:val="0"/>
              <w:jc w:val="center"/>
              <w:rPr>
                <w:rFonts w:ascii="仿宋_GB2312" w:hAnsi="仿宋_GB2312" w:eastAsia="仿宋_GB2312" w:cs="仿宋_GB2312"/>
              </w:rPr>
            </w:pPr>
            <w:r>
              <w:rPr>
                <w:rFonts w:hint="eastAsia" w:ascii="仿宋_GB2312" w:hAnsi="仿宋_GB2312" w:eastAsia="仿宋_GB2312" w:cs="仿宋_GB2312"/>
                <w:szCs w:val="21"/>
              </w:rPr>
              <w:t>9</w:t>
            </w:r>
          </w:p>
        </w:tc>
        <w:tc>
          <w:tcPr>
            <w:tcW w:w="2376" w:type="dxa"/>
            <w:vAlign w:val="center"/>
          </w:tcPr>
          <w:p w14:paraId="24DB338D">
            <w:pPr>
              <w:snapToGrid w:val="0"/>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3015" w:type="dxa"/>
            <w:vAlign w:val="center"/>
          </w:tcPr>
          <w:p w14:paraId="3EA65B01">
            <w:pPr>
              <w:pStyle w:val="5"/>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1.响应招标文件实质性要求</w:t>
            </w:r>
          </w:p>
          <w:p w14:paraId="7406F9C0">
            <w:pPr>
              <w:pStyle w:val="5"/>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2.无投标须知26.2所述情形</w:t>
            </w:r>
          </w:p>
        </w:tc>
        <w:tc>
          <w:tcPr>
            <w:tcW w:w="1050" w:type="dxa"/>
            <w:vAlign w:val="center"/>
          </w:tcPr>
          <w:p w14:paraId="179F4B69">
            <w:pPr>
              <w:pStyle w:val="5"/>
              <w:adjustRightInd w:val="0"/>
              <w:snapToGrid w:val="0"/>
              <w:spacing w:before="0" w:after="0" w:line="240" w:lineRule="auto"/>
              <w:rPr>
                <w:rFonts w:ascii="仿宋_GB2312" w:hAnsi="仿宋_GB2312" w:eastAsia="仿宋_GB2312" w:cs="仿宋_GB2312"/>
                <w:sz w:val="21"/>
                <w:szCs w:val="21"/>
              </w:rPr>
            </w:pPr>
          </w:p>
        </w:tc>
        <w:tc>
          <w:tcPr>
            <w:tcW w:w="1020" w:type="dxa"/>
            <w:vAlign w:val="center"/>
          </w:tcPr>
          <w:p w14:paraId="0CCE393F">
            <w:pPr>
              <w:pStyle w:val="5"/>
              <w:adjustRightInd w:val="0"/>
              <w:snapToGrid w:val="0"/>
              <w:spacing w:before="0" w:after="0" w:line="240" w:lineRule="auto"/>
              <w:rPr>
                <w:rFonts w:ascii="仿宋_GB2312" w:hAnsi="仿宋_GB2312" w:eastAsia="仿宋_GB2312" w:cs="仿宋_GB2312"/>
                <w:sz w:val="21"/>
                <w:szCs w:val="21"/>
              </w:rPr>
            </w:pPr>
          </w:p>
        </w:tc>
        <w:tc>
          <w:tcPr>
            <w:tcW w:w="944" w:type="dxa"/>
            <w:vAlign w:val="center"/>
          </w:tcPr>
          <w:p w14:paraId="2436A66B">
            <w:pPr>
              <w:pStyle w:val="5"/>
              <w:adjustRightInd w:val="0"/>
              <w:snapToGrid w:val="0"/>
              <w:spacing w:before="0" w:after="0" w:line="240" w:lineRule="auto"/>
              <w:rPr>
                <w:rFonts w:ascii="仿宋_GB2312" w:hAnsi="仿宋_GB2312" w:eastAsia="仿宋_GB2312" w:cs="仿宋_GB2312"/>
                <w:sz w:val="21"/>
                <w:szCs w:val="21"/>
              </w:rPr>
            </w:pPr>
          </w:p>
        </w:tc>
      </w:tr>
      <w:tr w14:paraId="1EC6E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671" w:type="dxa"/>
            <w:vAlign w:val="center"/>
          </w:tcPr>
          <w:p w14:paraId="665C4C79">
            <w:pPr>
              <w:snapToGrid w:val="0"/>
              <w:jc w:val="center"/>
              <w:rPr>
                <w:rFonts w:ascii="仿宋_GB2312" w:hAnsi="仿宋_GB2312" w:eastAsia="仿宋_GB2312" w:cs="仿宋_GB2312"/>
              </w:rPr>
            </w:pPr>
            <w:r>
              <w:rPr>
                <w:rFonts w:hint="eastAsia" w:ascii="仿宋_GB2312" w:hAnsi="仿宋_GB2312" w:eastAsia="仿宋_GB2312" w:cs="仿宋_GB2312"/>
                <w:szCs w:val="21"/>
              </w:rPr>
              <w:t>10</w:t>
            </w:r>
          </w:p>
        </w:tc>
        <w:tc>
          <w:tcPr>
            <w:tcW w:w="2376" w:type="dxa"/>
            <w:vAlign w:val="center"/>
          </w:tcPr>
          <w:p w14:paraId="24349960">
            <w:pPr>
              <w:snapToGrid w:val="0"/>
              <w:rPr>
                <w:rFonts w:ascii="仿宋_GB2312" w:hAnsi="仿宋_GB2312" w:eastAsia="仿宋_GB2312" w:cs="仿宋_GB2312"/>
                <w:szCs w:val="21"/>
              </w:rPr>
            </w:pPr>
            <w:r>
              <w:rPr>
                <w:rFonts w:hint="eastAsia" w:ascii="仿宋_GB2312" w:hAnsi="仿宋_GB2312" w:eastAsia="仿宋_GB2312" w:cs="仿宋_GB2312"/>
                <w:szCs w:val="21"/>
              </w:rPr>
              <w:t>样品或演示（如适用）</w:t>
            </w:r>
          </w:p>
        </w:tc>
        <w:tc>
          <w:tcPr>
            <w:tcW w:w="3015" w:type="dxa"/>
            <w:vAlign w:val="center"/>
          </w:tcPr>
          <w:p w14:paraId="0E8EA7CD">
            <w:pPr>
              <w:pStyle w:val="5"/>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符合投标须知表11.3及25.1所述全部要求</w:t>
            </w:r>
          </w:p>
        </w:tc>
        <w:tc>
          <w:tcPr>
            <w:tcW w:w="1050" w:type="dxa"/>
            <w:vAlign w:val="center"/>
          </w:tcPr>
          <w:p w14:paraId="5E7D5BE4">
            <w:pPr>
              <w:pStyle w:val="5"/>
              <w:adjustRightInd w:val="0"/>
              <w:snapToGrid w:val="0"/>
              <w:spacing w:before="0" w:after="0" w:line="240" w:lineRule="auto"/>
              <w:rPr>
                <w:rFonts w:ascii="仿宋_GB2312" w:hAnsi="仿宋_GB2312" w:eastAsia="仿宋_GB2312" w:cs="仿宋_GB2312"/>
                <w:sz w:val="21"/>
                <w:szCs w:val="21"/>
              </w:rPr>
            </w:pPr>
          </w:p>
        </w:tc>
        <w:tc>
          <w:tcPr>
            <w:tcW w:w="1020" w:type="dxa"/>
            <w:vAlign w:val="center"/>
          </w:tcPr>
          <w:p w14:paraId="2CF85AEC">
            <w:pPr>
              <w:pStyle w:val="5"/>
              <w:adjustRightInd w:val="0"/>
              <w:snapToGrid w:val="0"/>
              <w:spacing w:before="0" w:after="0" w:line="240" w:lineRule="auto"/>
              <w:rPr>
                <w:rFonts w:ascii="仿宋_GB2312" w:hAnsi="仿宋_GB2312" w:eastAsia="仿宋_GB2312" w:cs="仿宋_GB2312"/>
                <w:sz w:val="21"/>
                <w:szCs w:val="21"/>
              </w:rPr>
            </w:pPr>
          </w:p>
        </w:tc>
        <w:tc>
          <w:tcPr>
            <w:tcW w:w="944" w:type="dxa"/>
            <w:vAlign w:val="center"/>
          </w:tcPr>
          <w:p w14:paraId="35814B71">
            <w:pPr>
              <w:pStyle w:val="5"/>
              <w:adjustRightInd w:val="0"/>
              <w:snapToGrid w:val="0"/>
              <w:spacing w:before="0" w:after="0" w:line="240" w:lineRule="auto"/>
              <w:rPr>
                <w:rFonts w:ascii="仿宋_GB2312" w:hAnsi="仿宋_GB2312" w:eastAsia="仿宋_GB2312" w:cs="仿宋_GB2312"/>
                <w:sz w:val="21"/>
                <w:szCs w:val="21"/>
              </w:rPr>
            </w:pPr>
          </w:p>
        </w:tc>
      </w:tr>
      <w:tr w14:paraId="19D45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atLeast"/>
          <w:jc w:val="center"/>
        </w:trPr>
        <w:tc>
          <w:tcPr>
            <w:tcW w:w="671" w:type="dxa"/>
            <w:vAlign w:val="center"/>
          </w:tcPr>
          <w:p w14:paraId="5FC0D33F">
            <w:pPr>
              <w:snapToGrid w:val="0"/>
              <w:jc w:val="center"/>
              <w:rPr>
                <w:rFonts w:ascii="仿宋_GB2312" w:hAnsi="仿宋_GB2312" w:eastAsia="仿宋_GB2312" w:cs="仿宋_GB2312"/>
              </w:rPr>
            </w:pPr>
          </w:p>
        </w:tc>
        <w:tc>
          <w:tcPr>
            <w:tcW w:w="2376" w:type="dxa"/>
            <w:vAlign w:val="center"/>
          </w:tcPr>
          <w:p w14:paraId="4A84089F">
            <w:pPr>
              <w:snapToGrid w:val="0"/>
              <w:rPr>
                <w:rFonts w:ascii="仿宋_GB2312" w:hAnsi="仿宋_GB2312" w:eastAsia="仿宋_GB2312" w:cs="仿宋_GB2312"/>
                <w:szCs w:val="21"/>
              </w:rPr>
            </w:pPr>
            <w:r>
              <w:rPr>
                <w:rFonts w:hint="eastAsia" w:ascii="仿宋_GB2312" w:hAnsi="仿宋_GB2312" w:eastAsia="仿宋_GB2312" w:cs="仿宋_GB2312"/>
                <w:szCs w:val="21"/>
              </w:rPr>
              <w:t>结论</w:t>
            </w:r>
          </w:p>
        </w:tc>
        <w:tc>
          <w:tcPr>
            <w:tcW w:w="3015" w:type="dxa"/>
            <w:vAlign w:val="center"/>
          </w:tcPr>
          <w:p w14:paraId="1D4F7D2D">
            <w:pPr>
              <w:pStyle w:val="5"/>
              <w:adjustRightInd w:val="0"/>
              <w:snapToGrid w:val="0"/>
              <w:spacing w:before="0" w:after="0" w:line="240" w:lineRule="auto"/>
              <w:jc w:val="both"/>
              <w:rPr>
                <w:rFonts w:ascii="仿宋_GB2312" w:hAnsi="仿宋_GB2312" w:eastAsia="仿宋_GB2312" w:cs="仿宋_GB2312"/>
                <w:sz w:val="21"/>
                <w:szCs w:val="21"/>
              </w:rPr>
            </w:pPr>
          </w:p>
        </w:tc>
        <w:tc>
          <w:tcPr>
            <w:tcW w:w="1050" w:type="dxa"/>
            <w:vAlign w:val="center"/>
          </w:tcPr>
          <w:p w14:paraId="73ABA6B3">
            <w:pPr>
              <w:pStyle w:val="5"/>
              <w:adjustRightInd w:val="0"/>
              <w:snapToGrid w:val="0"/>
              <w:spacing w:before="0" w:after="0" w:line="240" w:lineRule="auto"/>
              <w:rPr>
                <w:rFonts w:ascii="仿宋_GB2312" w:hAnsi="仿宋_GB2312" w:eastAsia="仿宋_GB2312" w:cs="仿宋_GB2312"/>
                <w:sz w:val="21"/>
                <w:szCs w:val="21"/>
              </w:rPr>
            </w:pPr>
          </w:p>
        </w:tc>
        <w:tc>
          <w:tcPr>
            <w:tcW w:w="1020" w:type="dxa"/>
            <w:vAlign w:val="center"/>
          </w:tcPr>
          <w:p w14:paraId="6379D3E6">
            <w:pPr>
              <w:pStyle w:val="5"/>
              <w:adjustRightInd w:val="0"/>
              <w:snapToGrid w:val="0"/>
              <w:spacing w:before="0" w:after="0" w:line="240" w:lineRule="auto"/>
              <w:rPr>
                <w:rFonts w:ascii="仿宋_GB2312" w:hAnsi="仿宋_GB2312" w:eastAsia="仿宋_GB2312" w:cs="仿宋_GB2312"/>
                <w:sz w:val="21"/>
                <w:szCs w:val="21"/>
              </w:rPr>
            </w:pPr>
          </w:p>
        </w:tc>
        <w:tc>
          <w:tcPr>
            <w:tcW w:w="944" w:type="dxa"/>
            <w:vAlign w:val="center"/>
          </w:tcPr>
          <w:p w14:paraId="2417596B">
            <w:pPr>
              <w:pStyle w:val="5"/>
              <w:adjustRightInd w:val="0"/>
              <w:snapToGrid w:val="0"/>
              <w:spacing w:before="0" w:after="0" w:line="240" w:lineRule="auto"/>
              <w:rPr>
                <w:rFonts w:ascii="仿宋_GB2312" w:hAnsi="仿宋_GB2312" w:eastAsia="仿宋_GB2312" w:cs="仿宋_GB2312"/>
                <w:sz w:val="21"/>
                <w:szCs w:val="21"/>
              </w:rPr>
            </w:pPr>
          </w:p>
        </w:tc>
      </w:tr>
    </w:tbl>
    <w:p w14:paraId="6CA9ED5E">
      <w:pPr>
        <w:rPr>
          <w:rFonts w:ascii="仿宋_GB2312" w:hAnsi="仿宋_GB2312" w:eastAsia="仿宋_GB2312" w:cs="仿宋_GB2312"/>
        </w:rPr>
      </w:pPr>
      <w:bookmarkStart w:id="121" w:name="_Toc17433_WPSOffice_Level2"/>
      <w:r>
        <w:rPr>
          <w:rFonts w:hint="eastAsia" w:ascii="仿宋_GB2312" w:hAnsi="仿宋_GB2312" w:eastAsia="仿宋_GB2312" w:cs="仿宋_GB2312"/>
        </w:rPr>
        <w:t>注：填表说明：1、每项内容审查合格，在表中填写“√”；不合格填写“×”</w:t>
      </w:r>
    </w:p>
    <w:p w14:paraId="237E4EAE">
      <w:pPr>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14:paraId="3C938428">
      <w:pPr>
        <w:pStyle w:val="18"/>
        <w:widowControl w:val="0"/>
        <w:snapToGrid w:val="0"/>
        <w:spacing w:before="0" w:beforeAutospacing="0" w:after="0" w:afterAutospacing="0"/>
        <w:ind w:left="5903" w:hanging="5880" w:hangingChars="2800"/>
        <w:rPr>
          <w:rFonts w:ascii="仿宋_GB2312" w:hAnsi="仿宋_GB2312" w:eastAsia="仿宋_GB2312" w:cs="仿宋_GB2312"/>
          <w:b/>
          <w:sz w:val="21"/>
          <w:szCs w:val="21"/>
        </w:rPr>
      </w:pPr>
    </w:p>
    <w:p w14:paraId="3DFEF001">
      <w:pPr>
        <w:pStyle w:val="18"/>
        <w:widowControl w:val="0"/>
        <w:snapToGrid w:val="0"/>
        <w:spacing w:before="0" w:beforeAutospacing="0" w:after="0" w:afterAutospacing="0"/>
        <w:ind w:left="5903" w:hanging="5880" w:hangingChars="2800"/>
        <w:rPr>
          <w:rFonts w:ascii="仿宋_GB2312" w:hAnsi="仿宋_GB2312" w:eastAsia="仿宋_GB2312" w:cs="仿宋_GB2312"/>
          <w:b/>
          <w:sz w:val="21"/>
          <w:szCs w:val="21"/>
        </w:rPr>
      </w:pPr>
    </w:p>
    <w:p w14:paraId="59E1D07E">
      <w:pPr>
        <w:pStyle w:val="18"/>
        <w:widowControl w:val="0"/>
        <w:snapToGrid w:val="0"/>
        <w:spacing w:before="0" w:beforeAutospacing="0" w:after="0" w:afterAutospacing="0"/>
        <w:ind w:left="5903" w:hanging="5880" w:hangingChars="2800"/>
        <w:rPr>
          <w:rFonts w:ascii="仿宋_GB2312" w:hAnsi="仿宋_GB2312" w:eastAsia="仿宋_GB2312" w:cs="仿宋_GB2312"/>
          <w:b/>
          <w:sz w:val="21"/>
          <w:szCs w:val="21"/>
        </w:rPr>
      </w:pPr>
    </w:p>
    <w:p w14:paraId="31C2FAA5">
      <w:pPr>
        <w:pStyle w:val="18"/>
        <w:widowControl w:val="0"/>
        <w:snapToGrid w:val="0"/>
        <w:spacing w:before="0" w:beforeAutospacing="0" w:after="0" w:afterAutospacing="0" w:line="480" w:lineRule="auto"/>
        <w:ind w:left="5880" w:hanging="5880" w:hangingChars="2800"/>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审查人签字： </w:t>
      </w:r>
    </w:p>
    <w:p w14:paraId="460DD64A">
      <w:pPr>
        <w:pStyle w:val="18"/>
        <w:widowControl w:val="0"/>
        <w:snapToGrid w:val="0"/>
        <w:spacing w:before="0" w:beforeAutospacing="0" w:after="0" w:afterAutospacing="0" w:line="480" w:lineRule="auto"/>
        <w:ind w:left="5880" w:hanging="5880" w:hangingChars="2800"/>
        <w:rPr>
          <w:rFonts w:ascii="仿宋_GB2312" w:hAnsi="仿宋_GB2312" w:eastAsia="仿宋_GB2312" w:cs="仿宋_GB2312"/>
          <w:sz w:val="21"/>
          <w:szCs w:val="21"/>
        </w:rPr>
      </w:pPr>
      <w:r>
        <w:rPr>
          <w:rFonts w:hint="eastAsia" w:ascii="仿宋_GB2312" w:hAnsi="仿宋_GB2312" w:eastAsia="仿宋_GB2312" w:cs="仿宋_GB2312"/>
          <w:sz w:val="21"/>
          <w:szCs w:val="21"/>
        </w:rPr>
        <w:t>日      期：</w:t>
      </w:r>
    </w:p>
    <w:p w14:paraId="49D651F8">
      <w:pPr>
        <w:widowControl/>
        <w:jc w:val="left"/>
        <w:rPr>
          <w:rFonts w:ascii="仿宋_GB2312" w:hAnsi="仿宋_GB2312" w:eastAsia="仿宋_GB2312" w:cs="仿宋_GB2312"/>
          <w:b/>
          <w:szCs w:val="21"/>
        </w:rPr>
      </w:pPr>
      <w:r>
        <w:rPr>
          <w:rFonts w:hint="eastAsia" w:ascii="仿宋_GB2312" w:hAnsi="仿宋_GB2312" w:eastAsia="仿宋_GB2312" w:cs="仿宋_GB2312"/>
          <w:szCs w:val="21"/>
        </w:rPr>
        <w:br w:type="page"/>
      </w:r>
    </w:p>
    <w:p w14:paraId="0C805F19">
      <w:pPr>
        <w:pStyle w:val="5"/>
        <w:adjustRightInd w:val="0"/>
        <w:snapToGrid w:val="0"/>
        <w:spacing w:before="0" w:after="0" w:line="240" w:lineRule="auto"/>
        <w:jc w:val="left"/>
        <w:rPr>
          <w:rFonts w:ascii="仿宋_GB2312" w:hAnsi="仿宋_GB2312" w:eastAsia="仿宋_GB2312" w:cs="仿宋_GB2312"/>
          <w:sz w:val="32"/>
          <w:szCs w:val="32"/>
        </w:rPr>
      </w:pPr>
      <w:r>
        <w:rPr>
          <w:rFonts w:hint="eastAsia" w:ascii="仿宋_GB2312" w:hAnsi="仿宋_GB2312" w:eastAsia="仿宋_GB2312" w:cs="仿宋_GB2312"/>
          <w:szCs w:val="28"/>
        </w:rPr>
        <w:t xml:space="preserve">附件3                   </w:t>
      </w:r>
      <w:r>
        <w:rPr>
          <w:rFonts w:hint="eastAsia" w:ascii="仿宋_GB2312" w:hAnsi="仿宋_GB2312" w:eastAsia="仿宋_GB2312" w:cs="仿宋_GB2312"/>
          <w:sz w:val="32"/>
          <w:szCs w:val="32"/>
        </w:rPr>
        <w:t xml:space="preserve"> </w:t>
      </w:r>
      <w:bookmarkEnd w:id="121"/>
    </w:p>
    <w:p w14:paraId="60CF9503">
      <w:pPr>
        <w:spacing w:line="560" w:lineRule="exact"/>
        <w:jc w:val="center"/>
        <w:rPr>
          <w:rFonts w:ascii="方正小标宋简体" w:hAnsi="方正小标宋简体" w:eastAsia="方正小标宋简体" w:cs="方正小标宋简体"/>
          <w:sz w:val="44"/>
          <w:szCs w:val="44"/>
        </w:rPr>
      </w:pPr>
      <w:bookmarkStart w:id="122" w:name="_Toc25922_WPSOffice_Level1"/>
      <w:r>
        <w:rPr>
          <w:rFonts w:hint="eastAsia" w:ascii="方正小标宋简体" w:hAnsi="方正小标宋简体" w:eastAsia="方正小标宋简体" w:cs="方正小标宋简体"/>
          <w:sz w:val="44"/>
          <w:szCs w:val="44"/>
        </w:rPr>
        <w:t>评分细则</w:t>
      </w:r>
    </w:p>
    <w:p w14:paraId="7C95E8DE">
      <w:pPr>
        <w:spacing w:line="360" w:lineRule="exact"/>
        <w:ind w:firstLine="480" w:firstLineChars="200"/>
        <w:rPr>
          <w:rFonts w:ascii="宋体" w:hAnsi="宋体"/>
          <w:b/>
          <w:sz w:val="24"/>
        </w:rPr>
      </w:pPr>
    </w:p>
    <w:p w14:paraId="608FB0E5">
      <w:pPr>
        <w:numPr>
          <w:ilvl w:val="0"/>
          <w:numId w:val="10"/>
        </w:numPr>
        <w:spacing w:line="360" w:lineRule="exact"/>
        <w:ind w:firstLine="480" w:firstLineChars="200"/>
        <w:rPr>
          <w:rFonts w:hint="eastAsia" w:ascii="仿宋_GB2312" w:hAnsi="Arial" w:eastAsia="仿宋_GB2312"/>
          <w:sz w:val="24"/>
        </w:rPr>
      </w:pPr>
      <w:r>
        <w:rPr>
          <w:rFonts w:hint="eastAsia" w:ascii="仿宋_GB2312" w:hAnsi="Arial" w:eastAsia="仿宋_GB2312"/>
          <w:sz w:val="24"/>
        </w:rPr>
        <w:t>评标委员会根据招标文件，在对投标人投标文件综合评审的基础上分包进行评估打分。打分采取百分制，其中商务、技术部分为</w:t>
      </w:r>
      <w:r>
        <w:rPr>
          <w:rFonts w:hint="eastAsia" w:ascii="仿宋_GB2312" w:hAnsi="Arial" w:eastAsia="仿宋_GB2312"/>
          <w:sz w:val="24"/>
          <w:lang w:val="en-US" w:eastAsia="zh-CN"/>
        </w:rPr>
        <w:t>90</w:t>
      </w:r>
      <w:r>
        <w:rPr>
          <w:rFonts w:hint="eastAsia" w:ascii="仿宋_GB2312" w:hAnsi="Arial" w:eastAsia="仿宋_GB2312"/>
          <w:sz w:val="24"/>
        </w:rPr>
        <w:t>分，最终报价</w:t>
      </w:r>
      <w:r>
        <w:rPr>
          <w:rFonts w:hint="eastAsia" w:ascii="仿宋_GB2312" w:hAnsi="Arial" w:eastAsia="仿宋_GB2312"/>
          <w:sz w:val="24"/>
          <w:lang w:val="en-US" w:eastAsia="zh-CN"/>
        </w:rPr>
        <w:t>10</w:t>
      </w:r>
      <w:r>
        <w:rPr>
          <w:rFonts w:hint="eastAsia" w:ascii="仿宋_GB2312" w:hAnsi="Arial" w:eastAsia="仿宋_GB2312"/>
          <w:sz w:val="24"/>
        </w:rPr>
        <w:t>分。</w:t>
      </w:r>
    </w:p>
    <w:p w14:paraId="1CC51F42">
      <w:pPr>
        <w:numPr>
          <w:numId w:val="0"/>
        </w:numPr>
        <w:spacing w:line="360" w:lineRule="exact"/>
        <w:ind w:firstLine="480" w:firstLineChars="200"/>
        <w:rPr>
          <w:rFonts w:ascii="宋体" w:hAnsi="宋体"/>
          <w:b/>
          <w:sz w:val="24"/>
        </w:rPr>
      </w:pPr>
      <w:bookmarkStart w:id="130" w:name="_GoBack"/>
      <w:bookmarkEnd w:id="130"/>
      <w:r>
        <w:rPr>
          <w:rFonts w:hint="eastAsia" w:ascii="仿宋_GB2312" w:hAnsi="Arial" w:eastAsia="仿宋_GB2312"/>
          <w:sz w:val="24"/>
        </w:rPr>
        <w:t>（2） 评分项目、分值及评分办法如下：</w:t>
      </w:r>
    </w:p>
    <w:tbl>
      <w:tblPr>
        <w:tblStyle w:val="21"/>
        <w:tblpPr w:leftFromText="180" w:rightFromText="180" w:vertAnchor="text" w:horzAnchor="page" w:tblpXSpec="center" w:tblpY="20"/>
        <w:tblOverlap w:val="never"/>
        <w:tblW w:w="10444"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
      <w:tblGrid>
        <w:gridCol w:w="796"/>
        <w:gridCol w:w="1512"/>
        <w:gridCol w:w="7243"/>
        <w:gridCol w:w="893"/>
      </w:tblGrid>
      <w:tr w14:paraId="26C5765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90" w:hRule="atLeast"/>
          <w:tblHeader/>
          <w:jc w:val="center"/>
        </w:trPr>
        <w:tc>
          <w:tcPr>
            <w:tcW w:w="796"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2F688826">
            <w:pPr>
              <w:spacing w:line="360" w:lineRule="exact"/>
              <w:jc w:val="center"/>
              <w:rPr>
                <w:rFonts w:hint="eastAsia" w:ascii="仿宋_GB2312" w:hAnsi="Arial" w:eastAsia="仿宋_GB2312"/>
                <w:sz w:val="22"/>
                <w:szCs w:val="22"/>
                <w:lang w:val="en-US" w:eastAsia="zh-CN"/>
              </w:rPr>
            </w:pPr>
            <w:r>
              <w:rPr>
                <w:rFonts w:hint="eastAsia" w:ascii="仿宋_GB2312" w:hAnsi="Arial" w:eastAsia="仿宋_GB2312"/>
                <w:sz w:val="22"/>
                <w:szCs w:val="22"/>
                <w:lang w:val="en-US" w:eastAsia="zh-CN"/>
              </w:rPr>
              <w:t>项目</w:t>
            </w:r>
          </w:p>
        </w:tc>
        <w:tc>
          <w:tcPr>
            <w:tcW w:w="8755" w:type="dxa"/>
            <w:gridSpan w:val="2"/>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6348A2E0">
            <w:pPr>
              <w:spacing w:line="360" w:lineRule="exact"/>
              <w:ind w:firstLine="440" w:firstLineChars="200"/>
              <w:jc w:val="center"/>
              <w:rPr>
                <w:rFonts w:hint="eastAsia" w:ascii="仿宋_GB2312" w:hAnsi="Arial" w:eastAsia="仿宋_GB2312"/>
                <w:sz w:val="22"/>
                <w:szCs w:val="22"/>
                <w:lang w:val="en-US" w:eastAsia="zh-CN"/>
              </w:rPr>
            </w:pPr>
            <w:r>
              <w:rPr>
                <w:rFonts w:hint="eastAsia" w:ascii="仿宋_GB2312" w:hAnsi="Arial" w:eastAsia="仿宋_GB2312"/>
                <w:sz w:val="22"/>
                <w:szCs w:val="22"/>
                <w:lang w:val="en-US" w:eastAsia="zh-CN"/>
              </w:rPr>
              <w:t>评审内容</w:t>
            </w:r>
          </w:p>
        </w:tc>
        <w:tc>
          <w:tcPr>
            <w:tcW w:w="893"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6A556DC4">
            <w:pPr>
              <w:spacing w:line="360" w:lineRule="exact"/>
              <w:jc w:val="center"/>
              <w:rPr>
                <w:rFonts w:hint="eastAsia" w:ascii="仿宋_GB2312" w:hAnsi="Arial" w:eastAsia="仿宋_GB2312"/>
                <w:sz w:val="22"/>
                <w:szCs w:val="22"/>
                <w:lang w:val="en-US" w:eastAsia="zh-CN"/>
              </w:rPr>
            </w:pPr>
            <w:r>
              <w:rPr>
                <w:rFonts w:hint="eastAsia" w:ascii="仿宋_GB2312" w:hAnsi="Arial" w:eastAsia="仿宋_GB2312"/>
                <w:sz w:val="22"/>
                <w:szCs w:val="22"/>
                <w:lang w:val="en-US" w:eastAsia="zh-CN"/>
              </w:rPr>
              <w:t>分值</w:t>
            </w:r>
          </w:p>
        </w:tc>
      </w:tr>
      <w:tr w14:paraId="276C354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60" w:hRule="atLeast"/>
          <w:tblHeader/>
          <w:jc w:val="center"/>
        </w:trPr>
        <w:tc>
          <w:tcPr>
            <w:tcW w:w="796" w:type="dxa"/>
            <w:tcBorders>
              <w:top w:val="single" w:color="000000" w:sz="4" w:space="0"/>
              <w:left w:val="single" w:color="000000" w:sz="4" w:space="0"/>
              <w:bottom w:val="single" w:color="000000" w:sz="4" w:space="0"/>
              <w:right w:val="single" w:color="000000" w:sz="4" w:space="0"/>
            </w:tcBorders>
            <w:shd w:val="clear" w:color="auto" w:fill="EEECE1"/>
            <w:noWrap w:val="0"/>
            <w:tcMar>
              <w:top w:w="80" w:type="dxa"/>
              <w:left w:w="80" w:type="dxa"/>
              <w:bottom w:w="80" w:type="dxa"/>
              <w:right w:w="80" w:type="dxa"/>
            </w:tcMar>
            <w:vAlign w:val="center"/>
          </w:tcPr>
          <w:p w14:paraId="3330315E">
            <w:pPr>
              <w:spacing w:line="360" w:lineRule="exact"/>
              <w:ind w:firstLine="220" w:firstLineChars="100"/>
              <w:rPr>
                <w:rFonts w:hint="eastAsia" w:ascii="仿宋_GB2312" w:hAnsi="Arial" w:eastAsia="仿宋_GB2312"/>
                <w:sz w:val="22"/>
                <w:szCs w:val="22"/>
                <w:lang w:val="en-US" w:eastAsia="zh-CN"/>
              </w:rPr>
            </w:pPr>
            <w:r>
              <w:rPr>
                <w:rFonts w:hint="eastAsia" w:ascii="仿宋_GB2312" w:hAnsi="Arial" w:eastAsia="仿宋_GB2312"/>
                <w:sz w:val="22"/>
                <w:szCs w:val="22"/>
                <w:lang w:val="en-US" w:eastAsia="zh-CN"/>
              </w:rPr>
              <w:t>一</w:t>
            </w:r>
          </w:p>
        </w:tc>
        <w:tc>
          <w:tcPr>
            <w:tcW w:w="9648" w:type="dxa"/>
            <w:gridSpan w:val="3"/>
            <w:tcBorders>
              <w:top w:val="single" w:color="000000" w:sz="4" w:space="0"/>
              <w:left w:val="single" w:color="000000" w:sz="4" w:space="0"/>
              <w:bottom w:val="single" w:color="000000" w:sz="4" w:space="0"/>
              <w:right w:val="single" w:color="000000" w:sz="4" w:space="0"/>
            </w:tcBorders>
            <w:shd w:val="clear" w:color="auto" w:fill="EEECE1"/>
            <w:noWrap w:val="0"/>
            <w:tcMar>
              <w:top w:w="80" w:type="dxa"/>
              <w:left w:w="80" w:type="dxa"/>
              <w:bottom w:w="80" w:type="dxa"/>
              <w:right w:w="80" w:type="dxa"/>
            </w:tcMar>
            <w:vAlign w:val="center"/>
          </w:tcPr>
          <w:p w14:paraId="2214F7FC">
            <w:pPr>
              <w:spacing w:line="360" w:lineRule="exact"/>
              <w:ind w:firstLine="440" w:firstLineChars="200"/>
              <w:rPr>
                <w:rFonts w:hint="eastAsia" w:ascii="仿宋_GB2312" w:hAnsi="Arial" w:eastAsia="仿宋_GB2312"/>
                <w:sz w:val="22"/>
                <w:szCs w:val="22"/>
                <w:lang w:val="zh-TW" w:eastAsia="zh-TW"/>
              </w:rPr>
            </w:pPr>
            <w:r>
              <w:rPr>
                <w:rFonts w:hint="eastAsia" w:ascii="仿宋_GB2312" w:hAnsi="Arial" w:eastAsia="仿宋_GB2312"/>
                <w:sz w:val="22"/>
                <w:szCs w:val="22"/>
                <w:lang w:val="en-US" w:eastAsia="zh-CN"/>
              </w:rPr>
              <w:t>报价部分 10分</w:t>
            </w:r>
          </w:p>
        </w:tc>
      </w:tr>
      <w:tr w14:paraId="5C8BA3B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039" w:hRule="atLeast"/>
          <w:jc w:val="center"/>
        </w:trPr>
        <w:tc>
          <w:tcPr>
            <w:tcW w:w="796"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47E09FA8">
            <w:pPr>
              <w:spacing w:line="360" w:lineRule="exact"/>
              <w:rPr>
                <w:rFonts w:hint="eastAsia" w:ascii="仿宋_GB2312" w:hAnsi="Arial" w:eastAsia="仿宋_GB2312"/>
                <w:sz w:val="22"/>
                <w:szCs w:val="22"/>
                <w:lang w:val="en-US" w:eastAsia="zh-CN"/>
              </w:rPr>
            </w:pPr>
            <w:r>
              <w:rPr>
                <w:rFonts w:hint="eastAsia" w:ascii="仿宋_GB2312" w:hAnsi="Arial" w:eastAsia="仿宋_GB2312"/>
                <w:sz w:val="22"/>
                <w:szCs w:val="22"/>
                <w:lang w:val="zh-TW" w:eastAsia="zh-CN"/>
              </w:rPr>
              <w:t>报价</w:t>
            </w:r>
          </w:p>
        </w:tc>
        <w:tc>
          <w:tcPr>
            <w:tcW w:w="8755" w:type="dxa"/>
            <w:gridSpan w:val="2"/>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14:paraId="20252300">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仿宋_GB2312" w:hAnsi="Arial" w:eastAsia="仿宋_GB2312"/>
                <w:sz w:val="22"/>
                <w:szCs w:val="22"/>
                <w:lang w:val="en-US" w:eastAsia="zh-CN"/>
              </w:rPr>
            </w:pPr>
            <w:r>
              <w:rPr>
                <w:rFonts w:hint="eastAsia" w:ascii="仿宋_GB2312" w:hAnsi="Arial" w:eastAsia="仿宋_GB2312"/>
                <w:sz w:val="22"/>
                <w:szCs w:val="22"/>
                <w:lang w:val="en-US" w:eastAsia="zh-CN"/>
              </w:rPr>
              <w:t>评分办法：采用低价优先法计算，即满足招标文件要求且最后价格最低的有效报价为投标基准价，其价格得分为满分。</w:t>
            </w:r>
          </w:p>
          <w:p w14:paraId="75BBE174">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仿宋_GB2312" w:hAnsi="Arial" w:eastAsia="仿宋_GB2312"/>
                <w:sz w:val="22"/>
                <w:szCs w:val="22"/>
                <w:lang w:val="en-US" w:eastAsia="zh-CN"/>
              </w:rPr>
            </w:pPr>
            <w:r>
              <w:rPr>
                <w:rFonts w:hint="eastAsia" w:ascii="仿宋_GB2312" w:hAnsi="Arial" w:eastAsia="仿宋_GB2312"/>
                <w:sz w:val="22"/>
                <w:szCs w:val="22"/>
                <w:lang w:val="en-US" w:eastAsia="zh-CN"/>
              </w:rPr>
              <w:t>投标报价得分=（最低报价/投标报价）×价格权值×100，如此类推，算出所有供应商的价格得分，计算结果值在小数点后均保留两位小数，后余位数四舍五入计。</w:t>
            </w:r>
          </w:p>
          <w:p w14:paraId="45FE8BB4">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仿宋_GB2312" w:hAnsi="Arial" w:eastAsia="仿宋_GB2312"/>
                <w:sz w:val="22"/>
                <w:szCs w:val="22"/>
                <w:lang w:val="en-US" w:eastAsia="zh-CN"/>
              </w:rPr>
            </w:pPr>
            <w:r>
              <w:rPr>
                <w:rFonts w:hint="eastAsia" w:ascii="仿宋_GB2312" w:hAnsi="Arial" w:eastAsia="仿宋_GB2312"/>
                <w:b/>
                <w:bCs/>
                <w:sz w:val="22"/>
                <w:szCs w:val="22"/>
                <w:lang w:val="en-US" w:eastAsia="zh-CN"/>
              </w:rPr>
              <w:t>本</w:t>
            </w:r>
            <w:r>
              <w:rPr>
                <w:rFonts w:hint="eastAsia" w:ascii="仿宋_GB2312" w:hAnsi="Arial" w:eastAsia="仿宋_GB2312"/>
                <w:b/>
                <w:bCs/>
                <w:sz w:val="22"/>
                <w:szCs w:val="22"/>
              </w:rPr>
              <w:t>项目</w:t>
            </w:r>
            <w:r>
              <w:rPr>
                <w:rFonts w:hint="eastAsia" w:ascii="仿宋_GB2312" w:hAnsi="Arial" w:eastAsia="仿宋_GB2312"/>
                <w:b/>
                <w:bCs/>
                <w:sz w:val="22"/>
                <w:szCs w:val="22"/>
                <w:lang w:val="en-US" w:eastAsia="zh-CN"/>
              </w:rPr>
              <w:t xml:space="preserve">100% </w:t>
            </w:r>
            <w:r>
              <w:rPr>
                <w:rFonts w:hint="eastAsia" w:ascii="仿宋_GB2312" w:hAnsi="Arial" w:eastAsia="仿宋_GB2312"/>
                <w:b/>
                <w:bCs/>
                <w:sz w:val="22"/>
                <w:szCs w:val="22"/>
              </w:rPr>
              <w:t>专门面向中小企业采购</w:t>
            </w:r>
            <w:r>
              <w:rPr>
                <w:rFonts w:hint="eastAsia" w:ascii="仿宋_GB2312" w:hAnsi="Arial" w:eastAsia="仿宋_GB2312"/>
                <w:b/>
                <w:bCs/>
                <w:sz w:val="22"/>
                <w:szCs w:val="22"/>
                <w:lang w:eastAsia="zh-CN"/>
              </w:rPr>
              <w:t>。</w:t>
            </w:r>
          </w:p>
        </w:tc>
        <w:tc>
          <w:tcPr>
            <w:tcW w:w="893"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345C245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Arial" w:eastAsia="仿宋_GB2312"/>
                <w:sz w:val="22"/>
                <w:szCs w:val="22"/>
              </w:rPr>
            </w:pPr>
            <w:r>
              <w:rPr>
                <w:rFonts w:hint="eastAsia" w:ascii="仿宋_GB2312" w:hAnsi="Arial" w:eastAsia="仿宋_GB2312"/>
                <w:sz w:val="22"/>
                <w:szCs w:val="22"/>
                <w:lang w:val="en-US" w:eastAsia="zh-CN"/>
              </w:rPr>
              <w:t>10</w:t>
            </w:r>
            <w:r>
              <w:rPr>
                <w:rFonts w:hint="eastAsia" w:ascii="仿宋_GB2312" w:hAnsi="Arial" w:eastAsia="仿宋_GB2312"/>
                <w:sz w:val="22"/>
                <w:szCs w:val="22"/>
                <w:lang w:val="zh-TW" w:eastAsia="zh-TW"/>
              </w:rPr>
              <w:t>分</w:t>
            </w:r>
          </w:p>
        </w:tc>
      </w:tr>
      <w:tr w14:paraId="6A0948B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88" w:hRule="atLeast"/>
          <w:jc w:val="center"/>
        </w:trPr>
        <w:tc>
          <w:tcPr>
            <w:tcW w:w="796" w:type="dxa"/>
            <w:tcBorders>
              <w:top w:val="single" w:color="000000" w:sz="4" w:space="0"/>
              <w:left w:val="single" w:color="000000" w:sz="4" w:space="0"/>
              <w:bottom w:val="single" w:color="auto" w:sz="4" w:space="0"/>
              <w:right w:val="single" w:color="000000" w:sz="4" w:space="0"/>
            </w:tcBorders>
            <w:shd w:val="clear" w:color="auto" w:fill="EEECE1"/>
            <w:noWrap w:val="0"/>
            <w:tcMar>
              <w:top w:w="80" w:type="dxa"/>
              <w:left w:w="80" w:type="dxa"/>
              <w:bottom w:w="80" w:type="dxa"/>
              <w:right w:w="80" w:type="dxa"/>
            </w:tcMar>
            <w:vAlign w:val="top"/>
          </w:tcPr>
          <w:p w14:paraId="79FF0A45">
            <w:pPr>
              <w:spacing w:line="360" w:lineRule="exact"/>
              <w:ind w:firstLine="220" w:firstLineChars="100"/>
              <w:rPr>
                <w:rFonts w:hint="eastAsia" w:ascii="仿宋_GB2312" w:hAnsi="Arial" w:eastAsia="仿宋_GB2312"/>
                <w:sz w:val="22"/>
                <w:szCs w:val="22"/>
                <w:lang w:val="en-US" w:eastAsia="zh-CN"/>
              </w:rPr>
            </w:pPr>
            <w:r>
              <w:rPr>
                <w:rFonts w:hint="eastAsia" w:ascii="仿宋_GB2312" w:hAnsi="Arial" w:eastAsia="仿宋_GB2312"/>
                <w:sz w:val="22"/>
                <w:szCs w:val="22"/>
                <w:lang w:val="en-US" w:eastAsia="zh-CN"/>
              </w:rPr>
              <w:t>二</w:t>
            </w:r>
          </w:p>
        </w:tc>
        <w:tc>
          <w:tcPr>
            <w:tcW w:w="9648" w:type="dxa"/>
            <w:gridSpan w:val="3"/>
            <w:tcBorders>
              <w:top w:val="single" w:color="000000" w:sz="4" w:space="0"/>
              <w:left w:val="single" w:color="000000" w:sz="4" w:space="0"/>
              <w:bottom w:val="single" w:color="auto" w:sz="4" w:space="0"/>
              <w:right w:val="single" w:color="000000" w:sz="4" w:space="0"/>
            </w:tcBorders>
            <w:shd w:val="clear" w:color="auto" w:fill="EEECE1"/>
            <w:noWrap w:val="0"/>
            <w:tcMar>
              <w:top w:w="80" w:type="dxa"/>
              <w:left w:w="80" w:type="dxa"/>
              <w:bottom w:w="80" w:type="dxa"/>
              <w:right w:w="80" w:type="dxa"/>
            </w:tcMar>
            <w:vAlign w:val="top"/>
          </w:tcPr>
          <w:p w14:paraId="7E01D0F5">
            <w:pPr>
              <w:spacing w:line="360" w:lineRule="exact"/>
              <w:ind w:firstLine="440" w:firstLineChars="200"/>
              <w:rPr>
                <w:rFonts w:hint="eastAsia" w:ascii="仿宋_GB2312" w:hAnsi="Arial" w:eastAsia="仿宋_GB2312"/>
                <w:sz w:val="22"/>
                <w:szCs w:val="22"/>
                <w:lang w:val="en-US" w:eastAsia="zh-CN"/>
              </w:rPr>
            </w:pPr>
            <w:r>
              <w:rPr>
                <w:rFonts w:hint="eastAsia" w:ascii="仿宋_GB2312" w:hAnsi="Arial" w:eastAsia="仿宋_GB2312"/>
                <w:sz w:val="22"/>
                <w:szCs w:val="22"/>
                <w:lang w:val="en-US" w:eastAsia="zh-CN"/>
              </w:rPr>
              <w:t>技术部分50分</w:t>
            </w:r>
          </w:p>
        </w:tc>
      </w:tr>
      <w:tr w14:paraId="3B0B993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664" w:hRule="atLeast"/>
          <w:jc w:val="center"/>
        </w:trPr>
        <w:tc>
          <w:tcPr>
            <w:tcW w:w="796"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5F058633">
            <w:pPr>
              <w:pStyle w:val="4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Arial" w:eastAsia="仿宋_GB2312" w:cs="Calibri"/>
                <w:kern w:val="2"/>
                <w:sz w:val="22"/>
                <w:szCs w:val="22"/>
                <w:lang w:val="en-US" w:eastAsia="zh-CN" w:bidi="ar-SA"/>
              </w:rPr>
            </w:pPr>
            <w:r>
              <w:rPr>
                <w:rFonts w:hint="eastAsia" w:ascii="仿宋_GB2312" w:hAnsi="Arial" w:eastAsia="仿宋_GB2312" w:cs="Calibri"/>
                <w:kern w:val="2"/>
                <w:sz w:val="22"/>
                <w:szCs w:val="22"/>
                <w:lang w:val="en-US" w:eastAsia="zh-CN" w:bidi="ar-SA"/>
              </w:rPr>
              <w:t>1</w:t>
            </w:r>
          </w:p>
        </w:tc>
        <w:tc>
          <w:tcPr>
            <w:tcW w:w="1512"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7BF050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_GB2312" w:hAnsi="Arial" w:eastAsia="仿宋_GB2312" w:cs="Calibri"/>
                <w:kern w:val="2"/>
                <w:sz w:val="22"/>
                <w:szCs w:val="22"/>
                <w:highlight w:val="none"/>
                <w:lang w:val="en-US" w:eastAsia="zh-CN" w:bidi="ar-SA"/>
              </w:rPr>
            </w:pPr>
            <w:r>
              <w:rPr>
                <w:rFonts w:hint="eastAsia" w:ascii="仿宋_GB2312" w:hAnsi="Arial" w:eastAsia="仿宋_GB2312" w:cs="Calibri"/>
                <w:kern w:val="2"/>
                <w:sz w:val="22"/>
                <w:szCs w:val="22"/>
                <w:highlight w:val="none"/>
                <w:lang w:val="en-US" w:eastAsia="zh-CN" w:bidi="ar-SA"/>
              </w:rPr>
              <w:t>服务方案（30分）</w:t>
            </w:r>
          </w:p>
        </w:tc>
        <w:tc>
          <w:tcPr>
            <w:tcW w:w="7243"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25FACB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_GB2312" w:hAnsi="Arial" w:eastAsia="仿宋_GB2312" w:cs="Calibri"/>
                <w:kern w:val="2"/>
                <w:sz w:val="22"/>
                <w:szCs w:val="22"/>
                <w:highlight w:val="none"/>
                <w:lang w:val="en-US" w:eastAsia="zh-CN" w:bidi="ar-SA"/>
              </w:rPr>
            </w:pPr>
            <w:r>
              <w:rPr>
                <w:rFonts w:hint="eastAsia" w:ascii="仿宋_GB2312" w:hAnsi="Arial" w:eastAsia="仿宋_GB2312" w:cs="Calibri"/>
                <w:kern w:val="2"/>
                <w:sz w:val="22"/>
                <w:szCs w:val="22"/>
                <w:highlight w:val="none"/>
                <w:lang w:val="en-US" w:eastAsia="zh-CN" w:bidi="ar-SA"/>
              </w:rPr>
              <w:t>根据招标文件需求制定针对本项目的合理性服务方案，从先进性、完整性、合理性、可操作性等方面综合进行打分；</w:t>
            </w:r>
          </w:p>
          <w:p w14:paraId="31AE28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_GB2312" w:hAnsi="Arial" w:eastAsia="仿宋_GB2312" w:cs="Calibri"/>
                <w:kern w:val="2"/>
                <w:sz w:val="22"/>
                <w:szCs w:val="22"/>
                <w:highlight w:val="none"/>
                <w:lang w:val="en-US" w:eastAsia="zh-CN" w:bidi="ar-SA"/>
              </w:rPr>
            </w:pPr>
            <w:r>
              <w:rPr>
                <w:rFonts w:hint="eastAsia" w:ascii="仿宋_GB2312" w:hAnsi="Arial" w:eastAsia="仿宋_GB2312" w:cs="Calibri"/>
                <w:kern w:val="2"/>
                <w:sz w:val="22"/>
                <w:szCs w:val="22"/>
                <w:highlight w:val="none"/>
                <w:lang w:val="en-US" w:eastAsia="zh-CN" w:bidi="ar-SA"/>
              </w:rPr>
              <w:t>供应商提供针对本项目的项目管理服务方案内容：</w:t>
            </w:r>
          </w:p>
          <w:p w14:paraId="3863F911">
            <w:pPr>
              <w:keepNext w:val="0"/>
              <w:keepLines w:val="0"/>
              <w:pageBreakBefore w:val="0"/>
              <w:widowControl w:val="0"/>
              <w:numPr>
                <w:ilvl w:val="0"/>
                <w:numId w:val="11"/>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_GB2312" w:hAnsi="仿宋_GB2312" w:eastAsia="仿宋_GB2312" w:cs="仿宋_GB2312"/>
                <w:b w:val="0"/>
                <w:bCs w:val="0"/>
                <w:szCs w:val="21"/>
                <w:highlight w:val="none"/>
                <w:lang w:val="en-US" w:eastAsia="zh-CN"/>
              </w:rPr>
            </w:pPr>
            <w:r>
              <w:rPr>
                <w:rFonts w:hint="eastAsia" w:ascii="仿宋_GB2312" w:hAnsi="仿宋_GB2312" w:eastAsia="仿宋_GB2312" w:cs="仿宋_GB2312"/>
                <w:b w:val="0"/>
                <w:bCs w:val="0"/>
                <w:szCs w:val="21"/>
                <w:highlight w:val="none"/>
                <w:lang w:val="en-US" w:eastAsia="zh-CN"/>
              </w:rPr>
              <w:t>标准化学生管理服务方案，内容包含：1、对校园住宿学生进行日常及行为规范管理；2、两操一课管理；3、宿舍管理；4、校园环境卫生管理；5、每周升国旗仪式的管理；6、学生就餐秩序的管理；7、晚间查宿的管理；8、学生课外活动的管理；9、学校大型活动的组织管理；10、对每学期新生进行军训的组织与管理；</w:t>
            </w:r>
          </w:p>
          <w:p w14:paraId="3292786D">
            <w:pPr>
              <w:numPr>
                <w:ilvl w:val="0"/>
                <w:numId w:val="0"/>
              </w:numPr>
              <w:spacing w:line="240" w:lineRule="auto"/>
              <w:rPr>
                <w:rFonts w:hint="default" w:ascii="仿宋_GB2312" w:hAnsi="仿宋_GB2312" w:eastAsia="仿宋_GB2312" w:cs="仿宋_GB2312"/>
                <w:b w:val="0"/>
                <w:bCs w:val="0"/>
                <w:szCs w:val="21"/>
                <w:highlight w:val="none"/>
                <w:lang w:val="en-US" w:eastAsia="zh-CN"/>
              </w:rPr>
            </w:pPr>
            <w:r>
              <w:rPr>
                <w:rFonts w:hint="eastAsia" w:ascii="仿宋_GB2312" w:hAnsi="仿宋_GB2312" w:eastAsia="仿宋_GB2312" w:cs="仿宋_GB2312"/>
                <w:b w:val="0"/>
                <w:bCs w:val="0"/>
                <w:szCs w:val="21"/>
                <w:highlight w:val="none"/>
                <w:lang w:val="en-US" w:eastAsia="zh-CN"/>
              </w:rPr>
              <w:t>2）标准化物业管理团队服务方案，内容包含：1、校园绿化管理服务方案（完成春夏秋三季绿化工作）2、保洁管理整体服务方案；3、安保管理整体服务方案。4、学校公共设施维修管理服务方案；</w:t>
            </w:r>
          </w:p>
          <w:p w14:paraId="4F6FBCBD">
            <w:pPr>
              <w:pStyle w:val="50"/>
              <w:spacing w:before="61"/>
              <w:rPr>
                <w:rFonts w:hint="default" w:ascii="仿宋_GB2312" w:hAnsi="仿宋_GB2312" w:eastAsia="仿宋_GB2312" w:cs="仿宋_GB2312"/>
                <w:b w:val="0"/>
                <w:bCs w:val="0"/>
                <w:szCs w:val="21"/>
                <w:highlight w:val="none"/>
                <w:lang w:val="en-US" w:eastAsia="zh-CN"/>
              </w:rPr>
            </w:pPr>
            <w:r>
              <w:rPr>
                <w:rFonts w:hint="eastAsia" w:ascii="仿宋_GB2312" w:hAnsi="仿宋_GB2312" w:eastAsia="仿宋_GB2312" w:cs="仿宋_GB2312"/>
                <w:b w:val="0"/>
                <w:bCs w:val="0"/>
                <w:szCs w:val="21"/>
                <w:highlight w:val="none"/>
                <w:lang w:val="en-US" w:eastAsia="zh-CN"/>
              </w:rPr>
              <w:t>3）标准化餐厅管理团队服务方案，内容包括：1、</w:t>
            </w:r>
            <w:r>
              <w:rPr>
                <w:rFonts w:hint="eastAsia" w:ascii="仿宋_GB2312" w:hAnsi="仿宋_GB2312" w:eastAsia="仿宋_GB2312" w:cs="仿宋_GB2312"/>
                <w:color w:val="000000"/>
                <w:szCs w:val="21"/>
                <w:highlight w:val="none"/>
                <w:lang w:eastAsia="zh-CN"/>
              </w:rPr>
              <w:t>服务目标：提供承接项目预期管理和服务目标方案；</w:t>
            </w:r>
            <w:r>
              <w:rPr>
                <w:rFonts w:hint="eastAsia" w:ascii="仿宋_GB2312" w:hAnsi="仿宋_GB2312" w:eastAsia="仿宋_GB2312" w:cs="仿宋_GB2312"/>
                <w:color w:val="000000"/>
                <w:szCs w:val="21"/>
                <w:highlight w:val="none"/>
                <w:lang w:val="en-US" w:eastAsia="zh-CN"/>
              </w:rPr>
              <w:t>2、</w:t>
            </w:r>
            <w:r>
              <w:rPr>
                <w:rFonts w:hint="eastAsia" w:ascii="仿宋_GB2312" w:hAnsi="仿宋_GB2312" w:eastAsia="仿宋_GB2312" w:cs="仿宋_GB2312"/>
                <w:color w:val="000000"/>
                <w:szCs w:val="21"/>
                <w:highlight w:val="none"/>
                <w:lang w:eastAsia="zh-CN"/>
              </w:rPr>
              <w:t>服务计划：提供针对本项目详细的服务措施和办法；</w:t>
            </w:r>
            <w:r>
              <w:rPr>
                <w:rFonts w:hint="eastAsia" w:ascii="仿宋_GB2312" w:hAnsi="仿宋_GB2312" w:eastAsia="仿宋_GB2312" w:cs="仿宋_GB2312"/>
                <w:color w:val="000000"/>
                <w:szCs w:val="21"/>
                <w:highlight w:val="none"/>
                <w:lang w:val="en-US" w:eastAsia="zh-CN"/>
              </w:rPr>
              <w:t>3、</w:t>
            </w:r>
            <w:r>
              <w:rPr>
                <w:rFonts w:hint="eastAsia" w:ascii="仿宋_GB2312" w:hAnsi="仿宋_GB2312" w:eastAsia="仿宋_GB2312" w:cs="仿宋_GB2312"/>
                <w:color w:val="000000"/>
                <w:szCs w:val="21"/>
                <w:highlight w:val="none"/>
                <w:lang w:eastAsia="zh-CN"/>
              </w:rPr>
              <w:t>卫生清洁计划：提供针对本项目详细的卫生清洁计划方案；</w:t>
            </w:r>
            <w:r>
              <w:rPr>
                <w:rFonts w:hint="eastAsia" w:ascii="仿宋_GB2312" w:hAnsi="仿宋_GB2312" w:eastAsia="仿宋_GB2312" w:cs="仿宋_GB2312"/>
                <w:color w:val="000000"/>
                <w:szCs w:val="21"/>
                <w:highlight w:val="none"/>
                <w:lang w:val="en-US" w:eastAsia="zh-CN"/>
              </w:rPr>
              <w:t>4、</w:t>
            </w:r>
            <w:r>
              <w:rPr>
                <w:rFonts w:hint="eastAsia" w:ascii="仿宋_GB2312" w:hAnsi="仿宋_GB2312" w:eastAsia="仿宋_GB2312" w:cs="仿宋_GB2312"/>
                <w:color w:val="000000"/>
                <w:szCs w:val="21"/>
                <w:highlight w:val="none"/>
                <w:lang w:eastAsia="zh-CN"/>
              </w:rPr>
              <w:t>培训计划：具有针对本项目在餐厅服务、烹饪制作、餐品留样、食品安全、设施使用等教育培训方面的计划。</w:t>
            </w:r>
          </w:p>
          <w:p w14:paraId="49E9B073">
            <w:pPr>
              <w:pStyle w:val="50"/>
              <w:spacing w:before="61"/>
              <w:rPr>
                <w:rFonts w:ascii="仿宋_GB2312" w:hAnsi="仿宋_GB2312" w:eastAsia="仿宋_GB2312" w:cs="仿宋_GB2312"/>
                <w:color w:val="000000"/>
                <w:szCs w:val="21"/>
                <w:highlight w:val="none"/>
                <w:lang w:eastAsia="zh-CN"/>
              </w:rPr>
            </w:pPr>
            <w:r>
              <w:rPr>
                <w:rFonts w:hint="eastAsia" w:ascii="仿宋_GB2312" w:hAnsi="仿宋_GB2312" w:eastAsia="仿宋_GB2312" w:cs="仿宋_GB2312"/>
                <w:color w:val="000000"/>
                <w:szCs w:val="21"/>
                <w:highlight w:val="none"/>
                <w:lang w:eastAsia="zh-CN"/>
              </w:rPr>
              <w:t>（1）方案内容全面完整，能够全方位满足项目需求，优于或满足采购需求的，得</w:t>
            </w:r>
            <w:r>
              <w:rPr>
                <w:rFonts w:hint="eastAsia" w:ascii="仿宋_GB2312" w:hAnsi="仿宋_GB2312" w:eastAsia="仿宋_GB2312" w:cs="仿宋_GB2312"/>
                <w:color w:val="000000"/>
                <w:szCs w:val="21"/>
                <w:highlight w:val="none"/>
                <w:lang w:val="en-US" w:eastAsia="zh-CN"/>
              </w:rPr>
              <w:t>30</w:t>
            </w:r>
            <w:r>
              <w:rPr>
                <w:rFonts w:hint="eastAsia" w:ascii="仿宋_GB2312" w:hAnsi="仿宋_GB2312" w:eastAsia="仿宋_GB2312" w:cs="仿宋_GB2312"/>
                <w:color w:val="000000"/>
                <w:szCs w:val="21"/>
                <w:highlight w:val="none"/>
                <w:lang w:eastAsia="zh-CN"/>
              </w:rPr>
              <w:t>分，</w:t>
            </w:r>
          </w:p>
          <w:p w14:paraId="1516CC2F">
            <w:pPr>
              <w:pStyle w:val="50"/>
              <w:spacing w:before="61"/>
              <w:rPr>
                <w:rFonts w:hint="eastAsia" w:ascii="仿宋_GB2312" w:hAnsi="仿宋_GB2312" w:eastAsia="仿宋_GB2312" w:cs="仿宋_GB2312"/>
                <w:color w:val="000000"/>
                <w:szCs w:val="21"/>
                <w:highlight w:val="none"/>
                <w:lang w:eastAsia="zh-CN"/>
              </w:rPr>
            </w:pPr>
            <w:r>
              <w:rPr>
                <w:rFonts w:hint="eastAsia" w:ascii="仿宋_GB2312" w:hAnsi="仿宋_GB2312" w:eastAsia="仿宋_GB2312" w:cs="仿宋_GB2312"/>
                <w:color w:val="000000"/>
                <w:szCs w:val="21"/>
                <w:highlight w:val="none"/>
                <w:lang w:eastAsia="zh-CN"/>
              </w:rPr>
              <w:t>（2）方案内容全面完整，</w:t>
            </w:r>
            <w:r>
              <w:rPr>
                <w:rFonts w:hint="eastAsia" w:ascii="仿宋_GB2312" w:hAnsi="仿宋_GB2312" w:eastAsia="仿宋_GB2312" w:cs="仿宋_GB2312"/>
                <w:color w:val="000000"/>
                <w:szCs w:val="21"/>
                <w:highlight w:val="none"/>
                <w:lang w:val="en-US" w:eastAsia="zh-CN"/>
              </w:rPr>
              <w:t>基本满足</w:t>
            </w:r>
            <w:r>
              <w:rPr>
                <w:rFonts w:hint="eastAsia" w:ascii="仿宋_GB2312" w:hAnsi="仿宋_GB2312" w:eastAsia="仿宋_GB2312" w:cs="仿宋_GB2312"/>
                <w:color w:val="000000"/>
                <w:szCs w:val="21"/>
                <w:highlight w:val="none"/>
                <w:lang w:eastAsia="zh-CN"/>
              </w:rPr>
              <w:t>采购需求的，得</w:t>
            </w:r>
            <w:r>
              <w:rPr>
                <w:rFonts w:hint="eastAsia" w:ascii="仿宋_GB2312" w:hAnsi="仿宋_GB2312" w:eastAsia="仿宋_GB2312" w:cs="仿宋_GB2312"/>
                <w:color w:val="000000"/>
                <w:szCs w:val="21"/>
                <w:highlight w:val="none"/>
                <w:lang w:val="en-US" w:eastAsia="zh-CN"/>
              </w:rPr>
              <w:t>20</w:t>
            </w:r>
            <w:r>
              <w:rPr>
                <w:rFonts w:hint="eastAsia" w:ascii="仿宋_GB2312" w:hAnsi="仿宋_GB2312" w:eastAsia="仿宋_GB2312" w:cs="仿宋_GB2312"/>
                <w:color w:val="000000"/>
                <w:szCs w:val="21"/>
                <w:highlight w:val="none"/>
                <w:lang w:eastAsia="zh-CN"/>
              </w:rPr>
              <w:t>分，</w:t>
            </w:r>
          </w:p>
          <w:p w14:paraId="5778469D">
            <w:pPr>
              <w:pStyle w:val="50"/>
              <w:spacing w:before="61"/>
              <w:rPr>
                <w:rFonts w:hint="eastAsia" w:ascii="仿宋_GB2312" w:hAnsi="仿宋_GB2312" w:eastAsia="仿宋_GB2312" w:cs="仿宋_GB2312"/>
                <w:color w:val="000000"/>
                <w:szCs w:val="21"/>
                <w:highlight w:val="none"/>
                <w:lang w:eastAsia="zh-CN"/>
              </w:rPr>
            </w:pPr>
            <w:r>
              <w:rPr>
                <w:rFonts w:hint="eastAsia" w:ascii="仿宋_GB2312" w:hAnsi="仿宋_GB2312" w:eastAsia="仿宋_GB2312" w:cs="仿宋_GB2312"/>
                <w:color w:val="000000"/>
                <w:szCs w:val="21"/>
                <w:highlight w:val="none"/>
                <w:lang w:eastAsia="zh-CN"/>
              </w:rPr>
              <w:t>（3）方案内容全面，针对性较一般，得</w:t>
            </w:r>
            <w:r>
              <w:rPr>
                <w:rFonts w:hint="eastAsia" w:ascii="仿宋_GB2312" w:hAnsi="仿宋_GB2312" w:eastAsia="仿宋_GB2312" w:cs="仿宋_GB2312"/>
                <w:color w:val="000000"/>
                <w:szCs w:val="21"/>
                <w:highlight w:val="none"/>
                <w:lang w:val="en-US" w:eastAsia="zh-CN"/>
              </w:rPr>
              <w:t>14</w:t>
            </w:r>
            <w:r>
              <w:rPr>
                <w:rFonts w:hint="eastAsia" w:ascii="仿宋_GB2312" w:hAnsi="仿宋_GB2312" w:eastAsia="仿宋_GB2312" w:cs="仿宋_GB2312"/>
                <w:color w:val="000000"/>
                <w:szCs w:val="21"/>
                <w:highlight w:val="none"/>
                <w:lang w:eastAsia="zh-CN"/>
              </w:rPr>
              <w:t>分，</w:t>
            </w:r>
          </w:p>
          <w:p w14:paraId="22BA443A">
            <w:pPr>
              <w:pStyle w:val="50"/>
              <w:spacing w:before="61"/>
              <w:rPr>
                <w:rFonts w:hint="eastAsia" w:ascii="仿宋_GB2312" w:hAnsi="仿宋_GB2312" w:eastAsia="仿宋_GB2312" w:cs="仿宋_GB2312"/>
                <w:color w:val="000000"/>
                <w:szCs w:val="21"/>
                <w:highlight w:val="none"/>
                <w:lang w:eastAsia="zh-CN"/>
              </w:rPr>
            </w:pPr>
            <w:r>
              <w:rPr>
                <w:rFonts w:hint="eastAsia" w:ascii="仿宋_GB2312" w:hAnsi="仿宋_GB2312" w:eastAsia="仿宋_GB2312" w:cs="仿宋_GB2312"/>
                <w:color w:val="000000"/>
                <w:szCs w:val="21"/>
                <w:highlight w:val="none"/>
                <w:lang w:eastAsia="zh-CN"/>
              </w:rPr>
              <w:t>（4）方案内容简单，针对性一般，得</w:t>
            </w:r>
            <w:r>
              <w:rPr>
                <w:rFonts w:hint="eastAsia" w:ascii="仿宋_GB2312" w:hAnsi="仿宋_GB2312" w:eastAsia="仿宋_GB2312" w:cs="仿宋_GB2312"/>
                <w:color w:val="000000"/>
                <w:szCs w:val="21"/>
                <w:highlight w:val="none"/>
                <w:lang w:val="en-US" w:eastAsia="zh-CN"/>
              </w:rPr>
              <w:t>9</w:t>
            </w:r>
            <w:r>
              <w:rPr>
                <w:rFonts w:hint="eastAsia" w:ascii="仿宋_GB2312" w:hAnsi="仿宋_GB2312" w:eastAsia="仿宋_GB2312" w:cs="仿宋_GB2312"/>
                <w:color w:val="000000"/>
                <w:szCs w:val="21"/>
                <w:highlight w:val="none"/>
                <w:lang w:eastAsia="zh-CN"/>
              </w:rPr>
              <w:t>分</w:t>
            </w:r>
          </w:p>
          <w:p w14:paraId="4F9372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_GB2312" w:hAnsi="Arial" w:eastAsia="仿宋_GB2312" w:cs="Calibri"/>
                <w:kern w:val="2"/>
                <w:sz w:val="22"/>
                <w:szCs w:val="22"/>
                <w:highlight w:val="none"/>
                <w:lang w:val="en-US" w:eastAsia="zh-CN" w:bidi="ar-SA"/>
              </w:rPr>
            </w:pPr>
            <w:r>
              <w:rPr>
                <w:rFonts w:hint="eastAsia" w:ascii="仿宋_GB2312" w:hAnsi="仿宋_GB2312" w:eastAsia="仿宋_GB2312" w:cs="仿宋_GB2312"/>
                <w:color w:val="000000"/>
                <w:szCs w:val="21"/>
                <w:highlight w:val="none"/>
                <w:lang w:eastAsia="zh-CN"/>
              </w:rPr>
              <w:t>（5）方案差或</w:t>
            </w:r>
            <w:r>
              <w:rPr>
                <w:rFonts w:hint="eastAsia" w:ascii="仿宋_GB2312" w:hAnsi="仿宋_GB2312" w:eastAsia="仿宋_GB2312" w:cs="仿宋_GB2312"/>
                <w:color w:val="000000"/>
                <w:szCs w:val="21"/>
                <w:highlight w:val="none"/>
                <w:lang w:val="en-US" w:eastAsia="zh-CN"/>
              </w:rPr>
              <w:t>不符合采购方需求</w:t>
            </w:r>
            <w:r>
              <w:rPr>
                <w:rFonts w:hint="eastAsia" w:ascii="仿宋_GB2312" w:hAnsi="Arial" w:eastAsia="仿宋_GB2312" w:cs="Calibri"/>
                <w:kern w:val="2"/>
                <w:sz w:val="21"/>
                <w:szCs w:val="21"/>
                <w:highlight w:val="none"/>
                <w:lang w:val="en-US" w:eastAsia="zh-CN" w:bidi="ar-SA"/>
              </w:rPr>
              <w:t>不得分。</w:t>
            </w:r>
          </w:p>
        </w:tc>
        <w:tc>
          <w:tcPr>
            <w:tcW w:w="893"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570FB3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_GB2312" w:hAnsi="Arial" w:eastAsia="仿宋_GB2312" w:cs="Calibri"/>
                <w:kern w:val="2"/>
                <w:sz w:val="22"/>
                <w:szCs w:val="22"/>
                <w:lang w:val="en-US" w:eastAsia="zh-CN" w:bidi="ar-SA"/>
              </w:rPr>
            </w:pPr>
            <w:r>
              <w:rPr>
                <w:rFonts w:hint="eastAsia" w:ascii="仿宋_GB2312" w:hAnsi="Arial" w:eastAsia="仿宋_GB2312" w:cs="Calibri"/>
                <w:kern w:val="2"/>
                <w:sz w:val="22"/>
                <w:szCs w:val="22"/>
                <w:lang w:val="en-US" w:eastAsia="zh-CN" w:bidi="ar-SA"/>
              </w:rPr>
              <w:t>30分</w:t>
            </w:r>
          </w:p>
        </w:tc>
      </w:tr>
      <w:tr w14:paraId="325B920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726" w:hRule="atLeast"/>
          <w:jc w:val="center"/>
        </w:trPr>
        <w:tc>
          <w:tcPr>
            <w:tcW w:w="796"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45D8C1D3">
            <w:pPr>
              <w:pStyle w:val="4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Arial" w:eastAsia="仿宋_GB2312" w:cs="Calibri"/>
                <w:kern w:val="2"/>
                <w:sz w:val="22"/>
                <w:szCs w:val="22"/>
                <w:lang w:val="en-US" w:eastAsia="zh-CN" w:bidi="ar-SA"/>
              </w:rPr>
            </w:pPr>
            <w:r>
              <w:rPr>
                <w:rFonts w:hint="eastAsia" w:ascii="仿宋_GB2312" w:hAnsi="Arial" w:eastAsia="仿宋_GB2312" w:cs="Calibri"/>
                <w:kern w:val="2"/>
                <w:sz w:val="22"/>
                <w:szCs w:val="22"/>
                <w:lang w:val="en-US" w:eastAsia="zh-CN" w:bidi="ar-SA"/>
              </w:rPr>
              <w:t>2</w:t>
            </w:r>
          </w:p>
        </w:tc>
        <w:tc>
          <w:tcPr>
            <w:tcW w:w="1512"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57496CF6">
            <w:pPr>
              <w:pStyle w:val="4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Arial" w:eastAsia="仿宋_GB2312" w:cs="Calibri"/>
                <w:kern w:val="2"/>
                <w:sz w:val="22"/>
                <w:szCs w:val="22"/>
                <w:highlight w:val="none"/>
                <w:lang w:val="en-US" w:eastAsia="zh-CN" w:bidi="ar-SA"/>
              </w:rPr>
            </w:pPr>
            <w:r>
              <w:rPr>
                <w:rFonts w:hint="eastAsia" w:ascii="仿宋_GB2312" w:hAnsi="Arial" w:eastAsia="仿宋_GB2312" w:cs="Calibri"/>
                <w:kern w:val="2"/>
                <w:sz w:val="22"/>
                <w:szCs w:val="22"/>
                <w:highlight w:val="none"/>
                <w:lang w:val="en-US" w:eastAsia="zh-CN" w:bidi="ar-SA"/>
              </w:rPr>
              <w:t>质量管理及考评机制</w:t>
            </w:r>
          </w:p>
          <w:p w14:paraId="49A95248">
            <w:pPr>
              <w:pStyle w:val="4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Arial" w:eastAsia="仿宋_GB2312" w:cs="Calibri"/>
                <w:kern w:val="2"/>
                <w:sz w:val="22"/>
                <w:szCs w:val="22"/>
                <w:highlight w:val="none"/>
                <w:lang w:val="en-US" w:eastAsia="zh-CN" w:bidi="ar-SA"/>
              </w:rPr>
            </w:pPr>
            <w:r>
              <w:rPr>
                <w:rFonts w:hint="eastAsia" w:ascii="仿宋_GB2312" w:hAnsi="Arial" w:eastAsia="仿宋_GB2312" w:cs="Calibri"/>
                <w:kern w:val="2"/>
                <w:sz w:val="22"/>
                <w:szCs w:val="22"/>
                <w:highlight w:val="none"/>
                <w:lang w:val="en-US" w:eastAsia="zh-CN" w:bidi="ar-SA"/>
              </w:rPr>
              <w:t>（5分）</w:t>
            </w:r>
          </w:p>
        </w:tc>
        <w:tc>
          <w:tcPr>
            <w:tcW w:w="7243"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2C5332EB">
            <w:pPr>
              <w:pStyle w:val="4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Arial" w:eastAsia="仿宋_GB2312" w:cs="Calibri"/>
                <w:kern w:val="2"/>
                <w:sz w:val="22"/>
                <w:szCs w:val="22"/>
                <w:highlight w:val="none"/>
                <w:lang w:val="en-US" w:eastAsia="zh-CN" w:bidi="ar-SA"/>
              </w:rPr>
            </w:pPr>
            <w:r>
              <w:rPr>
                <w:rFonts w:hint="eastAsia" w:ascii="仿宋_GB2312" w:hAnsi="Arial" w:eastAsia="仿宋_GB2312" w:cs="Calibri"/>
                <w:kern w:val="2"/>
                <w:sz w:val="22"/>
                <w:szCs w:val="22"/>
                <w:highlight w:val="none"/>
                <w:lang w:val="en-US" w:eastAsia="zh-CN" w:bidi="ar-SA"/>
              </w:rPr>
              <w:t>根据本项目的时间情况制定建立严格的培训管理制度和考评机制，包括消防演练培训，突发事件培训等。确保在整个项目运行期间严格执行相关制度，并能与采购方及时反馈、汇报培训情况；</w:t>
            </w:r>
          </w:p>
          <w:p w14:paraId="048E00A2">
            <w:pPr>
              <w:pStyle w:val="50"/>
              <w:spacing w:before="61"/>
              <w:rPr>
                <w:rFonts w:ascii="仿宋_GB2312" w:hAnsi="仿宋_GB2312" w:eastAsia="仿宋_GB2312" w:cs="仿宋_GB2312"/>
                <w:color w:val="000000"/>
                <w:szCs w:val="21"/>
                <w:highlight w:val="none"/>
                <w:lang w:eastAsia="zh-CN"/>
              </w:rPr>
            </w:pPr>
            <w:r>
              <w:rPr>
                <w:rFonts w:hint="eastAsia" w:ascii="仿宋_GB2312" w:hAnsi="仿宋_GB2312" w:eastAsia="仿宋_GB2312" w:cs="仿宋_GB2312"/>
                <w:color w:val="000000"/>
                <w:szCs w:val="21"/>
                <w:highlight w:val="none"/>
                <w:lang w:eastAsia="zh-CN"/>
              </w:rPr>
              <w:t>1）方案内容全面完整，能够全方位满足项目需求，优于或满足采购需求的，</w:t>
            </w:r>
            <w:r>
              <w:rPr>
                <w:rFonts w:hint="eastAsia" w:ascii="仿宋_GB2312" w:hAnsi="仿宋_GB2312" w:eastAsia="仿宋_GB2312" w:cs="仿宋_GB2312"/>
                <w:color w:val="auto"/>
                <w:szCs w:val="21"/>
                <w:highlight w:val="none"/>
                <w:lang w:eastAsia="zh-CN"/>
              </w:rPr>
              <w:t>得</w:t>
            </w:r>
            <w:r>
              <w:rPr>
                <w:rFonts w:hint="eastAsia" w:ascii="仿宋_GB2312" w:hAnsi="仿宋_GB2312" w:eastAsia="仿宋_GB2312" w:cs="仿宋_GB2312"/>
                <w:color w:val="auto"/>
                <w:szCs w:val="21"/>
                <w:highlight w:val="none"/>
                <w:lang w:val="en-US" w:eastAsia="zh-CN"/>
              </w:rPr>
              <w:t>5</w:t>
            </w:r>
            <w:r>
              <w:rPr>
                <w:rFonts w:hint="eastAsia" w:ascii="仿宋_GB2312" w:hAnsi="仿宋_GB2312" w:eastAsia="仿宋_GB2312" w:cs="仿宋_GB2312"/>
                <w:color w:val="auto"/>
                <w:szCs w:val="21"/>
                <w:highlight w:val="none"/>
                <w:lang w:eastAsia="zh-CN"/>
              </w:rPr>
              <w:t>分，</w:t>
            </w:r>
          </w:p>
          <w:p w14:paraId="56AF39DC">
            <w:pPr>
              <w:pStyle w:val="50"/>
              <w:spacing w:before="61"/>
              <w:rPr>
                <w:rFonts w:hint="eastAsia" w:ascii="仿宋_GB2312" w:hAnsi="仿宋_GB2312" w:eastAsia="仿宋_GB2312" w:cs="仿宋_GB2312"/>
                <w:color w:val="000000"/>
                <w:szCs w:val="21"/>
                <w:highlight w:val="none"/>
                <w:lang w:eastAsia="zh-CN"/>
              </w:rPr>
            </w:pPr>
            <w:r>
              <w:rPr>
                <w:rFonts w:hint="eastAsia" w:ascii="仿宋_GB2312" w:hAnsi="仿宋_GB2312" w:eastAsia="仿宋_GB2312" w:cs="仿宋_GB2312"/>
                <w:color w:val="000000"/>
                <w:szCs w:val="21"/>
                <w:highlight w:val="none"/>
                <w:lang w:eastAsia="zh-CN"/>
              </w:rPr>
              <w:t>（2）方案内容较全面完整，</w:t>
            </w:r>
            <w:r>
              <w:rPr>
                <w:rFonts w:hint="eastAsia" w:ascii="仿宋_GB2312" w:hAnsi="仿宋_GB2312" w:eastAsia="仿宋_GB2312" w:cs="仿宋_GB2312"/>
                <w:color w:val="000000"/>
                <w:szCs w:val="21"/>
                <w:highlight w:val="none"/>
                <w:lang w:val="en-US" w:eastAsia="zh-CN"/>
              </w:rPr>
              <w:t>完全</w:t>
            </w:r>
            <w:r>
              <w:rPr>
                <w:rFonts w:hint="eastAsia" w:ascii="仿宋_GB2312" w:hAnsi="仿宋_GB2312" w:eastAsia="仿宋_GB2312" w:cs="仿宋_GB2312"/>
                <w:color w:val="000000"/>
                <w:szCs w:val="21"/>
                <w:highlight w:val="none"/>
                <w:lang w:eastAsia="zh-CN"/>
              </w:rPr>
              <w:t>满足采购需求的，得</w:t>
            </w:r>
            <w:r>
              <w:rPr>
                <w:rFonts w:hint="eastAsia" w:ascii="仿宋_GB2312" w:hAnsi="仿宋_GB2312" w:eastAsia="仿宋_GB2312" w:cs="仿宋_GB2312"/>
                <w:color w:val="000000"/>
                <w:szCs w:val="21"/>
                <w:highlight w:val="none"/>
                <w:lang w:val="en-US" w:eastAsia="zh-CN"/>
              </w:rPr>
              <w:t>4</w:t>
            </w:r>
            <w:r>
              <w:rPr>
                <w:rFonts w:hint="eastAsia" w:ascii="仿宋_GB2312" w:hAnsi="仿宋_GB2312" w:eastAsia="仿宋_GB2312" w:cs="仿宋_GB2312"/>
                <w:color w:val="000000"/>
                <w:szCs w:val="21"/>
                <w:highlight w:val="none"/>
                <w:lang w:eastAsia="zh-CN"/>
              </w:rPr>
              <w:t>分，</w:t>
            </w:r>
          </w:p>
          <w:p w14:paraId="0F4CBE91">
            <w:pPr>
              <w:pStyle w:val="50"/>
              <w:spacing w:before="61"/>
              <w:rPr>
                <w:rFonts w:hint="eastAsia" w:ascii="仿宋_GB2312" w:hAnsi="仿宋_GB2312" w:eastAsia="仿宋_GB2312" w:cs="仿宋_GB2312"/>
                <w:color w:val="000000"/>
                <w:szCs w:val="21"/>
                <w:highlight w:val="none"/>
                <w:lang w:eastAsia="zh-CN"/>
              </w:rPr>
            </w:pPr>
            <w:r>
              <w:rPr>
                <w:rFonts w:hint="eastAsia" w:ascii="仿宋_GB2312" w:hAnsi="仿宋_GB2312" w:eastAsia="仿宋_GB2312" w:cs="仿宋_GB2312"/>
                <w:color w:val="000000"/>
                <w:szCs w:val="21"/>
                <w:highlight w:val="none"/>
                <w:lang w:eastAsia="zh-CN"/>
              </w:rPr>
              <w:t>（3）方案内容全面，针对性较一般，得</w:t>
            </w:r>
            <w:r>
              <w:rPr>
                <w:rFonts w:hint="eastAsia" w:ascii="仿宋_GB2312" w:hAnsi="仿宋_GB2312" w:eastAsia="仿宋_GB2312" w:cs="仿宋_GB2312"/>
                <w:color w:val="000000"/>
                <w:szCs w:val="21"/>
                <w:highlight w:val="none"/>
                <w:lang w:val="en-US" w:eastAsia="zh-CN"/>
              </w:rPr>
              <w:t>3</w:t>
            </w:r>
            <w:r>
              <w:rPr>
                <w:rFonts w:hint="eastAsia" w:ascii="仿宋_GB2312" w:hAnsi="仿宋_GB2312" w:eastAsia="仿宋_GB2312" w:cs="仿宋_GB2312"/>
                <w:color w:val="000000"/>
                <w:szCs w:val="21"/>
                <w:highlight w:val="none"/>
                <w:lang w:eastAsia="zh-CN"/>
              </w:rPr>
              <w:t>分，</w:t>
            </w:r>
          </w:p>
          <w:p w14:paraId="1F7B1214">
            <w:pPr>
              <w:pStyle w:val="50"/>
              <w:spacing w:before="61"/>
              <w:rPr>
                <w:rFonts w:hint="eastAsia" w:ascii="仿宋_GB2312" w:hAnsi="仿宋_GB2312" w:eastAsia="仿宋_GB2312" w:cs="仿宋_GB2312"/>
                <w:color w:val="000000"/>
                <w:szCs w:val="21"/>
                <w:highlight w:val="none"/>
                <w:lang w:eastAsia="zh-CN"/>
              </w:rPr>
            </w:pPr>
            <w:r>
              <w:rPr>
                <w:rFonts w:hint="eastAsia" w:ascii="仿宋_GB2312" w:hAnsi="仿宋_GB2312" w:eastAsia="仿宋_GB2312" w:cs="仿宋_GB2312"/>
                <w:color w:val="000000"/>
                <w:szCs w:val="21"/>
                <w:highlight w:val="none"/>
                <w:lang w:eastAsia="zh-CN"/>
              </w:rPr>
              <w:t>（4）方案内容简单，针对性一般，得</w:t>
            </w:r>
            <w:r>
              <w:rPr>
                <w:rFonts w:hint="eastAsia" w:ascii="仿宋_GB2312" w:hAnsi="仿宋_GB2312" w:eastAsia="仿宋_GB2312" w:cs="仿宋_GB2312"/>
                <w:color w:val="000000"/>
                <w:szCs w:val="21"/>
                <w:highlight w:val="none"/>
                <w:lang w:val="en-US" w:eastAsia="zh-CN"/>
              </w:rPr>
              <w:t>1</w:t>
            </w:r>
            <w:r>
              <w:rPr>
                <w:rFonts w:hint="eastAsia" w:ascii="仿宋_GB2312" w:hAnsi="仿宋_GB2312" w:eastAsia="仿宋_GB2312" w:cs="仿宋_GB2312"/>
                <w:color w:val="000000"/>
                <w:szCs w:val="21"/>
                <w:highlight w:val="none"/>
                <w:lang w:eastAsia="zh-CN"/>
              </w:rPr>
              <w:t>分</w:t>
            </w:r>
          </w:p>
          <w:p w14:paraId="5684CDA1">
            <w:pPr>
              <w:pStyle w:val="4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Arial" w:eastAsia="仿宋_GB2312" w:cs="Calibri"/>
                <w:kern w:val="2"/>
                <w:sz w:val="22"/>
                <w:szCs w:val="22"/>
                <w:highlight w:val="none"/>
                <w:lang w:val="en-US" w:eastAsia="zh-CN" w:bidi="ar-SA"/>
              </w:rPr>
            </w:pPr>
            <w:r>
              <w:rPr>
                <w:rFonts w:hint="eastAsia" w:ascii="仿宋_GB2312" w:hAnsi="仿宋_GB2312" w:eastAsia="仿宋_GB2312" w:cs="仿宋_GB2312"/>
                <w:color w:val="000000"/>
                <w:szCs w:val="21"/>
                <w:highlight w:val="none"/>
                <w:lang w:eastAsia="zh-CN"/>
              </w:rPr>
              <w:t>（5）方案差或</w:t>
            </w:r>
            <w:r>
              <w:rPr>
                <w:rFonts w:hint="eastAsia" w:ascii="仿宋_GB2312" w:hAnsi="仿宋_GB2312" w:eastAsia="仿宋_GB2312" w:cs="仿宋_GB2312"/>
                <w:color w:val="000000"/>
                <w:szCs w:val="21"/>
                <w:highlight w:val="none"/>
                <w:lang w:val="en-US" w:eastAsia="zh-CN"/>
              </w:rPr>
              <w:t>不符合采购方需求</w:t>
            </w:r>
            <w:r>
              <w:rPr>
                <w:rFonts w:hint="eastAsia" w:ascii="仿宋_GB2312" w:hAnsi="Arial" w:eastAsia="仿宋_GB2312" w:cs="Calibri"/>
                <w:kern w:val="2"/>
                <w:sz w:val="22"/>
                <w:szCs w:val="22"/>
                <w:highlight w:val="none"/>
                <w:lang w:val="en-US" w:eastAsia="zh-CN" w:bidi="ar-SA"/>
              </w:rPr>
              <w:t>不得分。</w:t>
            </w:r>
          </w:p>
        </w:tc>
        <w:tc>
          <w:tcPr>
            <w:tcW w:w="893"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7D440B9A">
            <w:pPr>
              <w:pStyle w:val="4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Arial" w:eastAsia="仿宋_GB2312" w:cs="Calibri"/>
                <w:kern w:val="2"/>
                <w:sz w:val="22"/>
                <w:szCs w:val="22"/>
                <w:highlight w:val="none"/>
                <w:lang w:val="en-US" w:eastAsia="zh-CN" w:bidi="ar-SA"/>
              </w:rPr>
            </w:pPr>
            <w:r>
              <w:rPr>
                <w:rFonts w:hint="eastAsia" w:ascii="仿宋_GB2312" w:hAnsi="Arial" w:eastAsia="仿宋_GB2312" w:cs="Calibri"/>
                <w:kern w:val="2"/>
                <w:sz w:val="22"/>
                <w:szCs w:val="22"/>
                <w:highlight w:val="none"/>
                <w:lang w:val="en-US" w:eastAsia="zh-CN" w:bidi="ar-SA"/>
              </w:rPr>
              <w:t>5分</w:t>
            </w:r>
          </w:p>
        </w:tc>
      </w:tr>
      <w:tr w14:paraId="2BE6BB5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20" w:hRule="atLeast"/>
          <w:jc w:val="center"/>
        </w:trPr>
        <w:tc>
          <w:tcPr>
            <w:tcW w:w="796"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6C887765">
            <w:pPr>
              <w:pStyle w:val="4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Arial" w:eastAsia="仿宋_GB2312" w:cs="Calibri"/>
                <w:kern w:val="2"/>
                <w:sz w:val="22"/>
                <w:szCs w:val="22"/>
                <w:lang w:val="en-US" w:eastAsia="zh-CN" w:bidi="ar-SA"/>
              </w:rPr>
            </w:pPr>
            <w:r>
              <w:rPr>
                <w:rFonts w:hint="eastAsia" w:ascii="仿宋_GB2312" w:hAnsi="Arial" w:eastAsia="仿宋_GB2312" w:cs="Calibri"/>
                <w:kern w:val="2"/>
                <w:sz w:val="22"/>
                <w:szCs w:val="22"/>
                <w:lang w:val="en-US" w:eastAsia="zh-CN" w:bidi="ar-SA"/>
              </w:rPr>
              <w:t>3</w:t>
            </w:r>
          </w:p>
        </w:tc>
        <w:tc>
          <w:tcPr>
            <w:tcW w:w="1512" w:type="dxa"/>
            <w:tcBorders>
              <w:top w:val="single" w:color="000000"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562105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Arial" w:eastAsia="仿宋_GB2312" w:cs="Calibri"/>
                <w:kern w:val="2"/>
                <w:sz w:val="22"/>
                <w:szCs w:val="22"/>
                <w:highlight w:val="none"/>
                <w:lang w:val="en-US" w:eastAsia="zh-CN" w:bidi="ar-SA"/>
              </w:rPr>
            </w:pPr>
            <w:r>
              <w:rPr>
                <w:rFonts w:hint="eastAsia" w:ascii="仿宋_GB2312" w:hAnsi="Arial" w:eastAsia="仿宋_GB2312" w:cs="Calibri"/>
                <w:kern w:val="2"/>
                <w:sz w:val="22"/>
                <w:szCs w:val="22"/>
                <w:highlight w:val="none"/>
                <w:lang w:val="en-US" w:eastAsia="zh-CN" w:bidi="ar-SA"/>
              </w:rPr>
              <w:t>经营管理</w:t>
            </w:r>
          </w:p>
          <w:p w14:paraId="061C96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Arial" w:eastAsia="仿宋_GB2312" w:cs="Calibri"/>
                <w:kern w:val="2"/>
                <w:sz w:val="22"/>
                <w:szCs w:val="22"/>
                <w:highlight w:val="none"/>
                <w:lang w:val="en-US" w:eastAsia="zh-CN" w:bidi="ar-SA"/>
              </w:rPr>
            </w:pPr>
            <w:r>
              <w:rPr>
                <w:rFonts w:hint="eastAsia" w:ascii="仿宋_GB2312" w:hAnsi="Arial" w:eastAsia="仿宋_GB2312" w:cs="Calibri"/>
                <w:kern w:val="2"/>
                <w:sz w:val="22"/>
                <w:szCs w:val="22"/>
                <w:highlight w:val="none"/>
                <w:lang w:val="en-US" w:eastAsia="zh-CN" w:bidi="ar-SA"/>
              </w:rPr>
              <w:t>制度</w:t>
            </w:r>
          </w:p>
          <w:p w14:paraId="39AD73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Arial" w:eastAsia="仿宋_GB2312" w:cs="Calibri"/>
                <w:kern w:val="2"/>
                <w:sz w:val="22"/>
                <w:szCs w:val="22"/>
                <w:highlight w:val="none"/>
                <w:lang w:val="en-US" w:eastAsia="zh-CN" w:bidi="ar-SA"/>
              </w:rPr>
            </w:pPr>
            <w:r>
              <w:rPr>
                <w:rFonts w:hint="eastAsia" w:ascii="仿宋_GB2312" w:hAnsi="Arial" w:eastAsia="仿宋_GB2312" w:cs="Calibri"/>
                <w:kern w:val="2"/>
                <w:sz w:val="22"/>
                <w:szCs w:val="22"/>
                <w:highlight w:val="none"/>
                <w:lang w:val="en-US" w:eastAsia="zh-CN" w:bidi="ar-SA"/>
              </w:rPr>
              <w:t>（10分）</w:t>
            </w:r>
          </w:p>
        </w:tc>
        <w:tc>
          <w:tcPr>
            <w:tcW w:w="7243" w:type="dxa"/>
            <w:tcBorders>
              <w:top w:val="single" w:color="000000"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50E548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Arial" w:eastAsia="仿宋_GB2312" w:cs="Calibri"/>
                <w:kern w:val="2"/>
                <w:sz w:val="22"/>
                <w:szCs w:val="22"/>
                <w:highlight w:val="none"/>
                <w:lang w:val="en-US" w:eastAsia="zh-CN" w:bidi="ar-SA"/>
              </w:rPr>
            </w:pPr>
            <w:r>
              <w:rPr>
                <w:rFonts w:hint="eastAsia" w:ascii="仿宋_GB2312" w:hAnsi="Arial" w:eastAsia="仿宋_GB2312" w:cs="Calibri"/>
                <w:kern w:val="2"/>
                <w:sz w:val="22"/>
                <w:szCs w:val="22"/>
                <w:highlight w:val="none"/>
                <w:lang w:val="en-US" w:eastAsia="zh-CN" w:bidi="ar-SA"/>
              </w:rPr>
              <w:t>供应商需在响应文件中提供经营管理制度。从文件中提出的经营管理制度详实性、完整性方面进行综合评审；</w:t>
            </w:r>
          </w:p>
          <w:p w14:paraId="5D82BA7C">
            <w:pPr>
              <w:pStyle w:val="50"/>
              <w:spacing w:before="61"/>
              <w:rPr>
                <w:rFonts w:hint="eastAsia" w:ascii="仿宋_GB2312" w:hAnsi="仿宋_GB2312" w:eastAsia="仿宋_GB2312" w:cs="仿宋_GB2312"/>
                <w:color w:val="000000"/>
                <w:szCs w:val="21"/>
                <w:highlight w:val="none"/>
                <w:lang w:eastAsia="zh-CN"/>
              </w:rPr>
            </w:pPr>
            <w:r>
              <w:rPr>
                <w:rFonts w:hint="eastAsia" w:ascii="仿宋_GB2312" w:hAnsi="仿宋_GB2312" w:eastAsia="仿宋_GB2312" w:cs="仿宋_GB2312"/>
                <w:lang w:eastAsia="zh-CN"/>
              </w:rPr>
              <w:t>针</w:t>
            </w:r>
            <w:r>
              <w:rPr>
                <w:rFonts w:hint="eastAsia" w:ascii="仿宋_GB2312" w:hAnsi="仿宋_GB2312" w:eastAsia="仿宋_GB2312" w:cs="仿宋_GB2312"/>
                <w:lang w:val="en-US" w:eastAsia="zh-CN"/>
              </w:rPr>
              <w:t>对本项目提供的各项管理制度，1）标准化学生管理制度；包含：卫安全防患管理制度 、卫生保障制度、文明服务制度；2）标准化物业管理制度；包含：校园绿化养护管理制度、安</w:t>
            </w:r>
            <w:r>
              <w:rPr>
                <w:rFonts w:hint="eastAsia" w:ascii="仿宋_GB2312" w:hAnsi="仿宋_GB2312" w:eastAsia="仿宋_GB2312" w:cs="仿宋_GB2312"/>
                <w:b w:val="0"/>
                <w:bCs w:val="0"/>
                <w:szCs w:val="21"/>
                <w:highlight w:val="none"/>
                <w:lang w:val="en-US" w:eastAsia="zh-CN"/>
              </w:rPr>
              <w:t>保管理制度、保洁管理制度；公共设施维修管理制度；3）标准化餐厅管理制度；</w:t>
            </w:r>
            <w:r>
              <w:rPr>
                <w:rFonts w:hint="eastAsia" w:ascii="仿宋_GB2312" w:hAnsi="仿宋_GB2312" w:eastAsia="仿宋_GB2312" w:cs="仿宋_GB2312"/>
                <w:color w:val="000000"/>
                <w:szCs w:val="21"/>
                <w:highlight w:val="none"/>
                <w:lang w:val="en-US" w:eastAsia="zh-CN"/>
              </w:rPr>
              <w:t>按校园餐管理规范标准制定</w:t>
            </w:r>
            <w:r>
              <w:rPr>
                <w:rFonts w:hint="eastAsia" w:ascii="仿宋_GB2312" w:hAnsi="仿宋_GB2312" w:eastAsia="仿宋_GB2312" w:cs="仿宋_GB2312"/>
                <w:color w:val="000000"/>
                <w:szCs w:val="21"/>
                <w:highlight w:val="none"/>
                <w:lang w:eastAsia="zh-CN"/>
              </w:rPr>
              <w:t>，（内容包含但不限于：食堂原材料管理制度、食品加工管理制度、餐具清洗消毒管理制度、食品留样制度、设施设备用具管理制度）；</w:t>
            </w:r>
          </w:p>
          <w:p w14:paraId="37CBE6DB">
            <w:pPr>
              <w:pStyle w:val="50"/>
              <w:spacing w:before="61"/>
              <w:rPr>
                <w:rFonts w:ascii="仿宋_GB2312" w:hAnsi="仿宋_GB2312" w:eastAsia="仿宋_GB2312" w:cs="仿宋_GB2312"/>
                <w:color w:val="000000"/>
                <w:szCs w:val="21"/>
                <w:highlight w:val="none"/>
                <w:lang w:eastAsia="zh-CN"/>
              </w:rPr>
            </w:pPr>
            <w:r>
              <w:rPr>
                <w:rFonts w:hint="eastAsia" w:ascii="仿宋_GB2312" w:hAnsi="仿宋_GB2312" w:eastAsia="仿宋_GB2312" w:cs="仿宋_GB2312"/>
                <w:color w:val="000000"/>
                <w:szCs w:val="21"/>
                <w:highlight w:val="none"/>
                <w:lang w:eastAsia="zh-CN"/>
              </w:rPr>
              <w:t>（1）管理制度内容全面，</w:t>
            </w:r>
            <w:r>
              <w:rPr>
                <w:rFonts w:hint="eastAsia" w:ascii="仿宋_GB2312" w:hAnsi="仿宋_GB2312" w:eastAsia="仿宋_GB2312" w:cs="仿宋_GB2312"/>
                <w:color w:val="000000"/>
                <w:szCs w:val="21"/>
                <w:highlight w:val="none"/>
                <w:lang w:val="en-US" w:eastAsia="zh-CN"/>
              </w:rPr>
              <w:t>完全满足</w:t>
            </w:r>
            <w:r>
              <w:rPr>
                <w:rFonts w:hint="eastAsia" w:ascii="仿宋_GB2312" w:hAnsi="仿宋_GB2312" w:eastAsia="仿宋_GB2312" w:cs="仿宋_GB2312"/>
                <w:color w:val="000000"/>
                <w:szCs w:val="21"/>
                <w:highlight w:val="none"/>
                <w:lang w:eastAsia="zh-CN"/>
              </w:rPr>
              <w:t>本项目的需求，得</w:t>
            </w:r>
            <w:r>
              <w:rPr>
                <w:rFonts w:hint="eastAsia" w:ascii="仿宋_GB2312" w:hAnsi="仿宋_GB2312" w:eastAsia="仿宋_GB2312" w:cs="仿宋_GB2312"/>
                <w:color w:val="000000"/>
                <w:szCs w:val="21"/>
                <w:highlight w:val="none"/>
                <w:lang w:val="en-US" w:eastAsia="zh-CN"/>
              </w:rPr>
              <w:t>10</w:t>
            </w:r>
            <w:r>
              <w:rPr>
                <w:rFonts w:hint="eastAsia" w:ascii="仿宋_GB2312" w:hAnsi="仿宋_GB2312" w:eastAsia="仿宋_GB2312" w:cs="仿宋_GB2312"/>
                <w:color w:val="000000"/>
                <w:szCs w:val="21"/>
                <w:highlight w:val="none"/>
                <w:lang w:eastAsia="zh-CN"/>
              </w:rPr>
              <w:t>分；</w:t>
            </w:r>
          </w:p>
          <w:p w14:paraId="7338B6A1">
            <w:pPr>
              <w:pStyle w:val="50"/>
              <w:spacing w:before="61"/>
              <w:rPr>
                <w:rFonts w:ascii="仿宋_GB2312" w:hAnsi="仿宋_GB2312" w:eastAsia="仿宋_GB2312" w:cs="仿宋_GB2312"/>
                <w:color w:val="000000"/>
                <w:szCs w:val="21"/>
                <w:highlight w:val="none"/>
                <w:lang w:eastAsia="zh-CN"/>
              </w:rPr>
            </w:pPr>
            <w:r>
              <w:rPr>
                <w:rFonts w:hint="eastAsia" w:ascii="仿宋_GB2312" w:hAnsi="仿宋_GB2312" w:eastAsia="仿宋_GB2312" w:cs="仿宋_GB2312"/>
                <w:color w:val="000000"/>
                <w:szCs w:val="21"/>
                <w:highlight w:val="none"/>
                <w:lang w:eastAsia="zh-CN"/>
              </w:rPr>
              <w:t>（2）管理制度内容较全面，基本满足本项目的需求，得</w:t>
            </w:r>
            <w:r>
              <w:rPr>
                <w:rFonts w:hint="eastAsia" w:ascii="仿宋_GB2312" w:hAnsi="仿宋_GB2312" w:eastAsia="仿宋_GB2312" w:cs="仿宋_GB2312"/>
                <w:color w:val="000000"/>
                <w:szCs w:val="21"/>
                <w:highlight w:val="none"/>
                <w:lang w:val="en-US" w:eastAsia="zh-CN"/>
              </w:rPr>
              <w:t>6</w:t>
            </w:r>
            <w:r>
              <w:rPr>
                <w:rFonts w:hint="eastAsia" w:ascii="仿宋_GB2312" w:hAnsi="仿宋_GB2312" w:eastAsia="仿宋_GB2312" w:cs="仿宋_GB2312"/>
                <w:color w:val="000000"/>
                <w:szCs w:val="21"/>
                <w:highlight w:val="none"/>
                <w:lang w:eastAsia="zh-CN"/>
              </w:rPr>
              <w:t>分；</w:t>
            </w:r>
          </w:p>
          <w:p w14:paraId="1242C39B">
            <w:pPr>
              <w:pStyle w:val="50"/>
              <w:spacing w:before="61"/>
              <w:rPr>
                <w:rFonts w:ascii="仿宋_GB2312" w:hAnsi="仿宋_GB2312" w:eastAsia="仿宋_GB2312" w:cs="仿宋_GB2312"/>
                <w:color w:val="000000"/>
                <w:szCs w:val="21"/>
                <w:highlight w:val="none"/>
                <w:lang w:eastAsia="zh-CN"/>
              </w:rPr>
            </w:pPr>
            <w:r>
              <w:rPr>
                <w:rFonts w:hint="eastAsia" w:ascii="仿宋_GB2312" w:hAnsi="仿宋_GB2312" w:eastAsia="仿宋_GB2312" w:cs="仿宋_GB2312"/>
                <w:color w:val="000000"/>
                <w:szCs w:val="21"/>
                <w:highlight w:val="none"/>
                <w:lang w:eastAsia="zh-CN"/>
              </w:rPr>
              <w:t>（3）管理制度内容一般，针对性一般，得</w:t>
            </w:r>
            <w:r>
              <w:rPr>
                <w:rFonts w:hint="eastAsia" w:ascii="仿宋_GB2312" w:hAnsi="仿宋_GB2312" w:eastAsia="仿宋_GB2312" w:cs="仿宋_GB2312"/>
                <w:color w:val="000000"/>
                <w:szCs w:val="21"/>
                <w:highlight w:val="none"/>
                <w:lang w:val="en-US" w:eastAsia="zh-CN"/>
              </w:rPr>
              <w:t>3</w:t>
            </w:r>
            <w:r>
              <w:rPr>
                <w:rFonts w:hint="eastAsia" w:ascii="仿宋_GB2312" w:hAnsi="仿宋_GB2312" w:eastAsia="仿宋_GB2312" w:cs="仿宋_GB2312"/>
                <w:color w:val="000000"/>
                <w:szCs w:val="21"/>
                <w:highlight w:val="none"/>
                <w:lang w:eastAsia="zh-CN"/>
              </w:rPr>
              <w:t>分；</w:t>
            </w:r>
          </w:p>
          <w:p w14:paraId="62054E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Arial" w:eastAsia="仿宋_GB2312" w:cs="Calibri"/>
                <w:kern w:val="2"/>
                <w:sz w:val="22"/>
                <w:szCs w:val="22"/>
                <w:highlight w:val="none"/>
                <w:lang w:val="en-US" w:eastAsia="zh-CN" w:bidi="ar-SA"/>
              </w:rPr>
            </w:pPr>
            <w:r>
              <w:rPr>
                <w:rFonts w:hint="eastAsia" w:ascii="仿宋_GB2312" w:hAnsi="仿宋_GB2312" w:eastAsia="仿宋_GB2312" w:cs="仿宋_GB2312"/>
                <w:color w:val="000000"/>
                <w:szCs w:val="21"/>
                <w:highlight w:val="none"/>
                <w:lang w:eastAsia="zh-CN"/>
              </w:rPr>
              <w:t>（4）方案差或</w:t>
            </w:r>
            <w:r>
              <w:rPr>
                <w:rFonts w:hint="eastAsia" w:ascii="仿宋_GB2312" w:hAnsi="仿宋_GB2312" w:eastAsia="仿宋_GB2312" w:cs="仿宋_GB2312"/>
                <w:color w:val="000000"/>
                <w:szCs w:val="21"/>
                <w:highlight w:val="none"/>
                <w:lang w:val="en-US" w:eastAsia="zh-CN"/>
              </w:rPr>
              <w:t>不符合采购方需求</w:t>
            </w:r>
            <w:r>
              <w:rPr>
                <w:rFonts w:hint="eastAsia" w:ascii="仿宋_GB2312" w:hAnsi="Arial" w:eastAsia="仿宋_GB2312" w:cs="Calibri"/>
                <w:kern w:val="2"/>
                <w:sz w:val="21"/>
                <w:szCs w:val="21"/>
                <w:highlight w:val="none"/>
                <w:lang w:val="en-US" w:eastAsia="zh-CN" w:bidi="ar-SA"/>
              </w:rPr>
              <w:t>不得分。</w:t>
            </w:r>
          </w:p>
        </w:tc>
        <w:tc>
          <w:tcPr>
            <w:tcW w:w="893"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5EC794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_GB2312" w:hAnsi="Arial" w:eastAsia="仿宋_GB2312" w:cs="Calibri"/>
                <w:kern w:val="2"/>
                <w:sz w:val="22"/>
                <w:szCs w:val="22"/>
                <w:lang w:val="en-US" w:eastAsia="zh-CN" w:bidi="ar-SA"/>
              </w:rPr>
            </w:pPr>
            <w:r>
              <w:rPr>
                <w:rFonts w:hint="eastAsia" w:ascii="仿宋_GB2312" w:hAnsi="Arial" w:eastAsia="仿宋_GB2312" w:cs="Calibri"/>
                <w:kern w:val="2"/>
                <w:sz w:val="22"/>
                <w:szCs w:val="22"/>
                <w:lang w:val="en-US" w:eastAsia="zh-CN" w:bidi="ar-SA"/>
              </w:rPr>
              <w:t>10分</w:t>
            </w:r>
          </w:p>
        </w:tc>
      </w:tr>
      <w:tr w14:paraId="038A3CB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27" w:hRule="atLeast"/>
          <w:jc w:val="center"/>
        </w:trPr>
        <w:tc>
          <w:tcPr>
            <w:tcW w:w="796"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1165BB35">
            <w:pPr>
              <w:pStyle w:val="4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Arial" w:eastAsia="仿宋_GB2312" w:cs="Calibri"/>
                <w:kern w:val="2"/>
                <w:sz w:val="22"/>
                <w:szCs w:val="22"/>
                <w:lang w:val="en-US" w:eastAsia="zh-CN" w:bidi="ar-SA"/>
              </w:rPr>
            </w:pPr>
            <w:r>
              <w:rPr>
                <w:rFonts w:hint="eastAsia" w:ascii="仿宋_GB2312" w:hAnsi="Arial" w:eastAsia="仿宋_GB2312" w:cs="Calibri"/>
                <w:kern w:val="2"/>
                <w:sz w:val="22"/>
                <w:szCs w:val="22"/>
                <w:lang w:val="en-US" w:eastAsia="zh-CN" w:bidi="ar-SA"/>
              </w:rPr>
              <w:t>4</w:t>
            </w:r>
          </w:p>
        </w:tc>
        <w:tc>
          <w:tcPr>
            <w:tcW w:w="1512" w:type="dxa"/>
            <w:tcBorders>
              <w:top w:val="single" w:color="000000"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30168B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Arial" w:eastAsia="仿宋_GB2312" w:cs="Calibri"/>
                <w:kern w:val="2"/>
                <w:sz w:val="22"/>
                <w:szCs w:val="22"/>
                <w:lang w:val="en-US" w:eastAsia="zh-CN" w:bidi="ar-SA"/>
              </w:rPr>
            </w:pPr>
            <w:r>
              <w:rPr>
                <w:rFonts w:hint="eastAsia" w:ascii="仿宋_GB2312" w:hAnsi="Arial" w:eastAsia="仿宋_GB2312" w:cs="Calibri"/>
                <w:kern w:val="2"/>
                <w:sz w:val="22"/>
                <w:szCs w:val="22"/>
                <w:lang w:val="en-US" w:eastAsia="zh-CN" w:bidi="ar-SA"/>
              </w:rPr>
              <w:t>应急管理</w:t>
            </w:r>
          </w:p>
          <w:p w14:paraId="616ED8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Arial" w:eastAsia="仿宋_GB2312" w:cs="Calibri"/>
                <w:kern w:val="2"/>
                <w:sz w:val="22"/>
                <w:szCs w:val="22"/>
                <w:lang w:val="en-US" w:eastAsia="zh-CN" w:bidi="ar-SA"/>
              </w:rPr>
            </w:pPr>
            <w:r>
              <w:rPr>
                <w:rFonts w:hint="eastAsia" w:ascii="仿宋_GB2312" w:hAnsi="Arial" w:eastAsia="仿宋_GB2312" w:cs="Calibri"/>
                <w:kern w:val="2"/>
                <w:sz w:val="22"/>
                <w:szCs w:val="22"/>
                <w:lang w:val="en-US" w:eastAsia="zh-CN" w:bidi="ar-SA"/>
              </w:rPr>
              <w:t>预案</w:t>
            </w:r>
          </w:p>
          <w:p w14:paraId="393905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Arial" w:eastAsia="仿宋_GB2312" w:cs="Calibri"/>
                <w:kern w:val="2"/>
                <w:sz w:val="22"/>
                <w:szCs w:val="22"/>
                <w:lang w:val="en-US" w:eastAsia="zh-CN" w:bidi="ar-SA"/>
              </w:rPr>
            </w:pPr>
            <w:r>
              <w:rPr>
                <w:rFonts w:hint="eastAsia" w:ascii="仿宋_GB2312" w:hAnsi="Arial" w:eastAsia="仿宋_GB2312" w:cs="Calibri"/>
                <w:kern w:val="2"/>
                <w:sz w:val="22"/>
                <w:szCs w:val="22"/>
                <w:lang w:val="en-US" w:eastAsia="zh-CN" w:bidi="ar-SA"/>
              </w:rPr>
              <w:t>（5分）</w:t>
            </w:r>
          </w:p>
        </w:tc>
        <w:tc>
          <w:tcPr>
            <w:tcW w:w="7243" w:type="dxa"/>
            <w:tcBorders>
              <w:top w:val="single" w:color="000000"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424BAA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Arial" w:eastAsia="仿宋_GB2312" w:cs="Calibri"/>
                <w:kern w:val="2"/>
                <w:sz w:val="22"/>
                <w:szCs w:val="22"/>
                <w:lang w:val="en-US" w:eastAsia="zh-CN" w:bidi="ar-SA"/>
              </w:rPr>
            </w:pPr>
            <w:r>
              <w:rPr>
                <w:rFonts w:hint="eastAsia" w:ascii="仿宋_GB2312" w:hAnsi="Arial" w:eastAsia="仿宋_GB2312" w:cs="Calibri"/>
                <w:kern w:val="2"/>
                <w:sz w:val="22"/>
                <w:szCs w:val="22"/>
                <w:lang w:val="en-US" w:eastAsia="zh-CN" w:bidi="ar-SA"/>
              </w:rPr>
              <w:t>对突发事件有完备的应急预案及相应的措施，专业服务的安全保障措施科学、全面、合理、可行；</w:t>
            </w:r>
          </w:p>
          <w:p w14:paraId="658FC8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Arial" w:eastAsia="仿宋_GB2312" w:cs="Calibri"/>
                <w:kern w:val="2"/>
                <w:sz w:val="22"/>
                <w:szCs w:val="22"/>
                <w:lang w:val="en-US" w:eastAsia="zh-CN" w:bidi="ar-SA"/>
              </w:rPr>
            </w:pPr>
            <w:r>
              <w:rPr>
                <w:rFonts w:hint="eastAsia" w:ascii="仿宋_GB2312" w:hAnsi="Arial" w:eastAsia="仿宋_GB2312" w:cs="Calibri"/>
                <w:kern w:val="2"/>
                <w:sz w:val="22"/>
                <w:szCs w:val="22"/>
                <w:lang w:val="en-US" w:eastAsia="zh-CN" w:bidi="ar-SA"/>
              </w:rPr>
              <w:t>应急预案包含但不限于：1、自然灾害类应急预案；2、突发公共卫生事件类应急预案；3、治安冲突类的应急预案；4、消防事故应急处理方案。5、学校集体活动安全防范应急预案；</w:t>
            </w:r>
          </w:p>
          <w:p w14:paraId="7F9F35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Arial" w:eastAsia="仿宋_GB2312" w:cs="Calibri"/>
                <w:kern w:val="2"/>
                <w:sz w:val="22"/>
                <w:szCs w:val="22"/>
                <w:lang w:val="en-US" w:eastAsia="zh-CN" w:bidi="ar-SA"/>
              </w:rPr>
            </w:pPr>
            <w:r>
              <w:rPr>
                <w:rFonts w:hint="default" w:ascii="仿宋_GB2312" w:hAnsi="Arial" w:eastAsia="仿宋_GB2312" w:cs="Calibri"/>
                <w:kern w:val="2"/>
                <w:sz w:val="22"/>
                <w:szCs w:val="22"/>
                <w:lang w:val="en-US" w:eastAsia="zh-CN" w:bidi="ar-SA"/>
              </w:rPr>
              <w:t>以上内</w:t>
            </w:r>
            <w:r>
              <w:rPr>
                <w:rFonts w:hint="eastAsia" w:ascii="仿宋_GB2312" w:hAnsi="Arial" w:eastAsia="仿宋_GB2312" w:cs="Calibri"/>
                <w:kern w:val="2"/>
                <w:sz w:val="22"/>
                <w:szCs w:val="22"/>
                <w:lang w:val="en-US" w:eastAsia="zh-CN" w:bidi="ar-SA"/>
              </w:rPr>
              <w:t>容齐全且完全满足项目要求得5分，</w:t>
            </w:r>
            <w:r>
              <w:rPr>
                <w:rFonts w:hint="default" w:ascii="仿宋_GB2312" w:hAnsi="Arial" w:eastAsia="仿宋_GB2312" w:cs="Calibri"/>
                <w:kern w:val="2"/>
                <w:sz w:val="22"/>
                <w:szCs w:val="22"/>
                <w:lang w:val="en-US" w:eastAsia="zh-CN" w:bidi="ar-SA"/>
              </w:rPr>
              <w:t>每缺失一项扣</w:t>
            </w:r>
            <w:r>
              <w:rPr>
                <w:rFonts w:hint="eastAsia" w:ascii="仿宋_GB2312" w:hAnsi="Arial" w:eastAsia="仿宋_GB2312" w:cs="Calibri"/>
                <w:kern w:val="2"/>
                <w:sz w:val="22"/>
                <w:szCs w:val="22"/>
                <w:lang w:val="en-US" w:eastAsia="zh-CN" w:bidi="ar-SA"/>
              </w:rPr>
              <w:t>1</w:t>
            </w:r>
            <w:r>
              <w:rPr>
                <w:rFonts w:hint="default" w:ascii="仿宋_GB2312" w:hAnsi="Arial" w:eastAsia="仿宋_GB2312" w:cs="Calibri"/>
                <w:kern w:val="2"/>
                <w:sz w:val="22"/>
                <w:szCs w:val="22"/>
                <w:lang w:val="en-US" w:eastAsia="zh-CN" w:bidi="ar-SA"/>
              </w:rPr>
              <w:t>分，每有一项内容有缺陷或阐述不全面、有偏差或不符合项目实际情况的扣</w:t>
            </w:r>
            <w:r>
              <w:rPr>
                <w:rFonts w:hint="eastAsia" w:ascii="仿宋_GB2312" w:hAnsi="Arial" w:eastAsia="仿宋_GB2312" w:cs="Calibri"/>
                <w:kern w:val="2"/>
                <w:sz w:val="22"/>
                <w:szCs w:val="22"/>
                <w:lang w:val="en-US" w:eastAsia="zh-CN" w:bidi="ar-SA"/>
              </w:rPr>
              <w:t>0.5</w:t>
            </w:r>
            <w:r>
              <w:rPr>
                <w:rFonts w:hint="default" w:ascii="仿宋_GB2312" w:hAnsi="Arial" w:eastAsia="仿宋_GB2312" w:cs="Calibri"/>
                <w:kern w:val="2"/>
                <w:sz w:val="22"/>
                <w:szCs w:val="22"/>
                <w:lang w:val="en-US" w:eastAsia="zh-CN" w:bidi="ar-SA"/>
              </w:rPr>
              <w:t>分，扣完为止，</w:t>
            </w:r>
            <w:r>
              <w:rPr>
                <w:rFonts w:hint="eastAsia" w:ascii="仿宋_GB2312" w:hAnsi="仿宋_GB2312" w:eastAsia="仿宋_GB2312" w:cs="仿宋_GB2312"/>
                <w:color w:val="000000"/>
                <w:sz w:val="22"/>
                <w:szCs w:val="22"/>
                <w:lang w:val="en-US" w:eastAsia="zh-CN"/>
              </w:rPr>
              <w:t>不符合采购方需求</w:t>
            </w:r>
            <w:r>
              <w:rPr>
                <w:rFonts w:hint="eastAsia" w:ascii="仿宋_GB2312" w:hAnsi="Arial" w:eastAsia="仿宋_GB2312" w:cs="Calibri"/>
                <w:kern w:val="2"/>
                <w:sz w:val="22"/>
                <w:szCs w:val="22"/>
                <w:lang w:val="en-US" w:eastAsia="zh-CN" w:bidi="ar-SA"/>
              </w:rPr>
              <w:t>不得分</w:t>
            </w:r>
            <w:r>
              <w:rPr>
                <w:rFonts w:hint="default" w:ascii="仿宋_GB2312" w:hAnsi="Arial" w:eastAsia="仿宋_GB2312" w:cs="Calibri"/>
                <w:kern w:val="2"/>
                <w:sz w:val="22"/>
                <w:szCs w:val="22"/>
                <w:lang w:val="en-US" w:eastAsia="zh-CN" w:bidi="ar-SA"/>
              </w:rPr>
              <w:t>。</w:t>
            </w:r>
          </w:p>
        </w:tc>
        <w:tc>
          <w:tcPr>
            <w:tcW w:w="893"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0703BD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_GB2312" w:hAnsi="Arial" w:eastAsia="仿宋_GB2312" w:cs="Calibri"/>
                <w:kern w:val="2"/>
                <w:sz w:val="22"/>
                <w:szCs w:val="22"/>
                <w:lang w:val="en-US" w:eastAsia="zh-CN" w:bidi="ar-SA"/>
              </w:rPr>
            </w:pPr>
            <w:r>
              <w:rPr>
                <w:rFonts w:hint="eastAsia" w:ascii="仿宋_GB2312" w:hAnsi="Arial" w:eastAsia="仿宋_GB2312" w:cs="Calibri"/>
                <w:kern w:val="2"/>
                <w:sz w:val="22"/>
                <w:szCs w:val="22"/>
                <w:lang w:val="en-US" w:eastAsia="zh-CN" w:bidi="ar-SA"/>
              </w:rPr>
              <w:t>5分</w:t>
            </w:r>
          </w:p>
        </w:tc>
      </w:tr>
      <w:tr w14:paraId="42A034F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90" w:hRule="atLeast"/>
          <w:jc w:val="center"/>
        </w:trPr>
        <w:tc>
          <w:tcPr>
            <w:tcW w:w="796" w:type="dxa"/>
            <w:tcBorders>
              <w:top w:val="single" w:color="auto" w:sz="4" w:space="0"/>
              <w:left w:val="single" w:color="auto" w:sz="4" w:space="0"/>
              <w:bottom w:val="single" w:color="auto" w:sz="4" w:space="0"/>
              <w:right w:val="single" w:color="auto" w:sz="4" w:space="0"/>
            </w:tcBorders>
            <w:shd w:val="clear" w:color="auto" w:fill="EEECE1"/>
            <w:noWrap w:val="0"/>
            <w:tcMar>
              <w:top w:w="80" w:type="dxa"/>
              <w:left w:w="80" w:type="dxa"/>
              <w:bottom w:w="80" w:type="dxa"/>
              <w:right w:w="80" w:type="dxa"/>
            </w:tcMar>
            <w:vAlign w:val="center"/>
          </w:tcPr>
          <w:p w14:paraId="1A891DD6">
            <w:pPr>
              <w:pStyle w:val="4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Arial" w:eastAsia="仿宋_GB2312" w:cs="Calibri"/>
                <w:kern w:val="2"/>
                <w:sz w:val="22"/>
                <w:szCs w:val="22"/>
                <w:lang w:val="en-US" w:eastAsia="zh-CN" w:bidi="ar-SA"/>
              </w:rPr>
            </w:pPr>
            <w:r>
              <w:rPr>
                <w:rFonts w:hint="eastAsia" w:ascii="仿宋_GB2312" w:hAnsi="Arial" w:eastAsia="仿宋_GB2312" w:cs="Calibri"/>
                <w:kern w:val="2"/>
                <w:sz w:val="22"/>
                <w:szCs w:val="22"/>
                <w:lang w:val="en-US" w:eastAsia="zh-CN" w:bidi="ar-SA"/>
              </w:rPr>
              <w:t>三</w:t>
            </w:r>
          </w:p>
        </w:tc>
        <w:tc>
          <w:tcPr>
            <w:tcW w:w="9648" w:type="dxa"/>
            <w:gridSpan w:val="3"/>
            <w:tcBorders>
              <w:top w:val="single" w:color="000000" w:sz="4" w:space="0"/>
              <w:left w:val="single" w:color="auto" w:sz="4" w:space="0"/>
              <w:bottom w:val="single" w:color="auto" w:sz="4" w:space="0"/>
              <w:right w:val="single" w:color="auto" w:sz="4" w:space="0"/>
            </w:tcBorders>
            <w:shd w:val="clear" w:color="auto" w:fill="EEECE1"/>
            <w:noWrap w:val="0"/>
            <w:tcMar>
              <w:top w:w="80" w:type="dxa"/>
              <w:left w:w="80" w:type="dxa"/>
              <w:bottom w:w="80" w:type="dxa"/>
              <w:right w:w="80" w:type="dxa"/>
            </w:tcMar>
            <w:vAlign w:val="center"/>
          </w:tcPr>
          <w:p w14:paraId="43ACC7C0">
            <w:pPr>
              <w:pStyle w:val="20"/>
              <w:keepNext w:val="0"/>
              <w:keepLines w:val="0"/>
              <w:pageBreakBefore w:val="0"/>
              <w:widowControl w:val="0"/>
              <w:suppressLineNumbers w:val="0"/>
              <w:tabs>
                <w:tab w:val="left" w:pos="615"/>
              </w:tabs>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Arial" w:eastAsia="仿宋_GB2312" w:cs="Calibri"/>
                <w:kern w:val="2"/>
                <w:sz w:val="22"/>
                <w:szCs w:val="22"/>
                <w:lang w:val="en-US" w:eastAsia="zh-CN" w:bidi="ar-SA"/>
              </w:rPr>
            </w:pPr>
            <w:r>
              <w:rPr>
                <w:rFonts w:hint="eastAsia" w:ascii="仿宋_GB2312" w:hAnsi="Arial" w:eastAsia="仿宋_GB2312" w:cs="Calibri"/>
                <w:kern w:val="2"/>
                <w:sz w:val="22"/>
                <w:szCs w:val="22"/>
                <w:lang w:val="en-US" w:eastAsia="zh-CN" w:bidi="ar-SA"/>
              </w:rPr>
              <w:t>商务部分40分</w:t>
            </w:r>
          </w:p>
        </w:tc>
      </w:tr>
      <w:tr w14:paraId="19A3417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68" w:hRule="atLeast"/>
          <w:jc w:val="center"/>
        </w:trPr>
        <w:tc>
          <w:tcPr>
            <w:tcW w:w="796"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35A636E1">
            <w:pPr>
              <w:pStyle w:val="4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Arial" w:eastAsia="仿宋_GB2312" w:cs="Calibri"/>
                <w:kern w:val="2"/>
                <w:sz w:val="22"/>
                <w:szCs w:val="22"/>
                <w:lang w:val="en-US" w:eastAsia="zh-CN" w:bidi="ar-SA"/>
              </w:rPr>
            </w:pPr>
            <w:r>
              <w:rPr>
                <w:rFonts w:hint="eastAsia" w:ascii="仿宋_GB2312" w:hAnsi="Arial" w:eastAsia="仿宋_GB2312" w:cs="Calibri"/>
                <w:kern w:val="2"/>
                <w:sz w:val="22"/>
                <w:szCs w:val="22"/>
                <w:lang w:val="en-US" w:eastAsia="zh-CN" w:bidi="ar-SA"/>
              </w:rPr>
              <w:t>1</w:t>
            </w:r>
          </w:p>
        </w:tc>
        <w:tc>
          <w:tcPr>
            <w:tcW w:w="1512"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02B19B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Arial" w:eastAsia="仿宋_GB2312" w:cs="Calibri"/>
                <w:kern w:val="2"/>
                <w:sz w:val="22"/>
                <w:szCs w:val="22"/>
                <w:highlight w:val="none"/>
                <w:lang w:val="en-US" w:eastAsia="zh-CN" w:bidi="ar-SA"/>
              </w:rPr>
            </w:pPr>
            <w:r>
              <w:rPr>
                <w:rFonts w:hint="eastAsia" w:ascii="仿宋_GB2312" w:hAnsi="Arial" w:eastAsia="仿宋_GB2312" w:cs="Calibri"/>
                <w:kern w:val="2"/>
                <w:sz w:val="22"/>
                <w:szCs w:val="22"/>
                <w:highlight w:val="none"/>
                <w:lang w:val="en-US" w:eastAsia="zh-CN" w:bidi="ar-SA"/>
              </w:rPr>
              <w:t>企业实力（5分）</w:t>
            </w:r>
          </w:p>
        </w:tc>
        <w:tc>
          <w:tcPr>
            <w:tcW w:w="7243" w:type="dxa"/>
            <w:tcBorders>
              <w:top w:val="single" w:color="000000"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3C9B6A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Arial" w:eastAsia="仿宋_GB2312" w:cs="Calibri"/>
                <w:kern w:val="2"/>
                <w:sz w:val="22"/>
                <w:szCs w:val="22"/>
                <w:highlight w:val="none"/>
                <w:lang w:val="en-US" w:eastAsia="zh-CN" w:bidi="ar-SA"/>
              </w:rPr>
            </w:pPr>
            <w:r>
              <w:rPr>
                <w:rFonts w:hint="eastAsia" w:ascii="仿宋_GB2312" w:hAnsi="Arial" w:eastAsia="仿宋_GB2312" w:cs="Calibri"/>
                <w:kern w:val="2"/>
                <w:sz w:val="22"/>
                <w:szCs w:val="22"/>
                <w:highlight w:val="none"/>
                <w:lang w:val="en-US" w:eastAsia="zh-CN" w:bidi="ar-SA"/>
              </w:rPr>
              <w:t>提供 2022 年 7月 1 日至今三年内从事学校标准化学生管理服务或标准化物业管理或标准化餐厅管理服务项目业绩，每提供一项得2.5分，满分 5分。（需提供中标（成交）通知书或合同复印件）</w:t>
            </w:r>
          </w:p>
        </w:tc>
        <w:tc>
          <w:tcPr>
            <w:tcW w:w="893"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4C3052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_GB2312" w:hAnsi="Arial" w:eastAsia="仿宋_GB2312" w:cs="Calibri"/>
                <w:kern w:val="2"/>
                <w:sz w:val="22"/>
                <w:szCs w:val="22"/>
                <w:lang w:val="en-US" w:eastAsia="zh-CN" w:bidi="ar-SA"/>
              </w:rPr>
            </w:pPr>
            <w:r>
              <w:rPr>
                <w:rFonts w:hint="eastAsia" w:ascii="仿宋_GB2312" w:hAnsi="Arial" w:eastAsia="仿宋_GB2312" w:cs="Calibri"/>
                <w:kern w:val="2"/>
                <w:sz w:val="22"/>
                <w:szCs w:val="22"/>
                <w:lang w:val="en-US" w:eastAsia="zh-CN" w:bidi="ar-SA"/>
              </w:rPr>
              <w:t>5分</w:t>
            </w:r>
          </w:p>
        </w:tc>
      </w:tr>
      <w:tr w14:paraId="5C664B2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68" w:hRule="atLeast"/>
          <w:jc w:val="center"/>
        </w:trPr>
        <w:tc>
          <w:tcPr>
            <w:tcW w:w="796"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2FE1C1F7">
            <w:pPr>
              <w:pStyle w:val="4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Arial" w:eastAsia="仿宋_GB2312" w:cs="Calibri"/>
                <w:kern w:val="2"/>
                <w:sz w:val="22"/>
                <w:szCs w:val="22"/>
                <w:lang w:val="en-US" w:eastAsia="zh-CN" w:bidi="ar-SA"/>
              </w:rPr>
            </w:pPr>
            <w:r>
              <w:rPr>
                <w:rFonts w:hint="eastAsia" w:ascii="仿宋_GB2312" w:hAnsi="Arial" w:eastAsia="仿宋_GB2312" w:cs="Calibri"/>
                <w:kern w:val="2"/>
                <w:sz w:val="22"/>
                <w:szCs w:val="22"/>
                <w:lang w:val="en-US" w:eastAsia="zh-CN" w:bidi="ar-SA"/>
              </w:rPr>
              <w:t>2</w:t>
            </w:r>
          </w:p>
        </w:tc>
        <w:tc>
          <w:tcPr>
            <w:tcW w:w="1512"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607696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Arial" w:eastAsia="仿宋_GB2312" w:cs="Calibri"/>
                <w:kern w:val="2"/>
                <w:sz w:val="22"/>
                <w:szCs w:val="22"/>
                <w:lang w:val="en-US" w:eastAsia="zh-CN" w:bidi="ar-SA"/>
              </w:rPr>
            </w:pPr>
            <w:r>
              <w:rPr>
                <w:rFonts w:hint="eastAsia" w:ascii="仿宋_GB2312" w:hAnsi="Arial" w:eastAsia="仿宋_GB2312" w:cs="Calibri"/>
                <w:kern w:val="2"/>
                <w:sz w:val="22"/>
                <w:szCs w:val="22"/>
                <w:lang w:val="en-US" w:eastAsia="zh-CN" w:bidi="ar-SA"/>
              </w:rPr>
              <w:t>管理证书</w:t>
            </w:r>
          </w:p>
          <w:p w14:paraId="335494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_GB2312" w:hAnsi="Arial" w:eastAsia="仿宋_GB2312" w:cs="Calibri"/>
                <w:kern w:val="2"/>
                <w:sz w:val="22"/>
                <w:szCs w:val="22"/>
                <w:highlight w:val="none"/>
                <w:lang w:val="en-US" w:eastAsia="zh-CN" w:bidi="ar-SA"/>
              </w:rPr>
            </w:pPr>
            <w:r>
              <w:rPr>
                <w:rFonts w:hint="eastAsia" w:ascii="仿宋_GB2312" w:hAnsi="Arial" w:eastAsia="仿宋_GB2312" w:cs="Calibri"/>
                <w:kern w:val="2"/>
                <w:sz w:val="22"/>
                <w:szCs w:val="22"/>
                <w:lang w:val="en-US" w:eastAsia="zh-CN" w:bidi="ar-SA"/>
              </w:rPr>
              <w:t>（5 分）</w:t>
            </w:r>
          </w:p>
        </w:tc>
        <w:tc>
          <w:tcPr>
            <w:tcW w:w="7243" w:type="dxa"/>
            <w:tcBorders>
              <w:top w:val="single" w:color="000000"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24BAD8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_GB2312" w:hAnsi="Arial" w:eastAsia="仿宋_GB2312" w:cs="Calibri"/>
                <w:kern w:val="2"/>
                <w:sz w:val="22"/>
                <w:szCs w:val="22"/>
                <w:highlight w:val="none"/>
                <w:lang w:val="en-US" w:eastAsia="zh-CN" w:bidi="ar-SA"/>
              </w:rPr>
            </w:pPr>
            <w:r>
              <w:rPr>
                <w:rFonts w:hint="eastAsia" w:ascii="仿宋_GB2312" w:hAnsi="Arial" w:eastAsia="仿宋_GB2312" w:cs="Calibri"/>
                <w:kern w:val="2"/>
                <w:sz w:val="22"/>
                <w:szCs w:val="22"/>
                <w:lang w:val="en-US" w:eastAsia="zh-CN" w:bidi="ar-SA"/>
              </w:rPr>
              <w:t>劳务派遣经营许可证或人力资源服务许可证，以上具备任意一项许可证得 5 分，不满足不得分。</w:t>
            </w:r>
          </w:p>
        </w:tc>
        <w:tc>
          <w:tcPr>
            <w:tcW w:w="893"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75E9AF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_GB2312" w:hAnsi="Arial" w:eastAsia="仿宋_GB2312" w:cs="Calibri"/>
                <w:kern w:val="2"/>
                <w:sz w:val="22"/>
                <w:szCs w:val="22"/>
                <w:lang w:val="en-US" w:eastAsia="zh-CN" w:bidi="ar-SA"/>
              </w:rPr>
            </w:pPr>
            <w:r>
              <w:rPr>
                <w:rFonts w:hint="eastAsia" w:ascii="仿宋_GB2312" w:hAnsi="Arial" w:eastAsia="仿宋_GB2312" w:cs="Calibri"/>
                <w:kern w:val="2"/>
                <w:sz w:val="22"/>
                <w:szCs w:val="22"/>
                <w:lang w:val="en-US" w:eastAsia="zh-CN" w:bidi="ar-SA"/>
              </w:rPr>
              <w:t>5分</w:t>
            </w:r>
          </w:p>
        </w:tc>
      </w:tr>
      <w:tr w14:paraId="39810E1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41" w:hRule="atLeast"/>
          <w:jc w:val="center"/>
        </w:trPr>
        <w:tc>
          <w:tcPr>
            <w:tcW w:w="796"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1B1A2810">
            <w:pPr>
              <w:pStyle w:val="4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Arial" w:eastAsia="仿宋_GB2312" w:cs="Calibri"/>
                <w:kern w:val="2"/>
                <w:sz w:val="22"/>
                <w:szCs w:val="22"/>
                <w:lang w:val="en-US" w:eastAsia="zh-CN" w:bidi="ar-SA"/>
              </w:rPr>
            </w:pPr>
            <w:r>
              <w:rPr>
                <w:rFonts w:hint="eastAsia" w:ascii="仿宋_GB2312" w:hAnsi="Arial" w:eastAsia="仿宋_GB2312" w:cs="Calibri"/>
                <w:kern w:val="2"/>
                <w:sz w:val="22"/>
                <w:szCs w:val="22"/>
                <w:lang w:val="en-US" w:eastAsia="zh-CN" w:bidi="ar-SA"/>
              </w:rPr>
              <w:t>3</w:t>
            </w:r>
          </w:p>
        </w:tc>
        <w:tc>
          <w:tcPr>
            <w:tcW w:w="1512" w:type="dxa"/>
            <w:tcBorders>
              <w:top w:val="single" w:color="000000"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663BB0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Arial" w:eastAsia="仿宋_GB2312" w:cs="Calibri"/>
                <w:kern w:val="2"/>
                <w:sz w:val="22"/>
                <w:szCs w:val="22"/>
                <w:highlight w:val="none"/>
                <w:lang w:val="en-US" w:eastAsia="zh-CN" w:bidi="ar-SA"/>
              </w:rPr>
            </w:pPr>
            <w:r>
              <w:rPr>
                <w:rFonts w:hint="eastAsia" w:ascii="仿宋_GB2312" w:hAnsi="Arial" w:eastAsia="仿宋_GB2312" w:cs="Calibri"/>
                <w:kern w:val="2"/>
                <w:sz w:val="22"/>
                <w:szCs w:val="22"/>
                <w:highlight w:val="none"/>
                <w:lang w:val="en-US" w:eastAsia="zh-CN" w:bidi="ar-SA"/>
              </w:rPr>
              <w:t>人员配置</w:t>
            </w:r>
          </w:p>
          <w:p w14:paraId="2EF5A9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Arial" w:eastAsia="仿宋_GB2312" w:cs="Calibri"/>
                <w:kern w:val="2"/>
                <w:sz w:val="22"/>
                <w:szCs w:val="22"/>
                <w:highlight w:val="none"/>
                <w:lang w:val="en-US" w:eastAsia="zh-CN" w:bidi="ar-SA"/>
              </w:rPr>
            </w:pPr>
            <w:r>
              <w:rPr>
                <w:rFonts w:hint="eastAsia" w:ascii="仿宋_GB2312" w:hAnsi="Arial" w:eastAsia="仿宋_GB2312" w:cs="Calibri"/>
                <w:kern w:val="2"/>
                <w:sz w:val="22"/>
                <w:szCs w:val="22"/>
                <w:highlight w:val="none"/>
                <w:lang w:val="en-US" w:eastAsia="zh-CN" w:bidi="ar-SA"/>
              </w:rPr>
              <w:t>（30分）</w:t>
            </w:r>
          </w:p>
        </w:tc>
        <w:tc>
          <w:tcPr>
            <w:tcW w:w="7243" w:type="dxa"/>
            <w:tcBorders>
              <w:top w:val="single" w:color="000000"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5630063F">
            <w:pPr>
              <w:pStyle w:val="51"/>
              <w:numPr>
                <w:ilvl w:val="0"/>
                <w:numId w:val="0"/>
              </w:numPr>
              <w:spacing w:before="65" w:line="240" w:lineRule="auto"/>
              <w:ind w:right="32" w:rightChars="0"/>
              <w:rPr>
                <w:rFonts w:hint="eastAsia" w:ascii="仿宋_GB2312" w:hAnsi="Arial" w:eastAsia="仿宋_GB2312" w:cs="Calibri"/>
                <w:kern w:val="2"/>
                <w:sz w:val="22"/>
                <w:szCs w:val="22"/>
                <w:highlight w:val="none"/>
                <w:lang w:val="en-US" w:eastAsia="zh-CN" w:bidi="ar-SA"/>
              </w:rPr>
            </w:pPr>
            <w:r>
              <w:rPr>
                <w:rFonts w:hint="eastAsia" w:ascii="仿宋_GB2312" w:hAnsi="Arial" w:eastAsia="仿宋_GB2312" w:cs="Calibri"/>
                <w:kern w:val="2"/>
                <w:sz w:val="22"/>
                <w:szCs w:val="22"/>
                <w:highlight w:val="none"/>
                <w:lang w:val="en-US" w:eastAsia="zh-CN" w:bidi="ar-SA"/>
              </w:rPr>
              <w:t>本项目配备人员结构合理。投入本项目团队成员须满足项目人员要求，</w:t>
            </w:r>
          </w:p>
          <w:p w14:paraId="52923F9B">
            <w:pPr>
              <w:keepNext w:val="0"/>
              <w:keepLines w:val="0"/>
              <w:widowControl/>
              <w:suppressLineNumbers w:val="0"/>
              <w:jc w:val="left"/>
              <w:rPr>
                <w:highlight w:val="none"/>
              </w:rPr>
            </w:pPr>
            <w:r>
              <w:rPr>
                <w:rFonts w:hint="eastAsia" w:ascii="仿宋_GB2312" w:hAnsi="Arial" w:eastAsia="仿宋_GB2312" w:cs="Calibri"/>
                <w:kern w:val="2"/>
                <w:sz w:val="22"/>
                <w:szCs w:val="22"/>
                <w:highlight w:val="none"/>
                <w:lang w:val="en-US" w:eastAsia="zh-CN" w:bidi="ar-SA"/>
              </w:rPr>
              <w:t xml:space="preserve">1）标准化学生管理团队基础配备不少于 12 名人员（年龄在20-40岁以内）其中男宿舍管理员 6人，女宿舍管理员 6人。须满足以下项目人员要求：①男宿管必须具备退伍证、普通话资格证及专业岗位证书。②女宿管必须具备退伍证或大专以上学历证书、普通话资格证及专业岗位证书。每提供一人得 1 分，最高得 12 分；提供资料不全或未提供的，不得分。 </w:t>
            </w:r>
          </w:p>
          <w:p w14:paraId="201E8D69">
            <w:pPr>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_GB2312" w:hAnsi="Arial" w:eastAsia="仿宋_GB2312" w:cs="Calibri"/>
                <w:kern w:val="2"/>
                <w:sz w:val="22"/>
                <w:szCs w:val="22"/>
                <w:highlight w:val="none"/>
                <w:lang w:val="en-US" w:eastAsia="zh-CN" w:bidi="ar-SA"/>
              </w:rPr>
            </w:pPr>
            <w:r>
              <w:rPr>
                <w:rFonts w:hint="eastAsia" w:ascii="仿宋_GB2312" w:hAnsi="仿宋_GB2312" w:eastAsia="仿宋_GB2312" w:cs="仿宋_GB2312"/>
                <w:color w:val="000000"/>
                <w:kern w:val="0"/>
                <w:sz w:val="22"/>
                <w:szCs w:val="22"/>
                <w:highlight w:val="none"/>
                <w:lang w:val="en-US" w:eastAsia="zh-CN" w:bidi="ar"/>
              </w:rPr>
              <w:t>注：</w:t>
            </w:r>
            <w:r>
              <w:rPr>
                <w:rFonts w:hint="eastAsia" w:ascii="仿宋_GB2312" w:hAnsi="Arial" w:eastAsia="仿宋_GB2312" w:cs="Calibri"/>
                <w:kern w:val="2"/>
                <w:sz w:val="22"/>
                <w:szCs w:val="22"/>
                <w:highlight w:val="none"/>
                <w:lang w:val="en-US" w:eastAsia="zh-CN" w:bidi="ar-SA"/>
              </w:rPr>
              <w:t>专业岗位证书为军事化管理师、或学生管理辅导师。</w:t>
            </w:r>
          </w:p>
          <w:p w14:paraId="7D85ECE5">
            <w:pPr>
              <w:keepNext w:val="0"/>
              <w:keepLines w:val="0"/>
              <w:widowControl/>
              <w:numPr>
                <w:ilvl w:val="0"/>
                <w:numId w:val="0"/>
              </w:numPr>
              <w:suppressLineNumbers w:val="0"/>
              <w:spacing w:before="0" w:beforeAutospacing="0" w:after="0" w:afterAutospacing="0" w:line="240" w:lineRule="auto"/>
              <w:ind w:right="0" w:rightChars="0"/>
              <w:jc w:val="both"/>
              <w:rPr>
                <w:highlight w:val="none"/>
              </w:rPr>
            </w:pPr>
            <w:r>
              <w:rPr>
                <w:rFonts w:hint="eastAsia" w:ascii="仿宋_GB2312" w:hAnsi="Arial" w:eastAsia="仿宋_GB2312" w:cs="Calibri"/>
                <w:kern w:val="2"/>
                <w:sz w:val="22"/>
                <w:szCs w:val="22"/>
                <w:highlight w:val="none"/>
                <w:lang w:val="en-US" w:eastAsia="zh-CN" w:bidi="ar-SA"/>
              </w:rPr>
              <w:t xml:space="preserve">    普通话证书等级为三级乙等或以上均可。（提供上述要求证明文件的扫描件）</w:t>
            </w:r>
          </w:p>
          <w:p w14:paraId="342A5612">
            <w:pPr>
              <w:pStyle w:val="51"/>
              <w:numPr>
                <w:ilvl w:val="0"/>
                <w:numId w:val="0"/>
              </w:numPr>
              <w:spacing w:before="65" w:line="240" w:lineRule="auto"/>
              <w:ind w:leftChars="0" w:right="32" w:rightChars="0"/>
              <w:rPr>
                <w:rFonts w:hint="eastAsia" w:ascii="仿宋_GB2312" w:hAnsi="Arial" w:eastAsia="仿宋_GB2312" w:cs="Calibri"/>
                <w:kern w:val="2"/>
                <w:sz w:val="22"/>
                <w:szCs w:val="22"/>
                <w:highlight w:val="none"/>
                <w:lang w:val="en-US" w:eastAsia="zh-CN" w:bidi="ar-SA"/>
              </w:rPr>
            </w:pPr>
            <w:r>
              <w:rPr>
                <w:rFonts w:hint="eastAsia" w:ascii="仿宋_GB2312" w:hAnsi="Arial" w:eastAsia="仿宋_GB2312" w:cs="Calibri"/>
                <w:kern w:val="2"/>
                <w:sz w:val="22"/>
                <w:szCs w:val="22"/>
                <w:highlight w:val="none"/>
                <w:lang w:val="en-US" w:eastAsia="zh-CN" w:bidi="ar-SA"/>
              </w:rPr>
              <w:t>2）标准化后勤物业管理：保安人员具备退伍证书人员8人，</w:t>
            </w:r>
            <w:r>
              <w:rPr>
                <w:rFonts w:hint="eastAsia" w:ascii="仿宋_GB2312" w:hAnsi="Arial" w:eastAsia="仿宋_GB2312" w:cs="Calibri"/>
                <w:color w:val="auto"/>
                <w:kern w:val="2"/>
                <w:sz w:val="22"/>
                <w:szCs w:val="22"/>
                <w:highlight w:val="none"/>
                <w:lang w:val="en-US" w:eastAsia="zh-CN" w:bidi="ar-SA"/>
              </w:rPr>
              <w:t>电焊证2人，园林绿化证2人、</w:t>
            </w:r>
            <w:r>
              <w:rPr>
                <w:rFonts w:hint="eastAsia" w:ascii="仿宋_GB2312" w:hAnsi="仿宋_GB2312" w:eastAsia="仿宋_GB2312" w:cs="仿宋_GB2312"/>
                <w:sz w:val="22"/>
                <w:szCs w:val="22"/>
                <w:highlight w:val="none"/>
                <w:lang w:val="en-US" w:eastAsia="zh-CN"/>
              </w:rPr>
              <w:t>心理咨询师三级以上</w:t>
            </w:r>
            <w:r>
              <w:rPr>
                <w:rFonts w:hint="eastAsia" w:ascii="仿宋_GB2312" w:hAnsi="Arial" w:eastAsia="仿宋_GB2312" w:cs="Calibri"/>
                <w:kern w:val="2"/>
                <w:sz w:val="22"/>
                <w:szCs w:val="22"/>
                <w:highlight w:val="none"/>
                <w:lang w:val="en-US" w:eastAsia="zh-CN" w:bidi="ar-SA"/>
              </w:rPr>
              <w:t>证书4人，以上人员共16人，每提供1人专业岗位证书得0.5 分， 满分 8 分，提供资料不全或未提供的；</w:t>
            </w:r>
          </w:p>
          <w:p w14:paraId="67FBE6E8">
            <w:pPr>
              <w:pStyle w:val="51"/>
              <w:numPr>
                <w:ilvl w:val="0"/>
                <w:numId w:val="0"/>
              </w:numPr>
              <w:spacing w:before="65" w:line="240" w:lineRule="auto"/>
              <w:ind w:leftChars="0" w:right="32" w:rightChars="0"/>
              <w:rPr>
                <w:rFonts w:hint="default" w:ascii="仿宋_GB2312" w:hAnsi="Arial" w:eastAsia="仿宋_GB2312" w:cs="Calibri"/>
                <w:kern w:val="2"/>
                <w:sz w:val="22"/>
                <w:szCs w:val="22"/>
                <w:highlight w:val="none"/>
                <w:lang w:val="en-US" w:eastAsia="zh-CN" w:bidi="ar-SA"/>
              </w:rPr>
            </w:pPr>
            <w:r>
              <w:rPr>
                <w:rFonts w:hint="eastAsia" w:ascii="仿宋_GB2312" w:hAnsi="Arial" w:eastAsia="仿宋_GB2312" w:cs="Calibri"/>
                <w:kern w:val="2"/>
                <w:sz w:val="22"/>
                <w:szCs w:val="22"/>
                <w:highlight w:val="none"/>
                <w:lang w:val="en-US" w:eastAsia="zh-CN" w:bidi="ar-SA"/>
              </w:rPr>
              <w:t>注：安保证及特殊岗位证书：为公安部门颁发安保证书及相关部门颁发证书</w:t>
            </w:r>
          </w:p>
          <w:p w14:paraId="1C6CCFDF">
            <w:pPr>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_GB2312" w:hAnsi="Arial" w:eastAsia="仿宋_GB2312" w:cs="Calibri"/>
                <w:kern w:val="2"/>
                <w:sz w:val="22"/>
                <w:szCs w:val="22"/>
                <w:highlight w:val="none"/>
                <w:lang w:val="en-US" w:eastAsia="zh-CN" w:bidi="ar-SA"/>
              </w:rPr>
            </w:pPr>
            <w:r>
              <w:rPr>
                <w:rFonts w:hint="eastAsia" w:ascii="仿宋_GB2312" w:hAnsi="Arial" w:eastAsia="仿宋_GB2312" w:cs="Calibri"/>
                <w:kern w:val="2"/>
                <w:sz w:val="22"/>
                <w:szCs w:val="22"/>
                <w:highlight w:val="none"/>
                <w:lang w:val="en-US" w:eastAsia="zh-CN" w:bidi="ar-SA"/>
              </w:rPr>
              <w:t>3）标准化餐厅管理：1.食品安全员证1人；2.厨师5人：3.面点师2人：4.营养师2人，以上人员共10人，每提供1人专业岗位证书得1 分， 满分10 分，提供资料不全或未提供的；</w:t>
            </w:r>
          </w:p>
          <w:p w14:paraId="0979719E">
            <w:pPr>
              <w:pStyle w:val="52"/>
              <w:ind w:left="0" w:leftChars="0" w:firstLine="0" w:firstLineChars="0"/>
              <w:rPr>
                <w:rFonts w:hint="default"/>
                <w:highlight w:val="none"/>
                <w:lang w:val="en-US" w:eastAsia="zh-CN"/>
              </w:rPr>
            </w:pPr>
            <w:r>
              <w:rPr>
                <w:rFonts w:hint="eastAsia" w:ascii="仿宋_GB2312" w:hAnsi="Arial" w:eastAsia="仿宋_GB2312" w:cs="Calibri"/>
                <w:kern w:val="2"/>
                <w:sz w:val="22"/>
                <w:szCs w:val="22"/>
                <w:highlight w:val="none"/>
                <w:lang w:val="en-US" w:eastAsia="zh-CN" w:bidi="ar-SA"/>
              </w:rPr>
              <w:t>注：厨师证：具有</w:t>
            </w:r>
            <w:bookmarkStart w:id="123" w:name="OLE_LINK9"/>
            <w:r>
              <w:rPr>
                <w:rFonts w:hint="eastAsia" w:ascii="仿宋_GB2312" w:hAnsi="Arial" w:eastAsia="仿宋_GB2312" w:cs="Calibri"/>
                <w:kern w:val="2"/>
                <w:sz w:val="22"/>
                <w:szCs w:val="22"/>
                <w:highlight w:val="none"/>
                <w:lang w:val="en-US" w:eastAsia="zh-CN" w:bidi="ar-SA"/>
              </w:rPr>
              <w:t>由中华人民共和国人力资源和社会保障部颁发或其他职业技能鉴定中心颁发的中式烹调师职业技能三级技师</w:t>
            </w:r>
            <w:bookmarkEnd w:id="123"/>
            <w:r>
              <w:rPr>
                <w:rFonts w:hint="eastAsia" w:ascii="仿宋_GB2312" w:hAnsi="Arial" w:eastAsia="仿宋_GB2312" w:cs="Calibri"/>
                <w:kern w:val="2"/>
                <w:sz w:val="22"/>
                <w:szCs w:val="22"/>
                <w:highlight w:val="none"/>
                <w:lang w:val="en-US" w:eastAsia="zh-CN" w:bidi="ar-SA"/>
              </w:rPr>
              <w:t>证书；面点师：具有由中华人民共和国人力资源和社会保障部颁发或其他职业技能鉴定中心颁发的中（西）式面点师证书；营养师：须具有由中华人民共和国人力资源和社会保障部颁发的营养师配餐师证书；</w:t>
            </w:r>
          </w:p>
        </w:tc>
        <w:tc>
          <w:tcPr>
            <w:tcW w:w="893" w:type="dxa"/>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center"/>
          </w:tcPr>
          <w:p w14:paraId="5698FA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_GB2312" w:hAnsi="Arial" w:eastAsia="仿宋_GB2312" w:cs="Calibri"/>
                <w:kern w:val="2"/>
                <w:sz w:val="22"/>
                <w:szCs w:val="22"/>
                <w:lang w:val="en-US" w:eastAsia="zh-CN" w:bidi="ar-SA"/>
              </w:rPr>
            </w:pPr>
            <w:r>
              <w:rPr>
                <w:rFonts w:hint="eastAsia" w:ascii="仿宋_GB2312" w:hAnsi="Arial" w:eastAsia="仿宋_GB2312" w:cs="Calibri"/>
                <w:kern w:val="2"/>
                <w:sz w:val="22"/>
                <w:szCs w:val="22"/>
                <w:lang w:val="en-US" w:eastAsia="zh-CN" w:bidi="ar-SA"/>
              </w:rPr>
              <w:t>30分</w:t>
            </w:r>
          </w:p>
        </w:tc>
      </w:tr>
    </w:tbl>
    <w:p w14:paraId="08E151D0">
      <w:pPr>
        <w:widowControl/>
        <w:shd w:val="clear" w:color="auto" w:fill="FFFFFF"/>
        <w:spacing w:line="240" w:lineRule="exact"/>
        <w:jc w:val="left"/>
        <w:rPr>
          <w:rFonts w:hint="eastAsia" w:ascii="仿宋_GB2312" w:hAnsi="仿宋_GB2312" w:eastAsia="仿宋_GB2312" w:cs="仿宋_GB2312"/>
          <w:kern w:val="0"/>
          <w:szCs w:val="21"/>
          <w:lang w:val="en-US" w:eastAsia="zh-CN"/>
        </w:rPr>
      </w:pPr>
    </w:p>
    <w:p w14:paraId="3E281554">
      <w:pPr>
        <w:widowControl/>
        <w:shd w:val="clear" w:color="auto" w:fill="FFFFFF"/>
        <w:spacing w:line="24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价格部分</w:t>
      </w:r>
    </w:p>
    <w:p w14:paraId="04B3A52D">
      <w:pPr>
        <w:numPr>
          <w:ilvl w:val="0"/>
          <w:numId w:val="0"/>
        </w:numPr>
        <w:spacing w:line="360" w:lineRule="exact"/>
        <w:rPr>
          <w:rFonts w:ascii="仿宋_GB2312" w:hAnsi="Arial" w:eastAsia="仿宋_GB2312"/>
          <w:spacing w:val="-2"/>
          <w:sz w:val="24"/>
        </w:rPr>
      </w:pPr>
      <w:r>
        <w:rPr>
          <w:rFonts w:hint="eastAsia" w:ascii="仿宋_GB2312" w:hAnsi="Arial" w:eastAsia="仿宋_GB2312"/>
          <w:spacing w:val="-2"/>
          <w:sz w:val="24"/>
          <w:lang w:eastAsia="zh-CN"/>
        </w:rPr>
        <w:t>（</w:t>
      </w:r>
      <w:r>
        <w:rPr>
          <w:rFonts w:hint="eastAsia" w:ascii="仿宋_GB2312" w:hAnsi="Arial" w:eastAsia="仿宋_GB2312"/>
          <w:spacing w:val="-2"/>
          <w:sz w:val="24"/>
          <w:lang w:val="en-US" w:eastAsia="zh-CN"/>
        </w:rPr>
        <w:t>1）</w:t>
      </w:r>
      <w:r>
        <w:rPr>
          <w:rFonts w:hint="eastAsia" w:ascii="仿宋_GB2312" w:hAnsi="Arial" w:eastAsia="仿宋_GB2312"/>
          <w:spacing w:val="-2"/>
          <w:sz w:val="24"/>
        </w:rPr>
        <w:t>最终报价</w:t>
      </w:r>
      <w:r>
        <w:rPr>
          <w:rFonts w:hint="eastAsia" w:ascii="仿宋_GB2312" w:hAnsi="Arial" w:eastAsia="仿宋_GB2312"/>
          <w:spacing w:val="-2"/>
          <w:sz w:val="24"/>
          <w:lang w:val="en-US" w:eastAsia="zh-CN"/>
        </w:rPr>
        <w:t>1</w:t>
      </w:r>
      <w:r>
        <w:rPr>
          <w:rFonts w:hint="eastAsia" w:ascii="仿宋_GB2312" w:hAnsi="Arial" w:eastAsia="仿宋_GB2312"/>
          <w:spacing w:val="-2"/>
          <w:sz w:val="24"/>
        </w:rPr>
        <w:t>0分。（此分值根据投标人投标报价计算结果）</w:t>
      </w:r>
      <w:r>
        <w:rPr>
          <w:rFonts w:hint="eastAsia" w:ascii="仿宋_GB2312" w:hAnsi="Arial" w:eastAsia="仿宋_GB2312"/>
          <w:spacing w:val="-2"/>
          <w:sz w:val="24"/>
        </w:rPr>
        <w:br w:type="textWrapping"/>
      </w:r>
      <w:r>
        <w:rPr>
          <w:rFonts w:hint="eastAsia" w:ascii="仿宋_GB2312" w:hAnsi="Arial" w:eastAsia="仿宋_GB2312"/>
          <w:spacing w:val="-2"/>
          <w:sz w:val="24"/>
          <w:lang w:eastAsia="zh-CN"/>
        </w:rPr>
        <w:t>（</w:t>
      </w:r>
      <w:r>
        <w:rPr>
          <w:rFonts w:hint="eastAsia" w:ascii="仿宋_GB2312" w:hAnsi="Arial" w:eastAsia="仿宋_GB2312"/>
          <w:spacing w:val="-2"/>
          <w:sz w:val="24"/>
          <w:lang w:val="en-US" w:eastAsia="zh-CN"/>
        </w:rPr>
        <w:t>2）</w:t>
      </w:r>
      <w:r>
        <w:rPr>
          <w:rFonts w:hint="eastAsia" w:ascii="仿宋_GB2312" w:hAnsi="Arial" w:eastAsia="仿宋_GB2312"/>
          <w:spacing w:val="-2"/>
          <w:sz w:val="24"/>
        </w:rPr>
        <w:t>报价得分计算方法：此分值根据各投标人的投标报价采用低价优先法计算而得，即满足招标文件要求且投标价格最低的合理投标报价为评标基准价，其价格分为满分。其他投标人的价格分统一按照下列公式计算:投标报价得分=（单价最低价/投标报价）×价格权值×100，采购人对同类采购项目采用综合评分法的，原则上不得改变评审因素和评分标准。</w:t>
      </w:r>
    </w:p>
    <w:p w14:paraId="6B7D140E">
      <w:pPr>
        <w:rPr>
          <w:b w:val="0"/>
          <w:bCs/>
          <w:color w:val="auto"/>
        </w:rPr>
      </w:pPr>
      <w:r>
        <w:rPr>
          <w:rFonts w:hint="eastAsia" w:ascii="仿宋_GB2312" w:eastAsia="仿宋_GB2312"/>
          <w:b w:val="0"/>
          <w:bCs/>
          <w:color w:val="auto"/>
          <w:sz w:val="24"/>
          <w:lang w:eastAsia="zh-CN"/>
        </w:rPr>
        <w:t>（</w:t>
      </w:r>
      <w:r>
        <w:rPr>
          <w:rFonts w:hint="eastAsia" w:ascii="仿宋_GB2312" w:eastAsia="仿宋_GB2312"/>
          <w:b w:val="0"/>
          <w:bCs/>
          <w:color w:val="auto"/>
          <w:sz w:val="24"/>
          <w:lang w:val="en-US" w:eastAsia="zh-CN"/>
        </w:rPr>
        <w:t>3）</w:t>
      </w:r>
      <w:r>
        <w:rPr>
          <w:rFonts w:hint="eastAsia" w:ascii="仿宋_GB2312" w:eastAsia="仿宋_GB2312"/>
          <w:b w:val="0"/>
          <w:bCs/>
          <w:color w:val="auto"/>
          <w:sz w:val="24"/>
        </w:rPr>
        <w:t>如投标商投标报价超出本项目采购预算单价及预算总价价格，则取消资格。</w:t>
      </w:r>
    </w:p>
    <w:p w14:paraId="265A20AD">
      <w:pPr>
        <w:widowControl/>
        <w:shd w:val="clear" w:color="auto" w:fill="FFFFFF"/>
        <w:spacing w:line="240" w:lineRule="exact"/>
        <w:jc w:val="left"/>
        <w:rPr>
          <w:rFonts w:hint="eastAsia" w:ascii="仿宋_GB2312" w:hAnsi="仿宋_GB2312" w:eastAsia="仿宋_GB2312" w:cs="仿宋_GB2312"/>
          <w:b w:val="0"/>
          <w:bCs/>
          <w:color w:val="auto"/>
          <w:kern w:val="0"/>
          <w:szCs w:val="21"/>
        </w:rPr>
      </w:pPr>
    </w:p>
    <w:p w14:paraId="7B39679B">
      <w:pPr>
        <w:spacing w:line="360" w:lineRule="exact"/>
        <w:rPr>
          <w:rFonts w:ascii="仿宋_GB2312" w:hAnsi="Arial" w:eastAsia="仿宋_GB2312"/>
          <w:sz w:val="24"/>
        </w:rPr>
      </w:pPr>
    </w:p>
    <w:p w14:paraId="7A0B8129">
      <w:pPr>
        <w:rPr>
          <w:rFonts w:ascii="仿宋_GB2312" w:hAnsi="仿宋_GB2312" w:eastAsia="仿宋_GB2312" w:cs="仿宋_GB2312"/>
        </w:rPr>
      </w:pPr>
    </w:p>
    <w:p w14:paraId="5B02493E">
      <w:pPr>
        <w:rPr>
          <w:rFonts w:ascii="仿宋_GB2312" w:hAnsi="仿宋_GB2312" w:eastAsia="仿宋_GB2312" w:cs="仿宋_GB2312"/>
        </w:rPr>
      </w:pPr>
    </w:p>
    <w:p w14:paraId="719A2EFD">
      <w:pPr>
        <w:rPr>
          <w:rFonts w:ascii="仿宋_GB2312" w:hAnsi="仿宋_GB2312" w:eastAsia="仿宋_GB2312" w:cs="仿宋_GB2312"/>
        </w:rPr>
      </w:pPr>
    </w:p>
    <w:p w14:paraId="03789839">
      <w:pPr>
        <w:rPr>
          <w:rFonts w:ascii="仿宋_GB2312" w:hAnsi="仿宋_GB2312" w:eastAsia="仿宋_GB2312" w:cs="仿宋_GB2312"/>
        </w:rPr>
      </w:pPr>
    </w:p>
    <w:p w14:paraId="2957A470">
      <w:pPr>
        <w:rPr>
          <w:rFonts w:ascii="仿宋_GB2312" w:hAnsi="仿宋_GB2312" w:eastAsia="仿宋_GB2312" w:cs="仿宋_GB2312"/>
        </w:rPr>
      </w:pPr>
    </w:p>
    <w:p w14:paraId="5A1E0573">
      <w:pPr>
        <w:rPr>
          <w:rFonts w:ascii="仿宋_GB2312" w:hAnsi="仿宋_GB2312" w:eastAsia="仿宋_GB2312" w:cs="仿宋_GB2312"/>
        </w:rPr>
      </w:pPr>
    </w:p>
    <w:p w14:paraId="6841DC54">
      <w:pPr>
        <w:pStyle w:val="3"/>
        <w:snapToGrid w:val="0"/>
        <w:spacing w:before="319" w:beforeLines="100" w:after="319" w:afterLines="100" w:line="360" w:lineRule="auto"/>
        <w:jc w:val="both"/>
        <w:rPr>
          <w:rFonts w:ascii="仿宋_GB2312" w:hAnsi="仿宋_GB2312" w:eastAsia="仿宋_GB2312" w:cs="仿宋_GB2312"/>
        </w:rPr>
      </w:pPr>
      <w:bookmarkStart w:id="124" w:name="_Toc24606"/>
      <w:bookmarkStart w:id="125" w:name="_Toc22690"/>
    </w:p>
    <w:p w14:paraId="12C39CEF">
      <w:pPr>
        <w:pStyle w:val="3"/>
        <w:snapToGrid w:val="0"/>
        <w:spacing w:before="319" w:beforeLines="100" w:after="319" w:afterLines="100" w:line="360" w:lineRule="auto"/>
        <w:rPr>
          <w:rFonts w:ascii="仿宋_GB2312" w:hAnsi="仿宋_GB2312" w:eastAsia="仿宋_GB2312" w:cs="仿宋_GB2312"/>
        </w:rPr>
      </w:pPr>
      <w:r>
        <w:rPr>
          <w:rFonts w:hint="eastAsia" w:ascii="仿宋_GB2312" w:hAnsi="仿宋_GB2312" w:eastAsia="仿宋_GB2312" w:cs="仿宋_GB2312"/>
        </w:rPr>
        <w:t>第五章 政府采购合同条款</w:t>
      </w:r>
      <w:bookmarkEnd w:id="122"/>
      <w:r>
        <w:rPr>
          <w:rFonts w:hint="eastAsia" w:ascii="仿宋_GB2312" w:hAnsi="仿宋_GB2312" w:eastAsia="仿宋_GB2312" w:cs="仿宋_GB2312"/>
        </w:rPr>
        <w:t>及格式</w:t>
      </w:r>
      <w:bookmarkEnd w:id="124"/>
      <w:bookmarkEnd w:id="125"/>
    </w:p>
    <w:p w14:paraId="28220852">
      <w:pPr>
        <w:rPr>
          <w:rFonts w:ascii="仿宋_GB2312" w:hAnsi="仿宋_GB2312" w:eastAsia="仿宋_GB2312" w:cs="仿宋_GB2312"/>
          <w:szCs w:val="28"/>
        </w:rPr>
      </w:pPr>
      <w:bookmarkStart w:id="126" w:name="_Toc23704_WPSOffice_Level1"/>
      <w:r>
        <w:rPr>
          <w:rFonts w:hint="eastAsia" w:ascii="仿宋_GB2312" w:hAnsi="仿宋_GB2312" w:eastAsia="仿宋_GB2312" w:cs="仿宋_GB2312"/>
          <w:szCs w:val="28"/>
        </w:rPr>
        <w:t>合同条款</w:t>
      </w:r>
      <w:bookmarkEnd w:id="126"/>
    </w:p>
    <w:p w14:paraId="2C845C7C">
      <w:pPr>
        <w:spacing w:before="319" w:beforeLines="100" w:after="319" w:afterLines="100" w:line="360" w:lineRule="auto"/>
        <w:jc w:val="center"/>
        <w:rPr>
          <w:rFonts w:ascii="宋体" w:hAnsi="宋体" w:cs="Lucida Sans Unicode"/>
          <w:b/>
          <w:sz w:val="44"/>
          <w:szCs w:val="44"/>
        </w:rPr>
      </w:pPr>
      <w:r>
        <w:rPr>
          <w:rFonts w:hint="eastAsia" w:ascii="宋体" w:hAnsi="宋体" w:cs="Lucida Sans Unicode"/>
          <w:b/>
          <w:sz w:val="44"/>
          <w:szCs w:val="44"/>
        </w:rPr>
        <w:t>政府采购合同条款</w:t>
      </w:r>
    </w:p>
    <w:p w14:paraId="1C365CFD">
      <w:pPr>
        <w:numPr>
          <w:ilvl w:val="0"/>
          <w:numId w:val="12"/>
        </w:numPr>
        <w:spacing w:line="360" w:lineRule="auto"/>
        <w:rPr>
          <w:rFonts w:ascii="仿宋_GB2312" w:hAnsi="宋体" w:eastAsia="仿宋_GB2312"/>
          <w:b/>
          <w:szCs w:val="21"/>
        </w:rPr>
      </w:pPr>
      <w:r>
        <w:rPr>
          <w:rFonts w:hint="eastAsia" w:ascii="仿宋_GB2312" w:hAnsi="宋体" w:eastAsia="仿宋_GB2312"/>
          <w:b/>
          <w:szCs w:val="21"/>
        </w:rPr>
        <w:t>术语定义</w:t>
      </w:r>
    </w:p>
    <w:p w14:paraId="7226EA7F">
      <w:pPr>
        <w:spacing w:line="360" w:lineRule="auto"/>
        <w:ind w:firstLine="411" w:firstLineChars="196"/>
        <w:rPr>
          <w:rFonts w:ascii="仿宋_GB2312" w:hAnsi="宋体" w:eastAsia="仿宋_GB2312"/>
          <w:szCs w:val="21"/>
        </w:rPr>
      </w:pPr>
      <w:r>
        <w:rPr>
          <w:rFonts w:hint="eastAsia" w:ascii="仿宋_GB2312" w:hAnsi="宋体" w:eastAsia="仿宋_GB2312"/>
          <w:szCs w:val="21"/>
        </w:rPr>
        <w:t>本政府采购合同下列术语应解释为：</w:t>
      </w:r>
    </w:p>
    <w:p w14:paraId="53AF7918">
      <w:pPr>
        <w:spacing w:line="360" w:lineRule="auto"/>
        <w:ind w:firstLine="42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w:t>
      </w:r>
      <w:r>
        <w:rPr>
          <w:rFonts w:hint="eastAsia" w:ascii="仿宋_GB2312" w:hAnsi="宋体" w:eastAsia="仿宋_GB2312"/>
          <w:szCs w:val="21"/>
        </w:rPr>
        <w:t>“政府采购合同”指供需双方依照政府采购程序、按照招标文件、投标文件确定的事项所达成的协议，包括附件、附录和上述文件所提到的构成政府采购合同的所有文件。</w:t>
      </w:r>
    </w:p>
    <w:p w14:paraId="4C6A3FDF">
      <w:pPr>
        <w:spacing w:line="360" w:lineRule="auto"/>
        <w:ind w:firstLine="42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2 </w:t>
      </w:r>
      <w:r>
        <w:rPr>
          <w:rFonts w:hint="eastAsia" w:ascii="仿宋_GB2312" w:hAnsi="宋体" w:eastAsia="仿宋_GB2312"/>
          <w:szCs w:val="21"/>
        </w:rPr>
        <w:t>“政府采购合同价”指根据合同约定供方在正确地完全履行政府采购合同义务后需方应支付给供方的价格。</w:t>
      </w:r>
    </w:p>
    <w:p w14:paraId="2740F44D">
      <w:pPr>
        <w:spacing w:line="360" w:lineRule="auto"/>
        <w:ind w:firstLine="42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3 </w:t>
      </w:r>
      <w:r>
        <w:rPr>
          <w:rFonts w:hint="eastAsia" w:ascii="仿宋_GB2312" w:hAnsi="宋体" w:eastAsia="仿宋_GB2312"/>
          <w:szCs w:val="21"/>
        </w:rPr>
        <w:t>“服务”指政府采购合同服务清单（同投标文件中开标一览表及其附表，下同）所约定的服务内容。</w:t>
      </w:r>
    </w:p>
    <w:p w14:paraId="4EB085CD">
      <w:pPr>
        <w:spacing w:line="360" w:lineRule="auto"/>
        <w:ind w:firstLine="42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5 </w:t>
      </w:r>
      <w:r>
        <w:rPr>
          <w:rFonts w:hint="eastAsia" w:ascii="仿宋_GB2312" w:hAnsi="宋体" w:eastAsia="仿宋_GB2312"/>
          <w:szCs w:val="21"/>
        </w:rPr>
        <w:t>“需方”指项目基本内容及要求中所述取得产品和服务的采购单位。</w:t>
      </w:r>
    </w:p>
    <w:p w14:paraId="177F99FF">
      <w:pPr>
        <w:spacing w:line="360" w:lineRule="auto"/>
        <w:ind w:firstLine="42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6 </w:t>
      </w:r>
      <w:r>
        <w:rPr>
          <w:rFonts w:hint="eastAsia" w:ascii="仿宋_GB2312" w:hAnsi="宋体" w:eastAsia="仿宋_GB2312"/>
          <w:szCs w:val="21"/>
        </w:rPr>
        <w:t>“供方”指项目基本内容及要求中所述提供产品和服务的中标供应商。</w:t>
      </w:r>
    </w:p>
    <w:p w14:paraId="0BB965FA">
      <w:pPr>
        <w:spacing w:line="360" w:lineRule="auto"/>
        <w:ind w:firstLine="42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7 </w:t>
      </w:r>
      <w:r>
        <w:rPr>
          <w:rFonts w:hint="eastAsia" w:ascii="仿宋_GB2312" w:hAnsi="宋体" w:eastAsia="仿宋_GB2312"/>
          <w:szCs w:val="21"/>
        </w:rPr>
        <w:t>“检验”指需方按照政府采购合同约定的标准对供方所提供服务进行的检测和查验。</w:t>
      </w:r>
    </w:p>
    <w:p w14:paraId="0A686FE5">
      <w:pPr>
        <w:spacing w:line="360" w:lineRule="auto"/>
        <w:ind w:firstLine="42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8 </w:t>
      </w:r>
      <w:r>
        <w:rPr>
          <w:rFonts w:hint="eastAsia" w:ascii="仿宋_GB2312" w:hAnsi="宋体" w:eastAsia="仿宋_GB2312"/>
          <w:szCs w:val="21"/>
        </w:rPr>
        <w:t>“验收书”指采购单位或</w:t>
      </w:r>
      <w:r>
        <w:rPr>
          <w:rFonts w:hint="eastAsia" w:ascii="仿宋_GB2312" w:hAnsi="宋体" w:eastAsia="仿宋_GB2312" w:cs="Lucida Sans Unicode"/>
          <w:szCs w:val="21"/>
        </w:rPr>
        <w:t>采购代理机构</w:t>
      </w:r>
      <w:r>
        <w:rPr>
          <w:rFonts w:hint="eastAsia" w:ascii="仿宋_GB2312" w:hAnsi="宋体" w:eastAsia="仿宋_GB2312"/>
          <w:szCs w:val="21"/>
        </w:rPr>
        <w:t>根据合同履约验收意见书形成反映采购单位和组织验收机构意见的文件。</w:t>
      </w:r>
    </w:p>
    <w:p w14:paraId="25BD4440">
      <w:pPr>
        <w:spacing w:line="360" w:lineRule="auto"/>
        <w:ind w:firstLine="420" w:firstLineChars="200"/>
        <w:rPr>
          <w:rFonts w:ascii="仿宋_GB2312" w:hAnsi="宋体" w:eastAsia="仿宋_GB2312"/>
          <w:szCs w:val="21"/>
        </w:rPr>
      </w:pPr>
      <w:r>
        <w:rPr>
          <w:rFonts w:hint="eastAsia" w:ascii="仿宋_GB2312" w:hAnsi="宋体" w:eastAsia="仿宋_GB2312"/>
          <w:szCs w:val="21"/>
        </w:rPr>
        <w:t>1.9“天”指日历天数（如无特别说明）。</w:t>
      </w:r>
    </w:p>
    <w:p w14:paraId="6B1C0DC7">
      <w:pPr>
        <w:spacing w:line="360" w:lineRule="auto"/>
        <w:ind w:firstLine="42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10</w:t>
      </w:r>
      <w:r>
        <w:rPr>
          <w:rFonts w:hint="eastAsia" w:ascii="仿宋_GB2312" w:hAnsi="宋体" w:eastAsia="仿宋_GB2312"/>
          <w:szCs w:val="21"/>
        </w:rPr>
        <w:t>“第三人”是指本政府采购合同双方以外的任何中国境内外的自然人、法人或其它经济组织。</w:t>
      </w:r>
    </w:p>
    <w:p w14:paraId="7AFC3EFF">
      <w:pPr>
        <w:spacing w:line="360" w:lineRule="auto"/>
        <w:ind w:firstLine="42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11</w:t>
      </w:r>
      <w:r>
        <w:rPr>
          <w:rFonts w:hint="eastAsia" w:ascii="仿宋_GB2312" w:hAnsi="宋体" w:eastAsia="仿宋_GB2312"/>
          <w:szCs w:val="21"/>
        </w:rPr>
        <w:t>“法律、法规”是指由中国各级政府及有关部门制定的法律、行政法规、地方性法规、规章及其它规范性文件的有关规定。</w:t>
      </w:r>
    </w:p>
    <w:p w14:paraId="7049FCF4">
      <w:pPr>
        <w:spacing w:line="360" w:lineRule="auto"/>
        <w:ind w:firstLine="42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12</w:t>
      </w:r>
      <w:r>
        <w:rPr>
          <w:rFonts w:hint="eastAsia" w:ascii="仿宋_GB2312" w:hAnsi="宋体" w:eastAsia="仿宋_GB2312"/>
          <w:szCs w:val="21"/>
        </w:rPr>
        <w:t>“招标文件”指采购人或</w:t>
      </w:r>
      <w:r>
        <w:rPr>
          <w:rFonts w:hint="eastAsia" w:ascii="仿宋_GB2312" w:hAnsi="宋体" w:eastAsia="仿宋_GB2312" w:cs="Lucida Sans Unicode"/>
          <w:szCs w:val="21"/>
        </w:rPr>
        <w:t>采购代理机构</w:t>
      </w:r>
      <w:r>
        <w:rPr>
          <w:rFonts w:hint="eastAsia" w:ascii="仿宋_GB2312" w:hAnsi="宋体" w:eastAsia="仿宋_GB2312"/>
          <w:szCs w:val="21"/>
        </w:rPr>
        <w:t>发布的招标文件。</w:t>
      </w:r>
    </w:p>
    <w:p w14:paraId="041616F9">
      <w:pPr>
        <w:spacing w:line="360" w:lineRule="auto"/>
        <w:ind w:firstLine="42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13</w:t>
      </w:r>
      <w:r>
        <w:rPr>
          <w:rFonts w:hint="eastAsia" w:ascii="仿宋_GB2312" w:hAnsi="宋体" w:eastAsia="仿宋_GB2312"/>
          <w:szCs w:val="21"/>
        </w:rPr>
        <w:t>“投标文件”指供方按照</w:t>
      </w:r>
      <w:r>
        <w:rPr>
          <w:rFonts w:hint="eastAsia" w:ascii="仿宋_GB2312" w:hAnsi="宋体" w:eastAsia="仿宋_GB2312" w:cs="Lucida Sans Unicode"/>
          <w:szCs w:val="21"/>
        </w:rPr>
        <w:t>采购代理机构</w:t>
      </w:r>
      <w:r>
        <w:rPr>
          <w:rFonts w:hint="eastAsia" w:ascii="仿宋_GB2312" w:hAnsi="宋体" w:eastAsia="仿宋_GB2312"/>
          <w:szCs w:val="21"/>
        </w:rPr>
        <w:t>招标文件的要求编制和递交，并最终被评标委员会接受的投标文件。</w:t>
      </w:r>
    </w:p>
    <w:p w14:paraId="5329DCE7">
      <w:pPr>
        <w:spacing w:line="360" w:lineRule="auto"/>
        <w:ind w:firstLine="417" w:firstLineChars="199"/>
        <w:rPr>
          <w:rFonts w:ascii="仿宋_GB2312" w:hAnsi="宋体" w:eastAsia="仿宋_GB2312"/>
          <w:b/>
          <w:szCs w:val="21"/>
        </w:rPr>
      </w:pPr>
      <w:r>
        <w:rPr>
          <w:rFonts w:hint="eastAsia" w:ascii="仿宋_GB2312" w:hAnsi="宋体" w:eastAsia="仿宋_GB2312"/>
          <w:b/>
          <w:szCs w:val="21"/>
        </w:rPr>
        <w:t>2.技术规范与服务内容</w:t>
      </w:r>
    </w:p>
    <w:p w14:paraId="5B6D42F4">
      <w:pPr>
        <w:spacing w:line="360" w:lineRule="auto"/>
        <w:ind w:firstLine="417" w:firstLineChars="199"/>
        <w:rPr>
          <w:rFonts w:ascii="仿宋_GB2312" w:hAnsi="宋体" w:eastAsia="仿宋_GB2312"/>
          <w:szCs w:val="21"/>
        </w:rPr>
      </w:pPr>
      <w:r>
        <w:rPr>
          <w:rFonts w:hint="eastAsia" w:ascii="仿宋_GB2312" w:hAnsi="宋体" w:eastAsia="仿宋_GB2312"/>
          <w:szCs w:val="21"/>
        </w:rPr>
        <w:t>2.1投标服务的技术规范应与招标文件规定的技术规范（如果有的话）相一致。若无相应说明，则以国家有关部门最新颁布的相应标准及规范为准。</w:t>
      </w:r>
    </w:p>
    <w:p w14:paraId="4374848D">
      <w:pPr>
        <w:spacing w:line="360" w:lineRule="auto"/>
        <w:ind w:firstLine="417" w:firstLineChars="199"/>
        <w:rPr>
          <w:rFonts w:ascii="仿宋_GB2312" w:hAnsi="宋体" w:eastAsia="仿宋_GB2312"/>
          <w:szCs w:val="21"/>
        </w:rPr>
      </w:pPr>
      <w:r>
        <w:rPr>
          <w:rFonts w:hint="eastAsia" w:ascii="仿宋_GB2312" w:hAnsi="宋体" w:eastAsia="仿宋_GB2312"/>
          <w:szCs w:val="21"/>
        </w:rPr>
        <w:t>2.2 投标服务的服务内容应与招标文件规定服务内容及投标文件中的项目要求及投标响应表一致。</w:t>
      </w:r>
    </w:p>
    <w:p w14:paraId="6D19BD2B">
      <w:pPr>
        <w:spacing w:line="360" w:lineRule="auto"/>
        <w:ind w:firstLine="417" w:firstLineChars="199"/>
        <w:rPr>
          <w:rFonts w:ascii="仿宋_GB2312" w:hAnsi="宋体" w:eastAsia="仿宋_GB2312"/>
          <w:b/>
          <w:szCs w:val="21"/>
        </w:rPr>
      </w:pPr>
      <w:r>
        <w:rPr>
          <w:rFonts w:hint="eastAsia" w:ascii="仿宋_GB2312" w:hAnsi="宋体" w:eastAsia="仿宋_GB2312"/>
          <w:b/>
          <w:szCs w:val="21"/>
        </w:rPr>
        <w:t>3.知识产权</w:t>
      </w:r>
    </w:p>
    <w:p w14:paraId="6BE1F722">
      <w:pPr>
        <w:spacing w:line="360" w:lineRule="auto"/>
        <w:ind w:firstLine="411" w:firstLineChars="196"/>
        <w:jc w:val="left"/>
        <w:rPr>
          <w:rFonts w:ascii="仿宋_GB2312" w:hAnsi="宋体" w:eastAsia="仿宋_GB2312"/>
          <w:szCs w:val="21"/>
        </w:rPr>
      </w:pPr>
      <w:r>
        <w:rPr>
          <w:rFonts w:hint="eastAsia" w:ascii="仿宋_GB2312" w:hAnsi="宋体" w:eastAsia="仿宋_GB2312"/>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14:paraId="45AEA268">
      <w:pPr>
        <w:spacing w:line="360" w:lineRule="auto"/>
        <w:ind w:firstLine="411" w:firstLineChars="196"/>
        <w:jc w:val="left"/>
        <w:rPr>
          <w:rFonts w:ascii="仿宋_GB2312" w:hAnsi="宋体" w:eastAsia="仿宋_GB2312"/>
          <w:szCs w:val="21"/>
        </w:rPr>
      </w:pPr>
      <w:r>
        <w:rPr>
          <w:rFonts w:hint="eastAsia" w:ascii="仿宋_GB2312" w:hAnsi="宋体" w:eastAsia="仿宋_GB2312"/>
          <w:szCs w:val="21"/>
        </w:rPr>
        <w:t>3.2供方应保证所供服务符合国家的有关规定。</w:t>
      </w:r>
    </w:p>
    <w:p w14:paraId="6E7B7B24">
      <w:pPr>
        <w:tabs>
          <w:tab w:val="left" w:pos="360"/>
        </w:tabs>
        <w:spacing w:line="360" w:lineRule="auto"/>
        <w:ind w:firstLine="417" w:firstLineChars="199"/>
        <w:rPr>
          <w:rFonts w:ascii="仿宋_GB2312" w:hAnsi="宋体" w:eastAsia="仿宋_GB2312"/>
          <w:szCs w:val="21"/>
        </w:rPr>
      </w:pPr>
      <w:r>
        <w:rPr>
          <w:rFonts w:hint="eastAsia" w:ascii="仿宋_GB2312" w:hAnsi="宋体" w:eastAsia="仿宋_GB2312"/>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14:paraId="7790F613">
      <w:pPr>
        <w:spacing w:line="360" w:lineRule="auto"/>
        <w:ind w:firstLine="417" w:firstLineChars="199"/>
        <w:rPr>
          <w:rFonts w:ascii="仿宋_GB2312" w:hAnsi="宋体" w:eastAsia="仿宋_GB2312"/>
          <w:b/>
          <w:szCs w:val="21"/>
        </w:rPr>
      </w:pPr>
      <w:r>
        <w:rPr>
          <w:rFonts w:hint="eastAsia" w:ascii="仿宋_GB2312" w:hAnsi="宋体" w:eastAsia="仿宋_GB2312"/>
          <w:b/>
          <w:szCs w:val="21"/>
        </w:rPr>
        <w:t>4.完成方式</w:t>
      </w:r>
    </w:p>
    <w:p w14:paraId="22B39432">
      <w:pPr>
        <w:spacing w:line="360" w:lineRule="auto"/>
        <w:ind w:firstLine="417" w:firstLineChars="199"/>
        <w:rPr>
          <w:rFonts w:ascii="仿宋_GB2312" w:hAnsi="宋体" w:eastAsia="仿宋_GB2312"/>
          <w:szCs w:val="21"/>
        </w:rPr>
      </w:pPr>
      <w:r>
        <w:rPr>
          <w:rFonts w:hint="eastAsia" w:ascii="仿宋_GB2312" w:hAnsi="宋体" w:eastAsia="仿宋_GB2312"/>
          <w:szCs w:val="21"/>
        </w:rPr>
        <w:t>供方按照合同约定的时间、地点完成服务。</w:t>
      </w:r>
    </w:p>
    <w:p w14:paraId="5EFBD586">
      <w:pPr>
        <w:spacing w:line="360" w:lineRule="auto"/>
        <w:ind w:firstLine="417" w:firstLineChars="199"/>
        <w:rPr>
          <w:rFonts w:ascii="仿宋_GB2312" w:hAnsi="宋体" w:eastAsia="仿宋_GB2312"/>
          <w:b/>
          <w:szCs w:val="21"/>
        </w:rPr>
      </w:pPr>
      <w:r>
        <w:rPr>
          <w:rFonts w:hint="eastAsia" w:ascii="仿宋_GB2312" w:hAnsi="宋体" w:eastAsia="仿宋_GB2312"/>
          <w:b/>
          <w:szCs w:val="21"/>
        </w:rPr>
        <w:t>5.付款</w:t>
      </w:r>
    </w:p>
    <w:p w14:paraId="22C97D24">
      <w:pPr>
        <w:spacing w:line="360" w:lineRule="auto"/>
        <w:ind w:firstLine="417" w:firstLineChars="199"/>
        <w:rPr>
          <w:rFonts w:ascii="仿宋_GB2312" w:hAnsi="宋体" w:eastAsia="仿宋_GB2312"/>
          <w:szCs w:val="21"/>
        </w:rPr>
      </w:pPr>
      <w:r>
        <w:rPr>
          <w:rFonts w:hint="eastAsia" w:ascii="仿宋_GB2312" w:hAnsi="宋体" w:eastAsia="仿宋_GB2312"/>
          <w:szCs w:val="21"/>
        </w:rPr>
        <w:t>5.1政府采购合同以人民币付款。</w:t>
      </w:r>
    </w:p>
    <w:p w14:paraId="2C31C681">
      <w:pPr>
        <w:spacing w:line="360" w:lineRule="auto"/>
        <w:ind w:firstLine="417" w:firstLineChars="199"/>
        <w:rPr>
          <w:rFonts w:ascii="仿宋_GB2312" w:hAnsi="宋体" w:eastAsia="仿宋_GB2312"/>
          <w:szCs w:val="21"/>
        </w:rPr>
      </w:pPr>
      <w:r>
        <w:rPr>
          <w:rFonts w:hint="eastAsia" w:ascii="仿宋_GB2312" w:hAnsi="宋体" w:eastAsia="仿宋_GB2312"/>
          <w:szCs w:val="21"/>
        </w:rPr>
        <w:t>5.2在供方按照政府采购合同的规定履行服务后，需方按照合同约定的方式和条件付款。</w:t>
      </w:r>
    </w:p>
    <w:p w14:paraId="6756BF04">
      <w:pPr>
        <w:spacing w:line="360" w:lineRule="auto"/>
        <w:ind w:firstLine="420" w:firstLineChars="200"/>
        <w:rPr>
          <w:rFonts w:ascii="仿宋_GB2312" w:hAnsi="宋体" w:eastAsia="仿宋_GB2312"/>
          <w:b/>
          <w:szCs w:val="21"/>
        </w:rPr>
      </w:pPr>
      <w:r>
        <w:rPr>
          <w:rFonts w:hint="eastAsia" w:ascii="仿宋_GB2312" w:hAnsi="宋体" w:eastAsia="仿宋_GB2312"/>
          <w:b/>
          <w:szCs w:val="21"/>
        </w:rPr>
        <w:t>6.服务质量</w:t>
      </w:r>
    </w:p>
    <w:p w14:paraId="0677C314">
      <w:pPr>
        <w:spacing w:line="360" w:lineRule="auto"/>
        <w:ind w:firstLine="420" w:firstLineChars="200"/>
        <w:rPr>
          <w:rFonts w:ascii="仿宋_GB2312" w:hAnsi="宋体" w:eastAsia="仿宋_GB2312" w:cs="Arial"/>
          <w:szCs w:val="21"/>
        </w:rPr>
      </w:pPr>
      <w:r>
        <w:rPr>
          <w:rFonts w:hint="eastAsia" w:ascii="仿宋_GB2312" w:hAnsi="宋体" w:eastAsia="仿宋_GB2312" w:cs="Arial"/>
          <w:szCs w:val="21"/>
        </w:rPr>
        <w:t>6.1供方应保证政府采购合同项下所供服务是由供方提供的，并完全符合强制性的国家技术质量规范和政府采购合同规定的质量、性能和技术规范等要求。</w:t>
      </w:r>
    </w:p>
    <w:p w14:paraId="56EC93CB">
      <w:pPr>
        <w:spacing w:line="360" w:lineRule="auto"/>
        <w:ind w:firstLine="420" w:firstLineChars="200"/>
        <w:rPr>
          <w:rFonts w:ascii="仿宋_GB2312" w:hAnsi="宋体" w:eastAsia="仿宋_GB2312" w:cs="Arial"/>
          <w:szCs w:val="21"/>
        </w:rPr>
      </w:pPr>
      <w:r>
        <w:rPr>
          <w:rFonts w:hint="eastAsia" w:ascii="仿宋_GB2312" w:hAnsi="宋体" w:eastAsia="仿宋_GB2312" w:cs="Arial"/>
          <w:szCs w:val="21"/>
        </w:rPr>
        <w:t>6.2供方提供的服务质量应满足行业一般标准，符合合同约定。</w:t>
      </w:r>
    </w:p>
    <w:p w14:paraId="0DF790FF">
      <w:pPr>
        <w:spacing w:line="360" w:lineRule="auto"/>
        <w:ind w:firstLine="420" w:firstLineChars="200"/>
        <w:rPr>
          <w:rFonts w:ascii="仿宋_GB2312" w:hAnsi="宋体" w:eastAsia="仿宋_GB2312" w:cs="Arial"/>
          <w:szCs w:val="21"/>
        </w:rPr>
      </w:pPr>
      <w:r>
        <w:rPr>
          <w:rFonts w:hint="eastAsia" w:ascii="仿宋_GB2312" w:hAnsi="宋体" w:eastAsia="仿宋_GB2312" w:cs="Arial"/>
          <w:szCs w:val="21"/>
        </w:rPr>
        <w:t>6.3需方有权对供方的服务质量进行监督，发现服务存在不符合合同标准的情形的，可以要求供方改正服务方式、替换服务人员等补救方式，供方应按需方要求改正，并赔偿需方实际损失。</w:t>
      </w:r>
    </w:p>
    <w:p w14:paraId="59F57B3A">
      <w:pPr>
        <w:spacing w:line="360" w:lineRule="auto"/>
        <w:ind w:firstLine="420" w:firstLineChars="200"/>
        <w:rPr>
          <w:rFonts w:ascii="仿宋_GB2312" w:hAnsi="宋体" w:eastAsia="仿宋_GB2312" w:cs="Arial"/>
          <w:szCs w:val="21"/>
        </w:rPr>
      </w:pPr>
      <w:r>
        <w:rPr>
          <w:rFonts w:hint="eastAsia" w:ascii="仿宋_GB2312" w:hAnsi="宋体" w:eastAsia="仿宋_GB2312" w:cs="Arial"/>
          <w:szCs w:val="21"/>
        </w:rPr>
        <w:t>6.4对于委托开发等最终以产品形式交付需方使用的服务，供方需按照招标文件要求对产品提供售后服务及质量保证，供方投标文件承诺的售后服务及质量保证优于招标文件要求的，以投标文件承诺的售后服务及质量保证为准。</w:t>
      </w:r>
    </w:p>
    <w:p w14:paraId="2FAF6178">
      <w:pPr>
        <w:spacing w:line="360" w:lineRule="auto"/>
        <w:ind w:firstLine="411" w:firstLineChars="196"/>
        <w:rPr>
          <w:rFonts w:ascii="仿宋_GB2312" w:hAnsi="宋体" w:eastAsia="仿宋_GB2312"/>
          <w:b/>
          <w:szCs w:val="21"/>
        </w:rPr>
      </w:pPr>
      <w:r>
        <w:rPr>
          <w:rFonts w:hint="eastAsia" w:ascii="仿宋_GB2312" w:hAnsi="宋体" w:eastAsia="仿宋_GB2312"/>
          <w:b/>
          <w:szCs w:val="21"/>
        </w:rPr>
        <w:t>7.技术服务和保修责任</w:t>
      </w:r>
    </w:p>
    <w:p w14:paraId="219AF442">
      <w:pPr>
        <w:spacing w:line="360" w:lineRule="auto"/>
        <w:ind w:firstLine="411" w:firstLineChars="196"/>
        <w:rPr>
          <w:rFonts w:ascii="仿宋_GB2312" w:hAnsi="宋体" w:eastAsia="仿宋_GB2312"/>
          <w:szCs w:val="21"/>
        </w:rPr>
      </w:pPr>
      <w:r>
        <w:rPr>
          <w:rFonts w:hint="eastAsia" w:ascii="仿宋_GB2312" w:hAnsi="宋体" w:eastAsia="仿宋_GB2312"/>
          <w:szCs w:val="21"/>
        </w:rPr>
        <w:t>7.1本条适用于</w:t>
      </w:r>
      <w:r>
        <w:rPr>
          <w:rFonts w:hint="eastAsia" w:ascii="仿宋_GB2312" w:hAnsi="宋体" w:eastAsia="仿宋_GB2312" w:cs="Arial"/>
          <w:szCs w:val="21"/>
        </w:rPr>
        <w:t>委托开发等最终以产品形式交付需方使用的服务。</w:t>
      </w:r>
    </w:p>
    <w:p w14:paraId="5511296F">
      <w:pPr>
        <w:spacing w:line="360" w:lineRule="auto"/>
        <w:ind w:firstLine="411" w:firstLineChars="196"/>
        <w:rPr>
          <w:rFonts w:ascii="仿宋_GB2312" w:hAnsi="宋体" w:eastAsia="仿宋_GB2312"/>
          <w:szCs w:val="21"/>
        </w:rPr>
      </w:pPr>
      <w:r>
        <w:rPr>
          <w:rFonts w:hint="eastAsia" w:ascii="仿宋_GB2312" w:hAnsi="宋体" w:eastAsia="仿宋_GB2312"/>
          <w:szCs w:val="21"/>
        </w:rPr>
        <w:t>7.2供方对交付的产品的保修期，以招标文件中的规定为准，如果投标文件中的承诺优于招标文件规定，则以投标文件为准。</w:t>
      </w:r>
    </w:p>
    <w:p w14:paraId="68C3915F">
      <w:pPr>
        <w:spacing w:line="360" w:lineRule="auto"/>
        <w:ind w:firstLine="411" w:firstLineChars="196"/>
        <w:rPr>
          <w:rFonts w:ascii="仿宋_GB2312" w:hAnsi="宋体" w:eastAsia="仿宋_GB2312"/>
          <w:szCs w:val="21"/>
        </w:rPr>
      </w:pPr>
      <w:r>
        <w:rPr>
          <w:rFonts w:hint="eastAsia" w:ascii="仿宋_GB2312" w:hAnsi="宋体" w:eastAsia="仿宋_GB2312"/>
          <w:szCs w:val="21"/>
        </w:rPr>
        <w:t>7.3供方应按如下内容提供售后服务：</w:t>
      </w:r>
    </w:p>
    <w:p w14:paraId="525415BD">
      <w:pPr>
        <w:spacing w:line="360" w:lineRule="auto"/>
        <w:ind w:firstLine="411" w:firstLineChars="196"/>
        <w:rPr>
          <w:rFonts w:ascii="仿宋_GB2312" w:hAnsi="宋体" w:eastAsia="仿宋_GB2312"/>
          <w:szCs w:val="21"/>
        </w:rPr>
      </w:pPr>
      <w:r>
        <w:rPr>
          <w:rFonts w:hint="eastAsia" w:ascii="仿宋_GB2312" w:hAnsi="宋体" w:eastAsia="仿宋_GB2312"/>
          <w:szCs w:val="21"/>
        </w:rPr>
        <w:t>7.3.1产品经过试运行期，所有性能指标达到技术规范书的要求时，可按招标文件、投标文件内容进行初验。在试运行期间，由于产品质量等造成某些指标达不到要求，供方须更换或进行修复，试运行期重新计算。</w:t>
      </w:r>
    </w:p>
    <w:p w14:paraId="641F6AF2">
      <w:pPr>
        <w:spacing w:line="360" w:lineRule="auto"/>
        <w:ind w:firstLine="411" w:firstLineChars="196"/>
        <w:rPr>
          <w:rFonts w:ascii="仿宋_GB2312" w:hAnsi="宋体" w:eastAsia="仿宋_GB2312"/>
          <w:szCs w:val="21"/>
        </w:rPr>
      </w:pPr>
      <w:r>
        <w:rPr>
          <w:rFonts w:hint="eastAsia" w:ascii="仿宋_GB2312" w:hAnsi="宋体" w:eastAsia="仿宋_GB2312"/>
          <w:szCs w:val="21"/>
        </w:rPr>
        <w:t>7.3.2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14:paraId="03619AE4">
      <w:pPr>
        <w:spacing w:line="360" w:lineRule="auto"/>
        <w:ind w:firstLine="411" w:firstLineChars="196"/>
        <w:rPr>
          <w:rFonts w:ascii="仿宋_GB2312" w:hAnsi="宋体" w:eastAsia="仿宋_GB2312"/>
          <w:szCs w:val="21"/>
        </w:rPr>
      </w:pPr>
      <w:r>
        <w:rPr>
          <w:rFonts w:hint="eastAsia" w:ascii="仿宋_GB2312" w:hAnsi="宋体" w:eastAsia="仿宋_GB2312"/>
          <w:szCs w:val="21"/>
        </w:rPr>
        <w:t>7.3.3保修期间供方要保修除消耗品以外的所有产品。如果系统、设备等发生故障，供方要调查故障原因并修复直至满足最终验收指标和性能的要求，或者修理、更换整个或部分有缺陷的材料。</w:t>
      </w:r>
    </w:p>
    <w:p w14:paraId="7A5DD5AC">
      <w:pPr>
        <w:spacing w:line="360" w:lineRule="auto"/>
        <w:ind w:firstLine="411" w:firstLineChars="196"/>
        <w:rPr>
          <w:rFonts w:ascii="仿宋_GB2312" w:hAnsi="宋体" w:eastAsia="仿宋_GB2312"/>
          <w:szCs w:val="21"/>
        </w:rPr>
      </w:pPr>
      <w:r>
        <w:rPr>
          <w:rFonts w:hint="eastAsia" w:ascii="仿宋_GB2312" w:hAnsi="宋体" w:eastAsia="仿宋_GB2312"/>
          <w:szCs w:val="21"/>
        </w:rPr>
        <w:t>7.3.4保修期内，供方提供电话、电子邮件、Web、现场服务等方式的技术支持，对用户的现场服务要求，供方必须按投标文件做出的承诺进行响应。</w:t>
      </w:r>
    </w:p>
    <w:p w14:paraId="7FD6BE6A">
      <w:pPr>
        <w:spacing w:line="360" w:lineRule="auto"/>
        <w:ind w:firstLine="411" w:firstLineChars="196"/>
        <w:rPr>
          <w:rFonts w:ascii="仿宋_GB2312" w:hAnsi="宋体" w:eastAsia="仿宋_GB2312"/>
          <w:szCs w:val="21"/>
        </w:rPr>
      </w:pPr>
      <w:r>
        <w:rPr>
          <w:rFonts w:hint="eastAsia" w:ascii="仿宋_GB2312" w:hAnsi="宋体" w:eastAsia="仿宋_GB2312"/>
          <w:szCs w:val="21"/>
        </w:rPr>
        <w:t>7.3.5保修期内，供方应对出现故障无法修复的产品或无法正常运行的系统，提供替代产品以保证系统的正常工作。</w:t>
      </w:r>
    </w:p>
    <w:p w14:paraId="3879F8AB">
      <w:pPr>
        <w:spacing w:line="360" w:lineRule="auto"/>
        <w:ind w:firstLine="411" w:firstLineChars="196"/>
        <w:rPr>
          <w:rFonts w:ascii="仿宋_GB2312" w:hAnsi="宋体" w:eastAsia="仿宋_GB2312"/>
          <w:szCs w:val="21"/>
        </w:rPr>
      </w:pPr>
      <w:r>
        <w:rPr>
          <w:rFonts w:hint="eastAsia" w:ascii="仿宋_GB2312" w:hAnsi="宋体" w:eastAsia="仿宋_GB2312"/>
          <w:szCs w:val="21"/>
        </w:rPr>
        <w:t>7.3.6保修期内，供方应投标时的承诺提供相关服务。</w:t>
      </w:r>
    </w:p>
    <w:p w14:paraId="6874750C">
      <w:pPr>
        <w:spacing w:line="360" w:lineRule="auto"/>
        <w:ind w:firstLine="411" w:firstLineChars="196"/>
        <w:rPr>
          <w:rFonts w:ascii="仿宋_GB2312" w:hAnsi="宋体" w:eastAsia="仿宋_GB2312"/>
          <w:szCs w:val="21"/>
        </w:rPr>
      </w:pPr>
      <w:r>
        <w:rPr>
          <w:rFonts w:hint="eastAsia" w:ascii="仿宋_GB2312" w:hAnsi="宋体" w:eastAsia="仿宋_GB2312"/>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14:paraId="23ABF5C7">
      <w:pPr>
        <w:spacing w:line="360" w:lineRule="auto"/>
        <w:ind w:firstLine="411" w:firstLineChars="196"/>
        <w:rPr>
          <w:rFonts w:ascii="仿宋_GB2312" w:hAnsi="宋体" w:eastAsia="仿宋_GB2312"/>
          <w:szCs w:val="21"/>
        </w:rPr>
      </w:pPr>
      <w:r>
        <w:rPr>
          <w:rFonts w:hint="eastAsia" w:ascii="仿宋_GB2312" w:hAnsi="宋体" w:eastAsia="仿宋_GB2312"/>
          <w:szCs w:val="21"/>
        </w:rPr>
        <w:t>7.3.8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14:paraId="76CAAA97">
      <w:pPr>
        <w:spacing w:line="360" w:lineRule="auto"/>
        <w:ind w:firstLine="411" w:firstLineChars="196"/>
        <w:rPr>
          <w:rFonts w:ascii="仿宋_GB2312" w:hAnsi="宋体" w:eastAsia="仿宋_GB2312"/>
          <w:szCs w:val="21"/>
        </w:rPr>
      </w:pPr>
      <w:r>
        <w:rPr>
          <w:rFonts w:hint="eastAsia" w:ascii="仿宋_GB2312" w:hAnsi="宋体" w:eastAsia="仿宋_GB2312"/>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14:paraId="5686CC29">
      <w:pPr>
        <w:spacing w:line="360" w:lineRule="auto"/>
        <w:ind w:firstLine="417" w:firstLineChars="199"/>
        <w:rPr>
          <w:rFonts w:ascii="仿宋_GB2312" w:hAnsi="宋体" w:eastAsia="仿宋_GB2312"/>
          <w:szCs w:val="21"/>
        </w:rPr>
      </w:pPr>
      <w:r>
        <w:rPr>
          <w:rFonts w:hint="eastAsia" w:ascii="仿宋_GB2312" w:hAnsi="宋体" w:eastAsia="仿宋_GB2312"/>
          <w:szCs w:val="21"/>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14:paraId="17B5F883">
      <w:pPr>
        <w:spacing w:line="360" w:lineRule="auto"/>
        <w:ind w:firstLine="417" w:firstLineChars="199"/>
        <w:rPr>
          <w:rFonts w:ascii="仿宋_GB2312" w:hAnsi="宋体" w:eastAsia="仿宋_GB2312"/>
          <w:b/>
          <w:szCs w:val="21"/>
        </w:rPr>
      </w:pPr>
      <w:r>
        <w:rPr>
          <w:rFonts w:hint="eastAsia" w:ascii="仿宋_GB2312" w:hAnsi="宋体" w:eastAsia="仿宋_GB2312"/>
          <w:b/>
          <w:szCs w:val="21"/>
        </w:rPr>
        <w:t>8.检验和验收</w:t>
      </w:r>
    </w:p>
    <w:p w14:paraId="370F2B68">
      <w:pPr>
        <w:spacing w:line="360" w:lineRule="auto"/>
        <w:ind w:firstLine="417" w:firstLineChars="199"/>
        <w:rPr>
          <w:rFonts w:ascii="仿宋_GB2312" w:hAnsi="宋体" w:eastAsia="仿宋_GB2312"/>
          <w:szCs w:val="21"/>
        </w:rPr>
      </w:pPr>
      <w:r>
        <w:rPr>
          <w:rFonts w:hint="eastAsia" w:ascii="仿宋_GB2312" w:hAnsi="宋体" w:eastAsia="仿宋_GB2312"/>
          <w:szCs w:val="21"/>
        </w:rPr>
        <w:t>8.1完成服务后，需方或采购代理机构（由具体项目决定）应在政府采购合同规定的时间内组织验收，并在“验收书”上签字。“验收书”将作为申请付款文件的一部分。</w:t>
      </w:r>
    </w:p>
    <w:p w14:paraId="08A81CD7">
      <w:pPr>
        <w:spacing w:line="360" w:lineRule="auto"/>
        <w:ind w:firstLine="417" w:firstLineChars="199"/>
        <w:rPr>
          <w:rFonts w:ascii="仿宋_GB2312" w:hAnsi="宋体" w:eastAsia="仿宋_GB2312"/>
          <w:szCs w:val="21"/>
        </w:rPr>
      </w:pPr>
      <w:r>
        <w:rPr>
          <w:rFonts w:hint="eastAsia" w:ascii="仿宋_GB2312" w:hAnsi="宋体" w:eastAsia="仿宋_GB2312"/>
          <w:szCs w:val="21"/>
        </w:rPr>
        <w:t>8.2</w:t>
      </w:r>
      <w:r>
        <w:rPr>
          <w:rFonts w:hint="eastAsia" w:ascii="仿宋_GB2312" w:hAnsi="宋体" w:eastAsia="仿宋_GB2312" w:cs="Arial"/>
          <w:szCs w:val="21"/>
        </w:rPr>
        <w:t>对于委托开发等最终以产品形式交付需方使用的服务，</w:t>
      </w:r>
      <w:r>
        <w:rPr>
          <w:rFonts w:hint="eastAsia" w:ascii="仿宋_GB2312" w:hAnsi="宋体" w:eastAsia="仿宋_GB2312"/>
          <w:szCs w:val="21"/>
        </w:rPr>
        <w:t>保修期自验收书签署之日起计算。</w:t>
      </w:r>
    </w:p>
    <w:p w14:paraId="15FF681E">
      <w:pPr>
        <w:tabs>
          <w:tab w:val="left" w:pos="360"/>
        </w:tabs>
        <w:spacing w:line="360" w:lineRule="auto"/>
        <w:ind w:firstLine="457" w:firstLineChars="218"/>
        <w:rPr>
          <w:rFonts w:ascii="仿宋_GB2312" w:hAnsi="宋体" w:eastAsia="仿宋_GB2312"/>
          <w:b/>
          <w:szCs w:val="21"/>
        </w:rPr>
      </w:pPr>
      <w:r>
        <w:rPr>
          <w:rFonts w:hint="eastAsia" w:ascii="仿宋_GB2312" w:hAnsi="宋体" w:eastAsia="仿宋_GB2312"/>
          <w:b/>
          <w:szCs w:val="21"/>
        </w:rPr>
        <w:t>9.违约责任</w:t>
      </w:r>
    </w:p>
    <w:p w14:paraId="12923CA0">
      <w:pPr>
        <w:spacing w:line="360" w:lineRule="auto"/>
        <w:ind w:firstLine="457" w:firstLineChars="218"/>
        <w:rPr>
          <w:rFonts w:ascii="仿宋_GB2312" w:hAnsi="宋体" w:eastAsia="仿宋_GB2312" w:cs="Arial"/>
          <w:szCs w:val="21"/>
        </w:rPr>
      </w:pPr>
      <w:r>
        <w:rPr>
          <w:rFonts w:hint="eastAsia" w:ascii="仿宋_GB2312" w:hAnsi="宋体" w:eastAsia="仿宋_GB2312" w:cs="Arial"/>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14:paraId="27CAE638">
      <w:pPr>
        <w:spacing w:line="360" w:lineRule="auto"/>
        <w:ind w:firstLine="420" w:firstLineChars="200"/>
        <w:rPr>
          <w:rFonts w:ascii="仿宋_GB2312" w:hAnsi="宋体" w:eastAsia="仿宋_GB2312" w:cs="Arial"/>
          <w:szCs w:val="21"/>
        </w:rPr>
      </w:pPr>
      <w:r>
        <w:rPr>
          <w:rFonts w:hint="eastAsia" w:ascii="仿宋_GB2312" w:hAnsi="宋体" w:eastAsia="仿宋_GB2312" w:cs="Arial"/>
          <w:szCs w:val="21"/>
        </w:rPr>
        <w:t>9.1.1在需方同意延长的期限内提供服务并承担由此给需方造成的一切损失；</w:t>
      </w:r>
    </w:p>
    <w:p w14:paraId="54FB11CB">
      <w:pPr>
        <w:spacing w:line="360" w:lineRule="auto"/>
        <w:ind w:firstLine="420" w:firstLineChars="200"/>
        <w:rPr>
          <w:rFonts w:ascii="仿宋_GB2312" w:hAnsi="宋体" w:eastAsia="仿宋_GB2312" w:cs="Arial"/>
          <w:szCs w:val="21"/>
        </w:rPr>
      </w:pPr>
      <w:r>
        <w:rPr>
          <w:rFonts w:hint="eastAsia" w:ascii="仿宋_GB2312" w:hAnsi="宋体" w:eastAsia="仿宋_GB2312" w:cs="Arial"/>
          <w:szCs w:val="21"/>
        </w:rPr>
        <w:t>9.1.2在需方规定的时间内，用符合政府采购合同规定的服务以达到政府采购合同规定的要求，供方应承担由此发生的一切费用和风险。此时，相关服务的期限也应相应延长；</w:t>
      </w:r>
    </w:p>
    <w:p w14:paraId="65CF5D7A">
      <w:pPr>
        <w:spacing w:line="360" w:lineRule="auto"/>
        <w:ind w:firstLine="420" w:firstLineChars="200"/>
        <w:rPr>
          <w:rFonts w:ascii="仿宋_GB2312" w:hAnsi="宋体" w:eastAsia="仿宋_GB2312" w:cs="Arial"/>
          <w:szCs w:val="21"/>
        </w:rPr>
      </w:pPr>
      <w:r>
        <w:rPr>
          <w:rFonts w:hint="eastAsia" w:ascii="仿宋_GB2312" w:hAnsi="宋体" w:eastAsia="仿宋_GB2312" w:cs="Arial"/>
          <w:szCs w:val="21"/>
        </w:rPr>
        <w:t>9.1.3需方有权部分或全部解除政府采购合同并要求供方赔偿由此造成的损失。此时需方可采取必要的补救措施，相关费用由供方承担。</w:t>
      </w:r>
    </w:p>
    <w:p w14:paraId="13D9E4CB">
      <w:pPr>
        <w:spacing w:line="360" w:lineRule="auto"/>
        <w:ind w:firstLine="420" w:firstLineChars="200"/>
        <w:rPr>
          <w:rFonts w:ascii="仿宋_GB2312" w:hAnsi="宋体" w:eastAsia="仿宋_GB2312" w:cs="Arial"/>
          <w:szCs w:val="21"/>
        </w:rPr>
      </w:pPr>
      <w:r>
        <w:rPr>
          <w:rFonts w:hint="eastAsia" w:ascii="仿宋_GB2312" w:hAnsi="宋体" w:eastAsia="仿宋_GB2312" w:cs="Arial"/>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14:paraId="4B931766">
      <w:pPr>
        <w:spacing w:line="360" w:lineRule="auto"/>
        <w:ind w:firstLine="420" w:firstLineChars="200"/>
        <w:rPr>
          <w:rFonts w:ascii="仿宋_GB2312" w:hAnsi="宋体" w:eastAsia="仿宋_GB2312" w:cs="Arial"/>
          <w:szCs w:val="21"/>
        </w:rPr>
      </w:pPr>
      <w:r>
        <w:rPr>
          <w:rFonts w:hint="eastAsia" w:ascii="仿宋_GB2312" w:hAnsi="宋体" w:eastAsia="仿宋_GB2312" w:cs="Arial"/>
          <w:szCs w:val="21"/>
        </w:rPr>
        <w:t>9.3延期服务的违约责任</w:t>
      </w:r>
    </w:p>
    <w:p w14:paraId="70C227EE">
      <w:pPr>
        <w:spacing w:line="360" w:lineRule="auto"/>
        <w:ind w:firstLine="420" w:firstLineChars="200"/>
        <w:rPr>
          <w:rFonts w:ascii="仿宋_GB2312" w:hAnsi="宋体" w:eastAsia="仿宋_GB2312" w:cs="Arial"/>
          <w:szCs w:val="21"/>
        </w:rPr>
      </w:pPr>
      <w:r>
        <w:rPr>
          <w:rFonts w:hint="eastAsia" w:ascii="仿宋_GB2312" w:hAnsi="宋体" w:eastAsia="仿宋_GB2312" w:cs="Arial"/>
          <w:szCs w:val="21"/>
        </w:rPr>
        <w:t>9.3.1除本合同条款第9条规定外，如果供方没有按照政府采购合同规定的时间提供服务，需方可要求供方支付违约金。违约金按照每周未提供服务费用的0.5%计收，但违约金的最高限额为未提供服务的合同价格的5%。一周按7天计算，不足7天按一周计算。如果达到最高限额，需方有权解除政府采购合同。</w:t>
      </w:r>
    </w:p>
    <w:p w14:paraId="1F650275">
      <w:pPr>
        <w:spacing w:line="360" w:lineRule="auto"/>
        <w:ind w:firstLine="411" w:firstLineChars="196"/>
        <w:rPr>
          <w:rFonts w:ascii="仿宋_GB2312" w:hAnsi="宋体" w:eastAsia="仿宋_GB2312" w:cs="Arial"/>
          <w:szCs w:val="21"/>
        </w:rPr>
      </w:pPr>
      <w:r>
        <w:rPr>
          <w:rFonts w:hint="eastAsia" w:ascii="仿宋_GB2312" w:hAnsi="宋体" w:eastAsia="仿宋_GB2312" w:cs="Arial"/>
          <w:szCs w:val="21"/>
        </w:rPr>
        <w:t>8.4以上各项交付的违约金并不影响违约方履行政府采购合同的各项义务。</w:t>
      </w:r>
    </w:p>
    <w:p w14:paraId="54F0EC4F">
      <w:pPr>
        <w:spacing w:line="360" w:lineRule="auto"/>
        <w:ind w:left="420"/>
        <w:rPr>
          <w:rFonts w:ascii="仿宋_GB2312" w:hAnsi="宋体" w:eastAsia="仿宋_GB2312" w:cs="Arial"/>
          <w:b/>
          <w:szCs w:val="21"/>
        </w:rPr>
      </w:pPr>
      <w:r>
        <w:rPr>
          <w:rFonts w:hint="eastAsia" w:ascii="仿宋_GB2312" w:hAnsi="宋体" w:eastAsia="仿宋_GB2312" w:cs="Arial"/>
          <w:b/>
          <w:szCs w:val="21"/>
        </w:rPr>
        <w:t>10.不可抗力</w:t>
      </w:r>
    </w:p>
    <w:p w14:paraId="44002F99">
      <w:pPr>
        <w:spacing w:line="360" w:lineRule="auto"/>
        <w:ind w:firstLine="411" w:firstLineChars="196"/>
        <w:rPr>
          <w:rFonts w:ascii="仿宋_GB2312" w:hAnsi="宋体" w:eastAsia="仿宋_GB2312" w:cs="Arial"/>
          <w:szCs w:val="21"/>
        </w:rPr>
      </w:pPr>
      <w:r>
        <w:rPr>
          <w:rFonts w:hint="eastAsia" w:ascii="仿宋_GB2312" w:hAnsi="宋体" w:eastAsia="仿宋_GB2312" w:cs="Arial"/>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14:paraId="3C1A21FC">
      <w:pPr>
        <w:spacing w:line="360" w:lineRule="auto"/>
        <w:ind w:firstLine="411" w:firstLineChars="196"/>
        <w:rPr>
          <w:rFonts w:ascii="仿宋_GB2312" w:hAnsi="宋体" w:eastAsia="仿宋_GB2312" w:cs="Arial"/>
          <w:szCs w:val="21"/>
        </w:rPr>
      </w:pPr>
      <w:r>
        <w:rPr>
          <w:rFonts w:hint="eastAsia" w:ascii="仿宋_GB2312" w:hAnsi="宋体" w:eastAsia="仿宋_GB2312" w:cs="Arial"/>
          <w:szCs w:val="21"/>
        </w:rPr>
        <w:t>10.2本条所述的“不可抗力”系指那些双方无法控制，不可预见的事件，但不包括双方的违约或疏忽。这些事件包括但不限于：战争、严重火灾、洪水、台风、地震。</w:t>
      </w:r>
    </w:p>
    <w:p w14:paraId="4BDEEF8C">
      <w:pPr>
        <w:spacing w:line="360" w:lineRule="auto"/>
        <w:ind w:firstLine="411" w:firstLineChars="196"/>
        <w:rPr>
          <w:rFonts w:ascii="仿宋_GB2312" w:hAnsi="宋体" w:eastAsia="仿宋_GB2312" w:cs="Arial"/>
          <w:szCs w:val="21"/>
        </w:rPr>
      </w:pPr>
      <w:r>
        <w:rPr>
          <w:rFonts w:hint="eastAsia" w:ascii="仿宋_GB2312" w:hAnsi="宋体" w:eastAsia="仿宋_GB2312" w:cs="Arial"/>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14:paraId="009A0D49">
      <w:pPr>
        <w:spacing w:line="360" w:lineRule="auto"/>
        <w:ind w:firstLine="411" w:firstLineChars="196"/>
        <w:rPr>
          <w:rFonts w:ascii="仿宋_GB2312" w:hAnsi="宋体" w:eastAsia="仿宋_GB2312" w:cs="Arial"/>
          <w:b/>
          <w:szCs w:val="21"/>
        </w:rPr>
      </w:pPr>
      <w:r>
        <w:rPr>
          <w:rFonts w:hint="eastAsia" w:ascii="仿宋_GB2312" w:hAnsi="宋体" w:eastAsia="仿宋_GB2312" w:cs="Arial"/>
          <w:b/>
          <w:szCs w:val="21"/>
        </w:rPr>
        <w:t>11.争端的解决</w:t>
      </w:r>
    </w:p>
    <w:p w14:paraId="33076E67">
      <w:pPr>
        <w:spacing w:line="360" w:lineRule="auto"/>
        <w:ind w:firstLine="411" w:firstLineChars="196"/>
        <w:rPr>
          <w:rFonts w:ascii="仿宋_GB2312" w:hAnsi="宋体" w:eastAsia="仿宋_GB2312" w:cs="Arial"/>
          <w:szCs w:val="21"/>
        </w:rPr>
      </w:pPr>
      <w:r>
        <w:rPr>
          <w:rFonts w:hint="eastAsia" w:ascii="仿宋_GB2312" w:hAnsi="宋体" w:eastAsia="仿宋_GB2312" w:cs="Arial"/>
          <w:szCs w:val="21"/>
        </w:rPr>
        <w:t>11.1需方和供方应通过友好协商，解决在执行本政府采购合同过程中所发生的或与本政府采购合同有关的一切争端。</w:t>
      </w:r>
    </w:p>
    <w:p w14:paraId="319490A6">
      <w:pPr>
        <w:spacing w:line="360" w:lineRule="auto"/>
        <w:ind w:firstLine="411" w:firstLineChars="196"/>
        <w:rPr>
          <w:rFonts w:ascii="仿宋_GB2312" w:hAnsi="宋体" w:eastAsia="仿宋_GB2312" w:cs="Arial"/>
          <w:szCs w:val="21"/>
        </w:rPr>
      </w:pPr>
      <w:r>
        <w:rPr>
          <w:rFonts w:hint="eastAsia" w:ascii="仿宋_GB2312" w:hAnsi="宋体" w:eastAsia="仿宋_GB2312" w:cs="Arial"/>
          <w:szCs w:val="21"/>
        </w:rPr>
        <w:t>11.2如果协商不成，双方中的任何一方可向需方所在地的人民法院提起诉讼。</w:t>
      </w:r>
    </w:p>
    <w:p w14:paraId="65ED9292">
      <w:pPr>
        <w:spacing w:line="360" w:lineRule="auto"/>
        <w:ind w:firstLine="411" w:firstLineChars="196"/>
        <w:rPr>
          <w:rFonts w:ascii="仿宋_GB2312" w:hAnsi="宋体" w:eastAsia="仿宋_GB2312" w:cs="Arial"/>
          <w:szCs w:val="21"/>
        </w:rPr>
      </w:pPr>
      <w:r>
        <w:rPr>
          <w:rFonts w:hint="eastAsia" w:ascii="仿宋_GB2312" w:hAnsi="宋体" w:eastAsia="仿宋_GB2312" w:cs="Arial"/>
          <w:szCs w:val="21"/>
        </w:rPr>
        <w:t>11.3因政府采购合同部分履行引发诉讼的，在诉讼期间，除正在进行诉讼的部分外，本政府采购合同的其它部分应继续执行。</w:t>
      </w:r>
    </w:p>
    <w:p w14:paraId="7919F015">
      <w:pPr>
        <w:spacing w:line="360" w:lineRule="auto"/>
        <w:ind w:firstLine="411" w:firstLineChars="196"/>
        <w:rPr>
          <w:rFonts w:ascii="仿宋_GB2312" w:hAnsi="宋体" w:eastAsia="仿宋_GB2312" w:cs="Arial"/>
          <w:b/>
          <w:szCs w:val="21"/>
        </w:rPr>
      </w:pPr>
      <w:r>
        <w:rPr>
          <w:rFonts w:hint="eastAsia" w:ascii="仿宋_GB2312" w:hAnsi="宋体" w:eastAsia="仿宋_GB2312" w:cs="Arial"/>
          <w:b/>
          <w:szCs w:val="21"/>
        </w:rPr>
        <w:t>12.违约终止政府采购合同</w:t>
      </w:r>
    </w:p>
    <w:p w14:paraId="6616D7B0">
      <w:pPr>
        <w:spacing w:line="360" w:lineRule="auto"/>
        <w:ind w:firstLine="411" w:firstLineChars="196"/>
        <w:rPr>
          <w:rFonts w:ascii="仿宋_GB2312" w:hAnsi="宋体" w:eastAsia="仿宋_GB2312" w:cs="Arial"/>
          <w:szCs w:val="21"/>
        </w:rPr>
      </w:pPr>
      <w:r>
        <w:rPr>
          <w:rFonts w:hint="eastAsia" w:ascii="仿宋_GB2312" w:hAnsi="宋体" w:eastAsia="仿宋_GB2312" w:cs="Arial"/>
          <w:szCs w:val="21"/>
        </w:rPr>
        <w:t>12.1在需方因供方违约而按政府采购合同约定采取的任何补救措施不起作用的情况下，需方可在下列情况下向供方发出书面通知，提出终止部分或全部政府采购合同。</w:t>
      </w:r>
    </w:p>
    <w:p w14:paraId="106D916B">
      <w:pPr>
        <w:spacing w:line="360" w:lineRule="auto"/>
        <w:ind w:firstLine="411" w:firstLineChars="196"/>
        <w:rPr>
          <w:rFonts w:ascii="仿宋_GB2312" w:hAnsi="宋体" w:eastAsia="仿宋_GB2312" w:cs="Arial"/>
          <w:szCs w:val="21"/>
        </w:rPr>
      </w:pPr>
      <w:r>
        <w:rPr>
          <w:rFonts w:hint="eastAsia" w:ascii="仿宋_GB2312" w:hAnsi="宋体" w:eastAsia="仿宋_GB2312" w:cs="Arial"/>
          <w:szCs w:val="21"/>
        </w:rPr>
        <w:t>12.1.1如果供方未能在政府采购合同规定的限期或需方同意延长的限期内提供部分或全部服务；</w:t>
      </w:r>
    </w:p>
    <w:p w14:paraId="69A35B72">
      <w:pPr>
        <w:spacing w:line="360" w:lineRule="auto"/>
        <w:ind w:firstLine="411" w:firstLineChars="196"/>
        <w:rPr>
          <w:rFonts w:ascii="仿宋_GB2312" w:hAnsi="宋体" w:eastAsia="仿宋_GB2312" w:cs="Arial"/>
          <w:szCs w:val="21"/>
        </w:rPr>
      </w:pPr>
      <w:r>
        <w:rPr>
          <w:rFonts w:hint="eastAsia" w:ascii="仿宋_GB2312" w:hAnsi="宋体" w:eastAsia="仿宋_GB2312" w:cs="Arial"/>
          <w:szCs w:val="21"/>
        </w:rPr>
        <w:t>12.1.2如果供方未能履行政府采购合同规定的其它任何义务。</w:t>
      </w:r>
    </w:p>
    <w:p w14:paraId="29857839">
      <w:pPr>
        <w:spacing w:line="360" w:lineRule="auto"/>
        <w:ind w:firstLine="411" w:firstLineChars="196"/>
        <w:rPr>
          <w:rFonts w:ascii="仿宋_GB2312" w:hAnsi="宋体" w:eastAsia="仿宋_GB2312" w:cs="Arial"/>
          <w:szCs w:val="21"/>
        </w:rPr>
      </w:pPr>
      <w:r>
        <w:rPr>
          <w:rFonts w:hint="eastAsia" w:ascii="仿宋_GB2312" w:hAnsi="宋体" w:eastAsia="仿宋_GB2312" w:cs="Arial"/>
          <w:szCs w:val="21"/>
        </w:rPr>
        <w:t>12.1.3未经需方事先书面同意，供方部分转让和分包或全部转让和分包其应履行的政府采购合同义务。</w:t>
      </w:r>
    </w:p>
    <w:p w14:paraId="3D59E9B2">
      <w:pPr>
        <w:spacing w:line="360" w:lineRule="auto"/>
        <w:ind w:firstLine="411" w:firstLineChars="196"/>
        <w:rPr>
          <w:rFonts w:ascii="仿宋_GB2312" w:hAnsi="宋体" w:eastAsia="仿宋_GB2312" w:cs="Arial"/>
          <w:szCs w:val="21"/>
        </w:rPr>
      </w:pPr>
      <w:r>
        <w:rPr>
          <w:rFonts w:hint="eastAsia" w:ascii="仿宋_GB2312" w:hAnsi="宋体" w:eastAsia="仿宋_GB2312" w:cs="Arial"/>
          <w:szCs w:val="21"/>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14:paraId="2033A477">
      <w:pPr>
        <w:spacing w:line="360" w:lineRule="auto"/>
        <w:ind w:firstLine="411" w:firstLineChars="196"/>
        <w:rPr>
          <w:rFonts w:ascii="仿宋_GB2312" w:hAnsi="宋体" w:eastAsia="仿宋_GB2312" w:cs="Arial"/>
          <w:b/>
          <w:szCs w:val="21"/>
        </w:rPr>
      </w:pPr>
      <w:r>
        <w:rPr>
          <w:rFonts w:hint="eastAsia" w:ascii="仿宋_GB2312" w:hAnsi="宋体" w:eastAsia="仿宋_GB2312" w:cs="Arial"/>
          <w:b/>
          <w:szCs w:val="21"/>
        </w:rPr>
        <w:t>13.政府采购法对政府采购合同变更终止的规定</w:t>
      </w:r>
    </w:p>
    <w:p w14:paraId="4809D6F7">
      <w:pPr>
        <w:spacing w:line="360" w:lineRule="auto"/>
        <w:ind w:firstLine="411" w:firstLineChars="196"/>
        <w:rPr>
          <w:rFonts w:ascii="仿宋_GB2312" w:hAnsi="宋体" w:eastAsia="仿宋_GB2312" w:cs="Arial"/>
          <w:b/>
          <w:szCs w:val="21"/>
        </w:rPr>
      </w:pPr>
      <w:r>
        <w:rPr>
          <w:rFonts w:hint="eastAsia" w:ascii="仿宋_GB2312" w:hAnsi="宋体" w:eastAsia="仿宋_GB2312" w:cs="Arial"/>
          <w:szCs w:val="21"/>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14:paraId="5C20B36A">
      <w:pPr>
        <w:spacing w:line="360" w:lineRule="auto"/>
        <w:ind w:firstLine="411" w:firstLineChars="196"/>
        <w:rPr>
          <w:rFonts w:ascii="仿宋_GB2312" w:hAnsi="宋体" w:eastAsia="仿宋_GB2312" w:cs="Arial"/>
          <w:b/>
          <w:szCs w:val="21"/>
        </w:rPr>
      </w:pPr>
      <w:r>
        <w:rPr>
          <w:rFonts w:hint="eastAsia" w:ascii="仿宋_GB2312" w:hAnsi="宋体" w:eastAsia="仿宋_GB2312" w:cs="Arial"/>
          <w:b/>
          <w:szCs w:val="21"/>
        </w:rPr>
        <w:t>14.政府采购合同转让和分包</w:t>
      </w:r>
    </w:p>
    <w:p w14:paraId="377757B7">
      <w:pPr>
        <w:spacing w:line="360" w:lineRule="auto"/>
        <w:ind w:firstLine="411" w:firstLineChars="196"/>
        <w:rPr>
          <w:rFonts w:ascii="仿宋_GB2312" w:hAnsi="宋体" w:eastAsia="仿宋_GB2312" w:cs="Arial"/>
          <w:szCs w:val="21"/>
        </w:rPr>
      </w:pPr>
      <w:r>
        <w:rPr>
          <w:rFonts w:hint="eastAsia" w:ascii="仿宋_GB2312" w:hAnsi="宋体" w:eastAsia="仿宋_GB2312" w:cs="Arial"/>
          <w:szCs w:val="21"/>
        </w:rPr>
        <w:t>除招标文件规定,并经需方事先书面同意外，供方不得部分转让和分包或全部转让和分包其应履行的政府采购合同义务。</w:t>
      </w:r>
    </w:p>
    <w:p w14:paraId="4C3AB522">
      <w:pPr>
        <w:spacing w:line="360" w:lineRule="auto"/>
        <w:ind w:firstLine="411" w:firstLineChars="196"/>
        <w:rPr>
          <w:rFonts w:ascii="仿宋_GB2312" w:hAnsi="宋体" w:eastAsia="仿宋_GB2312" w:cs="Arial"/>
          <w:szCs w:val="21"/>
        </w:rPr>
      </w:pPr>
      <w:r>
        <w:rPr>
          <w:rFonts w:hint="eastAsia" w:ascii="仿宋_GB2312" w:hAnsi="宋体" w:eastAsia="仿宋_GB2312" w:cs="Arial"/>
          <w:b/>
          <w:szCs w:val="21"/>
        </w:rPr>
        <w:t>15.适用法律：</w:t>
      </w:r>
      <w:r>
        <w:rPr>
          <w:rFonts w:hint="eastAsia" w:ascii="仿宋_GB2312" w:hAnsi="宋体" w:eastAsia="仿宋_GB2312" w:cs="Arial"/>
          <w:szCs w:val="21"/>
        </w:rPr>
        <w:t>本政府采购合同按照中华人民共和国的现行法律进行解释。</w:t>
      </w:r>
    </w:p>
    <w:p w14:paraId="45CDD272">
      <w:pPr>
        <w:spacing w:line="360" w:lineRule="auto"/>
        <w:ind w:firstLine="411" w:firstLineChars="196"/>
        <w:rPr>
          <w:rFonts w:ascii="仿宋_GB2312" w:hAnsi="宋体" w:eastAsia="仿宋_GB2312" w:cs="Arial"/>
          <w:b/>
          <w:szCs w:val="21"/>
        </w:rPr>
      </w:pPr>
      <w:r>
        <w:rPr>
          <w:rFonts w:hint="eastAsia" w:ascii="仿宋_GB2312" w:hAnsi="宋体" w:eastAsia="仿宋_GB2312" w:cs="Arial"/>
          <w:b/>
          <w:szCs w:val="21"/>
        </w:rPr>
        <w:t>16.政府采购合同生效</w:t>
      </w:r>
    </w:p>
    <w:p w14:paraId="723793A8">
      <w:pPr>
        <w:spacing w:line="360" w:lineRule="auto"/>
        <w:ind w:firstLine="411" w:firstLineChars="196"/>
        <w:rPr>
          <w:rFonts w:ascii="仿宋_GB2312" w:hAnsi="宋体" w:eastAsia="仿宋_GB2312" w:cs="Arial"/>
          <w:szCs w:val="21"/>
        </w:rPr>
      </w:pPr>
      <w:r>
        <w:rPr>
          <w:rFonts w:hint="eastAsia" w:ascii="仿宋_GB2312" w:hAnsi="宋体" w:eastAsia="仿宋_GB2312" w:cs="Arial"/>
          <w:szCs w:val="21"/>
        </w:rPr>
        <w:t>16.1本政府采购合同在供需双方法定代表人或其授权代理人签字和加盖公章后生效。</w:t>
      </w:r>
    </w:p>
    <w:p w14:paraId="7C5F5D84">
      <w:pPr>
        <w:spacing w:line="360" w:lineRule="auto"/>
        <w:ind w:firstLine="411" w:firstLineChars="196"/>
        <w:rPr>
          <w:rFonts w:ascii="仿宋_GB2312" w:hAnsi="宋体" w:eastAsia="仿宋_GB2312" w:cs="Arial"/>
          <w:szCs w:val="21"/>
        </w:rPr>
      </w:pPr>
      <w:r>
        <w:rPr>
          <w:rFonts w:hint="eastAsia" w:ascii="仿宋_GB2312" w:hAnsi="宋体" w:eastAsia="仿宋_GB2312" w:cs="Arial"/>
          <w:szCs w:val="21"/>
        </w:rPr>
        <w:t>16.2本政府采购合同一式五份，需方执二份，供方、</w:t>
      </w:r>
      <w:r>
        <w:rPr>
          <w:rFonts w:hint="eastAsia" w:ascii="仿宋_GB2312" w:hAnsi="宋体" w:eastAsia="仿宋_GB2312" w:cs="Lucida Sans Unicode"/>
          <w:szCs w:val="21"/>
        </w:rPr>
        <w:t>采购代理机构</w:t>
      </w:r>
      <w:r>
        <w:rPr>
          <w:rFonts w:hint="eastAsia" w:ascii="仿宋_GB2312" w:hAnsi="宋体" w:eastAsia="仿宋_GB2312" w:cs="Arial"/>
          <w:szCs w:val="21"/>
        </w:rPr>
        <w:t xml:space="preserve">、财政部门各执一份。 </w:t>
      </w:r>
    </w:p>
    <w:p w14:paraId="20DB2B1E">
      <w:pPr>
        <w:spacing w:line="360" w:lineRule="auto"/>
        <w:ind w:firstLine="411" w:firstLineChars="196"/>
        <w:rPr>
          <w:rFonts w:ascii="仿宋_GB2312" w:hAnsi="宋体" w:eastAsia="仿宋_GB2312" w:cs="Arial"/>
          <w:b/>
          <w:szCs w:val="21"/>
        </w:rPr>
      </w:pPr>
      <w:r>
        <w:rPr>
          <w:rFonts w:hint="eastAsia" w:ascii="仿宋_GB2312" w:hAnsi="宋体" w:eastAsia="仿宋_GB2312" w:cs="Arial"/>
          <w:b/>
          <w:szCs w:val="21"/>
        </w:rPr>
        <w:t>17.政府采购合同附件</w:t>
      </w:r>
    </w:p>
    <w:p w14:paraId="021C60F3">
      <w:pPr>
        <w:spacing w:line="360" w:lineRule="auto"/>
        <w:ind w:firstLine="411" w:firstLineChars="196"/>
        <w:rPr>
          <w:rFonts w:ascii="仿宋_GB2312" w:hAnsi="宋体" w:eastAsia="仿宋_GB2312" w:cs="Arial"/>
          <w:szCs w:val="21"/>
        </w:rPr>
      </w:pPr>
      <w:r>
        <w:rPr>
          <w:rFonts w:hint="eastAsia" w:ascii="仿宋_GB2312" w:hAnsi="宋体" w:eastAsia="仿宋_GB2312" w:cs="Arial"/>
          <w:szCs w:val="21"/>
        </w:rPr>
        <w:t>下列文件构成本政府采购合同不可分割的组成部分，与本政府采购合同具有同等法律效力：</w:t>
      </w:r>
    </w:p>
    <w:p w14:paraId="525B97BF">
      <w:pPr>
        <w:spacing w:line="360" w:lineRule="auto"/>
        <w:ind w:firstLine="411" w:firstLineChars="196"/>
        <w:rPr>
          <w:rFonts w:ascii="仿宋_GB2312" w:hAnsi="宋体" w:eastAsia="仿宋_GB2312" w:cs="Arial"/>
          <w:szCs w:val="21"/>
        </w:rPr>
      </w:pPr>
      <w:r>
        <w:rPr>
          <w:rFonts w:hint="eastAsia" w:ascii="仿宋_GB2312" w:hAnsi="宋体" w:eastAsia="仿宋_GB2312" w:cs="Arial"/>
          <w:szCs w:val="21"/>
        </w:rPr>
        <w:t>17.1</w:t>
      </w:r>
      <w:r>
        <w:rPr>
          <w:rFonts w:hint="eastAsia" w:ascii="仿宋_GB2312" w:hAnsi="宋体" w:eastAsia="仿宋_GB2312"/>
          <w:szCs w:val="21"/>
        </w:rPr>
        <w:t>招标文件；</w:t>
      </w:r>
    </w:p>
    <w:p w14:paraId="51613512">
      <w:pPr>
        <w:spacing w:line="360" w:lineRule="auto"/>
        <w:ind w:firstLine="420" w:firstLineChars="200"/>
        <w:jc w:val="left"/>
        <w:rPr>
          <w:rFonts w:ascii="仿宋_GB2312" w:hAnsi="宋体" w:eastAsia="仿宋_GB2312" w:cs="Arial"/>
          <w:szCs w:val="21"/>
        </w:rPr>
      </w:pPr>
      <w:r>
        <w:rPr>
          <w:rFonts w:hint="eastAsia" w:ascii="仿宋_GB2312" w:hAnsi="宋体" w:eastAsia="仿宋_GB2312" w:cs="Arial"/>
          <w:szCs w:val="21"/>
        </w:rPr>
        <w:t>17.2招标文件的更正公告、变更公告；</w:t>
      </w:r>
    </w:p>
    <w:p w14:paraId="1496CB8F">
      <w:pPr>
        <w:spacing w:line="360" w:lineRule="auto"/>
        <w:ind w:firstLine="420" w:firstLineChars="200"/>
        <w:jc w:val="left"/>
        <w:rPr>
          <w:rFonts w:ascii="仿宋_GB2312" w:hAnsi="宋体" w:eastAsia="仿宋_GB2312" w:cs="Arial"/>
          <w:szCs w:val="21"/>
        </w:rPr>
      </w:pPr>
      <w:r>
        <w:rPr>
          <w:rFonts w:hint="eastAsia" w:ascii="仿宋_GB2312" w:hAnsi="宋体" w:eastAsia="仿宋_GB2312" w:cs="Arial"/>
          <w:szCs w:val="21"/>
        </w:rPr>
        <w:t xml:space="preserve">17.3中标供应商提交的投标文件；        </w:t>
      </w:r>
    </w:p>
    <w:p w14:paraId="4424D270">
      <w:pPr>
        <w:spacing w:line="360" w:lineRule="auto"/>
        <w:ind w:firstLine="420" w:firstLineChars="200"/>
        <w:jc w:val="left"/>
        <w:rPr>
          <w:rFonts w:ascii="仿宋_GB2312" w:hAnsi="宋体" w:eastAsia="仿宋_GB2312"/>
          <w:szCs w:val="21"/>
        </w:rPr>
      </w:pPr>
      <w:r>
        <w:rPr>
          <w:rFonts w:hint="eastAsia" w:ascii="仿宋_GB2312" w:hAnsi="宋体" w:eastAsia="仿宋_GB2312" w:cs="Arial"/>
          <w:szCs w:val="21"/>
        </w:rPr>
        <w:t>17.4</w:t>
      </w:r>
      <w:r>
        <w:rPr>
          <w:rFonts w:hint="eastAsia" w:ascii="仿宋_GB2312" w:hAnsi="宋体" w:eastAsia="仿宋_GB2312"/>
          <w:szCs w:val="21"/>
        </w:rPr>
        <w:t>政府采购合同条款；</w:t>
      </w:r>
    </w:p>
    <w:p w14:paraId="1B238755">
      <w:pPr>
        <w:spacing w:line="360" w:lineRule="auto"/>
        <w:ind w:firstLine="411" w:firstLineChars="196"/>
        <w:rPr>
          <w:rFonts w:ascii="仿宋_GB2312" w:hAnsi="宋体" w:eastAsia="仿宋_GB2312" w:cs="Arial"/>
          <w:szCs w:val="21"/>
        </w:rPr>
      </w:pPr>
      <w:r>
        <w:rPr>
          <w:rFonts w:hint="eastAsia" w:ascii="仿宋_GB2312" w:hAnsi="宋体" w:eastAsia="仿宋_GB2312" w:cs="Arial"/>
          <w:szCs w:val="21"/>
        </w:rPr>
        <w:t>17.5中标通知书；</w:t>
      </w:r>
    </w:p>
    <w:p w14:paraId="65D0A936">
      <w:pPr>
        <w:spacing w:line="360" w:lineRule="auto"/>
        <w:ind w:firstLine="420" w:firstLineChars="200"/>
        <w:jc w:val="left"/>
        <w:rPr>
          <w:rFonts w:ascii="仿宋_GB2312" w:hAnsi="宋体" w:eastAsia="仿宋_GB2312"/>
          <w:szCs w:val="21"/>
        </w:rPr>
      </w:pPr>
      <w:r>
        <w:rPr>
          <w:rFonts w:hint="eastAsia" w:ascii="仿宋_GB2312" w:hAnsi="宋体" w:eastAsia="仿宋_GB2312" w:cs="Arial"/>
          <w:szCs w:val="21"/>
        </w:rPr>
        <w:t>17.6政府采购合同的其它附件。</w:t>
      </w:r>
    </w:p>
    <w:p w14:paraId="6B106FC0">
      <w:pPr>
        <w:ind w:firstLine="470" w:firstLineChars="196"/>
        <w:rPr>
          <w:rFonts w:ascii="仿宋_GB2312" w:hAnsi="宋体" w:eastAsia="仿宋_GB2312"/>
          <w:sz w:val="24"/>
        </w:rPr>
      </w:pPr>
    </w:p>
    <w:p w14:paraId="4FEE2F58">
      <w:pPr>
        <w:pStyle w:val="2"/>
        <w:rPr>
          <w:rFonts w:ascii="仿宋_GB2312" w:hAnsi="宋体" w:eastAsia="仿宋_GB2312"/>
          <w:sz w:val="24"/>
        </w:rPr>
      </w:pPr>
    </w:p>
    <w:p w14:paraId="5C0FE823">
      <w:pPr>
        <w:pStyle w:val="2"/>
        <w:rPr>
          <w:rFonts w:ascii="仿宋_GB2312" w:hAnsi="宋体" w:eastAsia="仿宋_GB2312"/>
          <w:sz w:val="24"/>
        </w:rPr>
      </w:pPr>
    </w:p>
    <w:p w14:paraId="39E95367">
      <w:pPr>
        <w:pStyle w:val="2"/>
        <w:rPr>
          <w:rFonts w:ascii="仿宋_GB2312" w:hAnsi="宋体" w:eastAsia="仿宋_GB2312"/>
          <w:sz w:val="24"/>
        </w:rPr>
      </w:pPr>
    </w:p>
    <w:p w14:paraId="572E442D">
      <w:pPr>
        <w:pStyle w:val="2"/>
        <w:rPr>
          <w:rFonts w:ascii="仿宋_GB2312" w:hAnsi="宋体" w:eastAsia="仿宋_GB2312"/>
          <w:sz w:val="24"/>
        </w:rPr>
      </w:pPr>
    </w:p>
    <w:p w14:paraId="67544486">
      <w:pPr>
        <w:pStyle w:val="2"/>
        <w:rPr>
          <w:rFonts w:ascii="仿宋_GB2312" w:hAnsi="宋体" w:eastAsia="仿宋_GB2312"/>
          <w:sz w:val="24"/>
        </w:rPr>
      </w:pPr>
    </w:p>
    <w:p w14:paraId="513D7606">
      <w:pPr>
        <w:pStyle w:val="5"/>
        <w:adjustRightInd w:val="0"/>
        <w:snapToGrid w:val="0"/>
        <w:spacing w:line="240" w:lineRule="auto"/>
        <w:jc w:val="left"/>
        <w:rPr>
          <w:rFonts w:ascii="仿宋_GB2312" w:hAnsi="宋体" w:eastAsia="仿宋_GB2312"/>
          <w:sz w:val="21"/>
          <w:szCs w:val="21"/>
        </w:rPr>
      </w:pPr>
      <w:bookmarkStart w:id="127" w:name="_Toc372_WPSOffice_Level1"/>
      <w:bookmarkStart w:id="128" w:name="_Toc3044_WPSOffice_Level1"/>
      <w:bookmarkStart w:id="129" w:name="_Toc7342_WPSOffice_Level1"/>
      <w:r>
        <w:rPr>
          <w:rFonts w:hint="eastAsia" w:ascii="仿宋_GB2312" w:hAnsi="仿宋_GB2312" w:eastAsia="仿宋_GB2312" w:cs="仿宋_GB2312"/>
          <w:szCs w:val="28"/>
        </w:rPr>
        <w:t>合同格式</w:t>
      </w:r>
      <w:bookmarkEnd w:id="127"/>
      <w:bookmarkEnd w:id="128"/>
      <w:bookmarkEnd w:id="129"/>
    </w:p>
    <w:p w14:paraId="2732AA0E">
      <w:pPr>
        <w:spacing w:before="319" w:beforeLines="100" w:after="319" w:afterLines="100" w:line="360" w:lineRule="auto"/>
        <w:jc w:val="center"/>
        <w:rPr>
          <w:rFonts w:ascii="宋体"/>
          <w:b/>
          <w:sz w:val="36"/>
          <w:szCs w:val="36"/>
        </w:rPr>
      </w:pPr>
      <w:r>
        <w:rPr>
          <w:rFonts w:hint="eastAsia" w:ascii="宋体" w:hAnsi="宋体"/>
          <w:b/>
          <w:sz w:val="36"/>
          <w:szCs w:val="36"/>
        </w:rPr>
        <w:t>政府采购合同格式</w:t>
      </w:r>
    </w:p>
    <w:p w14:paraId="0F73470D">
      <w:pPr>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政府采购合同编号：</w:t>
      </w:r>
    </w:p>
    <w:p w14:paraId="32212EFC">
      <w:pPr>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签订地点：</w:t>
      </w:r>
    </w:p>
    <w:p w14:paraId="60CA2D80">
      <w:pPr>
        <w:spacing w:line="360" w:lineRule="auto"/>
        <w:ind w:firstLine="640"/>
        <w:jc w:val="left"/>
        <w:rPr>
          <w:rFonts w:ascii="仿宋_GB2312" w:hAnsi="宋体" w:eastAsia="仿宋_GB2312"/>
          <w:szCs w:val="21"/>
        </w:rPr>
      </w:pPr>
      <w:r>
        <w:rPr>
          <w:rFonts w:hint="eastAsia" w:ascii="仿宋_GB2312" w:hAnsi="宋体" w:eastAsia="仿宋_GB2312"/>
          <w:szCs w:val="21"/>
          <w:u w:val="single"/>
        </w:rPr>
        <w:t xml:space="preserve">    (需方名称</w:t>
      </w:r>
      <w:r>
        <w:rPr>
          <w:rFonts w:hint="eastAsia" w:ascii="仿宋_GB2312" w:hAnsi="宋体" w:eastAsia="仿宋_GB2312"/>
          <w:szCs w:val="21"/>
        </w:rPr>
        <w:t>)</w:t>
      </w:r>
      <w:r>
        <w:rPr>
          <w:rFonts w:hint="eastAsia" w:ascii="仿宋_GB2312" w:hAnsi="宋体" w:eastAsia="仿宋_GB2312"/>
          <w:szCs w:val="21"/>
          <w:u w:val="single"/>
        </w:rPr>
        <w:t xml:space="preserve">            </w:t>
      </w:r>
      <w:r>
        <w:rPr>
          <w:rFonts w:hint="eastAsia" w:ascii="仿宋_GB2312" w:hAnsi="宋体" w:eastAsia="仿宋_GB2312"/>
          <w:szCs w:val="21"/>
        </w:rPr>
        <w:t xml:space="preserve"> （以下简称需方）和</w:t>
      </w:r>
      <w:r>
        <w:rPr>
          <w:rFonts w:hint="eastAsia" w:ascii="仿宋_GB2312" w:hAnsi="宋体" w:eastAsia="仿宋_GB2312"/>
          <w:szCs w:val="21"/>
          <w:u w:val="single"/>
        </w:rPr>
        <w:t xml:space="preserve">   (供方名称)    </w:t>
      </w:r>
      <w:r>
        <w:rPr>
          <w:rFonts w:hint="eastAsia" w:ascii="仿宋_GB2312" w:hAnsi="宋体" w:eastAsia="仿宋_GB2312"/>
          <w:szCs w:val="21"/>
        </w:rPr>
        <w:t xml:space="preserve"> （以下简称供方）根据《中华人民共和国合同法》和有关法律法规，遵循平等、自愿、公平和诚实信用原则，同意按照下面的条款和条件订立本政府采购合同，共同信守。</w:t>
      </w:r>
    </w:p>
    <w:p w14:paraId="5B34A14C">
      <w:pPr>
        <w:spacing w:line="360" w:lineRule="auto"/>
        <w:jc w:val="left"/>
        <w:rPr>
          <w:rFonts w:ascii="黑体" w:hAnsi="宋体" w:eastAsia="黑体"/>
          <w:b/>
          <w:szCs w:val="21"/>
        </w:rPr>
      </w:pPr>
      <w:r>
        <w:rPr>
          <w:rFonts w:hint="eastAsia" w:ascii="黑体" w:hAnsi="宋体" w:eastAsia="黑体"/>
          <w:b/>
          <w:szCs w:val="21"/>
        </w:rPr>
        <w:t>　　一、政府采购合同文件</w:t>
      </w:r>
    </w:p>
    <w:p w14:paraId="4438F3AC">
      <w:pPr>
        <w:spacing w:line="360" w:lineRule="auto"/>
        <w:jc w:val="left"/>
        <w:rPr>
          <w:rFonts w:ascii="仿宋_GB2312" w:hAnsi="宋体" w:eastAsia="仿宋_GB2312"/>
          <w:szCs w:val="21"/>
        </w:rPr>
      </w:pPr>
      <w:r>
        <w:rPr>
          <w:rFonts w:hint="eastAsia" w:ascii="仿宋_GB2312" w:hAnsi="宋体" w:eastAsia="仿宋_GB2312"/>
          <w:szCs w:val="21"/>
        </w:rPr>
        <w:t xml:space="preserve">    本政府采购合同所附下列文件是构成本政府采购合同不可分割的部分：</w:t>
      </w:r>
    </w:p>
    <w:p w14:paraId="27E640CB">
      <w:pPr>
        <w:spacing w:line="360" w:lineRule="auto"/>
        <w:ind w:firstLine="420" w:firstLineChars="200"/>
        <w:jc w:val="left"/>
        <w:rPr>
          <w:rFonts w:ascii="仿宋_GB2312" w:hAnsi="宋体" w:eastAsia="仿宋_GB2312"/>
          <w:szCs w:val="21"/>
        </w:rPr>
      </w:pPr>
      <w:r>
        <w:rPr>
          <w:rFonts w:hint="eastAsia" w:ascii="黑体" w:hAnsi="宋体" w:eastAsia="黑体"/>
          <w:szCs w:val="21"/>
        </w:rPr>
        <w:t>1.</w:t>
      </w:r>
      <w:r>
        <w:rPr>
          <w:rFonts w:hint="eastAsia" w:ascii="仿宋_GB2312" w:hAnsi="宋体" w:eastAsia="仿宋_GB2312"/>
          <w:szCs w:val="21"/>
        </w:rPr>
        <w:t>招标文件（招标文件编号</w:t>
      </w:r>
      <w:r>
        <w:rPr>
          <w:rFonts w:hint="eastAsia" w:ascii="仿宋_GB2312" w:hAnsi="宋体" w:eastAsia="仿宋_GB2312"/>
          <w:szCs w:val="21"/>
          <w:u w:val="single"/>
        </w:rPr>
        <w:t xml:space="preserve">           </w:t>
      </w:r>
      <w:r>
        <w:rPr>
          <w:rFonts w:hint="eastAsia" w:ascii="仿宋_GB2312" w:hAnsi="宋体" w:eastAsia="仿宋_GB2312"/>
          <w:szCs w:val="21"/>
        </w:rPr>
        <w:t>）；</w:t>
      </w:r>
    </w:p>
    <w:p w14:paraId="3DD541FB">
      <w:pPr>
        <w:spacing w:line="360" w:lineRule="auto"/>
        <w:ind w:firstLine="420" w:firstLineChars="200"/>
        <w:jc w:val="left"/>
        <w:rPr>
          <w:rFonts w:ascii="仿宋_GB2312" w:hAnsi="宋体" w:eastAsia="仿宋_GB2312" w:cs="Arial"/>
          <w:szCs w:val="21"/>
        </w:rPr>
      </w:pPr>
      <w:r>
        <w:rPr>
          <w:rFonts w:hint="eastAsia" w:ascii="黑体" w:hAnsi="宋体" w:eastAsia="黑体"/>
          <w:szCs w:val="21"/>
        </w:rPr>
        <w:t>2.</w:t>
      </w:r>
      <w:r>
        <w:rPr>
          <w:rFonts w:hint="eastAsia" w:ascii="仿宋_GB2312" w:hAnsi="宋体" w:eastAsia="仿宋_GB2312" w:cs="Arial"/>
          <w:szCs w:val="21"/>
        </w:rPr>
        <w:t>招标文件的更正公告、变更公告；</w:t>
      </w:r>
    </w:p>
    <w:p w14:paraId="42F62524">
      <w:pPr>
        <w:spacing w:line="360" w:lineRule="auto"/>
        <w:ind w:firstLine="420" w:firstLineChars="200"/>
        <w:jc w:val="left"/>
        <w:rPr>
          <w:rFonts w:ascii="仿宋_GB2312" w:hAnsi="宋体" w:eastAsia="仿宋_GB2312"/>
          <w:szCs w:val="21"/>
        </w:rPr>
      </w:pPr>
      <w:r>
        <w:rPr>
          <w:rFonts w:hint="eastAsia" w:ascii="黑体" w:hAnsi="宋体" w:eastAsia="黑体"/>
          <w:szCs w:val="21"/>
        </w:rPr>
        <w:t>3.</w:t>
      </w:r>
      <w:r>
        <w:rPr>
          <w:rFonts w:hint="eastAsia" w:ascii="仿宋_GB2312" w:hAnsi="宋体" w:eastAsia="仿宋_GB2312"/>
          <w:szCs w:val="21"/>
        </w:rPr>
        <w:t>中标供应商提交的投标文件；</w:t>
      </w:r>
    </w:p>
    <w:p w14:paraId="5BAECBD0">
      <w:pPr>
        <w:spacing w:line="360" w:lineRule="auto"/>
        <w:ind w:firstLine="420" w:firstLineChars="200"/>
        <w:jc w:val="left"/>
        <w:rPr>
          <w:rFonts w:ascii="仿宋_GB2312" w:hAnsi="宋体" w:eastAsia="仿宋_GB2312"/>
          <w:szCs w:val="21"/>
        </w:rPr>
      </w:pPr>
      <w:r>
        <w:rPr>
          <w:rFonts w:hint="eastAsia" w:ascii="黑体" w:hAnsi="宋体" w:eastAsia="黑体"/>
          <w:szCs w:val="21"/>
        </w:rPr>
        <w:t>4.</w:t>
      </w:r>
      <w:r>
        <w:rPr>
          <w:rFonts w:hint="eastAsia" w:ascii="仿宋_GB2312" w:hAnsi="宋体" w:eastAsia="仿宋_GB2312"/>
          <w:szCs w:val="21"/>
        </w:rPr>
        <w:t>政府采购合同条款；</w:t>
      </w:r>
    </w:p>
    <w:p w14:paraId="5CA05B36">
      <w:pPr>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5</w:t>
      </w:r>
      <w:r>
        <w:rPr>
          <w:rFonts w:hint="eastAsia" w:ascii="黑体" w:hAnsi="宋体" w:eastAsia="黑体"/>
          <w:szCs w:val="21"/>
        </w:rPr>
        <w:t>.</w:t>
      </w:r>
      <w:r>
        <w:rPr>
          <w:rFonts w:hint="eastAsia" w:ascii="仿宋_GB2312" w:hAnsi="宋体" w:eastAsia="仿宋_GB2312"/>
          <w:szCs w:val="21"/>
        </w:rPr>
        <w:t>中标通知书；</w:t>
      </w:r>
    </w:p>
    <w:p w14:paraId="2B80EAAD">
      <w:pPr>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6</w:t>
      </w:r>
      <w:r>
        <w:rPr>
          <w:rFonts w:hint="eastAsia" w:ascii="黑体" w:hAnsi="宋体" w:eastAsia="黑体"/>
          <w:szCs w:val="21"/>
        </w:rPr>
        <w:t>.</w:t>
      </w:r>
      <w:r>
        <w:rPr>
          <w:rFonts w:hint="eastAsia" w:ascii="仿宋_GB2312" w:hAnsi="宋体" w:eastAsia="仿宋_GB2312" w:cs="Arial"/>
          <w:szCs w:val="21"/>
        </w:rPr>
        <w:t>政府采购合同的其它附件。</w:t>
      </w:r>
    </w:p>
    <w:p w14:paraId="31EA7697">
      <w:pPr>
        <w:spacing w:line="360" w:lineRule="auto"/>
        <w:jc w:val="left"/>
        <w:rPr>
          <w:rFonts w:ascii="黑体" w:hAnsi="宋体" w:eastAsia="黑体"/>
          <w:b/>
          <w:szCs w:val="21"/>
        </w:rPr>
      </w:pPr>
      <w:r>
        <w:rPr>
          <w:rFonts w:hint="eastAsia" w:ascii="黑体" w:hAnsi="宋体" w:eastAsia="黑体"/>
          <w:b/>
          <w:szCs w:val="21"/>
        </w:rPr>
        <w:t>　　二、政府采购合同范围和条件</w:t>
      </w:r>
    </w:p>
    <w:p w14:paraId="66F266F5">
      <w:pPr>
        <w:spacing w:line="360" w:lineRule="auto"/>
        <w:jc w:val="left"/>
        <w:rPr>
          <w:rFonts w:ascii="仿宋_GB2312" w:hAnsi="宋体" w:eastAsia="仿宋_GB2312"/>
          <w:szCs w:val="21"/>
        </w:rPr>
      </w:pPr>
      <w:r>
        <w:rPr>
          <w:rFonts w:hint="eastAsia" w:ascii="仿宋_GB2312" w:hAnsi="宋体" w:eastAsia="仿宋_GB2312"/>
          <w:szCs w:val="21"/>
        </w:rPr>
        <w:t xml:space="preserve">    本政府采购合同的范围和条件与上述政府采购合同文件的规定相一致。</w:t>
      </w:r>
    </w:p>
    <w:p w14:paraId="14965F52">
      <w:pPr>
        <w:spacing w:line="360" w:lineRule="auto"/>
        <w:jc w:val="left"/>
        <w:rPr>
          <w:rFonts w:ascii="黑体" w:hAnsi="宋体" w:eastAsia="黑体"/>
          <w:b/>
          <w:szCs w:val="21"/>
        </w:rPr>
      </w:pPr>
      <w:r>
        <w:rPr>
          <w:rFonts w:hint="eastAsia" w:ascii="黑体" w:hAnsi="宋体" w:eastAsia="黑体"/>
          <w:b/>
          <w:szCs w:val="21"/>
        </w:rPr>
        <w:t>　　三、政府采购合同标的</w:t>
      </w:r>
    </w:p>
    <w:p w14:paraId="79C9D56C">
      <w:pPr>
        <w:spacing w:line="360" w:lineRule="auto"/>
        <w:jc w:val="left"/>
        <w:rPr>
          <w:rFonts w:ascii="仿宋_GB2312" w:hAnsi="宋体" w:eastAsia="仿宋_GB2312"/>
          <w:szCs w:val="21"/>
        </w:rPr>
      </w:pPr>
      <w:r>
        <w:rPr>
          <w:rFonts w:hint="eastAsia" w:ascii="仿宋_GB2312" w:hAnsi="宋体" w:eastAsia="仿宋_GB2312"/>
          <w:szCs w:val="21"/>
        </w:rPr>
        <w:t xml:space="preserve">    </w:t>
      </w:r>
      <w:r>
        <w:rPr>
          <w:rFonts w:hint="eastAsia" w:ascii="仿宋_GB2312" w:hAnsi="仿宋_GB2312" w:eastAsia="仿宋_GB2312" w:cs="仿宋_GB2312"/>
          <w:szCs w:val="21"/>
        </w:rPr>
        <w:t>本政府采购合同的标的为招标文件中所列相关服务。</w:t>
      </w:r>
      <w:r>
        <w:rPr>
          <w:rFonts w:hint="eastAsia" w:ascii="仿宋_GB2312" w:hAnsi="宋体" w:eastAsia="仿宋_GB2312"/>
          <w:szCs w:val="21"/>
        </w:rPr>
        <w:t>。</w:t>
      </w:r>
    </w:p>
    <w:p w14:paraId="1AFA6992">
      <w:pPr>
        <w:spacing w:line="360" w:lineRule="auto"/>
        <w:jc w:val="left"/>
        <w:rPr>
          <w:rFonts w:ascii="黑体" w:hAnsi="宋体" w:eastAsia="黑体"/>
          <w:b/>
          <w:szCs w:val="21"/>
        </w:rPr>
      </w:pPr>
      <w:r>
        <w:rPr>
          <w:rFonts w:hint="eastAsia" w:ascii="黑体" w:hAnsi="宋体" w:eastAsia="黑体"/>
          <w:b/>
          <w:szCs w:val="21"/>
        </w:rPr>
        <w:t>　　四、政府采购合同金额</w:t>
      </w:r>
    </w:p>
    <w:p w14:paraId="55366323">
      <w:pPr>
        <w:spacing w:line="360" w:lineRule="auto"/>
        <w:jc w:val="left"/>
        <w:rPr>
          <w:rFonts w:ascii="仿宋_GB2312" w:hAnsi="宋体" w:eastAsia="仿宋_GB2312"/>
          <w:szCs w:val="21"/>
        </w:rPr>
      </w:pPr>
      <w:r>
        <w:rPr>
          <w:rFonts w:hint="eastAsia" w:ascii="仿宋_GB2312" w:hAnsi="宋体" w:eastAsia="仿宋_GB2312"/>
          <w:szCs w:val="21"/>
        </w:rPr>
        <w:t xml:space="preserve">    根据上述政府采购合同文件要求，政府采购合同的总金额为人民币</w:t>
      </w:r>
      <w:r>
        <w:rPr>
          <w:rFonts w:hint="eastAsia" w:ascii="仿宋_GB2312" w:hAnsi="宋体" w:eastAsia="仿宋_GB2312"/>
          <w:szCs w:val="21"/>
          <w:u w:val="single"/>
        </w:rPr>
        <w:t xml:space="preserve">  （大写）                </w:t>
      </w:r>
      <w:r>
        <w:rPr>
          <w:rFonts w:hint="eastAsia" w:ascii="仿宋_GB2312" w:hAnsi="宋体" w:eastAsia="仿宋_GB2312"/>
          <w:szCs w:val="21"/>
        </w:rPr>
        <w:t xml:space="preserve"> 元。</w:t>
      </w:r>
    </w:p>
    <w:p w14:paraId="043C9667">
      <w:pPr>
        <w:spacing w:line="360" w:lineRule="auto"/>
        <w:jc w:val="left"/>
        <w:rPr>
          <w:rFonts w:ascii="黑体" w:hAnsi="宋体" w:eastAsia="黑体"/>
          <w:b/>
          <w:szCs w:val="21"/>
        </w:rPr>
      </w:pPr>
      <w:r>
        <w:rPr>
          <w:rFonts w:hint="eastAsia" w:ascii="黑体" w:hAnsi="宋体" w:eastAsia="黑体"/>
          <w:b/>
          <w:szCs w:val="21"/>
        </w:rPr>
        <w:t>　  五、付款方式及条件</w:t>
      </w:r>
    </w:p>
    <w:p w14:paraId="6FC8AA9B">
      <w:pPr>
        <w:spacing w:line="360" w:lineRule="auto"/>
        <w:jc w:val="left"/>
        <w:rPr>
          <w:rFonts w:ascii="黑体" w:hAnsi="宋体" w:eastAsia="黑体"/>
          <w:b/>
          <w:szCs w:val="21"/>
        </w:rPr>
      </w:pPr>
    </w:p>
    <w:p w14:paraId="693078DB">
      <w:pPr>
        <w:spacing w:line="360" w:lineRule="auto"/>
        <w:jc w:val="left"/>
        <w:rPr>
          <w:rFonts w:ascii="仿宋_GB2312" w:hAnsi="宋体" w:eastAsia="仿宋_GB2312"/>
          <w:szCs w:val="21"/>
        </w:rPr>
      </w:pPr>
      <w:r>
        <w:rPr>
          <w:rFonts w:hint="eastAsia" w:ascii="黑体" w:hAnsi="宋体" w:eastAsia="黑体"/>
          <w:b/>
          <w:szCs w:val="21"/>
        </w:rPr>
        <w:t>　　六、服务时间和服务地点</w:t>
      </w:r>
      <w:r>
        <w:rPr>
          <w:rFonts w:hint="eastAsia" w:ascii="仿宋_GB2312" w:hAnsi="宋体" w:eastAsia="仿宋_GB2312"/>
          <w:szCs w:val="21"/>
        </w:rPr>
        <w:t xml:space="preserve">   </w:t>
      </w:r>
    </w:p>
    <w:p w14:paraId="29030D81">
      <w:pPr>
        <w:spacing w:line="360" w:lineRule="auto"/>
        <w:jc w:val="left"/>
        <w:rPr>
          <w:rFonts w:ascii="仿宋_GB2312" w:hAnsi="宋体" w:eastAsia="仿宋_GB2312"/>
          <w:szCs w:val="21"/>
          <w:u w:val="single"/>
        </w:rPr>
      </w:pPr>
      <w:r>
        <w:rPr>
          <w:rFonts w:hint="eastAsia" w:ascii="仿宋_GB2312" w:hAnsi="宋体" w:eastAsia="仿宋_GB2312"/>
          <w:szCs w:val="21"/>
        </w:rPr>
        <w:t xml:space="preserve">    1.服务时间：</w:t>
      </w:r>
      <w:r>
        <w:rPr>
          <w:rFonts w:hint="eastAsia" w:ascii="仿宋_GB2312" w:hAnsi="宋体" w:eastAsia="仿宋_GB2312"/>
          <w:szCs w:val="21"/>
          <w:u w:val="single"/>
        </w:rPr>
        <w:t xml:space="preserve">        </w:t>
      </w:r>
    </w:p>
    <w:p w14:paraId="1DE507A3">
      <w:pPr>
        <w:spacing w:line="360" w:lineRule="auto"/>
        <w:jc w:val="left"/>
        <w:rPr>
          <w:rFonts w:ascii="仿宋_GB2312" w:hAnsi="宋体" w:eastAsia="仿宋_GB2312"/>
          <w:szCs w:val="21"/>
          <w:u w:val="single"/>
        </w:rPr>
      </w:pPr>
      <w:r>
        <w:rPr>
          <w:rFonts w:hint="eastAsia" w:ascii="仿宋_GB2312" w:hAnsi="宋体" w:eastAsia="仿宋_GB2312"/>
          <w:szCs w:val="21"/>
        </w:rPr>
        <w:t xml:space="preserve">    2.服务地点：</w:t>
      </w:r>
      <w:r>
        <w:rPr>
          <w:rFonts w:hint="eastAsia" w:ascii="仿宋_GB2312" w:hAnsi="宋体" w:eastAsia="仿宋_GB2312"/>
          <w:szCs w:val="21"/>
          <w:u w:val="single"/>
        </w:rPr>
        <w:t xml:space="preserve">        </w:t>
      </w:r>
    </w:p>
    <w:p w14:paraId="6637FCD9">
      <w:pPr>
        <w:spacing w:line="360" w:lineRule="auto"/>
        <w:jc w:val="left"/>
        <w:rPr>
          <w:rFonts w:ascii="黑体" w:hAnsi="宋体" w:eastAsia="黑体"/>
          <w:b/>
          <w:szCs w:val="21"/>
        </w:rPr>
      </w:pPr>
      <w:r>
        <w:rPr>
          <w:rFonts w:hint="eastAsia" w:ascii="黑体" w:hAnsi="宋体" w:eastAsia="黑体"/>
          <w:b/>
          <w:szCs w:val="21"/>
        </w:rPr>
        <w:t>　　七、验收要求</w:t>
      </w:r>
    </w:p>
    <w:p w14:paraId="7EFB8E14">
      <w:pPr>
        <w:spacing w:line="360" w:lineRule="auto"/>
        <w:jc w:val="left"/>
        <w:rPr>
          <w:rFonts w:ascii="仿宋_GB2312" w:hAnsi="宋体" w:eastAsia="仿宋_GB2312"/>
          <w:szCs w:val="21"/>
          <w:u w:val="single"/>
        </w:rPr>
      </w:pPr>
      <w:r>
        <w:rPr>
          <w:rFonts w:hint="eastAsia" w:ascii="黑体" w:hAnsi="宋体" w:eastAsia="黑体"/>
          <w:b/>
          <w:szCs w:val="21"/>
        </w:rPr>
        <w:t xml:space="preserve">    </w:t>
      </w:r>
      <w:r>
        <w:rPr>
          <w:rFonts w:hint="eastAsia" w:ascii="仿宋_GB2312" w:hAnsi="宋体" w:eastAsia="仿宋_GB2312"/>
          <w:szCs w:val="21"/>
        </w:rPr>
        <w:t>供方完全履行合同义务后，需方或需方的最终用户按照上述政府采购合同文件列明的标准进行验收，验收不合格的，供方需按照第八条的约定承担相应违约责任。</w:t>
      </w:r>
    </w:p>
    <w:p w14:paraId="40A469C8">
      <w:pPr>
        <w:spacing w:line="360" w:lineRule="auto"/>
        <w:jc w:val="left"/>
        <w:rPr>
          <w:rFonts w:ascii="黑体" w:hAnsi="宋体" w:eastAsia="黑体"/>
          <w:b/>
          <w:szCs w:val="21"/>
        </w:rPr>
      </w:pPr>
      <w:r>
        <w:rPr>
          <w:rFonts w:hint="eastAsia" w:ascii="黑体" w:hAnsi="宋体" w:eastAsia="黑体"/>
          <w:b/>
          <w:szCs w:val="21"/>
        </w:rPr>
        <w:t xml:space="preserve">    八、违约责任</w:t>
      </w:r>
    </w:p>
    <w:p w14:paraId="19C87A53">
      <w:pPr>
        <w:spacing w:line="360" w:lineRule="auto"/>
        <w:jc w:val="left"/>
        <w:rPr>
          <w:rFonts w:ascii="仿宋_GB2312" w:hAnsi="宋体" w:eastAsia="仿宋_GB2312"/>
          <w:szCs w:val="21"/>
        </w:rPr>
      </w:pPr>
      <w:r>
        <w:rPr>
          <w:rFonts w:hint="eastAsia" w:ascii="仿宋_GB2312" w:hAnsi="宋体" w:eastAsia="仿宋_GB2312"/>
          <w:szCs w:val="21"/>
        </w:rPr>
        <w:t xml:space="preserve">    1.供方逾期提供服务的，每逾期一天向需方支付合同金额</w:t>
      </w:r>
      <w:r>
        <w:rPr>
          <w:rFonts w:hint="eastAsia" w:ascii="仿宋_GB2312" w:hAnsi="宋体" w:eastAsia="仿宋_GB2312"/>
          <w:szCs w:val="21"/>
          <w:u w:val="single"/>
        </w:rPr>
        <w:t xml:space="preserve">  </w:t>
      </w:r>
      <w:r>
        <w:rPr>
          <w:rFonts w:hint="eastAsia" w:ascii="仿宋_GB2312" w:hAnsi="宋体" w:eastAsia="仿宋_GB2312"/>
          <w:szCs w:val="21"/>
        </w:rPr>
        <w:t>%的违约金，逾期</w:t>
      </w:r>
      <w:r>
        <w:rPr>
          <w:rFonts w:hint="eastAsia" w:ascii="仿宋_GB2312" w:hAnsi="宋体" w:eastAsia="仿宋_GB2312"/>
          <w:szCs w:val="21"/>
          <w:u w:val="single"/>
        </w:rPr>
        <w:t xml:space="preserve">  </w:t>
      </w:r>
      <w:r>
        <w:rPr>
          <w:rFonts w:hint="eastAsia" w:ascii="仿宋_GB2312" w:hAnsi="宋体" w:eastAsia="仿宋_GB2312"/>
          <w:szCs w:val="21"/>
        </w:rPr>
        <w:t>日的，需方有权单方面解除本协议。</w:t>
      </w:r>
    </w:p>
    <w:p w14:paraId="793796C3">
      <w:pPr>
        <w:spacing w:line="360" w:lineRule="auto"/>
        <w:jc w:val="left"/>
        <w:rPr>
          <w:rFonts w:ascii="仿宋_GB2312" w:hAnsi="宋体" w:eastAsia="仿宋_GB2312"/>
          <w:szCs w:val="21"/>
        </w:rPr>
      </w:pPr>
      <w:r>
        <w:rPr>
          <w:rFonts w:hint="eastAsia" w:ascii="仿宋_GB2312" w:hAnsi="宋体" w:eastAsia="仿宋_GB2312"/>
          <w:szCs w:val="21"/>
        </w:rPr>
        <w:t xml:space="preserve">    2.供方提供的服务不符合约定的，需方有权向供方书面提出整改意见，供方需无条件整改至符合约定，自需方向供方提出书面意见之日起</w:t>
      </w:r>
      <w:r>
        <w:rPr>
          <w:rFonts w:hint="eastAsia" w:ascii="仿宋_GB2312" w:hAnsi="宋体" w:eastAsia="仿宋_GB2312"/>
          <w:szCs w:val="21"/>
          <w:u w:val="single"/>
        </w:rPr>
        <w:t xml:space="preserve">  </w:t>
      </w:r>
      <w:r>
        <w:rPr>
          <w:rFonts w:hint="eastAsia" w:ascii="仿宋_GB2312" w:hAnsi="宋体" w:eastAsia="仿宋_GB2312"/>
          <w:szCs w:val="21"/>
        </w:rPr>
        <w:t>日内，供方仍未整改或整改后服务仍不符合约定的，需方有权单方面解除本协议。</w:t>
      </w:r>
    </w:p>
    <w:p w14:paraId="1BD18C0B">
      <w:pPr>
        <w:spacing w:line="360" w:lineRule="auto"/>
        <w:jc w:val="left"/>
        <w:rPr>
          <w:rFonts w:ascii="仿宋_GB2312" w:hAnsi="宋体" w:eastAsia="仿宋_GB2312"/>
          <w:szCs w:val="21"/>
        </w:rPr>
      </w:pPr>
      <w:r>
        <w:rPr>
          <w:rFonts w:hint="eastAsia" w:ascii="仿宋_GB2312" w:hAnsi="宋体" w:eastAsia="仿宋_GB2312"/>
          <w:szCs w:val="21"/>
        </w:rPr>
        <w:t xml:space="preserve">    3.需方逾期付款的，每逾期一天向供方支付逾期金额</w:t>
      </w:r>
      <w:r>
        <w:rPr>
          <w:rFonts w:hint="eastAsia" w:ascii="仿宋_GB2312" w:hAnsi="宋体" w:eastAsia="仿宋_GB2312"/>
          <w:szCs w:val="21"/>
          <w:u w:val="single"/>
        </w:rPr>
        <w:t xml:space="preserve">  </w:t>
      </w:r>
      <w:r>
        <w:rPr>
          <w:rFonts w:hint="eastAsia" w:ascii="仿宋_GB2312" w:hAnsi="宋体" w:eastAsia="仿宋_GB2312"/>
          <w:szCs w:val="21"/>
        </w:rPr>
        <w:t>%的违约金，逾期</w:t>
      </w:r>
      <w:r>
        <w:rPr>
          <w:rFonts w:hint="eastAsia" w:ascii="仿宋_GB2312" w:hAnsi="宋体" w:eastAsia="仿宋_GB2312"/>
          <w:szCs w:val="21"/>
          <w:u w:val="single"/>
        </w:rPr>
        <w:t xml:space="preserve">  </w:t>
      </w:r>
      <w:r>
        <w:rPr>
          <w:rFonts w:hint="eastAsia" w:ascii="仿宋_GB2312" w:hAnsi="宋体" w:eastAsia="仿宋_GB2312"/>
          <w:szCs w:val="21"/>
        </w:rPr>
        <w:t>日的，供方有权单方面解除本协议。</w:t>
      </w:r>
    </w:p>
    <w:p w14:paraId="2F3DF9A3">
      <w:pPr>
        <w:spacing w:line="360" w:lineRule="auto"/>
        <w:jc w:val="left"/>
        <w:rPr>
          <w:rFonts w:ascii="黑体" w:hAnsi="宋体" w:eastAsia="黑体"/>
          <w:b/>
          <w:szCs w:val="21"/>
        </w:rPr>
      </w:pPr>
      <w:r>
        <w:rPr>
          <w:rFonts w:hint="eastAsia" w:ascii="黑体" w:hAnsi="宋体" w:eastAsia="黑体"/>
          <w:b/>
          <w:szCs w:val="21"/>
        </w:rPr>
        <w:t xml:space="preserve">    九、争议解决</w:t>
      </w:r>
    </w:p>
    <w:p w14:paraId="7BD81EC0">
      <w:pPr>
        <w:spacing w:line="360" w:lineRule="auto"/>
        <w:jc w:val="left"/>
        <w:rPr>
          <w:rFonts w:ascii="仿宋_GB2312" w:hAnsi="宋体" w:eastAsia="仿宋_GB2312"/>
          <w:szCs w:val="21"/>
        </w:rPr>
      </w:pPr>
      <w:r>
        <w:rPr>
          <w:rFonts w:hint="eastAsia" w:ascii="仿宋_GB2312" w:hAnsi="宋体" w:eastAsia="仿宋_GB2312"/>
          <w:szCs w:val="21"/>
        </w:rPr>
        <w:t xml:space="preserve">    双方因履行本协议而产生的争议，应友好协商解决，协商不成的，任何一方可向需方所在地的人民法院提起诉讼。</w:t>
      </w:r>
    </w:p>
    <w:p w14:paraId="6FEC2558">
      <w:pPr>
        <w:spacing w:line="360" w:lineRule="auto"/>
        <w:jc w:val="left"/>
        <w:rPr>
          <w:rFonts w:ascii="黑体" w:hAnsi="宋体" w:eastAsia="黑体"/>
          <w:b/>
          <w:szCs w:val="21"/>
        </w:rPr>
      </w:pPr>
      <w:r>
        <w:rPr>
          <w:rFonts w:hint="eastAsia" w:ascii="黑体" w:hAnsi="宋体" w:eastAsia="黑体"/>
          <w:b/>
          <w:szCs w:val="21"/>
        </w:rPr>
        <w:t xml:space="preserve">    十、合同生效</w:t>
      </w:r>
    </w:p>
    <w:p w14:paraId="0E0CD2F3">
      <w:pPr>
        <w:spacing w:line="360" w:lineRule="auto"/>
        <w:jc w:val="left"/>
        <w:rPr>
          <w:rFonts w:ascii="仿宋_GB2312" w:hAnsi="宋体" w:eastAsia="仿宋_GB2312"/>
          <w:szCs w:val="21"/>
        </w:rPr>
      </w:pPr>
      <w:r>
        <w:rPr>
          <w:rFonts w:hint="eastAsia" w:ascii="仿宋_GB2312" w:hAnsi="宋体" w:eastAsia="仿宋_GB2312"/>
          <w:szCs w:val="21"/>
        </w:rPr>
        <w:t xml:space="preserve">    本政府采购合同经双方授权代表签字盖章后生效。</w:t>
      </w:r>
    </w:p>
    <w:p w14:paraId="3264DFF9">
      <w:pPr>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需方（公章）:                       供方(公章):</w:t>
      </w:r>
    </w:p>
    <w:p w14:paraId="6682F59D">
      <w:pPr>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法定代表人或授权代表人(签字):         法定代表人或授权代表人(签字):</w:t>
      </w:r>
    </w:p>
    <w:p w14:paraId="06502E8D">
      <w:pPr>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地址：</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地址：</w:t>
      </w:r>
      <w:r>
        <w:rPr>
          <w:rFonts w:hint="eastAsia" w:ascii="仿宋_GB2312" w:hAnsi="Lucida Sans Unicode" w:eastAsia="仿宋_GB2312" w:cs="Lucida Sans Unicode"/>
          <w:szCs w:val="21"/>
          <w:u w:val="single"/>
        </w:rPr>
        <w:t xml:space="preserve">                          </w:t>
      </w:r>
    </w:p>
    <w:p w14:paraId="1E537807">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联系人：</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联系人：</w:t>
      </w:r>
      <w:r>
        <w:rPr>
          <w:rFonts w:hint="eastAsia" w:ascii="仿宋_GB2312" w:hAnsi="Lucida Sans Unicode" w:eastAsia="仿宋_GB2312" w:cs="Lucida Sans Unicode"/>
          <w:szCs w:val="21"/>
          <w:u w:val="single"/>
        </w:rPr>
        <w:t xml:space="preserve">                        </w:t>
      </w:r>
    </w:p>
    <w:p w14:paraId="54A94354">
      <w:pPr>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电话：</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电话：</w:t>
      </w:r>
      <w:r>
        <w:rPr>
          <w:rFonts w:hint="eastAsia" w:ascii="仿宋_GB2312" w:hAnsi="Lucida Sans Unicode" w:eastAsia="仿宋_GB2312" w:cs="Lucida Sans Unicode"/>
          <w:szCs w:val="21"/>
          <w:u w:val="single"/>
        </w:rPr>
        <w:t xml:space="preserve">                          </w:t>
      </w:r>
    </w:p>
    <w:p w14:paraId="704453FE">
      <w:pPr>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传真：</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传真：</w:t>
      </w:r>
      <w:r>
        <w:rPr>
          <w:rFonts w:hint="eastAsia" w:ascii="仿宋_GB2312" w:hAnsi="Lucida Sans Unicode" w:eastAsia="仿宋_GB2312" w:cs="Lucida Sans Unicode"/>
          <w:szCs w:val="21"/>
          <w:u w:val="single"/>
        </w:rPr>
        <w:t xml:space="preserve">                          </w:t>
      </w:r>
    </w:p>
    <w:p w14:paraId="68FC1712">
      <w:pPr>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邮编：</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邮编：</w:t>
      </w:r>
      <w:r>
        <w:rPr>
          <w:rFonts w:hint="eastAsia" w:ascii="仿宋_GB2312" w:hAnsi="Lucida Sans Unicode" w:eastAsia="仿宋_GB2312" w:cs="Lucida Sans Unicode"/>
          <w:szCs w:val="21"/>
          <w:u w:val="single"/>
        </w:rPr>
        <w:t xml:space="preserve">                          </w:t>
      </w:r>
    </w:p>
    <w:p w14:paraId="6E94E584">
      <w:pPr>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日期：</w:t>
      </w:r>
      <w:r>
        <w:rPr>
          <w:rFonts w:hint="eastAsia" w:ascii="仿宋_GB2312" w:hAnsi="Lucida Sans Unicode" w:eastAsia="仿宋_GB2312" w:cs="Lucida Sans Unicode"/>
          <w:szCs w:val="21"/>
          <w:u w:val="single"/>
        </w:rPr>
        <w:t xml:space="preserve">      年      月      日</w:t>
      </w:r>
      <w:r>
        <w:rPr>
          <w:rFonts w:hint="eastAsia" w:ascii="仿宋_GB2312" w:hAnsi="Lucida Sans Unicode" w:eastAsia="仿宋_GB2312" w:cs="Lucida Sans Unicode"/>
          <w:szCs w:val="21"/>
        </w:rPr>
        <w:t xml:space="preserve">      日期：</w:t>
      </w:r>
      <w:r>
        <w:rPr>
          <w:rFonts w:hint="eastAsia" w:ascii="仿宋_GB2312" w:hAnsi="Lucida Sans Unicode" w:eastAsia="仿宋_GB2312" w:cs="Lucida Sans Unicode"/>
          <w:szCs w:val="21"/>
          <w:u w:val="single"/>
        </w:rPr>
        <w:t xml:space="preserve">       年      月     日</w:t>
      </w:r>
    </w:p>
    <w:p w14:paraId="34BDC05B"/>
    <w:p w14:paraId="17230E23">
      <w:pPr>
        <w:adjustRightInd w:val="0"/>
        <w:snapToGrid w:val="0"/>
        <w:spacing w:line="360" w:lineRule="auto"/>
        <w:rPr>
          <w:rFonts w:ascii="仿宋_GB2312" w:hAnsi="仿宋_GB2312" w:eastAsia="仿宋_GB2312" w:cs="仿宋_GB2312"/>
          <w:szCs w:val="21"/>
          <w:u w:val="single"/>
        </w:rPr>
      </w:pPr>
    </w:p>
    <w:p w14:paraId="0D27F463">
      <w:pPr>
        <w:wordWrap w:val="0"/>
        <w:adjustRightInd w:val="0"/>
        <w:snapToGrid w:val="0"/>
        <w:spacing w:line="360" w:lineRule="auto"/>
        <w:jc w:val="right"/>
        <w:rPr>
          <w:rFonts w:ascii="仿宋_GB2312" w:hAnsi="仿宋_GB2312" w:eastAsia="仿宋_GB2312" w:cs="仿宋_GB2312"/>
          <w:szCs w:val="21"/>
        </w:rPr>
      </w:pPr>
    </w:p>
    <w:p w14:paraId="26F62AA9">
      <w:pPr>
        <w:wordWrap w:val="0"/>
        <w:adjustRightInd w:val="0"/>
        <w:snapToGrid w:val="0"/>
        <w:spacing w:line="360" w:lineRule="auto"/>
        <w:jc w:val="right"/>
        <w:rPr>
          <w:rFonts w:ascii="仿宋_GB2312" w:hAnsi="仿宋_GB2312" w:eastAsia="仿宋_GB2312" w:cs="仿宋_GB2312"/>
          <w:szCs w:val="21"/>
        </w:rPr>
      </w:pPr>
    </w:p>
    <w:p w14:paraId="007530AC">
      <w:pPr>
        <w:pStyle w:val="2"/>
        <w:rPr>
          <w:rFonts w:ascii="仿宋_GB2312" w:hAnsi="宋体" w:eastAsia="仿宋_GB2312"/>
          <w:sz w:val="24"/>
        </w:rPr>
      </w:pPr>
    </w:p>
    <w:p w14:paraId="0FC0F0D2">
      <w:pPr>
        <w:ind w:firstLine="470" w:firstLineChars="196"/>
        <w:rPr>
          <w:rFonts w:ascii="仿宋_GB2312" w:hAnsi="宋体" w:eastAsia="仿宋_GB2312"/>
          <w:sz w:val="24"/>
        </w:rPr>
      </w:pPr>
    </w:p>
    <w:p w14:paraId="3619E2B0">
      <w:pPr>
        <w:rPr>
          <w:rFonts w:ascii="仿宋_GB2312" w:hAnsi="仿宋_GB2312" w:eastAsia="仿宋_GB2312" w:cs="仿宋_GB2312"/>
          <w:szCs w:val="21"/>
        </w:rPr>
      </w:pPr>
    </w:p>
    <w:sectPr>
      <w:pgSz w:w="11906" w:h="16838"/>
      <w:pgMar w:top="1440" w:right="1803" w:bottom="1440" w:left="1803" w:header="851" w:footer="992" w:gutter="0"/>
      <w:cols w:space="72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decorative"/>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6F8E6">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7FA8D">
    <w:pPr>
      <w:pStyle w:val="15"/>
      <w:jc w:val="center"/>
    </w:pPr>
    <w:r>
      <w:fldChar w:fldCharType="begin"/>
    </w:r>
    <w:r>
      <w:instrText xml:space="preserve">PAGE   \* MERGEFORMAT</w:instrText>
    </w:r>
    <w:r>
      <w:fldChar w:fldCharType="separate"/>
    </w:r>
    <w:r>
      <w:rPr>
        <w:lang w:val="zh-CN"/>
      </w:rPr>
      <w:t>12</w:t>
    </w:r>
    <w:r>
      <w:fldChar w:fldCharType="end"/>
    </w:r>
  </w:p>
  <w:p w14:paraId="3052203D">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42B21B"/>
    <w:multiLevelType w:val="singleLevel"/>
    <w:tmpl w:val="8642B21B"/>
    <w:lvl w:ilvl="0" w:tentative="0">
      <w:start w:val="16"/>
      <w:numFmt w:val="decimal"/>
      <w:lvlText w:val="%1."/>
      <w:lvlJc w:val="left"/>
      <w:pPr>
        <w:tabs>
          <w:tab w:val="left" w:pos="312"/>
        </w:tabs>
      </w:pPr>
    </w:lvl>
  </w:abstractNum>
  <w:abstractNum w:abstractNumId="1">
    <w:nsid w:val="88EC67F6"/>
    <w:multiLevelType w:val="singleLevel"/>
    <w:tmpl w:val="88EC67F6"/>
    <w:lvl w:ilvl="0" w:tentative="0">
      <w:start w:val="2"/>
      <w:numFmt w:val="chineseCounting"/>
      <w:suff w:val="nothing"/>
      <w:lvlText w:val="%1、"/>
      <w:lvlJc w:val="left"/>
      <w:rPr>
        <w:rFonts w:hint="eastAsia"/>
      </w:rPr>
    </w:lvl>
  </w:abstractNum>
  <w:abstractNum w:abstractNumId="2">
    <w:nsid w:val="8D7800A4"/>
    <w:multiLevelType w:val="singleLevel"/>
    <w:tmpl w:val="8D7800A4"/>
    <w:lvl w:ilvl="0" w:tentative="0">
      <w:start w:val="1"/>
      <w:numFmt w:val="chineseCounting"/>
      <w:suff w:val="space"/>
      <w:lvlText w:val="第%1章"/>
      <w:lvlJc w:val="left"/>
      <w:rPr>
        <w:rFonts w:hint="eastAsia"/>
      </w:rPr>
    </w:lvl>
  </w:abstractNum>
  <w:abstractNum w:abstractNumId="3">
    <w:nsid w:val="B1B9AA33"/>
    <w:multiLevelType w:val="singleLevel"/>
    <w:tmpl w:val="B1B9AA33"/>
    <w:lvl w:ilvl="0" w:tentative="0">
      <w:start w:val="1"/>
      <w:numFmt w:val="decimal"/>
      <w:suff w:val="space"/>
      <w:lvlText w:val="（%1）"/>
      <w:lvlJc w:val="left"/>
    </w:lvl>
  </w:abstractNum>
  <w:abstractNum w:abstractNumId="4">
    <w:nsid w:val="B9A1E8D1"/>
    <w:multiLevelType w:val="singleLevel"/>
    <w:tmpl w:val="B9A1E8D1"/>
    <w:lvl w:ilvl="0" w:tentative="0">
      <w:start w:val="1"/>
      <w:numFmt w:val="decimal"/>
      <w:suff w:val="nothing"/>
      <w:lvlText w:val="（%1）"/>
      <w:lvlJc w:val="left"/>
    </w:lvl>
  </w:abstractNum>
  <w:abstractNum w:abstractNumId="5">
    <w:nsid w:val="E2420D4D"/>
    <w:multiLevelType w:val="singleLevel"/>
    <w:tmpl w:val="E2420D4D"/>
    <w:lvl w:ilvl="0" w:tentative="0">
      <w:start w:val="4"/>
      <w:numFmt w:val="decimal"/>
      <w:suff w:val="nothing"/>
      <w:lvlText w:val="%1、"/>
      <w:lvlJc w:val="left"/>
      <w:pPr>
        <w:ind w:left="210" w:firstLine="0"/>
      </w:pPr>
    </w:lvl>
  </w:abstractNum>
  <w:abstractNum w:abstractNumId="6">
    <w:nsid w:val="27E8E525"/>
    <w:multiLevelType w:val="singleLevel"/>
    <w:tmpl w:val="27E8E525"/>
    <w:lvl w:ilvl="0" w:tentative="0">
      <w:start w:val="1"/>
      <w:numFmt w:val="decimal"/>
      <w:suff w:val="nothing"/>
      <w:lvlText w:val="（%1）"/>
      <w:lvlJc w:val="left"/>
    </w:lvl>
  </w:abstractNum>
  <w:abstractNum w:abstractNumId="7">
    <w:nsid w:val="2BF77CFC"/>
    <w:multiLevelType w:val="singleLevel"/>
    <w:tmpl w:val="2BF77CFC"/>
    <w:lvl w:ilvl="0" w:tentative="0">
      <w:start w:val="2"/>
      <w:numFmt w:val="decimal"/>
      <w:suff w:val="nothing"/>
      <w:lvlText w:val="%1、"/>
      <w:lvlJc w:val="left"/>
    </w:lvl>
  </w:abstractNum>
  <w:abstractNum w:abstractNumId="8">
    <w:nsid w:val="420C153B"/>
    <w:multiLevelType w:val="multilevel"/>
    <w:tmpl w:val="420C153B"/>
    <w:lvl w:ilvl="0" w:tentative="0">
      <w:start w:val="1"/>
      <w:numFmt w:val="decimal"/>
      <w:pStyle w:val="3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4D491ADC"/>
    <w:multiLevelType w:val="singleLevel"/>
    <w:tmpl w:val="4D491ADC"/>
    <w:lvl w:ilvl="0" w:tentative="0">
      <w:start w:val="1"/>
      <w:numFmt w:val="decimal"/>
      <w:suff w:val="nothing"/>
      <w:lvlText w:val="%1）"/>
      <w:lvlJc w:val="left"/>
    </w:lvl>
  </w:abstractNum>
  <w:abstractNum w:abstractNumId="10">
    <w:nsid w:val="52F7058B"/>
    <w:multiLevelType w:val="multilevel"/>
    <w:tmpl w:val="52F7058B"/>
    <w:lvl w:ilvl="0" w:tentative="0">
      <w:start w:val="1"/>
      <w:numFmt w:val="decimal"/>
      <w:lvlText w:val="%1."/>
      <w:lvlJc w:val="left"/>
      <w:pPr>
        <w:tabs>
          <w:tab w:val="left" w:pos="830"/>
        </w:tabs>
        <w:ind w:left="830" w:hanging="360"/>
      </w:pPr>
      <w:rPr>
        <w:rFonts w:hint="eastAsia" w:ascii="黑体" w:hAnsi="Times New Roman" w:eastAsia="黑体"/>
        <w:b/>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abstractNum w:abstractNumId="11">
    <w:nsid w:val="7B4156D0"/>
    <w:multiLevelType w:val="singleLevel"/>
    <w:tmpl w:val="7B4156D0"/>
    <w:lvl w:ilvl="0" w:tentative="0">
      <w:start w:val="1"/>
      <w:numFmt w:val="decimal"/>
      <w:suff w:val="nothing"/>
      <w:lvlText w:val="（%1）"/>
      <w:lvlJc w:val="left"/>
    </w:lvl>
  </w:abstractNum>
  <w:num w:numId="1">
    <w:abstractNumId w:val="8"/>
  </w:num>
  <w:num w:numId="2">
    <w:abstractNumId w:val="5"/>
  </w:num>
  <w:num w:numId="3">
    <w:abstractNumId w:val="2"/>
  </w:num>
  <w:num w:numId="4">
    <w:abstractNumId w:val="0"/>
  </w:num>
  <w:num w:numId="5">
    <w:abstractNumId w:val="4"/>
  </w:num>
  <w:num w:numId="6">
    <w:abstractNumId w:val="1"/>
  </w:num>
  <w:num w:numId="7">
    <w:abstractNumId w:val="7"/>
  </w:num>
  <w:num w:numId="8">
    <w:abstractNumId w:val="6"/>
  </w:num>
  <w:num w:numId="9">
    <w:abstractNumId w:val="11"/>
  </w:num>
  <w:num w:numId="10">
    <w:abstractNumId w:val="3"/>
  </w:num>
  <w:num w:numId="11">
    <w:abstractNumId w:val="9"/>
  </w:num>
  <w:num w:numId="12">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kZDgxMDI2NDg5NjlkYTQ4OGFkN2VjN2VhNmEyMWYifQ=="/>
  </w:docVars>
  <w:rsids>
    <w:rsidRoot w:val="35AB3B2B"/>
    <w:rsid w:val="000112BA"/>
    <w:rsid w:val="00012C54"/>
    <w:rsid w:val="0001352F"/>
    <w:rsid w:val="000268C8"/>
    <w:rsid w:val="00031AC7"/>
    <w:rsid w:val="00046429"/>
    <w:rsid w:val="00063356"/>
    <w:rsid w:val="0007057C"/>
    <w:rsid w:val="00084E5A"/>
    <w:rsid w:val="00096E47"/>
    <w:rsid w:val="0009731D"/>
    <w:rsid w:val="000B13E4"/>
    <w:rsid w:val="000C0E37"/>
    <w:rsid w:val="000D1063"/>
    <w:rsid w:val="000E6314"/>
    <w:rsid w:val="000F5EC2"/>
    <w:rsid w:val="000F6EAA"/>
    <w:rsid w:val="001015DF"/>
    <w:rsid w:val="00110B2A"/>
    <w:rsid w:val="00124CB1"/>
    <w:rsid w:val="0013522F"/>
    <w:rsid w:val="0015632D"/>
    <w:rsid w:val="001612AD"/>
    <w:rsid w:val="001706A3"/>
    <w:rsid w:val="00170858"/>
    <w:rsid w:val="0018626B"/>
    <w:rsid w:val="00186430"/>
    <w:rsid w:val="00193BD6"/>
    <w:rsid w:val="001966CB"/>
    <w:rsid w:val="001D014E"/>
    <w:rsid w:val="001D74B3"/>
    <w:rsid w:val="001E311A"/>
    <w:rsid w:val="001E710F"/>
    <w:rsid w:val="001F2569"/>
    <w:rsid w:val="001F33B0"/>
    <w:rsid w:val="00210A2E"/>
    <w:rsid w:val="00211D5F"/>
    <w:rsid w:val="00213645"/>
    <w:rsid w:val="0022058A"/>
    <w:rsid w:val="002267F4"/>
    <w:rsid w:val="00234505"/>
    <w:rsid w:val="0025299C"/>
    <w:rsid w:val="00254496"/>
    <w:rsid w:val="002664FC"/>
    <w:rsid w:val="0026766D"/>
    <w:rsid w:val="002759FF"/>
    <w:rsid w:val="00282DFB"/>
    <w:rsid w:val="002E464C"/>
    <w:rsid w:val="002F1EE1"/>
    <w:rsid w:val="003074CB"/>
    <w:rsid w:val="00331217"/>
    <w:rsid w:val="00334518"/>
    <w:rsid w:val="00341F18"/>
    <w:rsid w:val="00346265"/>
    <w:rsid w:val="003574AB"/>
    <w:rsid w:val="00362F2A"/>
    <w:rsid w:val="00363498"/>
    <w:rsid w:val="003640E2"/>
    <w:rsid w:val="003678C9"/>
    <w:rsid w:val="00382F03"/>
    <w:rsid w:val="0039123C"/>
    <w:rsid w:val="003F5979"/>
    <w:rsid w:val="00403FF0"/>
    <w:rsid w:val="00440750"/>
    <w:rsid w:val="00453668"/>
    <w:rsid w:val="00462999"/>
    <w:rsid w:val="00465F3E"/>
    <w:rsid w:val="0047528E"/>
    <w:rsid w:val="004E3769"/>
    <w:rsid w:val="004F2CBB"/>
    <w:rsid w:val="005063EE"/>
    <w:rsid w:val="005378A0"/>
    <w:rsid w:val="00543C32"/>
    <w:rsid w:val="00543F74"/>
    <w:rsid w:val="005448D6"/>
    <w:rsid w:val="00565436"/>
    <w:rsid w:val="0057540F"/>
    <w:rsid w:val="00580B35"/>
    <w:rsid w:val="00585C7B"/>
    <w:rsid w:val="00592BFE"/>
    <w:rsid w:val="005A112A"/>
    <w:rsid w:val="005B5A1D"/>
    <w:rsid w:val="00620B1E"/>
    <w:rsid w:val="006358C4"/>
    <w:rsid w:val="00640FCC"/>
    <w:rsid w:val="00647AB6"/>
    <w:rsid w:val="00647C31"/>
    <w:rsid w:val="00650E82"/>
    <w:rsid w:val="00664A63"/>
    <w:rsid w:val="00665B62"/>
    <w:rsid w:val="00675EBF"/>
    <w:rsid w:val="00681AA3"/>
    <w:rsid w:val="00684E56"/>
    <w:rsid w:val="00694FB3"/>
    <w:rsid w:val="00696DCE"/>
    <w:rsid w:val="006B7FD6"/>
    <w:rsid w:val="006C44B1"/>
    <w:rsid w:val="006C67A0"/>
    <w:rsid w:val="006E3FA8"/>
    <w:rsid w:val="006E4228"/>
    <w:rsid w:val="007000C6"/>
    <w:rsid w:val="00701BE8"/>
    <w:rsid w:val="00702A69"/>
    <w:rsid w:val="007108AF"/>
    <w:rsid w:val="007179E7"/>
    <w:rsid w:val="007307D9"/>
    <w:rsid w:val="007358B6"/>
    <w:rsid w:val="00740856"/>
    <w:rsid w:val="00772CBE"/>
    <w:rsid w:val="00777049"/>
    <w:rsid w:val="0077749F"/>
    <w:rsid w:val="00786C98"/>
    <w:rsid w:val="007A2A67"/>
    <w:rsid w:val="007C439F"/>
    <w:rsid w:val="007C47D0"/>
    <w:rsid w:val="007D1608"/>
    <w:rsid w:val="007D2BE2"/>
    <w:rsid w:val="007E4F86"/>
    <w:rsid w:val="00816BC1"/>
    <w:rsid w:val="008227F0"/>
    <w:rsid w:val="008348F9"/>
    <w:rsid w:val="00855113"/>
    <w:rsid w:val="008730D3"/>
    <w:rsid w:val="008977EC"/>
    <w:rsid w:val="008A4B74"/>
    <w:rsid w:val="008C16CF"/>
    <w:rsid w:val="008F3176"/>
    <w:rsid w:val="0090354B"/>
    <w:rsid w:val="00922894"/>
    <w:rsid w:val="00952514"/>
    <w:rsid w:val="00996FA8"/>
    <w:rsid w:val="009C3508"/>
    <w:rsid w:val="009C3AA5"/>
    <w:rsid w:val="009C559E"/>
    <w:rsid w:val="009D4893"/>
    <w:rsid w:val="00A11BD5"/>
    <w:rsid w:val="00A1544B"/>
    <w:rsid w:val="00A17D78"/>
    <w:rsid w:val="00A231BF"/>
    <w:rsid w:val="00A338A0"/>
    <w:rsid w:val="00A33BC1"/>
    <w:rsid w:val="00A42E88"/>
    <w:rsid w:val="00A6581E"/>
    <w:rsid w:val="00A87EA9"/>
    <w:rsid w:val="00A963CF"/>
    <w:rsid w:val="00AA6028"/>
    <w:rsid w:val="00AA67B4"/>
    <w:rsid w:val="00AA7DE3"/>
    <w:rsid w:val="00AB6187"/>
    <w:rsid w:val="00AC6B76"/>
    <w:rsid w:val="00AF165E"/>
    <w:rsid w:val="00AF263F"/>
    <w:rsid w:val="00AF42CF"/>
    <w:rsid w:val="00AF6F09"/>
    <w:rsid w:val="00B10615"/>
    <w:rsid w:val="00B15A2D"/>
    <w:rsid w:val="00B203C4"/>
    <w:rsid w:val="00B41AFA"/>
    <w:rsid w:val="00B56F43"/>
    <w:rsid w:val="00B57337"/>
    <w:rsid w:val="00B825B8"/>
    <w:rsid w:val="00B85916"/>
    <w:rsid w:val="00B915DB"/>
    <w:rsid w:val="00BA564F"/>
    <w:rsid w:val="00BB7DB0"/>
    <w:rsid w:val="00BC054B"/>
    <w:rsid w:val="00BC12D7"/>
    <w:rsid w:val="00BD7B34"/>
    <w:rsid w:val="00C01B5F"/>
    <w:rsid w:val="00C114CA"/>
    <w:rsid w:val="00C1167D"/>
    <w:rsid w:val="00C1525D"/>
    <w:rsid w:val="00C36FAC"/>
    <w:rsid w:val="00C44A20"/>
    <w:rsid w:val="00C75300"/>
    <w:rsid w:val="00C85603"/>
    <w:rsid w:val="00C90727"/>
    <w:rsid w:val="00CF17C7"/>
    <w:rsid w:val="00D06610"/>
    <w:rsid w:val="00D17298"/>
    <w:rsid w:val="00D2136C"/>
    <w:rsid w:val="00D4010D"/>
    <w:rsid w:val="00D67E77"/>
    <w:rsid w:val="00D942B1"/>
    <w:rsid w:val="00DA6197"/>
    <w:rsid w:val="00DA65A0"/>
    <w:rsid w:val="00DA7474"/>
    <w:rsid w:val="00DB10A5"/>
    <w:rsid w:val="00DB41F3"/>
    <w:rsid w:val="00DC5BC4"/>
    <w:rsid w:val="00DD58A0"/>
    <w:rsid w:val="00DE4330"/>
    <w:rsid w:val="00DE58B1"/>
    <w:rsid w:val="00DF2F6E"/>
    <w:rsid w:val="00E27986"/>
    <w:rsid w:val="00E31360"/>
    <w:rsid w:val="00E34C56"/>
    <w:rsid w:val="00E418E9"/>
    <w:rsid w:val="00E542C7"/>
    <w:rsid w:val="00E55B1C"/>
    <w:rsid w:val="00E67AE6"/>
    <w:rsid w:val="00E77349"/>
    <w:rsid w:val="00E84E0C"/>
    <w:rsid w:val="00E865A7"/>
    <w:rsid w:val="00E90E2F"/>
    <w:rsid w:val="00ED6C37"/>
    <w:rsid w:val="00F20EC2"/>
    <w:rsid w:val="00F21271"/>
    <w:rsid w:val="00F31CE7"/>
    <w:rsid w:val="00F34C9A"/>
    <w:rsid w:val="00F357FC"/>
    <w:rsid w:val="00F77D36"/>
    <w:rsid w:val="00FA3A95"/>
    <w:rsid w:val="00FC6375"/>
    <w:rsid w:val="00FD0881"/>
    <w:rsid w:val="00FD52C9"/>
    <w:rsid w:val="00FE51B6"/>
    <w:rsid w:val="00FF1CBA"/>
    <w:rsid w:val="01007E42"/>
    <w:rsid w:val="01026223"/>
    <w:rsid w:val="01275D20"/>
    <w:rsid w:val="01583385"/>
    <w:rsid w:val="017734C4"/>
    <w:rsid w:val="01864D83"/>
    <w:rsid w:val="018B2D26"/>
    <w:rsid w:val="019A5532"/>
    <w:rsid w:val="019B685C"/>
    <w:rsid w:val="02044F27"/>
    <w:rsid w:val="0238643A"/>
    <w:rsid w:val="024A2175"/>
    <w:rsid w:val="028D3811"/>
    <w:rsid w:val="029E7AD0"/>
    <w:rsid w:val="02A604E3"/>
    <w:rsid w:val="02F545EC"/>
    <w:rsid w:val="02FA30D3"/>
    <w:rsid w:val="03090322"/>
    <w:rsid w:val="032759B1"/>
    <w:rsid w:val="03A07AD7"/>
    <w:rsid w:val="03BF5C9E"/>
    <w:rsid w:val="0439713F"/>
    <w:rsid w:val="047A0AE3"/>
    <w:rsid w:val="04AC72EC"/>
    <w:rsid w:val="04E1067D"/>
    <w:rsid w:val="05190704"/>
    <w:rsid w:val="05721756"/>
    <w:rsid w:val="057B7AFF"/>
    <w:rsid w:val="057C19CF"/>
    <w:rsid w:val="0580226C"/>
    <w:rsid w:val="05AA531D"/>
    <w:rsid w:val="05CD3179"/>
    <w:rsid w:val="05D067D9"/>
    <w:rsid w:val="063302DF"/>
    <w:rsid w:val="06750C66"/>
    <w:rsid w:val="06C35F8E"/>
    <w:rsid w:val="06DB7470"/>
    <w:rsid w:val="06E51B6B"/>
    <w:rsid w:val="06EF58D3"/>
    <w:rsid w:val="07116147"/>
    <w:rsid w:val="07445F64"/>
    <w:rsid w:val="075E76FE"/>
    <w:rsid w:val="079B0BC0"/>
    <w:rsid w:val="07E73D55"/>
    <w:rsid w:val="083E4D1A"/>
    <w:rsid w:val="085241F0"/>
    <w:rsid w:val="0855720F"/>
    <w:rsid w:val="085B4F44"/>
    <w:rsid w:val="088D5F5C"/>
    <w:rsid w:val="08C005A2"/>
    <w:rsid w:val="08EB30F4"/>
    <w:rsid w:val="09037F14"/>
    <w:rsid w:val="090833CC"/>
    <w:rsid w:val="091A2992"/>
    <w:rsid w:val="096D5AA7"/>
    <w:rsid w:val="0997077C"/>
    <w:rsid w:val="09B02980"/>
    <w:rsid w:val="09B12107"/>
    <w:rsid w:val="09E0143B"/>
    <w:rsid w:val="09E93CC8"/>
    <w:rsid w:val="09FD11BF"/>
    <w:rsid w:val="0A260FC3"/>
    <w:rsid w:val="0A2B6A3F"/>
    <w:rsid w:val="0A540B39"/>
    <w:rsid w:val="0A611299"/>
    <w:rsid w:val="0A76200A"/>
    <w:rsid w:val="0AB823C4"/>
    <w:rsid w:val="0ACA4546"/>
    <w:rsid w:val="0ADE3B76"/>
    <w:rsid w:val="0B4278E4"/>
    <w:rsid w:val="0BA525D8"/>
    <w:rsid w:val="0BD10048"/>
    <w:rsid w:val="0BD50CE3"/>
    <w:rsid w:val="0C040028"/>
    <w:rsid w:val="0C2F6006"/>
    <w:rsid w:val="0C392C1F"/>
    <w:rsid w:val="0C426CB3"/>
    <w:rsid w:val="0C5056AF"/>
    <w:rsid w:val="0C5B37C6"/>
    <w:rsid w:val="0C5B3F21"/>
    <w:rsid w:val="0C602928"/>
    <w:rsid w:val="0C8352C9"/>
    <w:rsid w:val="0C88726E"/>
    <w:rsid w:val="0CCB7B51"/>
    <w:rsid w:val="0CD83AA7"/>
    <w:rsid w:val="0CEA5470"/>
    <w:rsid w:val="0D08638B"/>
    <w:rsid w:val="0D395FF9"/>
    <w:rsid w:val="0D566496"/>
    <w:rsid w:val="0D571C15"/>
    <w:rsid w:val="0D7C6716"/>
    <w:rsid w:val="0D83639B"/>
    <w:rsid w:val="0DA14390"/>
    <w:rsid w:val="0DC134A7"/>
    <w:rsid w:val="0E014932"/>
    <w:rsid w:val="0E155B5A"/>
    <w:rsid w:val="0E4D03C4"/>
    <w:rsid w:val="0E4F1662"/>
    <w:rsid w:val="0E512BF8"/>
    <w:rsid w:val="0EEF4264"/>
    <w:rsid w:val="0EF20E9B"/>
    <w:rsid w:val="0EF46240"/>
    <w:rsid w:val="0EFA5499"/>
    <w:rsid w:val="0F122A43"/>
    <w:rsid w:val="0F296557"/>
    <w:rsid w:val="0F465E03"/>
    <w:rsid w:val="0F681E22"/>
    <w:rsid w:val="0F6C20F8"/>
    <w:rsid w:val="0F9262E5"/>
    <w:rsid w:val="0FEE60A0"/>
    <w:rsid w:val="100B5B75"/>
    <w:rsid w:val="10390CED"/>
    <w:rsid w:val="108D7FEC"/>
    <w:rsid w:val="10A15F20"/>
    <w:rsid w:val="10C34A85"/>
    <w:rsid w:val="10CF5A23"/>
    <w:rsid w:val="10CF6E57"/>
    <w:rsid w:val="10DD3E24"/>
    <w:rsid w:val="10E427F6"/>
    <w:rsid w:val="10EB0A61"/>
    <w:rsid w:val="10F96CD3"/>
    <w:rsid w:val="11050ACA"/>
    <w:rsid w:val="110D477C"/>
    <w:rsid w:val="11230728"/>
    <w:rsid w:val="11301804"/>
    <w:rsid w:val="117E3EBF"/>
    <w:rsid w:val="11967974"/>
    <w:rsid w:val="11A63895"/>
    <w:rsid w:val="11AA0E33"/>
    <w:rsid w:val="11D465DE"/>
    <w:rsid w:val="11DE5C6A"/>
    <w:rsid w:val="11F35E10"/>
    <w:rsid w:val="121E003E"/>
    <w:rsid w:val="123238F4"/>
    <w:rsid w:val="124E6914"/>
    <w:rsid w:val="12545C6B"/>
    <w:rsid w:val="127A62D0"/>
    <w:rsid w:val="12BA51F9"/>
    <w:rsid w:val="12D84CD4"/>
    <w:rsid w:val="12F51579"/>
    <w:rsid w:val="12F64150"/>
    <w:rsid w:val="12FD7CCA"/>
    <w:rsid w:val="13042B7A"/>
    <w:rsid w:val="13086650"/>
    <w:rsid w:val="131909C4"/>
    <w:rsid w:val="13631AD8"/>
    <w:rsid w:val="137139DD"/>
    <w:rsid w:val="13AE4F8D"/>
    <w:rsid w:val="13C139AF"/>
    <w:rsid w:val="13E01C4A"/>
    <w:rsid w:val="13E3566F"/>
    <w:rsid w:val="13F761E0"/>
    <w:rsid w:val="14103A0E"/>
    <w:rsid w:val="14333776"/>
    <w:rsid w:val="143A679C"/>
    <w:rsid w:val="144E16AB"/>
    <w:rsid w:val="144F6715"/>
    <w:rsid w:val="145843FC"/>
    <w:rsid w:val="147A16BB"/>
    <w:rsid w:val="149B6817"/>
    <w:rsid w:val="14AA5797"/>
    <w:rsid w:val="153906AB"/>
    <w:rsid w:val="156600AB"/>
    <w:rsid w:val="15667555"/>
    <w:rsid w:val="157E3E54"/>
    <w:rsid w:val="157F26C3"/>
    <w:rsid w:val="15A97268"/>
    <w:rsid w:val="15CF1DD7"/>
    <w:rsid w:val="15E224A7"/>
    <w:rsid w:val="16150220"/>
    <w:rsid w:val="164342FA"/>
    <w:rsid w:val="165770B0"/>
    <w:rsid w:val="16635F8A"/>
    <w:rsid w:val="16A22BEB"/>
    <w:rsid w:val="16CB645F"/>
    <w:rsid w:val="16CC508A"/>
    <w:rsid w:val="16D743AB"/>
    <w:rsid w:val="16D904DF"/>
    <w:rsid w:val="171149C7"/>
    <w:rsid w:val="171820A2"/>
    <w:rsid w:val="1754181D"/>
    <w:rsid w:val="17571001"/>
    <w:rsid w:val="176F3A0D"/>
    <w:rsid w:val="17707BBF"/>
    <w:rsid w:val="17776970"/>
    <w:rsid w:val="179E6119"/>
    <w:rsid w:val="17BA1FA3"/>
    <w:rsid w:val="17CF624F"/>
    <w:rsid w:val="18025D64"/>
    <w:rsid w:val="18106EC5"/>
    <w:rsid w:val="181270D8"/>
    <w:rsid w:val="183A7AB3"/>
    <w:rsid w:val="18402742"/>
    <w:rsid w:val="185C4B83"/>
    <w:rsid w:val="189B3AC2"/>
    <w:rsid w:val="190136C6"/>
    <w:rsid w:val="190C0B53"/>
    <w:rsid w:val="190D2C12"/>
    <w:rsid w:val="190F07E6"/>
    <w:rsid w:val="195924DA"/>
    <w:rsid w:val="19AD3DF7"/>
    <w:rsid w:val="19B1359D"/>
    <w:rsid w:val="19B50D0C"/>
    <w:rsid w:val="1A40548D"/>
    <w:rsid w:val="1ACA77FB"/>
    <w:rsid w:val="1ACC5BF8"/>
    <w:rsid w:val="1AD774CB"/>
    <w:rsid w:val="1B1E67F8"/>
    <w:rsid w:val="1B200CF6"/>
    <w:rsid w:val="1B390BDC"/>
    <w:rsid w:val="1B6F3710"/>
    <w:rsid w:val="1B7900EB"/>
    <w:rsid w:val="1B8E7170"/>
    <w:rsid w:val="1BA62EAA"/>
    <w:rsid w:val="1BC73E1F"/>
    <w:rsid w:val="1BE0443F"/>
    <w:rsid w:val="1C471722"/>
    <w:rsid w:val="1C5C588F"/>
    <w:rsid w:val="1C970C7C"/>
    <w:rsid w:val="1C983F97"/>
    <w:rsid w:val="1CB1569A"/>
    <w:rsid w:val="1CB313F6"/>
    <w:rsid w:val="1CBE4B4B"/>
    <w:rsid w:val="1CEF0D6A"/>
    <w:rsid w:val="1CF26A5C"/>
    <w:rsid w:val="1CFB6B14"/>
    <w:rsid w:val="1D3C45B0"/>
    <w:rsid w:val="1D4028B0"/>
    <w:rsid w:val="1D8A35A8"/>
    <w:rsid w:val="1DCA4D45"/>
    <w:rsid w:val="1DDD1DE6"/>
    <w:rsid w:val="1E00462C"/>
    <w:rsid w:val="1E1C5E73"/>
    <w:rsid w:val="1E282FF3"/>
    <w:rsid w:val="1E2B2B47"/>
    <w:rsid w:val="1E2B39B6"/>
    <w:rsid w:val="1E3D5BFF"/>
    <w:rsid w:val="1E3F5B0A"/>
    <w:rsid w:val="1E402DD2"/>
    <w:rsid w:val="1E5038ED"/>
    <w:rsid w:val="1E5B585E"/>
    <w:rsid w:val="1E703E54"/>
    <w:rsid w:val="1E8303B8"/>
    <w:rsid w:val="1EA0459D"/>
    <w:rsid w:val="1EA62DBC"/>
    <w:rsid w:val="1EB21D4C"/>
    <w:rsid w:val="1ECC5D06"/>
    <w:rsid w:val="1ED42809"/>
    <w:rsid w:val="1F384EA1"/>
    <w:rsid w:val="1F6A2CF4"/>
    <w:rsid w:val="1F9F2549"/>
    <w:rsid w:val="1FB42F8C"/>
    <w:rsid w:val="1FC374ED"/>
    <w:rsid w:val="1FCC5382"/>
    <w:rsid w:val="1FCC6EAA"/>
    <w:rsid w:val="1FF71BD2"/>
    <w:rsid w:val="1FFD6FC8"/>
    <w:rsid w:val="1FFE591E"/>
    <w:rsid w:val="202279CC"/>
    <w:rsid w:val="20441B19"/>
    <w:rsid w:val="20520281"/>
    <w:rsid w:val="20663493"/>
    <w:rsid w:val="2069018D"/>
    <w:rsid w:val="20940B18"/>
    <w:rsid w:val="20A0219D"/>
    <w:rsid w:val="20B87A68"/>
    <w:rsid w:val="20BF45FE"/>
    <w:rsid w:val="20C6666F"/>
    <w:rsid w:val="20C70459"/>
    <w:rsid w:val="20D34E96"/>
    <w:rsid w:val="2102069D"/>
    <w:rsid w:val="21082292"/>
    <w:rsid w:val="213E3E63"/>
    <w:rsid w:val="214C6062"/>
    <w:rsid w:val="2153537F"/>
    <w:rsid w:val="217F6F47"/>
    <w:rsid w:val="217F7DC8"/>
    <w:rsid w:val="21C9221A"/>
    <w:rsid w:val="22160B82"/>
    <w:rsid w:val="223F3F77"/>
    <w:rsid w:val="2297314D"/>
    <w:rsid w:val="229F23A9"/>
    <w:rsid w:val="22A279E3"/>
    <w:rsid w:val="22B77015"/>
    <w:rsid w:val="22BA2B41"/>
    <w:rsid w:val="22BF0053"/>
    <w:rsid w:val="22D26F9A"/>
    <w:rsid w:val="230706D2"/>
    <w:rsid w:val="23561695"/>
    <w:rsid w:val="23886FC3"/>
    <w:rsid w:val="23B12896"/>
    <w:rsid w:val="23CB0902"/>
    <w:rsid w:val="23F316BB"/>
    <w:rsid w:val="243E0DB0"/>
    <w:rsid w:val="24763848"/>
    <w:rsid w:val="247C12B5"/>
    <w:rsid w:val="24827E18"/>
    <w:rsid w:val="24880FB1"/>
    <w:rsid w:val="24963225"/>
    <w:rsid w:val="24DF6949"/>
    <w:rsid w:val="2513393D"/>
    <w:rsid w:val="253353F5"/>
    <w:rsid w:val="25377C12"/>
    <w:rsid w:val="25787665"/>
    <w:rsid w:val="25902E9C"/>
    <w:rsid w:val="25B0273C"/>
    <w:rsid w:val="25D45C3E"/>
    <w:rsid w:val="25DD61F7"/>
    <w:rsid w:val="25E81861"/>
    <w:rsid w:val="26034EF6"/>
    <w:rsid w:val="260E6047"/>
    <w:rsid w:val="261875AF"/>
    <w:rsid w:val="26195E0C"/>
    <w:rsid w:val="263D5C2C"/>
    <w:rsid w:val="26AF716B"/>
    <w:rsid w:val="26D4301E"/>
    <w:rsid w:val="26E17A5C"/>
    <w:rsid w:val="27206942"/>
    <w:rsid w:val="273C76A0"/>
    <w:rsid w:val="27437FDF"/>
    <w:rsid w:val="275A1718"/>
    <w:rsid w:val="276E7580"/>
    <w:rsid w:val="279E1806"/>
    <w:rsid w:val="279F27E3"/>
    <w:rsid w:val="27AF28A1"/>
    <w:rsid w:val="27D67955"/>
    <w:rsid w:val="28152965"/>
    <w:rsid w:val="281E11E4"/>
    <w:rsid w:val="284D1502"/>
    <w:rsid w:val="28723FA4"/>
    <w:rsid w:val="28B92147"/>
    <w:rsid w:val="28F321E9"/>
    <w:rsid w:val="293624BD"/>
    <w:rsid w:val="294D49C5"/>
    <w:rsid w:val="29791BFE"/>
    <w:rsid w:val="29BA0A21"/>
    <w:rsid w:val="29BE1781"/>
    <w:rsid w:val="2A19597B"/>
    <w:rsid w:val="2A23324E"/>
    <w:rsid w:val="2A6C2D68"/>
    <w:rsid w:val="2A7439F6"/>
    <w:rsid w:val="2ABC1DA2"/>
    <w:rsid w:val="2AFD4EC5"/>
    <w:rsid w:val="2AFF1738"/>
    <w:rsid w:val="2B046437"/>
    <w:rsid w:val="2B1B420B"/>
    <w:rsid w:val="2B1C14AB"/>
    <w:rsid w:val="2B376F2C"/>
    <w:rsid w:val="2B417276"/>
    <w:rsid w:val="2B5A5895"/>
    <w:rsid w:val="2B652539"/>
    <w:rsid w:val="2BCA5B56"/>
    <w:rsid w:val="2C4D60B7"/>
    <w:rsid w:val="2C852F06"/>
    <w:rsid w:val="2C8774D1"/>
    <w:rsid w:val="2C981CCD"/>
    <w:rsid w:val="2C9F53AF"/>
    <w:rsid w:val="2CBA641B"/>
    <w:rsid w:val="2D040C32"/>
    <w:rsid w:val="2D0757A6"/>
    <w:rsid w:val="2D982E0B"/>
    <w:rsid w:val="2DB53B3B"/>
    <w:rsid w:val="2DCC44FF"/>
    <w:rsid w:val="2E072654"/>
    <w:rsid w:val="2E3B239C"/>
    <w:rsid w:val="2E6111A5"/>
    <w:rsid w:val="2E6F38EF"/>
    <w:rsid w:val="2E864BA1"/>
    <w:rsid w:val="2EC24EAE"/>
    <w:rsid w:val="2ECF2473"/>
    <w:rsid w:val="2EEF4340"/>
    <w:rsid w:val="2F9075F6"/>
    <w:rsid w:val="2F9604D9"/>
    <w:rsid w:val="2F9A594D"/>
    <w:rsid w:val="2FDD75D7"/>
    <w:rsid w:val="2FF3519E"/>
    <w:rsid w:val="30343027"/>
    <w:rsid w:val="305B3E03"/>
    <w:rsid w:val="307B4A76"/>
    <w:rsid w:val="30AE4FB6"/>
    <w:rsid w:val="31003851"/>
    <w:rsid w:val="311145A1"/>
    <w:rsid w:val="31246057"/>
    <w:rsid w:val="312F1318"/>
    <w:rsid w:val="313279B0"/>
    <w:rsid w:val="31754A73"/>
    <w:rsid w:val="317F3D7D"/>
    <w:rsid w:val="31960D20"/>
    <w:rsid w:val="31A0687C"/>
    <w:rsid w:val="31BB59BE"/>
    <w:rsid w:val="31CD0C24"/>
    <w:rsid w:val="31D84FA3"/>
    <w:rsid w:val="31F0559B"/>
    <w:rsid w:val="31FF60CF"/>
    <w:rsid w:val="32053742"/>
    <w:rsid w:val="32142260"/>
    <w:rsid w:val="322963D4"/>
    <w:rsid w:val="32642296"/>
    <w:rsid w:val="32A01606"/>
    <w:rsid w:val="32C94A9C"/>
    <w:rsid w:val="32E120A3"/>
    <w:rsid w:val="32E5656B"/>
    <w:rsid w:val="33026E10"/>
    <w:rsid w:val="33274478"/>
    <w:rsid w:val="332D454F"/>
    <w:rsid w:val="333C1398"/>
    <w:rsid w:val="334E1463"/>
    <w:rsid w:val="335245FC"/>
    <w:rsid w:val="343926B5"/>
    <w:rsid w:val="344016F8"/>
    <w:rsid w:val="346E1273"/>
    <w:rsid w:val="348E3F5F"/>
    <w:rsid w:val="34A07D70"/>
    <w:rsid w:val="34AB5D51"/>
    <w:rsid w:val="34AE125F"/>
    <w:rsid w:val="34CD7BFA"/>
    <w:rsid w:val="34D84426"/>
    <w:rsid w:val="34D85063"/>
    <w:rsid w:val="34DA0634"/>
    <w:rsid w:val="359B5E22"/>
    <w:rsid w:val="359C1AAB"/>
    <w:rsid w:val="35A63D95"/>
    <w:rsid w:val="35AB3B2B"/>
    <w:rsid w:val="35B06007"/>
    <w:rsid w:val="35B11597"/>
    <w:rsid w:val="35F0133B"/>
    <w:rsid w:val="360B3E62"/>
    <w:rsid w:val="364E1FAC"/>
    <w:rsid w:val="366D56AD"/>
    <w:rsid w:val="367F29FE"/>
    <w:rsid w:val="36863A20"/>
    <w:rsid w:val="369736C3"/>
    <w:rsid w:val="36BC0BCE"/>
    <w:rsid w:val="36C26B8E"/>
    <w:rsid w:val="36DD02D6"/>
    <w:rsid w:val="36E41E01"/>
    <w:rsid w:val="36E548BA"/>
    <w:rsid w:val="36F452A3"/>
    <w:rsid w:val="37052D23"/>
    <w:rsid w:val="371D006C"/>
    <w:rsid w:val="374455DA"/>
    <w:rsid w:val="3744619F"/>
    <w:rsid w:val="374D3D38"/>
    <w:rsid w:val="37513218"/>
    <w:rsid w:val="37797AAB"/>
    <w:rsid w:val="37965565"/>
    <w:rsid w:val="38D2012C"/>
    <w:rsid w:val="38FD63A7"/>
    <w:rsid w:val="39525955"/>
    <w:rsid w:val="39535017"/>
    <w:rsid w:val="39681137"/>
    <w:rsid w:val="3971655D"/>
    <w:rsid w:val="39BA1ADC"/>
    <w:rsid w:val="3A06303A"/>
    <w:rsid w:val="3A575933"/>
    <w:rsid w:val="3A5A62B8"/>
    <w:rsid w:val="3A735F50"/>
    <w:rsid w:val="3A8D08BE"/>
    <w:rsid w:val="3A946615"/>
    <w:rsid w:val="3AE27603"/>
    <w:rsid w:val="3AE83416"/>
    <w:rsid w:val="3AF42219"/>
    <w:rsid w:val="3B1E1277"/>
    <w:rsid w:val="3B241639"/>
    <w:rsid w:val="3B2729B5"/>
    <w:rsid w:val="3B2958E9"/>
    <w:rsid w:val="3B4342F2"/>
    <w:rsid w:val="3B484618"/>
    <w:rsid w:val="3BAC54A0"/>
    <w:rsid w:val="3BB450D2"/>
    <w:rsid w:val="3BB83A55"/>
    <w:rsid w:val="3BBD42E3"/>
    <w:rsid w:val="3C016259"/>
    <w:rsid w:val="3C074E47"/>
    <w:rsid w:val="3C5C6CAD"/>
    <w:rsid w:val="3C5D5296"/>
    <w:rsid w:val="3C70334F"/>
    <w:rsid w:val="3C712927"/>
    <w:rsid w:val="3C797D13"/>
    <w:rsid w:val="3C806348"/>
    <w:rsid w:val="3C815D51"/>
    <w:rsid w:val="3CD2615F"/>
    <w:rsid w:val="3CEF5D68"/>
    <w:rsid w:val="3D11205B"/>
    <w:rsid w:val="3D113F82"/>
    <w:rsid w:val="3D364B3C"/>
    <w:rsid w:val="3D3D55B3"/>
    <w:rsid w:val="3D50398D"/>
    <w:rsid w:val="3D5619DA"/>
    <w:rsid w:val="3D5D0F6E"/>
    <w:rsid w:val="3D755874"/>
    <w:rsid w:val="3DAC46D3"/>
    <w:rsid w:val="3DE25DB3"/>
    <w:rsid w:val="3DE6670E"/>
    <w:rsid w:val="3E1C33B1"/>
    <w:rsid w:val="3E4B156F"/>
    <w:rsid w:val="3E7A463F"/>
    <w:rsid w:val="3E895566"/>
    <w:rsid w:val="3E925B12"/>
    <w:rsid w:val="3EE1564E"/>
    <w:rsid w:val="3F0128C7"/>
    <w:rsid w:val="3F12480E"/>
    <w:rsid w:val="3F211237"/>
    <w:rsid w:val="3F50722A"/>
    <w:rsid w:val="3F645D9C"/>
    <w:rsid w:val="3F8A3866"/>
    <w:rsid w:val="3F8E1AF4"/>
    <w:rsid w:val="3FA35235"/>
    <w:rsid w:val="3FE62824"/>
    <w:rsid w:val="3FFD4490"/>
    <w:rsid w:val="40186353"/>
    <w:rsid w:val="405A34BE"/>
    <w:rsid w:val="40650AB8"/>
    <w:rsid w:val="40972C3D"/>
    <w:rsid w:val="40BC4452"/>
    <w:rsid w:val="40D50F73"/>
    <w:rsid w:val="40D7773B"/>
    <w:rsid w:val="40E765BD"/>
    <w:rsid w:val="410D6E30"/>
    <w:rsid w:val="41412351"/>
    <w:rsid w:val="414E6719"/>
    <w:rsid w:val="416D4D8C"/>
    <w:rsid w:val="417A46D4"/>
    <w:rsid w:val="419345E1"/>
    <w:rsid w:val="41940CDA"/>
    <w:rsid w:val="41AA2509"/>
    <w:rsid w:val="41C61D98"/>
    <w:rsid w:val="41CF0BCF"/>
    <w:rsid w:val="41D427C4"/>
    <w:rsid w:val="41E04248"/>
    <w:rsid w:val="42042CCA"/>
    <w:rsid w:val="42084379"/>
    <w:rsid w:val="422C2364"/>
    <w:rsid w:val="425A3F23"/>
    <w:rsid w:val="42696552"/>
    <w:rsid w:val="42812A86"/>
    <w:rsid w:val="42B56350"/>
    <w:rsid w:val="432C5504"/>
    <w:rsid w:val="43365770"/>
    <w:rsid w:val="433F05BE"/>
    <w:rsid w:val="43482809"/>
    <w:rsid w:val="43727FC7"/>
    <w:rsid w:val="43794BD1"/>
    <w:rsid w:val="43876CC6"/>
    <w:rsid w:val="43EA39CC"/>
    <w:rsid w:val="4402491B"/>
    <w:rsid w:val="447629D7"/>
    <w:rsid w:val="449A71A0"/>
    <w:rsid w:val="44A703E9"/>
    <w:rsid w:val="44C409AF"/>
    <w:rsid w:val="44CB6471"/>
    <w:rsid w:val="44D70159"/>
    <w:rsid w:val="44DC1567"/>
    <w:rsid w:val="4504471C"/>
    <w:rsid w:val="45203230"/>
    <w:rsid w:val="452F387D"/>
    <w:rsid w:val="45603002"/>
    <w:rsid w:val="4567448A"/>
    <w:rsid w:val="460008CE"/>
    <w:rsid w:val="46212412"/>
    <w:rsid w:val="46767AA6"/>
    <w:rsid w:val="46A301C2"/>
    <w:rsid w:val="46A6408A"/>
    <w:rsid w:val="46A83331"/>
    <w:rsid w:val="46B215A3"/>
    <w:rsid w:val="46C22DD5"/>
    <w:rsid w:val="46C36755"/>
    <w:rsid w:val="46CE1383"/>
    <w:rsid w:val="46D027AA"/>
    <w:rsid w:val="46DC5D92"/>
    <w:rsid w:val="46E27E0C"/>
    <w:rsid w:val="470F1058"/>
    <w:rsid w:val="47396823"/>
    <w:rsid w:val="47711558"/>
    <w:rsid w:val="47723768"/>
    <w:rsid w:val="47D9353C"/>
    <w:rsid w:val="47E54F55"/>
    <w:rsid w:val="47EE423B"/>
    <w:rsid w:val="480005CF"/>
    <w:rsid w:val="48A25DD0"/>
    <w:rsid w:val="48C81937"/>
    <w:rsid w:val="48D73DAB"/>
    <w:rsid w:val="48DD2962"/>
    <w:rsid w:val="48E734B9"/>
    <w:rsid w:val="49490BB1"/>
    <w:rsid w:val="494B36B3"/>
    <w:rsid w:val="49692915"/>
    <w:rsid w:val="49B62C5C"/>
    <w:rsid w:val="4A0F5C70"/>
    <w:rsid w:val="4A1001FC"/>
    <w:rsid w:val="4A3847B0"/>
    <w:rsid w:val="4A3F772C"/>
    <w:rsid w:val="4A492B02"/>
    <w:rsid w:val="4A525AF7"/>
    <w:rsid w:val="4A584C12"/>
    <w:rsid w:val="4A6603DD"/>
    <w:rsid w:val="4A6E7668"/>
    <w:rsid w:val="4A9876F1"/>
    <w:rsid w:val="4AB4238D"/>
    <w:rsid w:val="4ABC719B"/>
    <w:rsid w:val="4ADA3BA5"/>
    <w:rsid w:val="4B054806"/>
    <w:rsid w:val="4B1413A3"/>
    <w:rsid w:val="4B1C763E"/>
    <w:rsid w:val="4B6C0448"/>
    <w:rsid w:val="4B992729"/>
    <w:rsid w:val="4BC54AFC"/>
    <w:rsid w:val="4BF14E5C"/>
    <w:rsid w:val="4BF6455A"/>
    <w:rsid w:val="4C082C41"/>
    <w:rsid w:val="4C2A6C7A"/>
    <w:rsid w:val="4C2C72E7"/>
    <w:rsid w:val="4CB2203E"/>
    <w:rsid w:val="4D111717"/>
    <w:rsid w:val="4D2F1ADF"/>
    <w:rsid w:val="4D397E04"/>
    <w:rsid w:val="4D485F67"/>
    <w:rsid w:val="4D5B3007"/>
    <w:rsid w:val="4D83282D"/>
    <w:rsid w:val="4DB91463"/>
    <w:rsid w:val="4E2C33DD"/>
    <w:rsid w:val="4E3516A9"/>
    <w:rsid w:val="4E663FE6"/>
    <w:rsid w:val="4E982F17"/>
    <w:rsid w:val="4E9C3B15"/>
    <w:rsid w:val="4EB85066"/>
    <w:rsid w:val="4EBC4081"/>
    <w:rsid w:val="4ED43E85"/>
    <w:rsid w:val="4EEB7681"/>
    <w:rsid w:val="4F186BF2"/>
    <w:rsid w:val="4F326208"/>
    <w:rsid w:val="4F377CE8"/>
    <w:rsid w:val="4F48599F"/>
    <w:rsid w:val="4F604C84"/>
    <w:rsid w:val="4F687B14"/>
    <w:rsid w:val="4F960564"/>
    <w:rsid w:val="4F96706C"/>
    <w:rsid w:val="4FA060F5"/>
    <w:rsid w:val="4FC915F8"/>
    <w:rsid w:val="4FDA6341"/>
    <w:rsid w:val="50213AEE"/>
    <w:rsid w:val="50421741"/>
    <w:rsid w:val="504E4277"/>
    <w:rsid w:val="506A4669"/>
    <w:rsid w:val="506F3038"/>
    <w:rsid w:val="50BB78A8"/>
    <w:rsid w:val="50D43202"/>
    <w:rsid w:val="50F07683"/>
    <w:rsid w:val="51316332"/>
    <w:rsid w:val="5143165E"/>
    <w:rsid w:val="5152292F"/>
    <w:rsid w:val="516C70A1"/>
    <w:rsid w:val="524B2109"/>
    <w:rsid w:val="52725570"/>
    <w:rsid w:val="52D25198"/>
    <w:rsid w:val="52DF7655"/>
    <w:rsid w:val="52F21B43"/>
    <w:rsid w:val="52FC20E7"/>
    <w:rsid w:val="53315390"/>
    <w:rsid w:val="534B0C47"/>
    <w:rsid w:val="5360776D"/>
    <w:rsid w:val="53682721"/>
    <w:rsid w:val="537261AA"/>
    <w:rsid w:val="537B3490"/>
    <w:rsid w:val="53BF62DB"/>
    <w:rsid w:val="53E411F3"/>
    <w:rsid w:val="53FE0393"/>
    <w:rsid w:val="54121F20"/>
    <w:rsid w:val="544534B4"/>
    <w:rsid w:val="544A095C"/>
    <w:rsid w:val="544D59FD"/>
    <w:rsid w:val="550479F9"/>
    <w:rsid w:val="55231B08"/>
    <w:rsid w:val="554054D5"/>
    <w:rsid w:val="5565242B"/>
    <w:rsid w:val="557D432D"/>
    <w:rsid w:val="558B0EF2"/>
    <w:rsid w:val="55A74D06"/>
    <w:rsid w:val="55A75A83"/>
    <w:rsid w:val="55C839DA"/>
    <w:rsid w:val="560C1580"/>
    <w:rsid w:val="56195DC5"/>
    <w:rsid w:val="561D69C4"/>
    <w:rsid w:val="562079EA"/>
    <w:rsid w:val="565A09B0"/>
    <w:rsid w:val="5671771B"/>
    <w:rsid w:val="569F5204"/>
    <w:rsid w:val="56A40F80"/>
    <w:rsid w:val="56D24578"/>
    <w:rsid w:val="56E30A23"/>
    <w:rsid w:val="56F805D3"/>
    <w:rsid w:val="56FB6AB2"/>
    <w:rsid w:val="572F2122"/>
    <w:rsid w:val="5732282D"/>
    <w:rsid w:val="57513E3C"/>
    <w:rsid w:val="575E71D1"/>
    <w:rsid w:val="57656AAF"/>
    <w:rsid w:val="57780285"/>
    <w:rsid w:val="57895841"/>
    <w:rsid w:val="57CB7122"/>
    <w:rsid w:val="57D12C5A"/>
    <w:rsid w:val="58072504"/>
    <w:rsid w:val="580F49BF"/>
    <w:rsid w:val="583B5480"/>
    <w:rsid w:val="58C67724"/>
    <w:rsid w:val="58F74373"/>
    <w:rsid w:val="58FB6986"/>
    <w:rsid w:val="59087308"/>
    <w:rsid w:val="592B2BC8"/>
    <w:rsid w:val="5932697F"/>
    <w:rsid w:val="5945570A"/>
    <w:rsid w:val="59843CBF"/>
    <w:rsid w:val="598A1022"/>
    <w:rsid w:val="59B93578"/>
    <w:rsid w:val="59C60319"/>
    <w:rsid w:val="5A040EEC"/>
    <w:rsid w:val="5A557999"/>
    <w:rsid w:val="5A713E12"/>
    <w:rsid w:val="5AC015B8"/>
    <w:rsid w:val="5AE2690A"/>
    <w:rsid w:val="5AF16743"/>
    <w:rsid w:val="5B021D04"/>
    <w:rsid w:val="5B365BD0"/>
    <w:rsid w:val="5B5267B9"/>
    <w:rsid w:val="5B5F034D"/>
    <w:rsid w:val="5B64318C"/>
    <w:rsid w:val="5B7A2A80"/>
    <w:rsid w:val="5BC05588"/>
    <w:rsid w:val="5BD42E24"/>
    <w:rsid w:val="5BE21F66"/>
    <w:rsid w:val="5BFB37A6"/>
    <w:rsid w:val="5BFE196B"/>
    <w:rsid w:val="5C0A6562"/>
    <w:rsid w:val="5C157F43"/>
    <w:rsid w:val="5C240C7B"/>
    <w:rsid w:val="5C62014C"/>
    <w:rsid w:val="5C8D51F6"/>
    <w:rsid w:val="5C9B08F9"/>
    <w:rsid w:val="5CA52AF5"/>
    <w:rsid w:val="5CB963A2"/>
    <w:rsid w:val="5CC41C0D"/>
    <w:rsid w:val="5CCE1A7B"/>
    <w:rsid w:val="5CE42D12"/>
    <w:rsid w:val="5D2915E4"/>
    <w:rsid w:val="5D3B71FE"/>
    <w:rsid w:val="5D3C5423"/>
    <w:rsid w:val="5D5D7AEC"/>
    <w:rsid w:val="5D6A3C9B"/>
    <w:rsid w:val="5DB07B64"/>
    <w:rsid w:val="5DB7265E"/>
    <w:rsid w:val="5DDE2965"/>
    <w:rsid w:val="5DE24EA1"/>
    <w:rsid w:val="5DE55D4F"/>
    <w:rsid w:val="5DEA05A2"/>
    <w:rsid w:val="5E0B635A"/>
    <w:rsid w:val="5E874794"/>
    <w:rsid w:val="5EA11D24"/>
    <w:rsid w:val="5EB9169C"/>
    <w:rsid w:val="5ED02091"/>
    <w:rsid w:val="5EF54261"/>
    <w:rsid w:val="5EF66F80"/>
    <w:rsid w:val="5EFD3DCB"/>
    <w:rsid w:val="5EFF4E59"/>
    <w:rsid w:val="5F2D4A41"/>
    <w:rsid w:val="5F300E25"/>
    <w:rsid w:val="5F323D85"/>
    <w:rsid w:val="5F401C13"/>
    <w:rsid w:val="5F5919A6"/>
    <w:rsid w:val="5F82440E"/>
    <w:rsid w:val="5F925DFC"/>
    <w:rsid w:val="5F9D6970"/>
    <w:rsid w:val="5FB7111C"/>
    <w:rsid w:val="5FB87095"/>
    <w:rsid w:val="5FE408D5"/>
    <w:rsid w:val="5FE71CC0"/>
    <w:rsid w:val="600A0DD5"/>
    <w:rsid w:val="601A0E99"/>
    <w:rsid w:val="60210B27"/>
    <w:rsid w:val="60675970"/>
    <w:rsid w:val="607F78F5"/>
    <w:rsid w:val="60992FAF"/>
    <w:rsid w:val="60C7316A"/>
    <w:rsid w:val="60CE3883"/>
    <w:rsid w:val="60F273D3"/>
    <w:rsid w:val="60F316ED"/>
    <w:rsid w:val="610B3038"/>
    <w:rsid w:val="6157463B"/>
    <w:rsid w:val="61642270"/>
    <w:rsid w:val="617E4947"/>
    <w:rsid w:val="618C3680"/>
    <w:rsid w:val="619157A0"/>
    <w:rsid w:val="619A090F"/>
    <w:rsid w:val="61AD7FAC"/>
    <w:rsid w:val="61CD7939"/>
    <w:rsid w:val="62012E19"/>
    <w:rsid w:val="620432C5"/>
    <w:rsid w:val="620A076E"/>
    <w:rsid w:val="620C4DF8"/>
    <w:rsid w:val="62552691"/>
    <w:rsid w:val="625D388F"/>
    <w:rsid w:val="627E0359"/>
    <w:rsid w:val="62943E11"/>
    <w:rsid w:val="62AA2731"/>
    <w:rsid w:val="62B40FD5"/>
    <w:rsid w:val="62E65330"/>
    <w:rsid w:val="62FE72D8"/>
    <w:rsid w:val="631D6B30"/>
    <w:rsid w:val="632259C4"/>
    <w:rsid w:val="63263D0D"/>
    <w:rsid w:val="634D2D5C"/>
    <w:rsid w:val="6373260F"/>
    <w:rsid w:val="63856413"/>
    <w:rsid w:val="63D201A3"/>
    <w:rsid w:val="63E43042"/>
    <w:rsid w:val="64003D27"/>
    <w:rsid w:val="644763D7"/>
    <w:rsid w:val="646E04C5"/>
    <w:rsid w:val="64757F56"/>
    <w:rsid w:val="64774252"/>
    <w:rsid w:val="64823B69"/>
    <w:rsid w:val="648F1487"/>
    <w:rsid w:val="649548FB"/>
    <w:rsid w:val="64AD388C"/>
    <w:rsid w:val="64B60830"/>
    <w:rsid w:val="64CD45D0"/>
    <w:rsid w:val="64E7038F"/>
    <w:rsid w:val="65767A7B"/>
    <w:rsid w:val="65922283"/>
    <w:rsid w:val="65956809"/>
    <w:rsid w:val="65A45561"/>
    <w:rsid w:val="65CA5B5D"/>
    <w:rsid w:val="660451B0"/>
    <w:rsid w:val="663C7C5F"/>
    <w:rsid w:val="66481318"/>
    <w:rsid w:val="66582833"/>
    <w:rsid w:val="667557A4"/>
    <w:rsid w:val="668E5B14"/>
    <w:rsid w:val="66A11D77"/>
    <w:rsid w:val="66C66E69"/>
    <w:rsid w:val="67144738"/>
    <w:rsid w:val="673D3AD3"/>
    <w:rsid w:val="67554A23"/>
    <w:rsid w:val="67AA791C"/>
    <w:rsid w:val="681253D0"/>
    <w:rsid w:val="682C1C8B"/>
    <w:rsid w:val="68464F3B"/>
    <w:rsid w:val="684A64D9"/>
    <w:rsid w:val="685A6D95"/>
    <w:rsid w:val="6870599E"/>
    <w:rsid w:val="68721D6A"/>
    <w:rsid w:val="68853C42"/>
    <w:rsid w:val="68A32F09"/>
    <w:rsid w:val="68AB5EFC"/>
    <w:rsid w:val="68B94F59"/>
    <w:rsid w:val="68CA7558"/>
    <w:rsid w:val="68F2680E"/>
    <w:rsid w:val="6924250F"/>
    <w:rsid w:val="69271690"/>
    <w:rsid w:val="692A607C"/>
    <w:rsid w:val="693D2E64"/>
    <w:rsid w:val="694C0E55"/>
    <w:rsid w:val="696033A5"/>
    <w:rsid w:val="698E4AF7"/>
    <w:rsid w:val="69A16F46"/>
    <w:rsid w:val="69C55233"/>
    <w:rsid w:val="69E17CA5"/>
    <w:rsid w:val="69EB0D20"/>
    <w:rsid w:val="6A1C474A"/>
    <w:rsid w:val="6A932B4B"/>
    <w:rsid w:val="6AE42A3F"/>
    <w:rsid w:val="6AE866A8"/>
    <w:rsid w:val="6AF619D0"/>
    <w:rsid w:val="6B051D29"/>
    <w:rsid w:val="6B2245BB"/>
    <w:rsid w:val="6B3E3B32"/>
    <w:rsid w:val="6B4E58F8"/>
    <w:rsid w:val="6B6D718E"/>
    <w:rsid w:val="6B711B7A"/>
    <w:rsid w:val="6B9B2A30"/>
    <w:rsid w:val="6BD43669"/>
    <w:rsid w:val="6BE8725E"/>
    <w:rsid w:val="6C152647"/>
    <w:rsid w:val="6C255D33"/>
    <w:rsid w:val="6C2F6077"/>
    <w:rsid w:val="6C450238"/>
    <w:rsid w:val="6C4D7600"/>
    <w:rsid w:val="6C6608D6"/>
    <w:rsid w:val="6C7D5484"/>
    <w:rsid w:val="6C9852E5"/>
    <w:rsid w:val="6CD338C5"/>
    <w:rsid w:val="6CD858AC"/>
    <w:rsid w:val="6CFA7D7F"/>
    <w:rsid w:val="6D840003"/>
    <w:rsid w:val="6D8D7A35"/>
    <w:rsid w:val="6DB77BCC"/>
    <w:rsid w:val="6DC85167"/>
    <w:rsid w:val="6E4002B9"/>
    <w:rsid w:val="6E4F523E"/>
    <w:rsid w:val="6E5729A2"/>
    <w:rsid w:val="6E583A1F"/>
    <w:rsid w:val="6E6218E2"/>
    <w:rsid w:val="6EAA495D"/>
    <w:rsid w:val="6EAB742B"/>
    <w:rsid w:val="6EB0558D"/>
    <w:rsid w:val="6EC6113E"/>
    <w:rsid w:val="6EC97476"/>
    <w:rsid w:val="6EDB35B4"/>
    <w:rsid w:val="6EF22B0C"/>
    <w:rsid w:val="6EFF1080"/>
    <w:rsid w:val="6F00700C"/>
    <w:rsid w:val="6F170E2C"/>
    <w:rsid w:val="6F1C670B"/>
    <w:rsid w:val="6F45287E"/>
    <w:rsid w:val="6FD821D4"/>
    <w:rsid w:val="70531535"/>
    <w:rsid w:val="7056093E"/>
    <w:rsid w:val="705A194B"/>
    <w:rsid w:val="70BF0D6E"/>
    <w:rsid w:val="70E01DD1"/>
    <w:rsid w:val="71146B51"/>
    <w:rsid w:val="71161C74"/>
    <w:rsid w:val="71597165"/>
    <w:rsid w:val="717256AD"/>
    <w:rsid w:val="718544F1"/>
    <w:rsid w:val="71BF79B2"/>
    <w:rsid w:val="71C02FF6"/>
    <w:rsid w:val="71DE2066"/>
    <w:rsid w:val="720A152D"/>
    <w:rsid w:val="721208BB"/>
    <w:rsid w:val="721F1D01"/>
    <w:rsid w:val="7222649A"/>
    <w:rsid w:val="72BF6B71"/>
    <w:rsid w:val="72D11304"/>
    <w:rsid w:val="72E454F8"/>
    <w:rsid w:val="730C4186"/>
    <w:rsid w:val="733D2985"/>
    <w:rsid w:val="7341102A"/>
    <w:rsid w:val="73451F7C"/>
    <w:rsid w:val="73770529"/>
    <w:rsid w:val="737974C3"/>
    <w:rsid w:val="73A17E6A"/>
    <w:rsid w:val="73A2551B"/>
    <w:rsid w:val="73D77A4A"/>
    <w:rsid w:val="73E16D57"/>
    <w:rsid w:val="73EE0AE6"/>
    <w:rsid w:val="743C60DA"/>
    <w:rsid w:val="7453624B"/>
    <w:rsid w:val="746049BA"/>
    <w:rsid w:val="74874E5A"/>
    <w:rsid w:val="74A227F4"/>
    <w:rsid w:val="74A2568B"/>
    <w:rsid w:val="74C47F76"/>
    <w:rsid w:val="74DC4AE7"/>
    <w:rsid w:val="751E7598"/>
    <w:rsid w:val="752455E6"/>
    <w:rsid w:val="754E3DD7"/>
    <w:rsid w:val="7573132B"/>
    <w:rsid w:val="75DC3A8B"/>
    <w:rsid w:val="75F0787C"/>
    <w:rsid w:val="75F47E3F"/>
    <w:rsid w:val="76021882"/>
    <w:rsid w:val="761715C6"/>
    <w:rsid w:val="76382B60"/>
    <w:rsid w:val="766574D1"/>
    <w:rsid w:val="7671688D"/>
    <w:rsid w:val="767C3DB4"/>
    <w:rsid w:val="76AC50BB"/>
    <w:rsid w:val="76DE1045"/>
    <w:rsid w:val="770E2E0E"/>
    <w:rsid w:val="771463D1"/>
    <w:rsid w:val="77335645"/>
    <w:rsid w:val="774A39DA"/>
    <w:rsid w:val="774F6B0D"/>
    <w:rsid w:val="77543EAD"/>
    <w:rsid w:val="775C0566"/>
    <w:rsid w:val="77777CEB"/>
    <w:rsid w:val="779B02BA"/>
    <w:rsid w:val="77B62746"/>
    <w:rsid w:val="77CA4292"/>
    <w:rsid w:val="77D64484"/>
    <w:rsid w:val="77E37F3B"/>
    <w:rsid w:val="77E922B4"/>
    <w:rsid w:val="781617CA"/>
    <w:rsid w:val="786258A4"/>
    <w:rsid w:val="78D0463B"/>
    <w:rsid w:val="7906595E"/>
    <w:rsid w:val="792B000D"/>
    <w:rsid w:val="798B1783"/>
    <w:rsid w:val="798B5582"/>
    <w:rsid w:val="799512A8"/>
    <w:rsid w:val="79A447F7"/>
    <w:rsid w:val="79B2108A"/>
    <w:rsid w:val="79D31950"/>
    <w:rsid w:val="7A182237"/>
    <w:rsid w:val="7A417E6A"/>
    <w:rsid w:val="7A464BD2"/>
    <w:rsid w:val="7A805859"/>
    <w:rsid w:val="7A92024C"/>
    <w:rsid w:val="7A98347A"/>
    <w:rsid w:val="7AA222D1"/>
    <w:rsid w:val="7AC822B7"/>
    <w:rsid w:val="7B0B5BD1"/>
    <w:rsid w:val="7BA53398"/>
    <w:rsid w:val="7BC71689"/>
    <w:rsid w:val="7BDC3595"/>
    <w:rsid w:val="7BE20360"/>
    <w:rsid w:val="7BFE0BED"/>
    <w:rsid w:val="7C1A1A2B"/>
    <w:rsid w:val="7C571BAE"/>
    <w:rsid w:val="7C78688F"/>
    <w:rsid w:val="7C867510"/>
    <w:rsid w:val="7CB11006"/>
    <w:rsid w:val="7CF01DBB"/>
    <w:rsid w:val="7CF45E15"/>
    <w:rsid w:val="7CF9571E"/>
    <w:rsid w:val="7D21376C"/>
    <w:rsid w:val="7D3B331E"/>
    <w:rsid w:val="7D8B198E"/>
    <w:rsid w:val="7D934831"/>
    <w:rsid w:val="7DA97531"/>
    <w:rsid w:val="7DC554D8"/>
    <w:rsid w:val="7DD75B87"/>
    <w:rsid w:val="7DF509C8"/>
    <w:rsid w:val="7DFC7E2B"/>
    <w:rsid w:val="7E016897"/>
    <w:rsid w:val="7E0367FB"/>
    <w:rsid w:val="7E122B46"/>
    <w:rsid w:val="7E2676D0"/>
    <w:rsid w:val="7E350722"/>
    <w:rsid w:val="7E4F73AA"/>
    <w:rsid w:val="7E74200D"/>
    <w:rsid w:val="7E7B6F9A"/>
    <w:rsid w:val="7E94440E"/>
    <w:rsid w:val="7EA22277"/>
    <w:rsid w:val="7EC63541"/>
    <w:rsid w:val="7EE93115"/>
    <w:rsid w:val="7EED4B13"/>
    <w:rsid w:val="7F1C1E8D"/>
    <w:rsid w:val="7F8B1A78"/>
    <w:rsid w:val="7FA418D8"/>
    <w:rsid w:val="7FA92784"/>
    <w:rsid w:val="7FD27AE1"/>
    <w:rsid w:val="7FDD570F"/>
    <w:rsid w:val="7FE82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Calibri"/>
      <w:kern w:val="2"/>
      <w:sz w:val="21"/>
      <w:szCs w:val="24"/>
      <w:lang w:val="en-US" w:eastAsia="zh-CN" w:bidi="ar-SA"/>
    </w:rPr>
  </w:style>
  <w:style w:type="paragraph" w:styleId="3">
    <w:name w:val="heading 1"/>
    <w:basedOn w:val="4"/>
    <w:next w:val="1"/>
    <w:link w:val="29"/>
    <w:qFormat/>
    <w:uiPriority w:val="0"/>
    <w:pPr>
      <w:keepNext/>
      <w:keepLines/>
      <w:spacing w:before="120" w:after="120"/>
      <w:jc w:val="center"/>
      <w:outlineLvl w:val="0"/>
    </w:pPr>
    <w:rPr>
      <w:kern w:val="44"/>
      <w:sz w:val="44"/>
    </w:rPr>
  </w:style>
  <w:style w:type="paragraph" w:styleId="5">
    <w:name w:val="heading 2"/>
    <w:basedOn w:val="1"/>
    <w:next w:val="1"/>
    <w:qFormat/>
    <w:uiPriority w:val="0"/>
    <w:pPr>
      <w:keepNext/>
      <w:keepLines/>
      <w:spacing w:before="140" w:after="140" w:line="413" w:lineRule="auto"/>
      <w:jc w:val="center"/>
      <w:outlineLvl w:val="1"/>
    </w:pPr>
    <w:rPr>
      <w:rFonts w:ascii="Arial" w:hAnsi="Arial"/>
      <w:b/>
      <w:sz w:val="28"/>
    </w:rPr>
  </w:style>
  <w:style w:type="paragraph" w:styleId="6">
    <w:name w:val="heading 3"/>
    <w:basedOn w:val="1"/>
    <w:next w:val="1"/>
    <w:unhideWhenUsed/>
    <w:qFormat/>
    <w:uiPriority w:val="9"/>
    <w:pPr>
      <w:keepNext/>
      <w:keepLines/>
      <w:tabs>
        <w:tab w:val="left" w:pos="3402"/>
      </w:tabs>
      <w:spacing w:beforeLines="100" w:afterLines="100"/>
      <w:ind w:firstLine="0" w:firstLineChars="0"/>
      <w:contextualSpacing/>
      <w:jc w:val="center"/>
      <w:outlineLvl w:val="2"/>
    </w:pPr>
    <w:rPr>
      <w:rFonts w:eastAsia="黑体"/>
      <w:bCs/>
      <w:szCs w:val="32"/>
    </w:rPr>
  </w:style>
  <w:style w:type="paragraph" w:styleId="7">
    <w:name w:val="heading 4"/>
    <w:basedOn w:val="1"/>
    <w:next w:val="1"/>
    <w:qFormat/>
    <w:uiPriority w:val="0"/>
    <w:pPr>
      <w:keepNext/>
      <w:keepLines/>
      <w:outlineLvl w:val="3"/>
    </w:pPr>
    <w:rPr>
      <w:rFonts w:ascii="Arial" w:hAnsi="Arial" w:eastAsia="黑体"/>
      <w:bCs/>
      <w:kern w:val="0"/>
      <w:sz w:val="24"/>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List"/>
    <w:basedOn w:val="1"/>
    <w:qFormat/>
    <w:uiPriority w:val="0"/>
    <w:pPr>
      <w:suppressAutoHyphens/>
      <w:spacing w:line="360" w:lineRule="auto"/>
      <w:ind w:left="200" w:hanging="200"/>
    </w:pPr>
    <w:rPr>
      <w:kern w:val="0"/>
      <w:sz w:val="20"/>
      <w:szCs w:val="20"/>
    </w:rPr>
  </w:style>
  <w:style w:type="paragraph" w:styleId="4">
    <w:name w:val="Title"/>
    <w:basedOn w:val="1"/>
    <w:next w:val="1"/>
    <w:qFormat/>
    <w:uiPriority w:val="0"/>
    <w:pPr>
      <w:spacing w:before="240" w:after="60"/>
      <w:jc w:val="center"/>
      <w:outlineLvl w:val="0"/>
    </w:pPr>
    <w:rPr>
      <w:rFonts w:ascii="Cambria" w:hAnsi="Cambria"/>
      <w:b/>
      <w:bCs/>
      <w:sz w:val="32"/>
      <w:szCs w:val="32"/>
    </w:rPr>
  </w:style>
  <w:style w:type="paragraph" w:styleId="8">
    <w:name w:val="Normal Indent"/>
    <w:basedOn w:val="1"/>
    <w:qFormat/>
    <w:uiPriority w:val="0"/>
    <w:pPr>
      <w:widowControl/>
      <w:ind w:firstLine="420"/>
      <w:jc w:val="left"/>
    </w:pPr>
    <w:rPr>
      <w:rFonts w:ascii="Times New Roman" w:hAnsi="Times New Roman" w:eastAsia="宋体" w:cs="Times New Roman"/>
      <w:kern w:val="0"/>
      <w:sz w:val="20"/>
      <w:szCs w:val="20"/>
    </w:rPr>
  </w:style>
  <w:style w:type="paragraph" w:styleId="9">
    <w:name w:val="annotation text"/>
    <w:basedOn w:val="1"/>
    <w:link w:val="30"/>
    <w:unhideWhenUsed/>
    <w:qFormat/>
    <w:uiPriority w:val="99"/>
    <w:pPr>
      <w:jc w:val="left"/>
    </w:pPr>
  </w:style>
  <w:style w:type="paragraph" w:styleId="10">
    <w:name w:val="Body Text"/>
    <w:basedOn w:val="1"/>
    <w:next w:val="11"/>
    <w:unhideWhenUsed/>
    <w:qFormat/>
    <w:uiPriority w:val="0"/>
    <w:pPr>
      <w:spacing w:line="360" w:lineRule="auto"/>
    </w:pPr>
    <w:rPr>
      <w:szCs w:val="20"/>
    </w:rPr>
  </w:style>
  <w:style w:type="paragraph" w:customStyle="1" w:styleId="11">
    <w:name w:val="Default"/>
    <w:basedOn w:val="4"/>
    <w:next w:val="3"/>
    <w:qFormat/>
    <w:uiPriority w:val="0"/>
    <w:pPr>
      <w:widowControl w:val="0"/>
      <w:suppressAutoHyphens/>
      <w:autoSpaceDE w:val="0"/>
    </w:pPr>
    <w:rPr>
      <w:lang w:val="en-US" w:eastAsia="zh-CN" w:bidi="ar-SA"/>
    </w:rPr>
  </w:style>
  <w:style w:type="paragraph" w:styleId="12">
    <w:name w:val="Body Text Indent"/>
    <w:basedOn w:val="1"/>
    <w:qFormat/>
    <w:uiPriority w:val="0"/>
    <w:pPr>
      <w:keepNext w:val="0"/>
      <w:keepLines w:val="0"/>
      <w:widowControl w:val="0"/>
      <w:suppressLineNumbers w:val="0"/>
      <w:spacing w:before="0" w:beforeAutospacing="0" w:afterAutospacing="0"/>
      <w:ind w:left="0" w:leftChars="0" w:right="0"/>
      <w:jc w:val="both"/>
    </w:pPr>
    <w:rPr>
      <w:rFonts w:ascii="Times New Roman" w:hAnsi="Times New Roman" w:eastAsia="宋体" w:cs="Times New Roman"/>
      <w:sz w:val="24"/>
      <w:szCs w:val="20"/>
      <w:lang w:bidi="ar"/>
    </w:rPr>
  </w:style>
  <w:style w:type="paragraph" w:styleId="13">
    <w:name w:val="Plain Text"/>
    <w:basedOn w:val="1"/>
    <w:qFormat/>
    <w:uiPriority w:val="99"/>
    <w:rPr>
      <w:rFonts w:ascii="宋体" w:hAnsi="Courier New" w:cs="Courier New"/>
      <w:szCs w:val="21"/>
    </w:rPr>
  </w:style>
  <w:style w:type="paragraph" w:styleId="14">
    <w:name w:val="Balloon Text"/>
    <w:basedOn w:val="1"/>
    <w:link w:val="31"/>
    <w:qFormat/>
    <w:uiPriority w:val="0"/>
    <w:rPr>
      <w:sz w:val="18"/>
      <w:szCs w:val="18"/>
    </w:rPr>
  </w:style>
  <w:style w:type="paragraph" w:styleId="15">
    <w:name w:val="footer"/>
    <w:basedOn w:val="1"/>
    <w:link w:val="32"/>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0"/>
  </w:style>
  <w:style w:type="paragraph" w:styleId="18">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19">
    <w:name w:val="annotation subject"/>
    <w:basedOn w:val="9"/>
    <w:next w:val="9"/>
    <w:link w:val="33"/>
    <w:qFormat/>
    <w:uiPriority w:val="0"/>
    <w:rPr>
      <w:b/>
      <w:bCs/>
    </w:rPr>
  </w:style>
  <w:style w:type="paragraph" w:styleId="20">
    <w:name w:val="Body Text First Indent 2"/>
    <w:basedOn w:val="12"/>
    <w:qFormat/>
    <w:uiPriority w:val="0"/>
    <w:pPr>
      <w:widowControl/>
      <w:suppressAutoHyphens/>
      <w:spacing w:after="312" w:line="360" w:lineRule="auto"/>
      <w:ind w:left="200" w:firstLine="210" w:firstLineChars="0"/>
      <w:jc w:val="left"/>
    </w:pPr>
    <w:rPr>
      <w:rFonts w:ascii="Times New Roman"/>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0"/>
    <w:rPr>
      <w:b/>
    </w:rPr>
  </w:style>
  <w:style w:type="character" w:styleId="25">
    <w:name w:val="Hyperlink"/>
    <w:qFormat/>
    <w:uiPriority w:val="0"/>
    <w:rPr>
      <w:color w:val="0000FF"/>
      <w:u w:val="single"/>
    </w:rPr>
  </w:style>
  <w:style w:type="character" w:styleId="26">
    <w:name w:val="annotation reference"/>
    <w:unhideWhenUsed/>
    <w:qFormat/>
    <w:uiPriority w:val="99"/>
    <w:rPr>
      <w:sz w:val="21"/>
      <w:szCs w:val="21"/>
    </w:rPr>
  </w:style>
  <w:style w:type="paragraph" w:customStyle="1" w:styleId="27">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8">
    <w:name w:val="Heading4"/>
    <w:basedOn w:val="1"/>
    <w:next w:val="1"/>
    <w:qFormat/>
    <w:uiPriority w:val="0"/>
    <w:pPr>
      <w:keepNext/>
      <w:keepLines/>
      <w:spacing w:before="280" w:after="290" w:line="376" w:lineRule="atLeast"/>
      <w:ind w:left="-120"/>
      <w:jc w:val="left"/>
      <w:textAlignment w:val="baseline"/>
    </w:pPr>
    <w:rPr>
      <w:rFonts w:ascii="Arial" w:hAnsi="Arial" w:eastAsia="黑体" w:cs="Times New Roman"/>
      <w:b/>
      <w:bCs/>
      <w:kern w:val="0"/>
      <w:sz w:val="28"/>
      <w:szCs w:val="28"/>
    </w:rPr>
  </w:style>
  <w:style w:type="character" w:customStyle="1" w:styleId="29">
    <w:name w:val="标题 1 Char"/>
    <w:link w:val="3"/>
    <w:qFormat/>
    <w:uiPriority w:val="0"/>
    <w:rPr>
      <w:rFonts w:ascii="Calibri" w:hAnsi="Calibri" w:eastAsia="仿宋" w:cs="Times New Roman"/>
      <w:b/>
      <w:kern w:val="44"/>
      <w:sz w:val="44"/>
      <w:szCs w:val="24"/>
    </w:rPr>
  </w:style>
  <w:style w:type="character" w:customStyle="1" w:styleId="30">
    <w:name w:val="批注文字 Char"/>
    <w:link w:val="9"/>
    <w:qFormat/>
    <w:uiPriority w:val="99"/>
    <w:rPr>
      <w:rFonts w:ascii="Calibri" w:hAnsi="Calibri" w:eastAsia="仿宋" w:cs="Times New Roman"/>
      <w:kern w:val="2"/>
      <w:sz w:val="21"/>
      <w:szCs w:val="24"/>
    </w:rPr>
  </w:style>
  <w:style w:type="character" w:customStyle="1" w:styleId="31">
    <w:name w:val="批注框文本 Char"/>
    <w:link w:val="14"/>
    <w:qFormat/>
    <w:uiPriority w:val="0"/>
    <w:rPr>
      <w:rFonts w:ascii="Calibri" w:hAnsi="Calibri" w:eastAsia="仿宋" w:cs="Times New Roman"/>
      <w:kern w:val="2"/>
      <w:sz w:val="18"/>
      <w:szCs w:val="18"/>
    </w:rPr>
  </w:style>
  <w:style w:type="character" w:customStyle="1" w:styleId="32">
    <w:name w:val="页脚 Char"/>
    <w:link w:val="15"/>
    <w:qFormat/>
    <w:uiPriority w:val="99"/>
    <w:rPr>
      <w:rFonts w:eastAsia="仿宋"/>
      <w:kern w:val="2"/>
      <w:sz w:val="18"/>
      <w:szCs w:val="24"/>
    </w:rPr>
  </w:style>
  <w:style w:type="character" w:customStyle="1" w:styleId="33">
    <w:name w:val="批注主题 Char"/>
    <w:link w:val="19"/>
    <w:qFormat/>
    <w:uiPriority w:val="0"/>
    <w:rPr>
      <w:rFonts w:ascii="Calibri" w:hAnsi="Calibri" w:eastAsia="仿宋" w:cs="Times New Roman"/>
      <w:b/>
      <w:bCs/>
      <w:kern w:val="2"/>
      <w:sz w:val="21"/>
      <w:szCs w:val="24"/>
    </w:rPr>
  </w:style>
  <w:style w:type="paragraph" w:customStyle="1" w:styleId="34">
    <w:name w:val="WPSOffice手动目录 2"/>
    <w:qFormat/>
    <w:uiPriority w:val="0"/>
    <w:pPr>
      <w:ind w:left="200" w:leftChars="200"/>
    </w:pPr>
    <w:rPr>
      <w:rFonts w:ascii="Calibri" w:hAnsi="Calibri" w:eastAsia="宋体" w:cs="Calibri"/>
      <w:lang w:val="en-US" w:eastAsia="zh-CN" w:bidi="ar-SA"/>
    </w:rPr>
  </w:style>
  <w:style w:type="paragraph" w:customStyle="1" w:styleId="35">
    <w:name w:val="样式H"/>
    <w:basedOn w:val="3"/>
    <w:next w:val="1"/>
    <w:qFormat/>
    <w:uiPriority w:val="0"/>
    <w:pPr>
      <w:spacing w:before="100" w:line="500" w:lineRule="exact"/>
    </w:pPr>
  </w:style>
  <w:style w:type="paragraph" w:customStyle="1" w:styleId="36">
    <w:name w:val="样式1"/>
    <w:basedOn w:val="1"/>
    <w:qFormat/>
    <w:uiPriority w:val="0"/>
    <w:pPr>
      <w:numPr>
        <w:ilvl w:val="0"/>
        <w:numId w:val="1"/>
      </w:numPr>
      <w:adjustRightInd w:val="0"/>
      <w:textAlignment w:val="baseline"/>
    </w:pPr>
    <w:rPr>
      <w:rFonts w:ascii="宋体" w:hAnsi="宋体"/>
      <w:kern w:val="0"/>
      <w:szCs w:val="21"/>
    </w:rPr>
  </w:style>
  <w:style w:type="paragraph" w:styleId="37">
    <w:name w:val="List Paragraph"/>
    <w:basedOn w:val="1"/>
    <w:qFormat/>
    <w:uiPriority w:val="34"/>
    <w:pPr>
      <w:ind w:firstLine="420" w:firstLineChars="200"/>
    </w:pPr>
  </w:style>
  <w:style w:type="paragraph" w:customStyle="1" w:styleId="38">
    <w:name w:val="样式N"/>
    <w:basedOn w:val="35"/>
    <w:qFormat/>
    <w:uiPriority w:val="0"/>
    <w:rPr>
      <w:sz w:val="30"/>
    </w:rPr>
  </w:style>
  <w:style w:type="paragraph" w:customStyle="1" w:styleId="39">
    <w:name w:val="列出段落11"/>
    <w:basedOn w:val="1"/>
    <w:qFormat/>
    <w:uiPriority w:val="34"/>
    <w:pPr>
      <w:ind w:firstLine="420" w:firstLineChars="200"/>
    </w:pPr>
    <w:rPr>
      <w:rFonts w:eastAsia="宋体" w:cs="Times New Roman"/>
      <w:szCs w:val="22"/>
      <w:lang w:val="zh-CN"/>
    </w:rPr>
  </w:style>
  <w:style w:type="paragraph" w:customStyle="1" w:styleId="40">
    <w:name w:val="WPSOffice手动目录 1"/>
    <w:qFormat/>
    <w:uiPriority w:val="0"/>
    <w:rPr>
      <w:rFonts w:ascii="Times New Roman" w:hAnsi="Times New Roman" w:eastAsia="宋体" w:cs="Calibri"/>
      <w:lang w:val="en-US" w:eastAsia="zh-CN" w:bidi="ar-SA"/>
    </w:rPr>
  </w:style>
  <w:style w:type="paragraph" w:customStyle="1" w:styleId="41">
    <w:name w:val="WPSOffice手动目录 3"/>
    <w:qFormat/>
    <w:uiPriority w:val="0"/>
    <w:pPr>
      <w:ind w:left="400" w:leftChars="400"/>
    </w:pPr>
    <w:rPr>
      <w:rFonts w:ascii="Calibri" w:hAnsi="Calibri" w:eastAsia="宋体" w:cs="Calibri"/>
      <w:lang w:val="en-US" w:eastAsia="zh-CN" w:bidi="ar-SA"/>
    </w:rPr>
  </w:style>
  <w:style w:type="paragraph" w:customStyle="1" w:styleId="4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3">
    <w:name w:val="WPS Plain"/>
    <w:qFormat/>
    <w:uiPriority w:val="0"/>
    <w:rPr>
      <w:rFonts w:ascii="Times New Roman" w:hAnsi="Times New Roman" w:eastAsia="宋体" w:cs="Times New Roman"/>
      <w:lang w:val="en-US" w:eastAsia="zh-CN" w:bidi="ar-SA"/>
    </w:rPr>
  </w:style>
  <w:style w:type="paragraph" w:customStyle="1" w:styleId="44">
    <w:name w:val="正文缩进_0"/>
    <w:basedOn w:val="45"/>
    <w:unhideWhenUsed/>
    <w:qFormat/>
    <w:uiPriority w:val="0"/>
    <w:pPr>
      <w:ind w:firstLine="420" w:firstLineChars="200"/>
    </w:pPr>
  </w:style>
  <w:style w:type="paragraph" w:customStyle="1" w:styleId="45">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
    <w:name w:val="表格样式"/>
    <w:basedOn w:val="1"/>
    <w:qFormat/>
    <w:uiPriority w:val="0"/>
    <w:pPr>
      <w:widowControl/>
      <w:suppressAutoHyphens/>
      <w:spacing w:line="300" w:lineRule="exact"/>
      <w:ind w:firstLine="200"/>
      <w:jc w:val="left"/>
    </w:pPr>
    <w:rPr>
      <w:kern w:val="0"/>
      <w:sz w:val="18"/>
      <w:szCs w:val="20"/>
      <w:lang w:val="zh-CN"/>
    </w:rPr>
  </w:style>
  <w:style w:type="paragraph" w:customStyle="1" w:styleId="49">
    <w:name w:val="Normal"/>
    <w:qFormat/>
    <w:uiPriority w:val="0"/>
    <w:rPr>
      <w:rFonts w:ascii="Times New Roman" w:hAnsi="Times New Roman" w:eastAsia="Times New Roman" w:cs="Times New Roman"/>
      <w:sz w:val="24"/>
      <w:szCs w:val="24"/>
      <w:lang w:val="en-US" w:eastAsia="zh-CN" w:bidi="ar-SA"/>
    </w:rPr>
  </w:style>
  <w:style w:type="paragraph" w:customStyle="1" w:styleId="50">
    <w:name w:val="Table Paragraph"/>
    <w:basedOn w:val="1"/>
    <w:qFormat/>
    <w:uiPriority w:val="1"/>
    <w:rPr>
      <w:rFonts w:ascii="宋体" w:hAnsi="宋体" w:eastAsia="宋体" w:cs="宋体"/>
      <w:lang w:val="zh-CN" w:eastAsia="zh-CN" w:bidi="zh-CN"/>
    </w:rPr>
  </w:style>
  <w:style w:type="paragraph" w:customStyle="1" w:styleId="51">
    <w:name w:val="Table Text"/>
    <w:basedOn w:val="1"/>
    <w:semiHidden/>
    <w:qFormat/>
    <w:uiPriority w:val="0"/>
    <w:rPr>
      <w:rFonts w:ascii="宋体" w:hAnsi="宋体" w:eastAsia="宋体" w:cs="宋体"/>
      <w:sz w:val="24"/>
      <w:szCs w:val="24"/>
      <w:lang w:val="en-US" w:eastAsia="en-US" w:bidi="ar-SA"/>
    </w:rPr>
  </w:style>
  <w:style w:type="paragraph" w:customStyle="1" w:styleId="52">
    <w:name w:val="正文缩进1"/>
    <w:basedOn w:val="53"/>
    <w:unhideWhenUsed/>
    <w:qFormat/>
    <w:uiPriority w:val="0"/>
    <w:pPr>
      <w:ind w:firstLine="420" w:firstLineChars="200"/>
    </w:pPr>
    <w:rPr>
      <w:rFonts w:ascii="Calibri" w:hAnsi="Calibri"/>
      <w:szCs w:val="22"/>
    </w:rPr>
  </w:style>
  <w:style w:type="paragraph" w:customStyle="1" w:styleId="53">
    <w:name w:val="正文2"/>
    <w:next w:val="52"/>
    <w:qFormat/>
    <w:uiPriority w:val="0"/>
    <w:rPr>
      <w:rFonts w:ascii="Times New Roman" w:hAnsi="Times New Roman" w:eastAsia="Times New Roman" w:cs="Times New Roman"/>
      <w:sz w:val="24"/>
      <w:szCs w:val="24"/>
      <w:lang w:val="en-US" w:eastAsia="zh-CN" w:bidi="ar-SA"/>
    </w:rPr>
  </w:style>
  <w:style w:type="paragraph" w:customStyle="1" w:styleId="54">
    <w:name w:val="Normal_9"/>
    <w:qFormat/>
    <w:uiPriority w:val="0"/>
    <w:pPr>
      <w:spacing w:before="120" w:after="240"/>
      <w:jc w:val="both"/>
    </w:pPr>
    <w:rPr>
      <w:rFonts w:ascii="Times New Roman" w:hAnsi="Times New Roman"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xp</Company>
  <Pages>118</Pages>
  <Words>32443</Words>
  <Characters>34143</Characters>
  <Lines>257</Lines>
  <Paragraphs>72</Paragraphs>
  <TotalTime>31</TotalTime>
  <ScaleCrop>false</ScaleCrop>
  <LinksUpToDate>false</LinksUpToDate>
  <CharactersWithSpaces>36362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2018-10-30T16:31:00Z</dcterms:created>
  <dc:creator>meimei</dc:creator>
  <cp:lastModifiedBy>Spring '  初心</cp:lastModifiedBy>
  <cp:lastPrinted>2019-12-27T06:09:00Z</cp:lastPrinted>
  <dcterms:modified xsi:type="dcterms:W3CDTF">2025-07-18T10:49:48Z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21FBC6C5D0904DA08E81D9D011ABA775</vt:lpwstr>
  </property>
  <property fmtid="{D5CDD505-2E9C-101B-9397-08002B2CF9AE}" pid="4" name="KSOTemplateDocerSaveRecord">
    <vt:lpwstr>eyJoZGlkIjoiYmI0NGFjZDA4MjAzM2IzZThmNDExZGUzNGFkZmQzNDgiLCJ1c2VySWQiOiIyMDUzNTQ0NjkifQ==</vt:lpwstr>
  </property>
</Properties>
</file>