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ind w:firstLine="5460" w:firstLineChars="1950"/>
        <w:jc w:val="right"/>
        <w:rPr>
          <w:rFonts w:hint="default" w:eastAsia="宋体"/>
          <w:b/>
          <w:sz w:val="28"/>
          <w:szCs w:val="28"/>
          <w:highlight w:val="yellow"/>
          <w:lang w:val="en-US" w:eastAsia="zh-CN"/>
        </w:rPr>
      </w:pPr>
      <w:r>
        <w:rPr>
          <w:b/>
          <w:sz w:val="28"/>
          <w:szCs w:val="28"/>
          <w:highlight w:val="none"/>
        </w:rPr>
        <w:t>项目编号：</w:t>
      </w:r>
      <w:r>
        <w:rPr>
          <w:rFonts w:hint="eastAsia"/>
          <w:b/>
          <w:sz w:val="28"/>
          <w:szCs w:val="28"/>
          <w:highlight w:val="none"/>
        </w:rPr>
        <w:t>XJJT-2023-04-10-2</w:t>
      </w:r>
    </w:p>
    <w:p>
      <w:pPr>
        <w:spacing w:line="360" w:lineRule="auto"/>
        <w:ind w:right="560" w:firstLine="5460" w:firstLineChars="1950"/>
        <w:rPr>
          <w:b/>
          <w:sz w:val="28"/>
          <w:szCs w:val="28"/>
        </w:rPr>
      </w:pPr>
    </w:p>
    <w:p>
      <w:pPr>
        <w:spacing w:line="360" w:lineRule="auto"/>
        <w:jc w:val="right"/>
        <w:rPr>
          <w:b/>
          <w:spacing w:val="80"/>
          <w:sz w:val="24"/>
        </w:rPr>
      </w:pPr>
    </w:p>
    <w:p>
      <w:pPr>
        <w:pStyle w:val="4"/>
        <w:bidi w:val="0"/>
        <w:jc w:val="center"/>
      </w:pPr>
      <w:r>
        <w:t>特克斯县住房和城乡建设局2023年城市园林绿化养护项目</w:t>
      </w:r>
    </w:p>
    <w:p>
      <w:pPr>
        <w:spacing w:line="360" w:lineRule="auto"/>
        <w:jc w:val="center"/>
        <w:rPr>
          <w:b/>
          <w:spacing w:val="80"/>
          <w:sz w:val="98"/>
          <w:szCs w:val="84"/>
        </w:rPr>
      </w:pPr>
    </w:p>
    <w:p>
      <w:pPr>
        <w:spacing w:line="360" w:lineRule="auto"/>
        <w:jc w:val="center"/>
        <w:rPr>
          <w:b/>
          <w:spacing w:val="80"/>
          <w:sz w:val="100"/>
          <w:szCs w:val="100"/>
        </w:rPr>
      </w:pPr>
      <w:r>
        <w:rPr>
          <w:b/>
          <w:spacing w:val="80"/>
          <w:sz w:val="100"/>
          <w:szCs w:val="100"/>
        </w:rPr>
        <w:t>招 标 文 件</w:t>
      </w:r>
    </w:p>
    <w:p>
      <w:pPr>
        <w:spacing w:line="500" w:lineRule="exact"/>
        <w:rPr>
          <w:sz w:val="24"/>
        </w:rPr>
      </w:pPr>
    </w:p>
    <w:p>
      <w:pPr>
        <w:spacing w:line="500" w:lineRule="exact"/>
        <w:jc w:val="center"/>
        <w:rPr>
          <w:sz w:val="24"/>
        </w:rPr>
      </w:pPr>
    </w:p>
    <w:p>
      <w:pPr>
        <w:spacing w:line="500" w:lineRule="exact"/>
        <w:jc w:val="center"/>
        <w:rPr>
          <w:sz w:val="24"/>
        </w:rPr>
      </w:pPr>
    </w:p>
    <w:p>
      <w:pPr>
        <w:spacing w:line="500" w:lineRule="exact"/>
        <w:jc w:val="center"/>
        <w:rPr>
          <w:sz w:val="24"/>
        </w:rPr>
      </w:pPr>
    </w:p>
    <w:p>
      <w:pPr>
        <w:spacing w:line="500" w:lineRule="exact"/>
        <w:jc w:val="left"/>
        <w:rPr>
          <w:sz w:val="24"/>
        </w:rPr>
      </w:pPr>
    </w:p>
    <w:p>
      <w:pPr>
        <w:spacing w:line="500" w:lineRule="exact"/>
        <w:jc w:val="left"/>
        <w:rPr>
          <w:sz w:val="24"/>
        </w:rPr>
      </w:pPr>
    </w:p>
    <w:p>
      <w:pPr>
        <w:spacing w:line="500" w:lineRule="exact"/>
        <w:ind w:firstLine="2240" w:firstLineChars="700"/>
        <w:jc w:val="left"/>
        <w:rPr>
          <w:b/>
          <w:sz w:val="32"/>
          <w:szCs w:val="32"/>
        </w:rPr>
      </w:pPr>
    </w:p>
    <w:p>
      <w:pPr>
        <w:spacing w:line="500" w:lineRule="exact"/>
        <w:ind w:firstLine="2240" w:firstLineChars="700"/>
        <w:jc w:val="left"/>
        <w:rPr>
          <w:b/>
          <w:sz w:val="32"/>
          <w:szCs w:val="32"/>
        </w:rPr>
      </w:pPr>
    </w:p>
    <w:p>
      <w:pPr>
        <w:spacing w:line="500" w:lineRule="exact"/>
        <w:ind w:firstLine="960" w:firstLineChars="300"/>
        <w:jc w:val="left"/>
        <w:rPr>
          <w:b/>
          <w:sz w:val="32"/>
          <w:szCs w:val="32"/>
        </w:rPr>
      </w:pPr>
      <w:r>
        <w:rPr>
          <w:b/>
          <w:sz w:val="32"/>
          <w:szCs w:val="32"/>
        </w:rPr>
        <w:t>采 购 人：特克斯县住房和城乡建设局</w:t>
      </w:r>
    </w:p>
    <w:p>
      <w:pPr>
        <w:spacing w:line="500" w:lineRule="exact"/>
        <w:ind w:firstLine="465"/>
        <w:jc w:val="left"/>
        <w:rPr>
          <w:b/>
          <w:sz w:val="32"/>
          <w:szCs w:val="32"/>
        </w:rPr>
      </w:pPr>
    </w:p>
    <w:p>
      <w:pPr>
        <w:spacing w:line="500" w:lineRule="exact"/>
        <w:ind w:firstLine="960" w:firstLineChars="300"/>
        <w:jc w:val="left"/>
        <w:rPr>
          <w:rFonts w:hint="eastAsia" w:eastAsia="宋体"/>
          <w:b/>
          <w:sz w:val="32"/>
          <w:szCs w:val="32"/>
          <w:lang w:eastAsia="zh-CN"/>
        </w:rPr>
      </w:pPr>
      <w:r>
        <w:rPr>
          <w:b/>
          <w:sz w:val="32"/>
          <w:szCs w:val="32"/>
        </w:rPr>
        <w:t>代理机构：</w:t>
      </w:r>
      <w:r>
        <w:rPr>
          <w:rFonts w:hint="eastAsia"/>
          <w:b/>
          <w:sz w:val="32"/>
          <w:szCs w:val="32"/>
        </w:rPr>
        <w:t>新疆聚拓工程项目管理有限公司</w:t>
      </w:r>
    </w:p>
    <w:p>
      <w:pPr>
        <w:spacing w:line="500" w:lineRule="exact"/>
        <w:jc w:val="both"/>
        <w:rPr>
          <w:b/>
          <w:sz w:val="32"/>
          <w:szCs w:val="32"/>
        </w:rPr>
      </w:pPr>
    </w:p>
    <w:p>
      <w:pPr>
        <w:spacing w:line="500" w:lineRule="exact"/>
        <w:jc w:val="center"/>
        <w:rPr>
          <w:b/>
          <w:sz w:val="32"/>
          <w:szCs w:val="32"/>
        </w:rPr>
      </w:pPr>
    </w:p>
    <w:p>
      <w:pPr>
        <w:spacing w:line="500" w:lineRule="exact"/>
        <w:jc w:val="center"/>
        <w:rPr>
          <w:b/>
          <w:sz w:val="32"/>
          <w:szCs w:val="32"/>
        </w:rPr>
      </w:pPr>
      <w:r>
        <w:rPr>
          <w:rFonts w:hint="eastAsia"/>
          <w:b/>
          <w:sz w:val="32"/>
          <w:szCs w:val="32"/>
          <w:lang w:val="en-US" w:eastAsia="zh-CN"/>
        </w:rPr>
        <w:t>2023</w:t>
      </w:r>
      <w:r>
        <w:rPr>
          <w:b/>
          <w:sz w:val="32"/>
          <w:szCs w:val="32"/>
        </w:rPr>
        <w:t>年</w:t>
      </w:r>
      <w:r>
        <w:rPr>
          <w:rFonts w:hint="eastAsia"/>
          <w:b/>
          <w:sz w:val="32"/>
          <w:szCs w:val="32"/>
          <w:lang w:val="en-US" w:eastAsia="zh-CN"/>
        </w:rPr>
        <w:t>4</w:t>
      </w:r>
      <w:r>
        <w:rPr>
          <w:b/>
          <w:sz w:val="32"/>
          <w:szCs w:val="32"/>
        </w:rPr>
        <w:t>月</w:t>
      </w:r>
    </w:p>
    <w:p>
      <w:pPr>
        <w:spacing w:line="440" w:lineRule="exact"/>
        <w:jc w:val="center"/>
        <w:rPr>
          <w:b/>
          <w:sz w:val="44"/>
          <w:szCs w:val="44"/>
        </w:rPr>
        <w:sectPr>
          <w:footerReference r:id="rId4" w:type="first"/>
          <w:headerReference r:id="rId3" w:type="default"/>
          <w:pgSz w:w="11906" w:h="16838"/>
          <w:pgMar w:top="993" w:right="1080" w:bottom="1440" w:left="1080" w:header="4" w:footer="567" w:gutter="0"/>
          <w:pgNumType w:fmt="decimal" w:start="0"/>
          <w:cols w:space="720" w:num="1"/>
          <w:titlePg/>
          <w:docGrid w:type="linesAndChars" w:linePitch="312" w:charSpace="0"/>
        </w:sectPr>
      </w:pPr>
    </w:p>
    <w:p>
      <w:pPr>
        <w:rPr>
          <w:b/>
          <w:sz w:val="44"/>
          <w:szCs w:val="44"/>
        </w:rPr>
      </w:pPr>
      <w:r>
        <w:rPr>
          <w:b/>
          <w:sz w:val="44"/>
          <w:szCs w:val="44"/>
        </w:rPr>
        <w:br w:type="page"/>
      </w:r>
    </w:p>
    <w:p>
      <w:pPr>
        <w:spacing w:line="440" w:lineRule="exact"/>
        <w:jc w:val="center"/>
        <w:rPr>
          <w:b/>
          <w:sz w:val="44"/>
          <w:szCs w:val="44"/>
        </w:rPr>
      </w:pPr>
      <w:r>
        <w:rPr>
          <w:b/>
          <w:sz w:val="44"/>
          <w:szCs w:val="44"/>
        </w:rPr>
        <w:t>目   录</w:t>
      </w:r>
    </w:p>
    <w:p>
      <w:pPr>
        <w:pStyle w:val="19"/>
        <w:tabs>
          <w:tab w:val="right" w:leader="dot" w:pos="9746"/>
        </w:tabs>
        <w:spacing w:line="480" w:lineRule="auto"/>
      </w:pPr>
      <w:r>
        <w:rPr>
          <w:rFonts w:cs="Times New Roman"/>
          <w:sz w:val="24"/>
          <w:szCs w:val="24"/>
        </w:rPr>
        <w:fldChar w:fldCharType="begin"/>
      </w:r>
      <w:r>
        <w:rPr>
          <w:rFonts w:cs="Times New Roman"/>
          <w:sz w:val="24"/>
          <w:szCs w:val="24"/>
        </w:rPr>
        <w:instrText xml:space="preserve"> TOC \o "1-2" \h \z \u </w:instrText>
      </w:r>
      <w:r>
        <w:rPr>
          <w:rFonts w:cs="Times New Roman"/>
          <w:sz w:val="24"/>
          <w:szCs w:val="24"/>
        </w:rPr>
        <w:fldChar w:fldCharType="separate"/>
      </w:r>
      <w:r>
        <w:rPr>
          <w:rFonts w:cs="Times New Roman"/>
          <w:szCs w:val="24"/>
        </w:rPr>
        <w:fldChar w:fldCharType="begin"/>
      </w:r>
      <w:r>
        <w:rPr>
          <w:rFonts w:cs="Times New Roman"/>
          <w:szCs w:val="24"/>
        </w:rPr>
        <w:instrText xml:space="preserve"> HYPERLINK \l _Toc7927 </w:instrText>
      </w:r>
      <w:r>
        <w:rPr>
          <w:rFonts w:cs="Times New Roman"/>
          <w:szCs w:val="24"/>
        </w:rPr>
        <w:fldChar w:fldCharType="separate"/>
      </w:r>
      <w:r>
        <w:rPr>
          <w:szCs w:val="32"/>
        </w:rPr>
        <w:t>第一部分  投标人须知前附表</w:t>
      </w:r>
      <w:r>
        <w:tab/>
      </w:r>
      <w:r>
        <w:fldChar w:fldCharType="begin"/>
      </w:r>
      <w:r>
        <w:instrText xml:space="preserve"> PAGEREF _Toc7927 \h </w:instrText>
      </w:r>
      <w:r>
        <w:fldChar w:fldCharType="separate"/>
      </w:r>
      <w:r>
        <w:t>3</w:t>
      </w:r>
      <w:r>
        <w:fldChar w:fldCharType="end"/>
      </w:r>
      <w:r>
        <w:rPr>
          <w:rFonts w:cs="Times New Roman"/>
          <w:szCs w:val="24"/>
        </w:rPr>
        <w:fldChar w:fldCharType="end"/>
      </w:r>
    </w:p>
    <w:p>
      <w:pPr>
        <w:pStyle w:val="19"/>
        <w:tabs>
          <w:tab w:val="right" w:leader="dot" w:pos="9746"/>
        </w:tabs>
        <w:spacing w:line="480" w:lineRule="auto"/>
      </w:pPr>
      <w:r>
        <w:rPr>
          <w:szCs w:val="24"/>
        </w:rPr>
        <w:fldChar w:fldCharType="begin"/>
      </w:r>
      <w:r>
        <w:rPr>
          <w:szCs w:val="24"/>
        </w:rPr>
        <w:instrText xml:space="preserve"> HYPERLINK \l _Toc6320 </w:instrText>
      </w:r>
      <w:r>
        <w:rPr>
          <w:szCs w:val="24"/>
        </w:rPr>
        <w:fldChar w:fldCharType="separate"/>
      </w:r>
      <w:r>
        <w:rPr>
          <w:szCs w:val="32"/>
        </w:rPr>
        <w:t>第二部分  投标人须知</w:t>
      </w:r>
      <w:r>
        <w:tab/>
      </w:r>
      <w:r>
        <w:fldChar w:fldCharType="begin"/>
      </w:r>
      <w:r>
        <w:instrText xml:space="preserve"> PAGEREF _Toc6320 \h </w:instrText>
      </w:r>
      <w:r>
        <w:fldChar w:fldCharType="separate"/>
      </w:r>
      <w:r>
        <w:t>9</w:t>
      </w:r>
      <w:r>
        <w:fldChar w:fldCharType="end"/>
      </w:r>
      <w:r>
        <w:rPr>
          <w:szCs w:val="24"/>
        </w:rPr>
        <w:fldChar w:fldCharType="end"/>
      </w:r>
    </w:p>
    <w:p>
      <w:pPr>
        <w:pStyle w:val="19"/>
        <w:tabs>
          <w:tab w:val="right" w:leader="dot" w:pos="9746"/>
        </w:tabs>
        <w:spacing w:line="480" w:lineRule="auto"/>
      </w:pPr>
      <w:r>
        <w:rPr>
          <w:szCs w:val="24"/>
        </w:rPr>
        <w:fldChar w:fldCharType="begin"/>
      </w:r>
      <w:r>
        <w:rPr>
          <w:szCs w:val="24"/>
        </w:rPr>
        <w:instrText xml:space="preserve"> HYPERLINK \l _Toc2009 </w:instrText>
      </w:r>
      <w:r>
        <w:rPr>
          <w:szCs w:val="24"/>
        </w:rPr>
        <w:fldChar w:fldCharType="separate"/>
      </w:r>
      <w:r>
        <w:rPr>
          <w:rFonts w:hint="eastAsia" w:ascii="宋体" w:hAnsi="宋体" w:cs="宋体"/>
          <w:szCs w:val="32"/>
        </w:rPr>
        <w:t>第三部分  投标说明</w:t>
      </w:r>
      <w:r>
        <w:tab/>
      </w:r>
      <w:r>
        <w:fldChar w:fldCharType="begin"/>
      </w:r>
      <w:r>
        <w:instrText xml:space="preserve"> PAGEREF _Toc2009 \h </w:instrText>
      </w:r>
      <w:r>
        <w:fldChar w:fldCharType="separate"/>
      </w:r>
      <w:r>
        <w:t>12</w:t>
      </w:r>
      <w:r>
        <w:fldChar w:fldCharType="end"/>
      </w:r>
      <w:r>
        <w:rPr>
          <w:szCs w:val="24"/>
        </w:rPr>
        <w:fldChar w:fldCharType="end"/>
      </w:r>
    </w:p>
    <w:p>
      <w:pPr>
        <w:pStyle w:val="21"/>
        <w:tabs>
          <w:tab w:val="right" w:leader="dot" w:pos="9746"/>
        </w:tabs>
        <w:spacing w:line="480" w:lineRule="auto"/>
      </w:pPr>
      <w:r>
        <w:rPr>
          <w:szCs w:val="24"/>
        </w:rPr>
        <w:fldChar w:fldCharType="begin"/>
      </w:r>
      <w:r>
        <w:rPr>
          <w:szCs w:val="24"/>
        </w:rPr>
        <w:instrText xml:space="preserve"> HYPERLINK \l _Toc16661 </w:instrText>
      </w:r>
      <w:r>
        <w:rPr>
          <w:szCs w:val="24"/>
        </w:rPr>
        <w:fldChar w:fldCharType="separate"/>
      </w:r>
      <w:r>
        <w:rPr>
          <w:rFonts w:hint="eastAsia" w:ascii="宋体" w:hAnsi="宋体" w:cs="宋体"/>
          <w:szCs w:val="28"/>
        </w:rPr>
        <w:t>第一章  投标人资格要求</w:t>
      </w:r>
      <w:r>
        <w:tab/>
      </w:r>
      <w:r>
        <w:fldChar w:fldCharType="begin"/>
      </w:r>
      <w:r>
        <w:instrText xml:space="preserve"> PAGEREF _Toc16661 \h </w:instrText>
      </w:r>
      <w:r>
        <w:fldChar w:fldCharType="separate"/>
      </w:r>
      <w:r>
        <w:t>12</w:t>
      </w:r>
      <w:r>
        <w:fldChar w:fldCharType="end"/>
      </w:r>
      <w:r>
        <w:rPr>
          <w:szCs w:val="24"/>
        </w:rPr>
        <w:fldChar w:fldCharType="end"/>
      </w:r>
    </w:p>
    <w:p>
      <w:pPr>
        <w:pStyle w:val="21"/>
        <w:tabs>
          <w:tab w:val="right" w:leader="dot" w:pos="9746"/>
        </w:tabs>
        <w:spacing w:line="480" w:lineRule="auto"/>
      </w:pPr>
      <w:r>
        <w:rPr>
          <w:szCs w:val="24"/>
        </w:rPr>
        <w:fldChar w:fldCharType="begin"/>
      </w:r>
      <w:r>
        <w:rPr>
          <w:szCs w:val="24"/>
        </w:rPr>
        <w:instrText xml:space="preserve"> HYPERLINK \l _Toc28206 </w:instrText>
      </w:r>
      <w:r>
        <w:rPr>
          <w:szCs w:val="24"/>
        </w:rPr>
        <w:fldChar w:fldCharType="separate"/>
      </w:r>
      <w:r>
        <w:rPr>
          <w:rFonts w:hint="eastAsia" w:ascii="宋体" w:hAnsi="宋体" w:cs="宋体"/>
          <w:szCs w:val="28"/>
        </w:rPr>
        <w:t>第二章  投标文件的编写及编制顺序</w:t>
      </w:r>
      <w:r>
        <w:tab/>
      </w:r>
      <w:r>
        <w:fldChar w:fldCharType="begin"/>
      </w:r>
      <w:r>
        <w:instrText xml:space="preserve"> PAGEREF _Toc28206 \h </w:instrText>
      </w:r>
      <w:r>
        <w:fldChar w:fldCharType="separate"/>
      </w:r>
      <w:r>
        <w:t>12</w:t>
      </w:r>
      <w:r>
        <w:fldChar w:fldCharType="end"/>
      </w:r>
      <w:r>
        <w:rPr>
          <w:szCs w:val="24"/>
        </w:rPr>
        <w:fldChar w:fldCharType="end"/>
      </w:r>
    </w:p>
    <w:p>
      <w:pPr>
        <w:pStyle w:val="21"/>
        <w:tabs>
          <w:tab w:val="right" w:leader="dot" w:pos="9746"/>
        </w:tabs>
        <w:spacing w:line="480" w:lineRule="auto"/>
      </w:pPr>
      <w:r>
        <w:rPr>
          <w:szCs w:val="24"/>
        </w:rPr>
        <w:fldChar w:fldCharType="begin"/>
      </w:r>
      <w:r>
        <w:rPr>
          <w:szCs w:val="24"/>
        </w:rPr>
        <w:instrText xml:space="preserve"> HYPERLINK \l _Toc21933 </w:instrText>
      </w:r>
      <w:r>
        <w:rPr>
          <w:szCs w:val="24"/>
        </w:rPr>
        <w:fldChar w:fldCharType="separate"/>
      </w:r>
      <w:r>
        <w:rPr>
          <w:rFonts w:hint="eastAsia" w:ascii="宋体" w:hAnsi="宋体" w:cs="宋体"/>
          <w:szCs w:val="28"/>
        </w:rPr>
        <w:t>第三章  投标文件的递交</w:t>
      </w:r>
      <w:r>
        <w:tab/>
      </w:r>
      <w:r>
        <w:fldChar w:fldCharType="begin"/>
      </w:r>
      <w:r>
        <w:instrText xml:space="preserve"> PAGEREF _Toc21933 \h </w:instrText>
      </w:r>
      <w:r>
        <w:fldChar w:fldCharType="separate"/>
      </w:r>
      <w:r>
        <w:t>15</w:t>
      </w:r>
      <w:r>
        <w:fldChar w:fldCharType="end"/>
      </w:r>
      <w:r>
        <w:rPr>
          <w:szCs w:val="24"/>
        </w:rPr>
        <w:fldChar w:fldCharType="end"/>
      </w:r>
    </w:p>
    <w:p>
      <w:pPr>
        <w:pStyle w:val="21"/>
        <w:tabs>
          <w:tab w:val="right" w:leader="dot" w:pos="9746"/>
        </w:tabs>
        <w:spacing w:line="480" w:lineRule="auto"/>
      </w:pPr>
      <w:r>
        <w:rPr>
          <w:szCs w:val="24"/>
        </w:rPr>
        <w:fldChar w:fldCharType="begin"/>
      </w:r>
      <w:r>
        <w:rPr>
          <w:szCs w:val="24"/>
        </w:rPr>
        <w:instrText xml:space="preserve"> HYPERLINK \l _Toc10048 </w:instrText>
      </w:r>
      <w:r>
        <w:rPr>
          <w:szCs w:val="24"/>
        </w:rPr>
        <w:fldChar w:fldCharType="separate"/>
      </w:r>
      <w:r>
        <w:rPr>
          <w:rFonts w:hint="eastAsia" w:ascii="宋体" w:hAnsi="宋体" w:cs="宋体"/>
          <w:szCs w:val="28"/>
        </w:rPr>
        <w:t>第四章  开标</w:t>
      </w:r>
      <w:r>
        <w:rPr>
          <w:rFonts w:hint="eastAsia" w:ascii="宋体" w:hAnsi="宋体" w:cs="宋体"/>
          <w:szCs w:val="28"/>
          <w:lang w:eastAsia="zh-CN"/>
        </w:rPr>
        <w:t>（</w:t>
      </w:r>
      <w:r>
        <w:rPr>
          <w:rFonts w:hint="eastAsia" w:ascii="宋体" w:hAnsi="宋体" w:cs="宋体"/>
          <w:szCs w:val="28"/>
        </w:rPr>
        <w:t>政采云不见面开标</w:t>
      </w:r>
      <w:r>
        <w:rPr>
          <w:rFonts w:hint="eastAsia" w:ascii="宋体" w:hAnsi="宋体" w:cs="宋体"/>
          <w:szCs w:val="28"/>
          <w:lang w:eastAsia="zh-CN"/>
        </w:rPr>
        <w:t>）</w:t>
      </w:r>
      <w:r>
        <w:tab/>
      </w:r>
      <w:r>
        <w:fldChar w:fldCharType="begin"/>
      </w:r>
      <w:r>
        <w:instrText xml:space="preserve"> PAGEREF _Toc10048 \h </w:instrText>
      </w:r>
      <w:r>
        <w:fldChar w:fldCharType="separate"/>
      </w:r>
      <w:r>
        <w:t>16</w:t>
      </w:r>
      <w:r>
        <w:fldChar w:fldCharType="end"/>
      </w:r>
      <w:r>
        <w:rPr>
          <w:szCs w:val="24"/>
        </w:rPr>
        <w:fldChar w:fldCharType="end"/>
      </w:r>
    </w:p>
    <w:p>
      <w:pPr>
        <w:pStyle w:val="21"/>
        <w:tabs>
          <w:tab w:val="right" w:leader="dot" w:pos="9746"/>
        </w:tabs>
        <w:spacing w:line="480" w:lineRule="auto"/>
      </w:pPr>
      <w:r>
        <w:rPr>
          <w:szCs w:val="24"/>
        </w:rPr>
        <w:fldChar w:fldCharType="begin"/>
      </w:r>
      <w:r>
        <w:rPr>
          <w:szCs w:val="24"/>
        </w:rPr>
        <w:instrText xml:space="preserve"> HYPERLINK \l _Toc23811 </w:instrText>
      </w:r>
      <w:r>
        <w:rPr>
          <w:szCs w:val="24"/>
        </w:rPr>
        <w:fldChar w:fldCharType="separate"/>
      </w:r>
      <w:r>
        <w:rPr>
          <w:rFonts w:hint="eastAsia" w:ascii="宋体" w:hAnsi="宋体" w:cs="宋体"/>
          <w:szCs w:val="28"/>
        </w:rPr>
        <w:t>第五章  定标</w:t>
      </w:r>
      <w:r>
        <w:tab/>
      </w:r>
      <w:r>
        <w:fldChar w:fldCharType="begin"/>
      </w:r>
      <w:r>
        <w:instrText xml:space="preserve"> PAGEREF _Toc23811 \h </w:instrText>
      </w:r>
      <w:r>
        <w:fldChar w:fldCharType="separate"/>
      </w:r>
      <w:r>
        <w:t>17</w:t>
      </w:r>
      <w:r>
        <w:fldChar w:fldCharType="end"/>
      </w:r>
      <w:r>
        <w:rPr>
          <w:szCs w:val="24"/>
        </w:rPr>
        <w:fldChar w:fldCharType="end"/>
      </w:r>
    </w:p>
    <w:p>
      <w:pPr>
        <w:pStyle w:val="21"/>
        <w:tabs>
          <w:tab w:val="right" w:leader="dot" w:pos="9746"/>
        </w:tabs>
        <w:spacing w:line="480" w:lineRule="auto"/>
      </w:pPr>
      <w:r>
        <w:rPr>
          <w:szCs w:val="24"/>
        </w:rPr>
        <w:fldChar w:fldCharType="begin"/>
      </w:r>
      <w:r>
        <w:rPr>
          <w:szCs w:val="24"/>
        </w:rPr>
        <w:instrText xml:space="preserve"> HYPERLINK \l _Toc13364 </w:instrText>
      </w:r>
      <w:r>
        <w:rPr>
          <w:szCs w:val="24"/>
        </w:rPr>
        <w:fldChar w:fldCharType="separate"/>
      </w:r>
      <w:r>
        <w:rPr>
          <w:rFonts w:hint="eastAsia" w:ascii="宋体" w:hAnsi="宋体" w:cs="宋体"/>
          <w:szCs w:val="28"/>
        </w:rPr>
        <w:t>第六章  授予合同</w:t>
      </w:r>
      <w:r>
        <w:tab/>
      </w:r>
      <w:r>
        <w:fldChar w:fldCharType="begin"/>
      </w:r>
      <w:r>
        <w:instrText xml:space="preserve"> PAGEREF _Toc13364 \h </w:instrText>
      </w:r>
      <w:r>
        <w:fldChar w:fldCharType="separate"/>
      </w:r>
      <w:r>
        <w:t>19</w:t>
      </w:r>
      <w:r>
        <w:fldChar w:fldCharType="end"/>
      </w:r>
      <w:r>
        <w:rPr>
          <w:szCs w:val="24"/>
        </w:rPr>
        <w:fldChar w:fldCharType="end"/>
      </w:r>
    </w:p>
    <w:p>
      <w:pPr>
        <w:pStyle w:val="19"/>
        <w:tabs>
          <w:tab w:val="right" w:leader="dot" w:pos="9746"/>
        </w:tabs>
        <w:spacing w:line="480" w:lineRule="auto"/>
      </w:pPr>
      <w:r>
        <w:rPr>
          <w:szCs w:val="24"/>
        </w:rPr>
        <w:fldChar w:fldCharType="begin"/>
      </w:r>
      <w:r>
        <w:rPr>
          <w:szCs w:val="24"/>
        </w:rPr>
        <w:instrText xml:space="preserve"> HYPERLINK \l _Toc7527 </w:instrText>
      </w:r>
      <w:r>
        <w:rPr>
          <w:szCs w:val="24"/>
        </w:rPr>
        <w:fldChar w:fldCharType="separate"/>
      </w:r>
      <w:r>
        <w:rPr>
          <w:szCs w:val="32"/>
        </w:rPr>
        <w:t xml:space="preserve">第四部分  </w:t>
      </w:r>
      <w:r>
        <w:rPr>
          <w:rFonts w:hint="eastAsia"/>
          <w:szCs w:val="32"/>
          <w:lang w:eastAsia="zh-CN"/>
        </w:rPr>
        <w:t>采购需求</w:t>
      </w:r>
      <w:r>
        <w:tab/>
      </w:r>
      <w:r>
        <w:fldChar w:fldCharType="begin"/>
      </w:r>
      <w:r>
        <w:instrText xml:space="preserve"> PAGEREF _Toc7527 \h </w:instrText>
      </w:r>
      <w:r>
        <w:fldChar w:fldCharType="separate"/>
      </w:r>
      <w:r>
        <w:t>20</w:t>
      </w:r>
      <w:r>
        <w:fldChar w:fldCharType="end"/>
      </w:r>
      <w:r>
        <w:rPr>
          <w:szCs w:val="24"/>
        </w:rPr>
        <w:fldChar w:fldCharType="end"/>
      </w:r>
    </w:p>
    <w:p>
      <w:pPr>
        <w:pStyle w:val="19"/>
        <w:tabs>
          <w:tab w:val="right" w:leader="dot" w:pos="9746"/>
        </w:tabs>
        <w:spacing w:line="480" w:lineRule="auto"/>
      </w:pPr>
      <w:r>
        <w:rPr>
          <w:szCs w:val="24"/>
        </w:rPr>
        <w:fldChar w:fldCharType="begin"/>
      </w:r>
      <w:r>
        <w:rPr>
          <w:szCs w:val="24"/>
        </w:rPr>
        <w:instrText xml:space="preserve"> HYPERLINK \l _Toc9809 </w:instrText>
      </w:r>
      <w:r>
        <w:rPr>
          <w:szCs w:val="24"/>
        </w:rPr>
        <w:fldChar w:fldCharType="separate"/>
      </w:r>
      <w:r>
        <w:rPr>
          <w:szCs w:val="32"/>
        </w:rPr>
        <w:t>第五部分  合同条款</w:t>
      </w:r>
      <w:r>
        <w:tab/>
      </w:r>
      <w:r>
        <w:fldChar w:fldCharType="begin"/>
      </w:r>
      <w:r>
        <w:instrText xml:space="preserve"> PAGEREF _Toc9809 \h </w:instrText>
      </w:r>
      <w:r>
        <w:fldChar w:fldCharType="separate"/>
      </w:r>
      <w:r>
        <w:t>20</w:t>
      </w:r>
      <w:r>
        <w:fldChar w:fldCharType="end"/>
      </w:r>
      <w:r>
        <w:rPr>
          <w:szCs w:val="24"/>
        </w:rPr>
        <w:fldChar w:fldCharType="end"/>
      </w:r>
    </w:p>
    <w:p>
      <w:pPr>
        <w:pStyle w:val="19"/>
        <w:tabs>
          <w:tab w:val="right" w:leader="dot" w:pos="9746"/>
        </w:tabs>
        <w:spacing w:line="480" w:lineRule="auto"/>
      </w:pPr>
      <w:r>
        <w:rPr>
          <w:szCs w:val="24"/>
        </w:rPr>
        <w:fldChar w:fldCharType="begin"/>
      </w:r>
      <w:r>
        <w:rPr>
          <w:szCs w:val="24"/>
        </w:rPr>
        <w:instrText xml:space="preserve"> HYPERLINK \l _Toc9321 </w:instrText>
      </w:r>
      <w:r>
        <w:rPr>
          <w:szCs w:val="24"/>
        </w:rPr>
        <w:fldChar w:fldCharType="separate"/>
      </w:r>
      <w:r>
        <w:rPr>
          <w:szCs w:val="32"/>
        </w:rPr>
        <w:t xml:space="preserve">第六部分 </w:t>
      </w:r>
      <w:r>
        <w:rPr>
          <w:rFonts w:hint="eastAsia"/>
          <w:szCs w:val="32"/>
          <w:lang w:eastAsia="zh-CN"/>
        </w:rPr>
        <w:t>投标文件格式</w:t>
      </w:r>
      <w:r>
        <w:tab/>
      </w:r>
      <w:r>
        <w:fldChar w:fldCharType="begin"/>
      </w:r>
      <w:r>
        <w:instrText xml:space="preserve"> PAGEREF _Toc9321 \h </w:instrText>
      </w:r>
      <w:r>
        <w:fldChar w:fldCharType="separate"/>
      </w:r>
      <w:r>
        <w:t>25</w:t>
      </w:r>
      <w:r>
        <w:fldChar w:fldCharType="end"/>
      </w:r>
      <w:r>
        <w:rPr>
          <w:szCs w:val="24"/>
        </w:rPr>
        <w:fldChar w:fldCharType="end"/>
      </w:r>
    </w:p>
    <w:p>
      <w:pPr>
        <w:pStyle w:val="19"/>
        <w:tabs>
          <w:tab w:val="right" w:leader="dot" w:pos="9746"/>
        </w:tabs>
        <w:spacing w:line="480" w:lineRule="auto"/>
      </w:pPr>
      <w:r>
        <w:rPr>
          <w:szCs w:val="24"/>
        </w:rPr>
        <w:fldChar w:fldCharType="begin"/>
      </w:r>
      <w:r>
        <w:rPr>
          <w:szCs w:val="24"/>
        </w:rPr>
        <w:instrText xml:space="preserve"> HYPERLINK \l _Toc7351 </w:instrText>
      </w:r>
      <w:r>
        <w:rPr>
          <w:szCs w:val="24"/>
        </w:rPr>
        <w:fldChar w:fldCharType="separate"/>
      </w:r>
      <w:r>
        <w:rPr>
          <w:szCs w:val="32"/>
        </w:rPr>
        <w:t>第七部分  评标办法和细则</w:t>
      </w:r>
      <w:r>
        <w:tab/>
      </w:r>
      <w:r>
        <w:fldChar w:fldCharType="begin"/>
      </w:r>
      <w:r>
        <w:instrText xml:space="preserve"> PAGEREF _Toc7351 \h </w:instrText>
      </w:r>
      <w:r>
        <w:fldChar w:fldCharType="separate"/>
      </w:r>
      <w:r>
        <w:t>40</w:t>
      </w:r>
      <w:r>
        <w:fldChar w:fldCharType="end"/>
      </w:r>
      <w:r>
        <w:rPr>
          <w:szCs w:val="24"/>
        </w:rPr>
        <w:fldChar w:fldCharType="end"/>
      </w:r>
    </w:p>
    <w:p>
      <w:pPr>
        <w:pStyle w:val="19"/>
        <w:tabs>
          <w:tab w:val="right" w:leader="dot" w:pos="9736"/>
        </w:tabs>
        <w:spacing w:line="480" w:lineRule="auto"/>
        <w:rPr>
          <w:rFonts w:hint="eastAsia" w:eastAsia="宋体" w:asciiTheme="minorHAnsi" w:hAnsiTheme="minorHAnsi" w:cstheme="minorBidi"/>
          <w:sz w:val="28"/>
          <w:szCs w:val="28"/>
          <w:lang w:val="en-US" w:eastAsia="zh-CN" w:bidi="ar-SA"/>
        </w:rPr>
      </w:pPr>
      <w:r>
        <w:rPr>
          <w:szCs w:val="24"/>
        </w:rPr>
        <w:fldChar w:fldCharType="end"/>
      </w:r>
    </w:p>
    <w:p>
      <w:pPr>
        <w:adjustRightInd w:val="0"/>
        <w:snapToGrid w:val="0"/>
        <w:spacing w:after="100" w:afterAutospacing="1" w:line="360" w:lineRule="auto"/>
        <w:jc w:val="center"/>
        <w:rPr>
          <w:b/>
          <w:sz w:val="28"/>
          <w:szCs w:val="28"/>
        </w:rPr>
        <w:sectPr>
          <w:footerReference r:id="rId6" w:type="first"/>
          <w:footerReference r:id="rId5" w:type="default"/>
          <w:pgSz w:w="11906" w:h="16838"/>
          <w:pgMar w:top="993" w:right="1080" w:bottom="1440" w:left="1080" w:header="4" w:footer="567" w:gutter="0"/>
          <w:pgNumType w:fmt="decimal" w:start="1"/>
          <w:cols w:space="720" w:num="1"/>
          <w:docGrid w:type="linesAndChars" w:linePitch="312" w:charSpace="0"/>
        </w:sectPr>
      </w:pPr>
    </w:p>
    <w:p>
      <w:pPr>
        <w:adjustRightInd w:val="0"/>
        <w:snapToGrid w:val="0"/>
        <w:spacing w:after="100" w:afterAutospacing="1" w:line="360" w:lineRule="auto"/>
        <w:jc w:val="center"/>
        <w:rPr>
          <w:rFonts w:ascii="宋体" w:hAnsi="宋体" w:cs="宋体"/>
          <w:b/>
          <w:bCs/>
          <w:sz w:val="28"/>
          <w:szCs w:val="28"/>
        </w:rPr>
      </w:pPr>
      <w:bookmarkStart w:id="0" w:name="_Toc7927"/>
      <w:r>
        <w:rPr>
          <w:rFonts w:hint="eastAsia" w:ascii="宋体" w:hAnsi="宋体" w:cs="宋体"/>
          <w:b/>
          <w:sz w:val="28"/>
          <w:szCs w:val="28"/>
          <w:lang w:eastAsia="zh-CN"/>
        </w:rPr>
        <w:t>特克斯县住房和城乡建设局2023年城市园林绿化养护项目公开</w:t>
      </w:r>
      <w:r>
        <w:rPr>
          <w:rFonts w:hint="eastAsia" w:ascii="宋体" w:hAnsi="宋体" w:cs="宋体"/>
          <w:b/>
          <w:sz w:val="28"/>
          <w:szCs w:val="28"/>
        </w:rPr>
        <w:t>招标公告</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9" w:type="dxa"/>
            <w:noWrap w:val="0"/>
            <w:vAlign w:val="top"/>
          </w:tcPr>
          <w:p>
            <w:pPr>
              <w:pStyle w:val="2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项目概况</w:t>
            </w:r>
          </w:p>
          <w:p>
            <w:pPr>
              <w:pStyle w:val="2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　　特克斯县住房和城乡建设局2023年城市园林绿化养护项目的潜在</w:t>
            </w:r>
            <w:r>
              <w:rPr>
                <w:rFonts w:hint="eastAsia" w:ascii="微软雅黑" w:hAnsi="微软雅黑" w:eastAsia="微软雅黑" w:cs="微软雅黑"/>
                <w:color w:val="333333"/>
                <w:sz w:val="21"/>
                <w:szCs w:val="21"/>
                <w:highlight w:val="none"/>
                <w:shd w:val="clear" w:color="auto" w:fill="FFFFFF"/>
                <w:lang w:eastAsia="zh-CN"/>
              </w:rPr>
              <w:t>投标人</w:t>
            </w:r>
            <w:r>
              <w:rPr>
                <w:rFonts w:hint="eastAsia" w:ascii="微软雅黑" w:hAnsi="微软雅黑" w:eastAsia="微软雅黑" w:cs="微软雅黑"/>
                <w:color w:val="333333"/>
                <w:sz w:val="21"/>
                <w:szCs w:val="21"/>
                <w:highlight w:val="none"/>
                <w:shd w:val="clear" w:color="auto" w:fill="FFFFFF"/>
              </w:rPr>
              <w:t>应在</w:t>
            </w:r>
            <w:r>
              <w:rPr>
                <w:rFonts w:hint="eastAsia" w:ascii="微软雅黑" w:hAnsi="微软雅黑" w:eastAsia="微软雅黑" w:cs="微软雅黑"/>
                <w:color w:val="333333"/>
                <w:sz w:val="21"/>
                <w:szCs w:val="21"/>
                <w:highlight w:val="none"/>
                <w:u w:val="single"/>
                <w:shd w:val="clear" w:color="auto" w:fill="FFFFFF"/>
              </w:rPr>
              <w:t>政采云平台</w:t>
            </w:r>
            <w:r>
              <w:rPr>
                <w:rFonts w:ascii="微软雅黑" w:hAnsi="微软雅黑" w:eastAsia="微软雅黑" w:cs="微软雅黑"/>
                <w:color w:val="333333"/>
                <w:sz w:val="21"/>
                <w:szCs w:val="21"/>
                <w:highlight w:val="none"/>
                <w:shd w:val="clear" w:color="auto" w:fill="FFFFFF"/>
              </w:rPr>
              <w:t>获取（下载）</w:t>
            </w:r>
            <w:r>
              <w:rPr>
                <w:rFonts w:hint="eastAsia" w:ascii="微软雅黑" w:hAnsi="微软雅黑" w:eastAsia="微软雅黑" w:cs="微软雅黑"/>
                <w:color w:val="333333"/>
                <w:sz w:val="21"/>
                <w:szCs w:val="21"/>
                <w:highlight w:val="none"/>
                <w:shd w:val="clear" w:color="auto" w:fill="FFFFFF"/>
                <w:lang w:eastAsia="zh-CN"/>
              </w:rPr>
              <w:t>招标</w:t>
            </w:r>
            <w:r>
              <w:rPr>
                <w:rFonts w:hint="eastAsia" w:ascii="微软雅黑" w:hAnsi="微软雅黑" w:eastAsia="微软雅黑" w:cs="微软雅黑"/>
                <w:color w:val="333333"/>
                <w:sz w:val="21"/>
                <w:szCs w:val="21"/>
                <w:highlight w:val="none"/>
                <w:shd w:val="clear" w:color="auto" w:fill="FFFFFF"/>
              </w:rPr>
              <w:t>文件，并于</w:t>
            </w:r>
            <w:r>
              <w:rPr>
                <w:rFonts w:hint="eastAsia" w:ascii="微软雅黑" w:hAnsi="微软雅黑" w:eastAsia="微软雅黑" w:cs="微软雅黑"/>
                <w:color w:val="333333"/>
                <w:sz w:val="21"/>
                <w:szCs w:val="21"/>
                <w:highlight w:val="none"/>
                <w:u w:val="single"/>
                <w:shd w:val="clear" w:color="auto" w:fill="FFFFFF"/>
              </w:rPr>
              <w:t>202</w:t>
            </w:r>
            <w:r>
              <w:rPr>
                <w:rFonts w:hint="eastAsia" w:ascii="微软雅黑" w:hAnsi="微软雅黑" w:eastAsia="微软雅黑" w:cs="微软雅黑"/>
                <w:color w:val="333333"/>
                <w:sz w:val="21"/>
                <w:szCs w:val="21"/>
                <w:highlight w:val="none"/>
                <w:u w:val="single"/>
                <w:shd w:val="clear" w:color="auto" w:fill="FFFFFF"/>
                <w:lang w:val="en-US" w:eastAsia="zh-CN"/>
              </w:rPr>
              <w:t>3</w:t>
            </w:r>
            <w:r>
              <w:rPr>
                <w:rFonts w:hint="eastAsia" w:ascii="微软雅黑" w:hAnsi="微软雅黑" w:eastAsia="微软雅黑" w:cs="微软雅黑"/>
                <w:color w:val="333333"/>
                <w:sz w:val="21"/>
                <w:szCs w:val="21"/>
                <w:highlight w:val="none"/>
                <w:u w:val="single"/>
                <w:shd w:val="clear" w:color="auto" w:fill="FFFFFF"/>
              </w:rPr>
              <w:t>年</w:t>
            </w:r>
            <w:r>
              <w:rPr>
                <w:rFonts w:hint="eastAsia" w:ascii="微软雅黑" w:hAnsi="微软雅黑" w:eastAsia="微软雅黑" w:cs="微软雅黑"/>
                <w:color w:val="333333"/>
                <w:sz w:val="21"/>
                <w:szCs w:val="21"/>
                <w:highlight w:val="none"/>
                <w:u w:val="single"/>
                <w:shd w:val="clear" w:color="auto" w:fill="FFFFFF"/>
                <w:lang w:val="en-US" w:eastAsia="zh-CN"/>
              </w:rPr>
              <w:t>5</w:t>
            </w:r>
            <w:r>
              <w:rPr>
                <w:rFonts w:hint="eastAsia" w:ascii="微软雅黑" w:hAnsi="微软雅黑" w:eastAsia="微软雅黑" w:cs="微软雅黑"/>
                <w:color w:val="333333"/>
                <w:sz w:val="21"/>
                <w:szCs w:val="21"/>
                <w:highlight w:val="none"/>
                <w:u w:val="single"/>
                <w:shd w:val="clear" w:color="auto" w:fill="FFFFFF"/>
              </w:rPr>
              <w:t>月</w:t>
            </w:r>
            <w:r>
              <w:rPr>
                <w:rFonts w:hint="eastAsia" w:ascii="微软雅黑" w:hAnsi="微软雅黑" w:eastAsia="微软雅黑" w:cs="微软雅黑"/>
                <w:color w:val="333333"/>
                <w:sz w:val="21"/>
                <w:szCs w:val="21"/>
                <w:highlight w:val="none"/>
                <w:u w:val="single"/>
                <w:shd w:val="clear" w:color="auto" w:fill="FFFFFF"/>
                <w:lang w:val="en-US" w:eastAsia="zh-CN"/>
              </w:rPr>
              <w:t>6</w:t>
            </w:r>
            <w:r>
              <w:rPr>
                <w:rFonts w:hint="eastAsia" w:ascii="微软雅黑" w:hAnsi="微软雅黑" w:eastAsia="微软雅黑" w:cs="微软雅黑"/>
                <w:color w:val="333333"/>
                <w:sz w:val="21"/>
                <w:szCs w:val="21"/>
                <w:highlight w:val="none"/>
                <w:u w:val="single"/>
                <w:shd w:val="clear" w:color="auto" w:fill="FFFFFF"/>
              </w:rPr>
              <w:t>日1</w:t>
            </w:r>
            <w:r>
              <w:rPr>
                <w:rFonts w:hint="eastAsia" w:ascii="微软雅黑" w:hAnsi="微软雅黑" w:eastAsia="微软雅黑" w:cs="微软雅黑"/>
                <w:color w:val="333333"/>
                <w:sz w:val="21"/>
                <w:szCs w:val="21"/>
                <w:highlight w:val="none"/>
                <w:u w:val="single"/>
                <w:shd w:val="clear" w:color="auto" w:fill="FFFFFF"/>
                <w:lang w:val="en-US" w:eastAsia="zh-CN"/>
              </w:rPr>
              <w:t>1</w:t>
            </w:r>
            <w:r>
              <w:rPr>
                <w:rFonts w:hint="eastAsia" w:ascii="微软雅黑" w:hAnsi="微软雅黑" w:eastAsia="微软雅黑" w:cs="微软雅黑"/>
                <w:color w:val="333333"/>
                <w:sz w:val="21"/>
                <w:szCs w:val="21"/>
                <w:highlight w:val="none"/>
                <w:u w:val="single"/>
                <w:shd w:val="clear" w:color="auto" w:fill="FFFFFF"/>
              </w:rPr>
              <w:t>点</w:t>
            </w:r>
            <w:r>
              <w:rPr>
                <w:rFonts w:hint="eastAsia" w:ascii="微软雅黑" w:hAnsi="微软雅黑" w:eastAsia="微软雅黑" w:cs="微软雅黑"/>
                <w:color w:val="333333"/>
                <w:sz w:val="21"/>
                <w:szCs w:val="21"/>
                <w:highlight w:val="none"/>
                <w:u w:val="single"/>
                <w:shd w:val="clear" w:color="auto" w:fill="FFFFFF"/>
                <w:lang w:val="en-US" w:eastAsia="zh-CN"/>
              </w:rPr>
              <w:t>00</w:t>
            </w:r>
            <w:r>
              <w:rPr>
                <w:rFonts w:hint="eastAsia" w:ascii="微软雅黑" w:hAnsi="微软雅黑" w:eastAsia="微软雅黑" w:cs="微软雅黑"/>
                <w:color w:val="333333"/>
                <w:sz w:val="21"/>
                <w:szCs w:val="21"/>
                <w:highlight w:val="none"/>
                <w:u w:val="single"/>
                <w:shd w:val="clear" w:color="auto" w:fill="FFFFFF"/>
              </w:rPr>
              <w:t>分</w:t>
            </w:r>
            <w:r>
              <w:rPr>
                <w:rFonts w:hint="eastAsia" w:ascii="微软雅黑" w:hAnsi="微软雅黑" w:eastAsia="微软雅黑" w:cs="微软雅黑"/>
                <w:color w:val="333333"/>
                <w:sz w:val="21"/>
                <w:szCs w:val="21"/>
                <w:highlight w:val="none"/>
                <w:shd w:val="clear" w:color="auto" w:fill="FFFFFF"/>
              </w:rPr>
              <w:t>（北京时间）前</w:t>
            </w:r>
            <w:r>
              <w:rPr>
                <w:rFonts w:hint="eastAsia" w:ascii="微软雅黑" w:hAnsi="微软雅黑" w:eastAsia="微软雅黑" w:cs="微软雅黑"/>
                <w:color w:val="333333"/>
                <w:sz w:val="21"/>
                <w:szCs w:val="21"/>
                <w:highlight w:val="none"/>
                <w:shd w:val="clear" w:color="auto" w:fill="FFFFFF"/>
                <w:lang w:eastAsia="zh-CN"/>
              </w:rPr>
              <w:t>递</w:t>
            </w:r>
            <w:r>
              <w:rPr>
                <w:rFonts w:hint="eastAsia" w:ascii="微软雅黑" w:hAnsi="微软雅黑" w:eastAsia="微软雅黑" w:cs="微软雅黑"/>
                <w:color w:val="333333"/>
                <w:sz w:val="21"/>
                <w:szCs w:val="21"/>
                <w:highlight w:val="none"/>
                <w:shd w:val="clear" w:color="auto" w:fill="FFFFFF"/>
              </w:rPr>
              <w:t>交</w:t>
            </w:r>
            <w:r>
              <w:rPr>
                <w:rFonts w:hint="eastAsia" w:ascii="微软雅黑" w:hAnsi="微软雅黑" w:eastAsia="微软雅黑" w:cs="微软雅黑"/>
                <w:color w:val="333333"/>
                <w:sz w:val="21"/>
                <w:szCs w:val="21"/>
                <w:highlight w:val="none"/>
                <w:shd w:val="clear" w:color="auto" w:fill="FFFFFF"/>
                <w:lang w:eastAsia="zh-CN"/>
              </w:rPr>
              <w:t>投标</w:t>
            </w:r>
            <w:r>
              <w:rPr>
                <w:rFonts w:hint="eastAsia" w:ascii="微软雅黑" w:hAnsi="微软雅黑" w:eastAsia="微软雅黑" w:cs="微软雅黑"/>
                <w:color w:val="333333"/>
                <w:sz w:val="21"/>
                <w:szCs w:val="21"/>
                <w:highlight w:val="none"/>
                <w:shd w:val="clear" w:color="auto" w:fill="FFFFFF"/>
              </w:rPr>
              <w:t>文件。</w:t>
            </w:r>
          </w:p>
        </w:tc>
      </w:tr>
    </w:tbl>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rPr>
        <w:t>一、项目基本情况</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840" w:firstLineChars="400"/>
        <w:textAlignment w:val="auto"/>
        <w:rPr>
          <w:rFonts w:hint="eastAsia" w:ascii="微软雅黑" w:hAnsi="微软雅黑" w:eastAsia="微软雅黑" w:cs="微软雅黑"/>
          <w:color w:val="333333"/>
          <w:sz w:val="21"/>
          <w:szCs w:val="21"/>
          <w:highlight w:val="none"/>
          <w:shd w:val="clear" w:color="auto" w:fill="FFFFFF"/>
          <w:lang w:val="en-US" w:eastAsia="zh-CN"/>
        </w:rPr>
      </w:pPr>
      <w:r>
        <w:rPr>
          <w:rFonts w:hint="eastAsia" w:ascii="微软雅黑" w:hAnsi="微软雅黑" w:eastAsia="微软雅黑" w:cs="微软雅黑"/>
          <w:color w:val="333333"/>
          <w:sz w:val="21"/>
          <w:szCs w:val="21"/>
          <w:highlight w:val="none"/>
          <w:shd w:val="clear" w:color="auto" w:fill="FFFFFF"/>
        </w:rPr>
        <w:t>项目编号：XJJT-2023-04-10-2</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　　项目名称：特克斯县住房和城乡建设局2023年城市园林绿化养护项目</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　　采购方式：</w:t>
      </w:r>
      <w:r>
        <w:rPr>
          <w:rFonts w:hint="eastAsia" w:ascii="微软雅黑" w:hAnsi="微软雅黑" w:eastAsia="微软雅黑" w:cs="微软雅黑"/>
          <w:color w:val="333333"/>
          <w:sz w:val="21"/>
          <w:szCs w:val="21"/>
          <w:highlight w:val="none"/>
          <w:shd w:val="clear" w:color="auto" w:fill="FFFFFF"/>
          <w:lang w:eastAsia="zh-CN"/>
        </w:rPr>
        <w:t>公开招标</w:t>
      </w:r>
      <w:r>
        <w:rPr>
          <w:rFonts w:hint="eastAsia" w:ascii="微软雅黑" w:hAnsi="微软雅黑" w:eastAsia="微软雅黑" w:cs="微软雅黑"/>
          <w:color w:val="333333"/>
          <w:sz w:val="21"/>
          <w:szCs w:val="21"/>
          <w:highlight w:val="none"/>
          <w:shd w:val="clear" w:color="auto" w:fill="FFFFFF"/>
        </w:rPr>
        <w:t xml:space="preserve"> </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val="en-US" w:eastAsia="zh-CN"/>
        </w:rPr>
      </w:pPr>
      <w:r>
        <w:rPr>
          <w:rFonts w:hint="eastAsia" w:ascii="微软雅黑" w:hAnsi="微软雅黑" w:eastAsia="微软雅黑" w:cs="微软雅黑"/>
          <w:color w:val="333333"/>
          <w:sz w:val="21"/>
          <w:szCs w:val="21"/>
          <w:highlight w:val="none"/>
          <w:shd w:val="clear" w:color="auto" w:fill="FFFFFF"/>
        </w:rPr>
        <w:t>　　预算金额：</w:t>
      </w:r>
      <w:r>
        <w:rPr>
          <w:rFonts w:hint="eastAsia" w:ascii="微软雅黑" w:hAnsi="微软雅黑" w:eastAsia="微软雅黑" w:cs="微软雅黑"/>
          <w:color w:val="333333"/>
          <w:sz w:val="21"/>
          <w:szCs w:val="21"/>
          <w:highlight w:val="none"/>
          <w:shd w:val="clear" w:color="auto" w:fill="FFFFFF"/>
          <w:lang w:val="en-US" w:eastAsia="zh-CN"/>
        </w:rPr>
        <w:t>10622860.00元</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val="en-US" w:eastAsia="zh-CN"/>
        </w:rPr>
      </w:pPr>
      <w:r>
        <w:rPr>
          <w:rFonts w:hint="eastAsia" w:ascii="微软雅黑" w:hAnsi="微软雅黑" w:eastAsia="微软雅黑" w:cs="微软雅黑"/>
          <w:color w:val="333333"/>
          <w:sz w:val="21"/>
          <w:szCs w:val="21"/>
          <w:highlight w:val="none"/>
          <w:shd w:val="clear" w:color="auto" w:fill="FFFFFF"/>
        </w:rPr>
        <w:t>　　最高限价：</w:t>
      </w:r>
      <w:r>
        <w:rPr>
          <w:rFonts w:hint="eastAsia" w:ascii="微软雅黑" w:hAnsi="微软雅黑" w:eastAsia="微软雅黑" w:cs="微软雅黑"/>
          <w:color w:val="333333"/>
          <w:sz w:val="21"/>
          <w:szCs w:val="21"/>
          <w:highlight w:val="none"/>
          <w:shd w:val="clear" w:color="auto" w:fill="FFFFFF"/>
          <w:lang w:val="en-US" w:eastAsia="zh-CN"/>
        </w:rPr>
        <w:t>10622860.00元</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color w:val="333333"/>
          <w:sz w:val="21"/>
          <w:szCs w:val="21"/>
          <w:highlight w:val="none"/>
          <w:shd w:val="clear" w:color="auto" w:fill="FFFFFF"/>
        </w:rPr>
        <w:t>　　采购需求：</w:t>
      </w:r>
      <w:r>
        <w:rPr>
          <w:rFonts w:hint="eastAsia" w:ascii="微软雅黑" w:hAnsi="微软雅黑" w:eastAsia="微软雅黑" w:cs="微软雅黑"/>
          <w:color w:val="333333"/>
          <w:sz w:val="21"/>
          <w:szCs w:val="21"/>
          <w:highlight w:val="none"/>
          <w:shd w:val="clear" w:color="auto" w:fill="FFFFFF"/>
          <w:lang w:eastAsia="zh-CN"/>
        </w:rPr>
        <w:t>特克斯县2023年城市园林绿化养护。（详见招标文件）</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840" w:firstLineChars="40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合同履行期限：甲乙双方签订合同</w:t>
      </w:r>
      <w:r>
        <w:rPr>
          <w:rFonts w:hint="eastAsia" w:ascii="微软雅黑" w:hAnsi="微软雅黑" w:eastAsia="微软雅黑" w:cs="微软雅黑"/>
          <w:color w:val="333333"/>
          <w:sz w:val="21"/>
          <w:szCs w:val="21"/>
          <w:highlight w:val="none"/>
          <w:shd w:val="clear" w:color="auto" w:fill="FFFFFF"/>
          <w:lang w:eastAsia="zh-CN"/>
        </w:rPr>
        <w:t>后</w:t>
      </w:r>
      <w:r>
        <w:rPr>
          <w:rFonts w:hint="eastAsia" w:ascii="微软雅黑" w:hAnsi="微软雅黑" w:eastAsia="微软雅黑" w:cs="微软雅黑"/>
          <w:color w:val="333333"/>
          <w:sz w:val="21"/>
          <w:szCs w:val="21"/>
          <w:highlight w:val="none"/>
          <w:shd w:val="clear" w:color="auto" w:fill="FFFFFF"/>
          <w:lang w:val="en-US" w:eastAsia="zh-CN"/>
        </w:rPr>
        <w:t>1年</w:t>
      </w:r>
      <w:r>
        <w:rPr>
          <w:rFonts w:hint="eastAsia" w:ascii="微软雅黑" w:hAnsi="微软雅黑" w:eastAsia="微软雅黑" w:cs="微软雅黑"/>
          <w:color w:val="333333"/>
          <w:sz w:val="21"/>
          <w:szCs w:val="21"/>
          <w:highlight w:val="none"/>
          <w:shd w:val="clear" w:color="auto" w:fill="FFFFFF"/>
        </w:rPr>
        <w:t>。</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rPr>
        <w:t>　　本项目不接受联合体。</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0" w:leftChars="20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二、申请人的资格要求：</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0" w:leftChars="20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　　1.满足《中华人民共和国政府采购法》第二十二条规定；</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0" w:leftChars="20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color w:val="333333"/>
          <w:sz w:val="21"/>
          <w:szCs w:val="21"/>
          <w:highlight w:val="none"/>
          <w:shd w:val="clear" w:color="auto" w:fill="FFFFFF"/>
        </w:rPr>
        <w:t>　　2.落实政府采购政策需满足的资格要求：</w:t>
      </w:r>
      <w:r>
        <w:rPr>
          <w:rFonts w:hint="eastAsia" w:ascii="微软雅黑" w:hAnsi="微软雅黑" w:eastAsia="微软雅黑" w:cs="微软雅黑"/>
          <w:color w:val="333333"/>
          <w:sz w:val="21"/>
          <w:szCs w:val="21"/>
          <w:highlight w:val="none"/>
          <w:shd w:val="clear" w:color="auto" w:fill="FFFFFF"/>
          <w:lang w:eastAsia="zh-CN"/>
        </w:rPr>
        <w:t>供应商为中小微企业</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840" w:firstLineChars="40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3.本项目的特定资格要求：</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eastAsia" w:ascii="微软雅黑" w:hAnsi="微软雅黑" w:eastAsia="微软雅黑" w:cs="微软雅黑"/>
          <w:b/>
          <w:bCs/>
          <w:color w:val="333333"/>
          <w:sz w:val="21"/>
          <w:szCs w:val="21"/>
          <w:highlight w:val="none"/>
          <w:shd w:val="clear" w:color="auto" w:fill="FFFFFF"/>
          <w:lang w:eastAsia="zh-CN"/>
        </w:rPr>
      </w:pPr>
      <w:r>
        <w:rPr>
          <w:rFonts w:hint="eastAsia" w:ascii="微软雅黑" w:hAnsi="微软雅黑" w:eastAsia="微软雅黑" w:cs="微软雅黑"/>
          <w:b/>
          <w:bCs/>
          <w:color w:val="333333"/>
          <w:sz w:val="21"/>
          <w:szCs w:val="21"/>
          <w:highlight w:val="none"/>
          <w:shd w:val="clear" w:color="auto" w:fill="FFFFFF"/>
        </w:rPr>
        <w:t>（1）具有独立法人资格</w:t>
      </w:r>
      <w:r>
        <w:rPr>
          <w:rFonts w:hint="eastAsia" w:ascii="微软雅黑" w:hAnsi="微软雅黑" w:eastAsia="微软雅黑" w:cs="微软雅黑"/>
          <w:b/>
          <w:bCs/>
          <w:color w:val="333333"/>
          <w:sz w:val="21"/>
          <w:szCs w:val="21"/>
          <w:highlight w:val="none"/>
          <w:shd w:val="clear" w:color="auto" w:fill="FFFFFF"/>
          <w:lang w:eastAsia="zh-CN"/>
        </w:rPr>
        <w:t>；</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eastAsia" w:ascii="微软雅黑" w:hAnsi="微软雅黑" w:eastAsia="微软雅黑" w:cs="微软雅黑"/>
          <w:b/>
          <w:bCs/>
          <w:color w:val="333333"/>
          <w:sz w:val="21"/>
          <w:szCs w:val="21"/>
          <w:highlight w:val="none"/>
          <w:shd w:val="clear" w:color="auto" w:fill="FFFFFF"/>
          <w:lang w:eastAsia="zh-CN"/>
        </w:rPr>
      </w:pPr>
      <w:r>
        <w:rPr>
          <w:rFonts w:hint="eastAsia" w:ascii="微软雅黑" w:hAnsi="微软雅黑" w:eastAsia="微软雅黑" w:cs="微软雅黑"/>
          <w:b/>
          <w:bCs/>
          <w:color w:val="333333"/>
          <w:sz w:val="21"/>
          <w:szCs w:val="21"/>
          <w:highlight w:val="none"/>
          <w:shd w:val="clear" w:color="auto" w:fill="FFFFFF"/>
          <w:lang w:eastAsia="zh-CN"/>
        </w:rPr>
        <w:t>（</w:t>
      </w:r>
      <w:r>
        <w:rPr>
          <w:rFonts w:hint="eastAsia" w:ascii="微软雅黑" w:hAnsi="微软雅黑" w:eastAsia="微软雅黑" w:cs="微软雅黑"/>
          <w:b/>
          <w:bCs/>
          <w:color w:val="333333"/>
          <w:sz w:val="21"/>
          <w:szCs w:val="21"/>
          <w:highlight w:val="none"/>
          <w:shd w:val="clear" w:color="auto" w:fill="FFFFFF"/>
          <w:lang w:val="en-US" w:eastAsia="zh-CN"/>
        </w:rPr>
        <w:t>2</w:t>
      </w:r>
      <w:r>
        <w:rPr>
          <w:rFonts w:hint="eastAsia" w:ascii="微软雅黑" w:hAnsi="微软雅黑" w:eastAsia="微软雅黑" w:cs="微软雅黑"/>
          <w:b/>
          <w:bCs/>
          <w:color w:val="333333"/>
          <w:sz w:val="21"/>
          <w:szCs w:val="21"/>
          <w:highlight w:val="none"/>
          <w:shd w:val="clear" w:color="auto" w:fill="FFFFFF"/>
          <w:lang w:eastAsia="zh-CN"/>
        </w:rPr>
        <w:t>）项目负责人具有园林专业中级及以上职称；</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eastAsia" w:ascii="微软雅黑" w:hAnsi="微软雅黑" w:eastAsia="微软雅黑" w:cs="微软雅黑"/>
          <w:b/>
          <w:bCs/>
          <w:color w:val="333333"/>
          <w:sz w:val="21"/>
          <w:szCs w:val="21"/>
          <w:highlight w:val="none"/>
          <w:shd w:val="clear" w:color="auto" w:fill="FFFFFF"/>
          <w:lang w:eastAsia="zh-CN"/>
        </w:rPr>
      </w:pPr>
      <w:r>
        <w:rPr>
          <w:rFonts w:hint="eastAsia" w:ascii="微软雅黑" w:hAnsi="微软雅黑" w:eastAsia="微软雅黑" w:cs="微软雅黑"/>
          <w:b/>
          <w:bCs/>
          <w:color w:val="333333"/>
          <w:sz w:val="21"/>
          <w:szCs w:val="21"/>
          <w:highlight w:val="none"/>
          <w:shd w:val="clear" w:color="auto" w:fill="FFFFFF"/>
          <w:lang w:eastAsia="zh-CN"/>
        </w:rPr>
        <w:t>（</w:t>
      </w:r>
      <w:r>
        <w:rPr>
          <w:rFonts w:hint="eastAsia" w:ascii="微软雅黑" w:hAnsi="微软雅黑" w:eastAsia="微软雅黑" w:cs="微软雅黑"/>
          <w:b/>
          <w:bCs/>
          <w:color w:val="333333"/>
          <w:sz w:val="21"/>
          <w:szCs w:val="21"/>
          <w:highlight w:val="none"/>
          <w:shd w:val="clear" w:color="auto" w:fill="FFFFFF"/>
          <w:lang w:val="en-US" w:eastAsia="zh-CN"/>
        </w:rPr>
        <w:t>3</w:t>
      </w:r>
      <w:r>
        <w:rPr>
          <w:rFonts w:hint="eastAsia" w:ascii="微软雅黑" w:hAnsi="微软雅黑" w:eastAsia="微软雅黑" w:cs="微软雅黑"/>
          <w:b/>
          <w:bCs/>
          <w:color w:val="333333"/>
          <w:sz w:val="21"/>
          <w:szCs w:val="21"/>
          <w:highlight w:val="none"/>
          <w:shd w:val="clear" w:color="auto" w:fill="FFFFFF"/>
          <w:lang w:eastAsia="zh-CN"/>
        </w:rPr>
        <w:t>）</w:t>
      </w:r>
      <w:r>
        <w:rPr>
          <w:rFonts w:hint="eastAsia" w:ascii="微软雅黑" w:hAnsi="微软雅黑" w:eastAsia="微软雅黑" w:cs="微软雅黑"/>
          <w:b/>
          <w:bCs/>
          <w:color w:val="333333"/>
          <w:sz w:val="21"/>
          <w:szCs w:val="21"/>
          <w:highlight w:val="none"/>
          <w:shd w:val="clear" w:color="auto" w:fill="FFFFFF"/>
        </w:rPr>
        <w:t>未被信用中国（www.creditchina.gov.cn）、中国政府采购网（www.ccgp.gov.cn）、国家企业信用信息公示系统（http://www.gsxt.gov.cn）列入失信被执行人、税收违法黑名单、政府采购严重违法失信行为记录名单</w:t>
      </w:r>
      <w:r>
        <w:rPr>
          <w:rFonts w:hint="eastAsia" w:ascii="微软雅黑" w:hAnsi="微软雅黑" w:eastAsia="微软雅黑" w:cs="微软雅黑"/>
          <w:b/>
          <w:bCs/>
          <w:color w:val="333333"/>
          <w:sz w:val="21"/>
          <w:szCs w:val="21"/>
          <w:highlight w:val="none"/>
          <w:shd w:val="clear" w:color="auto" w:fill="FFFFFF"/>
          <w:lang w:eastAsia="zh-CN"/>
        </w:rPr>
        <w:t>；</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firstLineChars="200"/>
        <w:textAlignment w:val="auto"/>
        <w:rPr>
          <w:rFonts w:hint="eastAsia" w:ascii="微软雅黑" w:hAnsi="微软雅黑" w:eastAsia="微软雅黑" w:cs="微软雅黑"/>
          <w:b/>
          <w:bCs/>
          <w:color w:val="333333"/>
          <w:sz w:val="21"/>
          <w:szCs w:val="21"/>
          <w:highlight w:val="none"/>
          <w:shd w:val="clear" w:color="auto" w:fill="FFFFFF"/>
        </w:rPr>
      </w:pPr>
      <w:r>
        <w:rPr>
          <w:rFonts w:hint="eastAsia" w:ascii="微软雅黑" w:hAnsi="微软雅黑" w:eastAsia="微软雅黑" w:cs="微软雅黑"/>
          <w:b/>
          <w:bCs/>
          <w:color w:val="333333"/>
          <w:sz w:val="21"/>
          <w:szCs w:val="21"/>
          <w:highlight w:val="none"/>
          <w:shd w:val="clear" w:color="auto" w:fill="FFFFFF"/>
        </w:rPr>
        <w:t xml:space="preserve">   </w:t>
      </w:r>
      <w:r>
        <w:rPr>
          <w:rFonts w:hint="eastAsia" w:ascii="微软雅黑" w:hAnsi="微软雅黑" w:eastAsia="微软雅黑" w:cs="微软雅黑"/>
          <w:b/>
          <w:bCs/>
          <w:color w:val="333333"/>
          <w:sz w:val="21"/>
          <w:szCs w:val="21"/>
          <w:highlight w:val="none"/>
          <w:shd w:val="clear" w:color="auto" w:fill="FFFFFF"/>
          <w:lang w:val="en-US" w:eastAsia="zh-CN"/>
        </w:rPr>
        <w:t xml:space="preserve"> </w:t>
      </w:r>
      <w:r>
        <w:rPr>
          <w:rFonts w:hint="eastAsia" w:ascii="微软雅黑" w:hAnsi="微软雅黑" w:eastAsia="微软雅黑" w:cs="微软雅黑"/>
          <w:b/>
          <w:bCs/>
          <w:color w:val="333333"/>
          <w:sz w:val="21"/>
          <w:szCs w:val="21"/>
          <w:highlight w:val="none"/>
          <w:shd w:val="clear" w:color="auto" w:fill="FFFFFF"/>
        </w:rPr>
        <w:t>（</w:t>
      </w:r>
      <w:r>
        <w:rPr>
          <w:rFonts w:hint="eastAsia" w:ascii="微软雅黑" w:hAnsi="微软雅黑" w:eastAsia="微软雅黑" w:cs="微软雅黑"/>
          <w:b/>
          <w:bCs/>
          <w:color w:val="333333"/>
          <w:sz w:val="21"/>
          <w:szCs w:val="21"/>
          <w:highlight w:val="none"/>
          <w:shd w:val="clear" w:color="auto" w:fill="FFFFFF"/>
          <w:lang w:val="en-US" w:eastAsia="zh-CN"/>
        </w:rPr>
        <w:t>4</w:t>
      </w:r>
      <w:r>
        <w:rPr>
          <w:rFonts w:hint="eastAsia" w:ascii="微软雅黑" w:hAnsi="微软雅黑" w:eastAsia="微软雅黑" w:cs="微软雅黑"/>
          <w:b/>
          <w:bCs/>
          <w:color w:val="333333"/>
          <w:sz w:val="21"/>
          <w:szCs w:val="21"/>
          <w:highlight w:val="none"/>
          <w:shd w:val="clear" w:color="auto" w:fill="FFFFFF"/>
        </w:rPr>
        <w:t>）与</w:t>
      </w:r>
      <w:r>
        <w:rPr>
          <w:rFonts w:hint="eastAsia" w:ascii="微软雅黑" w:hAnsi="微软雅黑" w:eastAsia="微软雅黑" w:cs="微软雅黑"/>
          <w:b/>
          <w:bCs/>
          <w:color w:val="333333"/>
          <w:sz w:val="21"/>
          <w:szCs w:val="21"/>
          <w:highlight w:val="none"/>
          <w:shd w:val="clear" w:color="auto" w:fill="FFFFFF"/>
          <w:lang w:eastAsia="zh-CN"/>
        </w:rPr>
        <w:t>采购人</w:t>
      </w:r>
      <w:r>
        <w:rPr>
          <w:rFonts w:hint="eastAsia" w:ascii="微软雅黑" w:hAnsi="微软雅黑" w:eastAsia="微软雅黑" w:cs="微软雅黑"/>
          <w:b/>
          <w:bCs/>
          <w:color w:val="333333"/>
          <w:sz w:val="21"/>
          <w:szCs w:val="21"/>
          <w:highlight w:val="none"/>
          <w:shd w:val="clear" w:color="auto" w:fill="FFFFFF"/>
        </w:rPr>
        <w:t>存在利害关系可能影响</w:t>
      </w:r>
      <w:r>
        <w:rPr>
          <w:rFonts w:hint="eastAsia" w:ascii="微软雅黑" w:hAnsi="微软雅黑" w:eastAsia="微软雅黑" w:cs="微软雅黑"/>
          <w:b/>
          <w:bCs/>
          <w:color w:val="333333"/>
          <w:sz w:val="21"/>
          <w:szCs w:val="21"/>
          <w:highlight w:val="none"/>
          <w:shd w:val="clear" w:color="auto" w:fill="FFFFFF"/>
          <w:lang w:eastAsia="zh-CN"/>
        </w:rPr>
        <w:t>采购</w:t>
      </w:r>
      <w:r>
        <w:rPr>
          <w:rFonts w:hint="eastAsia" w:ascii="微软雅黑" w:hAnsi="微软雅黑" w:eastAsia="微软雅黑" w:cs="微软雅黑"/>
          <w:b/>
          <w:bCs/>
          <w:color w:val="333333"/>
          <w:sz w:val="21"/>
          <w:szCs w:val="21"/>
          <w:highlight w:val="none"/>
          <w:shd w:val="clear" w:color="auto" w:fill="FFFFFF"/>
        </w:rPr>
        <w:t>公正性的单位，不得参加</w:t>
      </w:r>
      <w:r>
        <w:rPr>
          <w:rFonts w:hint="eastAsia" w:ascii="微软雅黑" w:hAnsi="微软雅黑" w:eastAsia="微软雅黑" w:cs="微软雅黑"/>
          <w:b/>
          <w:bCs/>
          <w:color w:val="333333"/>
          <w:sz w:val="21"/>
          <w:szCs w:val="21"/>
          <w:highlight w:val="none"/>
          <w:shd w:val="clear" w:color="auto" w:fill="FFFFFF"/>
          <w:lang w:val="en-US" w:eastAsia="zh-CN"/>
        </w:rPr>
        <w:t>投标</w:t>
      </w:r>
      <w:r>
        <w:rPr>
          <w:rFonts w:hint="eastAsia" w:ascii="微软雅黑" w:hAnsi="微软雅黑" w:eastAsia="微软雅黑" w:cs="微软雅黑"/>
          <w:b/>
          <w:bCs/>
          <w:color w:val="333333"/>
          <w:sz w:val="21"/>
          <w:szCs w:val="21"/>
          <w:highlight w:val="none"/>
          <w:shd w:val="clear" w:color="auto" w:fill="FFFFFF"/>
        </w:rPr>
        <w:t>。单位负责人为同一人或存在控股、管理关系的不同单位，不得参加同一标段</w:t>
      </w:r>
      <w:r>
        <w:rPr>
          <w:rFonts w:hint="eastAsia" w:ascii="微软雅黑" w:hAnsi="微软雅黑" w:eastAsia="微软雅黑" w:cs="微软雅黑"/>
          <w:b/>
          <w:bCs/>
          <w:color w:val="333333"/>
          <w:sz w:val="21"/>
          <w:szCs w:val="21"/>
          <w:highlight w:val="none"/>
          <w:shd w:val="clear" w:color="auto" w:fill="FFFFFF"/>
          <w:lang w:val="en-US" w:eastAsia="zh-CN"/>
        </w:rPr>
        <w:t>投标</w:t>
      </w:r>
      <w:r>
        <w:rPr>
          <w:rFonts w:hint="eastAsia" w:ascii="微软雅黑" w:hAnsi="微软雅黑" w:eastAsia="微软雅黑" w:cs="微软雅黑"/>
          <w:b/>
          <w:bCs/>
          <w:color w:val="333333"/>
          <w:sz w:val="21"/>
          <w:szCs w:val="21"/>
          <w:highlight w:val="none"/>
          <w:shd w:val="clear" w:color="auto" w:fill="FFFFFF"/>
        </w:rPr>
        <w:t>，否则，相关</w:t>
      </w:r>
      <w:r>
        <w:rPr>
          <w:rFonts w:hint="eastAsia" w:ascii="微软雅黑" w:hAnsi="微软雅黑" w:eastAsia="微软雅黑" w:cs="微软雅黑"/>
          <w:b/>
          <w:bCs/>
          <w:color w:val="333333"/>
          <w:sz w:val="21"/>
          <w:szCs w:val="21"/>
          <w:highlight w:val="none"/>
          <w:shd w:val="clear" w:color="auto" w:fill="FFFFFF"/>
          <w:lang w:val="en-US" w:eastAsia="zh-CN"/>
        </w:rPr>
        <w:t>投标</w:t>
      </w:r>
      <w:r>
        <w:rPr>
          <w:rFonts w:hint="eastAsia" w:ascii="微软雅黑" w:hAnsi="微软雅黑" w:eastAsia="微软雅黑" w:cs="微软雅黑"/>
          <w:b/>
          <w:bCs/>
          <w:color w:val="333333"/>
          <w:sz w:val="21"/>
          <w:szCs w:val="21"/>
          <w:highlight w:val="none"/>
          <w:shd w:val="clear" w:color="auto" w:fill="FFFFFF"/>
        </w:rPr>
        <w:t>均无效。</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color w:val="333333"/>
          <w:sz w:val="21"/>
          <w:szCs w:val="21"/>
          <w:highlight w:val="none"/>
          <w:shd w:val="clear" w:color="auto" w:fill="FFFFFF"/>
        </w:rPr>
        <w:t>三、获取</w:t>
      </w:r>
      <w:r>
        <w:rPr>
          <w:rFonts w:hint="eastAsia" w:ascii="微软雅黑" w:hAnsi="微软雅黑" w:eastAsia="微软雅黑" w:cs="微软雅黑"/>
          <w:color w:val="333333"/>
          <w:sz w:val="21"/>
          <w:szCs w:val="21"/>
          <w:highlight w:val="none"/>
          <w:shd w:val="clear" w:color="auto" w:fill="FFFFFF"/>
          <w:lang w:eastAsia="zh-CN"/>
        </w:rPr>
        <w:t>招标文件</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时间：2023年</w:t>
      </w:r>
      <w:r>
        <w:rPr>
          <w:rFonts w:hint="eastAsia" w:ascii="微软雅黑" w:hAnsi="微软雅黑" w:eastAsia="微软雅黑" w:cs="微软雅黑"/>
          <w:color w:val="333333"/>
          <w:sz w:val="21"/>
          <w:szCs w:val="21"/>
          <w:highlight w:val="none"/>
          <w:shd w:val="clear" w:color="auto" w:fill="FFFFFF"/>
          <w:lang w:val="en-US" w:eastAsia="zh-CN"/>
        </w:rPr>
        <w:t>4</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14</w:t>
      </w:r>
      <w:r>
        <w:rPr>
          <w:rFonts w:hint="eastAsia" w:ascii="微软雅黑" w:hAnsi="微软雅黑" w:eastAsia="微软雅黑" w:cs="微软雅黑"/>
          <w:color w:val="333333"/>
          <w:sz w:val="21"/>
          <w:szCs w:val="21"/>
          <w:highlight w:val="none"/>
          <w:shd w:val="clear" w:color="auto" w:fill="FFFFFF"/>
        </w:rPr>
        <w:t>日至2023年</w:t>
      </w:r>
      <w:r>
        <w:rPr>
          <w:rFonts w:hint="eastAsia" w:ascii="微软雅黑" w:hAnsi="微软雅黑" w:eastAsia="微软雅黑" w:cs="微软雅黑"/>
          <w:color w:val="333333"/>
          <w:sz w:val="21"/>
          <w:szCs w:val="21"/>
          <w:highlight w:val="none"/>
          <w:shd w:val="clear" w:color="auto" w:fill="FFFFFF"/>
          <w:lang w:val="en-US" w:eastAsia="zh-CN"/>
        </w:rPr>
        <w:t>4</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21</w:t>
      </w:r>
      <w:bookmarkStart w:id="26" w:name="_GoBack"/>
      <w:bookmarkEnd w:id="26"/>
      <w:r>
        <w:rPr>
          <w:rFonts w:hint="eastAsia" w:ascii="微软雅黑" w:hAnsi="微软雅黑" w:eastAsia="微软雅黑" w:cs="微软雅黑"/>
          <w:color w:val="333333"/>
          <w:sz w:val="21"/>
          <w:szCs w:val="21"/>
          <w:highlight w:val="none"/>
          <w:shd w:val="clear" w:color="auto" w:fill="FFFFFF"/>
        </w:rPr>
        <w:t>日，每天上午10：00至14:00，下午1</w:t>
      </w:r>
      <w:r>
        <w:rPr>
          <w:rFonts w:hint="eastAsia" w:ascii="微软雅黑" w:hAnsi="微软雅黑" w:eastAsia="微软雅黑" w:cs="微软雅黑"/>
          <w:color w:val="333333"/>
          <w:sz w:val="21"/>
          <w:szCs w:val="21"/>
          <w:highlight w:val="none"/>
          <w:shd w:val="clear" w:color="auto" w:fill="FFFFFF"/>
          <w:lang w:val="en-US" w:eastAsia="zh-CN"/>
        </w:rPr>
        <w:t>5</w:t>
      </w:r>
      <w:r>
        <w:rPr>
          <w:rFonts w:hint="eastAsia" w:ascii="微软雅黑" w:hAnsi="微软雅黑" w:eastAsia="微软雅黑" w:cs="微软雅黑"/>
          <w:color w:val="333333"/>
          <w:sz w:val="21"/>
          <w:szCs w:val="21"/>
          <w:highlight w:val="none"/>
          <w:shd w:val="clear" w:color="auto" w:fill="FFFFFF"/>
        </w:rPr>
        <w:t>:</w:t>
      </w:r>
      <w:r>
        <w:rPr>
          <w:rFonts w:hint="eastAsia" w:ascii="微软雅黑" w:hAnsi="微软雅黑" w:eastAsia="微软雅黑" w:cs="微软雅黑"/>
          <w:color w:val="333333"/>
          <w:sz w:val="21"/>
          <w:szCs w:val="21"/>
          <w:highlight w:val="none"/>
          <w:shd w:val="clear" w:color="auto" w:fill="FFFFFF"/>
          <w:lang w:val="en-US" w:eastAsia="zh-CN"/>
        </w:rPr>
        <w:t>3</w:t>
      </w:r>
      <w:r>
        <w:rPr>
          <w:rFonts w:hint="eastAsia" w:ascii="微软雅黑" w:hAnsi="微软雅黑" w:eastAsia="微软雅黑" w:cs="微软雅黑"/>
          <w:color w:val="333333"/>
          <w:sz w:val="21"/>
          <w:szCs w:val="21"/>
          <w:highlight w:val="none"/>
          <w:shd w:val="clear" w:color="auto" w:fill="FFFFFF"/>
        </w:rPr>
        <w:t>0至</w:t>
      </w:r>
      <w:r>
        <w:rPr>
          <w:rFonts w:hint="eastAsia" w:ascii="微软雅黑" w:hAnsi="微软雅黑" w:eastAsia="微软雅黑" w:cs="微软雅黑"/>
          <w:color w:val="333333"/>
          <w:sz w:val="21"/>
          <w:szCs w:val="21"/>
          <w:highlight w:val="none"/>
          <w:shd w:val="clear" w:color="auto" w:fill="FFFFFF"/>
          <w:lang w:val="en-US" w:eastAsia="zh-CN"/>
        </w:rPr>
        <w:t>19</w:t>
      </w:r>
      <w:r>
        <w:rPr>
          <w:rFonts w:hint="eastAsia" w:ascii="微软雅黑" w:hAnsi="微软雅黑" w:eastAsia="微软雅黑" w:cs="微软雅黑"/>
          <w:color w:val="333333"/>
          <w:sz w:val="21"/>
          <w:szCs w:val="21"/>
          <w:highlight w:val="none"/>
          <w:shd w:val="clear" w:color="auto" w:fill="FFFFFF"/>
        </w:rPr>
        <w:t>:</w:t>
      </w:r>
      <w:r>
        <w:rPr>
          <w:rFonts w:hint="eastAsia" w:ascii="微软雅黑" w:hAnsi="微软雅黑" w:eastAsia="微软雅黑" w:cs="微软雅黑"/>
          <w:color w:val="333333"/>
          <w:sz w:val="21"/>
          <w:szCs w:val="21"/>
          <w:highlight w:val="none"/>
          <w:shd w:val="clear" w:color="auto" w:fill="FFFFFF"/>
          <w:lang w:val="en-US" w:eastAsia="zh-CN"/>
        </w:rPr>
        <w:t>3</w:t>
      </w:r>
      <w:r>
        <w:rPr>
          <w:rFonts w:hint="eastAsia" w:ascii="微软雅黑" w:hAnsi="微软雅黑" w:eastAsia="微软雅黑" w:cs="微软雅黑"/>
          <w:color w:val="333333"/>
          <w:sz w:val="21"/>
          <w:szCs w:val="21"/>
          <w:highlight w:val="none"/>
          <w:shd w:val="clear" w:color="auto" w:fill="FFFFFF"/>
        </w:rPr>
        <w:t>0（北京时间，法定节假日除外）</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　　地点（网址）：政采云平台</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i w:val="0"/>
          <w:iCs w:val="0"/>
          <w:caps w:val="0"/>
          <w:color w:val="333333"/>
          <w:spacing w:val="0"/>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　　方式：</w:t>
      </w:r>
      <w:r>
        <w:rPr>
          <w:rFonts w:ascii="微软雅黑" w:hAnsi="微软雅黑" w:eastAsia="微软雅黑" w:cs="微软雅黑"/>
          <w:i w:val="0"/>
          <w:iCs w:val="0"/>
          <w:caps w:val="0"/>
          <w:color w:val="333333"/>
          <w:spacing w:val="0"/>
          <w:sz w:val="21"/>
          <w:szCs w:val="21"/>
          <w:highlight w:val="none"/>
          <w:shd w:val="clear" w:color="auto" w:fill="FFFFFF"/>
        </w:rPr>
        <w:t>政采云平台报名成功后</w:t>
      </w:r>
      <w:r>
        <w:rPr>
          <w:rFonts w:hint="eastAsia" w:ascii="微软雅黑" w:hAnsi="微软雅黑" w:eastAsia="微软雅黑" w:cs="微软雅黑"/>
          <w:i w:val="0"/>
          <w:iCs w:val="0"/>
          <w:caps w:val="0"/>
          <w:color w:val="333333"/>
          <w:spacing w:val="0"/>
          <w:sz w:val="21"/>
          <w:szCs w:val="21"/>
          <w:highlight w:val="none"/>
          <w:shd w:val="clear" w:color="auto" w:fill="FFFFFF"/>
          <w:lang w:eastAsia="zh-CN"/>
        </w:rPr>
        <w:t>免费</w:t>
      </w:r>
      <w:r>
        <w:rPr>
          <w:rFonts w:ascii="微软雅黑" w:hAnsi="微软雅黑" w:eastAsia="微软雅黑" w:cs="微软雅黑"/>
          <w:i w:val="0"/>
          <w:iCs w:val="0"/>
          <w:caps w:val="0"/>
          <w:color w:val="333333"/>
          <w:spacing w:val="0"/>
          <w:sz w:val="21"/>
          <w:szCs w:val="21"/>
          <w:highlight w:val="none"/>
          <w:shd w:val="clear" w:color="auto" w:fill="FFFFFF"/>
        </w:rPr>
        <w:t>下载</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rPr>
        <w:t>　　售价：0元</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rPr>
        <w:t>四、提交投标文件截止时间、开标时间和地点</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提交投标文件截止时间：2023年</w:t>
      </w:r>
      <w:r>
        <w:rPr>
          <w:rFonts w:hint="eastAsia" w:ascii="微软雅黑" w:hAnsi="微软雅黑" w:eastAsia="微软雅黑" w:cs="微软雅黑"/>
          <w:color w:val="333333"/>
          <w:sz w:val="21"/>
          <w:szCs w:val="21"/>
          <w:highlight w:val="none"/>
          <w:shd w:val="clear" w:color="auto" w:fill="FFFFFF"/>
          <w:lang w:val="en-US" w:eastAsia="zh-CN"/>
        </w:rPr>
        <w:t>5</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6</w:t>
      </w:r>
      <w:r>
        <w:rPr>
          <w:rFonts w:hint="eastAsia" w:ascii="微软雅黑" w:hAnsi="微软雅黑" w:eastAsia="微软雅黑" w:cs="微软雅黑"/>
          <w:color w:val="333333"/>
          <w:sz w:val="21"/>
          <w:szCs w:val="21"/>
          <w:highlight w:val="none"/>
          <w:shd w:val="clear" w:color="auto" w:fill="FFFFFF"/>
        </w:rPr>
        <w:t>日1</w:t>
      </w:r>
      <w:r>
        <w:rPr>
          <w:rFonts w:hint="eastAsia" w:ascii="微软雅黑" w:hAnsi="微软雅黑" w:eastAsia="微软雅黑" w:cs="微软雅黑"/>
          <w:color w:val="333333"/>
          <w:sz w:val="21"/>
          <w:szCs w:val="21"/>
          <w:highlight w:val="none"/>
          <w:shd w:val="clear" w:color="auto" w:fill="FFFFFF"/>
          <w:lang w:val="en-US" w:eastAsia="zh-CN"/>
        </w:rPr>
        <w:t>1</w:t>
      </w:r>
      <w:r>
        <w:rPr>
          <w:rFonts w:hint="eastAsia" w:ascii="微软雅黑" w:hAnsi="微软雅黑" w:eastAsia="微软雅黑" w:cs="微软雅黑"/>
          <w:color w:val="333333"/>
          <w:sz w:val="21"/>
          <w:szCs w:val="21"/>
          <w:highlight w:val="none"/>
          <w:shd w:val="clear" w:color="auto" w:fill="FFFFFF"/>
        </w:rPr>
        <w:t>点</w:t>
      </w:r>
      <w:r>
        <w:rPr>
          <w:rFonts w:hint="eastAsia" w:ascii="微软雅黑" w:hAnsi="微软雅黑" w:eastAsia="微软雅黑" w:cs="微软雅黑"/>
          <w:color w:val="333333"/>
          <w:sz w:val="21"/>
          <w:szCs w:val="21"/>
          <w:highlight w:val="none"/>
          <w:shd w:val="clear" w:color="auto" w:fill="FFFFFF"/>
          <w:lang w:val="en-US" w:eastAsia="zh-CN"/>
        </w:rPr>
        <w:t>0</w:t>
      </w:r>
      <w:r>
        <w:rPr>
          <w:rFonts w:hint="eastAsia" w:ascii="微软雅黑" w:hAnsi="微软雅黑" w:eastAsia="微软雅黑" w:cs="微软雅黑"/>
          <w:color w:val="333333"/>
          <w:sz w:val="21"/>
          <w:szCs w:val="21"/>
          <w:highlight w:val="none"/>
          <w:shd w:val="clear" w:color="auto" w:fill="FFFFFF"/>
        </w:rPr>
        <w:t>0分（北京时间）</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rPr>
        <w:t>　　投标地点：政采云平台</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开标时间：2023年</w:t>
      </w:r>
      <w:r>
        <w:rPr>
          <w:rFonts w:hint="eastAsia" w:ascii="微软雅黑" w:hAnsi="微软雅黑" w:eastAsia="微软雅黑" w:cs="微软雅黑"/>
          <w:color w:val="333333"/>
          <w:sz w:val="21"/>
          <w:szCs w:val="21"/>
          <w:highlight w:val="none"/>
          <w:shd w:val="clear" w:color="auto" w:fill="FFFFFF"/>
          <w:lang w:val="en-US" w:eastAsia="zh-CN"/>
        </w:rPr>
        <w:t>5</w:t>
      </w:r>
      <w:r>
        <w:rPr>
          <w:rFonts w:hint="eastAsia" w:ascii="微软雅黑" w:hAnsi="微软雅黑" w:eastAsia="微软雅黑" w:cs="微软雅黑"/>
          <w:color w:val="333333"/>
          <w:sz w:val="21"/>
          <w:szCs w:val="21"/>
          <w:highlight w:val="none"/>
          <w:shd w:val="clear" w:color="auto" w:fill="FFFFFF"/>
        </w:rPr>
        <w:t>月</w:t>
      </w:r>
      <w:r>
        <w:rPr>
          <w:rFonts w:hint="eastAsia" w:ascii="微软雅黑" w:hAnsi="微软雅黑" w:eastAsia="微软雅黑" w:cs="微软雅黑"/>
          <w:color w:val="333333"/>
          <w:sz w:val="21"/>
          <w:szCs w:val="21"/>
          <w:highlight w:val="none"/>
          <w:shd w:val="clear" w:color="auto" w:fill="FFFFFF"/>
          <w:lang w:val="en-US" w:eastAsia="zh-CN"/>
        </w:rPr>
        <w:t>6</w:t>
      </w:r>
      <w:r>
        <w:rPr>
          <w:rFonts w:hint="eastAsia" w:ascii="微软雅黑" w:hAnsi="微软雅黑" w:eastAsia="微软雅黑" w:cs="微软雅黑"/>
          <w:color w:val="333333"/>
          <w:sz w:val="21"/>
          <w:szCs w:val="21"/>
          <w:highlight w:val="none"/>
          <w:shd w:val="clear" w:color="auto" w:fill="FFFFFF"/>
        </w:rPr>
        <w:t>日1</w:t>
      </w:r>
      <w:r>
        <w:rPr>
          <w:rFonts w:hint="eastAsia" w:ascii="微软雅黑" w:hAnsi="微软雅黑" w:eastAsia="微软雅黑" w:cs="微软雅黑"/>
          <w:color w:val="333333"/>
          <w:sz w:val="21"/>
          <w:szCs w:val="21"/>
          <w:highlight w:val="none"/>
          <w:shd w:val="clear" w:color="auto" w:fill="FFFFFF"/>
          <w:lang w:val="en-US" w:eastAsia="zh-CN"/>
        </w:rPr>
        <w:t>1</w:t>
      </w:r>
      <w:r>
        <w:rPr>
          <w:rFonts w:hint="eastAsia" w:ascii="微软雅黑" w:hAnsi="微软雅黑" w:eastAsia="微软雅黑" w:cs="微软雅黑"/>
          <w:color w:val="333333"/>
          <w:sz w:val="21"/>
          <w:szCs w:val="21"/>
          <w:highlight w:val="none"/>
          <w:shd w:val="clear" w:color="auto" w:fill="FFFFFF"/>
        </w:rPr>
        <w:t>点</w:t>
      </w:r>
      <w:r>
        <w:rPr>
          <w:rFonts w:hint="eastAsia" w:ascii="微软雅黑" w:hAnsi="微软雅黑" w:eastAsia="微软雅黑" w:cs="微软雅黑"/>
          <w:color w:val="333333"/>
          <w:sz w:val="21"/>
          <w:szCs w:val="21"/>
          <w:highlight w:val="none"/>
          <w:shd w:val="clear" w:color="auto" w:fill="FFFFFF"/>
          <w:lang w:val="en-US" w:eastAsia="zh-CN"/>
        </w:rPr>
        <w:t>0</w:t>
      </w:r>
      <w:r>
        <w:rPr>
          <w:rFonts w:hint="eastAsia" w:ascii="微软雅黑" w:hAnsi="微软雅黑" w:eastAsia="微软雅黑" w:cs="微软雅黑"/>
          <w:color w:val="333333"/>
          <w:sz w:val="21"/>
          <w:szCs w:val="21"/>
          <w:highlight w:val="none"/>
          <w:shd w:val="clear" w:color="auto" w:fill="FFFFFF"/>
        </w:rPr>
        <w:t>0分（北京时间）</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rPr>
        <w:t>　　</w:t>
      </w:r>
      <w:r>
        <w:rPr>
          <w:rFonts w:hint="eastAsia" w:ascii="微软雅黑" w:hAnsi="微软雅黑" w:eastAsia="微软雅黑" w:cs="微软雅黑"/>
          <w:color w:val="333333"/>
          <w:sz w:val="21"/>
          <w:szCs w:val="21"/>
          <w:highlight w:val="none"/>
          <w:shd w:val="clear" w:color="auto" w:fill="FFFFFF"/>
          <w:lang w:eastAsia="zh-CN"/>
        </w:rPr>
        <w:t>开标</w:t>
      </w:r>
      <w:r>
        <w:rPr>
          <w:rFonts w:hint="eastAsia" w:ascii="微软雅黑" w:hAnsi="微软雅黑" w:eastAsia="微软雅黑" w:cs="微软雅黑"/>
          <w:color w:val="333333"/>
          <w:sz w:val="21"/>
          <w:szCs w:val="21"/>
          <w:highlight w:val="none"/>
          <w:shd w:val="clear" w:color="auto" w:fill="FFFFFF"/>
        </w:rPr>
        <w:t>地点：政采云平台</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lang w:eastAsia="zh-CN"/>
        </w:rPr>
        <w:t>五</w:t>
      </w:r>
      <w:r>
        <w:rPr>
          <w:rFonts w:hint="eastAsia" w:ascii="微软雅黑" w:hAnsi="微软雅黑" w:eastAsia="微软雅黑" w:cs="微软雅黑"/>
          <w:color w:val="333333"/>
          <w:sz w:val="21"/>
          <w:szCs w:val="21"/>
          <w:highlight w:val="none"/>
          <w:shd w:val="clear" w:color="auto" w:fill="FFFFFF"/>
        </w:rPr>
        <w:t>、公告期限</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rPr>
        <w:t>自本公告发布之日起5个工作日。</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333333"/>
          <w:sz w:val="21"/>
          <w:szCs w:val="21"/>
          <w:highlight w:val="none"/>
          <w:shd w:val="clear" w:color="auto" w:fill="FFFFFF"/>
          <w:lang w:eastAsia="zh-CN"/>
        </w:rPr>
        <w:t>六</w:t>
      </w:r>
      <w:r>
        <w:rPr>
          <w:rFonts w:hint="eastAsia" w:ascii="微软雅黑" w:hAnsi="微软雅黑" w:eastAsia="微软雅黑" w:cs="微软雅黑"/>
          <w:color w:val="333333"/>
          <w:sz w:val="21"/>
          <w:szCs w:val="21"/>
          <w:highlight w:val="none"/>
          <w:shd w:val="clear" w:color="auto" w:fill="FFFFFF"/>
        </w:rPr>
        <w:t>、其他补充事宜</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1.发布媒介：新疆政府采购网</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2.请各供应商随时关注本项目的变更、答疑、澄清文件。</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3.（1）本项目实行电子招投标，供应商须登录政采云平台申请获取</w:t>
      </w:r>
      <w:r>
        <w:rPr>
          <w:rFonts w:hint="eastAsia" w:ascii="微软雅黑" w:hAnsi="微软雅黑" w:eastAsia="微软雅黑" w:cs="微软雅黑"/>
          <w:color w:val="333333"/>
          <w:sz w:val="21"/>
          <w:szCs w:val="21"/>
          <w:highlight w:val="none"/>
          <w:shd w:val="clear" w:color="auto" w:fill="FFFFFF"/>
          <w:lang w:val="en-US" w:eastAsia="zh-CN"/>
        </w:rPr>
        <w:t>招标</w:t>
      </w:r>
      <w:r>
        <w:rPr>
          <w:rFonts w:hint="eastAsia" w:ascii="微软雅黑" w:hAnsi="微软雅黑" w:eastAsia="微软雅黑" w:cs="微软雅黑"/>
          <w:color w:val="333333"/>
          <w:sz w:val="21"/>
          <w:szCs w:val="21"/>
          <w:highlight w:val="none"/>
          <w:shd w:val="clear" w:color="auto" w:fill="FFFFFF"/>
        </w:rPr>
        <w:t>文件，并通过政采云电子投标客户端制作</w:t>
      </w:r>
      <w:r>
        <w:rPr>
          <w:rFonts w:hint="eastAsia" w:ascii="微软雅黑" w:hAnsi="微软雅黑" w:eastAsia="微软雅黑" w:cs="微软雅黑"/>
          <w:color w:val="333333"/>
          <w:sz w:val="21"/>
          <w:szCs w:val="21"/>
          <w:highlight w:val="none"/>
          <w:shd w:val="clear" w:color="auto" w:fill="FFFFFF"/>
          <w:lang w:eastAsia="zh-CN"/>
        </w:rPr>
        <w:t>投标文件</w:t>
      </w:r>
      <w:r>
        <w:rPr>
          <w:rFonts w:hint="eastAsia" w:ascii="微软雅黑" w:hAnsi="微软雅黑" w:eastAsia="微软雅黑" w:cs="微软雅黑"/>
          <w:color w:val="333333"/>
          <w:sz w:val="21"/>
          <w:szCs w:val="21"/>
          <w:highlight w:val="none"/>
          <w:shd w:val="clear" w:color="auto" w:fill="FFFFFF"/>
        </w:rPr>
        <w:t>，同时自行承担与投标有关的一切费用。（2）各供应商应在开标前确保成为新疆维吾尔自治区政府采购网正式注册入库供应商，并完成CA数字证书申领。因未注册入库、未办理CA数字证书等原因造成无法投标或投标失败等后果由供应商自行承担。（3）供应商可前往新疆政府采购网（http://www.ccgp-xinjiang.gov.cn/）下载专区，下载政采云电子投标客户端，安装完成后，可通过账号密码或CA登录客户端进行</w:t>
      </w:r>
      <w:r>
        <w:rPr>
          <w:rFonts w:hint="eastAsia" w:ascii="微软雅黑" w:hAnsi="微软雅黑" w:eastAsia="微软雅黑" w:cs="微软雅黑"/>
          <w:color w:val="333333"/>
          <w:sz w:val="21"/>
          <w:szCs w:val="21"/>
          <w:highlight w:val="none"/>
          <w:shd w:val="clear" w:color="auto" w:fill="FFFFFF"/>
          <w:lang w:eastAsia="zh-CN"/>
        </w:rPr>
        <w:t>投标文件</w:t>
      </w:r>
      <w:r>
        <w:rPr>
          <w:rFonts w:hint="eastAsia" w:ascii="微软雅黑" w:hAnsi="微软雅黑" w:eastAsia="微软雅黑" w:cs="微软雅黑"/>
          <w:color w:val="333333"/>
          <w:sz w:val="21"/>
          <w:szCs w:val="21"/>
          <w:highlight w:val="none"/>
          <w:shd w:val="clear" w:color="auto" w:fill="FFFFFF"/>
        </w:rPr>
        <w:t>制作。在使用政采云电子投标客户端时，建议使用WIN7及以上操作系统。如有问题可拨打政采云客户服务热线400-881-7190进行咨询。（4）本项目采用不见面开标，供应商须在投标截止时间前通过CA在政采云平台上传加密的电子</w:t>
      </w:r>
      <w:r>
        <w:rPr>
          <w:rFonts w:hint="eastAsia" w:ascii="微软雅黑" w:hAnsi="微软雅黑" w:eastAsia="微软雅黑" w:cs="微软雅黑"/>
          <w:color w:val="333333"/>
          <w:sz w:val="21"/>
          <w:szCs w:val="21"/>
          <w:highlight w:val="none"/>
          <w:shd w:val="clear" w:color="auto" w:fill="FFFFFF"/>
          <w:lang w:eastAsia="zh-CN"/>
        </w:rPr>
        <w:t>投标文件</w:t>
      </w:r>
      <w:r>
        <w:rPr>
          <w:rFonts w:hint="eastAsia" w:ascii="微软雅黑" w:hAnsi="微软雅黑" w:eastAsia="微软雅黑" w:cs="微软雅黑"/>
          <w:color w:val="333333"/>
          <w:sz w:val="21"/>
          <w:szCs w:val="21"/>
          <w:highlight w:val="none"/>
          <w:shd w:val="clear" w:color="auto" w:fill="FFFFFF"/>
        </w:rPr>
        <w:t>。（5）供应商在开标前须提前配置好电脑浏览器（建议使用360浏览器或谷歌浏览器），开标时请使用制作加密电子</w:t>
      </w:r>
      <w:r>
        <w:rPr>
          <w:rFonts w:hint="eastAsia" w:ascii="微软雅黑" w:hAnsi="微软雅黑" w:eastAsia="微软雅黑" w:cs="微软雅黑"/>
          <w:color w:val="333333"/>
          <w:sz w:val="21"/>
          <w:szCs w:val="21"/>
          <w:highlight w:val="none"/>
          <w:shd w:val="clear" w:color="auto" w:fill="FFFFFF"/>
          <w:lang w:eastAsia="zh-CN"/>
        </w:rPr>
        <w:t>投标文件</w:t>
      </w:r>
      <w:r>
        <w:rPr>
          <w:rFonts w:hint="eastAsia" w:ascii="微软雅黑" w:hAnsi="微软雅黑" w:eastAsia="微软雅黑" w:cs="微软雅黑"/>
          <w:color w:val="333333"/>
          <w:sz w:val="21"/>
          <w:szCs w:val="21"/>
          <w:highlight w:val="none"/>
          <w:shd w:val="clear" w:color="auto" w:fill="FFFFFF"/>
        </w:rPr>
        <w:t>的CA锁进行解密及报价确认。本项目</w:t>
      </w:r>
      <w:r>
        <w:rPr>
          <w:rFonts w:hint="eastAsia" w:ascii="微软雅黑" w:hAnsi="微软雅黑" w:eastAsia="微软雅黑" w:cs="微软雅黑"/>
          <w:color w:val="333333"/>
          <w:sz w:val="21"/>
          <w:szCs w:val="21"/>
          <w:highlight w:val="none"/>
          <w:shd w:val="clear" w:color="auto" w:fill="FFFFFF"/>
          <w:lang w:eastAsia="zh-CN"/>
        </w:rPr>
        <w:t>投标文件</w:t>
      </w:r>
      <w:r>
        <w:rPr>
          <w:rFonts w:hint="eastAsia" w:ascii="微软雅黑" w:hAnsi="微软雅黑" w:eastAsia="微软雅黑" w:cs="微软雅黑"/>
          <w:color w:val="333333"/>
          <w:sz w:val="21"/>
          <w:szCs w:val="21"/>
          <w:highlight w:val="none"/>
          <w:shd w:val="clear" w:color="auto" w:fill="FFFFFF"/>
        </w:rPr>
        <w:t>解密时间定为30分钟，如因自身原因导致无法正常解密，后果由供应商自行承担。</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b/>
          <w:bCs/>
          <w:color w:val="333333"/>
          <w:sz w:val="21"/>
          <w:szCs w:val="21"/>
          <w:highlight w:val="none"/>
          <w:shd w:val="clear" w:color="auto" w:fill="FFFFFF"/>
        </w:rPr>
      </w:pPr>
      <w:r>
        <w:rPr>
          <w:rFonts w:hint="eastAsia" w:ascii="微软雅黑" w:hAnsi="微软雅黑" w:eastAsia="微软雅黑" w:cs="微软雅黑"/>
          <w:b/>
          <w:bCs/>
          <w:color w:val="333333"/>
          <w:sz w:val="21"/>
          <w:szCs w:val="21"/>
          <w:highlight w:val="none"/>
          <w:shd w:val="clear" w:color="auto" w:fill="FFFFFF"/>
        </w:rPr>
        <w:t>特别提示：</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b/>
          <w:bCs/>
          <w:color w:val="333333"/>
          <w:sz w:val="21"/>
          <w:szCs w:val="21"/>
          <w:highlight w:val="none"/>
          <w:shd w:val="clear" w:color="auto" w:fill="FFFFFF"/>
        </w:rPr>
      </w:pPr>
      <w:r>
        <w:rPr>
          <w:rFonts w:hint="eastAsia" w:ascii="微软雅黑" w:hAnsi="微软雅黑" w:eastAsia="微软雅黑" w:cs="微软雅黑"/>
          <w:b/>
          <w:bCs/>
          <w:color w:val="333333"/>
          <w:sz w:val="21"/>
          <w:szCs w:val="21"/>
          <w:highlight w:val="none"/>
          <w:shd w:val="clear" w:color="auto" w:fill="FFFFFF"/>
        </w:rPr>
        <w:t>1、超过200万元的货物和服务采购项目、超过400万元的工程采购项目中适宜由中小企业提供的，预留该部分采购项目预算总额的</w:t>
      </w:r>
      <w:r>
        <w:rPr>
          <w:rFonts w:hint="eastAsia" w:ascii="微软雅黑" w:hAnsi="微软雅黑" w:eastAsia="微软雅黑" w:cs="微软雅黑"/>
          <w:b/>
          <w:bCs/>
          <w:color w:val="333333"/>
          <w:sz w:val="21"/>
          <w:szCs w:val="21"/>
          <w:highlight w:val="none"/>
          <w:shd w:val="clear" w:color="auto" w:fill="FFFFFF"/>
          <w:lang w:val="en-US" w:eastAsia="zh-CN"/>
        </w:rPr>
        <w:t>3</w:t>
      </w:r>
      <w:r>
        <w:rPr>
          <w:rFonts w:hint="eastAsia" w:ascii="微软雅黑" w:hAnsi="微软雅黑" w:eastAsia="微软雅黑" w:cs="微软雅黑"/>
          <w:b/>
          <w:bCs/>
          <w:color w:val="333333"/>
          <w:sz w:val="21"/>
          <w:szCs w:val="21"/>
          <w:highlight w:val="none"/>
          <w:shd w:val="clear" w:color="auto" w:fill="FFFFFF"/>
        </w:rPr>
        <w:t>0%以上专门面向中小企业采购，其中预留给小微企业的比例不低于60%。</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b/>
          <w:bCs/>
          <w:color w:val="333333"/>
          <w:sz w:val="21"/>
          <w:szCs w:val="21"/>
          <w:highlight w:val="none"/>
          <w:shd w:val="clear" w:color="auto" w:fill="FFFFFF"/>
        </w:rPr>
      </w:pPr>
      <w:r>
        <w:rPr>
          <w:rFonts w:hint="eastAsia" w:ascii="微软雅黑" w:hAnsi="微软雅黑" w:eastAsia="微软雅黑" w:cs="微软雅黑"/>
          <w:b/>
          <w:bCs/>
          <w:color w:val="333333"/>
          <w:sz w:val="21"/>
          <w:szCs w:val="21"/>
          <w:highlight w:val="none"/>
          <w:shd w:val="clear" w:color="auto" w:fill="FFFFFF"/>
        </w:rPr>
        <w:t>2、对于未预留份额专门面向中小企业的采购项目，以及预留份额项目中的非预留部分采购包，采购人、采购代理机构应当对符合规定的小微企业报价给予10%~20%（工程项目为</w:t>
      </w:r>
      <w:r>
        <w:rPr>
          <w:rFonts w:hint="eastAsia" w:ascii="微软雅黑" w:hAnsi="微软雅黑" w:eastAsia="微软雅黑" w:cs="微软雅黑"/>
          <w:b/>
          <w:bCs/>
          <w:color w:val="333333"/>
          <w:sz w:val="21"/>
          <w:szCs w:val="21"/>
          <w:highlight w:val="none"/>
          <w:shd w:val="clear" w:color="auto" w:fill="FFFFFF"/>
          <w:lang w:val="en-US" w:eastAsia="zh-CN"/>
        </w:rPr>
        <w:t>3</w:t>
      </w:r>
      <w:r>
        <w:rPr>
          <w:rFonts w:hint="eastAsia" w:ascii="微软雅黑" w:hAnsi="微软雅黑" w:eastAsia="微软雅黑" w:cs="微软雅黑"/>
          <w:b/>
          <w:bCs/>
          <w:color w:val="333333"/>
          <w:sz w:val="21"/>
          <w:szCs w:val="21"/>
          <w:highlight w:val="none"/>
          <w:shd w:val="clear" w:color="auto" w:fill="FFFFFF"/>
        </w:rPr>
        <w:t>%~</w:t>
      </w:r>
      <w:r>
        <w:rPr>
          <w:rFonts w:hint="eastAsia" w:ascii="微软雅黑" w:hAnsi="微软雅黑" w:eastAsia="微软雅黑" w:cs="微软雅黑"/>
          <w:b/>
          <w:bCs/>
          <w:color w:val="333333"/>
          <w:sz w:val="21"/>
          <w:szCs w:val="21"/>
          <w:highlight w:val="none"/>
          <w:shd w:val="clear" w:color="auto" w:fill="FFFFFF"/>
          <w:lang w:val="en-US" w:eastAsia="zh-CN"/>
        </w:rPr>
        <w:t>5</w:t>
      </w:r>
      <w:r>
        <w:rPr>
          <w:rFonts w:hint="eastAsia" w:ascii="微软雅黑" w:hAnsi="微软雅黑" w:eastAsia="微软雅黑" w:cs="微软雅黑"/>
          <w:b/>
          <w:bCs/>
          <w:color w:val="333333"/>
          <w:sz w:val="21"/>
          <w:szCs w:val="21"/>
          <w:highlight w:val="none"/>
          <w:shd w:val="clear" w:color="auto" w:fill="FFFFFF"/>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微软雅黑" w:hAnsi="微软雅黑" w:eastAsia="微软雅黑" w:cs="微软雅黑"/>
          <w:b/>
          <w:bCs/>
          <w:color w:val="333333"/>
          <w:sz w:val="21"/>
          <w:szCs w:val="21"/>
          <w:highlight w:val="none"/>
          <w:shd w:val="clear" w:color="auto" w:fill="FFFFFF"/>
          <w:lang w:val="en-US" w:eastAsia="zh-CN"/>
        </w:rPr>
        <w:t>3</w:t>
      </w:r>
      <w:r>
        <w:rPr>
          <w:rFonts w:hint="eastAsia" w:ascii="微软雅黑" w:hAnsi="微软雅黑" w:eastAsia="微软雅黑" w:cs="微软雅黑"/>
          <w:b/>
          <w:bCs/>
          <w:color w:val="333333"/>
          <w:sz w:val="21"/>
          <w:szCs w:val="21"/>
          <w:highlight w:val="none"/>
          <w:shd w:val="clear" w:color="auto" w:fill="FFFFFF"/>
        </w:rPr>
        <w:t>%~</w:t>
      </w:r>
      <w:r>
        <w:rPr>
          <w:rFonts w:hint="eastAsia" w:ascii="微软雅黑" w:hAnsi="微软雅黑" w:eastAsia="微软雅黑" w:cs="微软雅黑"/>
          <w:b/>
          <w:bCs/>
          <w:color w:val="333333"/>
          <w:sz w:val="21"/>
          <w:szCs w:val="21"/>
          <w:highlight w:val="none"/>
          <w:shd w:val="clear" w:color="auto" w:fill="FFFFFF"/>
          <w:lang w:val="en-US" w:eastAsia="zh-CN"/>
        </w:rPr>
        <w:t>5</w:t>
      </w:r>
      <w:r>
        <w:rPr>
          <w:rFonts w:hint="eastAsia" w:ascii="微软雅黑" w:hAnsi="微软雅黑" w:eastAsia="微软雅黑" w:cs="微软雅黑"/>
          <w:b/>
          <w:bCs/>
          <w:color w:val="333333"/>
          <w:sz w:val="21"/>
          <w:szCs w:val="21"/>
          <w:highlight w:val="none"/>
          <w:shd w:val="clear" w:color="auto" w:fill="FFFFFF"/>
        </w:rPr>
        <w:t>%作为其价格分。</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b/>
          <w:bCs/>
          <w:color w:val="333333"/>
          <w:sz w:val="21"/>
          <w:szCs w:val="21"/>
          <w:highlight w:val="none"/>
          <w:shd w:val="clear" w:color="auto" w:fill="FFFFFF"/>
        </w:rPr>
      </w:pPr>
      <w:r>
        <w:rPr>
          <w:rFonts w:hint="eastAsia" w:ascii="微软雅黑" w:hAnsi="微软雅黑" w:eastAsia="微软雅黑" w:cs="微软雅黑"/>
          <w:b/>
          <w:bCs/>
          <w:color w:val="333333"/>
          <w:sz w:val="21"/>
          <w:szCs w:val="21"/>
          <w:highlight w:val="none"/>
          <w:shd w:val="clear" w:color="auto" w:fill="FFFFFF"/>
        </w:rPr>
        <w:t>3、接受大中型企业与小微企业组成联合体或者允许大中型企业向一家或者多家小微企业分包的采购项目，对于联合协议或者分包意向协议约定小微企业的合同份额占到合同总金额</w:t>
      </w:r>
      <w:r>
        <w:rPr>
          <w:rFonts w:hint="eastAsia" w:ascii="微软雅黑" w:hAnsi="微软雅黑" w:eastAsia="微软雅黑" w:cs="微软雅黑"/>
          <w:b/>
          <w:bCs/>
          <w:color w:val="333333"/>
          <w:sz w:val="21"/>
          <w:szCs w:val="21"/>
          <w:highlight w:val="none"/>
          <w:shd w:val="clear" w:color="auto" w:fill="FFFFFF"/>
          <w:lang w:val="en-US" w:eastAsia="zh-CN"/>
        </w:rPr>
        <w:t>3</w:t>
      </w:r>
      <w:r>
        <w:rPr>
          <w:rFonts w:hint="eastAsia" w:ascii="微软雅黑" w:hAnsi="微软雅黑" w:eastAsia="微软雅黑" w:cs="微软雅黑"/>
          <w:b/>
          <w:bCs/>
          <w:color w:val="333333"/>
          <w:sz w:val="21"/>
          <w:szCs w:val="21"/>
          <w:highlight w:val="none"/>
          <w:shd w:val="clear" w:color="auto" w:fill="FFFFFF"/>
        </w:rPr>
        <w:t>0%以上的，采购人、采购代理机构应当对联合体或者大中型企业的报价给予4%~6%（工程项目为</w:t>
      </w:r>
      <w:r>
        <w:rPr>
          <w:rFonts w:hint="eastAsia" w:ascii="微软雅黑" w:hAnsi="微软雅黑" w:eastAsia="微软雅黑" w:cs="微软雅黑"/>
          <w:b/>
          <w:bCs/>
          <w:color w:val="333333"/>
          <w:sz w:val="21"/>
          <w:szCs w:val="21"/>
          <w:highlight w:val="none"/>
          <w:shd w:val="clear" w:color="auto" w:fill="FFFFFF"/>
          <w:lang w:val="en-US" w:eastAsia="zh-CN"/>
        </w:rPr>
        <w:t>1</w:t>
      </w:r>
      <w:r>
        <w:rPr>
          <w:rFonts w:hint="eastAsia" w:ascii="微软雅黑" w:hAnsi="微软雅黑" w:eastAsia="微软雅黑" w:cs="微软雅黑"/>
          <w:b/>
          <w:bCs/>
          <w:color w:val="333333"/>
          <w:sz w:val="21"/>
          <w:szCs w:val="21"/>
          <w:highlight w:val="none"/>
          <w:shd w:val="clear" w:color="auto" w:fill="FFFFFF"/>
        </w:rPr>
        <w:t>%~</w:t>
      </w:r>
      <w:r>
        <w:rPr>
          <w:rFonts w:hint="eastAsia" w:ascii="微软雅黑" w:hAnsi="微软雅黑" w:eastAsia="微软雅黑" w:cs="微软雅黑"/>
          <w:b/>
          <w:bCs/>
          <w:color w:val="333333"/>
          <w:sz w:val="21"/>
          <w:szCs w:val="21"/>
          <w:highlight w:val="none"/>
          <w:shd w:val="clear" w:color="auto" w:fill="FFFFFF"/>
          <w:lang w:val="en-US" w:eastAsia="zh-CN"/>
        </w:rPr>
        <w:t>2</w:t>
      </w:r>
      <w:r>
        <w:rPr>
          <w:rFonts w:hint="eastAsia" w:ascii="微软雅黑" w:hAnsi="微软雅黑" w:eastAsia="微软雅黑" w:cs="微软雅黑"/>
          <w:b/>
          <w:bCs/>
          <w:color w:val="333333"/>
          <w:sz w:val="21"/>
          <w:szCs w:val="21"/>
          <w:highlight w:val="none"/>
          <w:shd w:val="clear" w:color="auto" w:fill="FFFFFF"/>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微软雅黑" w:hAnsi="微软雅黑" w:eastAsia="微软雅黑" w:cs="微软雅黑"/>
          <w:b/>
          <w:bCs/>
          <w:color w:val="333333"/>
          <w:sz w:val="21"/>
          <w:szCs w:val="21"/>
          <w:highlight w:val="none"/>
          <w:shd w:val="clear" w:color="auto" w:fill="FFFFFF"/>
          <w:lang w:val="en-US" w:eastAsia="zh-CN"/>
        </w:rPr>
        <w:t>1</w:t>
      </w:r>
      <w:r>
        <w:rPr>
          <w:rFonts w:hint="eastAsia" w:ascii="微软雅黑" w:hAnsi="微软雅黑" w:eastAsia="微软雅黑" w:cs="微软雅黑"/>
          <w:b/>
          <w:bCs/>
          <w:color w:val="333333"/>
          <w:sz w:val="21"/>
          <w:szCs w:val="21"/>
          <w:highlight w:val="none"/>
          <w:shd w:val="clear" w:color="auto" w:fill="FFFFFF"/>
        </w:rPr>
        <w:t>%~</w:t>
      </w:r>
      <w:r>
        <w:rPr>
          <w:rFonts w:hint="eastAsia" w:ascii="微软雅黑" w:hAnsi="微软雅黑" w:eastAsia="微软雅黑" w:cs="微软雅黑"/>
          <w:b/>
          <w:bCs/>
          <w:color w:val="333333"/>
          <w:sz w:val="21"/>
          <w:szCs w:val="21"/>
          <w:highlight w:val="none"/>
          <w:shd w:val="clear" w:color="auto" w:fill="FFFFFF"/>
          <w:lang w:val="en-US" w:eastAsia="zh-CN"/>
        </w:rPr>
        <w:t>2</w:t>
      </w:r>
      <w:r>
        <w:rPr>
          <w:rFonts w:hint="eastAsia" w:ascii="微软雅黑" w:hAnsi="微软雅黑" w:eastAsia="微软雅黑" w:cs="微软雅黑"/>
          <w:b/>
          <w:bCs/>
          <w:color w:val="333333"/>
          <w:sz w:val="21"/>
          <w:szCs w:val="21"/>
          <w:highlight w:val="none"/>
          <w:shd w:val="clear" w:color="auto" w:fill="FFFFFF"/>
        </w:rPr>
        <w:t>%作为其价格分。</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lang w:eastAsia="zh-CN"/>
        </w:rPr>
        <w:t>七</w:t>
      </w:r>
      <w:r>
        <w:rPr>
          <w:rFonts w:hint="eastAsia" w:ascii="微软雅黑" w:hAnsi="微软雅黑" w:eastAsia="微软雅黑" w:cs="微软雅黑"/>
          <w:color w:val="333333"/>
          <w:sz w:val="21"/>
          <w:szCs w:val="21"/>
          <w:highlight w:val="none"/>
          <w:shd w:val="clear" w:color="auto" w:fill="FFFFFF"/>
        </w:rPr>
        <w:t>、凡对本次采购提出询问，请按以下方式联系。</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eastAsia="zh-CN"/>
        </w:rPr>
      </w:pPr>
      <w:r>
        <w:rPr>
          <w:rFonts w:hint="eastAsia" w:ascii="微软雅黑" w:hAnsi="微软雅黑" w:eastAsia="微软雅黑" w:cs="微软雅黑"/>
          <w:color w:val="333333"/>
          <w:sz w:val="21"/>
          <w:szCs w:val="21"/>
          <w:highlight w:val="none"/>
          <w:shd w:val="clear" w:color="auto" w:fill="FFFFFF"/>
        </w:rPr>
        <w:t>　　1.采购人信息</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val="en-US" w:eastAsia="zh-CN"/>
        </w:rPr>
      </w:pPr>
      <w:r>
        <w:rPr>
          <w:rFonts w:hint="eastAsia" w:ascii="微软雅黑" w:hAnsi="微软雅黑" w:eastAsia="微软雅黑" w:cs="微软雅黑"/>
          <w:color w:val="333333"/>
          <w:sz w:val="21"/>
          <w:szCs w:val="21"/>
          <w:highlight w:val="none"/>
          <w:shd w:val="clear" w:color="auto" w:fill="FFFFFF"/>
        </w:rPr>
        <w:t>　　</w:t>
      </w:r>
      <w:r>
        <w:rPr>
          <w:rFonts w:hint="eastAsia" w:ascii="微软雅黑" w:hAnsi="微软雅黑" w:eastAsia="微软雅黑" w:cs="微软雅黑"/>
          <w:color w:val="333333"/>
          <w:sz w:val="21"/>
          <w:szCs w:val="21"/>
          <w:highlight w:val="none"/>
          <w:shd w:val="clear" w:color="auto" w:fill="FFFFFF"/>
          <w:lang w:val="en-US" w:eastAsia="zh-CN"/>
        </w:rPr>
        <w:t xml:space="preserve">名    称：特克斯县住房和城乡建设局      </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val="en-US" w:eastAsia="zh-CN"/>
        </w:rPr>
      </w:pPr>
      <w:r>
        <w:rPr>
          <w:rFonts w:hint="eastAsia" w:ascii="微软雅黑" w:hAnsi="微软雅黑" w:eastAsia="微软雅黑" w:cs="微软雅黑"/>
          <w:color w:val="333333"/>
          <w:sz w:val="21"/>
          <w:szCs w:val="21"/>
          <w:highlight w:val="none"/>
          <w:shd w:val="clear" w:color="auto" w:fill="FFFFFF"/>
          <w:lang w:val="en-US" w:eastAsia="zh-CN"/>
        </w:rPr>
        <w:t>地    址：特克斯县            　　</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val="en-US" w:eastAsia="zh-CN"/>
        </w:rPr>
      </w:pPr>
      <w:r>
        <w:rPr>
          <w:rFonts w:hint="eastAsia" w:ascii="微软雅黑" w:hAnsi="微软雅黑" w:eastAsia="微软雅黑" w:cs="微软雅黑"/>
          <w:color w:val="333333"/>
          <w:sz w:val="21"/>
          <w:szCs w:val="21"/>
          <w:highlight w:val="none"/>
          <w:shd w:val="clear" w:color="auto" w:fill="FFFFFF"/>
          <w:lang w:val="en-US" w:eastAsia="zh-CN"/>
        </w:rPr>
        <w:t xml:space="preserve">联系方式：15699493036                       </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2.采购代理机构信息</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名    称：新疆聚拓工程项目管理有限公司 　　　　　　　　　　　</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地    址：伊宁市经济合作区河北路与重庆路交汇2333号{亿达观澜）A--1--1702　　　　　　　　　　　</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default" w:ascii="微软雅黑" w:hAnsi="微软雅黑" w:eastAsia="微软雅黑" w:cs="微软雅黑"/>
          <w:color w:val="333333"/>
          <w:sz w:val="21"/>
          <w:szCs w:val="21"/>
          <w:highlight w:val="none"/>
          <w:shd w:val="clear" w:color="auto" w:fill="FFFFFF"/>
          <w:lang w:val="en-US"/>
        </w:rPr>
      </w:pPr>
      <w:r>
        <w:rPr>
          <w:rFonts w:hint="eastAsia" w:ascii="微软雅黑" w:hAnsi="微软雅黑" w:eastAsia="微软雅黑" w:cs="微软雅黑"/>
          <w:color w:val="333333"/>
          <w:sz w:val="21"/>
          <w:szCs w:val="21"/>
          <w:highlight w:val="none"/>
          <w:shd w:val="clear" w:color="auto" w:fill="FFFFFF"/>
        </w:rPr>
        <w:t>联系方式：</w:t>
      </w:r>
      <w:r>
        <w:rPr>
          <w:rFonts w:hint="eastAsia" w:ascii="微软雅黑" w:hAnsi="微软雅黑" w:eastAsia="微软雅黑" w:cs="微软雅黑"/>
          <w:color w:val="333333"/>
          <w:sz w:val="21"/>
          <w:szCs w:val="21"/>
          <w:highlight w:val="none"/>
          <w:shd w:val="clear" w:color="auto" w:fill="FFFFFF"/>
          <w:lang w:val="en-US" w:eastAsia="zh-CN"/>
        </w:rPr>
        <w:t>19899038730</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sz w:val="21"/>
          <w:szCs w:val="21"/>
          <w:highlight w:val="none"/>
          <w:shd w:val="clear" w:color="auto" w:fill="FFFFFF"/>
        </w:rPr>
        <w:t>3.项目联系方式</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20"/>
        <w:textAlignment w:val="auto"/>
        <w:rPr>
          <w:rFonts w:hint="eastAsia" w:ascii="微软雅黑" w:hAnsi="微软雅黑" w:eastAsia="微软雅黑" w:cs="微软雅黑"/>
          <w:color w:val="333333"/>
          <w:sz w:val="21"/>
          <w:szCs w:val="21"/>
          <w:highlight w:val="none"/>
          <w:shd w:val="clear" w:color="auto" w:fill="FFFFFF"/>
          <w:lang w:val="en-US" w:eastAsia="zh-CN"/>
        </w:rPr>
      </w:pPr>
      <w:r>
        <w:rPr>
          <w:rFonts w:hint="eastAsia" w:ascii="微软雅黑" w:hAnsi="微软雅黑" w:eastAsia="微软雅黑" w:cs="微软雅黑"/>
          <w:color w:val="333333"/>
          <w:sz w:val="21"/>
          <w:szCs w:val="21"/>
          <w:highlight w:val="none"/>
          <w:shd w:val="clear" w:color="auto" w:fill="FFFFFF"/>
        </w:rPr>
        <w:t>项目联系人：</w:t>
      </w:r>
      <w:r>
        <w:rPr>
          <w:rFonts w:hint="eastAsia" w:ascii="微软雅黑" w:hAnsi="微软雅黑" w:eastAsia="微软雅黑" w:cs="微软雅黑"/>
          <w:color w:val="333333"/>
          <w:sz w:val="21"/>
          <w:szCs w:val="21"/>
          <w:highlight w:val="none"/>
          <w:shd w:val="clear" w:color="auto" w:fill="FFFFFF"/>
          <w:lang w:val="en-US" w:eastAsia="zh-CN"/>
        </w:rPr>
        <w:t>李国栋</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color w:val="333333"/>
          <w:sz w:val="21"/>
          <w:szCs w:val="21"/>
          <w:highlight w:val="none"/>
          <w:shd w:val="clear" w:color="auto" w:fill="FFFFFF"/>
        </w:rPr>
      </w:pPr>
      <w:r>
        <w:rPr>
          <w:rFonts w:hint="eastAsia" w:ascii="微软雅黑" w:hAnsi="微软雅黑" w:eastAsia="微软雅黑" w:cs="微软雅黑"/>
          <w:color w:val="333333"/>
          <w:kern w:val="0"/>
          <w:sz w:val="21"/>
          <w:szCs w:val="21"/>
          <w:highlight w:val="none"/>
          <w:shd w:val="clear" w:color="auto" w:fill="FFFFFF"/>
          <w:lang w:val="en-US" w:eastAsia="zh-CN" w:bidi="ar-SA"/>
        </w:rPr>
        <w:t>电　话：19899038730</w:t>
      </w:r>
      <w:r>
        <w:rPr>
          <w:rFonts w:hint="eastAsia" w:ascii="微软雅黑" w:hAnsi="微软雅黑" w:eastAsia="微软雅黑" w:cs="微软雅黑"/>
          <w:color w:val="333333"/>
          <w:sz w:val="21"/>
          <w:szCs w:val="21"/>
          <w:highlight w:val="none"/>
          <w:shd w:val="clear" w:color="auto" w:fill="FFFFFF"/>
        </w:rPr>
        <w:br w:type="page"/>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b/>
          <w:sz w:val="32"/>
          <w:szCs w:val="32"/>
        </w:rPr>
      </w:pPr>
      <w:r>
        <w:rPr>
          <w:b/>
          <w:sz w:val="32"/>
          <w:szCs w:val="32"/>
        </w:rPr>
        <w:t>第一部分  投标人须知前附表</w:t>
      </w:r>
      <w:bookmarkEnd w:id="0"/>
    </w:p>
    <w:tbl>
      <w:tblPr>
        <w:tblStyle w:val="27"/>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1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
                <w:sz w:val="24"/>
              </w:rPr>
            </w:pPr>
            <w:r>
              <w:rPr>
                <w:b/>
                <w:sz w:val="24"/>
              </w:rPr>
              <w:t>项号</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
                <w:sz w:val="24"/>
              </w:rPr>
            </w:pPr>
            <w:r>
              <w:rPr>
                <w:b/>
                <w:sz w:val="24"/>
              </w:rPr>
              <w:t>项目</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
                <w:sz w:val="24"/>
              </w:rPr>
            </w:pPr>
            <w:r>
              <w:rPr>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1</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项目名称及编号</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宋体" w:hAnsi="宋体" w:eastAsia="宋体" w:cs="宋体"/>
                <w:sz w:val="24"/>
                <w:lang w:eastAsia="zh-CN"/>
              </w:rPr>
            </w:pPr>
            <w:r>
              <w:rPr>
                <w:rFonts w:hint="eastAsia" w:ascii="宋体" w:hAnsi="宋体" w:cs="宋体"/>
                <w:sz w:val="24"/>
              </w:rPr>
              <w:t>项目名称：</w:t>
            </w:r>
            <w:r>
              <w:rPr>
                <w:rFonts w:hint="eastAsia" w:ascii="微软雅黑" w:hAnsi="微软雅黑" w:eastAsia="微软雅黑" w:cs="微软雅黑"/>
                <w:color w:val="333333"/>
                <w:sz w:val="21"/>
                <w:szCs w:val="21"/>
                <w:highlight w:val="none"/>
                <w:shd w:val="clear" w:color="auto" w:fill="FFFFFF"/>
              </w:rPr>
              <w:t>特克斯县住房和城乡建设局2023年城市园林绿化养护项目</w:t>
            </w:r>
          </w:p>
          <w:p>
            <w:pPr>
              <w:spacing w:line="276" w:lineRule="auto"/>
              <w:rPr>
                <w:rFonts w:ascii="宋体" w:hAnsi="宋体" w:cs="宋体"/>
                <w:b/>
                <w:sz w:val="24"/>
              </w:rPr>
            </w:pPr>
            <w:r>
              <w:rPr>
                <w:rFonts w:hint="eastAsia" w:ascii="宋体" w:hAnsi="宋体" w:cs="宋体"/>
                <w:sz w:val="24"/>
              </w:rPr>
              <w:t>项目编号：</w:t>
            </w:r>
            <w:r>
              <w:rPr>
                <w:rFonts w:hint="eastAsia" w:ascii="微软雅黑" w:hAnsi="微软雅黑" w:eastAsia="微软雅黑" w:cs="微软雅黑"/>
                <w:color w:val="333333"/>
                <w:sz w:val="21"/>
                <w:szCs w:val="21"/>
                <w:highlight w:val="none"/>
                <w:shd w:val="clear" w:color="auto" w:fill="FFFFFF"/>
              </w:rPr>
              <w:t>XJJT-2023-04-10-2</w:t>
            </w:r>
            <w:r>
              <w:rPr>
                <w:rFonts w:hint="eastAsia" w:ascii="宋体" w:hAnsi="宋体" w:cs="宋体"/>
                <w:b/>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2</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sz w:val="24"/>
              </w:rPr>
            </w:pPr>
            <w:r>
              <w:rPr>
                <w:rFonts w:hint="eastAsia" w:ascii="宋体" w:hAnsi="宋体" w:cs="宋体"/>
                <w:sz w:val="24"/>
              </w:rPr>
              <w:t>采购人</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宋体" w:hAnsi="宋体" w:cs="宋体"/>
                <w:sz w:val="24"/>
              </w:rPr>
            </w:pPr>
            <w:r>
              <w:rPr>
                <w:rFonts w:hint="eastAsia" w:ascii="宋体" w:hAnsi="宋体" w:cs="宋体"/>
                <w:sz w:val="24"/>
              </w:rPr>
              <w:t>采购人</w:t>
            </w:r>
            <w:r>
              <w:rPr>
                <w:rFonts w:hint="eastAsia" w:ascii="宋体" w:hAnsi="宋体" w:cs="宋体"/>
                <w:sz w:val="24"/>
                <w:lang w:eastAsia="zh-CN"/>
              </w:rPr>
              <w:t>：</w:t>
            </w:r>
            <w:r>
              <w:rPr>
                <w:rFonts w:hint="eastAsia" w:ascii="宋体" w:hAnsi="宋体" w:cs="宋体"/>
                <w:sz w:val="24"/>
                <w:lang w:val="en-US" w:eastAsia="zh-CN"/>
              </w:rPr>
              <w:t xml:space="preserve">特克斯县住房和城乡建设局 </w:t>
            </w:r>
            <w:r>
              <w:rPr>
                <w:rFonts w:hint="eastAsia" w:ascii="宋体" w:hAnsi="宋体" w:cs="宋体"/>
                <w:sz w:val="24"/>
              </w:rPr>
              <w:t xml:space="preserve">              </w:t>
            </w:r>
          </w:p>
          <w:p>
            <w:pPr>
              <w:spacing w:line="276" w:lineRule="auto"/>
              <w:jc w:val="left"/>
              <w:rPr>
                <w:rFonts w:hint="default" w:ascii="宋体" w:hAnsi="宋体" w:eastAsia="宋体" w:cs="宋体"/>
                <w:sz w:val="24"/>
                <w:highlight w:val="none"/>
                <w:lang w:val="en-US" w:eastAsia="zh-CN"/>
              </w:rPr>
            </w:pPr>
            <w:r>
              <w:rPr>
                <w:rFonts w:hint="eastAsia" w:ascii="宋体" w:hAnsi="宋体" w:cs="宋体"/>
                <w:sz w:val="24"/>
                <w:highlight w:val="none"/>
              </w:rPr>
              <w:t>联系人：</w:t>
            </w:r>
            <w:r>
              <w:rPr>
                <w:rFonts w:hint="eastAsia" w:ascii="宋体" w:hAnsi="宋体" w:cs="宋体"/>
                <w:sz w:val="24"/>
                <w:highlight w:val="none"/>
                <w:lang w:val="en-US" w:eastAsia="zh-CN"/>
              </w:rPr>
              <w:t>马忠海</w:t>
            </w:r>
          </w:p>
          <w:p>
            <w:pPr>
              <w:spacing w:line="276" w:lineRule="auto"/>
              <w:jc w:val="left"/>
              <w:rPr>
                <w:rFonts w:hint="eastAsia"/>
              </w:rPr>
            </w:pPr>
            <w:r>
              <w:rPr>
                <w:rFonts w:hint="eastAsia" w:ascii="宋体" w:hAnsi="宋体" w:cs="宋体"/>
                <w:sz w:val="24"/>
                <w:highlight w:val="none"/>
              </w:rPr>
              <w:t>电</w:t>
            </w:r>
            <w:r>
              <w:rPr>
                <w:rFonts w:hint="eastAsia" w:ascii="宋体" w:hAnsi="宋体" w:cs="宋体"/>
                <w:sz w:val="24"/>
                <w:highlight w:val="none"/>
                <w:lang w:val="en-US" w:eastAsia="zh-CN"/>
              </w:rPr>
              <w:t xml:space="preserve">  </w:t>
            </w:r>
            <w:r>
              <w:rPr>
                <w:rFonts w:hint="eastAsia" w:ascii="宋体" w:hAnsi="宋体" w:cs="宋体"/>
                <w:sz w:val="24"/>
                <w:highlight w:val="none"/>
              </w:rPr>
              <w:t>话：</w:t>
            </w:r>
            <w:r>
              <w:rPr>
                <w:rFonts w:hint="eastAsia" w:ascii="宋体" w:hAnsi="宋体" w:cs="宋体"/>
                <w:sz w:val="24"/>
                <w:highlight w:val="none"/>
                <w:lang w:val="en-US" w:eastAsia="zh-CN"/>
              </w:rPr>
              <w:t>15699493036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3</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采购代理机构</w:t>
            </w:r>
          </w:p>
          <w:p>
            <w:pPr>
              <w:spacing w:line="276" w:lineRule="auto"/>
              <w:jc w:val="center"/>
              <w:rPr>
                <w:rFonts w:ascii="宋体" w:hAnsi="宋体" w:cs="宋体"/>
                <w:sz w:val="24"/>
              </w:rPr>
            </w:pPr>
            <w:r>
              <w:rPr>
                <w:rFonts w:hint="eastAsia" w:ascii="宋体" w:hAnsi="宋体" w:cs="宋体"/>
                <w:sz w:val="24"/>
              </w:rPr>
              <w:t>联系人及联系方式</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sz w:val="24"/>
              </w:rPr>
            </w:pPr>
            <w:r>
              <w:rPr>
                <w:rFonts w:hint="eastAsia" w:ascii="宋体" w:hAnsi="宋体" w:cs="宋体"/>
                <w:sz w:val="24"/>
              </w:rPr>
              <w:t>代理机构：新疆聚拓工程项目管理有限公司 </w:t>
            </w:r>
          </w:p>
          <w:p>
            <w:pPr>
              <w:spacing w:line="276" w:lineRule="auto"/>
              <w:jc w:val="left"/>
              <w:rPr>
                <w:rFonts w:ascii="宋体" w:hAnsi="宋体" w:cs="宋体"/>
                <w:sz w:val="24"/>
              </w:rPr>
            </w:pPr>
            <w:r>
              <w:rPr>
                <w:rFonts w:hint="eastAsia" w:ascii="宋体" w:hAnsi="宋体" w:cs="宋体"/>
                <w:sz w:val="24"/>
              </w:rPr>
              <w:t>联 系 人：</w:t>
            </w:r>
            <w:r>
              <w:rPr>
                <w:rFonts w:hint="eastAsia" w:ascii="宋体" w:hAnsi="宋体" w:cs="宋体"/>
                <w:sz w:val="24"/>
                <w:lang w:val="en-US" w:eastAsia="zh-CN"/>
              </w:rPr>
              <w:t>李国栋</w:t>
            </w:r>
            <w:r>
              <w:rPr>
                <w:rFonts w:hint="eastAsia" w:ascii="宋体" w:hAnsi="宋体" w:cs="宋体"/>
                <w:sz w:val="24"/>
              </w:rPr>
              <w:t xml:space="preserve">   </w:t>
            </w:r>
          </w:p>
          <w:p>
            <w:pPr>
              <w:spacing w:line="276" w:lineRule="auto"/>
              <w:jc w:val="left"/>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19899038730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4</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采购内容</w:t>
            </w:r>
          </w:p>
        </w:tc>
        <w:tc>
          <w:tcPr>
            <w:tcW w:w="684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rPr>
                <w:rFonts w:hint="eastAsia" w:ascii="宋体" w:hAnsi="宋体" w:eastAsia="宋体" w:cs="宋体"/>
                <w:bCs/>
                <w:sz w:val="24"/>
                <w:highlight w:val="red"/>
                <w:lang w:eastAsia="zh-CN"/>
              </w:rPr>
            </w:pPr>
            <w:r>
              <w:rPr>
                <w:rFonts w:hint="eastAsia" w:ascii="微软雅黑" w:hAnsi="微软雅黑" w:eastAsia="微软雅黑" w:cs="微软雅黑"/>
                <w:color w:val="333333"/>
                <w:sz w:val="21"/>
                <w:szCs w:val="21"/>
                <w:highlight w:val="none"/>
                <w:shd w:val="clear" w:color="auto" w:fill="FFFFFF"/>
                <w:lang w:eastAsia="zh-CN"/>
              </w:rPr>
              <w:t>特克斯县2023年城市园林绿化养护。（详见招标文件）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所属行业</w:t>
            </w:r>
          </w:p>
        </w:tc>
        <w:tc>
          <w:tcPr>
            <w:tcW w:w="684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rPr>
                <w:rFonts w:hint="default" w:ascii="宋体" w:hAnsi="宋体" w:cs="宋体"/>
                <w:bCs/>
                <w:sz w:val="24"/>
                <w:highlight w:val="none"/>
                <w:lang w:val="en-US" w:eastAsia="zh-CN"/>
              </w:rPr>
            </w:pPr>
            <w:r>
              <w:rPr>
                <w:rFonts w:hint="eastAsia" w:ascii="宋体" w:hAnsi="宋体" w:cs="宋体"/>
                <w:bCs/>
                <w:sz w:val="24"/>
                <w:highlight w:val="none"/>
                <w:lang w:val="en-US" w:eastAsia="zh-CN"/>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kern w:val="2"/>
                <w:sz w:val="24"/>
                <w:szCs w:val="24"/>
                <w:lang w:val="en-US" w:eastAsia="zh-CN" w:bidi="ar-SA"/>
              </w:rPr>
            </w:pPr>
            <w:r>
              <w:rPr>
                <w:rFonts w:hint="eastAsia" w:ascii="宋体" w:hAnsi="宋体" w:cs="宋体"/>
                <w:sz w:val="24"/>
              </w:rPr>
              <w:t>6</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资金来源</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sz w:val="24"/>
                <w:lang w:val="en-US" w:eastAsia="zh-CN"/>
              </w:rPr>
            </w:pPr>
            <w:r>
              <w:rPr>
                <w:rFonts w:hint="eastAsia" w:ascii="宋体" w:hAnsi="宋体" w:cs="宋体"/>
                <w:sz w:val="24"/>
                <w:szCs w:val="24"/>
                <w:lang w:val="en-US" w:eastAsia="zh-CN"/>
              </w:rPr>
              <w:t>一般公共预算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kern w:val="2"/>
                <w:sz w:val="24"/>
                <w:szCs w:val="24"/>
                <w:lang w:val="en-US" w:eastAsia="zh-CN" w:bidi="ar-SA"/>
              </w:rPr>
            </w:pPr>
            <w:r>
              <w:rPr>
                <w:rFonts w:hint="eastAsia" w:ascii="宋体" w:hAnsi="宋体" w:cs="宋体"/>
                <w:sz w:val="24"/>
              </w:rPr>
              <w:t>7</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采购方式</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rPr>
            </w:pPr>
            <w:r>
              <w:rPr>
                <w:rFonts w:hint="eastAsia" w:ascii="宋体" w:hAnsi="宋体" w:cs="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宋体"/>
                <w:kern w:val="2"/>
                <w:sz w:val="24"/>
                <w:szCs w:val="24"/>
                <w:lang w:val="en-US" w:eastAsia="zh-CN" w:bidi="ar-SA"/>
              </w:rPr>
            </w:pPr>
            <w:r>
              <w:rPr>
                <w:rFonts w:hint="eastAsia" w:ascii="宋体" w:hAnsi="宋体" w:cs="宋体"/>
                <w:sz w:val="24"/>
              </w:rPr>
              <w:t>8</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报价方式</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1一次报价。报价应包含招标文件中所述服务的所有工作内容（详见</w:t>
            </w:r>
            <w:r>
              <w:rPr>
                <w:rFonts w:hint="eastAsia" w:ascii="宋体" w:hAnsi="宋体" w:eastAsia="宋体" w:cs="宋体"/>
                <w:sz w:val="24"/>
                <w:szCs w:val="24"/>
                <w:lang w:eastAsia="zh-CN"/>
              </w:rPr>
              <w:t>采购需求</w:t>
            </w:r>
            <w:r>
              <w:rPr>
                <w:rFonts w:hint="eastAsia" w:ascii="宋体" w:hAnsi="宋体" w:eastAsia="宋体" w:cs="宋体"/>
                <w:sz w:val="24"/>
                <w:szCs w:val="24"/>
              </w:rPr>
              <w:t>）</w:t>
            </w:r>
            <w:r>
              <w:rPr>
                <w:rFonts w:hint="eastAsia" w:ascii="宋体" w:hAnsi="宋体" w:eastAsia="宋体" w:cs="宋体"/>
                <w:sz w:val="24"/>
                <w:szCs w:val="24"/>
                <w:lang w:eastAsia="zh-CN"/>
              </w:rPr>
              <w:t>以及</w:t>
            </w:r>
            <w:r>
              <w:rPr>
                <w:rFonts w:hint="eastAsia" w:ascii="宋体" w:hAnsi="宋体" w:eastAsia="宋体" w:cs="宋体"/>
                <w:sz w:val="24"/>
                <w:szCs w:val="24"/>
                <w:lang w:val="en-US" w:eastAsia="zh-CN"/>
              </w:rPr>
              <w:t>与本项目有关的其它所有费用。</w:t>
            </w:r>
          </w:p>
          <w:p>
            <w:pPr>
              <w:overflowPunct w:val="0"/>
              <w:spacing w:line="360" w:lineRule="exact"/>
              <w:rPr>
                <w:rFonts w:hint="eastAsia" w:ascii="宋体" w:hAnsi="宋体" w:eastAsia="宋体" w:cs="宋体"/>
                <w:sz w:val="24"/>
                <w:szCs w:val="24"/>
              </w:rPr>
            </w:pPr>
            <w:r>
              <w:rPr>
                <w:rFonts w:hint="eastAsia" w:ascii="宋体" w:hAnsi="宋体" w:eastAsia="宋体" w:cs="宋体"/>
                <w:sz w:val="24"/>
                <w:szCs w:val="24"/>
              </w:rPr>
              <w:t>2根据《政府采购促进中小企业发展暂行办法》（财库[20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号）的规定，对小型和微型企业产品的价格给予</w:t>
            </w:r>
            <w:r>
              <w:rPr>
                <w:rFonts w:hint="eastAsia" w:ascii="宋体" w:hAnsi="宋体" w:cs="宋体"/>
                <w:sz w:val="24"/>
                <w:szCs w:val="24"/>
                <w:lang w:val="en-US" w:eastAsia="zh-CN"/>
              </w:rPr>
              <w:t>10</w:t>
            </w:r>
            <w:r>
              <w:rPr>
                <w:rFonts w:hint="eastAsia" w:ascii="宋体" w:hAnsi="宋体" w:eastAsia="宋体" w:cs="宋体"/>
                <w:sz w:val="24"/>
                <w:szCs w:val="24"/>
              </w:rPr>
              <w:t>%的价格扣除，用扣除后的价格参与评标。中小微企业提供《中小企业声明函》。</w:t>
            </w:r>
          </w:p>
          <w:p>
            <w:pPr>
              <w:widowControl/>
              <w:jc w:val="left"/>
              <w:rPr>
                <w:rFonts w:hint="eastAsia" w:ascii="宋体" w:hAnsi="宋体" w:eastAsia="宋体" w:cs="宋体"/>
                <w:sz w:val="24"/>
                <w:szCs w:val="24"/>
              </w:rPr>
            </w:pPr>
            <w:r>
              <w:rPr>
                <w:rFonts w:hint="eastAsia" w:ascii="宋体" w:hAnsi="宋体" w:eastAsia="宋体" w:cs="宋体"/>
                <w:sz w:val="24"/>
                <w:szCs w:val="24"/>
              </w:rPr>
              <w:t>3 根据《关于促进残疾人就业政府采购政策的通知》（财库[2017]141号），残疾人福利性单位视同小型、微型企业。</w:t>
            </w:r>
          </w:p>
          <w:p>
            <w:pPr>
              <w:spacing w:line="276"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4残疾人福利性单位属于小型、微型企业的，不重复享受政策。</w:t>
            </w:r>
          </w:p>
          <w:p>
            <w:pPr>
              <w:spacing w:line="276" w:lineRule="auto"/>
              <w:rPr>
                <w:rFonts w:hint="default" w:eastAsia="宋体"/>
                <w:lang w:val="en-US" w:eastAsia="zh-CN"/>
              </w:rPr>
            </w:pPr>
            <w:r>
              <w:rPr>
                <w:rFonts w:hint="eastAsia" w:ascii="宋体" w:hAnsi="宋体" w:eastAsia="宋体" w:cs="宋体"/>
                <w:sz w:val="24"/>
                <w:szCs w:val="24"/>
                <w:lang w:val="en-US" w:eastAsia="zh-CN"/>
              </w:rPr>
              <w:t xml:space="preserve">5投标人的报价明显低于其他投标人报价，或者明显低于市场价，使得其报价可能低于其个别成本的，应当要求该投标人作出书面说明并提供相应的证明材料。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投标人资格</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kern w:val="0"/>
                <w:sz w:val="24"/>
                <w:szCs w:val="24"/>
                <w:shd w:val="clear" w:color="auto" w:fill="FFFFFF"/>
              </w:rPr>
              <w:t>1.投标人须符合《中华人民共和国政府采购法》第二十二条之规定；</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kern w:val="0"/>
                <w:sz w:val="24"/>
                <w:szCs w:val="24"/>
                <w:shd w:val="clear" w:color="auto" w:fill="FFFFFF"/>
              </w:rPr>
              <w:t>2.落实政府采购政策需满足的资格要求：供应商为中小微企业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kern w:val="0"/>
                <w:sz w:val="24"/>
                <w:szCs w:val="24"/>
                <w:shd w:val="clear" w:color="auto" w:fill="FFFFFF"/>
              </w:rPr>
              <w:t>3</w:t>
            </w:r>
            <w:r>
              <w:rPr>
                <w:rFonts w:hint="eastAsia" w:ascii="宋体" w:hAnsi="宋体" w:eastAsia="宋体" w:cs="宋体"/>
                <w:color w:val="333333"/>
                <w:kern w:val="0"/>
                <w:sz w:val="24"/>
                <w:szCs w:val="24"/>
                <w:shd w:val="clear" w:color="auto" w:fill="FFFFFF"/>
                <w:lang w:val="en-US" w:eastAsia="zh-CN"/>
              </w:rPr>
              <w:t>.</w:t>
            </w:r>
            <w:r>
              <w:rPr>
                <w:rFonts w:hint="eastAsia" w:ascii="宋体" w:hAnsi="宋体" w:eastAsia="宋体" w:cs="宋体"/>
                <w:color w:val="333333"/>
                <w:kern w:val="0"/>
                <w:sz w:val="24"/>
                <w:szCs w:val="24"/>
                <w:shd w:val="clear" w:color="auto" w:fill="FFFFFF"/>
              </w:rPr>
              <w:t>本项目的特定资格要求：</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333333"/>
                <w:kern w:val="0"/>
                <w:sz w:val="24"/>
                <w:szCs w:val="24"/>
                <w:shd w:val="clear" w:color="auto" w:fill="FFFFFF"/>
                <w:lang w:eastAsia="zh-CN"/>
              </w:rPr>
            </w:pPr>
            <w:r>
              <w:rPr>
                <w:rFonts w:hint="eastAsia" w:ascii="宋体" w:hAnsi="宋体" w:eastAsia="宋体" w:cs="宋体"/>
                <w:color w:val="333333"/>
                <w:kern w:val="0"/>
                <w:sz w:val="24"/>
                <w:szCs w:val="24"/>
                <w:shd w:val="clear" w:color="auto" w:fill="FFFFFF"/>
              </w:rPr>
              <w:t>（1）法定代表人身份证明、授权委托人应提供《法人代表授权委托书》及身份证；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333333"/>
                <w:kern w:val="0"/>
                <w:sz w:val="24"/>
                <w:szCs w:val="24"/>
                <w:shd w:val="clear" w:color="auto" w:fill="FFFFFF"/>
                <w:lang w:eastAsia="zh-CN"/>
              </w:rPr>
            </w:pPr>
            <w:r>
              <w:rPr>
                <w:rFonts w:hint="eastAsia" w:ascii="宋体" w:hAnsi="宋体" w:eastAsia="宋体" w:cs="宋体"/>
                <w:color w:val="333333"/>
                <w:kern w:val="0"/>
                <w:sz w:val="24"/>
                <w:szCs w:val="24"/>
                <w:shd w:val="clear" w:color="auto" w:fill="FFFFFF"/>
              </w:rPr>
              <w:t>（2）有效经年检的三证合一营业执照；</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333333"/>
                <w:kern w:val="0"/>
                <w:sz w:val="24"/>
                <w:szCs w:val="24"/>
                <w:shd w:val="clear" w:color="auto" w:fill="FFFFFF"/>
                <w:lang w:eastAsia="zh-CN"/>
              </w:rPr>
            </w:pPr>
            <w:r>
              <w:rPr>
                <w:rFonts w:hint="eastAsia" w:ascii="宋体" w:hAnsi="宋体" w:eastAsia="宋体" w:cs="宋体"/>
                <w:color w:val="333333"/>
                <w:kern w:val="0"/>
                <w:sz w:val="24"/>
                <w:szCs w:val="24"/>
                <w:shd w:val="clear" w:color="auto" w:fill="FFFFFF"/>
              </w:rPr>
              <w:t>（3）</w:t>
            </w:r>
            <w:r>
              <w:rPr>
                <w:rFonts w:hint="eastAsia" w:ascii="宋体" w:hAnsi="宋体" w:eastAsia="宋体" w:cs="宋体"/>
                <w:color w:val="333333"/>
                <w:kern w:val="0"/>
                <w:sz w:val="24"/>
                <w:szCs w:val="24"/>
                <w:highlight w:val="none"/>
                <w:shd w:val="clear" w:color="auto" w:fill="FFFFFF"/>
              </w:rPr>
              <w:t>项目负责人</w:t>
            </w:r>
            <w:r>
              <w:rPr>
                <w:rFonts w:hint="eastAsia" w:ascii="宋体" w:hAnsi="宋体" w:cs="宋体"/>
                <w:color w:val="333333"/>
                <w:kern w:val="0"/>
                <w:sz w:val="24"/>
                <w:szCs w:val="24"/>
                <w:highlight w:val="none"/>
                <w:shd w:val="clear" w:color="auto" w:fill="FFFFFF"/>
                <w:lang w:eastAsia="zh-CN"/>
              </w:rPr>
              <w:t>具</w:t>
            </w:r>
            <w:r>
              <w:rPr>
                <w:rFonts w:hint="eastAsia" w:ascii="微软雅黑" w:hAnsi="微软雅黑" w:eastAsia="微软雅黑" w:cs="微软雅黑"/>
                <w:b w:val="0"/>
                <w:bCs w:val="0"/>
                <w:color w:val="333333"/>
                <w:sz w:val="21"/>
                <w:szCs w:val="21"/>
                <w:highlight w:val="none"/>
                <w:shd w:val="clear" w:color="auto" w:fill="FFFFFF"/>
                <w:lang w:eastAsia="zh-CN"/>
              </w:rPr>
              <w:t>有</w:t>
            </w:r>
            <w:r>
              <w:rPr>
                <w:rFonts w:hint="eastAsia" w:ascii="宋体" w:hAnsi="宋体" w:eastAsia="宋体" w:cs="宋体"/>
                <w:color w:val="333333"/>
                <w:kern w:val="0"/>
                <w:sz w:val="24"/>
                <w:szCs w:val="24"/>
                <w:shd w:val="clear" w:color="auto" w:fill="FFFFFF"/>
              </w:rPr>
              <w:t>园林专业中级及以上职称；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333333"/>
                <w:kern w:val="0"/>
                <w:sz w:val="24"/>
                <w:szCs w:val="24"/>
                <w:shd w:val="clear" w:color="auto" w:fill="FFFFFF"/>
                <w:lang w:eastAsia="zh-CN"/>
              </w:rPr>
            </w:pPr>
            <w:r>
              <w:rPr>
                <w:rFonts w:hint="eastAsia" w:ascii="宋体" w:hAnsi="宋体" w:eastAsia="宋体" w:cs="宋体"/>
                <w:color w:val="333333"/>
                <w:kern w:val="0"/>
                <w:sz w:val="24"/>
                <w:szCs w:val="24"/>
                <w:shd w:val="clear" w:color="auto" w:fill="FFFFFF"/>
              </w:rPr>
              <w:t>（4）单位负责人为同一人或者存在直接控股、管理关系的不同供应商，不得参加同一合同项下的政府采购活动；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napToGrid/>
              <w:spacing w:line="360" w:lineRule="exact"/>
              <w:textAlignment w:val="auto"/>
              <w:rPr>
                <w:rFonts w:cs="宋体"/>
                <w:sz w:val="24"/>
                <w:szCs w:val="24"/>
              </w:rPr>
            </w:pPr>
            <w:r>
              <w:rPr>
                <w:rFonts w:hint="eastAsia" w:ascii="宋体" w:hAnsi="宋体" w:eastAsia="宋体" w:cs="宋体"/>
                <w:color w:val="333333"/>
                <w:kern w:val="0"/>
                <w:sz w:val="24"/>
                <w:szCs w:val="24"/>
                <w:shd w:val="clear" w:color="auto" w:fill="FFFFFF"/>
              </w:rPr>
              <w:t>（5）未被信用中国（www.creditchina.gov.cn）、中国政府采购网（www.ccgp.gov.cn）、国家企业信用信息公示系统（http://www.gsxt.gov.cn）列入失信被执行人、税收违法黑名单、政府采购严重违法失信行为记录名单；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0</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kern w:val="0"/>
                <w:sz w:val="24"/>
              </w:rPr>
              <w:t>联合体</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rPr>
            </w:pPr>
            <w:r>
              <w:rPr>
                <w:rFonts w:hint="eastAsia" w:ascii="宋体" w:hAnsi="宋体" w:cs="宋体"/>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1</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投标有效期</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rPr>
            </w:pPr>
            <w:r>
              <w:rPr>
                <w:rFonts w:hint="eastAsia" w:ascii="宋体" w:hAnsi="宋体" w:cs="宋体"/>
                <w:sz w:val="24"/>
                <w:lang w:val="en-US" w:eastAsia="zh-CN"/>
              </w:rPr>
              <w:t>90</w:t>
            </w:r>
            <w:r>
              <w:rPr>
                <w:rFonts w:hint="eastAsia" w:ascii="宋体" w:hAnsi="宋体" w:cs="宋体"/>
                <w:sz w:val="24"/>
              </w:rPr>
              <w:t>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b/>
                <w:kern w:val="2"/>
                <w:sz w:val="24"/>
                <w:szCs w:val="24"/>
                <w:lang w:val="en-US" w:eastAsia="zh-CN" w:bidi="ar-SA"/>
              </w:rPr>
            </w:pPr>
            <w:r>
              <w:rPr>
                <w:rFonts w:hint="eastAsia" w:ascii="宋体" w:hAnsi="宋体" w:cs="宋体"/>
                <w:bCs/>
                <w:sz w:val="24"/>
              </w:rPr>
              <w:t>1</w:t>
            </w:r>
            <w:r>
              <w:rPr>
                <w:rFonts w:hint="eastAsia" w:ascii="宋体" w:hAnsi="宋体" w:cs="宋体"/>
                <w:bCs/>
                <w:sz w:val="24"/>
                <w:lang w:val="en-US" w:eastAsia="zh-CN"/>
              </w:rPr>
              <w:t>2</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highlight w:val="none"/>
              </w:rPr>
            </w:pPr>
            <w:r>
              <w:rPr>
                <w:rFonts w:hint="eastAsia" w:ascii="宋体" w:hAnsi="宋体" w:cs="宋体"/>
                <w:sz w:val="24"/>
                <w:highlight w:val="none"/>
              </w:rPr>
              <w:t>付款方式</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sz w:val="24"/>
                <w:highlight w:val="none"/>
                <w:lang w:eastAsia="zh-CN"/>
              </w:rPr>
            </w:pPr>
            <w:r>
              <w:rPr>
                <w:rFonts w:hint="eastAsia" w:ascii="宋体" w:hAnsi="宋体" w:cs="宋体"/>
                <w:sz w:val="24"/>
                <w:highlight w:val="none"/>
              </w:rPr>
              <w:t>合同生效后养护期满月后进行考核，费用按月支付。每月对养护质量进行考核，根据考核打分结果核拨养护费；由</w:t>
            </w:r>
            <w:r>
              <w:rPr>
                <w:rFonts w:hint="eastAsia" w:ascii="宋体" w:hAnsi="宋体" w:cs="宋体"/>
                <w:sz w:val="24"/>
                <w:highlight w:val="none"/>
                <w:lang w:eastAsia="zh-CN"/>
              </w:rPr>
              <w:t>日巡查和月度</w:t>
            </w:r>
            <w:r>
              <w:rPr>
                <w:rFonts w:hint="eastAsia" w:ascii="宋体" w:hAnsi="宋体" w:cs="宋体"/>
                <w:sz w:val="24"/>
                <w:highlight w:val="none"/>
              </w:rPr>
              <w:t>考核验收结果引起的经济扣罚直接在当月核拨的养护经费中扣除。具体</w:t>
            </w:r>
            <w:r>
              <w:rPr>
                <w:rFonts w:hint="eastAsia" w:ascii="宋体" w:hAnsi="宋体" w:cs="宋体"/>
                <w:sz w:val="24"/>
                <w:highlight w:val="none"/>
                <w:lang w:eastAsia="zh-CN"/>
              </w:rPr>
              <w:t>支付</w:t>
            </w:r>
            <w:r>
              <w:rPr>
                <w:rFonts w:hint="eastAsia" w:ascii="宋体" w:hAnsi="宋体" w:cs="宋体"/>
                <w:sz w:val="24"/>
                <w:highlight w:val="none"/>
              </w:rPr>
              <w:t>方式以签订合同为准</w:t>
            </w:r>
            <w:r>
              <w:rPr>
                <w:rFonts w:hint="eastAsia" w:ascii="宋体" w:hAnsi="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bCs/>
                <w:kern w:val="2"/>
                <w:sz w:val="24"/>
                <w:szCs w:val="24"/>
                <w:lang w:val="en-US" w:eastAsia="zh-CN" w:bidi="ar-SA"/>
              </w:rPr>
            </w:pPr>
            <w:r>
              <w:rPr>
                <w:rFonts w:hint="eastAsia" w:ascii="宋体" w:hAnsi="宋体" w:cs="宋体"/>
                <w:bCs/>
                <w:sz w:val="24"/>
                <w:lang w:val="en-US" w:eastAsia="zh-CN"/>
              </w:rPr>
              <w:t>13</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b/>
                <w:sz w:val="24"/>
                <w:highlight w:val="none"/>
                <w:lang w:eastAsia="zh-CN"/>
              </w:rPr>
            </w:pPr>
            <w:r>
              <w:rPr>
                <w:rFonts w:hint="eastAsia" w:ascii="宋体" w:hAnsi="宋体" w:cs="宋体"/>
                <w:b/>
                <w:sz w:val="24"/>
                <w:highlight w:val="none"/>
                <w:lang w:eastAsia="zh-CN"/>
              </w:rPr>
              <w:t>服务期限</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b/>
                <w:sz w:val="24"/>
                <w:highlight w:val="none"/>
                <w:lang w:val="en-US" w:eastAsia="zh-CN"/>
              </w:rPr>
            </w:pPr>
            <w:r>
              <w:rPr>
                <w:rFonts w:hint="eastAsia" w:ascii="宋体" w:hAnsi="宋体" w:cs="宋体"/>
                <w:b/>
                <w:sz w:val="24"/>
                <w:highlight w:val="none"/>
              </w:rPr>
              <w:t>甲乙双方签订合同后</w:t>
            </w:r>
            <w:r>
              <w:rPr>
                <w:rFonts w:hint="eastAsia" w:ascii="宋体" w:hAnsi="宋体" w:cs="宋体"/>
                <w:b/>
                <w:sz w:val="24"/>
                <w:highlight w:val="none"/>
                <w:lang w:val="en-US" w:eastAsia="zh-CN"/>
              </w:rPr>
              <w:t>1</w:t>
            </w:r>
            <w:r>
              <w:rPr>
                <w:rFonts w:hint="eastAsia" w:ascii="宋体" w:hAnsi="宋体" w:cs="宋体"/>
                <w:b/>
                <w:sz w:val="24"/>
                <w:highlight w:val="none"/>
              </w:rPr>
              <w:t>年</w:t>
            </w:r>
            <w:r>
              <w:rPr>
                <w:rFonts w:hint="eastAsia" w:ascii="宋体" w:hAnsi="宋体" w:cs="宋体"/>
                <w:b/>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4</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b/>
                <w:sz w:val="24"/>
              </w:rPr>
            </w:pPr>
            <w:r>
              <w:rPr>
                <w:rFonts w:hint="eastAsia" w:ascii="宋体" w:hAnsi="宋体" w:cs="宋体"/>
                <w:snapToGrid w:val="0"/>
                <w:kern w:val="0"/>
                <w:sz w:val="24"/>
                <w:lang w:eastAsia="zh-CN"/>
              </w:rPr>
              <w:t>交货（服务）</w:t>
            </w:r>
            <w:r>
              <w:rPr>
                <w:rFonts w:hint="eastAsia" w:ascii="宋体" w:hAnsi="宋体" w:cs="宋体"/>
                <w:snapToGrid w:val="0"/>
                <w:kern w:val="0"/>
                <w:sz w:val="24"/>
              </w:rPr>
              <w:t>地点</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cs="宋体"/>
                <w:sz w:val="24"/>
                <w:highlight w:val="none"/>
                <w:lang w:val="en-US" w:eastAsia="zh-CN"/>
              </w:rPr>
            </w:pPr>
            <w:r>
              <w:rPr>
                <w:rFonts w:hint="eastAsia" w:ascii="宋体" w:hAnsi="宋体" w:cs="宋体"/>
                <w:sz w:val="24"/>
                <w:highlight w:val="none"/>
                <w:lang w:val="en-US" w:eastAsia="zh-CN"/>
              </w:rPr>
              <w:t>特克斯县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6" w:type="dxa"/>
            <w:vMerge w:val="restart"/>
            <w:tcBorders>
              <w:top w:val="single" w:color="auto" w:sz="4" w:space="0"/>
              <w:left w:val="single" w:color="auto" w:sz="4" w:space="0"/>
              <w:right w:val="single" w:color="auto" w:sz="4" w:space="0"/>
            </w:tcBorders>
            <w:vAlign w:val="center"/>
          </w:tcPr>
          <w:p>
            <w:pPr>
              <w:spacing w:line="276"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r>
              <w:rPr>
                <w:rFonts w:ascii="宋体" w:hAnsi="宋体" w:cs="宋体"/>
                <w:sz w:val="24"/>
              </w:rPr>
              <w:t>1</w:t>
            </w:r>
            <w:r>
              <w:rPr>
                <w:rFonts w:hint="eastAsia" w:ascii="宋体" w:hAnsi="宋体" w:cs="宋体"/>
                <w:sz w:val="24"/>
                <w:lang w:val="en-US" w:eastAsia="zh-CN"/>
              </w:rPr>
              <w:t>5</w:t>
            </w:r>
          </w:p>
        </w:tc>
        <w:tc>
          <w:tcPr>
            <w:tcW w:w="2180"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投标保证金</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sz w:val="24"/>
              </w:rPr>
            </w:pPr>
            <w:r>
              <w:rPr>
                <w:rFonts w:hint="eastAsia" w:ascii="宋体" w:hAnsi="宋体" w:cs="宋体"/>
                <w:b/>
                <w:sz w:val="24"/>
                <w:highlight w:val="none"/>
              </w:rPr>
              <w:t>投标保证金：</w:t>
            </w:r>
            <w:r>
              <w:rPr>
                <w:rFonts w:hint="eastAsia" w:ascii="宋体" w:hAnsi="宋体" w:cs="宋体"/>
                <w:b/>
                <w:sz w:val="24"/>
                <w:highlight w:val="none"/>
                <w:lang w:val="en-US" w:eastAsia="zh-CN"/>
              </w:rPr>
              <w:t>100000元</w:t>
            </w:r>
            <w:r>
              <w:rPr>
                <w:rFonts w:hint="eastAsia" w:ascii="宋体" w:hAnsi="宋体" w:cs="宋体"/>
                <w:b/>
                <w:sz w:val="24"/>
                <w:highlight w:val="none"/>
              </w:rPr>
              <w:t>（</w:t>
            </w:r>
            <w:r>
              <w:rPr>
                <w:rFonts w:hint="eastAsia" w:ascii="宋体" w:hAnsi="宋体" w:cs="宋体"/>
                <w:b/>
                <w:sz w:val="24"/>
                <w:highlight w:val="none"/>
                <w:lang w:val="en-US" w:eastAsia="zh-CN"/>
              </w:rPr>
              <w:t>壹拾万元整</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16" w:type="dxa"/>
            <w:vMerge w:val="continue"/>
            <w:tcBorders>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kern w:val="2"/>
                <w:sz w:val="24"/>
                <w:szCs w:val="24"/>
                <w:lang w:val="en-US" w:eastAsia="zh-CN" w:bidi="ar-SA"/>
              </w:rPr>
            </w:pPr>
          </w:p>
        </w:tc>
        <w:tc>
          <w:tcPr>
            <w:tcW w:w="2180" w:type="dxa"/>
            <w:vMerge w:val="continue"/>
            <w:tcBorders>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p>
        </w:tc>
        <w:tc>
          <w:tcPr>
            <w:tcW w:w="684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投标保证金的形式：银行电汇、企业网银、保险保函；</w:t>
            </w:r>
          </w:p>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投标保证金的金额：</w:t>
            </w:r>
            <w:r>
              <w:rPr>
                <w:rFonts w:hint="eastAsia" w:ascii="仿宋_GB2312" w:hAnsi="宋体" w:eastAsia="仿宋_GB2312" w:cs="Times New Roman"/>
                <w:sz w:val="24"/>
                <w:szCs w:val="24"/>
                <w:lang w:val="en-US" w:eastAsia="zh-CN"/>
              </w:rPr>
              <w:t>100000.00</w:t>
            </w:r>
            <w:r>
              <w:rPr>
                <w:rFonts w:hint="eastAsia" w:ascii="仿宋_GB2312" w:hAnsi="宋体" w:eastAsia="仿宋_GB2312" w:cs="Times New Roman"/>
                <w:sz w:val="24"/>
                <w:szCs w:val="24"/>
              </w:rPr>
              <w:t>元（</w:t>
            </w:r>
            <w:r>
              <w:rPr>
                <w:rFonts w:hint="eastAsia" w:ascii="仿宋_GB2312" w:hAnsi="宋体" w:eastAsia="仿宋_GB2312" w:cs="Times New Roman"/>
                <w:sz w:val="24"/>
                <w:szCs w:val="24"/>
                <w:lang w:val="en-US" w:eastAsia="zh-CN"/>
              </w:rPr>
              <w:t>壹拾万元整</w:t>
            </w:r>
            <w:r>
              <w:rPr>
                <w:rFonts w:hint="eastAsia" w:ascii="仿宋_GB2312" w:hAnsi="宋体" w:eastAsia="仿宋_GB2312" w:cs="Times New Roman"/>
                <w:sz w:val="24"/>
                <w:szCs w:val="24"/>
              </w:rPr>
              <w:t>）人民币</w:t>
            </w:r>
          </w:p>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递交方式：银行电汇、企业网银、保险保函；</w:t>
            </w:r>
          </w:p>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收取投标保证金银行账户：</w:t>
            </w:r>
          </w:p>
          <w:p>
            <w:pPr>
              <w:spacing w:line="240" w:lineRule="auto"/>
              <w:jc w:val="both"/>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rPr>
              <w:t>单位名称：</w:t>
            </w:r>
            <w:r>
              <w:rPr>
                <w:rFonts w:hint="eastAsia" w:ascii="仿宋_GB2312" w:hAnsi="宋体" w:eastAsia="仿宋_GB2312" w:cs="Times New Roman"/>
                <w:sz w:val="24"/>
                <w:szCs w:val="24"/>
                <w:lang w:val="en-US" w:eastAsia="zh-CN"/>
              </w:rPr>
              <w:t>新疆聚拓工程项目管理有限公司</w:t>
            </w:r>
          </w:p>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 xml:space="preserve">帐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 号：</w:t>
            </w:r>
            <w:r>
              <w:rPr>
                <w:rFonts w:hint="eastAsia" w:ascii="仿宋_GB2312" w:hAnsi="宋体" w:eastAsia="仿宋_GB2312" w:cs="Times New Roman"/>
                <w:sz w:val="24"/>
                <w:szCs w:val="24"/>
                <w:lang w:val="en-US" w:eastAsia="zh-CN"/>
              </w:rPr>
              <w:t>30736101040004597</w:t>
            </w:r>
          </w:p>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开</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户</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行：</w:t>
            </w:r>
            <w:r>
              <w:rPr>
                <w:rFonts w:hint="eastAsia" w:ascii="仿宋_GB2312" w:hAnsi="宋体" w:eastAsia="仿宋_GB2312" w:cs="Times New Roman"/>
                <w:sz w:val="24"/>
                <w:szCs w:val="24"/>
                <w:lang w:val="en-US" w:eastAsia="zh-CN"/>
              </w:rPr>
              <w:t>中国农业银行股份有限公司伊犁山东路（兵团）支行</w:t>
            </w:r>
          </w:p>
          <w:p>
            <w:pPr>
              <w:spacing w:line="240" w:lineRule="auto"/>
              <w:jc w:val="both"/>
              <w:rPr>
                <w:rFonts w:hint="eastAsia" w:ascii="仿宋_GB2312" w:hAnsi="宋体" w:eastAsia="仿宋_GB2312" w:cs="Times New Roman"/>
                <w:sz w:val="24"/>
                <w:szCs w:val="24"/>
                <w:lang w:val="en-US" w:eastAsia="zh-CN"/>
              </w:rPr>
            </w:pPr>
            <w:r>
              <w:rPr>
                <w:rFonts w:hint="eastAsia" w:ascii="仿宋_GB2312" w:hAnsi="宋体" w:eastAsia="仿宋_GB2312" w:cs="Times New Roman"/>
                <w:sz w:val="24"/>
                <w:szCs w:val="24"/>
              </w:rPr>
              <w:t>地址：</w:t>
            </w:r>
            <w:r>
              <w:rPr>
                <w:rFonts w:hint="eastAsia" w:ascii="仿宋_GB2312" w:hAnsi="宋体" w:eastAsia="仿宋_GB2312" w:cs="Times New Roman"/>
                <w:sz w:val="24"/>
                <w:szCs w:val="24"/>
                <w:lang w:val="en-US" w:eastAsia="zh-CN"/>
              </w:rPr>
              <w:t>伊宁市经济合作区河北路与重庆路交汇2333号{亿达观澜）A--1--1702</w:t>
            </w:r>
          </w:p>
          <w:p>
            <w:pPr>
              <w:spacing w:line="240" w:lineRule="auto"/>
              <w:jc w:val="both"/>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rPr>
              <w:t>联系电话：</w:t>
            </w:r>
            <w:r>
              <w:rPr>
                <w:rFonts w:hint="eastAsia" w:ascii="仿宋_GB2312" w:hAnsi="宋体" w:eastAsia="仿宋_GB2312" w:cs="Times New Roman"/>
                <w:sz w:val="24"/>
                <w:szCs w:val="24"/>
                <w:lang w:val="en-US" w:eastAsia="zh-CN"/>
              </w:rPr>
              <w:t>19899038730</w:t>
            </w:r>
          </w:p>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保险保函：</w:t>
            </w:r>
          </w:p>
          <w:p>
            <w:pPr>
              <w:spacing w:line="240" w:lineRule="auto"/>
              <w:jc w:val="both"/>
              <w:rPr>
                <w:rFonts w:hint="eastAsia" w:ascii="仿宋_GB2312" w:hAnsi="宋体" w:eastAsia="仿宋_GB2312" w:cs="Times New Roman"/>
                <w:sz w:val="24"/>
                <w:szCs w:val="24"/>
              </w:rPr>
            </w:pPr>
            <w:r>
              <w:rPr>
                <w:rFonts w:hint="eastAsia" w:ascii="仿宋_GB2312" w:hAnsi="宋体" w:eastAsia="仿宋_GB2312" w:cs="Times New Roman"/>
                <w:sz w:val="24"/>
                <w:szCs w:val="24"/>
              </w:rPr>
              <w:t>（序号）潜在投标人可以自主选择以上任一种递交方式提交保证金。</w:t>
            </w:r>
          </w:p>
          <w:p>
            <w:pPr>
              <w:overflowPunct w:val="0"/>
              <w:spacing w:line="276" w:lineRule="auto"/>
              <w:ind w:firstLine="480" w:firstLineChars="200"/>
              <w:rPr>
                <w:rFonts w:ascii="宋体" w:hAnsi="宋体" w:cs="宋体"/>
                <w:b/>
                <w:bCs/>
                <w:sz w:val="24"/>
              </w:rPr>
            </w:pPr>
            <w:r>
              <w:rPr>
                <w:rFonts w:hint="eastAsia" w:ascii="仿宋_GB2312" w:hAnsi="宋体" w:eastAsia="仿宋_GB2312" w:cs="Times New Roman"/>
                <w:sz w:val="24"/>
                <w:szCs w:val="24"/>
              </w:rPr>
              <w:t>为保证投标保证金的如期交存，投标人应开标前从其基本账户将投标保证金汇入上述指定的银行账户，由招标代理机构根据银行进账单给投标人出具收款收据，在开标时作为投标保证金缴纳凭证，投标人请自行查询是否到账。请各位投标人在汇入保证金时标明项目名称标段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16" w:type="dxa"/>
            <w:tcBorders>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6</w:t>
            </w:r>
          </w:p>
        </w:tc>
        <w:tc>
          <w:tcPr>
            <w:tcW w:w="2180" w:type="dxa"/>
            <w:tcBorders>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踏勘</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rPr>
            </w:pPr>
            <w:r>
              <w:rPr>
                <w:rFonts w:hint="eastAsia" w:ascii="宋体" w:hAnsi="宋体" w:cs="宋体"/>
                <w:sz w:val="24"/>
              </w:rPr>
              <w:t>投标人可自行踏勘。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716" w:type="dxa"/>
            <w:tcBorders>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7</w:t>
            </w:r>
          </w:p>
        </w:tc>
        <w:tc>
          <w:tcPr>
            <w:tcW w:w="2180" w:type="dxa"/>
            <w:tcBorders>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投标文件的澄清</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 w:val="24"/>
                <w:highlight w:val="none"/>
              </w:rPr>
            </w:pPr>
            <w:r>
              <w:rPr>
                <w:rFonts w:hint="eastAsia" w:ascii="宋体" w:hAnsi="宋体" w:cs="宋体"/>
                <w:sz w:val="24"/>
                <w:highlight w:val="none"/>
              </w:rPr>
              <w:t>投标人如有质疑请</w:t>
            </w:r>
            <w:r>
              <w:rPr>
                <w:rFonts w:hint="eastAsia" w:ascii="宋体" w:hAnsi="宋体" w:cs="宋体"/>
                <w:color w:val="000000" w:themeColor="text1"/>
                <w:sz w:val="24"/>
                <w:highlight w:val="none"/>
                <w14:textFill>
                  <w14:solidFill>
                    <w14:schemeClr w14:val="tx1"/>
                  </w14:solidFill>
                </w14:textFill>
              </w:rPr>
              <w:t>于</w:t>
            </w:r>
            <w:r>
              <w:rPr>
                <w:rFonts w:hint="eastAsia" w:ascii="宋体" w:hAnsi="宋体" w:cs="宋体"/>
                <w:sz w:val="24"/>
                <w:highlight w:val="none"/>
                <w:shd w:val="clear"/>
              </w:rPr>
              <w:t>2</w:t>
            </w:r>
            <w:r>
              <w:rPr>
                <w:rFonts w:hint="eastAsia" w:ascii="宋体" w:hAnsi="宋体" w:cs="宋体"/>
                <w:sz w:val="24"/>
                <w:highlight w:val="none"/>
                <w:shd w:val="clear"/>
                <w:lang w:val="en-US" w:eastAsia="zh-CN"/>
              </w:rPr>
              <w:t>023</w:t>
            </w:r>
            <w:r>
              <w:rPr>
                <w:rFonts w:hint="eastAsia" w:ascii="宋体" w:hAnsi="宋体" w:cs="宋体"/>
                <w:sz w:val="24"/>
                <w:highlight w:val="none"/>
                <w:shd w:val="clear"/>
              </w:rPr>
              <w:t>年</w:t>
            </w:r>
            <w:r>
              <w:rPr>
                <w:rFonts w:hint="eastAsia" w:ascii="宋体" w:hAnsi="宋体" w:cs="宋体"/>
                <w:sz w:val="24"/>
                <w:highlight w:val="none"/>
                <w:shd w:val="clear"/>
                <w:lang w:val="en-US" w:eastAsia="zh-CN"/>
              </w:rPr>
              <w:t>4</w:t>
            </w:r>
            <w:r>
              <w:rPr>
                <w:rFonts w:hint="eastAsia" w:ascii="宋体" w:hAnsi="宋体" w:cs="宋体"/>
                <w:sz w:val="24"/>
                <w:highlight w:val="none"/>
                <w:shd w:val="clear"/>
              </w:rPr>
              <w:t>月</w:t>
            </w:r>
            <w:r>
              <w:rPr>
                <w:rFonts w:hint="eastAsia" w:ascii="宋体" w:hAnsi="宋体" w:cs="宋体"/>
                <w:sz w:val="24"/>
                <w:highlight w:val="none"/>
                <w:shd w:val="clear"/>
                <w:lang w:val="en-US" w:eastAsia="zh-CN"/>
              </w:rPr>
              <w:t>21</w:t>
            </w:r>
            <w:r>
              <w:rPr>
                <w:rFonts w:hint="eastAsia" w:ascii="宋体" w:hAnsi="宋体" w:cs="宋体"/>
                <w:sz w:val="24"/>
                <w:highlight w:val="none"/>
                <w:shd w:val="clear"/>
              </w:rPr>
              <w:t>日</w:t>
            </w:r>
            <w:r>
              <w:rPr>
                <w:rFonts w:hint="eastAsia" w:ascii="宋体" w:hAnsi="宋体" w:cs="宋体"/>
                <w:sz w:val="24"/>
                <w:highlight w:val="none"/>
                <w:lang w:val="en-US" w:eastAsia="zh-CN"/>
              </w:rPr>
              <w:t>19:30</w:t>
            </w:r>
            <w:r>
              <w:rPr>
                <w:rFonts w:hint="eastAsia" w:ascii="宋体" w:hAnsi="宋体" w:cs="宋体"/>
                <w:sz w:val="24"/>
                <w:highlight w:val="none"/>
              </w:rPr>
              <w:t>（</w:t>
            </w:r>
            <w:r>
              <w:rPr>
                <w:rFonts w:hint="eastAsia" w:ascii="宋体" w:hAnsi="宋体" w:cs="宋体"/>
                <w:color w:val="000000" w:themeColor="text1"/>
                <w:sz w:val="24"/>
                <w:highlight w:val="none"/>
                <w14:textFill>
                  <w14:solidFill>
                    <w14:schemeClr w14:val="tx1"/>
                  </w14:solidFill>
                </w14:textFill>
              </w:rPr>
              <w:t>北京时间）前以书</w:t>
            </w:r>
            <w:r>
              <w:rPr>
                <w:rFonts w:hint="eastAsia" w:ascii="宋体" w:hAnsi="宋体" w:cs="宋体"/>
                <w:color w:val="auto"/>
                <w:sz w:val="24"/>
                <w:highlight w:val="none"/>
              </w:rPr>
              <w:t>面形式向采购代理机构提出，代理机构做统一澄清。</w:t>
            </w:r>
          </w:p>
          <w:p>
            <w:pPr>
              <w:spacing w:line="276" w:lineRule="auto"/>
              <w:rPr>
                <w:rFonts w:ascii="宋体" w:hAnsi="宋体" w:cs="宋体"/>
                <w:sz w:val="24"/>
              </w:rPr>
            </w:pPr>
            <w:r>
              <w:rPr>
                <w:rFonts w:hint="eastAsia" w:ascii="宋体" w:hAnsi="宋体" w:cs="宋体"/>
                <w:color w:val="auto"/>
                <w:sz w:val="24"/>
              </w:rPr>
              <w:t>联系邮箱：</w:t>
            </w:r>
            <w:r>
              <w:rPr>
                <w:color w:val="auto"/>
              </w:rPr>
              <w:fldChar w:fldCharType="begin"/>
            </w:r>
            <w:r>
              <w:rPr>
                <w:color w:val="auto"/>
              </w:rPr>
              <w:instrText xml:space="preserve"> HYPERLINK "mailto:598475349@qq.com" </w:instrText>
            </w:r>
            <w:r>
              <w:rPr>
                <w:color w:val="auto"/>
              </w:rPr>
              <w:fldChar w:fldCharType="separate"/>
            </w:r>
            <w:r>
              <w:rPr>
                <w:rStyle w:val="32"/>
                <w:rFonts w:hint="eastAsia" w:ascii="宋体" w:hAnsi="宋体" w:cs="宋体"/>
                <w:color w:val="auto"/>
                <w:sz w:val="24"/>
                <w:lang w:val="en-US" w:eastAsia="zh-CN"/>
              </w:rPr>
              <w:t>2568393952</w:t>
            </w:r>
            <w:r>
              <w:rPr>
                <w:rStyle w:val="32"/>
                <w:rFonts w:hint="eastAsia" w:ascii="宋体" w:hAnsi="宋体" w:cs="宋体"/>
                <w:color w:val="auto"/>
                <w:sz w:val="24"/>
              </w:rPr>
              <w:t>@qq.com</w:t>
            </w:r>
            <w:r>
              <w:rPr>
                <w:rStyle w:val="32"/>
                <w:rFonts w:hint="eastAsia" w:ascii="宋体" w:hAnsi="宋体" w:cs="宋体"/>
                <w:color w:val="auto"/>
                <w:sz w:val="24"/>
              </w:rPr>
              <w:fldChar w:fldCharType="end"/>
            </w:r>
            <w:r>
              <w:rPr>
                <w:rFonts w:hint="eastAsia" w:ascii="宋体" w:hAnsi="宋体" w:cs="宋体"/>
                <w:color w:val="auto"/>
                <w:sz w:val="24"/>
              </w:rPr>
              <w:t>（</w:t>
            </w:r>
            <w:r>
              <w:rPr>
                <w:rFonts w:hint="eastAsia" w:ascii="宋体" w:hAnsi="宋体" w:cs="宋体"/>
                <w:sz w:val="24"/>
              </w:rPr>
              <w:t>注：接受扫描件。）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716" w:type="dxa"/>
            <w:tcBorders>
              <w:top w:val="single" w:color="auto" w:sz="4" w:space="0"/>
              <w:left w:val="single" w:color="auto" w:sz="4" w:space="0"/>
              <w:right w:val="single" w:color="auto" w:sz="4" w:space="0"/>
            </w:tcBorders>
            <w:vAlign w:val="center"/>
          </w:tcPr>
          <w:p>
            <w:pPr>
              <w:spacing w:line="276" w:lineRule="auto"/>
              <w:jc w:val="center"/>
              <w:rPr>
                <w:rFonts w:hint="eastAsia"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8</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b/>
                <w:bCs/>
                <w:spacing w:val="-14"/>
                <w:sz w:val="24"/>
                <w:lang w:eastAsia="zh-CN"/>
              </w:rPr>
              <w:t>标后提交的</w:t>
            </w:r>
            <w:r>
              <w:rPr>
                <w:rFonts w:hint="eastAsia" w:ascii="宋体" w:hAnsi="宋体" w:cs="宋体"/>
                <w:b/>
                <w:bCs/>
                <w:spacing w:val="-14"/>
                <w:sz w:val="24"/>
              </w:rPr>
              <w:t>投标文件</w:t>
            </w:r>
            <w:r>
              <w:rPr>
                <w:rFonts w:hint="eastAsia" w:ascii="宋体" w:hAnsi="宋体" w:cs="宋体"/>
                <w:b/>
                <w:bCs/>
                <w:sz w:val="24"/>
              </w:rPr>
              <w:t>份数</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cs="宋体"/>
                <w:sz w:val="24"/>
              </w:rPr>
            </w:pPr>
            <w:r>
              <w:rPr>
                <w:rFonts w:hint="eastAsia" w:ascii="宋体" w:hAnsi="宋体" w:cs="宋体"/>
                <w:sz w:val="24"/>
                <w:lang w:eastAsia="zh-CN"/>
              </w:rPr>
              <w:t>纸质版</w:t>
            </w:r>
            <w:r>
              <w:rPr>
                <w:rFonts w:hint="eastAsia" w:ascii="宋体" w:hAnsi="宋体" w:cs="宋体"/>
                <w:sz w:val="24"/>
              </w:rPr>
              <w:t>正本一份，副本</w:t>
            </w:r>
            <w:r>
              <w:rPr>
                <w:rFonts w:hint="eastAsia" w:ascii="宋体" w:hAnsi="宋体" w:cs="宋体"/>
                <w:sz w:val="24"/>
                <w:lang w:eastAsia="zh-CN"/>
              </w:rPr>
              <w:t>三</w:t>
            </w:r>
            <w:r>
              <w:rPr>
                <w:rFonts w:hint="eastAsia" w:ascii="宋体" w:hAnsi="宋体" w:cs="宋体"/>
                <w:sz w:val="24"/>
              </w:rPr>
              <w:t>份。</w:t>
            </w:r>
          </w:p>
          <w:p>
            <w:pPr>
              <w:spacing w:line="276" w:lineRule="auto"/>
            </w:pPr>
            <w:r>
              <w:rPr>
                <w:rFonts w:hint="eastAsia" w:ascii="宋体" w:hAnsi="宋体" w:cs="宋体"/>
                <w:sz w:val="24"/>
                <w:lang w:val="en-US" w:eastAsia="zh-CN"/>
              </w:rPr>
              <w:t>联系电话：19899038730。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16" w:type="dxa"/>
            <w:tcBorders>
              <w:left w:val="single" w:color="auto" w:sz="4" w:space="0"/>
              <w:bottom w:val="single" w:color="auto" w:sz="4" w:space="0"/>
              <w:right w:val="single" w:color="auto" w:sz="4" w:space="0"/>
            </w:tcBorders>
            <w:vAlign w:val="center"/>
          </w:tcPr>
          <w:p>
            <w:pPr>
              <w:spacing w:line="276" w:lineRule="auto"/>
              <w:ind w:right="-71" w:rightChars="-34"/>
              <w:jc w:val="center"/>
              <w:rPr>
                <w:rFonts w:hint="eastAsia"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9</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投标文件的密封</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sz w:val="24"/>
                <w:lang w:eastAsia="zh-CN"/>
              </w:rPr>
            </w:pPr>
            <w:r>
              <w:rPr>
                <w:rFonts w:hint="eastAsia" w:ascii="宋体" w:hAnsi="宋体" w:cs="宋体"/>
                <w:sz w:val="24"/>
                <w:lang w:val="en-US" w:eastAsia="zh-CN"/>
              </w:rPr>
              <w:t>无需密封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6" w:type="dxa"/>
            <w:tcBorders>
              <w:left w:val="single" w:color="auto" w:sz="4" w:space="0"/>
              <w:bottom w:val="single" w:color="auto" w:sz="4" w:space="0"/>
              <w:right w:val="single" w:color="auto" w:sz="4" w:space="0"/>
            </w:tcBorders>
            <w:vAlign w:val="center"/>
          </w:tcPr>
          <w:p>
            <w:pPr>
              <w:spacing w:line="276" w:lineRule="auto"/>
              <w:ind w:right="-71" w:rightChars="-34"/>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投标文件的签署</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rPr>
            </w:pPr>
            <w:r>
              <w:rPr>
                <w:rFonts w:hint="eastAsia" w:ascii="宋体" w:hAnsi="宋体" w:cs="宋体"/>
                <w:sz w:val="24"/>
              </w:rPr>
              <w:t>投标文件应由法人代表或授权代表逐页签署并加盖单位公章。所有投标人签字、法人代表签字、法人代表授权人签字和其它签字处必须加盖具有法律效力的投标人的印章后，投标文件方为有效。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16" w:type="dxa"/>
            <w:tcBorders>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bCs/>
                <w:kern w:val="2"/>
                <w:sz w:val="24"/>
                <w:szCs w:val="24"/>
                <w:lang w:val="en-US" w:eastAsia="zh-CN" w:bidi="ar-SA"/>
              </w:rPr>
            </w:pPr>
            <w:r>
              <w:rPr>
                <w:rFonts w:hint="eastAsia" w:ascii="宋体" w:hAnsi="宋体" w:cs="宋体"/>
                <w:bCs/>
                <w:sz w:val="24"/>
              </w:rPr>
              <w:t>2</w:t>
            </w:r>
            <w:r>
              <w:rPr>
                <w:rFonts w:hint="eastAsia" w:ascii="宋体" w:hAnsi="宋体" w:cs="宋体"/>
                <w:bCs/>
                <w:sz w:val="24"/>
                <w:lang w:val="en-US" w:eastAsia="zh-CN"/>
              </w:rPr>
              <w:t>1</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投标文件的装订</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rPr>
            </w:pPr>
            <w:r>
              <w:rPr>
                <w:rFonts w:hint="eastAsia" w:ascii="宋体" w:hAnsi="宋体" w:cs="宋体"/>
                <w:sz w:val="24"/>
              </w:rPr>
              <w:t>投标文件以死页</w:t>
            </w:r>
            <w:r>
              <w:rPr>
                <w:rFonts w:hint="eastAsia" w:ascii="宋体" w:hAnsi="宋体" w:cs="宋体"/>
                <w:sz w:val="24"/>
                <w:lang w:eastAsia="zh-CN"/>
              </w:rPr>
              <w:t>胶装</w:t>
            </w:r>
            <w:r>
              <w:rPr>
                <w:rFonts w:hint="eastAsia" w:ascii="宋体" w:hAnsi="宋体" w:cs="宋体"/>
                <w:sz w:val="24"/>
              </w:rPr>
              <w:t>方式装订，必须为不可拆装的方式。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bCs/>
                <w:kern w:val="2"/>
                <w:sz w:val="24"/>
                <w:szCs w:val="24"/>
                <w:lang w:val="en-US" w:eastAsia="zh-CN" w:bidi="ar-SA"/>
              </w:rPr>
            </w:pPr>
            <w:r>
              <w:rPr>
                <w:rFonts w:hint="eastAsia" w:ascii="宋体" w:hAnsi="宋体" w:cs="宋体"/>
                <w:bCs/>
                <w:sz w:val="24"/>
              </w:rPr>
              <w:t>2</w:t>
            </w:r>
            <w:r>
              <w:rPr>
                <w:rFonts w:hint="eastAsia" w:ascii="宋体" w:hAnsi="宋体" w:cs="宋体"/>
                <w:bCs/>
                <w:sz w:val="24"/>
                <w:lang w:val="en-US" w:eastAsia="zh-CN"/>
              </w:rPr>
              <w:t>2</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ind w:right="-126" w:rightChars="-60"/>
              <w:jc w:val="center"/>
              <w:rPr>
                <w:rFonts w:ascii="宋体" w:hAnsi="宋体" w:cs="宋体"/>
                <w:b/>
                <w:sz w:val="24"/>
              </w:rPr>
            </w:pPr>
            <w:r>
              <w:rPr>
                <w:rFonts w:hint="eastAsia" w:ascii="宋体" w:hAnsi="宋体" w:cs="宋体"/>
                <w:b/>
                <w:sz w:val="24"/>
              </w:rPr>
              <w:t>投标文件递交地点</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sz w:val="24"/>
              </w:rPr>
            </w:pPr>
            <w:r>
              <w:rPr>
                <w:rFonts w:hint="eastAsia" w:ascii="宋体" w:hAnsi="宋体" w:cs="宋体"/>
                <w:sz w:val="24"/>
              </w:rPr>
              <w:t>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bCs/>
                <w:kern w:val="2"/>
                <w:sz w:val="24"/>
                <w:szCs w:val="24"/>
                <w:lang w:val="en-US" w:eastAsia="zh-CN" w:bidi="ar-SA"/>
              </w:rPr>
            </w:pPr>
            <w:r>
              <w:rPr>
                <w:rFonts w:hint="eastAsia" w:ascii="宋体" w:hAnsi="宋体" w:cs="宋体"/>
                <w:bCs/>
                <w:sz w:val="24"/>
              </w:rPr>
              <w:t>2</w:t>
            </w:r>
            <w:r>
              <w:rPr>
                <w:rFonts w:hint="eastAsia" w:ascii="宋体" w:hAnsi="宋体" w:cs="宋体"/>
                <w:bCs/>
                <w:sz w:val="24"/>
                <w:lang w:val="en-US" w:eastAsia="zh-CN"/>
              </w:rPr>
              <w:t>3</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sz w:val="24"/>
              </w:rPr>
            </w:pPr>
            <w:r>
              <w:rPr>
                <w:rFonts w:hint="eastAsia" w:ascii="宋体" w:hAnsi="宋体" w:cs="宋体"/>
                <w:b/>
                <w:sz w:val="24"/>
              </w:rPr>
              <w:t>投标截止时间</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sz w:val="24"/>
                <w:highlight w:val="none"/>
              </w:rPr>
            </w:pPr>
            <w:r>
              <w:rPr>
                <w:rFonts w:hint="eastAsia" w:ascii="宋体" w:hAnsi="宋体" w:cs="宋体"/>
                <w:b/>
                <w:bCs/>
                <w:sz w:val="24"/>
                <w:highlight w:val="none"/>
                <w:u w:val="single"/>
                <w:lang w:val="en-US" w:eastAsia="zh-CN"/>
              </w:rPr>
              <w:t>2023</w:t>
            </w:r>
            <w:r>
              <w:rPr>
                <w:rFonts w:hint="eastAsia" w:ascii="宋体" w:hAnsi="宋体" w:cs="宋体"/>
                <w:b/>
                <w:bCs/>
                <w:sz w:val="24"/>
                <w:highlight w:val="none"/>
                <w:u w:val="single"/>
              </w:rPr>
              <w:t>年</w:t>
            </w:r>
            <w:r>
              <w:rPr>
                <w:rFonts w:hint="eastAsia" w:ascii="宋体" w:hAnsi="宋体" w:cs="宋体"/>
                <w:b/>
                <w:bCs/>
                <w:sz w:val="24"/>
                <w:highlight w:val="none"/>
                <w:u w:val="single"/>
                <w:lang w:val="en-US" w:eastAsia="zh-CN"/>
              </w:rPr>
              <w:t>5</w:t>
            </w:r>
            <w:r>
              <w:rPr>
                <w:rFonts w:hint="eastAsia" w:ascii="宋体" w:hAnsi="宋体" w:cs="宋体"/>
                <w:b/>
                <w:bCs/>
                <w:sz w:val="24"/>
                <w:highlight w:val="none"/>
                <w:u w:val="single"/>
              </w:rPr>
              <w:t>月</w:t>
            </w:r>
            <w:r>
              <w:rPr>
                <w:rFonts w:hint="eastAsia" w:ascii="宋体" w:hAnsi="宋体" w:cs="宋体"/>
                <w:b/>
                <w:bCs/>
                <w:sz w:val="24"/>
                <w:highlight w:val="none"/>
                <w:u w:val="single"/>
                <w:lang w:val="en-US" w:eastAsia="zh-CN"/>
              </w:rPr>
              <w:t>6</w:t>
            </w:r>
            <w:r>
              <w:rPr>
                <w:rFonts w:hint="eastAsia" w:ascii="宋体" w:hAnsi="宋体" w:cs="宋体"/>
                <w:b/>
                <w:bCs/>
                <w:sz w:val="24"/>
                <w:highlight w:val="none"/>
                <w:u w:val="single"/>
              </w:rPr>
              <w:t>日上午1</w:t>
            </w:r>
            <w:r>
              <w:rPr>
                <w:rFonts w:hint="eastAsia" w:ascii="宋体" w:hAnsi="宋体" w:cs="宋体"/>
                <w:b/>
                <w:bCs/>
                <w:sz w:val="24"/>
                <w:highlight w:val="none"/>
                <w:u w:val="single"/>
                <w:lang w:val="en-US" w:eastAsia="zh-CN"/>
              </w:rPr>
              <w:t>1</w:t>
            </w:r>
            <w:r>
              <w:rPr>
                <w:rFonts w:hint="eastAsia" w:ascii="宋体" w:hAnsi="宋体" w:cs="宋体"/>
                <w:b/>
                <w:bCs/>
                <w:sz w:val="24"/>
                <w:highlight w:val="none"/>
                <w:u w:val="single"/>
              </w:rPr>
              <w:t>:</w:t>
            </w:r>
            <w:r>
              <w:rPr>
                <w:rFonts w:hint="eastAsia" w:ascii="宋体" w:hAnsi="宋体" w:cs="宋体"/>
                <w:b/>
                <w:bCs/>
                <w:sz w:val="24"/>
                <w:highlight w:val="none"/>
                <w:u w:val="single"/>
                <w:lang w:val="en-US" w:eastAsia="zh-CN"/>
              </w:rPr>
              <w:t>0</w:t>
            </w:r>
            <w:r>
              <w:rPr>
                <w:rFonts w:hint="eastAsia" w:ascii="宋体" w:hAnsi="宋体" w:cs="宋体"/>
                <w:b/>
                <w:bCs/>
                <w:sz w:val="24"/>
                <w:highlight w:val="none"/>
                <w:u w:val="single"/>
              </w:rPr>
              <w:t>0时</w:t>
            </w:r>
            <w:r>
              <w:rPr>
                <w:rFonts w:hint="eastAsia" w:ascii="宋体" w:hAnsi="宋体" w:cs="宋体"/>
                <w:b/>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bCs/>
                <w:kern w:val="2"/>
                <w:sz w:val="24"/>
                <w:szCs w:val="24"/>
                <w:lang w:val="en-US" w:eastAsia="zh-CN" w:bidi="ar-SA"/>
              </w:rPr>
            </w:pPr>
            <w:r>
              <w:rPr>
                <w:rFonts w:hint="eastAsia" w:ascii="宋体" w:hAnsi="宋体" w:cs="宋体"/>
                <w:bCs/>
                <w:sz w:val="24"/>
                <w:szCs w:val="24"/>
                <w:lang w:val="en-US" w:eastAsia="zh-CN"/>
              </w:rPr>
              <w:t>24</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sz w:val="24"/>
                <w:highlight w:val="none"/>
              </w:rPr>
            </w:pPr>
            <w:r>
              <w:rPr>
                <w:rFonts w:hint="eastAsia" w:ascii="宋体" w:hAnsi="宋体" w:cs="宋体"/>
                <w:b/>
                <w:sz w:val="24"/>
                <w:highlight w:val="none"/>
              </w:rPr>
              <w:t>最高限价</w:t>
            </w:r>
          </w:p>
        </w:tc>
        <w:tc>
          <w:tcPr>
            <w:tcW w:w="684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b/>
                <w:sz w:val="24"/>
                <w:highlight w:val="none"/>
                <w:lang w:val="en-US" w:eastAsia="zh-CN"/>
              </w:rPr>
            </w:pPr>
            <w:r>
              <w:rPr>
                <w:rFonts w:hint="eastAsia" w:ascii="微软雅黑" w:hAnsi="微软雅黑" w:eastAsia="微软雅黑" w:cs="微软雅黑"/>
                <w:color w:val="333333"/>
                <w:sz w:val="21"/>
                <w:szCs w:val="21"/>
                <w:highlight w:val="none"/>
                <w:shd w:val="clear" w:color="auto" w:fill="FFFFFF"/>
                <w:lang w:val="en-US" w:eastAsia="zh-CN"/>
              </w:rPr>
              <w:t>10622860.00元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bCs/>
                <w:kern w:val="2"/>
                <w:sz w:val="24"/>
                <w:szCs w:val="24"/>
                <w:lang w:val="en-US" w:eastAsia="zh-CN" w:bidi="ar-SA"/>
              </w:rPr>
            </w:pPr>
            <w:r>
              <w:rPr>
                <w:rFonts w:hint="eastAsia" w:ascii="宋体" w:hAnsi="宋体" w:cs="宋体"/>
                <w:bCs/>
                <w:sz w:val="24"/>
                <w:szCs w:val="24"/>
                <w:lang w:val="en-US" w:eastAsia="zh-CN"/>
              </w:rPr>
              <w:t>25</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color w:val="auto"/>
                <w:sz w:val="24"/>
                <w:szCs w:val="24"/>
                <w:lang w:val="en-US" w:eastAsia="zh-CN"/>
              </w:rPr>
              <w:t>评标委员会的组建</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评标委员会构成：</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5 </w:t>
            </w:r>
            <w:r>
              <w:rPr>
                <w:rFonts w:hint="eastAsia" w:ascii="宋体" w:hAnsi="宋体" w:eastAsia="宋体" w:cs="宋体"/>
                <w:color w:val="auto"/>
                <w:sz w:val="24"/>
                <w:szCs w:val="24"/>
                <w:highlight w:val="none"/>
                <w:lang w:val="en-US" w:eastAsia="zh-CN"/>
              </w:rPr>
              <w:t>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color w:val="auto"/>
                <w:sz w:val="24"/>
                <w:szCs w:val="24"/>
                <w:highlight w:val="none"/>
                <w:lang w:val="en-US" w:eastAsia="zh-CN"/>
              </w:rPr>
              <w:t xml:space="preserve">评标专家确定方式：随机抽取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bCs/>
                <w:kern w:val="2"/>
                <w:sz w:val="24"/>
                <w:szCs w:val="24"/>
                <w:lang w:val="en-US" w:eastAsia="zh-CN" w:bidi="ar-SA"/>
              </w:rPr>
            </w:pPr>
            <w:r>
              <w:rPr>
                <w:rFonts w:hint="eastAsia" w:ascii="宋体" w:hAnsi="宋体" w:cs="宋体"/>
                <w:bCs/>
                <w:sz w:val="24"/>
                <w:szCs w:val="24"/>
                <w:lang w:val="en-US" w:eastAsia="zh-CN"/>
              </w:rPr>
              <w:t>26</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color w:val="auto"/>
                <w:sz w:val="24"/>
                <w:szCs w:val="24"/>
                <w:lang w:val="en-US" w:eastAsia="zh-CN"/>
              </w:rPr>
              <w:t>成交公示媒介及期限：</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color w:val="auto"/>
                <w:sz w:val="24"/>
                <w:szCs w:val="24"/>
                <w:lang w:val="en-US" w:eastAsia="zh-CN"/>
              </w:rPr>
              <w:t>采购人将成交单位的情况在新疆政府采购网予以公示，公示期限为3日。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bCs/>
                <w:kern w:val="2"/>
                <w:sz w:val="24"/>
                <w:szCs w:val="24"/>
                <w:lang w:val="en-US" w:eastAsia="zh-CN" w:bidi="ar-SA"/>
              </w:rPr>
            </w:pPr>
            <w:r>
              <w:rPr>
                <w:rFonts w:hint="eastAsia" w:ascii="宋体" w:hAnsi="宋体" w:cs="宋体"/>
                <w:bCs/>
                <w:sz w:val="24"/>
                <w:szCs w:val="24"/>
                <w:lang w:val="en-US" w:eastAsia="zh-CN"/>
              </w:rPr>
              <w:t>27</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招标代理费</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招标代理服务费用按国家计委[2002]1980号文件和国家发改委发改办价格【2003】857号文执行，由</w:t>
            </w:r>
            <w:r>
              <w:rPr>
                <w:rFonts w:hint="eastAsia" w:ascii="宋体" w:hAnsi="宋体" w:cs="宋体"/>
                <w:color w:val="auto"/>
                <w:sz w:val="24"/>
                <w:szCs w:val="24"/>
                <w:lang w:val="en-US" w:eastAsia="zh-CN"/>
              </w:rPr>
              <w:t>中标</w:t>
            </w:r>
            <w:r>
              <w:rPr>
                <w:rFonts w:hint="eastAsia" w:ascii="宋体" w:hAnsi="宋体" w:eastAsia="宋体" w:cs="宋体"/>
                <w:color w:val="auto"/>
                <w:sz w:val="24"/>
                <w:szCs w:val="24"/>
                <w:lang w:val="en-US" w:eastAsia="zh-CN"/>
              </w:rPr>
              <w:t>单位支付招标代理服务费，该费用由投标人计入投标总报价中，不再单独列项。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28</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场地费</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按照相关规定缴纳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7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关于政采云平台线上电子招投标的注意事项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bCs/>
                <w:kern w:val="2"/>
                <w:sz w:val="24"/>
                <w:szCs w:val="24"/>
                <w:lang w:val="en-US" w:eastAsia="zh-CN" w:bidi="ar-SA"/>
              </w:rPr>
            </w:pPr>
            <w:r>
              <w:rPr>
                <w:rFonts w:hint="eastAsia" w:ascii="宋体" w:hAnsi="宋体" w:cs="宋体"/>
                <w:bCs/>
                <w:sz w:val="24"/>
                <w:szCs w:val="24"/>
                <w:lang w:val="en-US" w:eastAsia="zh-CN"/>
              </w:rPr>
              <w:t>29</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响应文件解密时间</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auto"/>
                <w:sz w:val="24"/>
                <w:szCs w:val="24"/>
                <w:u w:val="single"/>
                <w:lang w:val="en-US" w:eastAsia="zh-CN"/>
              </w:rPr>
              <w:t>响应文件解密时间30分钟；开标前需投标单位用CA证书登录政采云平台开标大厅签到，在30分钟解密时间内输入CA证书PIN码解密响应文件。在30分钟解密时间内未进行解密的投标单位可能导致废标。（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eastAsia="宋体" w:cs="宋体"/>
                <w:bCs/>
                <w:kern w:val="2"/>
                <w:sz w:val="24"/>
                <w:szCs w:val="24"/>
                <w:lang w:val="en-US" w:eastAsia="zh-CN" w:bidi="ar-SA"/>
              </w:rPr>
            </w:pPr>
            <w:r>
              <w:rPr>
                <w:rFonts w:hint="eastAsia" w:ascii="宋体" w:hAnsi="宋体" w:cs="宋体"/>
                <w:bCs/>
                <w:sz w:val="24"/>
                <w:szCs w:val="24"/>
                <w:lang w:val="en-US" w:eastAsia="zh-CN"/>
              </w:rPr>
              <w:t>30</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供应商报价CA签字确认</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auto"/>
                <w:sz w:val="24"/>
                <w:szCs w:val="24"/>
                <w:u w:val="single"/>
                <w:lang w:val="en-US" w:eastAsia="zh-CN"/>
              </w:rPr>
              <w:t>报价文件开启后将开启签字时段，供应商须在30分钟内用CA证书对报价进行签字确认。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cs="宋体"/>
                <w:bCs/>
                <w:sz w:val="24"/>
                <w:szCs w:val="24"/>
                <w:lang w:val="en-US" w:eastAsia="zh-CN"/>
              </w:rPr>
            </w:pPr>
            <w:r>
              <w:rPr>
                <w:rFonts w:hint="eastAsia" w:ascii="宋体" w:hAnsi="宋体" w:cs="宋体"/>
                <w:bCs/>
                <w:sz w:val="24"/>
                <w:szCs w:val="24"/>
                <w:lang w:val="en-US" w:eastAsia="zh-CN"/>
              </w:rPr>
              <w:t>31</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说明</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auto"/>
                <w:sz w:val="24"/>
                <w:szCs w:val="24"/>
                <w:u w:val="single"/>
                <w:lang w:val="en-US" w:eastAsia="zh-CN"/>
              </w:rPr>
              <w:t>1.本项目采用政采云平台电子招投标，开标前应由供应商CA证书登录政采云平台提交响应文件，开标无需提供纸质版响应文件，请忽略本采购文件中纸质版标书制作及现场开标相关要求。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u w:val="single"/>
                <w:lang w:val="en-US" w:eastAsia="zh-CN"/>
              </w:rPr>
              <w:t>2.本项目采用政采云平台电子招投标，请各供应商提前登录政采云平台，并保持政采云平台在线，开标结束前不要离开，做好响应文件解密、报价签字确认、对评标过程中响应文件的答疑澄清等工作。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cs="宋体"/>
                <w:bCs/>
                <w:sz w:val="24"/>
                <w:szCs w:val="24"/>
                <w:lang w:val="en-US" w:eastAsia="zh-CN"/>
              </w:rPr>
            </w:pPr>
            <w:r>
              <w:rPr>
                <w:rFonts w:hint="eastAsia" w:ascii="宋体" w:hAnsi="宋体" w:cs="宋体"/>
                <w:bCs/>
                <w:sz w:val="24"/>
                <w:szCs w:val="24"/>
                <w:lang w:val="en-US" w:eastAsia="zh-CN"/>
              </w:rPr>
              <w:t>32</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特殊说明</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本次采购采用电子交易方式，电子交易平台为“政府采购云平台（www.zcygov.cn）”。供应商参与本项目电子交易活动前，应注册成为政府采购云平台供应商。编制电子响应文件前还需申领CA证书并绑定帐号。供应商应充分考虑完成平台注册、申领CA证书等所需的时间。因未注册入库、未办理CA数字证书等原因造成无法投标或投标失败等后果由供应商自行承担。</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2.各政府采购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政采云在线客服获取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16" w:type="dxa"/>
            <w:tcBorders>
              <w:left w:val="single" w:color="auto" w:sz="4" w:space="0"/>
              <w:bottom w:val="single" w:color="auto" w:sz="4" w:space="0"/>
              <w:right w:val="single" w:color="auto" w:sz="4" w:space="0"/>
            </w:tcBorders>
            <w:vAlign w:val="center"/>
          </w:tcPr>
          <w:p>
            <w:pPr>
              <w:spacing w:line="276" w:lineRule="auto"/>
              <w:jc w:val="center"/>
              <w:rPr>
                <w:rFonts w:ascii="宋体" w:hAnsi="宋体" w:cs="宋体"/>
                <w:sz w:val="24"/>
                <w:szCs w:val="24"/>
              </w:rPr>
            </w:pPr>
            <w:r>
              <w:rPr>
                <w:rFonts w:hint="eastAsia" w:ascii="宋体" w:hAnsi="宋体" w:cs="宋体"/>
                <w:sz w:val="24"/>
                <w:szCs w:val="24"/>
              </w:rPr>
              <w:t>备注</w:t>
            </w:r>
          </w:p>
        </w:tc>
        <w:tc>
          <w:tcPr>
            <w:tcW w:w="90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sz w:val="24"/>
                <w:szCs w:val="24"/>
              </w:rPr>
            </w:pPr>
            <w:r>
              <w:rPr>
                <w:rFonts w:hint="eastAsia" w:ascii="宋体" w:hAnsi="宋体" w:cs="宋体"/>
                <w:b/>
                <w:sz w:val="24"/>
                <w:szCs w:val="24"/>
              </w:rPr>
              <w:t>投标人应认真阅读招标文件中的每一个条款及要求，因误读招标文件而造成的后果，采购人概不负责。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sz w:val="24"/>
                <w:szCs w:val="24"/>
              </w:rPr>
            </w:pPr>
            <w:r>
              <w:rPr>
                <w:rFonts w:hint="eastAsia" w:ascii="宋体" w:hAnsi="宋体" w:cs="宋体"/>
                <w:b/>
                <w:sz w:val="24"/>
                <w:szCs w:val="24"/>
              </w:rPr>
              <w:t>文件内容若有与本表不符部分，以本表为准。</w:t>
            </w:r>
          </w:p>
        </w:tc>
      </w:tr>
    </w:tbl>
    <w:p>
      <w:pPr>
        <w:adjustRightInd w:val="0"/>
        <w:snapToGrid w:val="0"/>
        <w:spacing w:before="100" w:beforeAutospacing="1" w:after="100" w:afterAutospacing="1"/>
        <w:jc w:val="center"/>
        <w:outlineLvl w:val="0"/>
        <w:rPr>
          <w:b/>
          <w:sz w:val="32"/>
          <w:szCs w:val="32"/>
        </w:rPr>
      </w:pPr>
      <w:r>
        <w:rPr>
          <w:sz w:val="24"/>
        </w:rPr>
        <w:br w:type="page"/>
      </w:r>
      <w:bookmarkStart w:id="1" w:name="_Toc6320"/>
      <w:r>
        <w:rPr>
          <w:b/>
          <w:sz w:val="32"/>
          <w:szCs w:val="32"/>
        </w:rPr>
        <w:t>第二部分  投标人须知</w:t>
      </w:r>
      <w:bookmarkEnd w:id="1"/>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1、适用范围</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是采购人在本项目投标过程中的规范性文件，仅适用于本次招标中所叙述项目的服务采购等内容。和采购人组织的答疑纪要一起是各投标人（以下简称投标人）编制投标文件的依据，也是采购人与中标人签订合同的依据，并作为项目合同的附件之一，与本合同具有同等的法律效力（除非合同另有约定的部分，以正式合同内容为准）。</w:t>
      </w:r>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2、定义</w:t>
      </w:r>
    </w:p>
    <w:p>
      <w:pPr>
        <w:adjustRightIn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下列术语和缩写的定义为：</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en-US"/>
          <w14:textFill>
            <w14:solidFill>
              <w14:schemeClr w14:val="tx1"/>
            </w14:solidFill>
          </w14:textFill>
        </w:rPr>
        <w:t>2.1</w:t>
      </w:r>
      <w:r>
        <w:rPr>
          <w:rFonts w:hint="eastAsia" w:ascii="宋体" w:hAnsi="宋体" w:cs="宋体"/>
          <w:color w:val="000000" w:themeColor="text1"/>
          <w:sz w:val="24"/>
          <w:lang w:bidi="zh-CN"/>
          <w14:textFill>
            <w14:solidFill>
              <w14:schemeClr w14:val="tx1"/>
            </w14:solidFill>
          </w14:textFill>
        </w:rPr>
        <w:t>“采购人”系指对本招标</w:t>
      </w:r>
      <w:r>
        <w:rPr>
          <w:rFonts w:hint="eastAsia" w:ascii="宋体" w:hAnsi="宋体" w:cs="宋体"/>
          <w:color w:val="000000" w:themeColor="text1"/>
          <w:sz w:val="24"/>
          <w14:textFill>
            <w14:solidFill>
              <w14:schemeClr w14:val="tx1"/>
            </w14:solidFill>
          </w14:textFill>
        </w:rPr>
        <w:t>文件</w:t>
      </w:r>
      <w:r>
        <w:rPr>
          <w:rFonts w:hint="eastAsia" w:ascii="宋体" w:hAnsi="宋体" w:cs="宋体"/>
          <w:color w:val="000000" w:themeColor="text1"/>
          <w:sz w:val="24"/>
          <w:lang w:bidi="zh-CN"/>
          <w14:textFill>
            <w14:solidFill>
              <w14:schemeClr w14:val="tx1"/>
            </w14:solidFill>
          </w14:textFill>
        </w:rPr>
        <w:t>中所列服务有需求的</w:t>
      </w:r>
      <w:r>
        <w:rPr>
          <w:rFonts w:hint="eastAsia" w:ascii="宋体" w:hAnsi="宋体" w:cs="宋体"/>
          <w:b/>
          <w:bCs/>
          <w:color w:val="000000" w:themeColor="text1"/>
          <w:sz w:val="24"/>
          <w:lang w:bidi="zh-CN"/>
          <w14:textFill>
            <w14:solidFill>
              <w14:schemeClr w14:val="tx1"/>
            </w14:solidFill>
          </w14:textFill>
        </w:rPr>
        <w:t>特克斯县住房和城乡建设局</w:t>
      </w:r>
      <w:r>
        <w:rPr>
          <w:rFonts w:hint="eastAsia" w:ascii="宋体" w:hAnsi="宋体" w:cs="宋体"/>
          <w:b/>
          <w:color w:val="000000" w:themeColor="text1"/>
          <w:sz w:val="24"/>
          <w:lang w:bidi="zh-CN"/>
          <w14:textFill>
            <w14:solidFill>
              <w14:schemeClr w14:val="tx1"/>
            </w14:solidFill>
          </w14:textFill>
        </w:rPr>
        <w:t>；</w:t>
      </w:r>
      <w:r>
        <w:rPr>
          <w:rFonts w:hint="eastAsia" w:ascii="宋体" w:hAnsi="宋体" w:cs="宋体"/>
          <w:color w:val="000000" w:themeColor="text1"/>
          <w:sz w:val="24"/>
          <w:lang w:bidi="zh-CN"/>
          <w14:textFill>
            <w14:solidFill>
              <w14:schemeClr w14:val="tx1"/>
            </w14:solidFill>
          </w14:textFill>
        </w:rPr>
        <w:t>“投标人”系指符合</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bidi="zh-CN"/>
          <w14:textFill>
            <w14:solidFill>
              <w14:schemeClr w14:val="tx1"/>
            </w14:solidFill>
          </w14:textFill>
        </w:rPr>
        <w:t>文件要求并且通过资格审查进入</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bidi="zh-CN"/>
          <w14:textFill>
            <w14:solidFill>
              <w14:schemeClr w14:val="tx1"/>
            </w14:solidFill>
          </w14:textFill>
        </w:rPr>
        <w:t>程序的投标人；“采购代理机构”系指</w:t>
      </w:r>
      <w:r>
        <w:rPr>
          <w:rFonts w:hint="eastAsia" w:ascii="宋体" w:hAnsi="宋体" w:cs="宋体"/>
          <w:b/>
          <w:bCs/>
          <w:color w:val="000000" w:themeColor="text1"/>
          <w:sz w:val="24"/>
          <w:lang w:bidi="zh-CN"/>
          <w14:textFill>
            <w14:solidFill>
              <w14:schemeClr w14:val="tx1"/>
            </w14:solidFill>
          </w14:textFill>
        </w:rPr>
        <w:t>新疆聚拓工程项目管理有限公司</w:t>
      </w:r>
      <w:r>
        <w:rPr>
          <w:rFonts w:hint="eastAsia" w:ascii="宋体" w:hAnsi="宋体" w:cs="宋体"/>
          <w:color w:val="000000" w:themeColor="text1"/>
          <w:sz w:val="24"/>
          <w:lang w:bidi="zh-CN"/>
          <w14:textFill>
            <w14:solidFill>
              <w14:schemeClr w14:val="tx1"/>
            </w14:solidFill>
          </w14:textFill>
        </w:rPr>
        <w:t>；“投标文件”系指投标人为响应</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bidi="zh-CN"/>
          <w14:textFill>
            <w14:solidFill>
              <w14:schemeClr w14:val="tx1"/>
            </w14:solidFill>
          </w14:textFill>
        </w:rPr>
        <w:t>文件而编制、递交的投标文件。</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zh-CN"/>
          <w14:textFill>
            <w14:solidFill>
              <w14:schemeClr w14:val="tx1"/>
            </w14:solidFill>
          </w14:textFill>
        </w:rPr>
        <w:t>2.2“买方”系</w:t>
      </w:r>
      <w:r>
        <w:rPr>
          <w:rFonts w:hint="eastAsia" w:ascii="宋体" w:hAnsi="宋体" w:cs="宋体"/>
          <w:b/>
          <w:bCs/>
          <w:color w:val="000000" w:themeColor="text1"/>
          <w:sz w:val="24"/>
          <w:lang w:bidi="zh-CN"/>
          <w14:textFill>
            <w14:solidFill>
              <w14:schemeClr w14:val="tx1"/>
            </w14:solidFill>
          </w14:textFill>
        </w:rPr>
        <w:t>特克斯县住房和城乡建设局</w:t>
      </w:r>
      <w:r>
        <w:rPr>
          <w:rFonts w:hint="eastAsia" w:ascii="宋体" w:hAnsi="宋体" w:cs="宋体"/>
          <w:color w:val="000000" w:themeColor="text1"/>
          <w:sz w:val="24"/>
          <w:lang w:bidi="zh-CN"/>
          <w14:textFill>
            <w14:solidFill>
              <w14:schemeClr w14:val="tx1"/>
            </w14:solidFill>
          </w14:textFill>
        </w:rPr>
        <w:t>，“卖方”系指中标投标人。</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zh-CN"/>
          <w14:textFill>
            <w14:solidFill>
              <w14:schemeClr w14:val="tx1"/>
            </w14:solidFill>
          </w14:textFill>
        </w:rPr>
        <w:t>2.3“合同”系指买卖双方签署规定的，买卖双方权利与义务的协议，以及所有的附件、附录和投标文件所提到的构成合同的所有文件。</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zh-CN"/>
          <w14:textFill>
            <w14:solidFill>
              <w14:schemeClr w14:val="tx1"/>
            </w14:solidFill>
          </w14:textFill>
        </w:rPr>
        <w:t>2.4“服务”系指根据本合同规定卖方必须承担相关服务工作以及其他类似的附随义务。</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zh-CN"/>
          <w14:textFill>
            <w14:solidFill>
              <w14:schemeClr w14:val="tx1"/>
            </w14:solidFill>
          </w14:textFill>
        </w:rPr>
        <w:t>2.5“附随服务”系指根据本合同规定卖方必须承担与服务有关的辅助服务，以及合同中规定卖方应承担的义务，以及合同中未规定，但有利于合同履行原则，应当由卖方承担的其它义务。</w:t>
      </w:r>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3、投标费用</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无论投标结果如何，与参与招标、投标活动有关的所有费用将由投标人自行承担。</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投标人被视为熟悉本采购项目的各种情况以及履行合同有关的一切情况。</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  投标人应承担其编制投标文件与递交投标文件所涉及的一切费用，不论投标结果如何，采购人对上述费用不做任何补偿。</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  与相关联工作间的联系协调工作，如有费用发生已包含在投标价格内。</w:t>
      </w:r>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4、招标文件的构成</w:t>
      </w:r>
    </w:p>
    <w:p>
      <w:pPr>
        <w:adjustRightIn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4.1招标文件由下述部分组成</w:t>
      </w:r>
    </w:p>
    <w:p>
      <w:pPr>
        <w:overflowPunct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第一部分  招标公告</w:t>
      </w:r>
    </w:p>
    <w:p>
      <w:pPr>
        <w:overflowPunct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第二部分  招标说明</w:t>
      </w:r>
    </w:p>
    <w:p>
      <w:pPr>
        <w:overflowPunct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第三部分  投标说明</w:t>
      </w:r>
    </w:p>
    <w:p>
      <w:pPr>
        <w:overflowPunct w:val="0"/>
        <w:spacing w:line="360" w:lineRule="auto"/>
        <w:ind w:firstLine="960" w:firstLineChars="400"/>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第四部分  </w:t>
      </w:r>
      <w:r>
        <w:rPr>
          <w:rFonts w:hint="eastAsia" w:ascii="宋体" w:hAnsi="宋体" w:cs="宋体"/>
          <w:color w:val="000000" w:themeColor="text1"/>
          <w:sz w:val="24"/>
          <w:lang w:eastAsia="zh-CN"/>
          <w14:textFill>
            <w14:solidFill>
              <w14:schemeClr w14:val="tx1"/>
            </w14:solidFill>
          </w14:textFill>
        </w:rPr>
        <w:t>采购需求</w:t>
      </w:r>
    </w:p>
    <w:p>
      <w:pPr>
        <w:overflowPunct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第五部分  合同条款</w:t>
      </w:r>
    </w:p>
    <w:p>
      <w:pPr>
        <w:overflowPunct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第六部分  附 表</w:t>
      </w:r>
    </w:p>
    <w:p>
      <w:pPr>
        <w:overflowPunct w:val="0"/>
        <w:spacing w:line="360" w:lineRule="auto"/>
        <w:ind w:firstLine="960" w:firstLineChars="4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第七部分  </w:t>
      </w:r>
      <w:r>
        <w:rPr>
          <w:rFonts w:hint="eastAsia" w:ascii="宋体" w:hAnsi="宋体" w:cs="宋体"/>
          <w:color w:val="000000" w:themeColor="text1"/>
          <w:sz w:val="24"/>
          <w:lang w:bidi="zh-CN"/>
          <w14:textFill>
            <w14:solidFill>
              <w14:schemeClr w14:val="tx1"/>
            </w14:solidFill>
          </w14:textFill>
        </w:rPr>
        <w:t>评定办法和细则</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zh-CN"/>
          <w14:textFill>
            <w14:solidFill>
              <w14:schemeClr w14:val="tx1"/>
            </w14:solidFill>
          </w14:textFill>
        </w:rPr>
        <w:t>4.2 一切有效的招标文件的澄清和修改的书面文件均是招标文件不可分割的部分。</w:t>
      </w:r>
    </w:p>
    <w:p>
      <w:pPr>
        <w:pStyle w:val="38"/>
        <w:adjustRightInd w:val="0"/>
        <w:spacing w:line="360" w:lineRule="auto"/>
        <w:ind w:firstLine="482"/>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5、招标文件的澄清</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5.1招标文件中的标题或题名仅起引导作用，而不应视为对招标文件内容的理解和解释。</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5.2除非有特殊要求，招标文件不单独提供招标服务使用地的自然环境、气候条件、公用设施等情况，投标人被视为熟悉上述与履行合同有关的一切情况。</w:t>
      </w:r>
    </w:p>
    <w:p>
      <w:pPr>
        <w:adjustRightIn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5.3招标文件的解释权归招标人和招标代理机构。</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5.4任何要求对招标文件进行澄清的投标人，均应将需澄清的内容以书面形式或扫描件送达采购代理机构，采购代理机构将予以答复（答复中不包括问题的来源），答复内容将发送投标人联系邮箱，不再另行通知，请各投标人务必关注联系邮箱，否则，所造成的一切风险由投标人自行承担。</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5.5为了使投标人</w:t>
      </w:r>
      <w:r>
        <w:rPr>
          <w:rFonts w:hint="eastAsia" w:ascii="宋体" w:hAnsi="宋体" w:cs="宋体"/>
          <w:color w:val="000000" w:themeColor="text1"/>
          <w:sz w:val="24"/>
          <w:lang w:bidi="zh-CN"/>
          <w14:textFill>
            <w14:solidFill>
              <w14:schemeClr w14:val="tx1"/>
            </w14:solidFill>
          </w14:textFill>
        </w:rPr>
        <w:t>有足够的时间准备投标文件，各投标人</w:t>
      </w:r>
      <w:r>
        <w:rPr>
          <w:rFonts w:hint="eastAsia" w:ascii="宋体" w:hAnsi="宋体" w:cs="宋体"/>
          <w:b/>
          <w:sz w:val="24"/>
          <w:u w:val="single"/>
          <w:lang w:bidi="zh-CN"/>
        </w:rPr>
        <w:t>应当在投标截止时间</w:t>
      </w:r>
      <w:r>
        <w:rPr>
          <w:rFonts w:hint="eastAsia" w:ascii="宋体" w:hAnsi="宋体" w:cs="宋体"/>
          <w:b/>
          <w:sz w:val="24"/>
          <w:u w:val="single"/>
          <w:lang w:val="en-US" w:bidi="zh-CN"/>
        </w:rPr>
        <w:t>15</w:t>
      </w:r>
      <w:r>
        <w:rPr>
          <w:rFonts w:hint="eastAsia" w:ascii="宋体" w:hAnsi="宋体" w:cs="宋体"/>
          <w:b/>
          <w:sz w:val="24"/>
          <w:u w:val="single"/>
          <w:lang w:bidi="zh-CN"/>
        </w:rPr>
        <w:t>日前提出</w:t>
      </w:r>
      <w:r>
        <w:rPr>
          <w:rFonts w:hint="eastAsia" w:ascii="宋体" w:hAnsi="宋体" w:cs="宋体"/>
          <w:color w:val="000000" w:themeColor="text1"/>
          <w:sz w:val="24"/>
          <w:lang w:bidi="zh-CN"/>
          <w14:textFill>
            <w14:solidFill>
              <w14:schemeClr w14:val="tx1"/>
            </w14:solidFill>
          </w14:textFill>
        </w:rPr>
        <w:t>(超过该时间收到的需澄清的内容，采购代理机构有权不予答复），准备需澄清的内容，以书面形式送达采购代理机构。</w:t>
      </w:r>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6、招标文件的修改或补充</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en-US"/>
          <w14:textFill>
            <w14:solidFill>
              <w14:schemeClr w14:val="tx1"/>
            </w14:solidFill>
          </w14:textFill>
        </w:rPr>
        <w:t>6.1</w:t>
      </w:r>
      <w:r>
        <w:rPr>
          <w:rFonts w:hint="eastAsia" w:ascii="宋体" w:hAnsi="宋体" w:cs="宋体"/>
          <w:color w:val="000000" w:themeColor="text1"/>
          <w:sz w:val="24"/>
          <w:lang w:bidi="zh-CN"/>
          <w14:textFill>
            <w14:solidFill>
              <w14:schemeClr w14:val="tx1"/>
            </w14:solidFill>
          </w14:textFill>
        </w:rPr>
        <w:t>特殊情形的，在递交投标文件截止期15日前，采购代理机构可主动地或在解答投标人提出的澄清问题时对招标文件进行澄清和修改。</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zh-CN"/>
          <w14:textFill>
            <w14:solidFill>
              <w14:schemeClr w14:val="tx1"/>
            </w14:solidFill>
          </w14:textFill>
        </w:rPr>
        <w:t>6.2招标文件的澄清和修改将以书面公布的形式通知所有购买招标文件的投标人，并对其具有约束力。</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zh-CN"/>
          <w14:textFill>
            <w14:solidFill>
              <w14:schemeClr w14:val="tx1"/>
            </w14:solidFill>
          </w14:textFill>
        </w:rPr>
        <w:t>6.3为使投标人在准备投标文件时有充分的时间对招标文件的澄清和修改部分进行研究，采购代理机构可在递交投标文件截止期15日前通知投标人，适当延长递交投标文件截止期。</w:t>
      </w:r>
    </w:p>
    <w:p>
      <w:pPr>
        <w:overflowPunct w:val="0"/>
        <w:spacing w:line="360" w:lineRule="auto"/>
        <w:ind w:firstLine="480" w:firstLineChars="200"/>
        <w:rPr>
          <w:rFonts w:ascii="宋体" w:hAnsi="宋体" w:cs="宋体"/>
          <w:color w:val="000000" w:themeColor="text1"/>
          <w:sz w:val="24"/>
          <w:lang w:bidi="zh-CN"/>
          <w14:textFill>
            <w14:solidFill>
              <w14:schemeClr w14:val="tx1"/>
            </w14:solidFill>
          </w14:textFill>
        </w:rPr>
      </w:pPr>
      <w:r>
        <w:rPr>
          <w:rFonts w:hint="eastAsia" w:ascii="宋体" w:hAnsi="宋体" w:cs="宋体"/>
          <w:color w:val="000000" w:themeColor="text1"/>
          <w:sz w:val="24"/>
          <w:lang w:bidi="en-US"/>
          <w14:textFill>
            <w14:solidFill>
              <w14:schemeClr w14:val="tx1"/>
            </w14:solidFill>
          </w14:textFill>
        </w:rPr>
        <w:t>6.4</w:t>
      </w:r>
      <w:r>
        <w:rPr>
          <w:rFonts w:hint="eastAsia" w:ascii="宋体" w:hAnsi="宋体" w:cs="宋体"/>
          <w:color w:val="000000" w:themeColor="text1"/>
          <w:sz w:val="24"/>
          <w:lang w:bidi="zh-CN"/>
          <w14:textFill>
            <w14:solidFill>
              <w14:schemeClr w14:val="tx1"/>
            </w14:solidFill>
          </w14:textFill>
        </w:rPr>
        <w:t>招标文件的澄清和修改文件是招标文件的组成部分，投标人需按照招标文件的澄清和修改文件的要求参与招标，投标人没有作出实质性响应是投标人的风险，并可能导致其投标文件被拒绝。</w:t>
      </w:r>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7、索赔</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投标人提供的</w:t>
      </w:r>
      <w:r>
        <w:rPr>
          <w:rFonts w:hint="eastAsia" w:ascii="宋体" w:hAnsi="宋体" w:cs="宋体"/>
          <w:color w:val="000000" w:themeColor="text1"/>
          <w:sz w:val="24"/>
          <w:lang w:bidi="zh-CN"/>
          <w14:textFill>
            <w14:solidFill>
              <w14:schemeClr w14:val="tx1"/>
            </w14:solidFill>
          </w14:textFill>
        </w:rPr>
        <w:t>服务</w:t>
      </w:r>
      <w:r>
        <w:rPr>
          <w:rFonts w:hint="eastAsia" w:ascii="宋体" w:hAnsi="宋体" w:cs="宋体"/>
          <w:color w:val="000000" w:themeColor="text1"/>
          <w:sz w:val="24"/>
          <w14:textFill>
            <w14:solidFill>
              <w14:schemeClr w14:val="tx1"/>
            </w14:solidFill>
          </w14:textFill>
        </w:rPr>
        <w:t>未能达到标书规定的要求，或者有明显缺陷，采购人将保留索赔的权利。</w:t>
      </w:r>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8、验收</w:t>
      </w:r>
    </w:p>
    <w:p>
      <w:pPr>
        <w:overflowPunct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  验收标准，按国家，行业技术标准和规范验收。</w:t>
      </w:r>
    </w:p>
    <w:p>
      <w:pPr>
        <w:adjustRightIn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9、代理服务费</w:t>
      </w:r>
    </w:p>
    <w:p>
      <w:pPr>
        <w:overflowPunct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服务费收费标准依据国家发展计划委员会文件（计价格[2002]1980号文）和（发改办价格[2003]857号文件）执行，由中标人支付。</w:t>
      </w:r>
    </w:p>
    <w:p>
      <w:pPr>
        <w:spacing w:line="360" w:lineRule="auto"/>
        <w:jc w:val="center"/>
        <w:rPr>
          <w:sz w:val="24"/>
        </w:rPr>
      </w:pPr>
      <w:r>
        <w:rPr>
          <w:sz w:val="24"/>
        </w:rPr>
        <w:t>招标代理收费标准</w:t>
      </w:r>
    </w:p>
    <w:tbl>
      <w:tblPr>
        <w:tblStyle w:val="27"/>
        <w:tblW w:w="95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999"/>
        <w:gridCol w:w="2174"/>
        <w:gridCol w:w="2175"/>
        <w:gridCol w:w="21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2999" w:type="dxa"/>
            <w:tcBorders>
              <w:tl2br w:val="single" w:color="auto" w:sz="4" w:space="0"/>
            </w:tcBorders>
          </w:tcPr>
          <w:p>
            <w:pPr>
              <w:snapToGrid w:val="0"/>
              <w:spacing w:line="360" w:lineRule="auto"/>
              <w:rPr>
                <w:bCs/>
                <w:sz w:val="24"/>
              </w:rPr>
            </w:pPr>
            <w:r>
              <w:rPr>
                <w:bCs/>
                <w:sz w:val="24"/>
              </w:rPr>
              <w:t xml:space="preserve">             招标类别</w:t>
            </w:r>
          </w:p>
          <w:p>
            <w:pPr>
              <w:snapToGrid w:val="0"/>
              <w:spacing w:line="360" w:lineRule="auto"/>
              <w:rPr>
                <w:bCs/>
                <w:sz w:val="24"/>
              </w:rPr>
            </w:pPr>
            <w:r>
              <w:rPr>
                <w:bCs/>
                <w:sz w:val="24"/>
              </w:rPr>
              <w:t>中标价（万）</w:t>
            </w:r>
          </w:p>
        </w:tc>
        <w:tc>
          <w:tcPr>
            <w:tcW w:w="2174" w:type="dxa"/>
            <w:vAlign w:val="center"/>
          </w:tcPr>
          <w:p>
            <w:pPr>
              <w:snapToGrid w:val="0"/>
              <w:spacing w:line="360" w:lineRule="auto"/>
              <w:jc w:val="center"/>
              <w:rPr>
                <w:bCs/>
                <w:sz w:val="24"/>
              </w:rPr>
            </w:pPr>
            <w:r>
              <w:rPr>
                <w:bCs/>
                <w:sz w:val="24"/>
              </w:rPr>
              <w:t>货物招标取费标准</w:t>
            </w:r>
          </w:p>
        </w:tc>
        <w:tc>
          <w:tcPr>
            <w:tcW w:w="2175" w:type="dxa"/>
            <w:vAlign w:val="center"/>
          </w:tcPr>
          <w:p>
            <w:pPr>
              <w:snapToGrid w:val="0"/>
              <w:spacing w:line="360" w:lineRule="auto"/>
              <w:jc w:val="center"/>
              <w:rPr>
                <w:bCs/>
                <w:sz w:val="24"/>
              </w:rPr>
            </w:pPr>
            <w:r>
              <w:rPr>
                <w:bCs/>
                <w:sz w:val="24"/>
              </w:rPr>
              <w:t>服务招标取费标准</w:t>
            </w:r>
          </w:p>
        </w:tc>
        <w:tc>
          <w:tcPr>
            <w:tcW w:w="2175" w:type="dxa"/>
            <w:vAlign w:val="center"/>
          </w:tcPr>
          <w:p>
            <w:pPr>
              <w:snapToGrid w:val="0"/>
              <w:spacing w:line="360" w:lineRule="auto"/>
              <w:jc w:val="center"/>
              <w:rPr>
                <w:bCs/>
                <w:sz w:val="24"/>
              </w:rPr>
            </w:pPr>
            <w:r>
              <w:rPr>
                <w:bCs/>
                <w:sz w:val="24"/>
              </w:rPr>
              <w:t>工程招标取费标准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2999" w:type="dxa"/>
          </w:tcPr>
          <w:p>
            <w:pPr>
              <w:snapToGrid w:val="0"/>
              <w:spacing w:line="360" w:lineRule="auto"/>
              <w:jc w:val="center"/>
              <w:rPr>
                <w:bCs/>
                <w:sz w:val="24"/>
              </w:rPr>
            </w:pPr>
            <w:r>
              <w:rPr>
                <w:bCs/>
                <w:sz w:val="24"/>
              </w:rPr>
              <w:t>100以下</w:t>
            </w:r>
          </w:p>
        </w:tc>
        <w:tc>
          <w:tcPr>
            <w:tcW w:w="2174" w:type="dxa"/>
          </w:tcPr>
          <w:p>
            <w:pPr>
              <w:snapToGrid w:val="0"/>
              <w:spacing w:line="360" w:lineRule="auto"/>
              <w:jc w:val="center"/>
              <w:rPr>
                <w:bCs/>
                <w:sz w:val="24"/>
              </w:rPr>
            </w:pPr>
            <w:r>
              <w:rPr>
                <w:bCs/>
                <w:sz w:val="24"/>
              </w:rPr>
              <w:t>1.5%</w:t>
            </w:r>
          </w:p>
        </w:tc>
        <w:tc>
          <w:tcPr>
            <w:tcW w:w="2175" w:type="dxa"/>
          </w:tcPr>
          <w:p>
            <w:pPr>
              <w:snapToGrid w:val="0"/>
              <w:spacing w:line="360" w:lineRule="auto"/>
              <w:jc w:val="center"/>
              <w:rPr>
                <w:bCs/>
                <w:sz w:val="24"/>
              </w:rPr>
            </w:pPr>
            <w:r>
              <w:rPr>
                <w:bCs/>
                <w:sz w:val="24"/>
              </w:rPr>
              <w:t>1.5%</w:t>
            </w:r>
          </w:p>
        </w:tc>
        <w:tc>
          <w:tcPr>
            <w:tcW w:w="2175" w:type="dxa"/>
          </w:tcPr>
          <w:p>
            <w:pPr>
              <w:snapToGrid w:val="0"/>
              <w:spacing w:line="360" w:lineRule="auto"/>
              <w:jc w:val="center"/>
              <w:rPr>
                <w:bCs/>
                <w:sz w:val="24"/>
              </w:rPr>
            </w:pPr>
            <w:r>
              <w:rPr>
                <w:bCs/>
                <w:sz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2999" w:type="dxa"/>
          </w:tcPr>
          <w:p>
            <w:pPr>
              <w:snapToGrid w:val="0"/>
              <w:spacing w:line="360" w:lineRule="auto"/>
              <w:jc w:val="center"/>
              <w:rPr>
                <w:bCs/>
                <w:sz w:val="24"/>
              </w:rPr>
            </w:pPr>
            <w:r>
              <w:rPr>
                <w:bCs/>
                <w:sz w:val="24"/>
              </w:rPr>
              <w:t>100-500</w:t>
            </w:r>
          </w:p>
        </w:tc>
        <w:tc>
          <w:tcPr>
            <w:tcW w:w="2174" w:type="dxa"/>
          </w:tcPr>
          <w:p>
            <w:pPr>
              <w:snapToGrid w:val="0"/>
              <w:spacing w:line="360" w:lineRule="auto"/>
              <w:jc w:val="center"/>
              <w:rPr>
                <w:bCs/>
                <w:sz w:val="24"/>
              </w:rPr>
            </w:pPr>
            <w:r>
              <w:rPr>
                <w:bCs/>
                <w:sz w:val="24"/>
              </w:rPr>
              <w:t>1.1%</w:t>
            </w:r>
          </w:p>
        </w:tc>
        <w:tc>
          <w:tcPr>
            <w:tcW w:w="2175" w:type="dxa"/>
          </w:tcPr>
          <w:p>
            <w:pPr>
              <w:snapToGrid w:val="0"/>
              <w:spacing w:line="360" w:lineRule="auto"/>
              <w:jc w:val="center"/>
              <w:rPr>
                <w:bCs/>
                <w:sz w:val="24"/>
              </w:rPr>
            </w:pPr>
            <w:r>
              <w:rPr>
                <w:bCs/>
                <w:sz w:val="24"/>
              </w:rPr>
              <w:t>0.8%</w:t>
            </w:r>
          </w:p>
        </w:tc>
        <w:tc>
          <w:tcPr>
            <w:tcW w:w="2175" w:type="dxa"/>
          </w:tcPr>
          <w:p>
            <w:pPr>
              <w:snapToGrid w:val="0"/>
              <w:spacing w:line="360" w:lineRule="auto"/>
              <w:jc w:val="center"/>
              <w:rPr>
                <w:bCs/>
                <w:sz w:val="24"/>
              </w:rPr>
            </w:pPr>
            <w:r>
              <w:rPr>
                <w:bCs/>
                <w:sz w:val="24"/>
              </w:rPr>
              <w:t>0.7%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2999" w:type="dxa"/>
          </w:tcPr>
          <w:p>
            <w:pPr>
              <w:snapToGrid w:val="0"/>
              <w:spacing w:line="360" w:lineRule="auto"/>
              <w:jc w:val="center"/>
              <w:rPr>
                <w:bCs/>
                <w:sz w:val="24"/>
              </w:rPr>
            </w:pPr>
            <w:r>
              <w:rPr>
                <w:bCs/>
                <w:sz w:val="24"/>
              </w:rPr>
              <w:t>500-1000</w:t>
            </w:r>
          </w:p>
        </w:tc>
        <w:tc>
          <w:tcPr>
            <w:tcW w:w="2174" w:type="dxa"/>
          </w:tcPr>
          <w:p>
            <w:pPr>
              <w:snapToGrid w:val="0"/>
              <w:spacing w:line="360" w:lineRule="auto"/>
              <w:jc w:val="center"/>
              <w:rPr>
                <w:bCs/>
                <w:sz w:val="24"/>
              </w:rPr>
            </w:pPr>
            <w:r>
              <w:rPr>
                <w:bCs/>
                <w:sz w:val="24"/>
              </w:rPr>
              <w:t>0.8%</w:t>
            </w:r>
          </w:p>
        </w:tc>
        <w:tc>
          <w:tcPr>
            <w:tcW w:w="2175" w:type="dxa"/>
          </w:tcPr>
          <w:p>
            <w:pPr>
              <w:snapToGrid w:val="0"/>
              <w:spacing w:line="360" w:lineRule="auto"/>
              <w:jc w:val="center"/>
              <w:rPr>
                <w:bCs/>
                <w:sz w:val="24"/>
              </w:rPr>
            </w:pPr>
            <w:r>
              <w:rPr>
                <w:bCs/>
                <w:sz w:val="24"/>
              </w:rPr>
              <w:t>0.45%</w:t>
            </w:r>
          </w:p>
        </w:tc>
        <w:tc>
          <w:tcPr>
            <w:tcW w:w="2175" w:type="dxa"/>
          </w:tcPr>
          <w:p>
            <w:pPr>
              <w:snapToGrid w:val="0"/>
              <w:spacing w:line="360" w:lineRule="auto"/>
              <w:jc w:val="center"/>
              <w:rPr>
                <w:bCs/>
                <w:sz w:val="24"/>
              </w:rPr>
            </w:pPr>
            <w:r>
              <w:rPr>
                <w:bCs/>
                <w:sz w:val="24"/>
              </w:rPr>
              <w:t>0.55%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2999" w:type="dxa"/>
          </w:tcPr>
          <w:p>
            <w:pPr>
              <w:snapToGrid w:val="0"/>
              <w:spacing w:line="360" w:lineRule="auto"/>
              <w:jc w:val="center"/>
              <w:rPr>
                <w:bCs/>
                <w:sz w:val="24"/>
              </w:rPr>
            </w:pPr>
            <w:r>
              <w:rPr>
                <w:bCs/>
                <w:sz w:val="24"/>
              </w:rPr>
              <w:t>1000-5000</w:t>
            </w:r>
          </w:p>
        </w:tc>
        <w:tc>
          <w:tcPr>
            <w:tcW w:w="2174" w:type="dxa"/>
          </w:tcPr>
          <w:p>
            <w:pPr>
              <w:snapToGrid w:val="0"/>
              <w:spacing w:line="360" w:lineRule="auto"/>
              <w:jc w:val="center"/>
              <w:rPr>
                <w:bCs/>
                <w:sz w:val="24"/>
              </w:rPr>
            </w:pPr>
            <w:r>
              <w:rPr>
                <w:bCs/>
                <w:sz w:val="24"/>
              </w:rPr>
              <w:t>0.5%</w:t>
            </w:r>
          </w:p>
        </w:tc>
        <w:tc>
          <w:tcPr>
            <w:tcW w:w="2175" w:type="dxa"/>
          </w:tcPr>
          <w:p>
            <w:pPr>
              <w:snapToGrid w:val="0"/>
              <w:spacing w:line="360" w:lineRule="auto"/>
              <w:jc w:val="center"/>
              <w:rPr>
                <w:bCs/>
                <w:sz w:val="24"/>
              </w:rPr>
            </w:pPr>
            <w:r>
              <w:rPr>
                <w:bCs/>
                <w:sz w:val="24"/>
              </w:rPr>
              <w:t>0.25%</w:t>
            </w:r>
          </w:p>
        </w:tc>
        <w:tc>
          <w:tcPr>
            <w:tcW w:w="2175" w:type="dxa"/>
          </w:tcPr>
          <w:p>
            <w:pPr>
              <w:snapToGrid w:val="0"/>
              <w:spacing w:line="360" w:lineRule="auto"/>
              <w:jc w:val="center"/>
              <w:rPr>
                <w:bCs/>
                <w:sz w:val="24"/>
              </w:rPr>
            </w:pPr>
            <w:r>
              <w:rPr>
                <w:bCs/>
                <w:sz w:val="24"/>
              </w:rPr>
              <w:t>0.35%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2999" w:type="dxa"/>
          </w:tcPr>
          <w:p>
            <w:pPr>
              <w:snapToGrid w:val="0"/>
              <w:spacing w:line="360" w:lineRule="auto"/>
              <w:jc w:val="center"/>
              <w:rPr>
                <w:bCs/>
                <w:sz w:val="24"/>
              </w:rPr>
            </w:pPr>
            <w:r>
              <w:rPr>
                <w:bCs/>
                <w:sz w:val="24"/>
              </w:rPr>
              <w:t>5000-10000</w:t>
            </w:r>
          </w:p>
        </w:tc>
        <w:tc>
          <w:tcPr>
            <w:tcW w:w="2174" w:type="dxa"/>
          </w:tcPr>
          <w:p>
            <w:pPr>
              <w:snapToGrid w:val="0"/>
              <w:spacing w:line="360" w:lineRule="auto"/>
              <w:jc w:val="center"/>
              <w:rPr>
                <w:bCs/>
                <w:sz w:val="24"/>
              </w:rPr>
            </w:pPr>
            <w:r>
              <w:rPr>
                <w:bCs/>
                <w:sz w:val="24"/>
              </w:rPr>
              <w:t>0.25%</w:t>
            </w:r>
          </w:p>
        </w:tc>
        <w:tc>
          <w:tcPr>
            <w:tcW w:w="2175" w:type="dxa"/>
          </w:tcPr>
          <w:p>
            <w:pPr>
              <w:snapToGrid w:val="0"/>
              <w:spacing w:line="360" w:lineRule="auto"/>
              <w:jc w:val="center"/>
              <w:rPr>
                <w:bCs/>
                <w:sz w:val="24"/>
              </w:rPr>
            </w:pPr>
            <w:r>
              <w:rPr>
                <w:bCs/>
                <w:sz w:val="24"/>
              </w:rPr>
              <w:t>0.1%</w:t>
            </w:r>
          </w:p>
        </w:tc>
        <w:tc>
          <w:tcPr>
            <w:tcW w:w="2175" w:type="dxa"/>
          </w:tcPr>
          <w:p>
            <w:pPr>
              <w:snapToGrid w:val="0"/>
              <w:spacing w:line="360" w:lineRule="auto"/>
              <w:jc w:val="center"/>
              <w:rPr>
                <w:bCs/>
                <w:sz w:val="24"/>
              </w:rPr>
            </w:pPr>
            <w:r>
              <w:rPr>
                <w:bCs/>
                <w:sz w:val="24"/>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2999" w:type="dxa"/>
          </w:tcPr>
          <w:p>
            <w:pPr>
              <w:snapToGrid w:val="0"/>
              <w:spacing w:line="360" w:lineRule="auto"/>
              <w:jc w:val="center"/>
              <w:rPr>
                <w:bCs/>
                <w:sz w:val="24"/>
              </w:rPr>
            </w:pPr>
            <w:r>
              <w:rPr>
                <w:bCs/>
                <w:sz w:val="24"/>
              </w:rPr>
              <w:t>10000-100000</w:t>
            </w:r>
          </w:p>
        </w:tc>
        <w:tc>
          <w:tcPr>
            <w:tcW w:w="2174" w:type="dxa"/>
          </w:tcPr>
          <w:p>
            <w:pPr>
              <w:snapToGrid w:val="0"/>
              <w:spacing w:line="360" w:lineRule="auto"/>
              <w:jc w:val="center"/>
              <w:rPr>
                <w:bCs/>
                <w:sz w:val="24"/>
              </w:rPr>
            </w:pPr>
            <w:r>
              <w:rPr>
                <w:bCs/>
                <w:sz w:val="24"/>
              </w:rPr>
              <w:t>0.05%</w:t>
            </w:r>
          </w:p>
        </w:tc>
        <w:tc>
          <w:tcPr>
            <w:tcW w:w="2175" w:type="dxa"/>
          </w:tcPr>
          <w:p>
            <w:pPr>
              <w:snapToGrid w:val="0"/>
              <w:spacing w:line="360" w:lineRule="auto"/>
              <w:jc w:val="center"/>
              <w:rPr>
                <w:bCs/>
                <w:sz w:val="24"/>
              </w:rPr>
            </w:pPr>
            <w:r>
              <w:rPr>
                <w:bCs/>
                <w:sz w:val="24"/>
              </w:rPr>
              <w:t>0.05%</w:t>
            </w:r>
          </w:p>
        </w:tc>
        <w:tc>
          <w:tcPr>
            <w:tcW w:w="2175" w:type="dxa"/>
          </w:tcPr>
          <w:p>
            <w:pPr>
              <w:snapToGrid w:val="0"/>
              <w:spacing w:line="360" w:lineRule="auto"/>
              <w:jc w:val="center"/>
              <w:rPr>
                <w:bCs/>
                <w:sz w:val="24"/>
              </w:rPr>
            </w:pPr>
            <w:r>
              <w:rPr>
                <w:bCs/>
                <w:sz w:val="24"/>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2999" w:type="dxa"/>
          </w:tcPr>
          <w:p>
            <w:pPr>
              <w:snapToGrid w:val="0"/>
              <w:spacing w:line="360" w:lineRule="auto"/>
              <w:jc w:val="center"/>
              <w:rPr>
                <w:bCs/>
                <w:sz w:val="24"/>
              </w:rPr>
            </w:pPr>
            <w:r>
              <w:rPr>
                <w:bCs/>
                <w:sz w:val="24"/>
              </w:rPr>
              <w:t>100000以上</w:t>
            </w:r>
          </w:p>
        </w:tc>
        <w:tc>
          <w:tcPr>
            <w:tcW w:w="2174" w:type="dxa"/>
          </w:tcPr>
          <w:p>
            <w:pPr>
              <w:snapToGrid w:val="0"/>
              <w:spacing w:line="360" w:lineRule="auto"/>
              <w:jc w:val="center"/>
              <w:rPr>
                <w:bCs/>
                <w:sz w:val="24"/>
              </w:rPr>
            </w:pPr>
            <w:r>
              <w:rPr>
                <w:bCs/>
                <w:sz w:val="24"/>
              </w:rPr>
              <w:t>0.01%</w:t>
            </w:r>
          </w:p>
        </w:tc>
        <w:tc>
          <w:tcPr>
            <w:tcW w:w="2175" w:type="dxa"/>
          </w:tcPr>
          <w:p>
            <w:pPr>
              <w:snapToGrid w:val="0"/>
              <w:spacing w:line="360" w:lineRule="auto"/>
              <w:jc w:val="center"/>
              <w:rPr>
                <w:bCs/>
                <w:sz w:val="24"/>
              </w:rPr>
            </w:pPr>
            <w:r>
              <w:rPr>
                <w:bCs/>
                <w:sz w:val="24"/>
              </w:rPr>
              <w:t>0.01%</w:t>
            </w:r>
          </w:p>
        </w:tc>
        <w:tc>
          <w:tcPr>
            <w:tcW w:w="2175" w:type="dxa"/>
          </w:tcPr>
          <w:p>
            <w:pPr>
              <w:snapToGrid w:val="0"/>
              <w:spacing w:line="360" w:lineRule="auto"/>
              <w:jc w:val="center"/>
              <w:rPr>
                <w:bCs/>
                <w:sz w:val="24"/>
              </w:rPr>
            </w:pPr>
            <w:r>
              <w:rPr>
                <w:bCs/>
                <w:sz w:val="24"/>
              </w:rPr>
              <w:t>0.01%</w:t>
            </w:r>
          </w:p>
        </w:tc>
      </w:tr>
    </w:tbl>
    <w:p>
      <w:pPr>
        <w:spacing w:line="360" w:lineRule="auto"/>
        <w:ind w:firstLine="480" w:firstLineChars="200"/>
        <w:rPr>
          <w:sz w:val="24"/>
        </w:rPr>
      </w:pPr>
      <w:r>
        <w:rPr>
          <w:sz w:val="24"/>
        </w:rPr>
        <w:t>注：招标代理服务收费按差额定率累进法计算。</w:t>
      </w:r>
    </w:p>
    <w:p>
      <w:pPr>
        <w:adjustRightInd w:val="0"/>
        <w:spacing w:line="360" w:lineRule="auto"/>
        <w:ind w:firstLine="480" w:firstLineChars="200"/>
        <w:rPr>
          <w:b/>
          <w:sz w:val="24"/>
        </w:rPr>
      </w:pPr>
      <w:r>
        <w:rPr>
          <w:b/>
          <w:sz w:val="24"/>
        </w:rPr>
        <w:t>1</w:t>
      </w:r>
      <w:r>
        <w:rPr>
          <w:rFonts w:hint="eastAsia"/>
          <w:b/>
          <w:sz w:val="24"/>
          <w:lang w:val="en-US" w:eastAsia="zh-CN"/>
        </w:rPr>
        <w:t>0</w:t>
      </w:r>
      <w:r>
        <w:rPr>
          <w:b/>
          <w:sz w:val="24"/>
        </w:rPr>
        <w:t>、保密</w:t>
      </w:r>
    </w:p>
    <w:p>
      <w:pPr>
        <w:overflowPunct w:val="0"/>
        <w:spacing w:line="360" w:lineRule="exact"/>
        <w:ind w:firstLine="480" w:firstLineChars="200"/>
        <w:rPr>
          <w:sz w:val="24"/>
        </w:rPr>
      </w:pPr>
      <w:r>
        <w:rPr>
          <w:sz w:val="24"/>
        </w:rPr>
        <w:t>招投标双方应为对方在投标文件和招标文件中涉及的商业和技术等秘密保密，违者应对由此造成的后果承担责任。</w:t>
      </w:r>
    </w:p>
    <w:p>
      <w:pPr>
        <w:spacing w:line="360" w:lineRule="auto"/>
        <w:ind w:firstLine="480" w:firstLineChars="200"/>
        <w:rPr>
          <w:sz w:val="24"/>
        </w:rPr>
      </w:pPr>
    </w:p>
    <w:p>
      <w:pPr>
        <w:pStyle w:val="4"/>
        <w:adjustRightInd w:val="0"/>
        <w:snapToGrid w:val="0"/>
        <w:spacing w:before="0" w:after="0" w:line="440" w:lineRule="exact"/>
        <w:jc w:val="center"/>
        <w:rPr>
          <w:rFonts w:ascii="宋体" w:hAnsi="宋体" w:cs="宋体"/>
          <w:sz w:val="24"/>
          <w:szCs w:val="24"/>
        </w:rPr>
      </w:pPr>
      <w:r>
        <w:rPr>
          <w:sz w:val="24"/>
          <w:szCs w:val="24"/>
        </w:rPr>
        <w:br w:type="page"/>
      </w:r>
      <w:bookmarkStart w:id="2" w:name="_Toc2009"/>
      <w:r>
        <w:rPr>
          <w:rFonts w:hint="eastAsia" w:ascii="宋体" w:hAnsi="宋体" w:cs="宋体"/>
          <w:sz w:val="32"/>
          <w:szCs w:val="32"/>
        </w:rPr>
        <w:t>第三部分  投标说明</w:t>
      </w:r>
      <w:bookmarkEnd w:id="2"/>
    </w:p>
    <w:p>
      <w:pPr>
        <w:pStyle w:val="52"/>
        <w:ind w:firstLine="560"/>
      </w:pPr>
    </w:p>
    <w:p>
      <w:pPr>
        <w:pStyle w:val="5"/>
        <w:adjustRightInd w:val="0"/>
        <w:snapToGrid w:val="0"/>
        <w:spacing w:before="0" w:after="0" w:line="440" w:lineRule="exact"/>
        <w:jc w:val="center"/>
        <w:rPr>
          <w:rFonts w:ascii="宋体" w:hAnsi="宋体" w:cs="宋体"/>
          <w:sz w:val="24"/>
          <w:szCs w:val="24"/>
        </w:rPr>
      </w:pPr>
      <w:bookmarkStart w:id="3" w:name="_Toc16661"/>
      <w:r>
        <w:rPr>
          <w:rFonts w:hint="eastAsia" w:ascii="宋体" w:hAnsi="宋体" w:cs="宋体"/>
          <w:sz w:val="28"/>
          <w:szCs w:val="28"/>
        </w:rPr>
        <w:t>第一章  投标人资格要求</w:t>
      </w:r>
      <w:bookmarkEnd w:id="3"/>
    </w:p>
    <w:p>
      <w:pPr>
        <w:spacing w:line="440" w:lineRule="exact"/>
        <w:ind w:firstLine="480" w:firstLineChars="200"/>
        <w:rPr>
          <w:rFonts w:ascii="宋体" w:hAnsi="宋体" w:cs="宋体"/>
          <w:b/>
          <w:sz w:val="24"/>
        </w:rPr>
      </w:pPr>
      <w:r>
        <w:rPr>
          <w:rFonts w:hint="eastAsia" w:ascii="宋体" w:hAnsi="宋体" w:cs="宋体"/>
          <w:b/>
          <w:sz w:val="24"/>
        </w:rPr>
        <w:t>1、投标资格</w:t>
      </w:r>
    </w:p>
    <w:p>
      <w:pPr>
        <w:overflowPunct w:val="0"/>
        <w:spacing w:line="440" w:lineRule="exact"/>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有效经年检的三证合一营业执照；</w:t>
      </w:r>
    </w:p>
    <w:p>
      <w:pPr>
        <w:overflowPunct w:val="0"/>
        <w:spacing w:line="440" w:lineRule="exact"/>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2</w:t>
      </w:r>
      <w:r>
        <w:rPr>
          <w:rFonts w:hint="eastAsia" w:ascii="宋体" w:hAnsi="宋体" w:cs="宋体"/>
          <w:sz w:val="24"/>
          <w:lang w:eastAsia="zh-CN"/>
        </w:rPr>
        <w:t>）法人身份证明</w:t>
      </w:r>
      <w:r>
        <w:rPr>
          <w:rFonts w:hint="eastAsia" w:ascii="宋体" w:hAnsi="宋体" w:cs="宋体"/>
          <w:sz w:val="24"/>
        </w:rPr>
        <w:t>（投标代表为法人时）</w:t>
      </w:r>
      <w:r>
        <w:rPr>
          <w:rFonts w:hint="eastAsia" w:ascii="宋体" w:hAnsi="宋体" w:cs="宋体"/>
          <w:sz w:val="24"/>
          <w:lang w:eastAsia="zh-CN"/>
        </w:rPr>
        <w:t>或</w:t>
      </w:r>
      <w:r>
        <w:rPr>
          <w:rFonts w:hint="eastAsia" w:ascii="宋体" w:hAnsi="宋体" w:cs="宋体"/>
          <w:sz w:val="24"/>
        </w:rPr>
        <w:t>法人授权委托书</w:t>
      </w:r>
      <w:r>
        <w:rPr>
          <w:rFonts w:hint="eastAsia" w:ascii="宋体" w:hAnsi="宋体" w:cs="宋体"/>
          <w:sz w:val="24"/>
          <w:lang w:eastAsia="zh-CN"/>
        </w:rPr>
        <w:t>、</w:t>
      </w:r>
      <w:r>
        <w:rPr>
          <w:rFonts w:hint="eastAsia" w:ascii="宋体" w:hAnsi="宋体" w:cs="宋体"/>
          <w:sz w:val="24"/>
        </w:rPr>
        <w:t>被授权人身份证</w:t>
      </w:r>
      <w:r>
        <w:rPr>
          <w:rFonts w:hint="eastAsia" w:ascii="宋体" w:hAnsi="宋体" w:cs="宋体"/>
          <w:sz w:val="24"/>
          <w:lang w:eastAsia="zh-CN"/>
        </w:rPr>
        <w:t>和</w:t>
      </w:r>
      <w:r>
        <w:rPr>
          <w:rFonts w:hint="eastAsia" w:ascii="宋体" w:hAnsi="宋体" w:cs="宋体"/>
          <w:sz w:val="24"/>
        </w:rPr>
        <w:t>法人身份证；</w:t>
      </w:r>
    </w:p>
    <w:p>
      <w:pPr>
        <w:overflowPunct w:val="0"/>
        <w:spacing w:line="44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highlight w:val="none"/>
          <w:lang w:val="en-US" w:eastAsia="zh-CN"/>
        </w:rPr>
        <w:t>项目负责人具有园林专业中级及以上职称</w:t>
      </w:r>
      <w:r>
        <w:rPr>
          <w:rFonts w:hint="eastAsia" w:ascii="宋体" w:hAnsi="宋体" w:cs="宋体"/>
          <w:sz w:val="24"/>
        </w:rPr>
        <w:t>；</w:t>
      </w:r>
    </w:p>
    <w:p>
      <w:pPr>
        <w:overflowPunct w:val="0"/>
        <w:spacing w:line="44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投标保证金交纳凭证</w:t>
      </w:r>
      <w:r>
        <w:rPr>
          <w:rFonts w:hint="eastAsia" w:ascii="宋体" w:hAnsi="宋体" w:cs="宋体"/>
          <w:sz w:val="24"/>
          <w:lang w:val="en-US" w:eastAsia="zh-CN"/>
        </w:rPr>
        <w:t>；</w:t>
      </w:r>
    </w:p>
    <w:p>
      <w:pPr>
        <w:overflowPunct w:val="0"/>
        <w:spacing w:line="44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）未被信用中国（www.creditchina.gov.cn）、中国政府采购网（www.ccgp.gov.cn）、国家企业信用信息公示系统（http://www.gsxt.gov.cn）列入失信被执行人、税收违法黑名单、政府采购严重违法失信行为记录名单截图</w:t>
      </w:r>
      <w:r>
        <w:rPr>
          <w:rFonts w:hint="eastAsia" w:ascii="宋体" w:hAnsi="宋体" w:cs="宋体"/>
          <w:sz w:val="24"/>
        </w:rPr>
        <w:t>；</w:t>
      </w:r>
    </w:p>
    <w:p>
      <w:pPr>
        <w:spacing w:line="440" w:lineRule="exact"/>
        <w:ind w:firstLine="480" w:firstLineChars="200"/>
        <w:rPr>
          <w:rFonts w:ascii="宋体" w:hAnsi="宋体" w:cs="宋体"/>
          <w:b/>
          <w:sz w:val="24"/>
        </w:rPr>
      </w:pPr>
      <w:r>
        <w:rPr>
          <w:rFonts w:hint="eastAsia" w:ascii="宋体" w:hAnsi="宋体" w:cs="宋体"/>
          <w:b/>
          <w:sz w:val="24"/>
        </w:rPr>
        <w:t>注: 以上资格证明文件，在投标文件中须放入加盖公章的</w:t>
      </w:r>
      <w:r>
        <w:rPr>
          <w:rFonts w:hint="eastAsia" w:ascii="宋体" w:hAnsi="宋体" w:cs="宋体"/>
          <w:b/>
          <w:sz w:val="24"/>
          <w:lang w:eastAsia="zh-CN"/>
        </w:rPr>
        <w:t>清晰</w:t>
      </w:r>
      <w:r>
        <w:rPr>
          <w:rFonts w:hint="eastAsia" w:ascii="宋体" w:hAnsi="宋体" w:cs="宋体"/>
          <w:b/>
          <w:sz w:val="24"/>
        </w:rPr>
        <w:t>复印件</w:t>
      </w:r>
      <w:r>
        <w:rPr>
          <w:rFonts w:hint="eastAsia" w:ascii="宋体" w:hAnsi="宋体" w:cs="宋体"/>
          <w:b/>
          <w:sz w:val="24"/>
          <w:lang w:eastAsia="zh-CN"/>
        </w:rPr>
        <w:t>或扫描件</w:t>
      </w:r>
      <w:r>
        <w:rPr>
          <w:rFonts w:hint="eastAsia" w:ascii="宋体" w:hAnsi="宋体" w:cs="宋体"/>
          <w:b/>
          <w:sz w:val="24"/>
        </w:rPr>
        <w:t>，不提供或未能提供的视为对</w:t>
      </w:r>
      <w:r>
        <w:rPr>
          <w:rFonts w:hint="eastAsia" w:ascii="宋体" w:hAnsi="宋体" w:cs="宋体"/>
          <w:b/>
          <w:bCs/>
          <w:sz w:val="24"/>
          <w:lang w:bidi="zh-CN"/>
        </w:rPr>
        <w:t>招标</w:t>
      </w:r>
      <w:r>
        <w:rPr>
          <w:rFonts w:hint="eastAsia" w:ascii="宋体" w:hAnsi="宋体" w:cs="宋体"/>
          <w:b/>
          <w:sz w:val="24"/>
        </w:rPr>
        <w:t>文件资格审查内容的不响应，投标无效，文件将被拒绝。</w:t>
      </w:r>
    </w:p>
    <w:p>
      <w:pPr>
        <w:pStyle w:val="5"/>
        <w:adjustRightInd w:val="0"/>
        <w:snapToGrid w:val="0"/>
        <w:spacing w:before="0" w:after="0" w:line="440" w:lineRule="exact"/>
        <w:jc w:val="center"/>
        <w:rPr>
          <w:rFonts w:ascii="宋体" w:hAnsi="宋体" w:cs="宋体"/>
          <w:sz w:val="28"/>
          <w:szCs w:val="28"/>
        </w:rPr>
      </w:pPr>
      <w:bookmarkStart w:id="4" w:name="_Toc28206"/>
      <w:r>
        <w:rPr>
          <w:rFonts w:hint="eastAsia" w:ascii="宋体" w:hAnsi="宋体" w:cs="宋体"/>
          <w:sz w:val="28"/>
          <w:szCs w:val="28"/>
        </w:rPr>
        <w:t>第二章  投标文件的编写及编制顺序</w:t>
      </w:r>
      <w:bookmarkEnd w:id="4"/>
    </w:p>
    <w:p>
      <w:pPr>
        <w:spacing w:line="440" w:lineRule="exact"/>
        <w:ind w:firstLine="480" w:firstLineChars="200"/>
        <w:rPr>
          <w:rFonts w:ascii="宋体" w:hAnsi="宋体" w:cs="宋体"/>
          <w:b/>
          <w:sz w:val="24"/>
        </w:rPr>
      </w:pPr>
      <w:r>
        <w:rPr>
          <w:rFonts w:hint="eastAsia" w:ascii="宋体" w:hAnsi="宋体" w:cs="宋体"/>
          <w:b/>
          <w:sz w:val="24"/>
        </w:rPr>
        <w:t>2、要求</w:t>
      </w:r>
    </w:p>
    <w:p>
      <w:pPr>
        <w:overflowPunct w:val="0"/>
        <w:spacing w:line="440" w:lineRule="exact"/>
        <w:ind w:firstLine="480" w:firstLineChars="200"/>
        <w:rPr>
          <w:rFonts w:ascii="宋体" w:hAnsi="宋体" w:cs="宋体"/>
          <w:sz w:val="24"/>
        </w:rPr>
      </w:pPr>
      <w:r>
        <w:rPr>
          <w:rFonts w:hint="eastAsia" w:ascii="宋体" w:hAnsi="宋体" w:cs="宋体"/>
          <w:sz w:val="24"/>
        </w:rPr>
        <w:t>2.1  投标人应详细阅读招标文件中的条款、规范、表示、条件和格式等所有内容，按招标文件的要求份数提供投标文件，并保证所提供全部材料的真实性，以使其投标对招标文件做出实质性响应。否则，其投标会被拒绝。</w:t>
      </w:r>
    </w:p>
    <w:p>
      <w:pPr>
        <w:overflowPunct w:val="0"/>
        <w:spacing w:line="440" w:lineRule="exact"/>
        <w:ind w:firstLine="480" w:firstLineChars="200"/>
        <w:rPr>
          <w:rFonts w:ascii="宋体" w:hAnsi="宋体" w:cs="宋体"/>
          <w:sz w:val="24"/>
        </w:rPr>
      </w:pPr>
      <w:r>
        <w:rPr>
          <w:rFonts w:hint="eastAsia" w:ascii="宋体" w:hAnsi="宋体" w:cs="宋体"/>
          <w:sz w:val="24"/>
        </w:rPr>
        <w:t>2.2  开标、评标、授标均以项目为单位，投标人根据公司的自身实力进行投标，并在所投项目密封袋上清楚标明所投项目的名称。</w:t>
      </w:r>
    </w:p>
    <w:p>
      <w:pPr>
        <w:spacing w:line="440" w:lineRule="exact"/>
        <w:ind w:firstLine="480" w:firstLineChars="200"/>
        <w:rPr>
          <w:rFonts w:ascii="宋体" w:hAnsi="宋体" w:cs="宋体"/>
          <w:b/>
          <w:sz w:val="24"/>
        </w:rPr>
      </w:pPr>
      <w:r>
        <w:rPr>
          <w:rFonts w:hint="eastAsia" w:ascii="宋体" w:hAnsi="宋体" w:cs="宋体"/>
          <w:b/>
          <w:sz w:val="24"/>
        </w:rPr>
        <w:t>3、投标文件语言和度量单位</w:t>
      </w:r>
    </w:p>
    <w:p>
      <w:pPr>
        <w:overflowPunct w:val="0"/>
        <w:spacing w:line="440" w:lineRule="exact"/>
        <w:ind w:firstLine="480" w:firstLineChars="200"/>
        <w:rPr>
          <w:rFonts w:ascii="宋体" w:hAnsi="宋体" w:cs="宋体"/>
          <w:sz w:val="24"/>
        </w:rPr>
      </w:pPr>
      <w:r>
        <w:rPr>
          <w:rFonts w:hint="eastAsia" w:ascii="宋体" w:hAnsi="宋体" w:cs="宋体"/>
          <w:sz w:val="24"/>
        </w:rPr>
        <w:t>3.1 招标文件及投标人和采购方就本次采购交换的文件和往来信件，须以中文书写。</w:t>
      </w:r>
    </w:p>
    <w:p>
      <w:pPr>
        <w:overflowPunct w:val="0"/>
        <w:spacing w:line="440" w:lineRule="exact"/>
        <w:ind w:firstLine="480" w:firstLineChars="200"/>
        <w:rPr>
          <w:rFonts w:ascii="宋体" w:hAnsi="宋体" w:cs="宋体"/>
          <w:sz w:val="24"/>
        </w:rPr>
      </w:pPr>
      <w:r>
        <w:rPr>
          <w:rFonts w:hint="eastAsia" w:ascii="宋体" w:hAnsi="宋体" w:cs="宋体"/>
          <w:sz w:val="24"/>
        </w:rPr>
        <w:t>3.2 除在招标文件的技术规格中另有规定外，计量单位应使用中华人民共和国法定计量单位。</w:t>
      </w:r>
    </w:p>
    <w:p>
      <w:pPr>
        <w:spacing w:line="440" w:lineRule="exact"/>
        <w:ind w:firstLine="480" w:firstLineChars="200"/>
        <w:rPr>
          <w:rFonts w:ascii="宋体" w:hAnsi="宋体" w:cs="宋体"/>
          <w:b/>
          <w:sz w:val="24"/>
        </w:rPr>
      </w:pPr>
      <w:bookmarkStart w:id="5" w:name="_Toc47262053"/>
      <w:bookmarkStart w:id="6" w:name="_Toc48791219"/>
      <w:bookmarkStart w:id="7" w:name="_Toc47261674"/>
      <w:bookmarkStart w:id="8" w:name="_Toc205342862"/>
      <w:bookmarkStart w:id="9" w:name="_Toc47418239"/>
      <w:bookmarkStart w:id="10" w:name="_Toc47261054"/>
      <w:bookmarkStart w:id="11" w:name="_Toc47261869"/>
      <w:bookmarkStart w:id="12" w:name="_Toc47418715"/>
      <w:bookmarkStart w:id="13" w:name="_Toc49019220"/>
      <w:bookmarkStart w:id="14" w:name="_Toc48995835"/>
      <w:bookmarkStart w:id="15" w:name="_Toc47418922"/>
      <w:r>
        <w:rPr>
          <w:rFonts w:hint="eastAsia" w:ascii="宋体" w:hAnsi="宋体" w:cs="宋体"/>
          <w:b/>
          <w:sz w:val="24"/>
        </w:rPr>
        <w:t>4、投标文件的编制</w:t>
      </w:r>
      <w:bookmarkEnd w:id="5"/>
      <w:bookmarkEnd w:id="6"/>
      <w:bookmarkEnd w:id="7"/>
      <w:bookmarkEnd w:id="8"/>
      <w:bookmarkEnd w:id="9"/>
      <w:bookmarkEnd w:id="10"/>
      <w:bookmarkEnd w:id="11"/>
      <w:bookmarkEnd w:id="12"/>
      <w:bookmarkEnd w:id="13"/>
      <w:bookmarkEnd w:id="14"/>
      <w:bookmarkEnd w:id="15"/>
    </w:p>
    <w:p>
      <w:pPr>
        <w:overflowPunct w:val="0"/>
        <w:spacing w:line="440" w:lineRule="exact"/>
        <w:ind w:firstLine="480" w:firstLineChars="200"/>
        <w:rPr>
          <w:rFonts w:ascii="宋体" w:hAnsi="宋体" w:cs="宋体"/>
          <w:sz w:val="24"/>
        </w:rPr>
      </w:pPr>
      <w:r>
        <w:rPr>
          <w:rFonts w:hint="eastAsia" w:ascii="宋体" w:hAnsi="宋体" w:cs="宋体"/>
          <w:sz w:val="24"/>
        </w:rPr>
        <w:t>4.1 投标文件的构成</w:t>
      </w:r>
    </w:p>
    <w:p>
      <w:pPr>
        <w:overflowPunct w:val="0"/>
        <w:spacing w:line="440" w:lineRule="exact"/>
        <w:ind w:firstLine="480" w:firstLineChars="200"/>
        <w:rPr>
          <w:rFonts w:ascii="宋体" w:hAnsi="宋体" w:cs="宋体"/>
          <w:sz w:val="24"/>
        </w:rPr>
      </w:pPr>
      <w:r>
        <w:rPr>
          <w:rFonts w:hint="eastAsia" w:ascii="宋体" w:hAnsi="宋体" w:cs="宋体"/>
          <w:sz w:val="24"/>
        </w:rPr>
        <w:t>4.1.1投标人应认真阅读招标文件的所有内容，按招标文件的要求提供投标文件，并保证提供的全部资料的真实性，以使其投标对招标文件作出实质性响应，否则，其投标将被拒绝。</w:t>
      </w:r>
    </w:p>
    <w:p>
      <w:pPr>
        <w:overflowPunct w:val="0"/>
        <w:spacing w:line="440" w:lineRule="exact"/>
        <w:ind w:firstLine="480" w:firstLineChars="200"/>
        <w:rPr>
          <w:rFonts w:ascii="宋体" w:hAnsi="宋体" w:cs="宋体"/>
          <w:sz w:val="24"/>
        </w:rPr>
      </w:pPr>
      <w:r>
        <w:rPr>
          <w:rFonts w:hint="eastAsia" w:ascii="宋体" w:hAnsi="宋体" w:cs="宋体"/>
          <w:sz w:val="24"/>
        </w:rPr>
        <w:t>4.2 投标文件以不可拆解的方式装订文件，按照以下三部分内容编制投标文件：</w:t>
      </w:r>
    </w:p>
    <w:p>
      <w:pPr>
        <w:spacing w:line="440" w:lineRule="exact"/>
        <w:ind w:firstLine="480" w:firstLineChars="200"/>
        <w:rPr>
          <w:rFonts w:hint="eastAsia"/>
          <w:lang w:eastAsia="zh-CN"/>
        </w:rPr>
      </w:pPr>
      <w:r>
        <w:rPr>
          <w:rFonts w:hint="eastAsia" w:ascii="宋体" w:hAnsi="宋体" w:cs="宋体"/>
          <w:b/>
          <w:sz w:val="24"/>
        </w:rPr>
        <w:t xml:space="preserve">4.2.1 </w:t>
      </w:r>
      <w:r>
        <w:rPr>
          <w:rFonts w:hint="eastAsia" w:ascii="宋体" w:hAnsi="宋体" w:cs="宋体"/>
          <w:b/>
          <w:sz w:val="24"/>
          <w:lang w:eastAsia="zh-CN"/>
        </w:rPr>
        <w:t>资格文件</w:t>
      </w:r>
    </w:p>
    <w:p>
      <w:pPr>
        <w:overflowPunct w:val="0"/>
        <w:spacing w:line="440" w:lineRule="exact"/>
        <w:ind w:firstLine="480" w:firstLineChars="200"/>
        <w:rPr>
          <w:rFonts w:hint="eastAsia" w:ascii="宋体" w:hAnsi="宋体" w:cs="宋体"/>
          <w:sz w:val="24"/>
        </w:rPr>
      </w:pPr>
      <w:r>
        <w:rPr>
          <w:rFonts w:hint="eastAsia" w:ascii="宋体" w:hAnsi="宋体" w:cs="宋体"/>
          <w:sz w:val="24"/>
        </w:rPr>
        <w:t>投标人必须按要求如实、</w:t>
      </w:r>
      <w:r>
        <w:rPr>
          <w:rFonts w:hint="eastAsia" w:ascii="宋体" w:hAnsi="宋体" w:cs="宋体"/>
          <w:sz w:val="24"/>
          <w:u w:val="none"/>
        </w:rPr>
        <w:t>准确</w:t>
      </w:r>
      <w:r>
        <w:rPr>
          <w:rFonts w:hint="eastAsia" w:ascii="宋体" w:hAnsi="宋体" w:cs="宋体"/>
          <w:sz w:val="24"/>
        </w:rPr>
        <w:t>、完整的提供评估因素要求的各类文件资料。否则投标将不被接受。投标文件包括以下部分（但不局限于以下部分）：</w:t>
      </w:r>
    </w:p>
    <w:p>
      <w:pPr>
        <w:overflowPunct w:val="0"/>
        <w:spacing w:line="440" w:lineRule="exact"/>
        <w:ind w:firstLine="480" w:firstLineChars="200"/>
        <w:rPr>
          <w:rFonts w:hint="eastAsia" w:ascii="宋体" w:hAnsi="宋体" w:cs="宋体"/>
          <w:sz w:val="24"/>
        </w:rPr>
      </w:pPr>
      <w:r>
        <w:rPr>
          <w:rFonts w:hint="eastAsia" w:ascii="宋体" w:hAnsi="宋体" w:cs="宋体"/>
          <w:sz w:val="24"/>
        </w:rPr>
        <w:t>（1）有效经年检的三证合一营业执照；</w:t>
      </w:r>
    </w:p>
    <w:p>
      <w:pPr>
        <w:overflowPunct w:val="0"/>
        <w:spacing w:line="440" w:lineRule="exact"/>
        <w:ind w:firstLine="480" w:firstLineChars="200"/>
        <w:rPr>
          <w:rFonts w:hint="eastAsia" w:ascii="宋体" w:hAnsi="宋体" w:cs="宋体"/>
          <w:sz w:val="24"/>
        </w:rPr>
      </w:pPr>
      <w:r>
        <w:rPr>
          <w:rFonts w:hint="eastAsia" w:ascii="宋体" w:hAnsi="宋体" w:cs="宋体"/>
          <w:sz w:val="24"/>
        </w:rPr>
        <w:t>（2）法人身份证明（投标代表为法人时）或法人授权委托书、被授权人身份证和法人身份证；</w:t>
      </w:r>
    </w:p>
    <w:p>
      <w:pPr>
        <w:overflowPunct w:val="0"/>
        <w:spacing w:line="44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highlight w:val="none"/>
          <w:lang w:eastAsia="zh-CN"/>
        </w:rPr>
        <w:t>项目负责人具有园林专业中级及以上职称</w:t>
      </w:r>
      <w:r>
        <w:rPr>
          <w:rFonts w:hint="eastAsia" w:ascii="宋体" w:hAnsi="宋体" w:cs="宋体"/>
          <w:sz w:val="24"/>
        </w:rPr>
        <w:t>；</w:t>
      </w:r>
    </w:p>
    <w:p>
      <w:pPr>
        <w:overflowPunct w:val="0"/>
        <w:spacing w:line="440" w:lineRule="exact"/>
        <w:ind w:firstLine="480" w:firstLineChars="200"/>
        <w:rPr>
          <w:rFonts w:hint="eastAsia" w:ascii="宋体" w:hAnsi="宋体" w:cs="宋体"/>
          <w:sz w:val="24"/>
        </w:rPr>
      </w:pPr>
      <w:r>
        <w:rPr>
          <w:rFonts w:hint="eastAsia" w:ascii="宋体" w:hAnsi="宋体" w:cs="宋体"/>
          <w:sz w:val="24"/>
        </w:rPr>
        <w:t>（4）投标保证金交纳凭证；</w:t>
      </w:r>
    </w:p>
    <w:p>
      <w:pPr>
        <w:overflowPunct w:val="0"/>
        <w:spacing w:line="440" w:lineRule="exact"/>
        <w:ind w:firstLine="480" w:firstLineChars="200"/>
        <w:rPr>
          <w:rFonts w:hint="eastAsia" w:ascii="宋体" w:hAnsi="宋体" w:cs="宋体"/>
          <w:sz w:val="24"/>
        </w:rPr>
      </w:pPr>
      <w:r>
        <w:rPr>
          <w:rFonts w:hint="eastAsia" w:ascii="宋体" w:hAnsi="宋体" w:cs="宋体"/>
          <w:sz w:val="24"/>
        </w:rPr>
        <w:t>（5）未被信用中国（www.creditchina.gov.cn）、中国政府采购网（www.ccgp.gov.cn）、国家企业信用信息公示系统（http://www.gsxt.gov.cn）列入失信被执行人、税收违法黑名单、政府采购严重违法失信行为记录名单截图；</w:t>
      </w:r>
    </w:p>
    <w:p>
      <w:pPr>
        <w:spacing w:line="440" w:lineRule="exact"/>
        <w:ind w:firstLine="480" w:firstLineChars="200"/>
        <w:rPr>
          <w:rFonts w:ascii="宋体" w:hAnsi="宋体" w:cs="宋体"/>
          <w:b/>
          <w:sz w:val="24"/>
        </w:rPr>
      </w:pPr>
      <w:r>
        <w:rPr>
          <w:rFonts w:hint="eastAsia" w:ascii="宋体" w:hAnsi="宋体" w:cs="宋体"/>
          <w:b/>
          <w:sz w:val="24"/>
        </w:rPr>
        <w:t>4.2.</w:t>
      </w:r>
      <w:r>
        <w:rPr>
          <w:rFonts w:hint="eastAsia" w:ascii="宋体" w:hAnsi="宋体" w:cs="宋体"/>
          <w:b/>
          <w:sz w:val="24"/>
          <w:lang w:val="en-US" w:eastAsia="zh-CN"/>
        </w:rPr>
        <w:t>2</w:t>
      </w:r>
      <w:r>
        <w:rPr>
          <w:rFonts w:hint="eastAsia" w:ascii="宋体" w:hAnsi="宋体" w:cs="宋体"/>
          <w:b/>
          <w:sz w:val="24"/>
        </w:rPr>
        <w:t xml:space="preserve"> 投标报价书</w:t>
      </w:r>
    </w:p>
    <w:p>
      <w:pPr>
        <w:overflowPunct w:val="0"/>
        <w:spacing w:line="440" w:lineRule="exact"/>
        <w:ind w:firstLine="480" w:firstLineChars="200"/>
        <w:rPr>
          <w:rFonts w:ascii="宋体" w:hAnsi="宋体" w:cs="宋体"/>
          <w:sz w:val="24"/>
        </w:rPr>
      </w:pPr>
      <w:r>
        <w:rPr>
          <w:rFonts w:hint="eastAsia" w:ascii="宋体" w:hAnsi="宋体" w:cs="宋体"/>
          <w:sz w:val="24"/>
        </w:rPr>
        <w:t>4.2.</w:t>
      </w:r>
      <w:r>
        <w:rPr>
          <w:rFonts w:hint="eastAsia" w:ascii="宋体" w:hAnsi="宋体" w:cs="宋体"/>
          <w:sz w:val="24"/>
          <w:lang w:val="en-US" w:eastAsia="zh-CN"/>
        </w:rPr>
        <w:t>2</w:t>
      </w:r>
      <w:r>
        <w:rPr>
          <w:rFonts w:hint="eastAsia" w:ascii="宋体" w:hAnsi="宋体" w:cs="宋体"/>
          <w:sz w:val="24"/>
        </w:rPr>
        <w:t>.2 报价一览表（按附件的格式提供）。</w:t>
      </w:r>
    </w:p>
    <w:p>
      <w:pPr>
        <w:spacing w:line="440" w:lineRule="exact"/>
        <w:ind w:firstLine="480" w:firstLineChars="200"/>
        <w:rPr>
          <w:rFonts w:ascii="宋体" w:hAnsi="宋体" w:cs="宋体"/>
          <w:b/>
          <w:sz w:val="24"/>
        </w:rPr>
      </w:pPr>
      <w:r>
        <w:rPr>
          <w:rFonts w:hint="eastAsia" w:ascii="宋体" w:hAnsi="宋体" w:cs="宋体"/>
          <w:b/>
          <w:sz w:val="24"/>
        </w:rPr>
        <w:t>4.2.</w:t>
      </w:r>
      <w:r>
        <w:rPr>
          <w:rFonts w:hint="eastAsia" w:ascii="宋体" w:hAnsi="宋体" w:cs="宋体"/>
          <w:b/>
          <w:sz w:val="24"/>
          <w:lang w:val="en-US" w:eastAsia="zh-CN"/>
        </w:rPr>
        <w:t>3</w:t>
      </w:r>
      <w:r>
        <w:rPr>
          <w:rFonts w:hint="eastAsia" w:ascii="宋体" w:hAnsi="宋体" w:cs="宋体"/>
          <w:b/>
          <w:sz w:val="24"/>
        </w:rPr>
        <w:t xml:space="preserve">  商务技术投标文件</w:t>
      </w:r>
    </w:p>
    <w:p>
      <w:pPr>
        <w:overflowPunct w:val="0"/>
        <w:spacing w:line="440" w:lineRule="exact"/>
        <w:ind w:firstLine="480" w:firstLineChars="200"/>
        <w:rPr>
          <w:rFonts w:ascii="宋体" w:hAnsi="宋体" w:cs="宋体"/>
          <w:sz w:val="24"/>
        </w:rPr>
      </w:pPr>
      <w:r>
        <w:rPr>
          <w:rFonts w:hint="eastAsia" w:ascii="宋体" w:hAnsi="宋体" w:cs="宋体"/>
          <w:sz w:val="24"/>
        </w:rPr>
        <w:t>投标人必须按要求如实、</w:t>
      </w:r>
      <w:r>
        <w:rPr>
          <w:rFonts w:hint="eastAsia" w:ascii="宋体" w:hAnsi="宋体" w:cs="宋体"/>
          <w:sz w:val="24"/>
          <w:u w:val="none"/>
        </w:rPr>
        <w:t>准确</w:t>
      </w:r>
      <w:r>
        <w:rPr>
          <w:rFonts w:hint="eastAsia" w:ascii="宋体" w:hAnsi="宋体" w:cs="宋体"/>
          <w:sz w:val="24"/>
        </w:rPr>
        <w:t>、完整的提供评估因素要求的各类文件资料。否则投标将不被接受。投标文件包括以下部分（但不局限于以下部分）：</w:t>
      </w:r>
    </w:p>
    <w:p>
      <w:pPr>
        <w:overflowPunct w:val="0"/>
        <w:spacing w:line="440" w:lineRule="exact"/>
        <w:ind w:firstLine="480" w:firstLineChars="200"/>
        <w:rPr>
          <w:rFonts w:hint="eastAsia" w:ascii="宋体" w:hAnsi="宋体" w:cs="宋体"/>
          <w:sz w:val="24"/>
        </w:rPr>
      </w:pPr>
      <w:r>
        <w:rPr>
          <w:rFonts w:hint="eastAsia" w:ascii="宋体" w:hAnsi="宋体" w:cs="宋体"/>
          <w:sz w:val="24"/>
        </w:rPr>
        <w:t>4.2.</w:t>
      </w:r>
      <w:r>
        <w:rPr>
          <w:rFonts w:hint="eastAsia" w:ascii="宋体" w:hAnsi="宋体" w:cs="宋体"/>
          <w:sz w:val="24"/>
          <w:lang w:val="en-US" w:eastAsia="zh-CN"/>
        </w:rPr>
        <w:t>3</w:t>
      </w:r>
      <w:r>
        <w:rPr>
          <w:rFonts w:hint="eastAsia" w:ascii="宋体" w:hAnsi="宋体" w:cs="宋体"/>
          <w:sz w:val="24"/>
        </w:rPr>
        <w:t>.1承 诺 函</w:t>
      </w:r>
    </w:p>
    <w:p>
      <w:pPr>
        <w:overflowPunct w:val="0"/>
        <w:spacing w:line="440" w:lineRule="exact"/>
        <w:ind w:firstLine="480" w:firstLineChars="200"/>
        <w:rPr>
          <w:rFonts w:ascii="宋体" w:hAnsi="宋体" w:cs="宋体"/>
          <w:b/>
          <w:sz w:val="24"/>
        </w:rPr>
      </w:pPr>
      <w:r>
        <w:rPr>
          <w:rFonts w:hint="eastAsia" w:ascii="宋体" w:hAnsi="宋体" w:cs="宋体"/>
          <w:sz w:val="24"/>
        </w:rPr>
        <w:t>4.2.</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关于资格的声明函</w:t>
      </w:r>
    </w:p>
    <w:p>
      <w:pPr>
        <w:overflowPunct w:val="0"/>
        <w:spacing w:line="440" w:lineRule="exact"/>
        <w:ind w:firstLine="480" w:firstLineChars="200"/>
      </w:pPr>
      <w:r>
        <w:rPr>
          <w:rFonts w:hint="eastAsia" w:ascii="宋体" w:hAnsi="宋体" w:cs="宋体"/>
          <w:sz w:val="24"/>
        </w:rPr>
        <w:t>4.2.</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《反商业贿赂承诺书》</w:t>
      </w:r>
    </w:p>
    <w:p>
      <w:pPr>
        <w:overflowPunct w:val="0"/>
        <w:spacing w:line="440" w:lineRule="exact"/>
        <w:ind w:firstLine="480" w:firstLineChars="200"/>
        <w:rPr>
          <w:rFonts w:hint="eastAsia"/>
          <w:highlight w:val="none"/>
        </w:rPr>
      </w:pPr>
      <w:r>
        <w:rPr>
          <w:rFonts w:hint="eastAsia" w:ascii="宋体" w:hAnsi="宋体" w:cs="宋体"/>
          <w:sz w:val="24"/>
          <w:highlight w:val="none"/>
          <w:lang w:val="en-US" w:eastAsia="zh-CN"/>
        </w:rPr>
        <w:t>4.2.3.4</w:t>
      </w:r>
      <w:r>
        <w:rPr>
          <w:rFonts w:hint="eastAsia" w:ascii="宋体" w:hAnsi="宋体" w:cs="宋体"/>
          <w:sz w:val="24"/>
          <w:highlight w:val="none"/>
        </w:rPr>
        <w:t>近三年具有类似业绩</w:t>
      </w:r>
      <w:r>
        <w:rPr>
          <w:rFonts w:hint="eastAsia" w:ascii="宋体" w:hAnsi="宋体" w:cs="宋体"/>
          <w:sz w:val="24"/>
          <w:highlight w:val="none"/>
          <w:lang w:eastAsia="zh-CN"/>
        </w:rPr>
        <w:t>（指绿化工程或绿化养护类业绩）</w:t>
      </w:r>
      <w:r>
        <w:rPr>
          <w:rFonts w:hint="eastAsia" w:ascii="宋体" w:hAnsi="宋体" w:cs="宋体"/>
          <w:sz w:val="24"/>
          <w:highlight w:val="none"/>
        </w:rPr>
        <w:t>资料复印件（以中标通知书</w:t>
      </w:r>
      <w:r>
        <w:rPr>
          <w:rFonts w:hint="eastAsia" w:ascii="宋体" w:hAnsi="宋体" w:cs="宋体"/>
          <w:sz w:val="24"/>
          <w:highlight w:val="none"/>
          <w:lang w:eastAsia="zh-CN"/>
        </w:rPr>
        <w:t>或</w:t>
      </w:r>
      <w:r>
        <w:rPr>
          <w:rFonts w:hint="eastAsia" w:ascii="宋体" w:hAnsi="宋体" w:cs="宋体"/>
          <w:sz w:val="24"/>
          <w:highlight w:val="none"/>
        </w:rPr>
        <w:t>合同为准）；</w:t>
      </w:r>
    </w:p>
    <w:p>
      <w:pPr>
        <w:overflowPunct w:val="0"/>
        <w:spacing w:line="440" w:lineRule="exact"/>
        <w:ind w:firstLine="480" w:firstLineChars="200"/>
        <w:rPr>
          <w:rFonts w:hint="eastAsia" w:ascii="宋体" w:hAnsi="宋体" w:cs="宋体"/>
          <w:sz w:val="24"/>
          <w:highlight w:val="none"/>
          <w:lang w:eastAsia="zh-CN"/>
        </w:rPr>
      </w:pPr>
      <w:r>
        <w:rPr>
          <w:rFonts w:hint="eastAsia" w:ascii="宋体" w:hAnsi="宋体" w:cs="宋体"/>
          <w:sz w:val="24"/>
          <w:highlight w:val="none"/>
        </w:rPr>
        <w:t>4.2.</w:t>
      </w:r>
      <w:r>
        <w:rPr>
          <w:rFonts w:hint="eastAsia" w:ascii="宋体" w:hAnsi="宋体" w:cs="宋体"/>
          <w:sz w:val="24"/>
          <w:highlight w:val="none"/>
          <w:lang w:val="en-US" w:eastAsia="zh-CN"/>
        </w:rPr>
        <w:t>3</w:t>
      </w: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项目负责人简历表</w:t>
      </w:r>
      <w:r>
        <w:rPr>
          <w:rFonts w:hint="eastAsia" w:ascii="宋体" w:hAnsi="宋体" w:cs="宋体"/>
          <w:sz w:val="24"/>
          <w:highlight w:val="none"/>
          <w:lang w:eastAsia="zh-CN"/>
        </w:rPr>
        <w:t>、投入本项目人员表</w:t>
      </w:r>
    </w:p>
    <w:p>
      <w:pPr>
        <w:overflowPunct w:val="0"/>
        <w:spacing w:line="440" w:lineRule="exact"/>
        <w:ind w:firstLine="480" w:firstLineChars="200"/>
        <w:rPr>
          <w:rFonts w:hint="eastAsia" w:ascii="宋体" w:hAnsi="宋体" w:cs="宋体"/>
          <w:sz w:val="24"/>
          <w:lang w:eastAsia="zh-CN"/>
        </w:rPr>
      </w:pPr>
      <w:r>
        <w:rPr>
          <w:rFonts w:hint="eastAsia" w:ascii="宋体" w:hAnsi="宋体" w:cs="宋体"/>
          <w:sz w:val="24"/>
        </w:rPr>
        <w:t>4.2.</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中小企业声明函</w:t>
      </w:r>
      <w:r>
        <w:rPr>
          <w:rFonts w:hint="eastAsia" w:ascii="宋体" w:hAnsi="宋体" w:cs="宋体"/>
          <w:sz w:val="24"/>
          <w:lang w:eastAsia="zh-CN"/>
        </w:rPr>
        <w:t>（如有）</w:t>
      </w:r>
    </w:p>
    <w:p>
      <w:pPr>
        <w:overflowPunct w:val="0"/>
        <w:spacing w:line="440" w:lineRule="exact"/>
        <w:ind w:firstLine="480" w:firstLineChars="200"/>
        <w:rPr>
          <w:rFonts w:hint="eastAsia" w:ascii="宋体" w:hAnsi="宋体" w:cs="宋体"/>
          <w:sz w:val="24"/>
          <w:lang w:eastAsia="zh-CN"/>
        </w:rPr>
      </w:pPr>
      <w:r>
        <w:rPr>
          <w:rFonts w:hint="eastAsia" w:ascii="宋体" w:hAnsi="宋体" w:cs="宋体"/>
          <w:sz w:val="24"/>
        </w:rPr>
        <w:t>4.2.</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残疾人福利性单位声明函</w:t>
      </w:r>
      <w:r>
        <w:rPr>
          <w:rFonts w:hint="eastAsia" w:ascii="宋体" w:hAnsi="宋体" w:cs="宋体"/>
          <w:sz w:val="24"/>
          <w:lang w:eastAsia="zh-CN"/>
        </w:rPr>
        <w:t>（如有）</w:t>
      </w:r>
    </w:p>
    <w:p>
      <w:pPr>
        <w:overflowPunct w:val="0"/>
        <w:spacing w:line="440" w:lineRule="exact"/>
        <w:ind w:firstLine="480" w:firstLineChars="200"/>
        <w:rPr>
          <w:rFonts w:hint="eastAsia"/>
        </w:rPr>
      </w:pPr>
      <w:r>
        <w:rPr>
          <w:rFonts w:hint="eastAsia" w:ascii="宋体" w:hAnsi="宋体" w:cs="宋体"/>
          <w:sz w:val="24"/>
          <w:lang w:val="en-US" w:eastAsia="zh-CN"/>
        </w:rPr>
        <w:t>4.2.3.8</w:t>
      </w:r>
      <w:r>
        <w:rPr>
          <w:rFonts w:hint="eastAsia" w:ascii="宋体" w:hAnsi="宋体" w:cs="宋体"/>
          <w:sz w:val="24"/>
          <w:highlight w:val="none"/>
          <w:lang w:eastAsia="zh-CN"/>
        </w:rPr>
        <w:t>技术方案</w:t>
      </w:r>
    </w:p>
    <w:p>
      <w:pPr>
        <w:overflowPunct w:val="0"/>
        <w:spacing w:line="440" w:lineRule="exact"/>
        <w:ind w:firstLine="480" w:firstLineChars="200"/>
        <w:rPr>
          <w:rFonts w:hint="eastAsia" w:ascii="宋体" w:hAnsi="宋体" w:cs="宋体"/>
          <w:sz w:val="24"/>
        </w:rPr>
      </w:pPr>
      <w:r>
        <w:rPr>
          <w:rFonts w:hint="eastAsia" w:ascii="宋体" w:hAnsi="宋体" w:cs="宋体"/>
          <w:sz w:val="24"/>
        </w:rPr>
        <w:t>4.2.</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其他证明材料</w:t>
      </w:r>
    </w:p>
    <w:p>
      <w:pPr>
        <w:spacing w:line="440" w:lineRule="exact"/>
        <w:ind w:firstLine="480" w:firstLineChars="200"/>
        <w:rPr>
          <w:rFonts w:ascii="宋体" w:hAnsi="宋体" w:cs="宋体"/>
          <w:b/>
          <w:sz w:val="24"/>
        </w:rPr>
      </w:pPr>
      <w:r>
        <w:rPr>
          <w:rFonts w:hint="eastAsia" w:ascii="宋体" w:hAnsi="宋体" w:cs="宋体"/>
          <w:b/>
          <w:sz w:val="24"/>
        </w:rPr>
        <w:t>4.3  投标文件格式</w:t>
      </w:r>
    </w:p>
    <w:p>
      <w:pPr>
        <w:overflowPunct w:val="0"/>
        <w:spacing w:line="440" w:lineRule="exact"/>
        <w:ind w:firstLine="480" w:firstLineChars="200"/>
        <w:rPr>
          <w:rFonts w:ascii="宋体" w:hAnsi="宋体" w:cs="宋体"/>
          <w:sz w:val="24"/>
        </w:rPr>
      </w:pPr>
      <w:r>
        <w:rPr>
          <w:rFonts w:hint="eastAsia" w:ascii="宋体" w:hAnsi="宋体" w:cs="宋体"/>
          <w:sz w:val="24"/>
        </w:rPr>
        <w:t>4.3.1 本项目要求按照上述内容编制标书，并按照标书中所附的投标文件规格编写，并要求打印装订成册。</w:t>
      </w:r>
    </w:p>
    <w:p>
      <w:pPr>
        <w:overflowPunct w:val="0"/>
        <w:spacing w:line="440" w:lineRule="exact"/>
        <w:ind w:firstLine="480" w:firstLineChars="200"/>
        <w:rPr>
          <w:rFonts w:ascii="宋体" w:hAnsi="宋体" w:cs="宋体"/>
          <w:sz w:val="24"/>
        </w:rPr>
      </w:pPr>
      <w:r>
        <w:rPr>
          <w:rFonts w:hint="eastAsia" w:ascii="宋体" w:hAnsi="宋体" w:cs="宋体"/>
          <w:sz w:val="24"/>
        </w:rPr>
        <w:t>4.3.2 投标人应按招标文件的内容与要求和提供的格式编写其投标文件，投标人不得缺少或留空任何招标文件要求填写的表格或提交的资料。</w:t>
      </w:r>
      <w:r>
        <w:rPr>
          <w:rFonts w:hint="eastAsia" w:ascii="宋体" w:hAnsi="宋体" w:cs="宋体"/>
          <w:kern w:val="0"/>
          <w:sz w:val="24"/>
        </w:rPr>
        <w:t>如招标文件没有提供格式的，投标人可自行设置。</w:t>
      </w:r>
    </w:p>
    <w:p>
      <w:pPr>
        <w:overflowPunct w:val="0"/>
        <w:spacing w:line="440" w:lineRule="exact"/>
        <w:ind w:firstLine="480" w:firstLineChars="200"/>
        <w:rPr>
          <w:rFonts w:ascii="宋体" w:hAnsi="宋体" w:cs="宋体"/>
          <w:sz w:val="24"/>
        </w:rPr>
      </w:pPr>
      <w:r>
        <w:rPr>
          <w:rFonts w:hint="eastAsia" w:ascii="宋体" w:hAnsi="宋体" w:cs="宋体"/>
          <w:sz w:val="24"/>
        </w:rPr>
        <w:t>4.3.3投标人应将投标文件按规定的顺序编排、并应编制目录、逐页标注连续页码，并装订成册</w:t>
      </w:r>
      <w:r>
        <w:rPr>
          <w:rFonts w:hint="eastAsia" w:ascii="宋体" w:hAnsi="宋体" w:cs="宋体"/>
          <w:b/>
          <w:sz w:val="24"/>
        </w:rPr>
        <w:t>。不得采用活页装订。</w:t>
      </w:r>
    </w:p>
    <w:p>
      <w:pPr>
        <w:spacing w:line="440" w:lineRule="exact"/>
        <w:ind w:firstLine="480" w:firstLineChars="200"/>
        <w:rPr>
          <w:rFonts w:ascii="宋体" w:hAnsi="宋体" w:cs="宋体"/>
          <w:b/>
          <w:sz w:val="24"/>
        </w:rPr>
      </w:pPr>
      <w:r>
        <w:rPr>
          <w:rFonts w:hint="eastAsia" w:ascii="宋体" w:hAnsi="宋体" w:cs="宋体"/>
          <w:b/>
          <w:sz w:val="24"/>
        </w:rPr>
        <w:t>5、投标报价</w:t>
      </w:r>
    </w:p>
    <w:p>
      <w:pPr>
        <w:overflowPunct w:val="0"/>
        <w:spacing w:line="440" w:lineRule="exact"/>
        <w:ind w:firstLine="480" w:firstLineChars="200"/>
        <w:rPr>
          <w:rFonts w:ascii="宋体" w:hAnsi="宋体" w:cs="宋体"/>
          <w:sz w:val="24"/>
        </w:rPr>
      </w:pPr>
      <w:r>
        <w:rPr>
          <w:rFonts w:hint="eastAsia" w:ascii="宋体" w:hAnsi="宋体" w:cs="宋体"/>
          <w:sz w:val="24"/>
        </w:rPr>
        <w:t>5.1 投标人应在投标明细报价表上标明本次采购拟提供服务的单价和总价。如单价和总价不符，以单价累计为准。小写和大写不符，以大写为准。投标人如果不同意上述修改原则，其投标将被拒绝。投标人应在明细报价表标明应所述服务的所有工作内容，包括相关的设备、配件、材料采购及售后服务和培训等直至交付业主正常使用前的一切费用。</w:t>
      </w:r>
    </w:p>
    <w:p>
      <w:pPr>
        <w:overflowPunct w:val="0"/>
        <w:spacing w:line="440" w:lineRule="exact"/>
        <w:ind w:firstLine="480" w:firstLineChars="200"/>
        <w:rPr>
          <w:rFonts w:ascii="宋体" w:hAnsi="宋体" w:cs="宋体"/>
          <w:sz w:val="24"/>
        </w:rPr>
      </w:pPr>
      <w:r>
        <w:rPr>
          <w:rFonts w:hint="eastAsia" w:ascii="宋体" w:hAnsi="宋体" w:cs="宋体"/>
          <w:sz w:val="24"/>
        </w:rPr>
        <w:t>5.2 投标人如果免费提供某项服务，除在价格栏中填写“0”外，还必须在备注栏中声明免费或赠送。</w:t>
      </w:r>
    </w:p>
    <w:p>
      <w:pPr>
        <w:spacing w:line="440" w:lineRule="exact"/>
        <w:ind w:firstLine="480" w:firstLineChars="200"/>
        <w:rPr>
          <w:rFonts w:ascii="宋体" w:hAnsi="宋体" w:cs="宋体"/>
          <w:sz w:val="24"/>
        </w:rPr>
      </w:pPr>
      <w:r>
        <w:rPr>
          <w:rFonts w:hint="eastAsia" w:ascii="宋体" w:hAnsi="宋体" w:cs="宋体"/>
          <w:sz w:val="24"/>
        </w:rPr>
        <w:t>5.3 投标报价时应注意下列几点：</w:t>
      </w:r>
    </w:p>
    <w:p>
      <w:pPr>
        <w:overflowPunct w:val="0"/>
        <w:spacing w:line="440" w:lineRule="exact"/>
        <w:ind w:firstLine="480" w:firstLineChars="200"/>
        <w:rPr>
          <w:rFonts w:ascii="宋体" w:hAnsi="宋体" w:cs="宋体"/>
          <w:sz w:val="24"/>
        </w:rPr>
      </w:pPr>
      <w:r>
        <w:rPr>
          <w:rFonts w:hint="eastAsia" w:ascii="宋体" w:hAnsi="宋体" w:cs="宋体"/>
          <w:sz w:val="24"/>
        </w:rPr>
        <w:t>（1）本项目如非因重大需求变化导致成本增加，不得追加费用，投标人应该考虑但没有考虑到的任何费用将由投标人自行承担。</w:t>
      </w:r>
    </w:p>
    <w:p>
      <w:pPr>
        <w:overflowPunct w:val="0"/>
        <w:spacing w:line="440" w:lineRule="exact"/>
        <w:ind w:firstLine="480" w:firstLineChars="200"/>
        <w:rPr>
          <w:rFonts w:ascii="宋体" w:hAnsi="宋体" w:cs="宋体"/>
          <w:sz w:val="24"/>
        </w:rPr>
      </w:pPr>
      <w:r>
        <w:rPr>
          <w:rFonts w:hint="eastAsia" w:ascii="宋体" w:hAnsi="宋体" w:cs="宋体"/>
          <w:sz w:val="24"/>
        </w:rPr>
        <w:t>（2）招标文件中特别要求的其它附带服务的全部费用；</w:t>
      </w:r>
    </w:p>
    <w:p>
      <w:pPr>
        <w:overflowPunct w:val="0"/>
        <w:spacing w:line="440" w:lineRule="exact"/>
        <w:ind w:firstLine="480" w:firstLineChars="200"/>
        <w:rPr>
          <w:rFonts w:ascii="宋体" w:hAnsi="宋体" w:cs="宋体"/>
          <w:b/>
          <w:sz w:val="24"/>
          <w:u w:val="single"/>
        </w:rPr>
      </w:pPr>
      <w:r>
        <w:rPr>
          <w:rFonts w:hint="eastAsia" w:ascii="宋体" w:hAnsi="宋体" w:cs="宋体"/>
          <w:sz w:val="24"/>
        </w:rPr>
        <w:t>5.4 投标人应对投标服务提供完整的详细的书面说明。</w:t>
      </w:r>
    </w:p>
    <w:p>
      <w:pPr>
        <w:overflowPunct w:val="0"/>
        <w:spacing w:line="440" w:lineRule="exact"/>
        <w:ind w:firstLine="480" w:firstLineChars="200"/>
        <w:rPr>
          <w:rFonts w:ascii="宋体" w:hAnsi="宋体" w:cs="宋体"/>
          <w:sz w:val="24"/>
        </w:rPr>
      </w:pPr>
      <w:r>
        <w:rPr>
          <w:rFonts w:hint="eastAsia" w:ascii="宋体" w:hAnsi="宋体" w:cs="宋体"/>
          <w:sz w:val="24"/>
        </w:rPr>
        <w:t>5.5 报价超过最高限价的，该报价为无效报价，不进入商务评比。</w:t>
      </w:r>
    </w:p>
    <w:p>
      <w:pPr>
        <w:overflowPunct w:val="0"/>
        <w:spacing w:line="440" w:lineRule="exact"/>
        <w:ind w:firstLine="480" w:firstLineChars="200"/>
        <w:rPr>
          <w:rFonts w:ascii="宋体" w:hAnsi="宋体" w:cs="宋体"/>
          <w:sz w:val="24"/>
        </w:rPr>
      </w:pPr>
      <w:r>
        <w:rPr>
          <w:rFonts w:hint="eastAsia" w:ascii="宋体" w:hAnsi="宋体" w:cs="宋体"/>
          <w:sz w:val="24"/>
        </w:rPr>
        <w:t>5.6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视为无效标处理。</w:t>
      </w:r>
    </w:p>
    <w:p>
      <w:pPr>
        <w:spacing w:line="440" w:lineRule="exact"/>
        <w:ind w:firstLine="480" w:firstLineChars="200"/>
        <w:rPr>
          <w:rFonts w:ascii="宋体" w:hAnsi="宋体" w:cs="宋体"/>
          <w:b/>
          <w:sz w:val="24"/>
        </w:rPr>
      </w:pPr>
      <w:r>
        <w:rPr>
          <w:rFonts w:hint="eastAsia" w:ascii="宋体" w:hAnsi="宋体" w:cs="宋体"/>
          <w:b/>
          <w:sz w:val="24"/>
        </w:rPr>
        <w:t>6、招标文件规定的技术文件</w:t>
      </w:r>
    </w:p>
    <w:p>
      <w:pPr>
        <w:overflowPunct w:val="0"/>
        <w:spacing w:line="440" w:lineRule="exact"/>
        <w:ind w:firstLine="480" w:firstLineChars="200"/>
        <w:rPr>
          <w:rFonts w:ascii="宋体" w:hAnsi="宋体" w:cs="宋体"/>
          <w:sz w:val="24"/>
        </w:rPr>
      </w:pPr>
      <w:r>
        <w:rPr>
          <w:rFonts w:hint="eastAsia" w:ascii="宋体" w:hAnsi="宋体" w:cs="宋体"/>
          <w:sz w:val="24"/>
        </w:rPr>
        <w:t>6.1 投标人须提交证明拟供服务符合招标文件规定的文件资料，作为投标文件的一部分。</w:t>
      </w:r>
    </w:p>
    <w:p>
      <w:pPr>
        <w:overflowPunct w:val="0"/>
        <w:spacing w:line="440" w:lineRule="exact"/>
        <w:ind w:firstLine="480" w:firstLineChars="200"/>
        <w:rPr>
          <w:rFonts w:ascii="宋体" w:hAnsi="宋体" w:cs="宋体"/>
          <w:sz w:val="24"/>
        </w:rPr>
      </w:pPr>
      <w:r>
        <w:rPr>
          <w:rFonts w:hint="eastAsia" w:ascii="宋体" w:hAnsi="宋体" w:cs="宋体"/>
          <w:sz w:val="24"/>
        </w:rPr>
        <w:t>6.2 上述文件可以是文字资料、图纸和数据等，并提供规格、技术参数。</w:t>
      </w:r>
    </w:p>
    <w:p>
      <w:pPr>
        <w:overflowPunct w:val="0"/>
        <w:spacing w:line="440" w:lineRule="exact"/>
        <w:ind w:firstLine="480" w:firstLineChars="200"/>
        <w:rPr>
          <w:rFonts w:ascii="宋体" w:hAnsi="宋体" w:cs="宋体"/>
          <w:sz w:val="24"/>
        </w:rPr>
      </w:pPr>
      <w:r>
        <w:rPr>
          <w:rFonts w:hint="eastAsia" w:ascii="宋体" w:hAnsi="宋体" w:cs="宋体"/>
          <w:sz w:val="24"/>
        </w:rPr>
        <w:t>6.3 没有按要求提供资料或提供资料不完全的，将被视为对招标文件没有做出实质性响应，其风险由投标人自行承担。</w:t>
      </w:r>
    </w:p>
    <w:p>
      <w:pPr>
        <w:spacing w:line="440" w:lineRule="exact"/>
        <w:ind w:firstLine="480" w:firstLineChars="200"/>
        <w:rPr>
          <w:rFonts w:ascii="宋体" w:hAnsi="宋体" w:cs="宋体"/>
          <w:b/>
          <w:sz w:val="24"/>
        </w:rPr>
      </w:pPr>
      <w:r>
        <w:rPr>
          <w:rFonts w:hint="eastAsia" w:ascii="宋体" w:hAnsi="宋体" w:cs="宋体"/>
          <w:b/>
          <w:sz w:val="24"/>
        </w:rPr>
        <w:t>7、投标有效期</w:t>
      </w:r>
    </w:p>
    <w:p>
      <w:pPr>
        <w:overflowPunct w:val="0"/>
        <w:spacing w:line="440" w:lineRule="exact"/>
        <w:ind w:firstLine="480" w:firstLineChars="200"/>
        <w:rPr>
          <w:rFonts w:ascii="宋体" w:hAnsi="宋体" w:cs="宋体"/>
          <w:sz w:val="24"/>
        </w:rPr>
      </w:pPr>
      <w:r>
        <w:rPr>
          <w:rFonts w:hint="eastAsia" w:ascii="宋体" w:hAnsi="宋体" w:cs="宋体"/>
          <w:sz w:val="24"/>
        </w:rPr>
        <w:t>7.1 投标文件从投标之日起，投标有效期</w:t>
      </w:r>
      <w:r>
        <w:rPr>
          <w:rFonts w:hint="eastAsia" w:ascii="宋体" w:hAnsi="宋体" w:cs="宋体"/>
          <w:sz w:val="24"/>
          <w:lang w:val="en-US" w:eastAsia="zh-CN"/>
        </w:rPr>
        <w:t>90</w:t>
      </w:r>
      <w:r>
        <w:rPr>
          <w:rFonts w:hint="eastAsia" w:ascii="宋体" w:hAnsi="宋体" w:cs="宋体"/>
          <w:sz w:val="24"/>
        </w:rPr>
        <w:t>天。</w:t>
      </w:r>
    </w:p>
    <w:p>
      <w:pPr>
        <w:overflowPunct w:val="0"/>
        <w:spacing w:line="440" w:lineRule="exact"/>
        <w:ind w:firstLine="480" w:firstLineChars="200"/>
        <w:rPr>
          <w:rFonts w:ascii="宋体" w:hAnsi="宋体" w:cs="宋体"/>
          <w:sz w:val="24"/>
        </w:rPr>
      </w:pPr>
      <w:r>
        <w:rPr>
          <w:rFonts w:hint="eastAsia" w:ascii="宋体" w:hAnsi="宋体" w:cs="宋体"/>
          <w:sz w:val="24"/>
        </w:rPr>
        <w:t>7.2 在特殊情况下，采购方可与投标人协商延长投标文件的有效期。</w:t>
      </w:r>
    </w:p>
    <w:p>
      <w:pPr>
        <w:spacing w:line="440" w:lineRule="exact"/>
        <w:ind w:firstLine="480" w:firstLineChars="200"/>
        <w:rPr>
          <w:rFonts w:ascii="宋体" w:hAnsi="宋体" w:cs="宋体"/>
          <w:b/>
          <w:sz w:val="24"/>
        </w:rPr>
      </w:pPr>
      <w:r>
        <w:rPr>
          <w:rFonts w:hint="eastAsia" w:ascii="宋体" w:hAnsi="宋体" w:cs="宋体"/>
          <w:b/>
          <w:sz w:val="24"/>
        </w:rPr>
        <w:t>8、投标文件的签署规定</w:t>
      </w:r>
    </w:p>
    <w:p>
      <w:pPr>
        <w:overflowPunct w:val="0"/>
        <w:spacing w:line="440" w:lineRule="exact"/>
        <w:ind w:firstLine="480" w:firstLineChars="200"/>
        <w:rPr>
          <w:rFonts w:ascii="宋体" w:hAnsi="宋体" w:cs="宋体"/>
          <w:sz w:val="24"/>
        </w:rPr>
      </w:pPr>
      <w:r>
        <w:rPr>
          <w:rFonts w:hint="eastAsia" w:ascii="宋体" w:hAnsi="宋体" w:cs="宋体"/>
          <w:sz w:val="24"/>
        </w:rPr>
        <w:t>8.1投标文件的页面必须用印刷体打印。</w:t>
      </w:r>
    </w:p>
    <w:p>
      <w:pPr>
        <w:overflowPunct w:val="0"/>
        <w:spacing w:line="440" w:lineRule="exact"/>
        <w:ind w:firstLine="480" w:firstLineChars="200"/>
        <w:rPr>
          <w:rFonts w:ascii="宋体" w:hAnsi="宋体" w:cs="宋体"/>
          <w:sz w:val="24"/>
        </w:rPr>
      </w:pPr>
      <w:r>
        <w:rPr>
          <w:rFonts w:hint="eastAsia" w:ascii="宋体" w:hAnsi="宋体" w:cs="宋体"/>
          <w:sz w:val="24"/>
        </w:rPr>
        <w:t>8.2投标文件应清楚工整，一般不准修改。个别非实质性修改之处应由投标人的被授权人或法人代表签章。</w:t>
      </w:r>
    </w:p>
    <w:p>
      <w:pPr>
        <w:overflowPunct w:val="0"/>
        <w:spacing w:line="440" w:lineRule="exact"/>
        <w:ind w:firstLine="480" w:firstLineChars="200"/>
        <w:rPr>
          <w:rFonts w:ascii="宋体" w:hAnsi="宋体" w:cs="宋体"/>
          <w:sz w:val="24"/>
        </w:rPr>
      </w:pPr>
      <w:r>
        <w:rPr>
          <w:rFonts w:hint="eastAsia" w:ascii="宋体" w:hAnsi="宋体" w:cs="宋体"/>
          <w:sz w:val="24"/>
        </w:rPr>
        <w:t>8.3投标文件应由法人代表或授权代表逐页签署并加盖单位公章。所有投标人签字、法人代表签字、法人代表授权人签字和其它签字处必须加盖具有法律效力的投标人的印章后，投标文件方为有效。</w:t>
      </w:r>
    </w:p>
    <w:p>
      <w:pPr>
        <w:overflowPunct w:val="0"/>
        <w:spacing w:line="440" w:lineRule="exact"/>
        <w:ind w:firstLine="480" w:firstLineChars="200"/>
        <w:rPr>
          <w:rFonts w:hint="eastAsia" w:ascii="宋体" w:hAnsi="宋体" w:eastAsia="宋体" w:cs="宋体"/>
          <w:sz w:val="24"/>
          <w:lang w:eastAsia="zh-CN"/>
        </w:rPr>
      </w:pPr>
      <w:r>
        <w:rPr>
          <w:rFonts w:hint="eastAsia" w:ascii="宋体" w:hAnsi="宋体" w:cs="宋体"/>
          <w:sz w:val="24"/>
        </w:rPr>
        <w:t>8.4所有投标文件必须提交纸制版正本一套和副本</w:t>
      </w:r>
      <w:r>
        <w:rPr>
          <w:rFonts w:hint="eastAsia" w:ascii="宋体" w:hAnsi="宋体" w:cs="宋体"/>
          <w:sz w:val="24"/>
          <w:lang w:eastAsia="zh-CN"/>
        </w:rPr>
        <w:t>三</w:t>
      </w:r>
      <w:r>
        <w:rPr>
          <w:rFonts w:hint="eastAsia" w:ascii="宋体" w:hAnsi="宋体" w:cs="宋体"/>
          <w:sz w:val="24"/>
        </w:rPr>
        <w:t>套，电子版一份，（投标文件一律不退），并在封面标记“正本”和“副本”。</w:t>
      </w:r>
      <w:r>
        <w:rPr>
          <w:rFonts w:hint="eastAsia" w:ascii="宋体" w:hAnsi="宋体" w:cs="宋体"/>
          <w:sz w:val="24"/>
          <w:lang w:eastAsia="zh-CN"/>
        </w:rPr>
        <w:t>（标后提交）</w:t>
      </w:r>
    </w:p>
    <w:p>
      <w:pPr>
        <w:overflowPunct w:val="0"/>
        <w:spacing w:line="440" w:lineRule="exact"/>
        <w:ind w:firstLine="480" w:firstLineChars="200"/>
        <w:rPr>
          <w:rFonts w:ascii="宋体" w:hAnsi="宋体" w:cs="宋体"/>
          <w:sz w:val="24"/>
        </w:rPr>
      </w:pPr>
      <w:r>
        <w:rPr>
          <w:rFonts w:hint="eastAsia" w:ascii="宋体" w:hAnsi="宋体" w:cs="宋体"/>
          <w:sz w:val="24"/>
        </w:rPr>
        <w:t>8.5投标文件的正本与副本应当完全一致。当正本和副本之间出现差异时，以正本为准。</w:t>
      </w:r>
    </w:p>
    <w:p>
      <w:pPr>
        <w:overflowPunct w:val="0"/>
        <w:spacing w:line="440" w:lineRule="exact"/>
        <w:ind w:firstLine="480" w:firstLineChars="200"/>
        <w:rPr>
          <w:rFonts w:ascii="宋体" w:hAnsi="宋体" w:cs="宋体"/>
          <w:sz w:val="24"/>
        </w:rPr>
      </w:pPr>
      <w:r>
        <w:rPr>
          <w:rFonts w:hint="eastAsia" w:ascii="宋体" w:hAnsi="宋体" w:cs="宋体"/>
          <w:sz w:val="24"/>
        </w:rPr>
        <w:t>8.6电报、电话、传真、电子邮件等形式的投标概不接受。</w:t>
      </w:r>
    </w:p>
    <w:p>
      <w:pPr>
        <w:spacing w:line="440" w:lineRule="exact"/>
        <w:ind w:firstLine="480" w:firstLineChars="200"/>
        <w:rPr>
          <w:rFonts w:ascii="宋体" w:hAnsi="宋体" w:cs="宋体"/>
          <w:b/>
          <w:sz w:val="24"/>
        </w:rPr>
      </w:pPr>
      <w:r>
        <w:rPr>
          <w:rFonts w:hint="eastAsia" w:ascii="宋体" w:hAnsi="宋体" w:cs="宋体"/>
          <w:b/>
          <w:sz w:val="24"/>
        </w:rPr>
        <w:t>9、投标文件的修改和撤销</w:t>
      </w:r>
    </w:p>
    <w:p>
      <w:pPr>
        <w:overflowPunct w:val="0"/>
        <w:spacing w:line="440" w:lineRule="exact"/>
        <w:ind w:firstLine="480" w:firstLineChars="200"/>
        <w:rPr>
          <w:rFonts w:ascii="宋体" w:hAnsi="宋体" w:cs="宋体"/>
          <w:sz w:val="24"/>
        </w:rPr>
      </w:pPr>
      <w:r>
        <w:rPr>
          <w:rFonts w:hint="eastAsia" w:ascii="宋体" w:hAnsi="宋体" w:cs="宋体"/>
          <w:sz w:val="24"/>
        </w:rPr>
        <w:t>9.1投标人在递交投标文件后，可在规定的投标截止时间之前，对其投标文件以书面通知的形式进行修改或撤销。该通知须有投标代理人的签字，并得到采购方的确认。</w:t>
      </w:r>
    </w:p>
    <w:p>
      <w:pPr>
        <w:overflowPunct w:val="0"/>
        <w:spacing w:line="440" w:lineRule="exact"/>
        <w:ind w:firstLine="480" w:firstLineChars="200"/>
        <w:rPr>
          <w:rFonts w:ascii="宋体" w:hAnsi="宋体" w:cs="宋体"/>
          <w:sz w:val="24"/>
        </w:rPr>
      </w:pPr>
      <w:r>
        <w:rPr>
          <w:rFonts w:hint="eastAsia" w:ascii="宋体" w:hAnsi="宋体" w:cs="宋体"/>
          <w:sz w:val="24"/>
        </w:rPr>
        <w:t>9.2投标人对投标文件修改的书面材料或撤消通知应按招标文件要求进行密封、标注和递交，并注明“修改投标文件”或“撤消投标”字样，修改或撤消的内容须按招标文件的要求签署、盖章，并作为投标文件和组成部分。</w:t>
      </w:r>
    </w:p>
    <w:p>
      <w:pPr>
        <w:overflowPunct w:val="0"/>
        <w:spacing w:line="440" w:lineRule="exact"/>
        <w:ind w:firstLine="480" w:firstLineChars="200"/>
        <w:rPr>
          <w:rFonts w:ascii="宋体" w:hAnsi="宋体" w:cs="宋体"/>
          <w:sz w:val="24"/>
        </w:rPr>
      </w:pPr>
      <w:r>
        <w:rPr>
          <w:rFonts w:hint="eastAsia" w:ascii="宋体" w:hAnsi="宋体" w:cs="宋体"/>
          <w:sz w:val="24"/>
        </w:rPr>
        <w:t>9.3对投标文件修改的书面材料应于投标截止日前送达采购方，投标截止时间以后不得修改投标文件。</w:t>
      </w:r>
    </w:p>
    <w:p>
      <w:pPr>
        <w:overflowPunct w:val="0"/>
        <w:spacing w:line="440" w:lineRule="exact"/>
        <w:ind w:firstLine="480" w:firstLineChars="200"/>
        <w:rPr>
          <w:rFonts w:ascii="宋体" w:hAnsi="宋体" w:cs="宋体"/>
          <w:sz w:val="24"/>
        </w:rPr>
      </w:pPr>
      <w:r>
        <w:rPr>
          <w:rFonts w:hint="eastAsia" w:ascii="宋体" w:hAnsi="宋体" w:cs="宋体"/>
          <w:sz w:val="24"/>
        </w:rPr>
        <w:t>9.4投标人不得在开标后至投标有期满前撤销投标文件，否则采购方将没收其投标保证金。</w:t>
      </w:r>
    </w:p>
    <w:p>
      <w:pPr>
        <w:pStyle w:val="5"/>
        <w:spacing w:before="0" w:after="0" w:line="440" w:lineRule="exact"/>
        <w:jc w:val="center"/>
        <w:rPr>
          <w:rFonts w:ascii="宋体" w:hAnsi="宋体" w:cs="宋体"/>
          <w:sz w:val="24"/>
          <w:szCs w:val="24"/>
        </w:rPr>
      </w:pPr>
      <w:bookmarkStart w:id="16" w:name="_Toc21933"/>
      <w:r>
        <w:rPr>
          <w:rFonts w:hint="eastAsia" w:ascii="宋体" w:hAnsi="宋体" w:cs="宋体"/>
          <w:sz w:val="28"/>
          <w:szCs w:val="28"/>
        </w:rPr>
        <w:t>第三章  投标文件的递交</w:t>
      </w:r>
      <w:bookmarkEnd w:id="16"/>
    </w:p>
    <w:p>
      <w:pPr>
        <w:spacing w:line="440" w:lineRule="exact"/>
        <w:ind w:firstLine="480" w:firstLineChars="200"/>
        <w:rPr>
          <w:rFonts w:hint="eastAsia" w:ascii="宋体" w:hAnsi="宋体" w:eastAsia="宋体" w:cs="宋体"/>
          <w:b/>
          <w:sz w:val="24"/>
          <w:lang w:eastAsia="zh-CN"/>
        </w:rPr>
      </w:pPr>
      <w:r>
        <w:rPr>
          <w:rFonts w:hint="eastAsia" w:ascii="宋体" w:hAnsi="宋体" w:cs="宋体"/>
          <w:b/>
          <w:sz w:val="24"/>
        </w:rPr>
        <w:t>10、投标文件的</w:t>
      </w:r>
      <w:r>
        <w:rPr>
          <w:rFonts w:hint="eastAsia" w:ascii="宋体" w:hAnsi="宋体" w:cs="宋体"/>
          <w:b/>
          <w:sz w:val="24"/>
          <w:lang w:eastAsia="zh-CN"/>
        </w:rPr>
        <w:t>加密</w:t>
      </w:r>
    </w:p>
    <w:p>
      <w:pPr>
        <w:overflowPunct w:val="0"/>
        <w:spacing w:line="44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10.1本项目为政采云不见面开标，</w:t>
      </w:r>
      <w:r>
        <w:rPr>
          <w:rFonts w:hint="eastAsia" w:ascii="宋体" w:hAnsi="宋体" w:cs="宋体"/>
          <w:sz w:val="24"/>
        </w:rPr>
        <w:t>投标人</w:t>
      </w:r>
      <w:r>
        <w:rPr>
          <w:rFonts w:hint="eastAsia" w:ascii="宋体" w:hAnsi="宋体" w:cs="宋体"/>
          <w:sz w:val="24"/>
          <w:lang w:eastAsia="zh-CN"/>
        </w:rPr>
        <w:t>应当在投标截止时间前将加密的投标文件上传至政采云平台，并按时参加开标解密活动。</w:t>
      </w:r>
    </w:p>
    <w:p>
      <w:pPr>
        <w:overflowPunct w:val="0"/>
        <w:spacing w:line="440" w:lineRule="exact"/>
        <w:ind w:firstLine="480" w:firstLineChars="200"/>
        <w:rPr>
          <w:rFonts w:ascii="宋体" w:hAnsi="宋体" w:cs="宋体"/>
          <w:sz w:val="24"/>
        </w:rPr>
      </w:pPr>
      <w:r>
        <w:rPr>
          <w:rFonts w:hint="eastAsia" w:ascii="宋体" w:hAnsi="宋体" w:cs="宋体"/>
          <w:sz w:val="24"/>
        </w:rPr>
        <w:t>10.</w:t>
      </w:r>
      <w:r>
        <w:rPr>
          <w:rFonts w:hint="eastAsia" w:ascii="宋体" w:hAnsi="宋体" w:cs="宋体"/>
          <w:sz w:val="24"/>
          <w:lang w:val="en-US" w:eastAsia="zh-CN"/>
        </w:rPr>
        <w:t>2</w:t>
      </w:r>
      <w:r>
        <w:rPr>
          <w:rFonts w:hint="eastAsia" w:ascii="宋体" w:hAnsi="宋体" w:cs="宋体"/>
          <w:sz w:val="24"/>
        </w:rPr>
        <w:t>发生下列情况之一的投标文件被视为无效：</w:t>
      </w:r>
    </w:p>
    <w:p>
      <w:pPr>
        <w:overflowPunct w:val="0"/>
        <w:spacing w:line="440" w:lineRule="exact"/>
        <w:ind w:firstLine="480" w:firstLineChars="200"/>
        <w:rPr>
          <w:rFonts w:ascii="宋体" w:hAnsi="宋体" w:cs="宋体"/>
          <w:sz w:val="24"/>
        </w:rPr>
      </w:pPr>
      <w:r>
        <w:rPr>
          <w:rFonts w:hint="eastAsia" w:ascii="宋体" w:hAnsi="宋体" w:cs="宋体"/>
          <w:sz w:val="24"/>
        </w:rPr>
        <w:t>（1）投标截止时间以后</w:t>
      </w:r>
      <w:r>
        <w:rPr>
          <w:rFonts w:hint="eastAsia" w:ascii="宋体" w:hAnsi="宋体" w:cs="宋体"/>
          <w:sz w:val="24"/>
          <w:lang w:eastAsia="zh-CN"/>
        </w:rPr>
        <w:t>递交、签到</w:t>
      </w:r>
      <w:r>
        <w:rPr>
          <w:rFonts w:hint="eastAsia" w:ascii="宋体" w:hAnsi="宋体" w:cs="宋体"/>
          <w:sz w:val="24"/>
        </w:rPr>
        <w:t>的投标文件；</w:t>
      </w:r>
    </w:p>
    <w:p>
      <w:pPr>
        <w:overflowPunct w:val="0"/>
        <w:spacing w:line="44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eastAsia="zh-CN"/>
        </w:rPr>
        <w:t>未能按时或成功解密</w:t>
      </w:r>
      <w:r>
        <w:rPr>
          <w:rFonts w:hint="eastAsia" w:ascii="宋体" w:hAnsi="宋体" w:cs="宋体"/>
          <w:sz w:val="24"/>
        </w:rPr>
        <w:t>的投标文件；</w:t>
      </w:r>
    </w:p>
    <w:p>
      <w:pPr>
        <w:overflowPunct w:val="0"/>
        <w:spacing w:line="440" w:lineRule="exact"/>
        <w:ind w:firstLine="480" w:firstLineChars="200"/>
        <w:rPr>
          <w:rFonts w:ascii="宋体" w:hAnsi="宋体" w:cs="宋体"/>
          <w:sz w:val="24"/>
        </w:rPr>
      </w:pPr>
      <w:r>
        <w:rPr>
          <w:rFonts w:hint="eastAsia" w:ascii="宋体" w:hAnsi="宋体" w:cs="宋体"/>
          <w:sz w:val="24"/>
        </w:rPr>
        <w:t>（3）与招标文件有重大偏离的投标文件；</w:t>
      </w:r>
    </w:p>
    <w:p>
      <w:pPr>
        <w:overflowPunct w:val="0"/>
        <w:spacing w:line="440" w:lineRule="exact"/>
        <w:ind w:firstLine="480" w:firstLineChars="200"/>
        <w:rPr>
          <w:rFonts w:ascii="宋体" w:hAnsi="宋体" w:cs="宋体"/>
          <w:sz w:val="24"/>
        </w:rPr>
      </w:pPr>
      <w:r>
        <w:rPr>
          <w:rFonts w:hint="eastAsia" w:ascii="宋体" w:hAnsi="宋体" w:cs="宋体"/>
          <w:sz w:val="24"/>
        </w:rPr>
        <w:t>（4）投标文件应盖而未盖公章或非本公司公章的、不按正确位置盖章的；未装订、未密封、法定代表人授权书、资格声明函等填写不完整或有涂改未加盖公章的；</w:t>
      </w:r>
    </w:p>
    <w:p>
      <w:pPr>
        <w:overflowPunct w:val="0"/>
        <w:spacing w:line="440" w:lineRule="exact"/>
        <w:ind w:firstLine="480" w:firstLineChars="200"/>
        <w:rPr>
          <w:rFonts w:ascii="宋体" w:hAnsi="宋体" w:cs="宋体"/>
          <w:sz w:val="24"/>
        </w:rPr>
      </w:pPr>
      <w:r>
        <w:rPr>
          <w:rFonts w:hint="eastAsia" w:ascii="宋体" w:hAnsi="宋体" w:cs="宋体"/>
          <w:sz w:val="24"/>
        </w:rPr>
        <w:t>（5）无“报价一览表”的投标文件；</w:t>
      </w:r>
    </w:p>
    <w:p>
      <w:pPr>
        <w:overflowPunct w:val="0"/>
        <w:spacing w:line="440" w:lineRule="exact"/>
        <w:ind w:firstLine="480" w:firstLineChars="200"/>
        <w:rPr>
          <w:rFonts w:ascii="宋体" w:hAnsi="宋体" w:cs="宋体"/>
          <w:sz w:val="24"/>
        </w:rPr>
      </w:pPr>
      <w:r>
        <w:rPr>
          <w:rFonts w:hint="eastAsia" w:ascii="宋体" w:hAnsi="宋体" w:cs="宋体"/>
          <w:sz w:val="24"/>
        </w:rPr>
        <w:t>（6）“报价一览表”没有加盖公章的；</w:t>
      </w:r>
    </w:p>
    <w:p>
      <w:pPr>
        <w:overflowPunct w:val="0"/>
        <w:spacing w:line="440" w:lineRule="exact"/>
        <w:ind w:firstLine="480" w:firstLineChars="200"/>
        <w:rPr>
          <w:rFonts w:ascii="宋体" w:hAnsi="宋体" w:cs="宋体"/>
          <w:sz w:val="24"/>
        </w:rPr>
      </w:pPr>
      <w:r>
        <w:rPr>
          <w:rFonts w:hint="eastAsia" w:ascii="宋体" w:hAnsi="宋体" w:cs="宋体"/>
          <w:sz w:val="24"/>
        </w:rPr>
        <w:t>（7） 未按规定交纳投标保证金的投标文件；</w:t>
      </w:r>
    </w:p>
    <w:p>
      <w:pPr>
        <w:overflowPunct w:val="0"/>
        <w:spacing w:line="440" w:lineRule="exact"/>
        <w:ind w:firstLine="480" w:firstLineChars="200"/>
        <w:rPr>
          <w:rFonts w:ascii="宋体" w:hAnsi="宋体" w:cs="宋体"/>
          <w:sz w:val="24"/>
        </w:rPr>
      </w:pPr>
      <w:r>
        <w:rPr>
          <w:rFonts w:hint="eastAsia" w:ascii="宋体" w:hAnsi="宋体" w:cs="宋体"/>
          <w:sz w:val="24"/>
        </w:rPr>
        <w:t>（8） 出现影响采购公正的违法违规行为的投标性文件；</w:t>
      </w:r>
    </w:p>
    <w:p>
      <w:pPr>
        <w:spacing w:line="440" w:lineRule="exact"/>
        <w:ind w:firstLine="480" w:firstLineChars="200"/>
        <w:rPr>
          <w:rFonts w:ascii="宋体" w:hAnsi="宋体" w:cs="宋体"/>
          <w:b/>
          <w:sz w:val="24"/>
        </w:rPr>
      </w:pPr>
      <w:r>
        <w:rPr>
          <w:rFonts w:hint="eastAsia" w:ascii="宋体" w:hAnsi="宋体" w:cs="宋体"/>
          <w:b/>
          <w:sz w:val="24"/>
        </w:rPr>
        <w:t>11、投标文件递交截止时间及开标时间和地点</w:t>
      </w:r>
    </w:p>
    <w:p>
      <w:pPr>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11.1 投标文件递交截止时间</w:t>
      </w:r>
      <w:r>
        <w:rPr>
          <w:rFonts w:hint="eastAsia" w:ascii="宋体" w:hAnsi="宋体" w:cs="宋体"/>
          <w:b/>
          <w:sz w:val="24"/>
        </w:rPr>
        <w:t>：</w:t>
      </w:r>
      <w:r>
        <w:rPr>
          <w:rFonts w:hint="eastAsia" w:ascii="宋体" w:hAnsi="宋体" w:cs="宋体"/>
          <w:sz w:val="24"/>
          <w:u w:val="single"/>
        </w:rPr>
        <w:t>详见投标人须知前附表</w:t>
      </w:r>
      <w:r>
        <w:rPr>
          <w:rFonts w:hint="eastAsia" w:ascii="宋体" w:hAnsi="宋体" w:cs="宋体"/>
          <w:b/>
          <w:sz w:val="24"/>
        </w:rPr>
        <w:t>。投标文件以</w:t>
      </w:r>
      <w:r>
        <w:rPr>
          <w:rFonts w:hint="eastAsia" w:ascii="宋体" w:hAnsi="宋体" w:cs="宋体"/>
          <w:b/>
          <w:sz w:val="24"/>
          <w:lang w:eastAsia="zh-CN"/>
        </w:rPr>
        <w:t>加密</w:t>
      </w:r>
      <w:r>
        <w:rPr>
          <w:rFonts w:hint="eastAsia" w:ascii="宋体" w:hAnsi="宋体" w:cs="宋体"/>
          <w:b/>
          <w:sz w:val="24"/>
        </w:rPr>
        <w:t>形式</w:t>
      </w:r>
      <w:r>
        <w:rPr>
          <w:rFonts w:hint="eastAsia" w:ascii="宋体" w:hAnsi="宋体" w:cs="宋体"/>
          <w:b/>
          <w:sz w:val="24"/>
          <w:lang w:eastAsia="zh-CN"/>
        </w:rPr>
        <w:t>上传</w:t>
      </w:r>
      <w:r>
        <w:rPr>
          <w:rFonts w:hint="eastAsia" w:ascii="宋体" w:hAnsi="宋体" w:cs="宋体"/>
          <w:b/>
          <w:sz w:val="24"/>
        </w:rPr>
        <w:t>至开标地点。</w:t>
      </w:r>
    </w:p>
    <w:p>
      <w:pPr>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11.2 开标时间：同投标文件递交截止时间。</w:t>
      </w:r>
    </w:p>
    <w:p>
      <w:pPr>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11.3 开标地点：</w:t>
      </w:r>
      <w:r>
        <w:rPr>
          <w:rFonts w:hint="eastAsia" w:ascii="宋体" w:hAnsi="宋体" w:cs="宋体"/>
          <w:sz w:val="24"/>
          <w:u w:val="single"/>
        </w:rPr>
        <w:t>详见投标人须知前附表</w:t>
      </w:r>
    </w:p>
    <w:p>
      <w:pPr>
        <w:spacing w:line="440" w:lineRule="exact"/>
        <w:ind w:firstLine="480" w:firstLineChars="200"/>
        <w:rPr>
          <w:rFonts w:ascii="宋体" w:hAnsi="宋体" w:cs="宋体"/>
          <w:sz w:val="24"/>
        </w:rPr>
      </w:pPr>
      <w:r>
        <w:rPr>
          <w:rFonts w:hint="eastAsia" w:ascii="宋体" w:hAnsi="宋体" w:cs="宋体"/>
          <w:sz w:val="24"/>
        </w:rPr>
        <w:t>11.4 所有投标文件都必须在采购方规定的投标截止时间之前</w:t>
      </w:r>
      <w:r>
        <w:rPr>
          <w:rFonts w:hint="eastAsia" w:ascii="宋体" w:hAnsi="宋体" w:cs="宋体"/>
          <w:sz w:val="24"/>
          <w:lang w:eastAsia="zh-CN"/>
        </w:rPr>
        <w:t>上传</w:t>
      </w:r>
      <w:r>
        <w:rPr>
          <w:rFonts w:hint="eastAsia" w:ascii="宋体" w:hAnsi="宋体" w:cs="宋体"/>
          <w:sz w:val="24"/>
        </w:rPr>
        <w:t>政采云不见面开评标系统，在此之后投标文件，为无效投标，投标文件将一律被拒绝。</w:t>
      </w:r>
    </w:p>
    <w:p>
      <w:pPr>
        <w:spacing w:line="440" w:lineRule="exact"/>
        <w:ind w:firstLine="480" w:firstLineChars="200"/>
        <w:rPr>
          <w:rFonts w:ascii="宋体" w:hAnsi="宋体" w:cs="宋体"/>
          <w:sz w:val="24"/>
        </w:rPr>
      </w:pPr>
      <w:r>
        <w:rPr>
          <w:rFonts w:hint="eastAsia" w:ascii="宋体" w:hAnsi="宋体" w:cs="宋体"/>
          <w:sz w:val="24"/>
        </w:rPr>
        <w:t>11.5 出现因招标文件的修改而推迟投标截止时间的情况时，投标人则须按采购方的书面修改通知重新规定的投标时间递交。</w:t>
      </w:r>
    </w:p>
    <w:p>
      <w:pPr>
        <w:spacing w:line="440" w:lineRule="exact"/>
        <w:ind w:firstLine="480" w:firstLineChars="200"/>
        <w:rPr>
          <w:rFonts w:ascii="宋体" w:hAnsi="宋体" w:cs="宋体"/>
          <w:b/>
          <w:sz w:val="24"/>
        </w:rPr>
      </w:pPr>
      <w:r>
        <w:rPr>
          <w:rFonts w:hint="eastAsia" w:ascii="宋体" w:hAnsi="宋体" w:cs="宋体"/>
          <w:b/>
          <w:sz w:val="24"/>
        </w:rPr>
        <w:t>12、投标保证金</w:t>
      </w:r>
    </w:p>
    <w:p>
      <w:pPr>
        <w:spacing w:line="440" w:lineRule="exact"/>
        <w:ind w:firstLine="480" w:firstLineChars="200"/>
        <w:rPr>
          <w:rFonts w:ascii="宋体" w:hAnsi="宋体" w:cs="宋体"/>
          <w:sz w:val="24"/>
        </w:rPr>
      </w:pPr>
      <w:r>
        <w:rPr>
          <w:rFonts w:hint="eastAsia" w:ascii="宋体" w:hAnsi="宋体" w:cs="宋体"/>
          <w:sz w:val="24"/>
        </w:rPr>
        <w:t>12.1 投标保证金是为了保护采购方免遭因投标人的行为而蒙受损失。采购方在因投标人的行为受到损害时可根据本须知的规定没收投标人的投标保证金。</w:t>
      </w:r>
    </w:p>
    <w:p>
      <w:pPr>
        <w:spacing w:line="440" w:lineRule="exact"/>
        <w:ind w:firstLine="480" w:firstLineChars="200"/>
        <w:rPr>
          <w:rFonts w:ascii="宋体" w:hAnsi="宋体" w:cs="宋体"/>
          <w:sz w:val="24"/>
        </w:rPr>
      </w:pPr>
      <w:r>
        <w:rPr>
          <w:rFonts w:hint="eastAsia" w:ascii="宋体" w:hAnsi="宋体" w:cs="宋体"/>
          <w:sz w:val="24"/>
        </w:rPr>
        <w:t>12.2 投标保证金的货币为人民币，并采用电汇，支票等形式交纳，如电汇产生的一切费用由投标人自行承担。</w:t>
      </w:r>
    </w:p>
    <w:p>
      <w:pPr>
        <w:spacing w:line="440" w:lineRule="exact"/>
        <w:ind w:firstLine="480" w:firstLineChars="200"/>
        <w:rPr>
          <w:rFonts w:ascii="宋体" w:hAnsi="宋体" w:cs="宋体"/>
          <w:sz w:val="24"/>
        </w:rPr>
      </w:pPr>
      <w:r>
        <w:rPr>
          <w:rFonts w:hint="eastAsia" w:ascii="宋体" w:hAnsi="宋体" w:cs="宋体"/>
          <w:sz w:val="24"/>
        </w:rPr>
        <w:t xml:space="preserve">12.3 </w:t>
      </w:r>
      <w:r>
        <w:rPr>
          <w:rFonts w:hint="eastAsia" w:ascii="宋体" w:hAnsi="宋体" w:cs="宋体"/>
          <w:b/>
          <w:bCs/>
          <w:sz w:val="24"/>
        </w:rPr>
        <w:t>投标保证金金额：</w:t>
      </w:r>
      <w:r>
        <w:rPr>
          <w:rFonts w:hint="eastAsia" w:ascii="宋体" w:hAnsi="宋体" w:cs="宋体"/>
          <w:sz w:val="24"/>
          <w:u w:val="single"/>
        </w:rPr>
        <w:t>详见投标人须知前附表</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12.4 递交投标保证金截止时间：</w:t>
      </w:r>
      <w:r>
        <w:rPr>
          <w:rFonts w:hint="eastAsia" w:ascii="宋体" w:hAnsi="宋体" w:cs="宋体"/>
          <w:sz w:val="24"/>
          <w:u w:val="single"/>
        </w:rPr>
        <w:t>详见投标人须知前附表</w:t>
      </w:r>
      <w:r>
        <w:rPr>
          <w:rFonts w:hint="eastAsia" w:ascii="宋体" w:hAnsi="宋体" w:cs="宋体"/>
          <w:color w:val="000000" w:themeColor="text1"/>
          <w:sz w:val="24"/>
          <w14:textFill>
            <w14:solidFill>
              <w14:schemeClr w14:val="tx1"/>
            </w14:solidFill>
          </w14:textFill>
        </w:rPr>
        <w:t>，凡未提交投标保证金的投标，将视为自动放弃投标，投标将被拒绝。</w:t>
      </w:r>
    </w:p>
    <w:p>
      <w:pPr>
        <w:spacing w:line="440" w:lineRule="exact"/>
        <w:ind w:firstLine="480" w:firstLineChars="200"/>
        <w:rPr>
          <w:rFonts w:ascii="宋体" w:hAnsi="宋体" w:cs="宋体"/>
          <w:sz w:val="24"/>
        </w:rPr>
      </w:pPr>
      <w:r>
        <w:rPr>
          <w:rFonts w:hint="eastAsia" w:ascii="宋体" w:hAnsi="宋体" w:cs="宋体"/>
          <w:sz w:val="24"/>
        </w:rPr>
        <w:t>12.5 资格审查时没有提供投标保证金递交证明的投标，将被视为非响应性投标予以拒绝。</w:t>
      </w:r>
    </w:p>
    <w:p>
      <w:pPr>
        <w:spacing w:line="440" w:lineRule="exact"/>
        <w:ind w:firstLine="480" w:firstLineChars="200"/>
        <w:rPr>
          <w:rFonts w:ascii="宋体" w:hAnsi="宋体" w:cs="宋体"/>
          <w:sz w:val="24"/>
        </w:rPr>
      </w:pPr>
      <w:r>
        <w:rPr>
          <w:rFonts w:hint="eastAsia" w:ascii="宋体" w:hAnsi="宋体" w:cs="宋体"/>
          <w:sz w:val="24"/>
        </w:rPr>
        <w:t>12.6 中标人的投标保证金在合同签订后7个工作日内退还。</w:t>
      </w:r>
    </w:p>
    <w:p>
      <w:pPr>
        <w:spacing w:line="440" w:lineRule="exact"/>
        <w:ind w:firstLine="480" w:firstLineChars="200"/>
        <w:rPr>
          <w:rFonts w:ascii="宋体" w:hAnsi="宋体" w:cs="宋体"/>
          <w:sz w:val="24"/>
        </w:rPr>
      </w:pPr>
      <w:r>
        <w:rPr>
          <w:rFonts w:hint="eastAsia" w:ascii="宋体" w:hAnsi="宋体" w:cs="宋体"/>
          <w:sz w:val="24"/>
        </w:rPr>
        <w:t>12.7 下列任何情况发生时，投标保证金将不予退还。</w:t>
      </w:r>
    </w:p>
    <w:p>
      <w:pPr>
        <w:spacing w:line="440" w:lineRule="exact"/>
        <w:ind w:firstLine="480" w:firstLineChars="200"/>
        <w:rPr>
          <w:rFonts w:ascii="宋体" w:hAnsi="宋体" w:cs="宋体"/>
          <w:sz w:val="24"/>
        </w:rPr>
      </w:pPr>
      <w:r>
        <w:rPr>
          <w:rFonts w:hint="eastAsia" w:ascii="宋体" w:hAnsi="宋体" w:cs="宋体"/>
          <w:sz w:val="24"/>
        </w:rPr>
        <w:t>(1)  投标人在提交投标文件截止时间后撤回投标文件的；</w:t>
      </w:r>
    </w:p>
    <w:p>
      <w:pPr>
        <w:spacing w:line="440" w:lineRule="exact"/>
        <w:ind w:firstLine="480" w:firstLineChars="200"/>
        <w:rPr>
          <w:rFonts w:ascii="宋体" w:hAnsi="宋体" w:cs="宋体"/>
          <w:sz w:val="24"/>
        </w:rPr>
      </w:pPr>
      <w:r>
        <w:rPr>
          <w:rFonts w:hint="eastAsia" w:ascii="宋体" w:hAnsi="宋体" w:cs="宋体"/>
          <w:sz w:val="24"/>
        </w:rPr>
        <w:t>(2)  投标人在投标文件中提供虚假材料的；</w:t>
      </w:r>
    </w:p>
    <w:p>
      <w:pPr>
        <w:spacing w:line="440" w:lineRule="exact"/>
        <w:ind w:firstLine="480" w:firstLineChars="200"/>
        <w:rPr>
          <w:rFonts w:ascii="宋体" w:hAnsi="宋体" w:cs="宋体"/>
          <w:sz w:val="24"/>
        </w:rPr>
      </w:pPr>
      <w:r>
        <w:rPr>
          <w:rFonts w:hint="eastAsia" w:ascii="宋体" w:hAnsi="宋体" w:cs="宋体"/>
          <w:sz w:val="24"/>
        </w:rPr>
        <w:t>(3)  除因不可抗力或招标文件认可的情形外中标投标人不与采购人签订合同的；</w:t>
      </w:r>
    </w:p>
    <w:p>
      <w:pPr>
        <w:spacing w:line="440" w:lineRule="exact"/>
        <w:ind w:firstLine="480" w:firstLineChars="200"/>
        <w:rPr>
          <w:rFonts w:ascii="宋体" w:hAnsi="宋体" w:cs="宋体"/>
          <w:sz w:val="24"/>
        </w:rPr>
      </w:pPr>
      <w:r>
        <w:rPr>
          <w:rFonts w:hint="eastAsia" w:ascii="宋体" w:hAnsi="宋体" w:cs="宋体"/>
          <w:sz w:val="24"/>
        </w:rPr>
        <w:t>(4)  投标人与采购人、其他投标人或者采购代理机构恶意串通的；</w:t>
      </w:r>
    </w:p>
    <w:p>
      <w:pPr>
        <w:spacing w:line="440" w:lineRule="exact"/>
        <w:ind w:firstLine="480" w:firstLineChars="200"/>
        <w:rPr>
          <w:rFonts w:ascii="宋体" w:hAnsi="宋体" w:cs="宋体"/>
          <w:sz w:val="24"/>
        </w:rPr>
      </w:pPr>
      <w:r>
        <w:rPr>
          <w:rFonts w:hint="eastAsia" w:ascii="宋体" w:hAnsi="宋体" w:cs="宋体"/>
          <w:sz w:val="24"/>
        </w:rPr>
        <w:t>(5)  本招标文件中或《政府采购货物和服务招标投标管理办法》第七十五条规定的其他不予退还投标保证金的情形。</w:t>
      </w:r>
    </w:p>
    <w:p>
      <w:pPr>
        <w:spacing w:line="440" w:lineRule="exact"/>
        <w:ind w:firstLine="480" w:firstLineChars="200"/>
        <w:rPr>
          <w:rFonts w:ascii="宋体" w:hAnsi="宋体" w:cs="宋体"/>
          <w:sz w:val="24"/>
        </w:rPr>
      </w:pPr>
      <w:r>
        <w:rPr>
          <w:rFonts w:hint="eastAsia" w:ascii="宋体" w:hAnsi="宋体" w:cs="宋体"/>
          <w:sz w:val="24"/>
        </w:rPr>
        <w:t>上述不予退还投标保证金的情况并给代理机构造成损失的，还要承担赔偿责任。</w:t>
      </w:r>
    </w:p>
    <w:p>
      <w:pPr>
        <w:pStyle w:val="5"/>
        <w:spacing w:before="0" w:after="0" w:line="440" w:lineRule="exact"/>
        <w:jc w:val="center"/>
        <w:rPr>
          <w:rFonts w:ascii="宋体" w:hAnsi="宋体" w:cs="宋体"/>
          <w:sz w:val="28"/>
          <w:szCs w:val="28"/>
        </w:rPr>
      </w:pPr>
      <w:bookmarkStart w:id="17" w:name="_Toc10048"/>
      <w:r>
        <w:rPr>
          <w:rFonts w:hint="eastAsia" w:ascii="宋体" w:hAnsi="宋体" w:cs="宋体"/>
          <w:sz w:val="28"/>
          <w:szCs w:val="28"/>
        </w:rPr>
        <w:t>第四章  开标</w:t>
      </w:r>
      <w:r>
        <w:rPr>
          <w:rFonts w:hint="eastAsia" w:ascii="宋体" w:hAnsi="宋体" w:cs="宋体"/>
          <w:sz w:val="28"/>
          <w:szCs w:val="28"/>
          <w:lang w:eastAsia="zh-CN"/>
        </w:rPr>
        <w:t>（</w:t>
      </w:r>
      <w:r>
        <w:rPr>
          <w:rFonts w:hint="eastAsia" w:ascii="宋体" w:hAnsi="宋体" w:cs="宋体"/>
          <w:sz w:val="28"/>
          <w:szCs w:val="28"/>
        </w:rPr>
        <w:t>政采云不见面开标</w:t>
      </w:r>
      <w:r>
        <w:rPr>
          <w:rFonts w:hint="eastAsia" w:ascii="宋体" w:hAnsi="宋体" w:cs="宋体"/>
          <w:sz w:val="28"/>
          <w:szCs w:val="28"/>
          <w:lang w:eastAsia="zh-CN"/>
        </w:rPr>
        <w:t>）</w:t>
      </w:r>
      <w:bookmarkEnd w:id="17"/>
    </w:p>
    <w:p>
      <w:pPr>
        <w:spacing w:line="440" w:lineRule="exact"/>
        <w:ind w:firstLine="480" w:firstLineChars="200"/>
        <w:jc w:val="left"/>
        <w:rPr>
          <w:rFonts w:ascii="宋体" w:hAnsi="宋体" w:cs="宋体"/>
          <w:b/>
          <w:sz w:val="24"/>
          <w:lang w:bidi="en-US"/>
        </w:rPr>
      </w:pPr>
      <w:r>
        <w:rPr>
          <w:rFonts w:hint="eastAsia" w:ascii="宋体" w:hAnsi="宋体" w:cs="宋体"/>
          <w:b/>
          <w:sz w:val="24"/>
          <w:lang w:bidi="en-US"/>
        </w:rPr>
        <w:t>13、开标</w:t>
      </w:r>
    </w:p>
    <w:p>
      <w:pPr>
        <w:spacing w:line="440" w:lineRule="exact"/>
        <w:ind w:firstLine="480" w:firstLineChars="200"/>
        <w:jc w:val="left"/>
        <w:rPr>
          <w:rFonts w:ascii="宋体" w:hAnsi="宋体" w:cs="宋体"/>
          <w:sz w:val="24"/>
          <w:lang w:bidi="zh-CN"/>
        </w:rPr>
      </w:pPr>
      <w:r>
        <w:rPr>
          <w:rFonts w:hint="eastAsia" w:ascii="宋体" w:hAnsi="宋体" w:cs="宋体"/>
          <w:sz w:val="24"/>
          <w:lang w:bidi="en-US"/>
        </w:rPr>
        <w:t>13.1</w:t>
      </w:r>
      <w:r>
        <w:rPr>
          <w:rFonts w:hint="eastAsia" w:ascii="宋体" w:hAnsi="宋体" w:cs="宋体"/>
          <w:sz w:val="24"/>
          <w:lang w:bidi="zh-CN"/>
        </w:rPr>
        <w:t>本项目采用不见面开标，供应商须在投标截止时间前通过CA在政采云平台上传加密的电子</w:t>
      </w:r>
      <w:r>
        <w:rPr>
          <w:rFonts w:hint="eastAsia" w:ascii="宋体" w:hAnsi="宋体" w:cs="宋体"/>
          <w:sz w:val="24"/>
          <w:lang w:eastAsia="zh-CN" w:bidi="zh-CN"/>
        </w:rPr>
        <w:t>投标文件</w:t>
      </w:r>
      <w:r>
        <w:rPr>
          <w:rFonts w:hint="eastAsia" w:ascii="宋体" w:hAnsi="宋体" w:cs="宋体"/>
          <w:sz w:val="24"/>
          <w:lang w:bidi="zh-CN"/>
        </w:rPr>
        <w:t>。供应商在开标前须提前配置好电脑浏览器（建议使用360浏览器或谷歌浏览器），开标时请使用制作加密电子</w:t>
      </w:r>
      <w:r>
        <w:rPr>
          <w:rFonts w:hint="eastAsia" w:ascii="宋体" w:hAnsi="宋体" w:cs="宋体"/>
          <w:sz w:val="24"/>
          <w:lang w:eastAsia="zh-CN" w:bidi="zh-CN"/>
        </w:rPr>
        <w:t>投标文件</w:t>
      </w:r>
      <w:r>
        <w:rPr>
          <w:rFonts w:hint="eastAsia" w:ascii="宋体" w:hAnsi="宋体" w:cs="宋体"/>
          <w:sz w:val="24"/>
          <w:lang w:bidi="zh-CN"/>
        </w:rPr>
        <w:t>的CA锁进行解密及报价确认。本项目</w:t>
      </w:r>
      <w:r>
        <w:rPr>
          <w:rFonts w:hint="eastAsia" w:ascii="宋体" w:hAnsi="宋体" w:cs="宋体"/>
          <w:sz w:val="24"/>
          <w:lang w:eastAsia="zh-CN" w:bidi="zh-CN"/>
        </w:rPr>
        <w:t>投标文件</w:t>
      </w:r>
      <w:r>
        <w:rPr>
          <w:rFonts w:hint="eastAsia" w:ascii="宋体" w:hAnsi="宋体" w:cs="宋体"/>
          <w:sz w:val="24"/>
          <w:lang w:bidi="zh-CN"/>
        </w:rPr>
        <w:t>解密时间定为30分钟，如因自身原因导致无法正常解密，后果由供应商自行承担。投标人少于3家的不得开标，招标人应当重新招标。</w:t>
      </w:r>
    </w:p>
    <w:p>
      <w:pPr>
        <w:spacing w:line="440" w:lineRule="exact"/>
        <w:ind w:firstLine="480" w:firstLineChars="200"/>
        <w:jc w:val="left"/>
        <w:rPr>
          <w:rFonts w:ascii="宋体" w:hAnsi="宋体" w:cs="宋体"/>
          <w:sz w:val="24"/>
          <w:lang w:bidi="zh-CN"/>
        </w:rPr>
      </w:pPr>
      <w:r>
        <w:rPr>
          <w:rFonts w:hint="eastAsia" w:ascii="宋体" w:hAnsi="宋体" w:cs="宋体"/>
          <w:sz w:val="24"/>
          <w:lang w:bidi="zh-CN"/>
        </w:rPr>
        <w:t>13.2开标会议由招标代理人组织并主持。开标会上将按照投标人递交文件的逆顺序公布投标人名称、投标担保、投标报价、服务期限和其他需宣布的内容等。</w:t>
      </w:r>
    </w:p>
    <w:p>
      <w:pPr>
        <w:spacing w:line="440" w:lineRule="exact"/>
        <w:ind w:firstLine="480" w:firstLineChars="200"/>
        <w:jc w:val="left"/>
        <w:rPr>
          <w:rFonts w:ascii="宋体" w:hAnsi="宋体" w:cs="宋体"/>
          <w:sz w:val="24"/>
          <w:lang w:bidi="zh-CN"/>
        </w:rPr>
      </w:pPr>
      <w:r>
        <w:rPr>
          <w:rFonts w:hint="eastAsia" w:ascii="宋体" w:hAnsi="宋体" w:cs="宋体"/>
          <w:sz w:val="24"/>
          <w:lang w:bidi="zh-CN"/>
        </w:rPr>
        <w:t>13.3不同投标人的投标文件异常一致或者投标报价呈规律性差异的，视为投标人相互串通投标，评标委员会应当否决其投标，招投标监督管理机构依法追究投标人及相关人员责任。</w:t>
      </w:r>
    </w:p>
    <w:p>
      <w:pPr>
        <w:spacing w:line="440" w:lineRule="exact"/>
        <w:ind w:firstLine="480" w:firstLineChars="200"/>
        <w:jc w:val="left"/>
        <w:rPr>
          <w:rFonts w:ascii="宋体" w:hAnsi="宋体" w:cs="宋体"/>
          <w:sz w:val="24"/>
          <w:lang w:bidi="zh-CN"/>
        </w:rPr>
      </w:pPr>
      <w:r>
        <w:rPr>
          <w:rFonts w:hint="eastAsia" w:ascii="宋体" w:hAnsi="宋体" w:cs="宋体"/>
          <w:sz w:val="24"/>
          <w:lang w:bidi="zh-CN"/>
        </w:rPr>
        <w:t>13.4招标代理人负责开标会议记录并归档。若招标代理人宣读的内容与投标文件不符时，投标人有权在开标现场提出异议，招标人应当当场做出答复，并进行记录。经招标监督部门当场核查确认后，招标代理人应重新宣读其投标文件。投标人的法定代表人或其授权代表人应在开标记录上签名确认。</w:t>
      </w:r>
    </w:p>
    <w:p>
      <w:pPr>
        <w:spacing w:line="440" w:lineRule="exact"/>
        <w:ind w:firstLine="360" w:firstLineChars="150"/>
        <w:jc w:val="left"/>
        <w:rPr>
          <w:rFonts w:ascii="宋体" w:hAnsi="宋体" w:cs="宋体"/>
          <w:b/>
          <w:sz w:val="24"/>
          <w:lang w:bidi="en-US"/>
        </w:rPr>
      </w:pPr>
      <w:r>
        <w:rPr>
          <w:rFonts w:hint="eastAsia" w:ascii="宋体" w:hAnsi="宋体" w:cs="宋体"/>
          <w:b/>
          <w:sz w:val="24"/>
          <w:lang w:bidi="en-US"/>
        </w:rPr>
        <w:t>14、招标会议程序</w:t>
      </w:r>
    </w:p>
    <w:p>
      <w:pPr>
        <w:spacing w:line="440" w:lineRule="exact"/>
        <w:ind w:firstLine="360" w:firstLineChars="150"/>
        <w:rPr>
          <w:rFonts w:ascii="宋体" w:hAnsi="宋体" w:cs="宋体"/>
          <w:sz w:val="24"/>
          <w:lang w:bidi="en-US"/>
        </w:rPr>
      </w:pPr>
      <w:r>
        <w:rPr>
          <w:rFonts w:hint="eastAsia" w:ascii="宋体" w:hAnsi="宋体" w:cs="宋体"/>
          <w:sz w:val="24"/>
          <w:lang w:bidi="en-US"/>
        </w:rPr>
        <w:t>14.1 开标一般按照以下程序进行：</w:t>
      </w:r>
    </w:p>
    <w:p>
      <w:pPr>
        <w:spacing w:line="440" w:lineRule="exact"/>
        <w:ind w:firstLine="360" w:firstLineChars="150"/>
        <w:rPr>
          <w:rFonts w:ascii="宋体" w:hAnsi="宋体" w:cs="宋体"/>
          <w:sz w:val="24"/>
          <w:lang w:bidi="en-US"/>
        </w:rPr>
      </w:pPr>
      <w:r>
        <w:rPr>
          <w:rFonts w:hint="eastAsia" w:ascii="宋体" w:hAnsi="宋体" w:cs="宋体"/>
          <w:sz w:val="24"/>
          <w:lang w:bidi="en-US"/>
        </w:rPr>
        <w:t>1、在招标文件确定的投标截止时间停止接受投标文件。记录人将“</w:t>
      </w:r>
      <w:r>
        <w:rPr>
          <w:rFonts w:hint="eastAsia" w:ascii="宋体" w:hAnsi="宋体" w:cs="宋体"/>
          <w:sz w:val="24"/>
          <w:lang w:val="en-US" w:eastAsia="zh-CN" w:bidi="en-US"/>
        </w:rPr>
        <w:t>开标</w:t>
      </w:r>
      <w:r>
        <w:rPr>
          <w:rFonts w:hint="eastAsia" w:ascii="宋体" w:hAnsi="宋体" w:cs="宋体"/>
          <w:sz w:val="24"/>
          <w:lang w:bidi="en-US"/>
        </w:rPr>
        <w:t>记录表”提交开标会主持人，确认投标人数量是否符合开标要求；</w:t>
      </w:r>
    </w:p>
    <w:p>
      <w:pPr>
        <w:spacing w:line="440" w:lineRule="exact"/>
        <w:ind w:firstLine="360" w:firstLineChars="150"/>
        <w:rPr>
          <w:rFonts w:ascii="宋体" w:hAnsi="宋体" w:cs="宋体"/>
          <w:sz w:val="24"/>
          <w:lang w:bidi="en-US"/>
        </w:rPr>
      </w:pPr>
      <w:r>
        <w:rPr>
          <w:rFonts w:hint="eastAsia" w:ascii="宋体" w:hAnsi="宋体" w:cs="宋体"/>
          <w:sz w:val="24"/>
          <w:lang w:bidi="en-US"/>
        </w:rPr>
        <w:t>2、主持人宣布开标会开始，宣布开标纪律；</w:t>
      </w:r>
    </w:p>
    <w:p>
      <w:pPr>
        <w:spacing w:line="440" w:lineRule="exact"/>
        <w:ind w:firstLine="360" w:firstLineChars="150"/>
        <w:rPr>
          <w:rFonts w:ascii="宋体" w:hAnsi="宋体" w:cs="宋体"/>
          <w:sz w:val="24"/>
          <w:lang w:bidi="en-US"/>
        </w:rPr>
      </w:pPr>
      <w:r>
        <w:rPr>
          <w:rFonts w:hint="eastAsia" w:ascii="宋体" w:hAnsi="宋体" w:cs="宋体"/>
          <w:sz w:val="24"/>
          <w:lang w:bidi="en-US"/>
        </w:rPr>
        <w:t>3、公布在投标截止时间递交投标文件的投标人名称；</w:t>
      </w:r>
    </w:p>
    <w:p>
      <w:pPr>
        <w:spacing w:line="440" w:lineRule="exact"/>
        <w:ind w:firstLine="360" w:firstLineChars="150"/>
        <w:rPr>
          <w:rFonts w:ascii="宋体" w:hAnsi="宋体" w:cs="宋体"/>
          <w:sz w:val="24"/>
          <w:lang w:bidi="en-US"/>
        </w:rPr>
      </w:pPr>
      <w:r>
        <w:rPr>
          <w:rFonts w:hint="eastAsia" w:ascii="宋体" w:hAnsi="宋体" w:cs="宋体"/>
          <w:sz w:val="24"/>
          <w:lang w:bidi="en-US"/>
        </w:rPr>
        <w:t>4、宣布主持人、开标人、唱标人、记录人、监督人、公证机构等工作人员姓名；</w:t>
      </w:r>
    </w:p>
    <w:p>
      <w:pPr>
        <w:spacing w:line="440" w:lineRule="exact"/>
        <w:ind w:firstLine="360" w:firstLineChars="150"/>
        <w:rPr>
          <w:rFonts w:hint="eastAsia" w:ascii="宋体" w:hAnsi="宋体" w:eastAsia="宋体" w:cs="宋体"/>
          <w:sz w:val="24"/>
          <w:lang w:eastAsia="zh-CN" w:bidi="en-US"/>
        </w:rPr>
      </w:pPr>
      <w:r>
        <w:rPr>
          <w:rFonts w:hint="eastAsia" w:ascii="宋体" w:hAnsi="宋体" w:cs="宋体"/>
          <w:sz w:val="24"/>
          <w:lang w:bidi="en-US"/>
        </w:rPr>
        <w:t>5、</w:t>
      </w:r>
      <w:r>
        <w:rPr>
          <w:rFonts w:hint="eastAsia" w:ascii="宋体" w:hAnsi="宋体" w:cs="宋体"/>
          <w:sz w:val="24"/>
          <w:lang w:eastAsia="zh-CN" w:bidi="en-US"/>
        </w:rPr>
        <w:t>投标人解密投标文件并在系统中签章确认：</w:t>
      </w:r>
    </w:p>
    <w:p>
      <w:pPr>
        <w:spacing w:line="440" w:lineRule="exact"/>
        <w:ind w:firstLine="360" w:firstLineChars="150"/>
        <w:rPr>
          <w:rFonts w:ascii="宋体" w:hAnsi="宋体" w:cs="宋体"/>
          <w:sz w:val="24"/>
          <w:lang w:bidi="en-US"/>
        </w:rPr>
      </w:pPr>
      <w:r>
        <w:rPr>
          <w:rFonts w:hint="eastAsia" w:ascii="宋体" w:hAnsi="宋体" w:cs="宋体"/>
          <w:sz w:val="24"/>
          <w:lang w:bidi="en-US"/>
        </w:rPr>
        <w:t>6、唱标人公布投标人名称、投标报价及其他内容；</w:t>
      </w:r>
    </w:p>
    <w:p>
      <w:pPr>
        <w:spacing w:line="440" w:lineRule="exact"/>
        <w:ind w:firstLine="360" w:firstLineChars="150"/>
        <w:rPr>
          <w:rFonts w:ascii="宋体" w:hAnsi="宋体" w:cs="宋体"/>
          <w:sz w:val="24"/>
          <w:lang w:bidi="en-US"/>
        </w:rPr>
      </w:pPr>
      <w:r>
        <w:rPr>
          <w:rFonts w:hint="eastAsia" w:ascii="宋体" w:hAnsi="宋体" w:cs="宋体"/>
          <w:sz w:val="24"/>
          <w:lang w:val="en-US" w:eastAsia="zh-CN" w:bidi="en-US"/>
        </w:rPr>
        <w:t>7</w:t>
      </w:r>
      <w:r>
        <w:rPr>
          <w:rFonts w:hint="eastAsia" w:ascii="宋体" w:hAnsi="宋体" w:cs="宋体"/>
          <w:sz w:val="24"/>
          <w:lang w:bidi="en-US"/>
        </w:rPr>
        <w:t>、开标结束，进行评标。招标人或者招标代理机构应当对上述开标过程做好记录，存档备查。</w:t>
      </w:r>
    </w:p>
    <w:p>
      <w:pPr>
        <w:spacing w:line="440" w:lineRule="exact"/>
        <w:ind w:firstLine="360" w:firstLineChars="150"/>
        <w:rPr>
          <w:rFonts w:ascii="宋体" w:hAnsi="宋体" w:cs="宋体"/>
          <w:sz w:val="24"/>
          <w:lang w:bidi="en-US"/>
        </w:rPr>
      </w:pPr>
      <w:r>
        <w:rPr>
          <w:rFonts w:hint="eastAsia" w:ascii="宋体" w:hAnsi="宋体" w:cs="宋体"/>
          <w:sz w:val="24"/>
          <w:lang w:bidi="en-US"/>
        </w:rPr>
        <w:t>14.2 有下列情形之一的，监督人应当场宣布投标无效：</w:t>
      </w:r>
    </w:p>
    <w:p>
      <w:pPr>
        <w:spacing w:line="440" w:lineRule="exact"/>
        <w:ind w:firstLine="360" w:firstLineChars="150"/>
        <w:rPr>
          <w:rFonts w:ascii="宋体" w:hAnsi="宋体" w:cs="宋体"/>
          <w:sz w:val="24"/>
          <w:lang w:bidi="en-US"/>
        </w:rPr>
      </w:pPr>
      <w:r>
        <w:rPr>
          <w:rFonts w:hint="eastAsia" w:ascii="宋体" w:hAnsi="宋体" w:cs="宋体"/>
          <w:sz w:val="24"/>
          <w:lang w:bidi="en-US"/>
        </w:rPr>
        <w:t>1、未按照招标文件要求密封的；</w:t>
      </w:r>
    </w:p>
    <w:p>
      <w:pPr>
        <w:spacing w:line="440" w:lineRule="exact"/>
        <w:ind w:firstLine="360" w:firstLineChars="150"/>
        <w:rPr>
          <w:rFonts w:ascii="宋体" w:hAnsi="宋体" w:cs="宋体"/>
          <w:sz w:val="24"/>
          <w:lang w:bidi="en-US"/>
        </w:rPr>
      </w:pPr>
      <w:r>
        <w:rPr>
          <w:rFonts w:hint="eastAsia" w:ascii="宋体" w:hAnsi="宋体" w:cs="宋体"/>
          <w:sz w:val="24"/>
          <w:lang w:bidi="en-US"/>
        </w:rPr>
        <w:t>2、投标人资质审查未通过的；</w:t>
      </w:r>
    </w:p>
    <w:p>
      <w:pPr>
        <w:spacing w:line="440" w:lineRule="exact"/>
        <w:ind w:firstLine="360" w:firstLineChars="150"/>
        <w:rPr>
          <w:rFonts w:ascii="宋体" w:hAnsi="宋体" w:cs="宋体"/>
          <w:sz w:val="24"/>
          <w:lang w:bidi="en-US"/>
        </w:rPr>
      </w:pPr>
      <w:r>
        <w:rPr>
          <w:rFonts w:hint="eastAsia" w:ascii="宋体" w:hAnsi="宋体" w:cs="宋体"/>
          <w:sz w:val="24"/>
          <w:lang w:bidi="en-US"/>
        </w:rPr>
        <w:t>3、投标保证金提交不符合规定的；</w:t>
      </w:r>
    </w:p>
    <w:p>
      <w:pPr>
        <w:spacing w:line="440" w:lineRule="exact"/>
        <w:ind w:firstLine="360" w:firstLineChars="150"/>
        <w:rPr>
          <w:rFonts w:ascii="宋体" w:hAnsi="宋体" w:cs="宋体"/>
          <w:sz w:val="24"/>
          <w:lang w:bidi="en-US"/>
        </w:rPr>
      </w:pPr>
      <w:r>
        <w:rPr>
          <w:rFonts w:hint="eastAsia" w:ascii="宋体" w:hAnsi="宋体" w:cs="宋体"/>
          <w:sz w:val="24"/>
          <w:lang w:bidi="en-US"/>
        </w:rPr>
        <w:t>4、投标总报价高于招标控制价（即最高投标限价）的。</w:t>
      </w:r>
    </w:p>
    <w:p>
      <w:pPr>
        <w:spacing w:line="440" w:lineRule="exact"/>
        <w:ind w:firstLine="360" w:firstLineChars="150"/>
        <w:rPr>
          <w:rFonts w:ascii="宋体" w:hAnsi="宋体" w:cs="宋体"/>
          <w:sz w:val="24"/>
          <w:lang w:bidi="zh-CN"/>
        </w:rPr>
      </w:pPr>
      <w:r>
        <w:rPr>
          <w:rFonts w:hint="eastAsia" w:ascii="宋体" w:hAnsi="宋体" w:cs="宋体"/>
          <w:sz w:val="24"/>
          <w:lang w:bidi="en-US"/>
        </w:rPr>
        <w:t xml:space="preserve">14.3 </w:t>
      </w:r>
      <w:r>
        <w:rPr>
          <w:rFonts w:hint="eastAsia" w:ascii="宋体" w:hAnsi="宋体" w:cs="宋体"/>
          <w:sz w:val="24"/>
          <w:lang w:bidi="zh-CN"/>
        </w:rPr>
        <w:t>在评审过程中，评审小组可以根据招标文件和招标情况变动采购需求中的技术、服务要求以及合同草案条款，但不得变动招标文件中的实质性内容。对招标文件作出的变动是招标文件的有效组成部分，评审小组应当及时以书面形式同时通知所有参加投标的投标人。投标人应当按照招标文件的变动情况和评审小组的要求重新提交投标文件，并由其法定代表人或授权代表签字或者加盖公章。由授权代表签字的，应当附法定代表人授权书。投标人为自然人的，应当由本人签字并附身份证明。</w:t>
      </w:r>
    </w:p>
    <w:p>
      <w:pPr>
        <w:pStyle w:val="52"/>
        <w:ind w:firstLine="560"/>
      </w:pPr>
    </w:p>
    <w:p>
      <w:pPr>
        <w:pStyle w:val="5"/>
        <w:spacing w:before="0" w:after="0" w:line="440" w:lineRule="exact"/>
        <w:jc w:val="center"/>
        <w:rPr>
          <w:rFonts w:ascii="宋体" w:hAnsi="宋体" w:cs="宋体"/>
          <w:sz w:val="28"/>
          <w:szCs w:val="28"/>
        </w:rPr>
      </w:pPr>
      <w:bookmarkStart w:id="18" w:name="_Toc23811"/>
      <w:r>
        <w:rPr>
          <w:rFonts w:hint="eastAsia" w:ascii="宋体" w:hAnsi="宋体" w:cs="宋体"/>
          <w:sz w:val="28"/>
          <w:szCs w:val="28"/>
        </w:rPr>
        <w:t>第五章  定标</w:t>
      </w:r>
      <w:bookmarkEnd w:id="18"/>
    </w:p>
    <w:p>
      <w:pPr>
        <w:spacing w:line="440" w:lineRule="exact"/>
        <w:ind w:firstLine="470" w:firstLineChars="196"/>
        <w:rPr>
          <w:rFonts w:ascii="宋体" w:hAnsi="宋体" w:cs="宋体"/>
          <w:b/>
          <w:sz w:val="24"/>
        </w:rPr>
      </w:pPr>
      <w:r>
        <w:rPr>
          <w:rFonts w:hint="eastAsia" w:ascii="宋体" w:hAnsi="宋体" w:cs="宋体"/>
          <w:b/>
          <w:sz w:val="24"/>
        </w:rPr>
        <w:t>15、定标标准</w:t>
      </w:r>
    </w:p>
    <w:p>
      <w:pPr>
        <w:spacing w:line="440" w:lineRule="exact"/>
        <w:ind w:firstLine="472" w:firstLineChars="200"/>
        <w:rPr>
          <w:rFonts w:ascii="宋体" w:hAnsi="宋体" w:cs="宋体"/>
          <w:spacing w:val="-2"/>
          <w:sz w:val="24"/>
        </w:rPr>
      </w:pPr>
      <w:r>
        <w:rPr>
          <w:rFonts w:hint="eastAsia" w:ascii="宋体" w:hAnsi="宋体" w:cs="宋体"/>
          <w:spacing w:val="-2"/>
          <w:sz w:val="24"/>
        </w:rPr>
        <w:t>15.1 由评审小组采用综合评分法对投标人的投标文件和报价进行综合评分。综合评分法，是指投标文件满足招标文件全部实质性要求且按评审因素的量化指标评审得分最高的投标人为中标候选投标人的评审方法。</w:t>
      </w:r>
    </w:p>
    <w:p>
      <w:pPr>
        <w:spacing w:line="440" w:lineRule="exact"/>
        <w:ind w:firstLine="472" w:firstLineChars="200"/>
        <w:rPr>
          <w:rFonts w:ascii="宋体" w:hAnsi="宋体" w:cs="宋体"/>
          <w:spacing w:val="-2"/>
          <w:sz w:val="24"/>
        </w:rPr>
      </w:pPr>
      <w:r>
        <w:rPr>
          <w:rFonts w:hint="eastAsia" w:ascii="宋体" w:hAnsi="宋体" w:cs="宋体"/>
          <w:spacing w:val="-2"/>
          <w:sz w:val="24"/>
        </w:rPr>
        <w:t>评审小组根据依据此原则按由高到低排序向采购人推荐3家投标中标候选人,或拒绝所有投标人，采购人根据专家推荐意见与建议，确定和公布最终中标投标人。</w:t>
      </w:r>
    </w:p>
    <w:p>
      <w:pPr>
        <w:spacing w:line="440" w:lineRule="exact"/>
        <w:ind w:firstLine="472" w:firstLineChars="200"/>
        <w:rPr>
          <w:rFonts w:ascii="宋体" w:hAnsi="宋体" w:cs="宋体"/>
          <w:spacing w:val="-2"/>
          <w:sz w:val="24"/>
        </w:rPr>
      </w:pPr>
      <w:r>
        <w:rPr>
          <w:rFonts w:hint="eastAsia" w:ascii="宋体" w:hAnsi="宋体" w:cs="宋体"/>
          <w:spacing w:val="-2"/>
          <w:sz w:val="24"/>
        </w:rPr>
        <w:t>15.2 原则上应将排名第一的投标人确定为中标投标人，若有以下情形之一者也可确定推荐排名第二的投标人为中标人：</w:t>
      </w:r>
    </w:p>
    <w:p>
      <w:pPr>
        <w:spacing w:line="440" w:lineRule="exact"/>
        <w:ind w:firstLine="472" w:firstLineChars="200"/>
        <w:rPr>
          <w:rFonts w:ascii="宋体" w:hAnsi="宋体" w:cs="宋体"/>
          <w:spacing w:val="-2"/>
          <w:sz w:val="24"/>
        </w:rPr>
      </w:pPr>
      <w:r>
        <w:rPr>
          <w:rFonts w:hint="eastAsia" w:ascii="宋体" w:hAnsi="宋体" w:cs="宋体"/>
          <w:spacing w:val="-2"/>
          <w:sz w:val="24"/>
        </w:rPr>
        <w:t>15.2.1 排名第一的中标候选人放弃中标；</w:t>
      </w:r>
    </w:p>
    <w:p>
      <w:pPr>
        <w:spacing w:line="440" w:lineRule="exact"/>
        <w:ind w:firstLine="472" w:firstLineChars="200"/>
        <w:rPr>
          <w:rFonts w:ascii="宋体" w:hAnsi="宋体" w:cs="宋体"/>
          <w:spacing w:val="-2"/>
          <w:sz w:val="24"/>
        </w:rPr>
      </w:pPr>
      <w:r>
        <w:rPr>
          <w:rFonts w:hint="eastAsia" w:ascii="宋体" w:hAnsi="宋体" w:cs="宋体"/>
          <w:spacing w:val="-2"/>
          <w:sz w:val="24"/>
        </w:rPr>
        <w:t>15.2.2 排名第一的中标候选人因不可抗力提出不能履行合同。</w:t>
      </w:r>
    </w:p>
    <w:p>
      <w:pPr>
        <w:spacing w:line="440" w:lineRule="exact"/>
        <w:ind w:firstLine="472" w:firstLineChars="200"/>
        <w:rPr>
          <w:rFonts w:ascii="宋体" w:hAnsi="宋体" w:cs="宋体"/>
          <w:spacing w:val="-2"/>
          <w:sz w:val="24"/>
        </w:rPr>
      </w:pPr>
      <w:r>
        <w:rPr>
          <w:rFonts w:hint="eastAsia" w:ascii="宋体" w:hAnsi="宋体" w:cs="宋体"/>
          <w:spacing w:val="-2"/>
          <w:sz w:val="24"/>
        </w:rPr>
        <w:t>15.2.3 在接到中标通知30日内第一中标排序人未能如期签订合同。如果第二中标排序人不能满足此条要求（满足其他中标条件），采购人选择与中标排名第三的中标候选人进行技术、商务评审。</w:t>
      </w:r>
    </w:p>
    <w:p>
      <w:pPr>
        <w:spacing w:line="440" w:lineRule="exact"/>
        <w:ind w:firstLine="472" w:firstLineChars="200"/>
        <w:rPr>
          <w:rFonts w:ascii="宋体" w:hAnsi="宋体" w:cs="宋体"/>
          <w:spacing w:val="-2"/>
          <w:sz w:val="24"/>
        </w:rPr>
      </w:pPr>
      <w:r>
        <w:rPr>
          <w:rFonts w:hint="eastAsia" w:ascii="宋体" w:hAnsi="宋体" w:cs="宋体"/>
          <w:spacing w:val="-2"/>
          <w:sz w:val="24"/>
        </w:rPr>
        <w:t>15.3 评审组无义务向投标人进行任何有关招标、评审的解释工作。</w:t>
      </w:r>
    </w:p>
    <w:p>
      <w:pPr>
        <w:spacing w:line="440" w:lineRule="exact"/>
        <w:ind w:firstLine="472" w:firstLineChars="200"/>
        <w:rPr>
          <w:rFonts w:ascii="宋体" w:hAnsi="宋体" w:cs="宋体"/>
          <w:spacing w:val="-2"/>
          <w:sz w:val="24"/>
        </w:rPr>
      </w:pPr>
      <w:r>
        <w:rPr>
          <w:rFonts w:hint="eastAsia" w:ascii="宋体" w:hAnsi="宋体" w:cs="宋体"/>
          <w:spacing w:val="-2"/>
          <w:sz w:val="24"/>
        </w:rPr>
        <w:t>15.4 在确定和公布最终中标人前，采购人认为必要时，可以对认为有必要了解或核实的问题进行考查、核实。</w:t>
      </w:r>
    </w:p>
    <w:p>
      <w:pPr>
        <w:spacing w:line="440" w:lineRule="exact"/>
        <w:ind w:firstLine="472" w:firstLineChars="200"/>
        <w:rPr>
          <w:rFonts w:ascii="宋体" w:hAnsi="宋体" w:cs="宋体"/>
          <w:spacing w:val="-2"/>
          <w:sz w:val="24"/>
        </w:rPr>
      </w:pPr>
      <w:r>
        <w:rPr>
          <w:rFonts w:hint="eastAsia" w:ascii="宋体" w:hAnsi="宋体" w:cs="宋体"/>
          <w:spacing w:val="-2"/>
          <w:sz w:val="24"/>
        </w:rPr>
        <w:t>15.5 如果确定该投标人无条件圆满履行合同，评审小组将对下一个可能中标的投标人资格做出类似的审查。</w:t>
      </w:r>
    </w:p>
    <w:p>
      <w:pPr>
        <w:spacing w:line="440" w:lineRule="exact"/>
        <w:ind w:firstLine="472" w:firstLineChars="200"/>
        <w:rPr>
          <w:rFonts w:ascii="宋体" w:hAnsi="宋体" w:cs="宋体"/>
          <w:b/>
          <w:spacing w:val="-2"/>
          <w:sz w:val="24"/>
        </w:rPr>
      </w:pPr>
      <w:r>
        <w:rPr>
          <w:rFonts w:hint="eastAsia" w:ascii="宋体" w:hAnsi="宋体" w:cs="宋体"/>
          <w:b/>
          <w:spacing w:val="-2"/>
          <w:sz w:val="24"/>
        </w:rPr>
        <w:t>16、结果公示</w:t>
      </w:r>
    </w:p>
    <w:p>
      <w:pPr>
        <w:spacing w:line="440" w:lineRule="exact"/>
        <w:ind w:firstLine="472" w:firstLineChars="200"/>
        <w:rPr>
          <w:rFonts w:ascii="宋体" w:hAnsi="宋体" w:cs="宋体"/>
          <w:spacing w:val="-2"/>
          <w:sz w:val="24"/>
        </w:rPr>
      </w:pPr>
      <w:r>
        <w:rPr>
          <w:rFonts w:hint="eastAsia" w:ascii="宋体" w:hAnsi="宋体" w:cs="宋体"/>
          <w:spacing w:val="-2"/>
          <w:sz w:val="24"/>
        </w:rPr>
        <w:t>依法必须进行招标的项目，招标人在新疆政府采购网公示中标候选人。公示内容包括：中标候选人及其投标报价、评标委员会成员。公示期</w:t>
      </w:r>
      <w:r>
        <w:rPr>
          <w:rFonts w:hint="eastAsia" w:ascii="宋体" w:hAnsi="宋体" w:cs="宋体"/>
          <w:spacing w:val="-2"/>
          <w:sz w:val="24"/>
          <w:lang w:val="en-US" w:eastAsia="zh-CN"/>
        </w:rPr>
        <w:t>3</w:t>
      </w:r>
      <w:r>
        <w:rPr>
          <w:rFonts w:hint="eastAsia" w:ascii="宋体" w:hAnsi="宋体" w:cs="宋体"/>
          <w:spacing w:val="-2"/>
          <w:sz w:val="24"/>
        </w:rPr>
        <w:t>个工作日。</w:t>
      </w:r>
    </w:p>
    <w:p>
      <w:pPr>
        <w:spacing w:line="440" w:lineRule="exact"/>
        <w:ind w:firstLine="470" w:firstLineChars="196"/>
        <w:rPr>
          <w:rFonts w:ascii="宋体" w:hAnsi="宋体" w:cs="宋体"/>
          <w:b/>
          <w:sz w:val="24"/>
        </w:rPr>
      </w:pPr>
      <w:r>
        <w:rPr>
          <w:rFonts w:hint="eastAsia" w:ascii="宋体" w:hAnsi="宋体" w:cs="宋体"/>
          <w:b/>
          <w:sz w:val="24"/>
        </w:rPr>
        <w:t>17、中标通知书</w:t>
      </w:r>
    </w:p>
    <w:p>
      <w:pPr>
        <w:spacing w:line="440" w:lineRule="exact"/>
        <w:ind w:firstLine="480" w:firstLineChars="200"/>
        <w:rPr>
          <w:rFonts w:ascii="宋体" w:hAnsi="宋体" w:cs="宋体"/>
          <w:sz w:val="24"/>
        </w:rPr>
      </w:pPr>
      <w:r>
        <w:rPr>
          <w:rFonts w:hint="eastAsia" w:ascii="宋体" w:hAnsi="宋体" w:cs="宋体"/>
          <w:sz w:val="24"/>
        </w:rPr>
        <w:t>公示期若无异议，特克斯县住房和城乡建设局将以书面形式发出《中标通知书》。《中标通知书》将作为签订合同的依据。</w:t>
      </w:r>
    </w:p>
    <w:p>
      <w:pPr>
        <w:spacing w:line="440" w:lineRule="exact"/>
        <w:ind w:firstLine="480" w:firstLineChars="200"/>
        <w:rPr>
          <w:rFonts w:ascii="宋体" w:hAnsi="宋体" w:cs="宋体"/>
          <w:b/>
          <w:sz w:val="24"/>
          <w:lang w:bidi="zh-CN"/>
        </w:rPr>
      </w:pPr>
      <w:r>
        <w:rPr>
          <w:rFonts w:hint="eastAsia" w:ascii="宋体" w:hAnsi="宋体" w:cs="宋体"/>
          <w:b/>
          <w:sz w:val="24"/>
          <w:lang w:bidi="zh-CN"/>
        </w:rPr>
        <w:t>18、质疑</w:t>
      </w:r>
    </w:p>
    <w:p>
      <w:pPr>
        <w:spacing w:line="440" w:lineRule="exact"/>
        <w:ind w:firstLine="480" w:firstLineChars="200"/>
        <w:contextualSpacing/>
        <w:rPr>
          <w:rFonts w:ascii="宋体" w:hAnsi="宋体" w:cs="宋体"/>
          <w:sz w:val="24"/>
        </w:rPr>
      </w:pPr>
      <w:r>
        <w:rPr>
          <w:rFonts w:hint="eastAsia" w:ascii="宋体" w:hAnsi="宋体" w:cs="宋体"/>
          <w:sz w:val="24"/>
        </w:rPr>
        <w:t>招标程序受《中华人民共和国政府采购法》、《政府采购法实施条例》和相关法律法规的约束，并受到严格的内部监督，以确保授予合同过程的公平、公正。</w:t>
      </w:r>
    </w:p>
    <w:p>
      <w:pPr>
        <w:spacing w:line="440" w:lineRule="exact"/>
        <w:ind w:firstLine="480" w:firstLineChars="200"/>
        <w:contextualSpacing/>
        <w:rPr>
          <w:rFonts w:ascii="宋体" w:hAnsi="宋体" w:cs="宋体"/>
          <w:sz w:val="24"/>
        </w:rPr>
      </w:pPr>
      <w:r>
        <w:rPr>
          <w:rFonts w:hint="eastAsia" w:ascii="宋体" w:hAnsi="宋体" w:cs="宋体"/>
          <w:sz w:val="24"/>
        </w:rPr>
        <w:t>18.1 投标人已经参与了投标，并于开标后对招标文件提出质疑的，其质疑被视为无效质疑。</w:t>
      </w:r>
    </w:p>
    <w:p>
      <w:pPr>
        <w:spacing w:line="440" w:lineRule="exact"/>
        <w:ind w:firstLine="480" w:firstLineChars="200"/>
        <w:rPr>
          <w:rFonts w:ascii="宋体" w:hAnsi="宋体" w:cs="宋体"/>
          <w:sz w:val="24"/>
        </w:rPr>
      </w:pPr>
      <w:r>
        <w:rPr>
          <w:rFonts w:hint="eastAsia" w:ascii="宋体" w:hAnsi="宋体" w:cs="宋体"/>
          <w:sz w:val="24"/>
        </w:rPr>
        <w:t>18.2 投标人对开标过程（接受投标文件、查验投标人资格、开标唱标）有异议的，应当在开标现场提出，由监标人及采购人、招标代理机构作出答复或更正，对开标过程未提出质疑的，在开标程序结束后或招标工作结束后，其对开标过程的质疑视为无效。</w:t>
      </w:r>
    </w:p>
    <w:p>
      <w:pPr>
        <w:spacing w:line="440" w:lineRule="exact"/>
        <w:ind w:firstLine="480" w:firstLineChars="200"/>
        <w:rPr>
          <w:rFonts w:ascii="宋体" w:hAnsi="宋体" w:cs="宋体"/>
          <w:sz w:val="24"/>
        </w:rPr>
      </w:pPr>
      <w:r>
        <w:rPr>
          <w:rFonts w:hint="eastAsia" w:ascii="宋体" w:hAnsi="宋体" w:cs="宋体"/>
          <w:sz w:val="24"/>
        </w:rPr>
        <w:t>18.3 投标人认为中标结果使自己的权益受到损害的，可以在知道或者应知其权益受到损害之日起七个工作日内，以书面形式向代理机构提出质疑。</w:t>
      </w:r>
    </w:p>
    <w:p>
      <w:pPr>
        <w:spacing w:line="440" w:lineRule="exact"/>
        <w:ind w:firstLine="480" w:firstLineChars="200"/>
        <w:contextualSpacing/>
        <w:rPr>
          <w:rFonts w:ascii="宋体" w:hAnsi="宋体" w:cs="宋体"/>
          <w:sz w:val="24"/>
        </w:rPr>
      </w:pPr>
      <w:r>
        <w:rPr>
          <w:rFonts w:hint="eastAsia" w:ascii="宋体" w:hAnsi="宋体" w:cs="宋体"/>
          <w:sz w:val="24"/>
        </w:rPr>
        <w:t>18.4 质疑应严格按照招标程序以质疑函书面格式向代理机构提出，质疑函须经法定代表人签字并加盖公章。</w:t>
      </w:r>
    </w:p>
    <w:p>
      <w:pPr>
        <w:spacing w:line="440" w:lineRule="exact"/>
        <w:ind w:firstLine="480" w:firstLineChars="200"/>
        <w:contextualSpacing/>
        <w:rPr>
          <w:rFonts w:ascii="宋体" w:hAnsi="宋体" w:cs="宋体"/>
          <w:sz w:val="24"/>
        </w:rPr>
      </w:pPr>
      <w:r>
        <w:rPr>
          <w:rFonts w:hint="eastAsia" w:ascii="宋体" w:hAnsi="宋体" w:cs="宋体"/>
          <w:sz w:val="24"/>
        </w:rPr>
        <w:t>18.5 按照“谁主张、谁举证”的原则，质疑时应当提供相关证明材料。质疑材料按照一式二份提供。</w:t>
      </w:r>
    </w:p>
    <w:p>
      <w:pPr>
        <w:spacing w:line="440" w:lineRule="exact"/>
        <w:ind w:firstLine="480" w:firstLineChars="200"/>
        <w:contextualSpacing/>
        <w:rPr>
          <w:rFonts w:ascii="宋体" w:hAnsi="宋体" w:cs="宋体"/>
          <w:sz w:val="24"/>
        </w:rPr>
      </w:pPr>
      <w:r>
        <w:rPr>
          <w:rFonts w:hint="eastAsia" w:ascii="宋体" w:hAnsi="宋体" w:cs="宋体"/>
          <w:sz w:val="24"/>
        </w:rPr>
        <w:t>18.6 有下列情形之一的，属于无效质疑，代理机构可不予受理：</w:t>
      </w:r>
    </w:p>
    <w:p>
      <w:pPr>
        <w:spacing w:line="440" w:lineRule="exact"/>
        <w:ind w:firstLine="1200" w:firstLineChars="500"/>
        <w:contextualSpacing/>
        <w:rPr>
          <w:rFonts w:ascii="宋体" w:hAnsi="宋体" w:cs="宋体"/>
          <w:sz w:val="24"/>
        </w:rPr>
      </w:pPr>
      <w:r>
        <w:rPr>
          <w:rFonts w:hint="eastAsia" w:ascii="宋体" w:hAnsi="宋体" w:cs="宋体"/>
          <w:sz w:val="24"/>
        </w:rPr>
        <w:t>A 未在有效期限内提出质疑的；</w:t>
      </w:r>
    </w:p>
    <w:p>
      <w:pPr>
        <w:spacing w:line="440" w:lineRule="exact"/>
        <w:ind w:firstLine="1200" w:firstLineChars="500"/>
        <w:contextualSpacing/>
        <w:rPr>
          <w:rFonts w:ascii="宋体" w:hAnsi="宋体" w:cs="宋体"/>
          <w:sz w:val="24"/>
        </w:rPr>
      </w:pPr>
      <w:r>
        <w:rPr>
          <w:rFonts w:hint="eastAsia" w:ascii="宋体" w:hAnsi="宋体" w:cs="宋体"/>
          <w:sz w:val="24"/>
        </w:rPr>
        <w:t>B 质疑未以书面形式提出的；</w:t>
      </w:r>
    </w:p>
    <w:p>
      <w:pPr>
        <w:spacing w:line="440" w:lineRule="exact"/>
        <w:ind w:firstLine="1200" w:firstLineChars="500"/>
        <w:contextualSpacing/>
        <w:rPr>
          <w:rFonts w:ascii="宋体" w:hAnsi="宋体" w:cs="宋体"/>
          <w:sz w:val="24"/>
        </w:rPr>
      </w:pPr>
      <w:r>
        <w:rPr>
          <w:rFonts w:hint="eastAsia" w:ascii="宋体" w:hAnsi="宋体" w:cs="宋体"/>
          <w:sz w:val="24"/>
        </w:rPr>
        <w:t>C 质疑函没有法定代表人签署并加盖单位公章的；</w:t>
      </w:r>
    </w:p>
    <w:p>
      <w:pPr>
        <w:spacing w:line="440" w:lineRule="exact"/>
        <w:ind w:firstLine="1200" w:firstLineChars="500"/>
        <w:contextualSpacing/>
        <w:rPr>
          <w:rFonts w:ascii="宋体" w:hAnsi="宋体" w:cs="宋体"/>
          <w:sz w:val="24"/>
        </w:rPr>
      </w:pPr>
      <w:r>
        <w:rPr>
          <w:rFonts w:hint="eastAsia" w:ascii="宋体" w:hAnsi="宋体" w:cs="宋体"/>
          <w:sz w:val="24"/>
        </w:rPr>
        <w:t>D 质疑事项已经进入投诉或者诉讼程序的；</w:t>
      </w:r>
    </w:p>
    <w:p>
      <w:pPr>
        <w:spacing w:line="440" w:lineRule="exact"/>
        <w:ind w:firstLine="1200" w:firstLineChars="500"/>
        <w:contextualSpacing/>
        <w:rPr>
          <w:rFonts w:ascii="宋体" w:hAnsi="宋体" w:cs="宋体"/>
          <w:sz w:val="24"/>
        </w:rPr>
      </w:pPr>
      <w:r>
        <w:rPr>
          <w:rFonts w:hint="eastAsia" w:ascii="宋体" w:hAnsi="宋体" w:cs="宋体"/>
          <w:sz w:val="24"/>
        </w:rPr>
        <w:t>E 其它不符合受理条件的情形。</w:t>
      </w:r>
    </w:p>
    <w:p>
      <w:pPr>
        <w:spacing w:line="440" w:lineRule="exact"/>
        <w:ind w:firstLine="600" w:firstLineChars="250"/>
        <w:contextualSpacing/>
        <w:rPr>
          <w:rFonts w:ascii="宋体" w:hAnsi="宋体" w:cs="宋体"/>
          <w:sz w:val="24"/>
        </w:rPr>
      </w:pPr>
      <w:r>
        <w:rPr>
          <w:rFonts w:hint="eastAsia" w:ascii="宋体" w:hAnsi="宋体" w:cs="宋体"/>
          <w:sz w:val="24"/>
        </w:rPr>
        <w:t>18.7 代理机构将在收到书面质疑后7个工作日内作出答复或相关处理决定，并以书面形式通知质疑投标企业和其他有关部门。</w:t>
      </w:r>
    </w:p>
    <w:p>
      <w:pPr>
        <w:spacing w:line="440" w:lineRule="exact"/>
        <w:ind w:firstLine="600" w:firstLineChars="250"/>
        <w:contextualSpacing/>
        <w:rPr>
          <w:rFonts w:ascii="宋体" w:hAnsi="宋体" w:cs="宋体"/>
          <w:sz w:val="24"/>
        </w:rPr>
      </w:pPr>
      <w:r>
        <w:rPr>
          <w:rFonts w:hint="eastAsia" w:ascii="宋体" w:hAnsi="宋体" w:cs="宋体"/>
          <w:sz w:val="24"/>
        </w:rPr>
        <w:t>18.8 投标人进行虚假和恶意质疑的，代理机构可以提请行业行政监管部门将其列入不良记录名单，在一至三年内禁止参加本地区招投标活动，并将处理决定在相关媒体上公布。</w:t>
      </w:r>
    </w:p>
    <w:p>
      <w:pPr>
        <w:spacing w:line="440" w:lineRule="exact"/>
        <w:ind w:firstLine="600" w:firstLineChars="250"/>
        <w:contextualSpacing/>
        <w:rPr>
          <w:rFonts w:ascii="宋体" w:hAnsi="宋体" w:cs="宋体"/>
          <w:sz w:val="24"/>
        </w:rPr>
      </w:pPr>
      <w:r>
        <w:rPr>
          <w:rFonts w:hint="eastAsia" w:ascii="宋体" w:hAnsi="宋体" w:cs="宋体"/>
          <w:sz w:val="24"/>
        </w:rPr>
        <w:t>18.9 投标人对代理机构的答复不满意以及代理机构未在规定的时间内做出答复的，可以在答复期满后15个工作日内向行业行政监管部门进行投诉。</w:t>
      </w:r>
    </w:p>
    <w:p>
      <w:pPr>
        <w:pStyle w:val="52"/>
        <w:ind w:firstLine="560"/>
      </w:pPr>
    </w:p>
    <w:p>
      <w:pPr>
        <w:pStyle w:val="5"/>
        <w:spacing w:before="0" w:after="0" w:line="440" w:lineRule="exact"/>
        <w:jc w:val="center"/>
        <w:rPr>
          <w:rFonts w:ascii="宋体" w:hAnsi="宋体" w:cs="宋体"/>
          <w:sz w:val="24"/>
          <w:szCs w:val="24"/>
        </w:rPr>
      </w:pPr>
      <w:bookmarkStart w:id="19" w:name="_Toc13364"/>
      <w:r>
        <w:rPr>
          <w:rFonts w:hint="eastAsia" w:ascii="宋体" w:hAnsi="宋体" w:cs="宋体"/>
          <w:sz w:val="28"/>
          <w:szCs w:val="28"/>
        </w:rPr>
        <w:t>第六章  授予合同</w:t>
      </w:r>
      <w:bookmarkEnd w:id="19"/>
    </w:p>
    <w:p>
      <w:pPr>
        <w:spacing w:line="440" w:lineRule="exact"/>
        <w:ind w:firstLine="480" w:firstLineChars="200"/>
        <w:rPr>
          <w:rFonts w:ascii="宋体" w:hAnsi="宋体" w:cs="宋体"/>
          <w:sz w:val="24"/>
        </w:rPr>
      </w:pPr>
      <w:r>
        <w:rPr>
          <w:rFonts w:hint="eastAsia" w:ascii="宋体" w:hAnsi="宋体" w:cs="宋体"/>
          <w:sz w:val="24"/>
        </w:rPr>
        <w:t>19、签订合同</w:t>
      </w:r>
    </w:p>
    <w:p>
      <w:pPr>
        <w:spacing w:line="440" w:lineRule="exact"/>
        <w:ind w:firstLine="480" w:firstLineChars="200"/>
        <w:rPr>
          <w:rFonts w:ascii="宋体" w:hAnsi="宋体" w:cs="宋体"/>
          <w:sz w:val="24"/>
        </w:rPr>
      </w:pPr>
      <w:r>
        <w:rPr>
          <w:rFonts w:hint="eastAsia" w:ascii="宋体" w:hAnsi="宋体" w:cs="宋体"/>
          <w:sz w:val="24"/>
        </w:rPr>
        <w:t>19.1中标方收到采购方的《中标通知书》后30日内，按照招标文件的约定和中标人投标文件中的承诺与采购单位签订书面合同，所签订的合同不得对招标文件和中标人的投标文件作实质性修改。</w:t>
      </w:r>
    </w:p>
    <w:p>
      <w:pPr>
        <w:spacing w:line="440" w:lineRule="exact"/>
        <w:ind w:firstLine="480" w:firstLineChars="200"/>
        <w:rPr>
          <w:rFonts w:ascii="宋体" w:hAnsi="宋体" w:cs="宋体"/>
          <w:sz w:val="24"/>
        </w:rPr>
      </w:pPr>
      <w:r>
        <w:rPr>
          <w:rFonts w:hint="eastAsia" w:ascii="宋体" w:hAnsi="宋体" w:cs="宋体"/>
          <w:sz w:val="24"/>
        </w:rPr>
        <w:t>19.2采购方在授予合同时，有权对招标文件中规定的服务的数量在10%的幅度内予以增加或减少。但不得对单价更改。</w:t>
      </w:r>
    </w:p>
    <w:p>
      <w:pPr>
        <w:spacing w:line="440" w:lineRule="exact"/>
        <w:ind w:firstLine="480" w:firstLineChars="200"/>
        <w:rPr>
          <w:rFonts w:ascii="宋体" w:hAnsi="宋体" w:cs="宋体"/>
          <w:sz w:val="24"/>
        </w:rPr>
      </w:pPr>
      <w:r>
        <w:rPr>
          <w:rFonts w:hint="eastAsia" w:ascii="宋体" w:hAnsi="宋体" w:cs="宋体"/>
          <w:sz w:val="24"/>
        </w:rPr>
        <w:t>19.3如中标方拒签合同，则按违约处理。采购方没收其投标保证金。</w:t>
      </w:r>
    </w:p>
    <w:p>
      <w:pPr>
        <w:spacing w:line="440" w:lineRule="exact"/>
        <w:ind w:firstLine="480" w:firstLineChars="200"/>
        <w:rPr>
          <w:rFonts w:ascii="宋体" w:hAnsi="宋体" w:cs="宋体"/>
          <w:sz w:val="24"/>
        </w:rPr>
      </w:pPr>
      <w:r>
        <w:rPr>
          <w:rFonts w:hint="eastAsia" w:ascii="宋体" w:hAnsi="宋体" w:cs="宋体"/>
          <w:sz w:val="24"/>
        </w:rPr>
        <w:t>19.4招标文件、中标人投标文件及其澄清文件等，均为签订经济合同的依据。</w:t>
      </w:r>
    </w:p>
    <w:p>
      <w:pPr>
        <w:spacing w:line="440" w:lineRule="exact"/>
        <w:ind w:firstLine="480" w:firstLineChars="200"/>
        <w:rPr>
          <w:rFonts w:ascii="宋体" w:hAnsi="宋体" w:cs="宋体"/>
          <w:sz w:val="24"/>
        </w:rPr>
      </w:pPr>
      <w:r>
        <w:rPr>
          <w:rFonts w:hint="eastAsia" w:ascii="宋体" w:hAnsi="宋体" w:cs="宋体"/>
          <w:sz w:val="24"/>
        </w:rPr>
        <w:t>19.5不允许中标人将中标项目分包或转交他人承担，特殊情况下，中标人必须与采购方协商后共同决定将合同标的中的部分由第三方承担供货和服务责任，但中标人必须对合同标的全部内容向采购方负责，并保证第三方提供的供货和服务符合招标文件的约定和投标文件的承诺及相关约定。</w:t>
      </w:r>
    </w:p>
    <w:p>
      <w:pPr>
        <w:pStyle w:val="4"/>
        <w:adjustRightInd w:val="0"/>
        <w:snapToGrid w:val="0"/>
        <w:spacing w:before="100" w:beforeAutospacing="1" w:after="100" w:afterAutospacing="1" w:line="240" w:lineRule="auto"/>
        <w:jc w:val="center"/>
        <w:rPr>
          <w:rFonts w:hint="eastAsia" w:eastAsia="宋体"/>
          <w:sz w:val="32"/>
          <w:szCs w:val="32"/>
          <w:lang w:eastAsia="zh-CN"/>
        </w:rPr>
      </w:pPr>
      <w:r>
        <w:rPr>
          <w:bCs/>
          <w:kern w:val="0"/>
          <w:sz w:val="28"/>
          <w:szCs w:val="28"/>
        </w:rPr>
        <w:br w:type="page"/>
      </w:r>
      <w:bookmarkStart w:id="20" w:name="_Toc7527"/>
      <w:r>
        <w:rPr>
          <w:sz w:val="32"/>
          <w:szCs w:val="32"/>
        </w:rPr>
        <w:t xml:space="preserve">第四部分  </w:t>
      </w:r>
      <w:bookmarkEnd w:id="20"/>
      <w:bookmarkStart w:id="21" w:name="_Toc9809"/>
      <w:r>
        <w:rPr>
          <w:rFonts w:hint="eastAsia"/>
          <w:sz w:val="32"/>
          <w:szCs w:val="32"/>
          <w:lang w:eastAsia="zh-CN"/>
        </w:rPr>
        <w:t>采购需求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lang w:eastAsia="zh-CN"/>
        </w:rPr>
      </w:pPr>
    </w:p>
    <w:p>
      <w:pPr>
        <w:rPr>
          <w:rFonts w:hint="eastAsia" w:ascii="宋体" w:hAnsi="宋体" w:cs="宋体"/>
          <w:b/>
          <w:bCs/>
          <w:color w:val="auto"/>
          <w:sz w:val="24"/>
          <w:szCs w:val="24"/>
          <w:lang w:eastAsia="zh-CN"/>
        </w:rPr>
      </w:pPr>
      <w:r>
        <w:rPr>
          <w:rFonts w:hint="eastAsia" w:ascii="宋体" w:hAnsi="宋体" w:eastAsia="宋体" w:cs="宋体"/>
          <w:b/>
          <w:bCs/>
          <w:color w:val="auto"/>
          <w:sz w:val="24"/>
          <w:szCs w:val="24"/>
          <w:lang w:eastAsia="zh-CN"/>
        </w:rPr>
        <w:t>本项目</w:t>
      </w:r>
      <w:r>
        <w:rPr>
          <w:rFonts w:hint="eastAsia" w:ascii="宋体" w:hAnsi="宋体" w:cs="宋体"/>
          <w:b/>
          <w:bCs/>
          <w:color w:val="auto"/>
          <w:sz w:val="24"/>
          <w:szCs w:val="24"/>
          <w:lang w:val="en-US" w:eastAsia="zh-CN"/>
        </w:rPr>
        <w:t>具体需求</w:t>
      </w:r>
      <w:r>
        <w:rPr>
          <w:rFonts w:hint="eastAsia" w:ascii="宋体" w:hAnsi="宋体" w:eastAsia="宋体" w:cs="宋体"/>
          <w:b/>
          <w:bCs/>
          <w:color w:val="auto"/>
          <w:sz w:val="24"/>
          <w:szCs w:val="24"/>
          <w:lang w:eastAsia="zh-CN"/>
        </w:rPr>
        <w:t>如下</w:t>
      </w:r>
      <w:r>
        <w:rPr>
          <w:rFonts w:hint="eastAsia" w:ascii="宋体" w:hAnsi="宋体" w:cs="宋体"/>
          <w:b/>
          <w:bCs/>
          <w:color w:val="auto"/>
          <w:sz w:val="24"/>
          <w:szCs w:val="24"/>
          <w:lang w:eastAsia="zh-CN"/>
        </w:rPr>
        <w:t>：</w:t>
      </w:r>
    </w:p>
    <w:p>
      <w:pPr>
        <w:pStyle w:val="2"/>
        <w:ind w:firstLine="440" w:firstLineChars="200"/>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预计需务工人员127人（其中驾驶员12人、绿篱15人、浇水</w:t>
      </w:r>
      <w:r>
        <w:rPr>
          <w:rFonts w:ascii="宋体" w:hAnsi="宋体" w:cs="宋体"/>
          <w:color w:val="000000"/>
          <w:kern w:val="0"/>
          <w:sz w:val="22"/>
          <w:szCs w:val="22"/>
          <w:lang w:bidi="ar"/>
        </w:rPr>
        <w:t>3</w:t>
      </w:r>
      <w:r>
        <w:rPr>
          <w:rFonts w:hint="eastAsia" w:ascii="宋体" w:hAnsi="宋体" w:cs="宋体"/>
          <w:color w:val="000000"/>
          <w:kern w:val="0"/>
          <w:sz w:val="22"/>
          <w:szCs w:val="22"/>
          <w:lang w:bidi="ar"/>
        </w:rPr>
        <w:t>5人、打草20人、拔草35人）</w:t>
      </w:r>
      <w:r>
        <w:rPr>
          <w:rFonts w:hint="eastAsia" w:ascii="宋体" w:hAnsi="宋体" w:cs="宋体"/>
          <w:color w:val="000000"/>
          <w:kern w:val="0"/>
          <w:sz w:val="22"/>
          <w:szCs w:val="22"/>
          <w:lang w:eastAsia="zh-CN" w:bidi="ar"/>
        </w:rPr>
        <w:t>；</w:t>
      </w:r>
    </w:p>
    <w:p>
      <w:pPr>
        <w:pStyle w:val="2"/>
        <w:ind w:firstLine="440" w:firstLineChars="200"/>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林木病虫害防治（农药8000公斤；人工；机械及汽油；）</w:t>
      </w:r>
    </w:p>
    <w:p>
      <w:pPr>
        <w:ind w:firstLine="440" w:firstLineChars="200"/>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浇水车、打药车、拉树车、旱情备用浇水车需21辆、保养。（浇水车需6辆130天；打药车需4辆50天；拉树车需2辆100天；21辆车保养。）</w:t>
      </w:r>
    </w:p>
    <w:p>
      <w:pPr>
        <w:pStyle w:val="2"/>
        <w:ind w:firstLine="420"/>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管道维修、滴管铺设</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管材、喷水头等材料</w:t>
      </w:r>
      <w:r>
        <w:rPr>
          <w:rFonts w:hint="eastAsia" w:ascii="宋体" w:hAnsi="宋体" w:cs="宋体"/>
          <w:color w:val="000000"/>
          <w:kern w:val="0"/>
          <w:sz w:val="22"/>
          <w:szCs w:val="22"/>
          <w:lang w:val="en-US" w:eastAsia="zh-CN" w:bidi="ar"/>
        </w:rPr>
        <w:t>及</w:t>
      </w:r>
      <w:r>
        <w:rPr>
          <w:rFonts w:hint="eastAsia" w:ascii="宋体" w:hAnsi="宋体" w:cs="宋体"/>
          <w:color w:val="000000"/>
          <w:kern w:val="0"/>
          <w:sz w:val="22"/>
          <w:szCs w:val="22"/>
          <w:lang w:bidi="ar"/>
        </w:rPr>
        <w:t>管道维修，铺设</w:t>
      </w:r>
      <w:r>
        <w:rPr>
          <w:rFonts w:hint="eastAsia" w:ascii="宋体" w:hAnsi="宋体" w:cs="宋体"/>
          <w:color w:val="000000"/>
          <w:kern w:val="0"/>
          <w:sz w:val="22"/>
          <w:szCs w:val="22"/>
          <w:lang w:val="en-US" w:eastAsia="zh-CN" w:bidi="ar"/>
        </w:rPr>
        <w:t>人员</w:t>
      </w:r>
      <w:r>
        <w:rPr>
          <w:rFonts w:hint="eastAsia" w:ascii="宋体" w:hAnsi="宋体" w:cs="宋体"/>
          <w:color w:val="000000"/>
          <w:kern w:val="0"/>
          <w:sz w:val="22"/>
          <w:szCs w:val="22"/>
          <w:lang w:bidi="ar"/>
        </w:rPr>
        <w:t>35人</w:t>
      </w:r>
      <w:r>
        <w:rPr>
          <w:rFonts w:hint="eastAsia" w:ascii="宋体" w:hAnsi="宋体" w:cs="宋体"/>
          <w:color w:val="000000"/>
          <w:kern w:val="0"/>
          <w:sz w:val="22"/>
          <w:szCs w:val="22"/>
          <w:lang w:eastAsia="zh-CN" w:bidi="ar"/>
        </w:rPr>
        <w:t>。）</w:t>
      </w:r>
    </w:p>
    <w:p>
      <w:pPr>
        <w:pStyle w:val="21"/>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绿化机械设备及工具（打草机3500、绿篱机1500、修剪机1000等各种工具</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打草</w:t>
      </w:r>
    </w:p>
    <w:p>
      <w:pPr>
        <w:pStyle w:val="21"/>
        <w:ind w:left="0" w:leftChars="0" w:firstLine="0" w:firstLineChars="0"/>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机</w:t>
      </w:r>
      <w:r>
        <w:rPr>
          <w:rFonts w:ascii="宋体" w:hAnsi="宋体" w:cs="宋体"/>
          <w:color w:val="000000"/>
          <w:kern w:val="0"/>
          <w:sz w:val="22"/>
          <w:szCs w:val="22"/>
          <w:lang w:bidi="ar"/>
        </w:rPr>
        <w:t>15</w:t>
      </w:r>
      <w:r>
        <w:rPr>
          <w:rFonts w:hint="eastAsia" w:ascii="宋体" w:hAnsi="宋体" w:cs="宋体"/>
          <w:color w:val="000000"/>
          <w:kern w:val="0"/>
          <w:sz w:val="22"/>
          <w:szCs w:val="22"/>
          <w:lang w:bidi="ar"/>
        </w:rPr>
        <w:t>台</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绿篱机22台</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修剪机22台</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工具保养</w:t>
      </w:r>
      <w:r>
        <w:rPr>
          <w:rFonts w:hint="eastAsia" w:ascii="宋体" w:hAnsi="宋体" w:cs="宋体"/>
          <w:color w:val="000000"/>
          <w:kern w:val="0"/>
          <w:sz w:val="22"/>
          <w:szCs w:val="22"/>
          <w:lang w:val="en-US" w:eastAsia="zh-CN" w:bidi="ar"/>
        </w:rPr>
        <w:t>及</w:t>
      </w:r>
      <w:r>
        <w:rPr>
          <w:rFonts w:hint="eastAsia" w:ascii="宋体" w:hAnsi="宋体" w:cs="宋体"/>
          <w:color w:val="000000"/>
          <w:kern w:val="0"/>
          <w:sz w:val="22"/>
          <w:szCs w:val="22"/>
          <w:lang w:bidi="ar"/>
        </w:rPr>
        <w:t>其他日常零碎维护</w:t>
      </w:r>
      <w:r>
        <w:rPr>
          <w:rFonts w:hint="eastAsia" w:ascii="宋体" w:hAnsi="宋体" w:cs="宋体"/>
          <w:color w:val="000000"/>
          <w:kern w:val="0"/>
          <w:sz w:val="22"/>
          <w:szCs w:val="22"/>
          <w:lang w:eastAsia="zh-CN" w:bidi="ar"/>
        </w:rPr>
        <w:t>。）</w:t>
      </w:r>
    </w:p>
    <w:p>
      <w:pPr>
        <w:ind w:firstLine="440"/>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苗木、灌木、草坪补栽及更新</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对全县死亡的苗木、草坪、灌木进行补植补栽。</w:t>
      </w:r>
      <w:r>
        <w:rPr>
          <w:rFonts w:hint="eastAsia" w:ascii="宋体" w:hAnsi="宋体" w:cs="宋体"/>
          <w:color w:val="000000"/>
          <w:kern w:val="0"/>
          <w:sz w:val="22"/>
          <w:szCs w:val="22"/>
          <w:lang w:val="en-US" w:eastAsia="zh-CN" w:bidi="ar"/>
        </w:rPr>
        <w:t>灌木</w:t>
      </w:r>
      <w:r>
        <w:rPr>
          <w:rFonts w:hint="eastAsia" w:ascii="宋体" w:hAnsi="宋体" w:cs="宋体"/>
          <w:color w:val="000000"/>
          <w:kern w:val="0"/>
          <w:sz w:val="22"/>
          <w:szCs w:val="22"/>
          <w:lang w:bidi="ar"/>
        </w:rPr>
        <w:t>50000株</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草坪2500平米</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val="en-US" w:eastAsia="zh-CN" w:bidi="ar"/>
        </w:rPr>
        <w:t>苗木300颗；</w:t>
      </w:r>
      <w:r>
        <w:rPr>
          <w:rFonts w:hint="eastAsia" w:ascii="宋体" w:hAnsi="宋体" w:cs="宋体"/>
          <w:color w:val="000000"/>
          <w:kern w:val="0"/>
          <w:sz w:val="22"/>
          <w:szCs w:val="22"/>
          <w:lang w:eastAsia="zh-CN" w:bidi="ar"/>
        </w:rPr>
        <w:t>）</w:t>
      </w:r>
    </w:p>
    <w:p>
      <w:pPr>
        <w:pStyle w:val="2"/>
        <w:ind w:firstLine="440"/>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绿化专业设计、病虫害防治专业人员2人</w:t>
      </w:r>
    </w:p>
    <w:p>
      <w:pPr>
        <w:pStyle w:val="2"/>
        <w:ind w:firstLine="420"/>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保险费（车辆及人员</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水车9辆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打药车4辆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临时工保险230人</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130货车2辆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面包车2辆</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旱情浇水备用车15辆</w:t>
      </w:r>
      <w:r>
        <w:rPr>
          <w:rFonts w:hint="eastAsia" w:ascii="宋体" w:hAnsi="宋体" w:cs="宋体"/>
          <w:color w:val="000000"/>
          <w:kern w:val="0"/>
          <w:sz w:val="22"/>
          <w:szCs w:val="22"/>
          <w:lang w:eastAsia="zh-CN" w:bidi="ar"/>
        </w:rPr>
        <w:t>）</w:t>
      </w:r>
    </w:p>
    <w:p>
      <w:pPr>
        <w:pStyle w:val="21"/>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自来水</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全县绿化用水水费</w:t>
      </w:r>
      <w:r>
        <w:rPr>
          <w:rFonts w:hint="eastAsia" w:ascii="宋体" w:hAnsi="宋体" w:cs="宋体"/>
          <w:color w:val="000000"/>
          <w:kern w:val="0"/>
          <w:sz w:val="22"/>
          <w:szCs w:val="22"/>
          <w:lang w:eastAsia="zh-CN" w:bidi="ar"/>
        </w:rPr>
        <w:t>）</w:t>
      </w:r>
    </w:p>
    <w:p>
      <w:pPr>
        <w:ind w:firstLine="440"/>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花卉</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val="en-US" w:eastAsia="zh-CN" w:bidi="ar"/>
        </w:rPr>
        <w:t>80万株</w:t>
      </w:r>
      <w:r>
        <w:rPr>
          <w:rFonts w:hint="eastAsia" w:ascii="宋体" w:hAnsi="宋体" w:cs="宋体"/>
          <w:color w:val="000000"/>
          <w:kern w:val="0"/>
          <w:sz w:val="22"/>
          <w:szCs w:val="22"/>
          <w:lang w:eastAsia="zh-CN" w:bidi="ar"/>
        </w:rPr>
        <w:t>）</w:t>
      </w:r>
    </w:p>
    <w:p>
      <w:pPr>
        <w:pStyle w:val="2"/>
        <w:ind w:firstLine="440"/>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税费</w:t>
      </w:r>
    </w:p>
    <w:p>
      <w:pPr>
        <w:rPr>
          <w:rFonts w:hint="default" w:ascii="宋体" w:hAnsi="宋体" w:cs="宋体"/>
          <w:b/>
          <w:bCs/>
          <w:color w:val="auto"/>
          <w:sz w:val="24"/>
          <w:szCs w:val="24"/>
          <w:lang w:val="en-US" w:eastAsia="zh-CN"/>
        </w:rPr>
      </w:pPr>
      <w:r>
        <w:rPr>
          <w:rFonts w:hint="eastAsia" w:ascii="宋体" w:hAnsi="宋体" w:eastAsia="宋体" w:cs="宋体"/>
          <w:b/>
          <w:bCs/>
          <w:color w:val="auto"/>
          <w:sz w:val="24"/>
          <w:szCs w:val="24"/>
          <w:lang w:val="en-US" w:eastAsia="zh-CN"/>
        </w:rPr>
        <w:t>备注</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投标单位对以上需做出明细报价表</w:t>
      </w:r>
    </w:p>
    <w:p>
      <w:pPr>
        <w:pStyle w:val="23"/>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jc w:val="both"/>
        <w:textAlignment w:val="auto"/>
        <w:rPr>
          <w:rFonts w:hint="default" w:eastAsia="宋体"/>
          <w:b w:val="0"/>
          <w:bCs w:val="0"/>
          <w:sz w:val="24"/>
          <w:szCs w:val="24"/>
          <w:lang w:val="en-US" w:eastAsia="zh-CN"/>
        </w:rPr>
      </w:pPr>
    </w:p>
    <w:p>
      <w:pPr>
        <w:rPr>
          <w:sz w:val="32"/>
          <w:szCs w:val="32"/>
        </w:rPr>
      </w:pPr>
      <w:r>
        <w:rPr>
          <w:sz w:val="32"/>
          <w:szCs w:val="32"/>
        </w:rPr>
        <w:br w:type="page"/>
      </w:r>
    </w:p>
    <w:p>
      <w:pPr>
        <w:pStyle w:val="4"/>
        <w:keepNext w:val="0"/>
        <w:keepLines w:val="0"/>
        <w:adjustRightInd w:val="0"/>
        <w:snapToGrid w:val="0"/>
        <w:spacing w:before="100" w:beforeAutospacing="1" w:after="100" w:afterAutospacing="1" w:line="240" w:lineRule="auto"/>
        <w:jc w:val="center"/>
        <w:rPr>
          <w:sz w:val="30"/>
          <w:szCs w:val="30"/>
        </w:rPr>
      </w:pPr>
      <w:r>
        <w:rPr>
          <w:sz w:val="32"/>
          <w:szCs w:val="32"/>
        </w:rPr>
        <w:t>第五部分  合同条款</w:t>
      </w:r>
      <w:bookmarkEnd w:id="21"/>
    </w:p>
    <w:p>
      <w:pPr>
        <w:spacing w:line="360" w:lineRule="auto"/>
        <w:ind w:firstLine="480" w:firstLineChars="200"/>
        <w:rPr>
          <w:b/>
          <w:sz w:val="24"/>
        </w:rPr>
      </w:pPr>
      <w:r>
        <w:rPr>
          <w:b/>
          <w:sz w:val="24"/>
        </w:rPr>
        <w:t>1、定义</w:t>
      </w:r>
    </w:p>
    <w:p>
      <w:pPr>
        <w:spacing w:line="360" w:lineRule="auto"/>
        <w:ind w:firstLine="480" w:firstLineChars="200"/>
        <w:rPr>
          <w:sz w:val="24"/>
        </w:rPr>
      </w:pPr>
      <w:r>
        <w:rPr>
          <w:sz w:val="24"/>
        </w:rPr>
        <w:t>1.1  “合同”系指买方和卖方（以下简称合同双方）已达成的协议，即由双方签订的合同格式文件，包括所有的招标文件、投标文件、招标答疑纪录、澄清说明、附件、附录和组成合同的所有其他文件。</w:t>
      </w:r>
    </w:p>
    <w:p>
      <w:pPr>
        <w:spacing w:line="360" w:lineRule="auto"/>
        <w:ind w:firstLine="480" w:firstLineChars="200"/>
        <w:rPr>
          <w:sz w:val="24"/>
        </w:rPr>
      </w:pPr>
      <w:r>
        <w:rPr>
          <w:sz w:val="24"/>
        </w:rPr>
        <w:t>1.2  “合同价格”系指根据合同规定，在卖方全面正确地履行合同义务时，买方应支付给卖方的款项。</w:t>
      </w:r>
    </w:p>
    <w:p>
      <w:pPr>
        <w:spacing w:line="360" w:lineRule="auto"/>
        <w:ind w:firstLine="480" w:firstLineChars="200"/>
        <w:rPr>
          <w:sz w:val="24"/>
        </w:rPr>
      </w:pPr>
      <w:r>
        <w:rPr>
          <w:sz w:val="24"/>
        </w:rPr>
        <w:t>1.3  “服务”系指合同规定卖方必须承担的</w:t>
      </w:r>
      <w:r>
        <w:rPr>
          <w:rFonts w:hint="eastAsia"/>
          <w:sz w:val="24"/>
        </w:rPr>
        <w:t>本项目</w:t>
      </w:r>
      <w:r>
        <w:rPr>
          <w:sz w:val="24"/>
        </w:rPr>
        <w:t>以及其他</w:t>
      </w:r>
      <w:r>
        <w:rPr>
          <w:sz w:val="24"/>
          <w:lang w:bidi="zh-CN"/>
        </w:rPr>
        <w:t>附随服务</w:t>
      </w:r>
      <w:r>
        <w:rPr>
          <w:sz w:val="24"/>
        </w:rPr>
        <w:t>。</w:t>
      </w:r>
    </w:p>
    <w:p>
      <w:pPr>
        <w:spacing w:line="360" w:lineRule="auto"/>
        <w:ind w:firstLine="480" w:firstLineChars="200"/>
        <w:rPr>
          <w:sz w:val="24"/>
        </w:rPr>
      </w:pPr>
      <w:r>
        <w:rPr>
          <w:sz w:val="24"/>
        </w:rPr>
        <w:t>1.4  “甲方”、“买方”、“采购方”均系指通过招标采购，接受合同服务的自治区各行政事业单位、社会团体</w:t>
      </w:r>
      <w:r>
        <w:rPr>
          <w:rFonts w:hint="eastAsia"/>
          <w:sz w:val="24"/>
        </w:rPr>
        <w:t>（</w:t>
      </w:r>
      <w:r>
        <w:rPr>
          <w:sz w:val="24"/>
        </w:rPr>
        <w:t>采购单位</w:t>
      </w:r>
      <w:r>
        <w:rPr>
          <w:rFonts w:hint="eastAsia"/>
          <w:sz w:val="24"/>
        </w:rPr>
        <w:t>）</w:t>
      </w:r>
      <w:r>
        <w:rPr>
          <w:sz w:val="24"/>
        </w:rPr>
        <w:t>及社会代理机构。</w:t>
      </w:r>
    </w:p>
    <w:p>
      <w:pPr>
        <w:spacing w:line="360" w:lineRule="auto"/>
        <w:ind w:firstLine="480" w:firstLineChars="200"/>
        <w:rPr>
          <w:sz w:val="24"/>
        </w:rPr>
      </w:pPr>
      <w:r>
        <w:rPr>
          <w:sz w:val="24"/>
        </w:rPr>
        <w:t>1.5  “乙方”、“卖方”系指中标后提供合同服务的经济实体。</w:t>
      </w:r>
    </w:p>
    <w:p>
      <w:pPr>
        <w:spacing w:line="360" w:lineRule="auto"/>
        <w:ind w:firstLine="480" w:firstLineChars="200"/>
        <w:rPr>
          <w:sz w:val="24"/>
        </w:rPr>
      </w:pPr>
      <w:r>
        <w:rPr>
          <w:sz w:val="24"/>
        </w:rPr>
        <w:t>1.6  “现场”系指将要进行服务的地点。</w:t>
      </w:r>
    </w:p>
    <w:p>
      <w:pPr>
        <w:spacing w:line="360" w:lineRule="auto"/>
        <w:ind w:firstLine="480" w:firstLineChars="200"/>
        <w:rPr>
          <w:sz w:val="24"/>
        </w:rPr>
      </w:pPr>
      <w:r>
        <w:rPr>
          <w:sz w:val="24"/>
        </w:rPr>
        <w:t>1.7  “验收”系指买方依据国家技术规范及本合同的约定，对内技术规格规定接受合同服务所依据的程序和条件。</w:t>
      </w:r>
    </w:p>
    <w:p>
      <w:pPr>
        <w:spacing w:line="360" w:lineRule="auto"/>
        <w:ind w:firstLine="470" w:firstLineChars="196"/>
        <w:rPr>
          <w:b/>
          <w:sz w:val="24"/>
        </w:rPr>
      </w:pPr>
      <w:r>
        <w:rPr>
          <w:b/>
          <w:sz w:val="24"/>
        </w:rPr>
        <w:t>2、适用范围</w:t>
      </w:r>
    </w:p>
    <w:p>
      <w:pPr>
        <w:spacing w:line="360" w:lineRule="auto"/>
        <w:ind w:firstLine="480" w:firstLineChars="200"/>
        <w:rPr>
          <w:sz w:val="24"/>
        </w:rPr>
      </w:pPr>
      <w:r>
        <w:rPr>
          <w:sz w:val="24"/>
        </w:rPr>
        <w:t>2.1本合同条款仅适用于本次采购活动。</w:t>
      </w:r>
    </w:p>
    <w:p>
      <w:pPr>
        <w:spacing w:line="360" w:lineRule="auto"/>
        <w:ind w:firstLine="480" w:firstLineChars="200"/>
        <w:rPr>
          <w:b/>
          <w:sz w:val="24"/>
        </w:rPr>
      </w:pPr>
      <w:r>
        <w:rPr>
          <w:b/>
          <w:sz w:val="24"/>
        </w:rPr>
        <w:t>3、原产地</w:t>
      </w:r>
    </w:p>
    <w:p>
      <w:pPr>
        <w:spacing w:line="360" w:lineRule="auto"/>
        <w:ind w:firstLine="480" w:firstLineChars="200"/>
        <w:rPr>
          <w:sz w:val="24"/>
        </w:rPr>
      </w:pPr>
      <w:r>
        <w:rPr>
          <w:sz w:val="24"/>
        </w:rPr>
        <w:t>3.1原产地系指服务的生产地，或提供辅助服务的来源地。</w:t>
      </w:r>
    </w:p>
    <w:p>
      <w:pPr>
        <w:spacing w:line="360" w:lineRule="auto"/>
        <w:ind w:firstLine="480" w:firstLineChars="200"/>
        <w:rPr>
          <w:b/>
          <w:sz w:val="24"/>
        </w:rPr>
      </w:pPr>
      <w:r>
        <w:rPr>
          <w:b/>
          <w:sz w:val="24"/>
        </w:rPr>
        <w:t>4、技术规格和标准</w:t>
      </w:r>
    </w:p>
    <w:p>
      <w:pPr>
        <w:spacing w:line="360" w:lineRule="auto"/>
        <w:ind w:firstLine="480" w:firstLineChars="200"/>
        <w:rPr>
          <w:sz w:val="24"/>
        </w:rPr>
      </w:pPr>
      <w:r>
        <w:rPr>
          <w:sz w:val="24"/>
        </w:rPr>
        <w:t>4.1本合同项下所供服务的技术规格应与本招标文件技术规格规定的标准相一致。若技术规格中无相应规定，则应符合相应的国家标准或有关权威部门最新颁布的相应的正式标准。</w:t>
      </w:r>
    </w:p>
    <w:p>
      <w:pPr>
        <w:spacing w:line="360" w:lineRule="auto"/>
        <w:ind w:firstLine="480" w:firstLineChars="200"/>
        <w:rPr>
          <w:b/>
          <w:sz w:val="24"/>
        </w:rPr>
      </w:pPr>
      <w:r>
        <w:rPr>
          <w:b/>
          <w:sz w:val="24"/>
        </w:rPr>
        <w:t>5、专利权</w:t>
      </w:r>
    </w:p>
    <w:p>
      <w:pPr>
        <w:spacing w:line="360" w:lineRule="auto"/>
        <w:ind w:firstLine="480" w:firstLineChars="200"/>
        <w:rPr>
          <w:sz w:val="24"/>
        </w:rPr>
      </w:pPr>
      <w:r>
        <w:rPr>
          <w:sz w:val="24"/>
        </w:rPr>
        <w:t>5.1卖方须保障买方在使用其提供的服务及其任何部分时不受到第三方关于侵犯专利权、商标权或工业设计权的指控。任何第三方如果提出侵权指控，卖方须与第三方交涉并承担由此而引起的一切法律责任和费用。</w:t>
      </w:r>
    </w:p>
    <w:p>
      <w:pPr>
        <w:spacing w:line="360" w:lineRule="auto"/>
        <w:ind w:firstLine="480" w:firstLineChars="200"/>
        <w:rPr>
          <w:b/>
          <w:sz w:val="24"/>
        </w:rPr>
      </w:pPr>
      <w:r>
        <w:rPr>
          <w:b/>
          <w:sz w:val="24"/>
        </w:rPr>
        <w:t>6、保险</w:t>
      </w:r>
    </w:p>
    <w:p>
      <w:pPr>
        <w:spacing w:line="360" w:lineRule="auto"/>
        <w:ind w:firstLine="480" w:firstLineChars="200"/>
        <w:rPr>
          <w:sz w:val="24"/>
        </w:rPr>
      </w:pPr>
      <w:r>
        <w:rPr>
          <w:sz w:val="24"/>
        </w:rPr>
        <w:t>6.1在合同价条件下，由卖方负责办理保险。</w:t>
      </w:r>
    </w:p>
    <w:p>
      <w:pPr>
        <w:spacing w:line="360" w:lineRule="auto"/>
        <w:ind w:firstLine="480" w:firstLineChars="200"/>
        <w:rPr>
          <w:b/>
          <w:sz w:val="24"/>
        </w:rPr>
      </w:pPr>
      <w:r>
        <w:rPr>
          <w:b/>
          <w:sz w:val="24"/>
        </w:rPr>
        <w:t>7、合同价款的支付方式</w:t>
      </w:r>
    </w:p>
    <w:p>
      <w:pPr>
        <w:spacing w:line="360" w:lineRule="auto"/>
        <w:ind w:firstLine="480" w:firstLineChars="200"/>
        <w:rPr>
          <w:sz w:val="24"/>
        </w:rPr>
      </w:pPr>
      <w:r>
        <w:rPr>
          <w:sz w:val="24"/>
        </w:rPr>
        <w:t>7.1合同价款的支付方式以双方协商为准。（另有规定者外）。</w:t>
      </w:r>
    </w:p>
    <w:p>
      <w:pPr>
        <w:spacing w:line="360" w:lineRule="auto"/>
        <w:ind w:firstLine="480" w:firstLineChars="200"/>
        <w:rPr>
          <w:b/>
          <w:sz w:val="24"/>
        </w:rPr>
      </w:pPr>
      <w:r>
        <w:rPr>
          <w:b/>
          <w:sz w:val="24"/>
        </w:rPr>
        <w:t>8、价格</w:t>
      </w:r>
    </w:p>
    <w:p>
      <w:pPr>
        <w:spacing w:line="360" w:lineRule="auto"/>
        <w:ind w:firstLine="480" w:firstLineChars="200"/>
        <w:rPr>
          <w:sz w:val="24"/>
        </w:rPr>
      </w:pPr>
      <w:r>
        <w:rPr>
          <w:sz w:val="24"/>
        </w:rPr>
        <w:t>8.1除合同中另有规定者外，卖方为其所供服务而要求买方支付的金额应与其投标报价一致。</w:t>
      </w:r>
    </w:p>
    <w:p>
      <w:pPr>
        <w:spacing w:line="360" w:lineRule="auto"/>
        <w:ind w:firstLine="480" w:firstLineChars="200"/>
        <w:rPr>
          <w:b/>
          <w:sz w:val="24"/>
        </w:rPr>
      </w:pPr>
      <w:r>
        <w:rPr>
          <w:b/>
          <w:sz w:val="24"/>
        </w:rPr>
        <w:t>9、履约保证金</w:t>
      </w:r>
    </w:p>
    <w:p>
      <w:pPr>
        <w:spacing w:line="360" w:lineRule="auto"/>
        <w:ind w:firstLine="480" w:firstLineChars="200"/>
        <w:rPr>
          <w:sz w:val="24"/>
        </w:rPr>
      </w:pPr>
      <w:r>
        <w:rPr>
          <w:sz w:val="24"/>
        </w:rPr>
        <w:t>9.1合同签订后，卖方须向采购人提交</w:t>
      </w:r>
      <w:r>
        <w:rPr>
          <w:sz w:val="24"/>
          <w:highlight w:val="none"/>
        </w:rPr>
        <w:t>5％</w:t>
      </w:r>
      <w:r>
        <w:rPr>
          <w:sz w:val="24"/>
        </w:rPr>
        <w:t>的履约保证金。</w:t>
      </w:r>
    </w:p>
    <w:p>
      <w:pPr>
        <w:spacing w:line="360" w:lineRule="auto"/>
        <w:ind w:firstLine="480" w:firstLineChars="200"/>
        <w:rPr>
          <w:sz w:val="24"/>
        </w:rPr>
      </w:pPr>
      <w:r>
        <w:rPr>
          <w:sz w:val="24"/>
        </w:rPr>
        <w:t>9.2采购人在验收合格后，七个工作日内无息退还履约保证金。</w:t>
      </w:r>
    </w:p>
    <w:p>
      <w:pPr>
        <w:spacing w:line="360" w:lineRule="auto"/>
        <w:ind w:firstLine="480" w:firstLineChars="200"/>
        <w:rPr>
          <w:b/>
          <w:sz w:val="24"/>
        </w:rPr>
      </w:pPr>
      <w:r>
        <w:rPr>
          <w:b/>
          <w:sz w:val="24"/>
        </w:rPr>
        <w:t>10、索赔</w:t>
      </w:r>
    </w:p>
    <w:p>
      <w:pPr>
        <w:spacing w:line="360" w:lineRule="auto"/>
        <w:ind w:firstLine="480" w:firstLineChars="200"/>
        <w:rPr>
          <w:sz w:val="24"/>
        </w:rPr>
      </w:pPr>
      <w:r>
        <w:rPr>
          <w:sz w:val="24"/>
        </w:rPr>
        <w:t>10.1卖方对所供服务与合同约定相一致负完全责任。在买方已于规定的检验、安装、调试和验收测试期限内提出索赔时，卖方应按买方同意的下述一种或多种方法解决索赔事宜。</w:t>
      </w:r>
    </w:p>
    <w:p>
      <w:pPr>
        <w:spacing w:line="360" w:lineRule="auto"/>
        <w:ind w:firstLine="480" w:firstLineChars="200"/>
        <w:rPr>
          <w:sz w:val="24"/>
        </w:rPr>
      </w:pPr>
      <w:r>
        <w:rPr>
          <w:sz w:val="24"/>
        </w:rPr>
        <w:t>10.2</w:t>
      </w:r>
      <w:r>
        <w:rPr>
          <w:rFonts w:hint="eastAsia"/>
          <w:sz w:val="24"/>
        </w:rPr>
        <w:t>投标人</w:t>
      </w:r>
      <w:r>
        <w:rPr>
          <w:sz w:val="24"/>
        </w:rPr>
        <w:t>提供的服务未能达到标书规定的要求，或者有明显缺陷及损坏设备或软件，采购人将保留索赔的权利。</w:t>
      </w:r>
    </w:p>
    <w:p>
      <w:pPr>
        <w:spacing w:line="360" w:lineRule="auto"/>
        <w:ind w:firstLine="480" w:firstLineChars="200"/>
        <w:rPr>
          <w:sz w:val="24"/>
        </w:rPr>
      </w:pPr>
      <w:r>
        <w:rPr>
          <w:sz w:val="24"/>
        </w:rPr>
        <w:t>10.3若卖方未能在买方依据合法证据正式提出书面索赔通知的10天内或买方同意的更长时间内，按买方同意的上述任何一种方式响应和处理索赔事宜，卖方向买方赔偿违约部分金额的10%的违约金。</w:t>
      </w:r>
    </w:p>
    <w:p>
      <w:pPr>
        <w:spacing w:line="360" w:lineRule="auto"/>
        <w:ind w:firstLine="480" w:firstLineChars="200"/>
        <w:rPr>
          <w:b/>
          <w:sz w:val="24"/>
        </w:rPr>
      </w:pPr>
      <w:r>
        <w:rPr>
          <w:b/>
          <w:sz w:val="24"/>
        </w:rPr>
        <w:t>11、服务响应及</w:t>
      </w:r>
      <w:r>
        <w:rPr>
          <w:rFonts w:hint="eastAsia"/>
          <w:b/>
          <w:sz w:val="24"/>
          <w:lang w:eastAsia="zh-CN"/>
        </w:rPr>
        <w:t>回复</w:t>
      </w:r>
      <w:r>
        <w:rPr>
          <w:b/>
          <w:sz w:val="24"/>
        </w:rPr>
        <w:t>时间要求</w:t>
      </w:r>
    </w:p>
    <w:p>
      <w:pPr>
        <w:spacing w:line="360" w:lineRule="auto"/>
        <w:ind w:firstLine="480" w:firstLineChars="200"/>
        <w:rPr>
          <w:sz w:val="24"/>
        </w:rPr>
      </w:pPr>
      <w:r>
        <w:rPr>
          <w:sz w:val="24"/>
        </w:rPr>
        <w:t>11.1服务商提供7天x24小时技术服务与支持电话，驻场专业技术人员需遵守业主单位办公时间，除节假日外，提供5天x8小时现场服务。如遇重要时间节点，协助业主单位完成全天24小时值班工作及技术支持工作。</w:t>
      </w:r>
    </w:p>
    <w:p>
      <w:pPr>
        <w:spacing w:line="360" w:lineRule="auto"/>
        <w:ind w:firstLine="480" w:firstLineChars="200"/>
        <w:rPr>
          <w:sz w:val="24"/>
        </w:rPr>
      </w:pPr>
      <w:r>
        <w:rPr>
          <w:sz w:val="24"/>
        </w:rPr>
        <w:t>11.2业主单位安排的其它工作。</w:t>
      </w:r>
    </w:p>
    <w:p>
      <w:pPr>
        <w:spacing w:line="360" w:lineRule="auto"/>
        <w:ind w:firstLine="480" w:firstLineChars="200"/>
        <w:rPr>
          <w:b/>
          <w:sz w:val="24"/>
        </w:rPr>
      </w:pPr>
      <w:r>
        <w:rPr>
          <w:b/>
          <w:sz w:val="24"/>
        </w:rPr>
        <w:t>12、不可抗力</w:t>
      </w:r>
    </w:p>
    <w:p>
      <w:pPr>
        <w:spacing w:line="360" w:lineRule="auto"/>
        <w:ind w:firstLine="480" w:firstLineChars="200"/>
        <w:rPr>
          <w:sz w:val="24"/>
        </w:rPr>
      </w:pPr>
      <w:r>
        <w:rPr>
          <w:sz w:val="24"/>
        </w:rPr>
        <w:t>12.1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spacing w:line="360" w:lineRule="auto"/>
        <w:ind w:firstLine="480" w:firstLineChars="200"/>
        <w:rPr>
          <w:sz w:val="24"/>
        </w:rPr>
      </w:pPr>
      <w:r>
        <w:rPr>
          <w:sz w:val="24"/>
        </w:rPr>
        <w:t>12.2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pPr>
        <w:spacing w:line="360" w:lineRule="auto"/>
        <w:ind w:firstLine="480" w:firstLineChars="200"/>
        <w:rPr>
          <w:b/>
          <w:sz w:val="24"/>
        </w:rPr>
      </w:pPr>
      <w:r>
        <w:rPr>
          <w:b/>
          <w:sz w:val="24"/>
        </w:rPr>
        <w:t>13、仲裁</w:t>
      </w:r>
    </w:p>
    <w:p>
      <w:pPr>
        <w:spacing w:line="360" w:lineRule="auto"/>
        <w:ind w:firstLine="480" w:firstLineChars="200"/>
        <w:rPr>
          <w:sz w:val="24"/>
        </w:rPr>
      </w:pPr>
      <w:r>
        <w:rPr>
          <w:sz w:val="24"/>
        </w:rPr>
        <w:t>13.1在执行本合同中发生的或与本合同有关的争端，双方应通过友好协商解决，经协商在30天内不能达成协议时，应提交仲裁。</w:t>
      </w:r>
    </w:p>
    <w:p>
      <w:pPr>
        <w:spacing w:line="360" w:lineRule="auto"/>
        <w:ind w:firstLine="480" w:firstLineChars="200"/>
        <w:rPr>
          <w:sz w:val="24"/>
        </w:rPr>
      </w:pPr>
      <w:r>
        <w:rPr>
          <w:sz w:val="24"/>
        </w:rPr>
        <w:t>13.2仲裁应由买方所在地仲裁机构，根据其仲裁程序和规则进行。</w:t>
      </w:r>
    </w:p>
    <w:p>
      <w:pPr>
        <w:spacing w:line="360" w:lineRule="auto"/>
        <w:ind w:firstLine="480" w:firstLineChars="200"/>
        <w:rPr>
          <w:sz w:val="24"/>
        </w:rPr>
      </w:pPr>
      <w:r>
        <w:rPr>
          <w:sz w:val="24"/>
        </w:rPr>
        <w:t>13.3仲裁裁决为最终决定，并对双方具有约束力。</w:t>
      </w:r>
    </w:p>
    <w:p>
      <w:pPr>
        <w:spacing w:line="360" w:lineRule="auto"/>
        <w:ind w:firstLine="480" w:firstLineChars="200"/>
        <w:rPr>
          <w:sz w:val="24"/>
        </w:rPr>
      </w:pPr>
      <w:r>
        <w:rPr>
          <w:sz w:val="24"/>
        </w:rPr>
        <w:t>13.4除另有裁决外，仲裁费应由败诉方负担。</w:t>
      </w:r>
    </w:p>
    <w:p>
      <w:pPr>
        <w:spacing w:line="360" w:lineRule="auto"/>
        <w:ind w:firstLine="480" w:firstLineChars="200"/>
        <w:rPr>
          <w:sz w:val="24"/>
        </w:rPr>
      </w:pPr>
      <w:r>
        <w:rPr>
          <w:sz w:val="24"/>
        </w:rPr>
        <w:t>13.5在仲裁期间，除正在进行的仲裁部分外，合同其它部分继续执行。</w:t>
      </w:r>
    </w:p>
    <w:p>
      <w:pPr>
        <w:spacing w:line="360" w:lineRule="auto"/>
        <w:ind w:firstLine="480" w:firstLineChars="200"/>
        <w:rPr>
          <w:b/>
          <w:sz w:val="24"/>
        </w:rPr>
      </w:pPr>
      <w:r>
        <w:rPr>
          <w:b/>
          <w:sz w:val="24"/>
        </w:rPr>
        <w:t>14、违约终止合同</w:t>
      </w:r>
    </w:p>
    <w:p>
      <w:pPr>
        <w:spacing w:line="360" w:lineRule="auto"/>
        <w:ind w:firstLine="480" w:firstLineChars="200"/>
        <w:rPr>
          <w:sz w:val="24"/>
        </w:rPr>
      </w:pPr>
      <w:r>
        <w:rPr>
          <w:sz w:val="24"/>
        </w:rPr>
        <w:t>14.1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p>
    <w:p>
      <w:pPr>
        <w:spacing w:line="360" w:lineRule="auto"/>
        <w:ind w:firstLine="480" w:firstLineChars="200"/>
        <w:rPr>
          <w:sz w:val="24"/>
        </w:rPr>
      </w:pPr>
      <w:r>
        <w:rPr>
          <w:rFonts w:hint="eastAsia"/>
          <w:sz w:val="24"/>
        </w:rPr>
        <w:t>（1）</w:t>
      </w:r>
      <w:r>
        <w:rPr>
          <w:sz w:val="24"/>
        </w:rPr>
        <w:t>如果卖方未能在合同规定的期限内或买方准许的任何延期内交付部分或全部服务。</w:t>
      </w:r>
    </w:p>
    <w:p>
      <w:pPr>
        <w:spacing w:line="360" w:lineRule="auto"/>
        <w:ind w:firstLine="480" w:firstLineChars="200"/>
        <w:rPr>
          <w:sz w:val="24"/>
        </w:rPr>
      </w:pPr>
      <w:r>
        <w:rPr>
          <w:rFonts w:hint="eastAsia"/>
          <w:sz w:val="24"/>
        </w:rPr>
        <w:t>（2）</w:t>
      </w:r>
      <w:r>
        <w:rPr>
          <w:sz w:val="24"/>
        </w:rPr>
        <w:t>卖方未能履行合同项下的其它义务。</w:t>
      </w:r>
    </w:p>
    <w:p>
      <w:pPr>
        <w:spacing w:line="360" w:lineRule="auto"/>
        <w:ind w:firstLine="480" w:firstLineChars="200"/>
        <w:rPr>
          <w:sz w:val="24"/>
        </w:rPr>
      </w:pPr>
      <w:r>
        <w:rPr>
          <w:sz w:val="24"/>
        </w:rPr>
        <w:t>14.2一旦买方根据第21.1款终止部分或全部合同，买方可以按其认为适当的条件和方式采购类似未交付部分的服务。卖方应承担买方购买类似服务的价格差及额外费用。但是，卖方应继续履行合同中未终止的部分。</w:t>
      </w:r>
    </w:p>
    <w:p>
      <w:pPr>
        <w:spacing w:line="360" w:lineRule="auto"/>
        <w:ind w:firstLine="470" w:firstLineChars="196"/>
        <w:rPr>
          <w:b/>
          <w:sz w:val="24"/>
        </w:rPr>
      </w:pPr>
      <w:r>
        <w:rPr>
          <w:b/>
          <w:sz w:val="24"/>
        </w:rPr>
        <w:t>15、变更指示</w:t>
      </w:r>
    </w:p>
    <w:p>
      <w:pPr>
        <w:spacing w:line="360" w:lineRule="auto"/>
        <w:ind w:firstLine="480" w:firstLineChars="200"/>
        <w:rPr>
          <w:sz w:val="24"/>
        </w:rPr>
      </w:pPr>
      <w:r>
        <w:rPr>
          <w:sz w:val="24"/>
        </w:rPr>
        <w:t>15.1买卖双方经友好协商可对某些条款作出更改和调整，但不得对招投标内容做出实质性更改，且需以书面形式确认变更内容</w:t>
      </w:r>
    </w:p>
    <w:p>
      <w:pPr>
        <w:spacing w:line="360" w:lineRule="auto"/>
        <w:ind w:firstLine="480" w:firstLineChars="200"/>
        <w:rPr>
          <w:sz w:val="24"/>
        </w:rPr>
      </w:pPr>
      <w:r>
        <w:rPr>
          <w:sz w:val="24"/>
        </w:rPr>
        <w:t>15.2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spacing w:line="360" w:lineRule="auto"/>
        <w:ind w:firstLine="470" w:firstLineChars="196"/>
        <w:rPr>
          <w:b/>
          <w:sz w:val="24"/>
        </w:rPr>
      </w:pPr>
      <w:r>
        <w:rPr>
          <w:b/>
          <w:sz w:val="24"/>
        </w:rPr>
        <w:t>16、合同修改</w:t>
      </w:r>
    </w:p>
    <w:p>
      <w:pPr>
        <w:spacing w:line="360" w:lineRule="auto"/>
        <w:ind w:firstLine="480" w:firstLineChars="200"/>
        <w:rPr>
          <w:sz w:val="24"/>
        </w:rPr>
      </w:pPr>
      <w:r>
        <w:rPr>
          <w:sz w:val="24"/>
        </w:rPr>
        <w:t>16.1欲对合同条款做出任何改动或偏离，均须由买卖双方签署书面的合同修改书。</w:t>
      </w:r>
    </w:p>
    <w:p>
      <w:pPr>
        <w:spacing w:line="360" w:lineRule="auto"/>
        <w:ind w:firstLine="470" w:firstLineChars="196"/>
        <w:rPr>
          <w:b/>
          <w:sz w:val="24"/>
        </w:rPr>
      </w:pPr>
      <w:r>
        <w:rPr>
          <w:b/>
          <w:sz w:val="24"/>
        </w:rPr>
        <w:t>17、适用法律</w:t>
      </w:r>
    </w:p>
    <w:p>
      <w:pPr>
        <w:spacing w:line="360" w:lineRule="auto"/>
        <w:ind w:firstLine="480" w:firstLineChars="200"/>
        <w:rPr>
          <w:sz w:val="24"/>
        </w:rPr>
      </w:pPr>
      <w:r>
        <w:rPr>
          <w:sz w:val="24"/>
        </w:rPr>
        <w:t>17.1本合同应按中华人民共和国的相关法律解释。</w:t>
      </w:r>
    </w:p>
    <w:p>
      <w:pPr>
        <w:spacing w:line="360" w:lineRule="auto"/>
        <w:ind w:firstLine="470" w:firstLineChars="196"/>
        <w:rPr>
          <w:b/>
          <w:sz w:val="24"/>
        </w:rPr>
      </w:pPr>
      <w:r>
        <w:rPr>
          <w:b/>
          <w:sz w:val="24"/>
        </w:rPr>
        <w:t>18、通知</w:t>
      </w:r>
    </w:p>
    <w:p>
      <w:pPr>
        <w:spacing w:line="360" w:lineRule="auto"/>
        <w:ind w:firstLine="480" w:firstLineChars="200"/>
        <w:rPr>
          <w:sz w:val="24"/>
        </w:rPr>
      </w:pPr>
      <w:r>
        <w:rPr>
          <w:sz w:val="24"/>
        </w:rPr>
        <w:t>18.1本合同任何一方给另一方的通知都应以书面或电传、电报、传真的形式发送，而另一方应以书面形式确认并发送到对方明确的地址。</w:t>
      </w:r>
    </w:p>
    <w:p>
      <w:pPr>
        <w:spacing w:line="360" w:lineRule="auto"/>
        <w:ind w:firstLine="470" w:firstLineChars="196"/>
        <w:rPr>
          <w:b/>
          <w:sz w:val="24"/>
        </w:rPr>
      </w:pPr>
      <w:r>
        <w:rPr>
          <w:b/>
          <w:sz w:val="24"/>
        </w:rPr>
        <w:t>19、合同文件及资料的使用</w:t>
      </w:r>
    </w:p>
    <w:p>
      <w:pPr>
        <w:spacing w:line="360" w:lineRule="auto"/>
        <w:ind w:firstLine="480" w:firstLineChars="200"/>
        <w:rPr>
          <w:sz w:val="24"/>
        </w:rPr>
      </w:pPr>
      <w:r>
        <w:rPr>
          <w:sz w:val="24"/>
        </w:rPr>
        <w:t>19.1除了买、卖方为执行合同所雇人员外，在未经买、卖双方同意的情况下，买、卖方不得将合同、合同中的规定、有关规格、计划、图纸、式样透露给任何人。买、卖方须在对外保密的前提下，对其雇用人员提供有关情况，所提供的情况仅限于执行本合同必不可少的范围内。</w:t>
      </w:r>
    </w:p>
    <w:p>
      <w:pPr>
        <w:spacing w:line="360" w:lineRule="auto"/>
        <w:ind w:firstLine="480" w:firstLineChars="200"/>
        <w:rPr>
          <w:sz w:val="24"/>
        </w:rPr>
      </w:pPr>
      <w:r>
        <w:rPr>
          <w:sz w:val="24"/>
        </w:rPr>
        <w:t>19.2除非执行合同需要，在事先末得到买、卖方同意的情况下，买、卖方不得将与本合同有关的任何文件和资料给第三方使用。</w:t>
      </w:r>
    </w:p>
    <w:p>
      <w:pPr>
        <w:spacing w:line="360" w:lineRule="auto"/>
        <w:ind w:firstLine="470" w:firstLineChars="196"/>
        <w:rPr>
          <w:sz w:val="24"/>
        </w:rPr>
      </w:pPr>
      <w:r>
        <w:rPr>
          <w:b/>
          <w:sz w:val="24"/>
        </w:rPr>
        <w:t>20、合同生效及其他</w:t>
      </w:r>
    </w:p>
    <w:p>
      <w:pPr>
        <w:spacing w:line="360" w:lineRule="auto"/>
        <w:ind w:firstLine="480" w:firstLineChars="200"/>
        <w:rPr>
          <w:sz w:val="24"/>
        </w:rPr>
      </w:pPr>
      <w:r>
        <w:rPr>
          <w:sz w:val="24"/>
        </w:rPr>
        <w:t>20.1本合同应在买方和卖方签字盖章后生效。</w:t>
      </w:r>
    </w:p>
    <w:p>
      <w:pPr>
        <w:spacing w:line="360" w:lineRule="auto"/>
        <w:ind w:firstLine="480" w:firstLineChars="200"/>
        <w:rPr>
          <w:sz w:val="24"/>
        </w:rPr>
      </w:pPr>
      <w:r>
        <w:rPr>
          <w:sz w:val="24"/>
        </w:rPr>
        <w:t>20.2卖方须按技术规格中的规定，向买方提供与合同项下服务有关的现场、技术服务、培训等其他相关服务。</w:t>
      </w:r>
    </w:p>
    <w:p>
      <w:pPr>
        <w:spacing w:line="360" w:lineRule="auto"/>
        <w:ind w:firstLine="480" w:firstLineChars="200"/>
        <w:rPr>
          <w:sz w:val="24"/>
        </w:rPr>
      </w:pPr>
      <w:r>
        <w:rPr>
          <w:sz w:val="24"/>
        </w:rPr>
        <w:t>20.3商务合同应包括买方最后确认的价格条款和付款方式。</w:t>
      </w:r>
    </w:p>
    <w:p>
      <w:pPr>
        <w:spacing w:line="360" w:lineRule="auto"/>
        <w:ind w:firstLine="480" w:firstLineChars="200"/>
        <w:rPr>
          <w:sz w:val="24"/>
        </w:rPr>
      </w:pPr>
      <w:r>
        <w:rPr>
          <w:sz w:val="24"/>
        </w:rPr>
        <w:t>20.4下述文件将作为合同附件，为本合同不可分割的组成部分，并与本合具有同等效力；</w:t>
      </w:r>
    </w:p>
    <w:p>
      <w:pPr>
        <w:spacing w:line="360" w:lineRule="auto"/>
        <w:ind w:firstLine="600" w:firstLineChars="250"/>
        <w:rPr>
          <w:sz w:val="24"/>
        </w:rPr>
      </w:pPr>
      <w:r>
        <w:rPr>
          <w:sz w:val="24"/>
        </w:rPr>
        <w:t>（1）招标文件</w:t>
      </w:r>
      <w:r>
        <w:rPr>
          <w:rFonts w:hint="eastAsia"/>
          <w:sz w:val="24"/>
        </w:rPr>
        <w:t>；</w:t>
      </w:r>
    </w:p>
    <w:p>
      <w:pPr>
        <w:spacing w:line="360" w:lineRule="auto"/>
        <w:ind w:firstLine="600" w:firstLineChars="250"/>
        <w:rPr>
          <w:sz w:val="24"/>
        </w:rPr>
      </w:pPr>
      <w:r>
        <w:rPr>
          <w:rFonts w:hint="eastAsia"/>
          <w:sz w:val="24"/>
        </w:rPr>
        <w:t>（2）</w:t>
      </w:r>
      <w:r>
        <w:rPr>
          <w:sz w:val="24"/>
        </w:rPr>
        <w:t>中标通知书</w:t>
      </w:r>
      <w:r>
        <w:rPr>
          <w:rFonts w:hint="eastAsia"/>
          <w:sz w:val="24"/>
        </w:rPr>
        <w:t>；</w:t>
      </w:r>
    </w:p>
    <w:p>
      <w:pPr>
        <w:spacing w:line="360" w:lineRule="auto"/>
        <w:ind w:firstLine="600" w:firstLineChars="250"/>
        <w:rPr>
          <w:sz w:val="24"/>
        </w:rPr>
      </w:pPr>
      <w:r>
        <w:rPr>
          <w:rFonts w:hint="eastAsia"/>
          <w:sz w:val="24"/>
        </w:rPr>
        <w:t>（3）</w:t>
      </w:r>
      <w:r>
        <w:rPr>
          <w:sz w:val="24"/>
        </w:rPr>
        <w:t>中标人的投标文件及询标过程中的书面答疑记录</w:t>
      </w:r>
      <w:r>
        <w:rPr>
          <w:rFonts w:hint="eastAsia"/>
          <w:sz w:val="24"/>
        </w:rPr>
        <w:t>；</w:t>
      </w:r>
    </w:p>
    <w:p>
      <w:pPr>
        <w:spacing w:line="360" w:lineRule="auto"/>
        <w:ind w:firstLine="480" w:firstLineChars="200"/>
        <w:rPr>
          <w:b/>
          <w:sz w:val="24"/>
        </w:rPr>
      </w:pPr>
      <w:r>
        <w:rPr>
          <w:b/>
          <w:sz w:val="24"/>
        </w:rPr>
        <w:t>21、质量保证</w:t>
      </w:r>
    </w:p>
    <w:p>
      <w:pPr>
        <w:spacing w:line="360" w:lineRule="auto"/>
        <w:ind w:firstLine="480" w:firstLineChars="200"/>
        <w:rPr>
          <w:sz w:val="24"/>
        </w:rPr>
      </w:pPr>
      <w:r>
        <w:rPr>
          <w:sz w:val="24"/>
        </w:rPr>
        <w:t>21.1因乙方原因造成甲方不能按时使用（根据合同有关条款）所购设备或服务时，乙方应根据合同规定向甲方做出赔偿。</w:t>
      </w:r>
    </w:p>
    <w:p>
      <w:pPr>
        <w:spacing w:line="360" w:lineRule="auto"/>
        <w:ind w:firstLine="480" w:firstLineChars="200"/>
        <w:rPr>
          <w:b/>
          <w:sz w:val="24"/>
        </w:rPr>
      </w:pPr>
      <w:r>
        <w:rPr>
          <w:b/>
          <w:sz w:val="24"/>
        </w:rPr>
        <w:t>22、投标报价</w:t>
      </w:r>
    </w:p>
    <w:p>
      <w:pPr>
        <w:spacing w:line="360" w:lineRule="auto"/>
        <w:ind w:firstLine="480" w:firstLineChars="200"/>
        <w:rPr>
          <w:sz w:val="24"/>
        </w:rPr>
      </w:pPr>
      <w:r>
        <w:rPr>
          <w:sz w:val="24"/>
        </w:rPr>
        <w:t>22.1投标报价：交钥匙服务价，内容见须知前附表。</w:t>
      </w:r>
    </w:p>
    <w:p>
      <w:pPr>
        <w:spacing w:line="360" w:lineRule="auto"/>
        <w:ind w:firstLine="480" w:firstLineChars="200"/>
        <w:rPr>
          <w:sz w:val="24"/>
        </w:rPr>
      </w:pPr>
      <w:r>
        <w:rPr>
          <w:sz w:val="24"/>
        </w:rPr>
        <w:t>22.2投标货币：人民币</w:t>
      </w:r>
    </w:p>
    <w:p>
      <w:pPr>
        <w:spacing w:line="360" w:lineRule="auto"/>
        <w:ind w:firstLine="470" w:firstLineChars="196"/>
        <w:rPr>
          <w:b/>
          <w:sz w:val="24"/>
        </w:rPr>
      </w:pPr>
      <w:r>
        <w:rPr>
          <w:b/>
          <w:sz w:val="24"/>
        </w:rPr>
        <w:t>23、特殊要求</w:t>
      </w:r>
    </w:p>
    <w:p>
      <w:pPr>
        <w:spacing w:line="360" w:lineRule="auto"/>
        <w:ind w:firstLine="470" w:firstLineChars="196"/>
        <w:rPr>
          <w:b/>
          <w:sz w:val="32"/>
          <w:szCs w:val="32"/>
        </w:rPr>
      </w:pPr>
      <w:r>
        <w:rPr>
          <w:sz w:val="24"/>
        </w:rPr>
        <w:t>合同特殊条款是对合同一般条款的补充和修改，如果两者之间有不一致之处时，应以特殊条款为准。</w:t>
      </w:r>
    </w:p>
    <w:p>
      <w:pPr>
        <w:adjustRightInd w:val="0"/>
        <w:snapToGrid w:val="0"/>
        <w:spacing w:before="100" w:beforeAutospacing="1" w:after="100" w:afterAutospacing="1"/>
        <w:jc w:val="center"/>
        <w:rPr>
          <w:b/>
          <w:sz w:val="32"/>
          <w:szCs w:val="32"/>
        </w:rPr>
      </w:pPr>
    </w:p>
    <w:p>
      <w:pPr>
        <w:adjustRightInd w:val="0"/>
        <w:snapToGrid w:val="0"/>
        <w:spacing w:before="100" w:beforeAutospacing="1" w:after="100" w:afterAutospacing="1"/>
        <w:jc w:val="center"/>
        <w:rPr>
          <w:b/>
          <w:sz w:val="32"/>
          <w:szCs w:val="32"/>
        </w:rPr>
      </w:pPr>
    </w:p>
    <w:p>
      <w:pPr>
        <w:pStyle w:val="4"/>
        <w:rPr>
          <w:b/>
          <w:sz w:val="32"/>
          <w:szCs w:val="32"/>
        </w:rPr>
      </w:pPr>
    </w:p>
    <w:p/>
    <w:p>
      <w:pPr>
        <w:adjustRightInd w:val="0"/>
        <w:snapToGrid w:val="0"/>
        <w:spacing w:before="100" w:beforeAutospacing="1" w:after="100" w:afterAutospacing="1"/>
        <w:jc w:val="center"/>
        <w:rPr>
          <w:b/>
          <w:sz w:val="32"/>
          <w:szCs w:val="32"/>
        </w:rPr>
      </w:pPr>
    </w:p>
    <w:p>
      <w:pPr>
        <w:adjustRightInd w:val="0"/>
        <w:snapToGrid w:val="0"/>
        <w:spacing w:before="100" w:beforeAutospacing="1" w:after="100" w:afterAutospacing="1"/>
        <w:jc w:val="center"/>
        <w:rPr>
          <w:b/>
          <w:sz w:val="32"/>
          <w:szCs w:val="32"/>
        </w:rPr>
      </w:pPr>
    </w:p>
    <w:p>
      <w:pPr>
        <w:pStyle w:val="4"/>
        <w:keepNext w:val="0"/>
        <w:keepLines w:val="0"/>
        <w:numPr>
          <w:ilvl w:val="0"/>
          <w:numId w:val="3"/>
        </w:numPr>
        <w:adjustRightInd w:val="0"/>
        <w:snapToGrid w:val="0"/>
        <w:spacing w:before="100" w:beforeAutospacing="1" w:after="100" w:afterAutospacing="1" w:line="240" w:lineRule="auto"/>
        <w:jc w:val="center"/>
        <w:rPr>
          <w:rFonts w:hint="eastAsia"/>
          <w:sz w:val="32"/>
          <w:szCs w:val="32"/>
          <w:lang w:eastAsia="zh-CN"/>
        </w:rPr>
      </w:pPr>
      <w:bookmarkStart w:id="22" w:name="_Toc9321"/>
      <w:r>
        <w:rPr>
          <w:rFonts w:hint="eastAsia"/>
          <w:sz w:val="32"/>
          <w:szCs w:val="32"/>
          <w:lang w:eastAsia="zh-CN"/>
        </w:rPr>
        <w:t>投标文件格式</w:t>
      </w:r>
      <w:bookmarkEnd w:id="22"/>
    </w:p>
    <w:p>
      <w:pPr>
        <w:spacing w:line="440" w:lineRule="exact"/>
        <w:rPr>
          <w:rFonts w:hint="eastAsia" w:ascii="宋体" w:hAnsi="宋体" w:cs="宋体"/>
          <w:b/>
          <w:sz w:val="24"/>
        </w:rPr>
      </w:pPr>
    </w:p>
    <w:p>
      <w:pPr>
        <w:spacing w:line="440" w:lineRule="exact"/>
        <w:rPr>
          <w:rFonts w:hint="default" w:ascii="宋体" w:hAnsi="宋体" w:eastAsia="宋体" w:cs="宋体"/>
          <w:b/>
          <w:sz w:val="24"/>
          <w:lang w:val="en-US" w:eastAsia="zh-CN"/>
        </w:rPr>
      </w:pPr>
      <w:r>
        <w:rPr>
          <w:rFonts w:hint="eastAsia" w:ascii="宋体" w:hAnsi="宋体" w:cs="宋体"/>
          <w:b/>
          <w:sz w:val="24"/>
        </w:rPr>
        <w:t>注:</w:t>
      </w:r>
      <w:r>
        <w:rPr>
          <w:rFonts w:hint="eastAsia" w:ascii="宋体" w:hAnsi="宋体" w:cs="宋体"/>
          <w:b/>
          <w:sz w:val="24"/>
          <w:lang w:val="en-US" w:eastAsia="zh-CN"/>
        </w:rPr>
        <w:t>投标文件按照招标文件</w:t>
      </w:r>
      <w:r>
        <w:rPr>
          <w:rFonts w:hint="eastAsia" w:ascii="宋体" w:hAnsi="宋体" w:eastAsia="宋体" w:cs="宋体"/>
          <w:b/>
          <w:sz w:val="24"/>
          <w:lang w:val="en-US" w:eastAsia="zh-CN"/>
        </w:rPr>
        <w:t>第三部分投标说明</w:t>
      </w:r>
      <w:r>
        <w:rPr>
          <w:rFonts w:hint="eastAsia" w:ascii="宋体" w:hAnsi="宋体" w:cs="宋体"/>
          <w:b/>
          <w:sz w:val="24"/>
          <w:lang w:val="en-US" w:eastAsia="zh-CN"/>
        </w:rPr>
        <w:t>相关要求进行编写，未提供格式部分格式自拟</w:t>
      </w: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spacing w:line="440" w:lineRule="exact"/>
        <w:ind w:firstLine="560" w:firstLineChars="200"/>
        <w:rPr>
          <w:b/>
          <w:sz w:val="28"/>
          <w:szCs w:val="28"/>
        </w:rPr>
      </w:pPr>
    </w:p>
    <w:p>
      <w:pPr>
        <w:pStyle w:val="4"/>
      </w:pPr>
    </w:p>
    <w:p>
      <w:pPr>
        <w:spacing w:line="440" w:lineRule="exact"/>
        <w:rPr>
          <w:b/>
          <w:sz w:val="28"/>
          <w:szCs w:val="28"/>
        </w:rPr>
      </w:pPr>
    </w:p>
    <w:p>
      <w:pPr>
        <w:spacing w:line="440" w:lineRule="exact"/>
        <w:rPr>
          <w:b/>
          <w:sz w:val="28"/>
          <w:szCs w:val="28"/>
        </w:rPr>
      </w:pPr>
      <w:r>
        <w:rPr>
          <w:b/>
          <w:sz w:val="28"/>
          <w:szCs w:val="28"/>
        </w:rPr>
        <w:t xml:space="preserve">附表一                           </w:t>
      </w:r>
    </w:p>
    <w:p>
      <w:pPr>
        <w:spacing w:line="440" w:lineRule="exact"/>
        <w:jc w:val="center"/>
        <w:rPr>
          <w:b/>
          <w:sz w:val="28"/>
          <w:szCs w:val="28"/>
        </w:rPr>
      </w:pPr>
      <w:r>
        <w:rPr>
          <w:b/>
          <w:sz w:val="28"/>
          <w:szCs w:val="28"/>
        </w:rPr>
        <w:t>承 诺 函</w:t>
      </w:r>
    </w:p>
    <w:p>
      <w:pPr>
        <w:pStyle w:val="36"/>
        <w:ind w:firstLine="560"/>
      </w:pPr>
    </w:p>
    <w:p>
      <w:pPr>
        <w:spacing w:line="440" w:lineRule="exact"/>
        <w:ind w:firstLine="480" w:firstLineChars="200"/>
        <w:rPr>
          <w:rFonts w:hint="eastAsia"/>
          <w:sz w:val="24"/>
          <w:u w:val="single"/>
        </w:rPr>
      </w:pPr>
      <w:r>
        <w:rPr>
          <w:rFonts w:hint="eastAsia"/>
          <w:sz w:val="24"/>
          <w:u w:val="single"/>
        </w:rPr>
        <w:t>特克斯县住房和城乡建设局</w:t>
      </w:r>
    </w:p>
    <w:p>
      <w:pPr>
        <w:spacing w:line="440" w:lineRule="exact"/>
        <w:ind w:firstLine="480" w:firstLineChars="200"/>
        <w:rPr>
          <w:sz w:val="24"/>
        </w:rPr>
      </w:pPr>
      <w:r>
        <w:rPr>
          <w:rFonts w:hint="eastAsia"/>
          <w:sz w:val="24"/>
          <w:u w:val="single"/>
        </w:rPr>
        <w:t>（</w:t>
      </w:r>
      <w:r>
        <w:rPr>
          <w:sz w:val="24"/>
          <w:u w:val="single"/>
        </w:rPr>
        <w:t>投标人全称</w:t>
      </w:r>
      <w:r>
        <w:rPr>
          <w:rFonts w:hint="eastAsia"/>
          <w:sz w:val="24"/>
          <w:u w:val="single"/>
        </w:rPr>
        <w:t>）</w:t>
      </w:r>
      <w:r>
        <w:rPr>
          <w:sz w:val="24"/>
        </w:rPr>
        <w:t>授权</w:t>
      </w:r>
      <w:r>
        <w:rPr>
          <w:rFonts w:hint="eastAsia"/>
          <w:sz w:val="24"/>
          <w:u w:val="single"/>
        </w:rPr>
        <w:t>（</w:t>
      </w:r>
      <w:r>
        <w:rPr>
          <w:sz w:val="24"/>
          <w:u w:val="single"/>
        </w:rPr>
        <w:t>全权代表姓名）（职务、职称</w:t>
      </w:r>
      <w:r>
        <w:rPr>
          <w:rFonts w:hint="eastAsia"/>
          <w:sz w:val="24"/>
          <w:u w:val="single"/>
        </w:rPr>
        <w:t>）</w:t>
      </w:r>
      <w:r>
        <w:rPr>
          <w:sz w:val="24"/>
        </w:rPr>
        <w:t>为全权代表，参加贵方组织的</w:t>
      </w:r>
      <w:r>
        <w:rPr>
          <w:sz w:val="24"/>
          <w:u w:val="single"/>
        </w:rPr>
        <w:t>（采购编号、釆购项目 名称、包号）</w:t>
      </w:r>
      <w:r>
        <w:rPr>
          <w:sz w:val="24"/>
        </w:rPr>
        <w:t>招标的有关活动。为此：我方同意在投标人须知前列表规定的投标日期起遵守本承诺函中的承诺且在投标有效期满之前均具有约束力。</w:t>
      </w:r>
    </w:p>
    <w:p>
      <w:pPr>
        <w:spacing w:line="440" w:lineRule="exact"/>
        <w:ind w:firstLine="480" w:firstLineChars="200"/>
        <w:rPr>
          <w:sz w:val="24"/>
        </w:rPr>
      </w:pPr>
      <w:r>
        <w:rPr>
          <w:sz w:val="24"/>
        </w:rPr>
        <w:t>1、我方承诺已经具备《中华人民共和国政府采购法》中规定的参加政府采购活动的投标人应当具备的条件：</w:t>
      </w:r>
    </w:p>
    <w:p>
      <w:pPr>
        <w:spacing w:line="440" w:lineRule="exact"/>
        <w:ind w:firstLine="480" w:firstLineChars="200"/>
        <w:rPr>
          <w:sz w:val="24"/>
        </w:rPr>
      </w:pPr>
      <w:r>
        <w:rPr>
          <w:sz w:val="24"/>
        </w:rPr>
        <w:t>（1）具有独立承担民事责任的能力；</w:t>
      </w:r>
    </w:p>
    <w:p>
      <w:pPr>
        <w:spacing w:line="440" w:lineRule="exact"/>
        <w:ind w:firstLine="480" w:firstLineChars="200"/>
        <w:rPr>
          <w:sz w:val="24"/>
        </w:rPr>
      </w:pPr>
      <w:r>
        <w:rPr>
          <w:sz w:val="24"/>
        </w:rPr>
        <w:t>（2）遵守国家法律、行政法规，具有良好的信誉和商业道德；</w:t>
      </w:r>
    </w:p>
    <w:p>
      <w:pPr>
        <w:spacing w:line="440" w:lineRule="exact"/>
        <w:ind w:firstLine="480" w:firstLineChars="200"/>
        <w:rPr>
          <w:sz w:val="24"/>
        </w:rPr>
      </w:pPr>
      <w:r>
        <w:rPr>
          <w:sz w:val="24"/>
        </w:rPr>
        <w:t>（3）具有履行合同的能力和良好的履行合同记录；</w:t>
      </w:r>
    </w:p>
    <w:p>
      <w:pPr>
        <w:spacing w:line="440" w:lineRule="exact"/>
        <w:ind w:firstLine="480" w:firstLineChars="200"/>
        <w:rPr>
          <w:sz w:val="24"/>
        </w:rPr>
      </w:pPr>
      <w:r>
        <w:rPr>
          <w:sz w:val="24"/>
        </w:rPr>
        <w:t>（4）具有良好的资金、财务状况及依法缴纳税收和社会保障资金的记录；</w:t>
      </w:r>
    </w:p>
    <w:p>
      <w:pPr>
        <w:spacing w:line="440" w:lineRule="exact"/>
        <w:ind w:firstLine="480" w:firstLineChars="200"/>
        <w:rPr>
          <w:sz w:val="24"/>
        </w:rPr>
      </w:pPr>
      <w:r>
        <w:rPr>
          <w:sz w:val="24"/>
        </w:rPr>
        <w:t>（5）产品及生产所需装备符合中国政府规定的相应技术标准和环保标准；</w:t>
      </w:r>
    </w:p>
    <w:p>
      <w:pPr>
        <w:spacing w:line="440" w:lineRule="exact"/>
        <w:ind w:firstLine="480" w:firstLineChars="200"/>
        <w:rPr>
          <w:sz w:val="24"/>
        </w:rPr>
      </w:pPr>
      <w:r>
        <w:rPr>
          <w:sz w:val="24"/>
        </w:rPr>
        <w:t>（6）没有违反政府采购法规、政策的记录；</w:t>
      </w:r>
    </w:p>
    <w:p>
      <w:pPr>
        <w:spacing w:line="440" w:lineRule="exact"/>
        <w:ind w:firstLine="480" w:firstLineChars="200"/>
        <w:rPr>
          <w:sz w:val="24"/>
        </w:rPr>
      </w:pPr>
      <w:r>
        <w:rPr>
          <w:sz w:val="24"/>
        </w:rPr>
        <w:t>（7）没有发生重大经济纠纷、经济犯罪和走私犯罪记录；</w:t>
      </w:r>
    </w:p>
    <w:p>
      <w:pPr>
        <w:spacing w:line="440" w:lineRule="exact"/>
        <w:ind w:firstLine="480" w:firstLineChars="200"/>
        <w:rPr>
          <w:sz w:val="24"/>
        </w:rPr>
      </w:pPr>
      <w:r>
        <w:rPr>
          <w:sz w:val="24"/>
        </w:rPr>
        <w:t>2、提供投标须知规定的全部投标文件；投标人须知前</w:t>
      </w:r>
      <w:r>
        <w:rPr>
          <w:rFonts w:hint="eastAsia"/>
          <w:sz w:val="24"/>
          <w:lang w:eastAsia="zh-CN"/>
        </w:rPr>
        <w:t>附</w:t>
      </w:r>
      <w:r>
        <w:rPr>
          <w:sz w:val="24"/>
        </w:rPr>
        <w:t>表要求的投标人提交的全部文件；投标保证金已交纳；按招标文件要求提供和交付的服务的报价详见商务报价表。</w:t>
      </w:r>
    </w:p>
    <w:p>
      <w:pPr>
        <w:spacing w:line="440" w:lineRule="exact"/>
        <w:ind w:firstLine="360" w:firstLineChars="150"/>
        <w:rPr>
          <w:sz w:val="24"/>
        </w:rPr>
      </w:pPr>
      <w:r>
        <w:rPr>
          <w:sz w:val="24"/>
        </w:rPr>
        <w:t>3、保证忠实地执行双方所签订的合同，并承担合同规定的责任和义务。</w:t>
      </w:r>
    </w:p>
    <w:p>
      <w:pPr>
        <w:spacing w:line="440" w:lineRule="exact"/>
        <w:ind w:firstLine="360" w:firstLineChars="150"/>
        <w:rPr>
          <w:sz w:val="24"/>
        </w:rPr>
      </w:pPr>
      <w:r>
        <w:rPr>
          <w:sz w:val="24"/>
        </w:rPr>
        <w:t>4、保证遵守招标文件中的其他有关条款。</w:t>
      </w:r>
    </w:p>
    <w:p>
      <w:pPr>
        <w:spacing w:line="440" w:lineRule="exact"/>
        <w:ind w:firstLine="360" w:firstLineChars="150"/>
        <w:rPr>
          <w:sz w:val="24"/>
        </w:rPr>
      </w:pPr>
      <w:r>
        <w:rPr>
          <w:sz w:val="24"/>
        </w:rPr>
        <w:t>5、如果在招标后规定的投标有效期内撤回投标文件或者有其他违约行为， 我们的投标保证金可不予退还。</w:t>
      </w:r>
    </w:p>
    <w:p>
      <w:pPr>
        <w:spacing w:line="440" w:lineRule="exact"/>
        <w:ind w:firstLine="360" w:firstLineChars="150"/>
        <w:rPr>
          <w:sz w:val="24"/>
        </w:rPr>
      </w:pPr>
      <w:r>
        <w:rPr>
          <w:sz w:val="24"/>
        </w:rPr>
        <w:t>6、我们完全理解贵方不一定要接受最低报价或收到的任何投标。</w:t>
      </w:r>
    </w:p>
    <w:p>
      <w:pPr>
        <w:spacing w:line="440" w:lineRule="exact"/>
        <w:ind w:firstLine="360" w:firstLineChars="150"/>
        <w:rPr>
          <w:sz w:val="24"/>
        </w:rPr>
      </w:pPr>
      <w:r>
        <w:rPr>
          <w:sz w:val="24"/>
        </w:rPr>
        <w:t>7、我方愿意向贵方提供真实完整的任何与该项目有关的数据、情况和技术资料。若贵方需要，我方愿意提供我方作出的一切承诺的证明材料。</w:t>
      </w:r>
    </w:p>
    <w:p>
      <w:pPr>
        <w:spacing w:line="440" w:lineRule="exact"/>
        <w:ind w:firstLine="360" w:firstLineChars="150"/>
        <w:rPr>
          <w:sz w:val="24"/>
        </w:rPr>
      </w:pPr>
      <w:r>
        <w:rPr>
          <w:sz w:val="24"/>
        </w:rPr>
        <w:t>8、我方已详细审核全部招标文件，包括招标的修改文件（如有的话）、参考资料及有关附件，确认无误。</w:t>
      </w:r>
    </w:p>
    <w:p>
      <w:pPr>
        <w:spacing w:line="440" w:lineRule="exact"/>
        <w:ind w:firstLine="360" w:firstLineChars="150"/>
        <w:rPr>
          <w:sz w:val="24"/>
        </w:rPr>
      </w:pPr>
      <w:r>
        <w:rPr>
          <w:sz w:val="24"/>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rPr>
          <w:sz w:val="24"/>
        </w:rPr>
      </w:pPr>
      <w:r>
        <w:rPr>
          <w:rFonts w:hint="eastAsia"/>
          <w:sz w:val="24"/>
        </w:rPr>
        <w:t>（</w:t>
      </w:r>
      <w:r>
        <w:rPr>
          <w:sz w:val="24"/>
        </w:rPr>
        <w:t>一）提供虚假材料谋取中标的；</w:t>
      </w:r>
    </w:p>
    <w:p>
      <w:pPr>
        <w:spacing w:line="440" w:lineRule="exact"/>
        <w:ind w:firstLine="480" w:firstLineChars="200"/>
        <w:rPr>
          <w:sz w:val="24"/>
        </w:rPr>
      </w:pPr>
      <w:r>
        <w:rPr>
          <w:rFonts w:hint="eastAsia"/>
          <w:sz w:val="24"/>
        </w:rPr>
        <w:t>（</w:t>
      </w:r>
      <w:r>
        <w:rPr>
          <w:sz w:val="24"/>
        </w:rPr>
        <w:t>二）采取不正当手段诋毁、排挤其他投标人的；</w:t>
      </w:r>
    </w:p>
    <w:p>
      <w:pPr>
        <w:spacing w:line="440" w:lineRule="exact"/>
        <w:ind w:firstLine="480" w:firstLineChars="200"/>
        <w:rPr>
          <w:sz w:val="24"/>
        </w:rPr>
      </w:pPr>
      <w:r>
        <w:rPr>
          <w:rFonts w:hint="eastAsia"/>
          <w:sz w:val="24"/>
        </w:rPr>
        <w:t>（</w:t>
      </w:r>
      <w:r>
        <w:rPr>
          <w:sz w:val="24"/>
        </w:rPr>
        <w:t>三）与采购单位、其它投标人或者釆购代理机构恶意串通的；</w:t>
      </w:r>
    </w:p>
    <w:p>
      <w:pPr>
        <w:spacing w:line="440" w:lineRule="exact"/>
        <w:ind w:firstLine="480" w:firstLineChars="200"/>
        <w:rPr>
          <w:sz w:val="24"/>
        </w:rPr>
      </w:pPr>
      <w:r>
        <w:rPr>
          <w:rFonts w:hint="eastAsia"/>
          <w:sz w:val="24"/>
        </w:rPr>
        <w:t>（</w:t>
      </w:r>
      <w:r>
        <w:rPr>
          <w:sz w:val="24"/>
        </w:rPr>
        <w:t>四）向采购人、采购代理机构行贿或者提供其他不正当利益的；</w:t>
      </w:r>
    </w:p>
    <w:p>
      <w:pPr>
        <w:spacing w:line="440" w:lineRule="exact"/>
        <w:ind w:firstLine="480" w:firstLineChars="200"/>
        <w:rPr>
          <w:sz w:val="24"/>
        </w:rPr>
      </w:pPr>
      <w:r>
        <w:rPr>
          <w:rFonts w:hint="eastAsia"/>
          <w:sz w:val="24"/>
        </w:rPr>
        <w:t>（</w:t>
      </w:r>
      <w:r>
        <w:rPr>
          <w:sz w:val="24"/>
        </w:rPr>
        <w:t>五）在招标采购过程中与采购人进行协商的；</w:t>
      </w:r>
    </w:p>
    <w:p>
      <w:pPr>
        <w:spacing w:line="440" w:lineRule="exact"/>
        <w:ind w:firstLine="480" w:firstLineChars="200"/>
        <w:rPr>
          <w:sz w:val="24"/>
        </w:rPr>
      </w:pPr>
      <w:r>
        <w:rPr>
          <w:rFonts w:hint="eastAsia"/>
          <w:sz w:val="24"/>
        </w:rPr>
        <w:t>（</w:t>
      </w:r>
      <w:r>
        <w:rPr>
          <w:sz w:val="24"/>
        </w:rPr>
        <w:t>六）拒绝有关部门监督检查或提供虚假情况的。</w:t>
      </w:r>
    </w:p>
    <w:p>
      <w:pPr>
        <w:spacing w:line="440" w:lineRule="exact"/>
        <w:ind w:firstLine="480" w:firstLineChars="200"/>
        <w:rPr>
          <w:sz w:val="24"/>
        </w:rPr>
      </w:pPr>
      <w:r>
        <w:rPr>
          <w:sz w:val="24"/>
        </w:rPr>
        <w:t>10、我方的投标文件在中标后</w:t>
      </w:r>
      <w:r>
        <w:rPr>
          <w:rFonts w:hint="eastAsia"/>
          <w:sz w:val="24"/>
          <w:highlight w:val="none"/>
          <w:lang w:val="en-US" w:eastAsia="zh-CN"/>
        </w:rPr>
        <w:t>90</w:t>
      </w:r>
      <w:r>
        <w:rPr>
          <w:sz w:val="24"/>
          <w:highlight w:val="none"/>
        </w:rPr>
        <w:t>天</w:t>
      </w:r>
      <w:r>
        <w:rPr>
          <w:sz w:val="24"/>
        </w:rPr>
        <w:t>内有效。</w:t>
      </w:r>
    </w:p>
    <w:p>
      <w:pPr>
        <w:spacing w:line="440" w:lineRule="exact"/>
        <w:rPr>
          <w:sz w:val="24"/>
        </w:rPr>
      </w:pPr>
      <w:r>
        <w:rPr>
          <w:b/>
          <w:bCs/>
          <w:sz w:val="24"/>
        </w:rPr>
        <w:t>注：</w:t>
      </w:r>
      <w:r>
        <w:rPr>
          <w:sz w:val="24"/>
        </w:rPr>
        <w:t>未按照本承诺函要求填报的承诺函将被视为非实质性响应，从而导致其被拒绝。</w:t>
      </w:r>
    </w:p>
    <w:p>
      <w:pPr>
        <w:spacing w:line="440" w:lineRule="exact"/>
        <w:rPr>
          <w:b/>
          <w:sz w:val="28"/>
          <w:szCs w:val="28"/>
        </w:rPr>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pStyle w:val="36"/>
        <w:ind w:firstLine="560"/>
      </w:pPr>
    </w:p>
    <w:p>
      <w:pPr>
        <w:spacing w:line="440" w:lineRule="exact"/>
        <w:rPr>
          <w:b/>
          <w:sz w:val="28"/>
          <w:szCs w:val="28"/>
        </w:rPr>
      </w:pPr>
    </w:p>
    <w:p>
      <w:pPr>
        <w:spacing w:line="440" w:lineRule="exact"/>
        <w:rPr>
          <w:b/>
          <w:sz w:val="28"/>
          <w:szCs w:val="28"/>
        </w:rPr>
      </w:pPr>
    </w:p>
    <w:p>
      <w:pPr>
        <w:rPr>
          <w:b/>
          <w:sz w:val="28"/>
          <w:szCs w:val="28"/>
        </w:rPr>
      </w:pPr>
      <w:r>
        <w:rPr>
          <w:b/>
          <w:sz w:val="28"/>
          <w:szCs w:val="28"/>
        </w:rPr>
        <w:br w:type="page"/>
      </w:r>
    </w:p>
    <w:p>
      <w:pPr>
        <w:spacing w:line="440" w:lineRule="exact"/>
        <w:rPr>
          <w:sz w:val="28"/>
          <w:szCs w:val="28"/>
        </w:rPr>
      </w:pPr>
      <w:r>
        <w:rPr>
          <w:b/>
          <w:sz w:val="28"/>
          <w:szCs w:val="28"/>
        </w:rPr>
        <w:t>附表二：</w:t>
      </w:r>
    </w:p>
    <w:p>
      <w:pPr>
        <w:spacing w:line="440" w:lineRule="exact"/>
        <w:jc w:val="center"/>
        <w:rPr>
          <w:b/>
          <w:sz w:val="28"/>
          <w:szCs w:val="28"/>
        </w:rPr>
      </w:pPr>
      <w:r>
        <w:rPr>
          <w:b/>
          <w:sz w:val="28"/>
          <w:szCs w:val="28"/>
        </w:rPr>
        <w:t>法人代表授权书格式</w:t>
      </w:r>
    </w:p>
    <w:p>
      <w:pPr>
        <w:spacing w:line="440" w:lineRule="exact"/>
        <w:jc w:val="center"/>
        <w:rPr>
          <w:b/>
          <w:sz w:val="24"/>
        </w:rPr>
      </w:pPr>
    </w:p>
    <w:p>
      <w:pPr>
        <w:spacing w:line="480" w:lineRule="auto"/>
        <w:ind w:firstLine="435"/>
        <w:rPr>
          <w:sz w:val="24"/>
        </w:rPr>
      </w:pPr>
      <w:r>
        <w:rPr>
          <w:sz w:val="24"/>
        </w:rPr>
        <w:t>本授权书声明：注册于</w:t>
      </w:r>
      <w:r>
        <w:rPr>
          <w:sz w:val="24"/>
          <w:u w:val="single"/>
        </w:rPr>
        <w:t>（地区的名称）</w:t>
      </w:r>
      <w:r>
        <w:rPr>
          <w:sz w:val="24"/>
        </w:rPr>
        <w:t>的（</w:t>
      </w:r>
      <w:r>
        <w:rPr>
          <w:sz w:val="24"/>
          <w:u w:val="single"/>
        </w:rPr>
        <w:t>公司名称），</w:t>
      </w:r>
      <w:r>
        <w:rPr>
          <w:sz w:val="24"/>
        </w:rPr>
        <w:t>在下面签字的法人代表</w:t>
      </w:r>
      <w:r>
        <w:rPr>
          <w:sz w:val="24"/>
          <w:u w:val="single"/>
        </w:rPr>
        <w:t>（姓名、职务），</w:t>
      </w:r>
      <w:r>
        <w:rPr>
          <w:sz w:val="24"/>
        </w:rPr>
        <w:t>代表本公司授权在下面签字的</w:t>
      </w:r>
      <w:r>
        <w:rPr>
          <w:sz w:val="24"/>
          <w:u w:val="single"/>
        </w:rPr>
        <w:t>（被授权人的姓名、职务、身份证号）</w:t>
      </w:r>
      <w:r>
        <w:rPr>
          <w:sz w:val="24"/>
        </w:rPr>
        <w:t>为本公司的合法代理人，就</w:t>
      </w:r>
      <w:r>
        <w:rPr>
          <w:sz w:val="24"/>
          <w:u w:val="single"/>
        </w:rPr>
        <w:t>（项目名称/编号）</w:t>
      </w:r>
      <w:r>
        <w:rPr>
          <w:sz w:val="24"/>
        </w:rPr>
        <w:t>的投标，以本公司的名义处理一切与之有关的事务。</w:t>
      </w:r>
    </w:p>
    <w:p>
      <w:pPr>
        <w:spacing w:line="480" w:lineRule="auto"/>
        <w:ind w:firstLine="435"/>
        <w:rPr>
          <w:sz w:val="24"/>
        </w:rPr>
      </w:pPr>
      <w:r>
        <w:rPr>
          <w:sz w:val="24"/>
        </w:rPr>
        <w:t>本授权书于20</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日签字生效，特此声明。</w:t>
      </w:r>
    </w:p>
    <w:p>
      <w:pPr>
        <w:spacing w:line="480" w:lineRule="auto"/>
        <w:ind w:firstLine="435"/>
        <w:rPr>
          <w:sz w:val="24"/>
        </w:rPr>
      </w:pPr>
    </w:p>
    <w:p>
      <w:pPr>
        <w:spacing w:line="480" w:lineRule="auto"/>
        <w:ind w:firstLine="435"/>
        <w:rPr>
          <w:sz w:val="24"/>
          <w:u w:val="single"/>
        </w:rPr>
      </w:pPr>
      <w:r>
        <w:rPr>
          <w:sz w:val="24"/>
        </w:rPr>
        <w:t>法人代表盖章</w:t>
      </w:r>
      <w:r>
        <w:rPr>
          <w:sz w:val="24"/>
          <w:u w:val="single"/>
        </w:rPr>
        <w:t xml:space="preserve">               </w:t>
      </w:r>
    </w:p>
    <w:p>
      <w:pPr>
        <w:spacing w:line="480" w:lineRule="auto"/>
        <w:ind w:firstLine="435"/>
        <w:rPr>
          <w:sz w:val="24"/>
          <w:u w:val="single"/>
        </w:rPr>
      </w:pPr>
      <w:r>
        <w:rPr>
          <w:sz w:val="24"/>
        </w:rPr>
        <w:t>被授权人签字或盖章</w:t>
      </w:r>
      <w:r>
        <w:rPr>
          <w:sz w:val="24"/>
          <w:u w:val="single"/>
        </w:rPr>
        <w:t xml:space="preserve">               </w:t>
      </w:r>
    </w:p>
    <w:p>
      <w:pPr>
        <w:spacing w:line="480" w:lineRule="auto"/>
        <w:ind w:firstLine="435"/>
        <w:rPr>
          <w:sz w:val="24"/>
        </w:rPr>
      </w:pPr>
      <w:r>
        <w:rPr>
          <w:sz w:val="24"/>
        </w:rPr>
        <w:t>公      章：</w:t>
      </w:r>
      <w:r>
        <w:rPr>
          <w:sz w:val="24"/>
          <w:u w:val="single"/>
        </w:rPr>
        <w:t xml:space="preserve">              </w:t>
      </w:r>
    </w:p>
    <w:p>
      <w:pPr>
        <w:spacing w:line="480" w:lineRule="auto"/>
        <w:ind w:firstLine="480" w:firstLineChars="200"/>
        <w:rPr>
          <w:sz w:val="24"/>
        </w:rPr>
      </w:pPr>
      <w:r>
        <w:rPr>
          <w:rFonts w:hint="eastAsia"/>
          <w:sz w:val="24"/>
          <w:lang w:eastAsia="zh-CN"/>
        </w:rPr>
        <w:t>注：</w:t>
      </w:r>
      <w:r>
        <w:rPr>
          <w:rFonts w:hint="eastAsia"/>
          <w:sz w:val="24"/>
        </w:rPr>
        <w:t>法人和</w:t>
      </w:r>
      <w:r>
        <w:rPr>
          <w:sz w:val="24"/>
        </w:rPr>
        <w:t>被授权人身份证复印件</w:t>
      </w:r>
    </w:p>
    <w:p>
      <w:pPr>
        <w:spacing w:line="480" w:lineRule="auto"/>
        <w:ind w:firstLine="3612" w:firstLineChars="1505"/>
        <w:jc w:val="right"/>
        <w:rPr>
          <w:sz w:val="24"/>
        </w:rPr>
      </w:pPr>
    </w:p>
    <w:p>
      <w:pPr>
        <w:spacing w:line="480" w:lineRule="auto"/>
        <w:ind w:firstLine="3612" w:firstLineChars="1505"/>
        <w:jc w:val="right"/>
        <w:rPr>
          <w:sz w:val="24"/>
        </w:rPr>
      </w:pPr>
      <w:r>
        <w:rPr>
          <w:sz w:val="24"/>
        </w:rPr>
        <w:t>授权日期：20</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40" w:lineRule="exact"/>
        <w:rPr>
          <w:sz w:val="24"/>
        </w:rPr>
      </w:pPr>
    </w:p>
    <w:p>
      <w:pPr>
        <w:spacing w:line="440" w:lineRule="exact"/>
        <w:rPr>
          <w:sz w:val="24"/>
        </w:rPr>
      </w:pPr>
      <w:r>
        <w:rPr>
          <w:b/>
          <w:bCs/>
          <w:sz w:val="24"/>
        </w:rPr>
        <w:t>注：</w:t>
      </w:r>
      <w:r>
        <w:rPr>
          <w:sz w:val="24"/>
        </w:rPr>
        <w:t>法人代表本人作为公司代理人前来参加投标的投标人，可不提供此项证明文件。</w:t>
      </w:r>
    </w:p>
    <w:p>
      <w:pPr>
        <w:spacing w:line="440" w:lineRule="exact"/>
        <w:rPr>
          <w:b/>
          <w:sz w:val="28"/>
          <w:szCs w:val="28"/>
        </w:rPr>
      </w:pPr>
    </w:p>
    <w:p>
      <w:pPr>
        <w:spacing w:line="440" w:lineRule="exact"/>
        <w:rPr>
          <w:b/>
          <w:sz w:val="28"/>
          <w:szCs w:val="28"/>
        </w:rPr>
      </w:pPr>
    </w:p>
    <w:p>
      <w:pPr>
        <w:pStyle w:val="36"/>
        <w:ind w:firstLine="560"/>
      </w:pPr>
    </w:p>
    <w:p>
      <w:pPr>
        <w:pStyle w:val="36"/>
        <w:ind w:firstLine="560"/>
      </w:pPr>
    </w:p>
    <w:p>
      <w:pPr>
        <w:pStyle w:val="36"/>
        <w:ind w:firstLine="560"/>
      </w:pPr>
    </w:p>
    <w:p>
      <w:pPr>
        <w:pStyle w:val="36"/>
        <w:ind w:firstLine="560"/>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4"/>
          <w:lang w:val="zh-CN"/>
        </w:rPr>
      </w:pPr>
      <w:r>
        <w:rPr>
          <w:b/>
          <w:sz w:val="28"/>
          <w:szCs w:val="28"/>
        </w:rPr>
        <w:t>附表三：</w:t>
      </w:r>
      <w:r>
        <w:rPr>
          <w:b/>
          <w:sz w:val="24"/>
          <w:lang w:val="zh-CN"/>
        </w:rPr>
        <w:t xml:space="preserve"> </w:t>
      </w:r>
    </w:p>
    <w:p>
      <w:pPr>
        <w:spacing w:line="440" w:lineRule="exact"/>
        <w:ind w:firstLine="3472" w:firstLineChars="1240"/>
        <w:rPr>
          <w:b/>
          <w:sz w:val="28"/>
          <w:szCs w:val="28"/>
        </w:rPr>
      </w:pPr>
      <w:r>
        <w:rPr>
          <w:b/>
          <w:sz w:val="28"/>
          <w:szCs w:val="28"/>
        </w:rPr>
        <w:t>投标报价一览表</w:t>
      </w:r>
    </w:p>
    <w:p>
      <w:pPr>
        <w:wordWrap w:val="0"/>
        <w:spacing w:line="440" w:lineRule="exact"/>
        <w:ind w:right="960" w:firstLine="360" w:firstLineChars="150"/>
        <w:textAlignment w:val="baseline"/>
        <w:rPr>
          <w:b/>
          <w:sz w:val="24"/>
        </w:rPr>
      </w:pPr>
      <w:r>
        <w:rPr>
          <w:sz w:val="24"/>
        </w:rPr>
        <w:t xml:space="preserve">项目名称：                                           </w:t>
      </w:r>
    </w:p>
    <w:tbl>
      <w:tblPr>
        <w:tblStyle w:val="27"/>
        <w:tblW w:w="9753" w:type="dxa"/>
        <w:jc w:val="center"/>
        <w:tblLayout w:type="fixed"/>
        <w:tblCellMar>
          <w:top w:w="0" w:type="dxa"/>
          <w:left w:w="0" w:type="dxa"/>
          <w:bottom w:w="0" w:type="dxa"/>
          <w:right w:w="0" w:type="dxa"/>
        </w:tblCellMar>
      </w:tblPr>
      <w:tblGrid>
        <w:gridCol w:w="3548"/>
        <w:gridCol w:w="6205"/>
      </w:tblGrid>
      <w:tr>
        <w:tblPrEx>
          <w:tblCellMar>
            <w:top w:w="0" w:type="dxa"/>
            <w:left w:w="0" w:type="dxa"/>
            <w:bottom w:w="0" w:type="dxa"/>
            <w:right w:w="0" w:type="dxa"/>
          </w:tblCellMar>
        </w:tblPrEx>
        <w:trPr>
          <w:trHeight w:val="615" w:hRule="atLeast"/>
          <w:jc w:val="center"/>
        </w:trPr>
        <w:tc>
          <w:tcPr>
            <w:tcW w:w="354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baseline"/>
              <w:rPr>
                <w:b/>
                <w:sz w:val="24"/>
              </w:rPr>
            </w:pPr>
            <w:r>
              <w:rPr>
                <w:b/>
                <w:sz w:val="24"/>
              </w:rPr>
              <w:t>投标人名称</w:t>
            </w:r>
          </w:p>
        </w:tc>
        <w:tc>
          <w:tcPr>
            <w:tcW w:w="6205" w:type="dxa"/>
            <w:tcBorders>
              <w:top w:val="single" w:color="000000" w:sz="4" w:space="0"/>
              <w:bottom w:val="single" w:color="000000" w:sz="4" w:space="0"/>
              <w:right w:val="single" w:color="000000" w:sz="4" w:space="0"/>
            </w:tcBorders>
            <w:tcMar>
              <w:left w:w="0" w:type="dxa"/>
              <w:right w:w="0" w:type="dxa"/>
            </w:tcMar>
            <w:vAlign w:val="center"/>
          </w:tcPr>
          <w:p>
            <w:pPr>
              <w:spacing w:line="440" w:lineRule="exact"/>
              <w:ind w:right="480"/>
              <w:jc w:val="center"/>
              <w:textAlignment w:val="baseline"/>
              <w:rPr>
                <w:b/>
                <w:sz w:val="24"/>
              </w:rPr>
            </w:pPr>
          </w:p>
        </w:tc>
      </w:tr>
      <w:tr>
        <w:tblPrEx>
          <w:tblCellMar>
            <w:top w:w="0" w:type="dxa"/>
            <w:left w:w="0" w:type="dxa"/>
            <w:bottom w:w="0" w:type="dxa"/>
            <w:right w:w="0" w:type="dxa"/>
          </w:tblCellMar>
        </w:tblPrEx>
        <w:trPr>
          <w:trHeight w:val="615" w:hRule="atLeast"/>
          <w:jc w:val="center"/>
        </w:trPr>
        <w:tc>
          <w:tcPr>
            <w:tcW w:w="3548" w:type="dxa"/>
            <w:vMerge w:val="restart"/>
            <w:tcBorders>
              <w:left w:val="single" w:color="000000" w:sz="4" w:space="0"/>
              <w:right w:val="single" w:color="000000"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baseline"/>
              <w:rPr>
                <w:b/>
                <w:sz w:val="24"/>
              </w:rPr>
            </w:pPr>
            <w:r>
              <w:rPr>
                <w:b/>
                <w:sz w:val="24"/>
              </w:rPr>
              <w:t>投标总报价</w:t>
            </w:r>
            <w:r>
              <w:rPr>
                <w:rFonts w:hint="eastAsia"/>
                <w:b/>
                <w:sz w:val="24"/>
              </w:rPr>
              <w:t>（</w:t>
            </w:r>
            <w:r>
              <w:rPr>
                <w:b/>
                <w:sz w:val="24"/>
              </w:rPr>
              <w:t>元</w:t>
            </w:r>
            <w:r>
              <w:rPr>
                <w:rFonts w:hint="eastAsia"/>
                <w:b/>
                <w:sz w:val="24"/>
              </w:rPr>
              <w:t>）</w:t>
            </w:r>
          </w:p>
        </w:tc>
        <w:tc>
          <w:tcPr>
            <w:tcW w:w="6205" w:type="dxa"/>
            <w:tcBorders>
              <w:bottom w:val="single" w:color="000000" w:sz="4" w:space="0"/>
              <w:right w:val="single" w:color="000000" w:sz="4" w:space="0"/>
            </w:tcBorders>
            <w:tcMar>
              <w:left w:w="0" w:type="dxa"/>
              <w:right w:w="0" w:type="dxa"/>
            </w:tcMar>
            <w:vAlign w:val="center"/>
          </w:tcPr>
          <w:p>
            <w:pPr>
              <w:spacing w:line="440" w:lineRule="exact"/>
              <w:ind w:right="480"/>
              <w:textAlignment w:val="baseline"/>
              <w:rPr>
                <w:rFonts w:hint="eastAsia" w:eastAsia="宋体"/>
                <w:b/>
                <w:sz w:val="24"/>
                <w:lang w:val="en-US" w:eastAsia="zh-CN"/>
              </w:rPr>
            </w:pPr>
            <w:r>
              <w:rPr>
                <w:rFonts w:hint="eastAsia"/>
                <w:b/>
                <w:sz w:val="24"/>
                <w:lang w:val="en-US" w:eastAsia="zh-CN"/>
              </w:rPr>
              <w:t>总报价：</w:t>
            </w:r>
          </w:p>
        </w:tc>
      </w:tr>
      <w:tr>
        <w:tblPrEx>
          <w:tblCellMar>
            <w:top w:w="0" w:type="dxa"/>
            <w:left w:w="0" w:type="dxa"/>
            <w:bottom w:w="0" w:type="dxa"/>
            <w:right w:w="0" w:type="dxa"/>
          </w:tblCellMar>
        </w:tblPrEx>
        <w:trPr>
          <w:trHeight w:val="615" w:hRule="atLeast"/>
          <w:jc w:val="center"/>
        </w:trPr>
        <w:tc>
          <w:tcPr>
            <w:tcW w:w="3548" w:type="dxa"/>
            <w:vMerge w:val="continue"/>
            <w:tcBorders>
              <w:left w:val="single" w:color="000000" w:sz="4" w:space="0"/>
              <w:bottom w:val="single" w:color="000000" w:sz="4" w:space="0"/>
              <w:right w:val="single" w:color="000000" w:sz="4" w:space="0"/>
            </w:tcBorders>
            <w:tcMar>
              <w:left w:w="0" w:type="dxa"/>
              <w:right w:w="0" w:type="dxa"/>
            </w:tcMar>
            <w:vAlign w:val="center"/>
          </w:tcPr>
          <w:p>
            <w:pPr>
              <w:spacing w:line="440" w:lineRule="exact"/>
              <w:ind w:right="480"/>
              <w:jc w:val="center"/>
              <w:textAlignment w:val="baseline"/>
              <w:rPr>
                <w:b/>
                <w:sz w:val="24"/>
              </w:rPr>
            </w:pPr>
          </w:p>
        </w:tc>
        <w:tc>
          <w:tcPr>
            <w:tcW w:w="6205" w:type="dxa"/>
            <w:tcBorders>
              <w:bottom w:val="single" w:color="000000" w:sz="4" w:space="0"/>
              <w:right w:val="single" w:color="000000" w:sz="4" w:space="0"/>
            </w:tcBorders>
            <w:tcMar>
              <w:left w:w="0" w:type="dxa"/>
              <w:right w:w="0" w:type="dxa"/>
            </w:tcMar>
            <w:vAlign w:val="center"/>
          </w:tcPr>
          <w:p>
            <w:pPr>
              <w:spacing w:line="440" w:lineRule="exact"/>
              <w:ind w:right="480"/>
              <w:textAlignment w:val="baseline"/>
              <w:rPr>
                <w:rFonts w:hint="eastAsia" w:eastAsia="宋体"/>
                <w:b/>
                <w:sz w:val="24"/>
                <w:lang w:eastAsia="zh-CN"/>
              </w:rPr>
            </w:pPr>
            <w:r>
              <w:rPr>
                <w:rFonts w:hint="eastAsia"/>
                <w:b/>
                <w:sz w:val="24"/>
                <w:lang w:eastAsia="zh-CN"/>
              </w:rPr>
              <w:t>合计（大写）：</w:t>
            </w:r>
          </w:p>
        </w:tc>
      </w:tr>
      <w:tr>
        <w:tblPrEx>
          <w:tblCellMar>
            <w:top w:w="0" w:type="dxa"/>
            <w:left w:w="0" w:type="dxa"/>
            <w:bottom w:w="0" w:type="dxa"/>
            <w:right w:w="0" w:type="dxa"/>
          </w:tblCellMar>
        </w:tblPrEx>
        <w:trPr>
          <w:trHeight w:val="615" w:hRule="atLeast"/>
          <w:jc w:val="center"/>
        </w:trPr>
        <w:tc>
          <w:tcPr>
            <w:tcW w:w="3548" w:type="dxa"/>
            <w:tcBorders>
              <w:left w:val="single" w:color="000000" w:sz="4" w:space="0"/>
              <w:bottom w:val="single" w:color="000000" w:sz="4" w:space="0"/>
              <w:right w:val="single" w:color="000000" w:sz="4" w:space="0"/>
            </w:tcBorders>
            <w:tcMar>
              <w:left w:w="0" w:type="dxa"/>
              <w:right w:w="0" w:type="dxa"/>
            </w:tcMar>
            <w:vAlign w:val="center"/>
          </w:tcPr>
          <w:p>
            <w:pPr>
              <w:spacing w:line="440" w:lineRule="exact"/>
              <w:ind w:right="480"/>
              <w:jc w:val="center"/>
              <w:textAlignment w:val="baseline"/>
              <w:rPr>
                <w:b/>
                <w:sz w:val="24"/>
              </w:rPr>
            </w:pPr>
            <w:r>
              <w:rPr>
                <w:rFonts w:hint="eastAsia"/>
                <w:b/>
                <w:sz w:val="24"/>
              </w:rPr>
              <w:t xml:space="preserve">    合同履行期限</w:t>
            </w:r>
          </w:p>
        </w:tc>
        <w:tc>
          <w:tcPr>
            <w:tcW w:w="6205" w:type="dxa"/>
            <w:tcBorders>
              <w:bottom w:val="single" w:color="000000" w:sz="4" w:space="0"/>
              <w:right w:val="single" w:color="000000" w:sz="4" w:space="0"/>
            </w:tcBorders>
            <w:tcMar>
              <w:left w:w="0" w:type="dxa"/>
              <w:right w:w="0" w:type="dxa"/>
            </w:tcMar>
            <w:vAlign w:val="center"/>
          </w:tcPr>
          <w:p>
            <w:pPr>
              <w:spacing w:line="440" w:lineRule="exact"/>
              <w:ind w:right="480"/>
              <w:textAlignment w:val="baseline"/>
              <w:rPr>
                <w:b/>
                <w:sz w:val="24"/>
              </w:rPr>
            </w:pPr>
          </w:p>
        </w:tc>
      </w:tr>
      <w:tr>
        <w:tblPrEx>
          <w:tblCellMar>
            <w:top w:w="0" w:type="dxa"/>
            <w:left w:w="0" w:type="dxa"/>
            <w:bottom w:w="0" w:type="dxa"/>
            <w:right w:w="0" w:type="dxa"/>
          </w:tblCellMar>
        </w:tblPrEx>
        <w:trPr>
          <w:trHeight w:val="615" w:hRule="atLeast"/>
          <w:jc w:val="center"/>
        </w:trPr>
        <w:tc>
          <w:tcPr>
            <w:tcW w:w="3548" w:type="dxa"/>
            <w:tcBorders>
              <w:left w:val="single" w:color="000000" w:sz="4" w:space="0"/>
              <w:bottom w:val="single" w:color="000000" w:sz="4" w:space="0"/>
              <w:right w:val="single" w:color="000000" w:sz="4" w:space="0"/>
            </w:tcBorders>
            <w:tcMar>
              <w:left w:w="0" w:type="dxa"/>
              <w:right w:w="0" w:type="dxa"/>
            </w:tcMar>
            <w:vAlign w:val="center"/>
          </w:tcPr>
          <w:p>
            <w:pPr>
              <w:spacing w:line="440" w:lineRule="exact"/>
              <w:ind w:right="480"/>
              <w:jc w:val="center"/>
              <w:textAlignment w:val="baseline"/>
              <w:rPr>
                <w:rFonts w:hint="eastAsia" w:eastAsia="宋体"/>
                <w:b/>
                <w:sz w:val="24"/>
                <w:lang w:eastAsia="zh-CN"/>
              </w:rPr>
            </w:pPr>
            <w:r>
              <w:rPr>
                <w:rFonts w:hint="eastAsia"/>
                <w:b/>
                <w:sz w:val="24"/>
                <w:lang w:eastAsia="zh-CN"/>
              </w:rPr>
              <w:t>交货（服务）地点</w:t>
            </w:r>
          </w:p>
        </w:tc>
        <w:tc>
          <w:tcPr>
            <w:tcW w:w="6205" w:type="dxa"/>
            <w:tcBorders>
              <w:bottom w:val="single" w:color="000000" w:sz="4" w:space="0"/>
              <w:right w:val="single" w:color="000000" w:sz="4" w:space="0"/>
            </w:tcBorders>
            <w:tcMar>
              <w:left w:w="0" w:type="dxa"/>
              <w:right w:w="0" w:type="dxa"/>
            </w:tcMar>
            <w:vAlign w:val="center"/>
          </w:tcPr>
          <w:p>
            <w:pPr>
              <w:spacing w:line="440" w:lineRule="exact"/>
              <w:ind w:right="480"/>
              <w:textAlignment w:val="baseline"/>
              <w:rPr>
                <w:b/>
                <w:sz w:val="24"/>
              </w:rPr>
            </w:pPr>
          </w:p>
        </w:tc>
      </w:tr>
      <w:tr>
        <w:tblPrEx>
          <w:tblCellMar>
            <w:top w:w="0" w:type="dxa"/>
            <w:left w:w="0" w:type="dxa"/>
            <w:bottom w:w="0" w:type="dxa"/>
            <w:right w:w="0" w:type="dxa"/>
          </w:tblCellMar>
        </w:tblPrEx>
        <w:trPr>
          <w:trHeight w:val="675" w:hRule="atLeast"/>
          <w:jc w:val="center"/>
        </w:trPr>
        <w:tc>
          <w:tcPr>
            <w:tcW w:w="3548"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40" w:lineRule="exact"/>
              <w:jc w:val="center"/>
              <w:textAlignment w:val="baseline"/>
              <w:rPr>
                <w:b/>
                <w:sz w:val="24"/>
              </w:rPr>
            </w:pPr>
            <w:r>
              <w:rPr>
                <w:rFonts w:hint="eastAsia"/>
                <w:b/>
                <w:sz w:val="24"/>
              </w:rPr>
              <w:t>是否为小微企业或残疾人福利性单位</w:t>
            </w:r>
          </w:p>
        </w:tc>
        <w:tc>
          <w:tcPr>
            <w:tcW w:w="620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40" w:lineRule="exact"/>
              <w:ind w:right="480"/>
              <w:jc w:val="center"/>
              <w:textAlignment w:val="baseline"/>
              <w:rPr>
                <w:b/>
                <w:sz w:val="24"/>
              </w:rPr>
            </w:pPr>
          </w:p>
        </w:tc>
      </w:tr>
    </w:tbl>
    <w:p>
      <w:pPr>
        <w:rPr>
          <w:sz w:val="24"/>
        </w:rPr>
      </w:pPr>
    </w:p>
    <w:p>
      <w:pPr>
        <w:rPr>
          <w:rFonts w:ascii="宋体" w:hAnsi="宋体" w:cs="宋体"/>
          <w:sz w:val="24"/>
        </w:rPr>
      </w:pPr>
      <w:r>
        <w:rPr>
          <w:rFonts w:hint="eastAsia" w:ascii="宋体" w:hAnsi="宋体" w:cs="宋体"/>
          <w:b/>
          <w:bCs/>
          <w:sz w:val="24"/>
        </w:rPr>
        <w:t>注</w:t>
      </w: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、以上所有报价不得高于招标文件规定的最高限价。</w:t>
      </w:r>
    </w:p>
    <w:p>
      <w:pPr>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eastAsia="zh-CN"/>
        </w:rPr>
        <w:t>服务期限</w:t>
      </w:r>
      <w:r>
        <w:rPr>
          <w:rFonts w:hint="eastAsia" w:ascii="宋体" w:hAnsi="宋体" w:cs="宋体"/>
          <w:sz w:val="24"/>
        </w:rPr>
        <w:t>必须响应招标文件。</w:t>
      </w:r>
    </w:p>
    <w:p>
      <w:pPr>
        <w:rPr>
          <w:rFonts w:ascii="宋体" w:hAnsi="宋体" w:cs="宋体"/>
          <w:sz w:val="24"/>
        </w:rPr>
      </w:pPr>
    </w:p>
    <w:p/>
    <w:p>
      <w:pPr>
        <w:spacing w:line="440" w:lineRule="exact"/>
        <w:ind w:right="480"/>
        <w:jc w:val="right"/>
        <w:textAlignment w:val="baseline"/>
        <w:rPr>
          <w:b/>
          <w:sz w:val="24"/>
        </w:rPr>
      </w:pPr>
    </w:p>
    <w:p>
      <w:pPr>
        <w:spacing w:line="440" w:lineRule="exact"/>
        <w:ind w:right="480"/>
        <w:jc w:val="center"/>
        <w:rPr>
          <w:sz w:val="24"/>
        </w:rPr>
      </w:pPr>
      <w:r>
        <w:rPr>
          <w:sz w:val="24"/>
        </w:rPr>
        <w:t xml:space="preserve">                                  投标人：（单位盖章）</w:t>
      </w:r>
    </w:p>
    <w:p>
      <w:pPr>
        <w:spacing w:line="440" w:lineRule="exact"/>
        <w:ind w:right="120"/>
        <w:jc w:val="right"/>
        <w:rPr>
          <w:sz w:val="24"/>
        </w:rPr>
      </w:pPr>
      <w:r>
        <w:rPr>
          <w:sz w:val="24"/>
        </w:rPr>
        <w:t>法定代表人或代理人：（签字或盖章）</w:t>
      </w:r>
    </w:p>
    <w:p>
      <w:pPr>
        <w:spacing w:line="440" w:lineRule="exact"/>
        <w:ind w:right="480" w:firstLine="5400" w:firstLineChars="2250"/>
        <w:rPr>
          <w:sz w:val="24"/>
        </w:rPr>
      </w:pPr>
      <w:r>
        <w:rPr>
          <w:sz w:val="24"/>
        </w:rPr>
        <w:t>日期：         年  月  日</w:t>
      </w: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jc w:val="left"/>
        <w:rPr>
          <w:b/>
          <w:sz w:val="28"/>
          <w:szCs w:val="28"/>
        </w:rPr>
      </w:pPr>
    </w:p>
    <w:p>
      <w:pPr>
        <w:rPr>
          <w:b/>
          <w:sz w:val="28"/>
          <w:szCs w:val="28"/>
        </w:rPr>
      </w:pPr>
      <w:r>
        <w:rPr>
          <w:b/>
          <w:sz w:val="28"/>
          <w:szCs w:val="28"/>
        </w:rPr>
        <w:br w:type="page"/>
      </w:r>
    </w:p>
    <w:p>
      <w:pPr>
        <w:wordWrap w:val="0"/>
        <w:spacing w:line="440" w:lineRule="exact"/>
        <w:jc w:val="left"/>
        <w:rPr>
          <w:sz w:val="24"/>
        </w:rPr>
      </w:pPr>
      <w:r>
        <w:rPr>
          <w:b/>
          <w:sz w:val="28"/>
          <w:szCs w:val="28"/>
        </w:rPr>
        <w:t>附表</w:t>
      </w:r>
      <w:r>
        <w:rPr>
          <w:rFonts w:hint="eastAsia"/>
          <w:b/>
          <w:sz w:val="28"/>
          <w:szCs w:val="28"/>
          <w:lang w:eastAsia="zh-CN"/>
        </w:rPr>
        <w:t>四</w:t>
      </w:r>
      <w:r>
        <w:rPr>
          <w:b/>
          <w:sz w:val="28"/>
          <w:szCs w:val="28"/>
        </w:rPr>
        <w:t>：</w:t>
      </w:r>
    </w:p>
    <w:p>
      <w:pPr>
        <w:spacing w:line="440" w:lineRule="exact"/>
        <w:jc w:val="center"/>
        <w:rPr>
          <w:b/>
          <w:sz w:val="28"/>
          <w:szCs w:val="28"/>
        </w:rPr>
      </w:pPr>
      <w:r>
        <w:rPr>
          <w:b/>
          <w:sz w:val="28"/>
          <w:szCs w:val="28"/>
        </w:rPr>
        <w:t>关于资格的声明函</w:t>
      </w:r>
    </w:p>
    <w:p>
      <w:pPr>
        <w:spacing w:line="440" w:lineRule="exact"/>
        <w:rPr>
          <w:sz w:val="24"/>
        </w:rPr>
      </w:pPr>
    </w:p>
    <w:p>
      <w:pPr>
        <w:spacing w:line="480" w:lineRule="auto"/>
        <w:rPr>
          <w:sz w:val="24"/>
        </w:rPr>
      </w:pPr>
      <w:r>
        <w:rPr>
          <w:sz w:val="24"/>
        </w:rPr>
        <w:t>致</w:t>
      </w:r>
      <w:r>
        <w:rPr>
          <w:rFonts w:hint="eastAsia"/>
          <w:sz w:val="24"/>
          <w:lang w:eastAsia="zh-CN"/>
        </w:rPr>
        <w:t>新疆聚拓工程项目管理有限公司</w:t>
      </w:r>
      <w:r>
        <w:rPr>
          <w:sz w:val="24"/>
        </w:rPr>
        <w:t>：</w:t>
      </w:r>
    </w:p>
    <w:p>
      <w:pPr>
        <w:spacing w:line="480" w:lineRule="auto"/>
        <w:ind w:firstLine="570"/>
        <w:rPr>
          <w:sz w:val="24"/>
        </w:rPr>
      </w:pPr>
      <w:r>
        <w:rPr>
          <w:sz w:val="24"/>
        </w:rPr>
        <w:t>关于贵方20</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日招标公告关于</w:t>
      </w:r>
      <w:r>
        <w:rPr>
          <w:sz w:val="24"/>
          <w:u w:val="single"/>
        </w:rPr>
        <w:t>“     ”</w:t>
      </w:r>
      <w:r>
        <w:rPr>
          <w:sz w:val="24"/>
        </w:rPr>
        <w:t>的项目，本签字人愿意参加投标，并有能力提供项目中的相关服务，并保证所提交的所有文件和说明是真实和准确的。</w:t>
      </w:r>
    </w:p>
    <w:p>
      <w:pPr>
        <w:spacing w:line="480" w:lineRule="auto"/>
        <w:ind w:firstLine="570"/>
        <w:rPr>
          <w:sz w:val="24"/>
          <w:u w:val="single"/>
        </w:rPr>
      </w:pPr>
      <w:r>
        <w:rPr>
          <w:sz w:val="24"/>
        </w:rPr>
        <w:t xml:space="preserve">投标人：               签字人姓名、职务：               </w:t>
      </w:r>
    </w:p>
    <w:p>
      <w:pPr>
        <w:spacing w:line="480" w:lineRule="auto"/>
        <w:ind w:firstLine="570"/>
        <w:rPr>
          <w:sz w:val="24"/>
          <w:u w:val="single"/>
        </w:rPr>
      </w:pPr>
      <w:r>
        <w:rPr>
          <w:sz w:val="24"/>
        </w:rPr>
        <w:t xml:space="preserve">地址：                 授权签署本资格文件人： </w:t>
      </w:r>
    </w:p>
    <w:p>
      <w:pPr>
        <w:spacing w:line="480" w:lineRule="auto"/>
        <w:ind w:firstLine="570"/>
        <w:rPr>
          <w:sz w:val="24"/>
        </w:rPr>
      </w:pPr>
      <w:r>
        <w:rPr>
          <w:sz w:val="24"/>
        </w:rPr>
        <w:t xml:space="preserve">传真：        </w:t>
      </w:r>
    </w:p>
    <w:p>
      <w:pPr>
        <w:spacing w:line="480" w:lineRule="auto"/>
        <w:ind w:firstLine="570"/>
        <w:rPr>
          <w:sz w:val="24"/>
        </w:rPr>
      </w:pPr>
      <w:r>
        <w:rPr>
          <w:sz w:val="24"/>
        </w:rPr>
        <w:t>邮编：                      电话：</w:t>
      </w:r>
    </w:p>
    <w:p>
      <w:pPr>
        <w:spacing w:line="480" w:lineRule="auto"/>
        <w:ind w:firstLine="570"/>
        <w:rPr>
          <w:sz w:val="24"/>
        </w:rPr>
      </w:pPr>
      <w:r>
        <w:rPr>
          <w:sz w:val="24"/>
        </w:rPr>
        <w:t xml:space="preserve">投标人法人盖章：       </w:t>
      </w:r>
    </w:p>
    <w:p>
      <w:pPr>
        <w:spacing w:line="480" w:lineRule="auto"/>
        <w:ind w:firstLine="570"/>
        <w:rPr>
          <w:sz w:val="24"/>
        </w:rPr>
      </w:pPr>
      <w:r>
        <w:rPr>
          <w:sz w:val="24"/>
        </w:rPr>
        <w:t>投标人盖章：                                     20</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rPr>
          <w:sz w:val="24"/>
        </w:rPr>
      </w:pPr>
      <w:r>
        <w:rPr>
          <w:sz w:val="24"/>
        </w:rPr>
        <w:br w:type="page"/>
      </w:r>
    </w:p>
    <w:p>
      <w:pPr>
        <w:pStyle w:val="6"/>
        <w:numPr>
          <w:ilvl w:val="0"/>
          <w:numId w:val="0"/>
        </w:numPr>
        <w:spacing w:line="360" w:lineRule="auto"/>
        <w:ind w:leftChars="0" w:right="210" w:rightChars="100"/>
        <w:jc w:val="left"/>
        <w:rPr>
          <w:rFonts w:hint="eastAsia" w:ascii="宋体" w:hAnsi="宋体" w:cs="宋体"/>
          <w:sz w:val="28"/>
          <w:szCs w:val="28"/>
          <w:highlight w:val="none"/>
          <w:lang w:eastAsia="zh-CN"/>
        </w:rPr>
      </w:pPr>
      <w:r>
        <w:rPr>
          <w:b/>
          <w:sz w:val="28"/>
          <w:szCs w:val="28"/>
        </w:rPr>
        <w:t>附表</w:t>
      </w:r>
      <w:r>
        <w:rPr>
          <w:rFonts w:hint="eastAsia"/>
          <w:b/>
          <w:sz w:val="28"/>
          <w:szCs w:val="28"/>
          <w:lang w:eastAsia="zh-CN"/>
        </w:rPr>
        <w:t>五</w:t>
      </w:r>
      <w:r>
        <w:rPr>
          <w:b/>
          <w:sz w:val="28"/>
          <w:szCs w:val="28"/>
        </w:rPr>
        <w:t>：</w:t>
      </w:r>
    </w:p>
    <w:p>
      <w:pPr>
        <w:pStyle w:val="6"/>
        <w:numPr>
          <w:ilvl w:val="0"/>
          <w:numId w:val="0"/>
        </w:numPr>
        <w:spacing w:line="360" w:lineRule="auto"/>
        <w:ind w:leftChars="0" w:right="210" w:rightChars="100"/>
        <w:jc w:val="center"/>
        <w:rPr>
          <w:rFonts w:hint="eastAsia" w:ascii="宋体" w:hAnsi="宋体" w:cs="宋体"/>
          <w:sz w:val="28"/>
          <w:szCs w:val="28"/>
          <w:highlight w:val="none"/>
        </w:rPr>
      </w:pPr>
      <w:r>
        <w:rPr>
          <w:rFonts w:hint="eastAsia" w:ascii="宋体" w:hAnsi="宋体" w:cs="宋体"/>
          <w:sz w:val="28"/>
          <w:szCs w:val="28"/>
          <w:highlight w:val="none"/>
          <w:lang w:eastAsia="zh-CN"/>
        </w:rPr>
        <w:t>投标人</w:t>
      </w:r>
      <w:r>
        <w:rPr>
          <w:rFonts w:hint="eastAsia" w:ascii="宋体" w:hAnsi="宋体" w:cs="宋体"/>
          <w:sz w:val="28"/>
          <w:szCs w:val="28"/>
          <w:highlight w:val="none"/>
        </w:rPr>
        <w:t>基本情况表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048"/>
        <w:gridCol w:w="293"/>
        <w:gridCol w:w="1119"/>
        <w:gridCol w:w="1499"/>
        <w:gridCol w:w="1456"/>
        <w:gridCol w:w="304"/>
        <w:gridCol w:w="828"/>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lang w:eastAsia="zh-CN"/>
              </w:rPr>
              <w:t>投标人</w:t>
            </w:r>
            <w:r>
              <w:rPr>
                <w:rFonts w:hint="eastAsia" w:ascii="宋体" w:hAnsi="宋体" w:cs="宋体"/>
                <w:szCs w:val="21"/>
                <w:highlight w:val="none"/>
              </w:rPr>
              <w:t>名称</w:t>
            </w:r>
          </w:p>
        </w:tc>
        <w:tc>
          <w:tcPr>
            <w:tcW w:w="8202" w:type="dxa"/>
            <w:gridSpan w:val="8"/>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注册地址</w:t>
            </w:r>
          </w:p>
        </w:tc>
        <w:tc>
          <w:tcPr>
            <w:tcW w:w="3959" w:type="dxa"/>
            <w:gridSpan w:val="4"/>
            <w:noWrap w:val="0"/>
            <w:vAlign w:val="center"/>
          </w:tcPr>
          <w:p>
            <w:pPr>
              <w:jc w:val="center"/>
              <w:rPr>
                <w:rFonts w:hint="eastAsia" w:ascii="宋体" w:hAnsi="宋体" w:cs="宋体"/>
                <w:szCs w:val="21"/>
                <w:highlight w:val="none"/>
              </w:rPr>
            </w:pPr>
          </w:p>
        </w:tc>
        <w:tc>
          <w:tcPr>
            <w:tcW w:w="1456"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邮政编码</w:t>
            </w:r>
          </w:p>
        </w:tc>
        <w:tc>
          <w:tcPr>
            <w:tcW w:w="2787" w:type="dxa"/>
            <w:gridSpan w:val="3"/>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vMerge w:val="restart"/>
            <w:noWrap w:val="0"/>
            <w:vAlign w:val="center"/>
          </w:tcPr>
          <w:p>
            <w:pPr>
              <w:jc w:val="center"/>
              <w:rPr>
                <w:rFonts w:hint="eastAsia" w:ascii="宋体" w:hAnsi="宋体" w:cs="宋体"/>
                <w:szCs w:val="21"/>
                <w:highlight w:val="none"/>
              </w:rPr>
            </w:pPr>
            <w:r>
              <w:rPr>
                <w:rFonts w:hint="eastAsia" w:ascii="宋体" w:hAnsi="宋体" w:cs="宋体"/>
                <w:szCs w:val="21"/>
                <w:highlight w:val="none"/>
              </w:rPr>
              <w:t>联系方式</w:t>
            </w:r>
          </w:p>
        </w:tc>
        <w:tc>
          <w:tcPr>
            <w:tcW w:w="1341" w:type="dxa"/>
            <w:gridSpan w:val="2"/>
            <w:noWrap w:val="0"/>
            <w:vAlign w:val="center"/>
          </w:tcPr>
          <w:p>
            <w:pPr>
              <w:jc w:val="center"/>
              <w:rPr>
                <w:rFonts w:hint="eastAsia" w:ascii="宋体" w:hAnsi="宋体" w:cs="宋体"/>
                <w:szCs w:val="21"/>
                <w:highlight w:val="none"/>
              </w:rPr>
            </w:pPr>
            <w:r>
              <w:rPr>
                <w:rFonts w:hint="eastAsia" w:ascii="宋体" w:hAnsi="宋体" w:cs="宋体"/>
                <w:szCs w:val="21"/>
                <w:highlight w:val="none"/>
              </w:rPr>
              <w:t>联系人</w:t>
            </w:r>
          </w:p>
        </w:tc>
        <w:tc>
          <w:tcPr>
            <w:tcW w:w="2618" w:type="dxa"/>
            <w:gridSpan w:val="2"/>
            <w:noWrap w:val="0"/>
            <w:vAlign w:val="center"/>
          </w:tcPr>
          <w:p>
            <w:pPr>
              <w:jc w:val="center"/>
              <w:rPr>
                <w:rFonts w:hint="eastAsia" w:ascii="宋体" w:hAnsi="宋体" w:cs="宋体"/>
                <w:szCs w:val="21"/>
                <w:highlight w:val="none"/>
              </w:rPr>
            </w:pPr>
          </w:p>
        </w:tc>
        <w:tc>
          <w:tcPr>
            <w:tcW w:w="1456"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电  话</w:t>
            </w:r>
          </w:p>
        </w:tc>
        <w:tc>
          <w:tcPr>
            <w:tcW w:w="2787" w:type="dxa"/>
            <w:gridSpan w:val="3"/>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vMerge w:val="continue"/>
            <w:noWrap w:val="0"/>
            <w:vAlign w:val="center"/>
          </w:tcPr>
          <w:p>
            <w:pPr>
              <w:jc w:val="center"/>
              <w:rPr>
                <w:rFonts w:hint="eastAsia" w:ascii="宋体" w:hAnsi="宋体" w:cs="宋体"/>
                <w:szCs w:val="21"/>
                <w:highlight w:val="none"/>
              </w:rPr>
            </w:pPr>
          </w:p>
        </w:tc>
        <w:tc>
          <w:tcPr>
            <w:tcW w:w="1341" w:type="dxa"/>
            <w:gridSpan w:val="2"/>
            <w:noWrap w:val="0"/>
            <w:vAlign w:val="center"/>
          </w:tcPr>
          <w:p>
            <w:pPr>
              <w:jc w:val="center"/>
              <w:rPr>
                <w:rFonts w:hint="eastAsia" w:ascii="宋体" w:hAnsi="宋体" w:cs="宋体"/>
                <w:szCs w:val="21"/>
                <w:highlight w:val="none"/>
              </w:rPr>
            </w:pPr>
            <w:r>
              <w:rPr>
                <w:rFonts w:hint="eastAsia" w:ascii="宋体" w:hAnsi="宋体" w:cs="宋体"/>
                <w:szCs w:val="21"/>
                <w:highlight w:val="none"/>
              </w:rPr>
              <w:t>传  真</w:t>
            </w:r>
          </w:p>
        </w:tc>
        <w:tc>
          <w:tcPr>
            <w:tcW w:w="2618" w:type="dxa"/>
            <w:gridSpan w:val="2"/>
            <w:noWrap w:val="0"/>
            <w:vAlign w:val="center"/>
          </w:tcPr>
          <w:p>
            <w:pPr>
              <w:jc w:val="center"/>
              <w:rPr>
                <w:rFonts w:hint="eastAsia" w:ascii="宋体" w:hAnsi="宋体" w:cs="宋体"/>
                <w:szCs w:val="21"/>
                <w:highlight w:val="none"/>
              </w:rPr>
            </w:pPr>
          </w:p>
        </w:tc>
        <w:tc>
          <w:tcPr>
            <w:tcW w:w="1456"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网  址</w:t>
            </w:r>
          </w:p>
        </w:tc>
        <w:tc>
          <w:tcPr>
            <w:tcW w:w="2787" w:type="dxa"/>
            <w:gridSpan w:val="3"/>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组织结构</w:t>
            </w:r>
          </w:p>
        </w:tc>
        <w:tc>
          <w:tcPr>
            <w:tcW w:w="8202" w:type="dxa"/>
            <w:gridSpan w:val="8"/>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法定代表人</w:t>
            </w:r>
          </w:p>
        </w:tc>
        <w:tc>
          <w:tcPr>
            <w:tcW w:w="1048"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姓名</w:t>
            </w:r>
          </w:p>
        </w:tc>
        <w:tc>
          <w:tcPr>
            <w:tcW w:w="1412" w:type="dxa"/>
            <w:gridSpan w:val="2"/>
            <w:noWrap w:val="0"/>
            <w:vAlign w:val="center"/>
          </w:tcPr>
          <w:p>
            <w:pPr>
              <w:jc w:val="center"/>
              <w:rPr>
                <w:rFonts w:hint="eastAsia" w:ascii="宋体" w:hAnsi="宋体" w:cs="宋体"/>
                <w:szCs w:val="21"/>
                <w:highlight w:val="none"/>
              </w:rPr>
            </w:pPr>
          </w:p>
        </w:tc>
        <w:tc>
          <w:tcPr>
            <w:tcW w:w="1499"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技术职称</w:t>
            </w:r>
          </w:p>
        </w:tc>
        <w:tc>
          <w:tcPr>
            <w:tcW w:w="1760" w:type="dxa"/>
            <w:gridSpan w:val="2"/>
            <w:noWrap w:val="0"/>
            <w:vAlign w:val="center"/>
          </w:tcPr>
          <w:p>
            <w:pPr>
              <w:jc w:val="center"/>
              <w:rPr>
                <w:rFonts w:hint="eastAsia" w:ascii="宋体" w:hAnsi="宋体" w:cs="宋体"/>
                <w:szCs w:val="21"/>
                <w:highlight w:val="none"/>
              </w:rPr>
            </w:pPr>
          </w:p>
        </w:tc>
        <w:tc>
          <w:tcPr>
            <w:tcW w:w="828"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电话</w:t>
            </w:r>
          </w:p>
        </w:tc>
        <w:tc>
          <w:tcPr>
            <w:tcW w:w="1655" w:type="dxa"/>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技术负责人</w:t>
            </w:r>
          </w:p>
        </w:tc>
        <w:tc>
          <w:tcPr>
            <w:tcW w:w="1048"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姓名</w:t>
            </w:r>
          </w:p>
        </w:tc>
        <w:tc>
          <w:tcPr>
            <w:tcW w:w="1412" w:type="dxa"/>
            <w:gridSpan w:val="2"/>
            <w:noWrap w:val="0"/>
            <w:vAlign w:val="center"/>
          </w:tcPr>
          <w:p>
            <w:pPr>
              <w:jc w:val="center"/>
              <w:rPr>
                <w:rFonts w:hint="eastAsia" w:ascii="宋体" w:hAnsi="宋体" w:cs="宋体"/>
                <w:szCs w:val="21"/>
                <w:highlight w:val="none"/>
              </w:rPr>
            </w:pPr>
          </w:p>
        </w:tc>
        <w:tc>
          <w:tcPr>
            <w:tcW w:w="1499"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技术职称</w:t>
            </w:r>
          </w:p>
        </w:tc>
        <w:tc>
          <w:tcPr>
            <w:tcW w:w="1760" w:type="dxa"/>
            <w:gridSpan w:val="2"/>
            <w:noWrap w:val="0"/>
            <w:vAlign w:val="center"/>
          </w:tcPr>
          <w:p>
            <w:pPr>
              <w:jc w:val="center"/>
              <w:rPr>
                <w:rFonts w:hint="eastAsia" w:ascii="宋体" w:hAnsi="宋体" w:cs="宋体"/>
                <w:szCs w:val="21"/>
                <w:highlight w:val="none"/>
              </w:rPr>
            </w:pPr>
          </w:p>
        </w:tc>
        <w:tc>
          <w:tcPr>
            <w:tcW w:w="828"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电话</w:t>
            </w:r>
          </w:p>
        </w:tc>
        <w:tc>
          <w:tcPr>
            <w:tcW w:w="1655" w:type="dxa"/>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成立时间</w:t>
            </w:r>
          </w:p>
        </w:tc>
        <w:tc>
          <w:tcPr>
            <w:tcW w:w="2460" w:type="dxa"/>
            <w:gridSpan w:val="3"/>
            <w:noWrap w:val="0"/>
            <w:vAlign w:val="center"/>
          </w:tcPr>
          <w:p>
            <w:pPr>
              <w:jc w:val="center"/>
              <w:rPr>
                <w:rFonts w:hint="eastAsia" w:ascii="宋体" w:hAnsi="宋体" w:cs="宋体"/>
                <w:szCs w:val="21"/>
                <w:highlight w:val="none"/>
              </w:rPr>
            </w:pPr>
          </w:p>
        </w:tc>
        <w:tc>
          <w:tcPr>
            <w:tcW w:w="5742" w:type="dxa"/>
            <w:gridSpan w:val="5"/>
            <w:noWrap w:val="0"/>
            <w:vAlign w:val="center"/>
          </w:tcPr>
          <w:p>
            <w:pPr>
              <w:jc w:val="both"/>
              <w:rPr>
                <w:rFonts w:hint="eastAsia" w:ascii="宋体" w:hAnsi="宋体" w:cs="宋体"/>
                <w:szCs w:val="21"/>
                <w:highlight w:val="none"/>
              </w:rPr>
            </w:pPr>
            <w:r>
              <w:rPr>
                <w:rFonts w:hint="eastAsia" w:ascii="宋体" w:hAnsi="宋体" w:cs="宋体"/>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营业执照号</w:t>
            </w:r>
          </w:p>
        </w:tc>
        <w:tc>
          <w:tcPr>
            <w:tcW w:w="8202" w:type="dxa"/>
            <w:gridSpan w:val="8"/>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注册资金</w:t>
            </w:r>
          </w:p>
        </w:tc>
        <w:tc>
          <w:tcPr>
            <w:tcW w:w="8202" w:type="dxa"/>
            <w:gridSpan w:val="8"/>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开户银行</w:t>
            </w:r>
          </w:p>
        </w:tc>
        <w:tc>
          <w:tcPr>
            <w:tcW w:w="8202" w:type="dxa"/>
            <w:gridSpan w:val="8"/>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账号</w:t>
            </w:r>
          </w:p>
        </w:tc>
        <w:tc>
          <w:tcPr>
            <w:tcW w:w="8202" w:type="dxa"/>
            <w:gridSpan w:val="8"/>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经营范围</w:t>
            </w:r>
          </w:p>
        </w:tc>
        <w:tc>
          <w:tcPr>
            <w:tcW w:w="8202" w:type="dxa"/>
            <w:gridSpan w:val="8"/>
            <w:noWrap w:val="0"/>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5"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备注</w:t>
            </w:r>
          </w:p>
        </w:tc>
        <w:tc>
          <w:tcPr>
            <w:tcW w:w="8202" w:type="dxa"/>
            <w:gridSpan w:val="8"/>
            <w:noWrap w:val="0"/>
            <w:vAlign w:val="center"/>
          </w:tcPr>
          <w:p>
            <w:pPr>
              <w:jc w:val="center"/>
              <w:rPr>
                <w:rFonts w:hint="eastAsia" w:ascii="宋体" w:hAnsi="宋体" w:cs="宋体"/>
                <w:szCs w:val="21"/>
                <w:highlight w:val="none"/>
              </w:rPr>
            </w:pPr>
          </w:p>
        </w:tc>
      </w:tr>
    </w:tbl>
    <w:p>
      <w:pPr>
        <w:pStyle w:val="2"/>
      </w:pPr>
      <w:r>
        <w:rPr>
          <w:rFonts w:hint="eastAsia" w:ascii="宋体" w:hAnsi="宋体" w:cs="宋体"/>
          <w:b/>
          <w:sz w:val="24"/>
          <w:szCs w:val="21"/>
          <w:highlight w:val="none"/>
        </w:rPr>
        <w:t>备注：本表后应附企业法人营业执照</w:t>
      </w:r>
      <w:r>
        <w:rPr>
          <w:rFonts w:hint="eastAsia" w:ascii="宋体" w:hAnsi="宋体" w:cs="宋体"/>
          <w:b/>
          <w:sz w:val="24"/>
          <w:szCs w:val="21"/>
          <w:highlight w:val="none"/>
          <w:lang w:eastAsia="zh-CN"/>
        </w:rPr>
        <w:t>、</w:t>
      </w:r>
      <w:r>
        <w:rPr>
          <w:rFonts w:hint="eastAsia" w:ascii="宋体" w:hAnsi="宋体" w:cs="宋体"/>
          <w:b/>
          <w:sz w:val="24"/>
          <w:szCs w:val="21"/>
          <w:highlight w:val="none"/>
        </w:rPr>
        <w:t>开户许可证等材料的复印件。</w:t>
      </w:r>
    </w:p>
    <w:p>
      <w:pPr>
        <w:spacing w:line="440" w:lineRule="exact"/>
        <w:rPr>
          <w:b/>
          <w:sz w:val="28"/>
          <w:szCs w:val="28"/>
        </w:rPr>
      </w:pPr>
      <w:r>
        <w:rPr>
          <w:b/>
          <w:sz w:val="28"/>
          <w:szCs w:val="28"/>
        </w:rPr>
        <w:br w:type="page"/>
      </w:r>
      <w:r>
        <w:rPr>
          <w:b/>
          <w:sz w:val="28"/>
          <w:szCs w:val="28"/>
        </w:rPr>
        <w:t>附表</w:t>
      </w:r>
      <w:r>
        <w:rPr>
          <w:rFonts w:hint="eastAsia"/>
          <w:b/>
          <w:sz w:val="28"/>
          <w:szCs w:val="28"/>
          <w:lang w:eastAsia="zh-CN"/>
        </w:rPr>
        <w:t>六</w:t>
      </w:r>
      <w:r>
        <w:rPr>
          <w:b/>
          <w:sz w:val="28"/>
          <w:szCs w:val="28"/>
        </w:rPr>
        <w:t>：</w:t>
      </w:r>
    </w:p>
    <w:p>
      <w:pPr>
        <w:spacing w:before="156" w:beforeLines="50" w:after="156" w:afterLines="50" w:line="480" w:lineRule="auto"/>
        <w:jc w:val="center"/>
        <w:rPr>
          <w:b/>
          <w:sz w:val="28"/>
          <w:szCs w:val="28"/>
        </w:rPr>
      </w:pPr>
      <w:r>
        <w:rPr>
          <w:b/>
          <w:sz w:val="28"/>
          <w:szCs w:val="28"/>
        </w:rPr>
        <w:t>（投标人）《反商业贿赂承诺书》</w:t>
      </w:r>
    </w:p>
    <w:p>
      <w:pPr>
        <w:pStyle w:val="12"/>
        <w:spacing w:line="480" w:lineRule="auto"/>
        <w:ind w:firstLine="482"/>
        <w:rPr>
          <w:b w:val="0"/>
        </w:rPr>
      </w:pPr>
      <w:r>
        <w:rPr>
          <w:b w:val="0"/>
        </w:rPr>
        <w:t>我公司承诺在</w:t>
      </w:r>
      <w:r>
        <w:rPr>
          <w:b w:val="0"/>
          <w:u w:val="single"/>
        </w:rPr>
        <w:t>（项目名称、项目编号）</w:t>
      </w:r>
      <w:r>
        <w:rPr>
          <w:b w:val="0"/>
        </w:rPr>
        <w:t xml:space="preserve">招标活动中，不给予采购方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pStyle w:val="12"/>
        <w:spacing w:line="480" w:lineRule="auto"/>
        <w:ind w:firstLine="482"/>
        <w:rPr>
          <w:b w:val="0"/>
        </w:rPr>
      </w:pPr>
      <w:r>
        <w:rPr>
          <w:b w:val="0"/>
        </w:rPr>
        <w:t>法定代表人：</w:t>
      </w:r>
    </w:p>
    <w:p>
      <w:pPr>
        <w:pStyle w:val="12"/>
        <w:spacing w:line="480" w:lineRule="auto"/>
        <w:ind w:firstLine="482"/>
        <w:rPr>
          <w:b w:val="0"/>
        </w:rPr>
      </w:pPr>
      <w:r>
        <w:rPr>
          <w:b w:val="0"/>
        </w:rPr>
        <w:t xml:space="preserve">法人授权代表：   </w:t>
      </w:r>
      <w:r>
        <w:rPr>
          <w:rFonts w:hint="eastAsia"/>
          <w:b w:val="0"/>
        </w:rPr>
        <w:t xml:space="preserve">  </w:t>
      </w:r>
      <w:r>
        <w:rPr>
          <w:b w:val="0"/>
        </w:rPr>
        <w:t xml:space="preserve">                       日期：</w:t>
      </w:r>
    </w:p>
    <w:p>
      <w:pPr>
        <w:spacing w:line="440" w:lineRule="exact"/>
        <w:rPr>
          <w:b/>
          <w:sz w:val="28"/>
          <w:szCs w:val="28"/>
        </w:rPr>
      </w:pPr>
    </w:p>
    <w:p>
      <w:pPr>
        <w:spacing w:line="440" w:lineRule="exact"/>
        <w:rPr>
          <w:b/>
          <w:sz w:val="28"/>
          <w:szCs w:val="28"/>
        </w:rPr>
      </w:pPr>
    </w:p>
    <w:p>
      <w:pPr>
        <w:spacing w:line="440" w:lineRule="exact"/>
        <w:rPr>
          <w:b/>
          <w:sz w:val="28"/>
          <w:szCs w:val="28"/>
        </w:rPr>
      </w:pPr>
      <w:r>
        <w:rPr>
          <w:b/>
          <w:sz w:val="28"/>
          <w:szCs w:val="28"/>
        </w:rPr>
        <w:t>附表</w:t>
      </w:r>
      <w:r>
        <w:rPr>
          <w:rFonts w:hint="eastAsia"/>
          <w:b/>
          <w:sz w:val="28"/>
          <w:szCs w:val="28"/>
          <w:lang w:eastAsia="zh-CN"/>
        </w:rPr>
        <w:t>七</w:t>
      </w:r>
      <w:r>
        <w:rPr>
          <w:b/>
          <w:sz w:val="28"/>
          <w:szCs w:val="28"/>
        </w:rPr>
        <w:t>：</w:t>
      </w:r>
    </w:p>
    <w:p>
      <w:pPr>
        <w:pStyle w:val="39"/>
        <w:spacing w:line="440" w:lineRule="exact"/>
        <w:jc w:val="center"/>
        <w:rPr>
          <w:rFonts w:hint="eastAsia" w:eastAsia="宋体"/>
          <w:b/>
          <w:color w:val="auto"/>
          <w:sz w:val="28"/>
          <w:szCs w:val="28"/>
          <w:lang w:eastAsia="zh-CN"/>
        </w:rPr>
      </w:pPr>
      <w:r>
        <w:rPr>
          <w:b/>
          <w:color w:val="auto"/>
          <w:sz w:val="28"/>
          <w:szCs w:val="28"/>
        </w:rPr>
        <w:t>近</w:t>
      </w:r>
      <w:r>
        <w:rPr>
          <w:rFonts w:hint="eastAsia"/>
          <w:b/>
          <w:color w:val="auto"/>
          <w:sz w:val="28"/>
          <w:szCs w:val="28"/>
          <w:lang w:val="en-US" w:eastAsia="zh-CN"/>
        </w:rPr>
        <w:t>三</w:t>
      </w:r>
      <w:r>
        <w:rPr>
          <w:b/>
          <w:color w:val="auto"/>
          <w:sz w:val="28"/>
          <w:szCs w:val="28"/>
        </w:rPr>
        <w:t>年（20</w:t>
      </w:r>
      <w:r>
        <w:rPr>
          <w:rFonts w:hint="eastAsia"/>
          <w:b/>
          <w:color w:val="auto"/>
          <w:sz w:val="28"/>
          <w:szCs w:val="28"/>
          <w:lang w:val="en-US" w:eastAsia="zh-CN"/>
        </w:rPr>
        <w:t>20</w:t>
      </w:r>
      <w:r>
        <w:rPr>
          <w:b/>
          <w:color w:val="auto"/>
          <w:sz w:val="28"/>
          <w:szCs w:val="28"/>
        </w:rPr>
        <w:t>年</w:t>
      </w:r>
      <w:r>
        <w:rPr>
          <w:rFonts w:hint="eastAsia"/>
          <w:b/>
          <w:color w:val="auto"/>
          <w:sz w:val="28"/>
          <w:szCs w:val="28"/>
          <w:lang w:val="en-US" w:eastAsia="zh-CN"/>
        </w:rPr>
        <w:t>3</w:t>
      </w:r>
      <w:r>
        <w:rPr>
          <w:b/>
          <w:color w:val="auto"/>
          <w:sz w:val="28"/>
          <w:szCs w:val="28"/>
        </w:rPr>
        <w:t>月至今）类似项目业绩表</w:t>
      </w:r>
      <w:r>
        <w:rPr>
          <w:rFonts w:hint="eastAsia"/>
          <w:b/>
          <w:color w:val="auto"/>
          <w:sz w:val="28"/>
          <w:szCs w:val="28"/>
          <w:lang w:eastAsia="zh-CN"/>
        </w:rPr>
        <w:t>（如有）</w:t>
      </w:r>
    </w:p>
    <w:p>
      <w:pPr>
        <w:pStyle w:val="39"/>
        <w:spacing w:line="440" w:lineRule="exact"/>
        <w:rPr>
          <w:color w:val="auto"/>
          <w:sz w:val="24"/>
        </w:rPr>
      </w:pPr>
      <w:r>
        <w:rPr>
          <w:color w:val="auto"/>
          <w:sz w:val="24"/>
        </w:rPr>
        <w:t xml:space="preserve">项目名称：                             </w:t>
      </w:r>
    </w:p>
    <w:tbl>
      <w:tblPr>
        <w:tblStyle w:val="27"/>
        <w:tblW w:w="978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0"/>
        <w:gridCol w:w="1538"/>
        <w:gridCol w:w="2106"/>
        <w:gridCol w:w="979"/>
        <w:gridCol w:w="2374"/>
        <w:gridCol w:w="18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2" w:hRule="atLeast"/>
        </w:trPr>
        <w:tc>
          <w:tcPr>
            <w:tcW w:w="970" w:type="dxa"/>
            <w:tcBorders>
              <w:top w:val="double" w:color="auto" w:sz="4" w:space="0"/>
              <w:left w:val="double" w:color="auto" w:sz="4" w:space="0"/>
              <w:bottom w:val="single" w:color="auto" w:sz="6" w:space="0"/>
              <w:right w:val="single" w:color="auto" w:sz="6" w:space="0"/>
            </w:tcBorders>
            <w:vAlign w:val="center"/>
          </w:tcPr>
          <w:p>
            <w:pPr>
              <w:pStyle w:val="40"/>
              <w:spacing w:line="440" w:lineRule="exact"/>
              <w:jc w:val="center"/>
              <w:rPr>
                <w:color w:val="auto"/>
              </w:rPr>
            </w:pPr>
            <w:r>
              <w:rPr>
                <w:color w:val="auto"/>
              </w:rPr>
              <w:t>序号</w:t>
            </w:r>
          </w:p>
        </w:tc>
        <w:tc>
          <w:tcPr>
            <w:tcW w:w="1538" w:type="dxa"/>
            <w:tcBorders>
              <w:top w:val="double" w:color="auto" w:sz="4" w:space="0"/>
              <w:left w:val="single" w:color="auto" w:sz="6" w:space="0"/>
              <w:bottom w:val="single" w:color="auto" w:sz="6" w:space="0"/>
              <w:right w:val="single" w:color="auto" w:sz="6" w:space="0"/>
            </w:tcBorders>
            <w:vAlign w:val="center"/>
          </w:tcPr>
          <w:p>
            <w:pPr>
              <w:pStyle w:val="40"/>
              <w:spacing w:line="440" w:lineRule="exact"/>
              <w:jc w:val="center"/>
              <w:rPr>
                <w:color w:val="auto"/>
              </w:rPr>
            </w:pPr>
            <w:r>
              <w:rPr>
                <w:color w:val="auto"/>
              </w:rPr>
              <w:t>项目名称</w:t>
            </w:r>
          </w:p>
        </w:tc>
        <w:tc>
          <w:tcPr>
            <w:tcW w:w="2106" w:type="dxa"/>
            <w:tcBorders>
              <w:top w:val="double" w:color="auto" w:sz="4" w:space="0"/>
              <w:left w:val="single" w:color="auto" w:sz="6" w:space="0"/>
              <w:bottom w:val="single" w:color="auto" w:sz="6" w:space="0"/>
              <w:right w:val="single" w:color="auto" w:sz="6" w:space="0"/>
            </w:tcBorders>
            <w:vAlign w:val="center"/>
          </w:tcPr>
          <w:p>
            <w:pPr>
              <w:pStyle w:val="40"/>
              <w:spacing w:line="440" w:lineRule="exact"/>
              <w:jc w:val="center"/>
              <w:rPr>
                <w:color w:val="auto"/>
              </w:rPr>
            </w:pPr>
            <w:r>
              <w:rPr>
                <w:color w:val="auto"/>
              </w:rPr>
              <w:t>年份</w:t>
            </w:r>
          </w:p>
        </w:tc>
        <w:tc>
          <w:tcPr>
            <w:tcW w:w="979" w:type="dxa"/>
            <w:tcBorders>
              <w:top w:val="double" w:color="auto" w:sz="4" w:space="0"/>
              <w:left w:val="single" w:color="auto" w:sz="6" w:space="0"/>
              <w:bottom w:val="single" w:color="auto" w:sz="6" w:space="0"/>
              <w:right w:val="single" w:color="auto" w:sz="6" w:space="0"/>
            </w:tcBorders>
            <w:vAlign w:val="center"/>
          </w:tcPr>
          <w:p>
            <w:pPr>
              <w:pStyle w:val="40"/>
              <w:spacing w:line="440" w:lineRule="exact"/>
              <w:ind w:left="785" w:hanging="784" w:hangingChars="327"/>
              <w:jc w:val="center"/>
              <w:rPr>
                <w:color w:val="auto"/>
              </w:rPr>
            </w:pPr>
            <w:r>
              <w:rPr>
                <w:color w:val="auto"/>
              </w:rPr>
              <w:t>中标价</w:t>
            </w:r>
          </w:p>
        </w:tc>
        <w:tc>
          <w:tcPr>
            <w:tcW w:w="2374" w:type="dxa"/>
            <w:tcBorders>
              <w:top w:val="double" w:color="auto" w:sz="4" w:space="0"/>
              <w:left w:val="single" w:color="auto" w:sz="6" w:space="0"/>
              <w:bottom w:val="single" w:color="auto" w:sz="6" w:space="0"/>
              <w:right w:val="single" w:color="auto" w:sz="6" w:space="0"/>
            </w:tcBorders>
          </w:tcPr>
          <w:p>
            <w:pPr>
              <w:pStyle w:val="40"/>
              <w:spacing w:line="440" w:lineRule="exact"/>
              <w:jc w:val="center"/>
              <w:rPr>
                <w:color w:val="auto"/>
              </w:rPr>
            </w:pPr>
            <w:r>
              <w:rPr>
                <w:color w:val="auto"/>
              </w:rPr>
              <w:t>项目实施单位</w:t>
            </w:r>
          </w:p>
        </w:tc>
        <w:tc>
          <w:tcPr>
            <w:tcW w:w="1814" w:type="dxa"/>
            <w:tcBorders>
              <w:top w:val="double" w:color="auto" w:sz="4" w:space="0"/>
              <w:left w:val="single" w:color="auto" w:sz="6" w:space="0"/>
              <w:bottom w:val="single" w:color="auto" w:sz="6" w:space="0"/>
              <w:right w:val="double" w:color="auto" w:sz="4" w:space="0"/>
            </w:tcBorders>
            <w:vAlign w:val="center"/>
          </w:tcPr>
          <w:p>
            <w:pPr>
              <w:pStyle w:val="40"/>
              <w:spacing w:line="440" w:lineRule="exact"/>
              <w:jc w:val="center"/>
              <w:rPr>
                <w:color w:val="auto"/>
              </w:rPr>
            </w:pPr>
            <w:r>
              <w:rPr>
                <w:color w:val="auto"/>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0"/>
              <w:spacing w:line="440" w:lineRule="exact"/>
              <w:jc w:val="center"/>
              <w:rPr>
                <w:color w:val="auto"/>
              </w:rPr>
            </w:pPr>
            <w:r>
              <w:rPr>
                <w:color w:val="auto"/>
              </w:rPr>
              <w:t>1</w:t>
            </w:r>
          </w:p>
        </w:tc>
        <w:tc>
          <w:tcPr>
            <w:tcW w:w="1538"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374" w:type="dxa"/>
            <w:tcBorders>
              <w:top w:val="single" w:color="auto" w:sz="6" w:space="0"/>
              <w:left w:val="single" w:color="auto" w:sz="6" w:space="0"/>
              <w:bottom w:val="single" w:color="auto" w:sz="6" w:space="0"/>
              <w:right w:val="single" w:color="auto" w:sz="6" w:space="0"/>
            </w:tcBorders>
          </w:tcPr>
          <w:p>
            <w:pPr>
              <w:pStyle w:val="40"/>
              <w:spacing w:line="440" w:lineRule="exact"/>
              <w:jc w:val="center"/>
              <w:rPr>
                <w:color w:val="auto"/>
              </w:rPr>
            </w:pPr>
          </w:p>
        </w:tc>
        <w:tc>
          <w:tcPr>
            <w:tcW w:w="1814" w:type="dxa"/>
            <w:tcBorders>
              <w:top w:val="single" w:color="auto" w:sz="6" w:space="0"/>
              <w:left w:val="single" w:color="auto" w:sz="6" w:space="0"/>
              <w:bottom w:val="single" w:color="auto" w:sz="6" w:space="0"/>
              <w:right w:val="double" w:color="auto" w:sz="4" w:space="0"/>
            </w:tcBorders>
            <w:vAlign w:val="center"/>
          </w:tcPr>
          <w:p>
            <w:pPr>
              <w:pStyle w:val="40"/>
              <w:spacing w:line="440" w:lineRule="exact"/>
              <w:jc w:val="center"/>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0"/>
              <w:spacing w:line="440" w:lineRule="exact"/>
              <w:jc w:val="center"/>
              <w:rPr>
                <w:color w:val="auto"/>
              </w:rPr>
            </w:pPr>
            <w:r>
              <w:rPr>
                <w:color w:val="auto"/>
              </w:rPr>
              <w:t>2</w:t>
            </w:r>
          </w:p>
        </w:tc>
        <w:tc>
          <w:tcPr>
            <w:tcW w:w="1538"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374" w:type="dxa"/>
            <w:tcBorders>
              <w:top w:val="single" w:color="auto" w:sz="6" w:space="0"/>
              <w:left w:val="single" w:color="auto" w:sz="6" w:space="0"/>
              <w:bottom w:val="single" w:color="auto" w:sz="6" w:space="0"/>
              <w:right w:val="single" w:color="auto" w:sz="6" w:space="0"/>
            </w:tcBorders>
          </w:tcPr>
          <w:p>
            <w:pPr>
              <w:pStyle w:val="40"/>
              <w:spacing w:line="440" w:lineRule="exact"/>
              <w:jc w:val="center"/>
              <w:rPr>
                <w:color w:val="auto"/>
              </w:rPr>
            </w:pPr>
          </w:p>
        </w:tc>
        <w:tc>
          <w:tcPr>
            <w:tcW w:w="1814" w:type="dxa"/>
            <w:tcBorders>
              <w:top w:val="single" w:color="auto" w:sz="6" w:space="0"/>
              <w:left w:val="single" w:color="auto" w:sz="6" w:space="0"/>
              <w:bottom w:val="single" w:color="auto" w:sz="6" w:space="0"/>
              <w:right w:val="double" w:color="auto" w:sz="4" w:space="0"/>
            </w:tcBorders>
            <w:vAlign w:val="center"/>
          </w:tcPr>
          <w:p>
            <w:pPr>
              <w:pStyle w:val="40"/>
              <w:spacing w:line="440" w:lineRule="exact"/>
              <w:jc w:val="center"/>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0"/>
              <w:spacing w:line="440" w:lineRule="exact"/>
              <w:jc w:val="center"/>
              <w:rPr>
                <w:color w:val="auto"/>
              </w:rPr>
            </w:pPr>
            <w:r>
              <w:rPr>
                <w:color w:val="auto"/>
              </w:rPr>
              <w:t>3</w:t>
            </w:r>
          </w:p>
        </w:tc>
        <w:tc>
          <w:tcPr>
            <w:tcW w:w="1538"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374" w:type="dxa"/>
            <w:tcBorders>
              <w:top w:val="single" w:color="auto" w:sz="6" w:space="0"/>
              <w:left w:val="single" w:color="auto" w:sz="6" w:space="0"/>
              <w:bottom w:val="single" w:color="auto" w:sz="6" w:space="0"/>
              <w:right w:val="single" w:color="auto" w:sz="6" w:space="0"/>
            </w:tcBorders>
          </w:tcPr>
          <w:p>
            <w:pPr>
              <w:pStyle w:val="40"/>
              <w:spacing w:line="440" w:lineRule="exact"/>
              <w:jc w:val="center"/>
              <w:rPr>
                <w:color w:val="auto"/>
              </w:rPr>
            </w:pPr>
          </w:p>
        </w:tc>
        <w:tc>
          <w:tcPr>
            <w:tcW w:w="1814" w:type="dxa"/>
            <w:tcBorders>
              <w:top w:val="single" w:color="auto" w:sz="6" w:space="0"/>
              <w:left w:val="single" w:color="auto" w:sz="6" w:space="0"/>
              <w:bottom w:val="single" w:color="auto" w:sz="6" w:space="0"/>
              <w:right w:val="double" w:color="auto" w:sz="4" w:space="0"/>
            </w:tcBorders>
            <w:vAlign w:val="center"/>
          </w:tcPr>
          <w:p>
            <w:pPr>
              <w:pStyle w:val="40"/>
              <w:spacing w:line="440" w:lineRule="exact"/>
              <w:jc w:val="center"/>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0"/>
              <w:spacing w:line="440" w:lineRule="exact"/>
              <w:jc w:val="center"/>
              <w:rPr>
                <w:color w:val="auto"/>
              </w:rPr>
            </w:pPr>
            <w:r>
              <w:rPr>
                <w:color w:val="auto"/>
              </w:rPr>
              <w:t>4</w:t>
            </w:r>
          </w:p>
        </w:tc>
        <w:tc>
          <w:tcPr>
            <w:tcW w:w="1538"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374" w:type="dxa"/>
            <w:tcBorders>
              <w:top w:val="single" w:color="auto" w:sz="6" w:space="0"/>
              <w:left w:val="single" w:color="auto" w:sz="6" w:space="0"/>
              <w:bottom w:val="single" w:color="auto" w:sz="6" w:space="0"/>
              <w:right w:val="single" w:color="auto" w:sz="6" w:space="0"/>
            </w:tcBorders>
          </w:tcPr>
          <w:p>
            <w:pPr>
              <w:pStyle w:val="40"/>
              <w:spacing w:line="440" w:lineRule="exact"/>
              <w:jc w:val="center"/>
              <w:rPr>
                <w:color w:val="auto"/>
              </w:rPr>
            </w:pPr>
          </w:p>
        </w:tc>
        <w:tc>
          <w:tcPr>
            <w:tcW w:w="1814" w:type="dxa"/>
            <w:tcBorders>
              <w:top w:val="single" w:color="auto" w:sz="6" w:space="0"/>
              <w:left w:val="single" w:color="auto" w:sz="6" w:space="0"/>
              <w:bottom w:val="single" w:color="auto" w:sz="6" w:space="0"/>
              <w:right w:val="double" w:color="auto" w:sz="4" w:space="0"/>
            </w:tcBorders>
            <w:vAlign w:val="center"/>
          </w:tcPr>
          <w:p>
            <w:pPr>
              <w:pStyle w:val="40"/>
              <w:spacing w:line="440" w:lineRule="exact"/>
              <w:jc w:val="center"/>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0"/>
              <w:spacing w:line="440" w:lineRule="exact"/>
              <w:jc w:val="center"/>
              <w:rPr>
                <w:color w:val="auto"/>
              </w:rPr>
            </w:pPr>
            <w:r>
              <w:rPr>
                <w:color w:val="auto"/>
              </w:rPr>
              <w:t>……</w:t>
            </w:r>
          </w:p>
        </w:tc>
        <w:tc>
          <w:tcPr>
            <w:tcW w:w="1538"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0"/>
              <w:spacing w:line="440" w:lineRule="exact"/>
              <w:jc w:val="center"/>
              <w:rPr>
                <w:color w:val="auto"/>
              </w:rPr>
            </w:pPr>
          </w:p>
        </w:tc>
        <w:tc>
          <w:tcPr>
            <w:tcW w:w="2374" w:type="dxa"/>
            <w:tcBorders>
              <w:top w:val="single" w:color="auto" w:sz="6" w:space="0"/>
              <w:left w:val="single" w:color="auto" w:sz="6" w:space="0"/>
              <w:bottom w:val="single" w:color="auto" w:sz="6" w:space="0"/>
              <w:right w:val="single" w:color="auto" w:sz="6" w:space="0"/>
            </w:tcBorders>
          </w:tcPr>
          <w:p>
            <w:pPr>
              <w:pStyle w:val="40"/>
              <w:spacing w:line="440" w:lineRule="exact"/>
              <w:jc w:val="center"/>
              <w:rPr>
                <w:color w:val="auto"/>
              </w:rPr>
            </w:pPr>
          </w:p>
        </w:tc>
        <w:tc>
          <w:tcPr>
            <w:tcW w:w="1814" w:type="dxa"/>
            <w:tcBorders>
              <w:top w:val="single" w:color="auto" w:sz="6" w:space="0"/>
              <w:left w:val="single" w:color="auto" w:sz="6" w:space="0"/>
              <w:bottom w:val="single" w:color="auto" w:sz="6" w:space="0"/>
              <w:right w:val="double" w:color="auto" w:sz="4" w:space="0"/>
            </w:tcBorders>
            <w:vAlign w:val="center"/>
          </w:tcPr>
          <w:p>
            <w:pPr>
              <w:pStyle w:val="40"/>
              <w:spacing w:line="440" w:lineRule="exact"/>
              <w:jc w:val="center"/>
              <w:rPr>
                <w:color w:val="auto"/>
              </w:rPr>
            </w:pPr>
          </w:p>
        </w:tc>
      </w:tr>
    </w:tbl>
    <w:p>
      <w:pPr>
        <w:pStyle w:val="12"/>
        <w:spacing w:line="480" w:lineRule="auto"/>
        <w:ind w:left="0" w:leftChars="0" w:firstLine="0" w:firstLineChars="0"/>
        <w:rPr>
          <w:rFonts w:hint="eastAsia"/>
          <w:b w:val="0"/>
          <w:lang w:val="en-US" w:eastAsia="zh-CN"/>
        </w:rPr>
      </w:pPr>
      <w:r>
        <w:rPr>
          <w:rFonts w:hint="eastAsia"/>
          <w:b w:val="0"/>
          <w:lang w:val="en-US" w:eastAsia="zh-CN"/>
        </w:rPr>
        <w:t>注：需提供合同或中标通知书</w:t>
      </w:r>
    </w:p>
    <w:p>
      <w:pPr>
        <w:wordWrap w:val="0"/>
        <w:spacing w:line="440" w:lineRule="exact"/>
        <w:ind w:right="120"/>
        <w:jc w:val="right"/>
        <w:rPr>
          <w:sz w:val="24"/>
        </w:rPr>
      </w:pPr>
      <w:r>
        <w:rPr>
          <w:sz w:val="24"/>
        </w:rPr>
        <w:t xml:space="preserve">投标人盖章：                     </w:t>
      </w:r>
    </w:p>
    <w:p>
      <w:pPr>
        <w:spacing w:line="440" w:lineRule="exact"/>
        <w:jc w:val="right"/>
        <w:rPr>
          <w:sz w:val="24"/>
        </w:rPr>
      </w:pPr>
    </w:p>
    <w:p>
      <w:pPr>
        <w:spacing w:line="440" w:lineRule="exact"/>
        <w:jc w:val="right"/>
        <w:rPr>
          <w:sz w:val="24"/>
        </w:rPr>
      </w:pPr>
      <w:r>
        <w:rPr>
          <w:sz w:val="24"/>
        </w:rPr>
        <w:t>投标人法人或代理人（盖章或签字）：</w:t>
      </w:r>
    </w:p>
    <w:p>
      <w:pPr>
        <w:spacing w:line="440" w:lineRule="exact"/>
        <w:jc w:val="right"/>
        <w:rPr>
          <w:sz w:val="24"/>
        </w:rPr>
      </w:pPr>
    </w:p>
    <w:p>
      <w:pPr>
        <w:spacing w:line="440" w:lineRule="exact"/>
        <w:jc w:val="right"/>
        <w:rPr>
          <w:sz w:val="24"/>
        </w:rPr>
      </w:pPr>
      <w:r>
        <w:rPr>
          <w:sz w:val="24"/>
        </w:rPr>
        <w:t xml:space="preserve">                                      年    月     日</w:t>
      </w:r>
    </w:p>
    <w:p>
      <w:pPr>
        <w:spacing w:line="440" w:lineRule="exact"/>
        <w:jc w:val="right"/>
        <w:rPr>
          <w:sz w:val="24"/>
        </w:rPr>
      </w:pPr>
      <w:r>
        <w:rPr>
          <w:sz w:val="24"/>
        </w:rPr>
        <w:br w:type="page"/>
      </w:r>
    </w:p>
    <w:p>
      <w:pPr>
        <w:spacing w:line="440" w:lineRule="exact"/>
        <w:rPr>
          <w:b/>
          <w:sz w:val="28"/>
          <w:szCs w:val="28"/>
        </w:rPr>
      </w:pPr>
      <w:r>
        <w:rPr>
          <w:b/>
          <w:sz w:val="28"/>
          <w:szCs w:val="28"/>
        </w:rPr>
        <w:t>附表</w:t>
      </w:r>
      <w:r>
        <w:rPr>
          <w:rFonts w:hint="eastAsia"/>
          <w:b/>
          <w:sz w:val="28"/>
          <w:szCs w:val="28"/>
          <w:lang w:eastAsia="zh-CN"/>
        </w:rPr>
        <w:t>八</w:t>
      </w:r>
      <w:r>
        <w:rPr>
          <w:b/>
          <w:sz w:val="28"/>
          <w:szCs w:val="28"/>
        </w:rPr>
        <w:t>：</w:t>
      </w:r>
    </w:p>
    <w:p>
      <w:pPr>
        <w:spacing w:line="440" w:lineRule="exact"/>
        <w:jc w:val="center"/>
        <w:rPr>
          <w:b/>
          <w:sz w:val="28"/>
          <w:szCs w:val="28"/>
        </w:rPr>
      </w:pPr>
      <w:r>
        <w:rPr>
          <w:rFonts w:hint="eastAsia"/>
          <w:b/>
          <w:sz w:val="28"/>
          <w:szCs w:val="28"/>
        </w:rPr>
        <w:t>投标保证金缴纳凭证</w:t>
      </w:r>
    </w:p>
    <w:p>
      <w:pPr>
        <w:spacing w:line="440" w:lineRule="exact"/>
        <w:rPr>
          <w:b/>
          <w:sz w:val="28"/>
          <w:szCs w:val="28"/>
        </w:rPr>
      </w:pPr>
    </w:p>
    <w:p>
      <w:pPr>
        <w:spacing w:line="440" w:lineRule="exact"/>
        <w:rPr>
          <w:b/>
          <w:sz w:val="28"/>
          <w:szCs w:val="28"/>
        </w:rPr>
      </w:pPr>
    </w:p>
    <w:p>
      <w:pPr>
        <w:spacing w:line="440" w:lineRule="exact"/>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440" w:lineRule="exact"/>
        <w:jc w:val="right"/>
        <w:rPr>
          <w:b/>
          <w:sz w:val="28"/>
          <w:szCs w:val="28"/>
        </w:rPr>
      </w:pPr>
      <w:r>
        <w:rPr>
          <w:b/>
          <w:sz w:val="28"/>
          <w:szCs w:val="28"/>
        </w:rPr>
        <w:br w:type="page"/>
      </w:r>
    </w:p>
    <w:p>
      <w:pPr>
        <w:spacing w:line="440" w:lineRule="exact"/>
        <w:rPr>
          <w:rFonts w:hint="default" w:ascii="宋体" w:hAnsi="宋体" w:eastAsia="宋体"/>
          <w:b/>
          <w:sz w:val="28"/>
          <w:szCs w:val="28"/>
          <w:lang w:val="en-US" w:eastAsia="zh-CN"/>
        </w:rPr>
      </w:pPr>
      <w:r>
        <w:rPr>
          <w:rFonts w:hint="eastAsia" w:ascii="宋体" w:hAnsi="宋体"/>
          <w:b/>
          <w:sz w:val="28"/>
          <w:szCs w:val="28"/>
        </w:rPr>
        <w:t>附</w:t>
      </w:r>
      <w:r>
        <w:rPr>
          <w:rFonts w:hint="eastAsia" w:ascii="宋体" w:hAnsi="宋体"/>
          <w:b/>
          <w:sz w:val="28"/>
          <w:szCs w:val="28"/>
          <w:lang w:eastAsia="zh-CN"/>
        </w:rPr>
        <w:t>表九</w:t>
      </w:r>
      <w:r>
        <w:rPr>
          <w:rFonts w:hint="eastAsia" w:ascii="宋体" w:hAnsi="宋体"/>
          <w:b/>
          <w:sz w:val="28"/>
          <w:szCs w:val="28"/>
        </w:rPr>
        <w:t>：</w:t>
      </w:r>
      <w:r>
        <w:rPr>
          <w:rFonts w:ascii="宋体" w:hAnsi="宋体"/>
          <w:b/>
          <w:sz w:val="28"/>
          <w:szCs w:val="28"/>
        </w:rPr>
        <w:t xml:space="preserve"> </w:t>
      </w:r>
      <w:r>
        <w:rPr>
          <w:rFonts w:hint="eastAsia" w:ascii="宋体" w:hAnsi="宋体"/>
          <w:b/>
          <w:sz w:val="28"/>
          <w:szCs w:val="28"/>
          <w:lang w:val="en-US" w:eastAsia="zh-CN"/>
        </w:rPr>
        <w:t xml:space="preserve">     </w:t>
      </w:r>
    </w:p>
    <w:p>
      <w:pPr>
        <w:spacing w:before="156" w:beforeLines="50" w:after="156" w:afterLines="50" w:line="480" w:lineRule="auto"/>
        <w:jc w:val="center"/>
        <w:rPr>
          <w:rFonts w:ascii="宋体" w:hAnsi="宋体"/>
          <w:b/>
          <w:sz w:val="28"/>
          <w:szCs w:val="28"/>
        </w:rPr>
      </w:pPr>
      <w:r>
        <w:rPr>
          <w:rFonts w:hint="eastAsia" w:ascii="宋体" w:hAnsi="宋体"/>
          <w:b/>
          <w:sz w:val="28"/>
          <w:szCs w:val="28"/>
          <w:lang w:eastAsia="zh-CN"/>
        </w:rPr>
        <w:t>（</w:t>
      </w:r>
      <w:r>
        <w:rPr>
          <w:rFonts w:hint="eastAsia" w:ascii="宋体" w:hAnsi="宋体"/>
          <w:b/>
          <w:sz w:val="28"/>
          <w:szCs w:val="28"/>
          <w:lang w:val="en-US" w:eastAsia="zh-CN"/>
        </w:rPr>
        <w:t>一</w:t>
      </w:r>
      <w:r>
        <w:rPr>
          <w:rFonts w:hint="eastAsia" w:ascii="宋体" w:hAnsi="宋体"/>
          <w:b/>
          <w:sz w:val="28"/>
          <w:szCs w:val="28"/>
          <w:lang w:eastAsia="zh-CN"/>
        </w:rPr>
        <w:t>）</w:t>
      </w:r>
      <w:r>
        <w:rPr>
          <w:rFonts w:hint="eastAsia" w:ascii="宋体" w:hAnsi="宋体"/>
          <w:b/>
          <w:sz w:val="28"/>
          <w:szCs w:val="28"/>
        </w:rPr>
        <w:t>项目负责人简历表</w:t>
      </w:r>
    </w:p>
    <w:tbl>
      <w:tblPr>
        <w:tblStyle w:val="27"/>
        <w:tblW w:w="9968" w:type="dxa"/>
        <w:jc w:val="center"/>
        <w:tblLayout w:type="fixed"/>
        <w:tblCellMar>
          <w:top w:w="0" w:type="dxa"/>
          <w:left w:w="108" w:type="dxa"/>
          <w:bottom w:w="0" w:type="dxa"/>
          <w:right w:w="108" w:type="dxa"/>
        </w:tblCellMar>
      </w:tblPr>
      <w:tblGrid>
        <w:gridCol w:w="3196"/>
        <w:gridCol w:w="1118"/>
        <w:gridCol w:w="1284"/>
        <w:gridCol w:w="1256"/>
        <w:gridCol w:w="1256"/>
        <w:gridCol w:w="1858"/>
      </w:tblGrid>
      <w:tr>
        <w:tblPrEx>
          <w:tblCellMar>
            <w:top w:w="0" w:type="dxa"/>
            <w:left w:w="108" w:type="dxa"/>
            <w:bottom w:w="0" w:type="dxa"/>
            <w:right w:w="108" w:type="dxa"/>
          </w:tblCellMar>
        </w:tblPrEx>
        <w:trPr>
          <w:trHeight w:val="471" w:hRule="atLeast"/>
          <w:jc w:val="center"/>
        </w:trPr>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单位名称</w:t>
            </w:r>
          </w:p>
        </w:tc>
        <w:tc>
          <w:tcPr>
            <w:tcW w:w="365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职    务</w:t>
            </w:r>
          </w:p>
        </w:tc>
        <w:tc>
          <w:tcPr>
            <w:tcW w:w="18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471" w:hRule="atLeast"/>
          <w:jc w:val="center"/>
        </w:trPr>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姓    名</w:t>
            </w:r>
          </w:p>
        </w:tc>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性    别</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出生年月</w:t>
            </w:r>
          </w:p>
        </w:tc>
        <w:tc>
          <w:tcPr>
            <w:tcW w:w="18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471" w:hRule="atLeast"/>
          <w:jc w:val="center"/>
        </w:trPr>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文化程度</w:t>
            </w:r>
          </w:p>
        </w:tc>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毕业院校</w:t>
            </w:r>
          </w:p>
        </w:tc>
        <w:tc>
          <w:tcPr>
            <w:tcW w:w="437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471" w:hRule="atLeast"/>
          <w:jc w:val="center"/>
        </w:trPr>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从事相关专业工作年限</w:t>
            </w:r>
          </w:p>
        </w:tc>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专业</w:t>
            </w:r>
          </w:p>
        </w:tc>
        <w:tc>
          <w:tcPr>
            <w:tcW w:w="437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564" w:hRule="atLeast"/>
          <w:jc w:val="center"/>
        </w:trPr>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现任职务</w:t>
            </w:r>
          </w:p>
        </w:tc>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技术职称</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聘任时间</w:t>
            </w:r>
          </w:p>
        </w:tc>
        <w:tc>
          <w:tcPr>
            <w:tcW w:w="18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471" w:hRule="atLeast"/>
          <w:jc w:val="center"/>
        </w:trPr>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资格证书编号</w:t>
            </w:r>
          </w:p>
        </w:tc>
        <w:tc>
          <w:tcPr>
            <w:tcW w:w="24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发证单位</w:t>
            </w:r>
          </w:p>
        </w:tc>
        <w:tc>
          <w:tcPr>
            <w:tcW w:w="3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1061" w:hRule="atLeast"/>
          <w:jc w:val="center"/>
        </w:trPr>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主要工作经历</w:t>
            </w:r>
          </w:p>
        </w:tc>
        <w:tc>
          <w:tcPr>
            <w:tcW w:w="677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sz w:val="24"/>
              </w:rPr>
            </w:pPr>
          </w:p>
        </w:tc>
      </w:tr>
    </w:tbl>
    <w:p>
      <w:pPr>
        <w:spacing w:line="360" w:lineRule="auto"/>
        <w:rPr>
          <w:rFonts w:ascii="宋体" w:hAnsi="宋体"/>
          <w:sz w:val="24"/>
        </w:rPr>
      </w:pPr>
      <w:r>
        <w:rPr>
          <w:rFonts w:hint="eastAsia" w:ascii="宋体" w:hAnsi="宋体"/>
          <w:sz w:val="24"/>
        </w:rPr>
        <w:t>注：1、项目负责人必须填报本表；</w:t>
      </w:r>
    </w:p>
    <w:p>
      <w:pPr>
        <w:spacing w:line="360" w:lineRule="auto"/>
        <w:ind w:firstLine="480" w:firstLineChars="200"/>
        <w:rPr>
          <w:rFonts w:ascii="宋体" w:hAnsi="宋体"/>
          <w:sz w:val="24"/>
        </w:rPr>
      </w:pPr>
      <w:r>
        <w:rPr>
          <w:rFonts w:hint="eastAsia" w:ascii="宋体" w:hAnsi="宋体"/>
          <w:sz w:val="24"/>
        </w:rPr>
        <w:t>2、须附上身份证、学历证书、职称证书复印件（加盖公章）</w:t>
      </w:r>
    </w:p>
    <w:p>
      <w:pPr>
        <w:spacing w:line="360" w:lineRule="auto"/>
        <w:ind w:firstLine="5760" w:firstLineChars="24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spacing w:line="360" w:lineRule="auto"/>
        <w:ind w:firstLine="5760" w:firstLineChars="2400"/>
        <w:rPr>
          <w:rFonts w:ascii="宋体" w:hAnsi="宋体"/>
          <w:b/>
          <w:sz w:val="28"/>
          <w:szCs w:val="28"/>
        </w:rPr>
      </w:pPr>
      <w:r>
        <w:rPr>
          <w:rFonts w:hint="eastAsia" w:ascii="宋体" w:hAnsi="宋体"/>
          <w:sz w:val="24"/>
        </w:rPr>
        <w:t>日  期：</w:t>
      </w:r>
    </w:p>
    <w:p>
      <w:pPr>
        <w:spacing w:before="156" w:beforeLines="50" w:after="156" w:afterLines="50" w:line="480" w:lineRule="auto"/>
        <w:jc w:val="center"/>
        <w:rPr>
          <w:rFonts w:ascii="宋体" w:hAnsi="宋体"/>
          <w:b/>
          <w:sz w:val="28"/>
          <w:szCs w:val="28"/>
        </w:rPr>
      </w:pPr>
      <w:r>
        <w:rPr>
          <w:rFonts w:hint="eastAsia" w:ascii="宋体" w:hAnsi="宋体"/>
          <w:b/>
          <w:sz w:val="28"/>
          <w:szCs w:val="28"/>
          <w:lang w:eastAsia="zh-CN"/>
        </w:rPr>
        <w:t>（</w:t>
      </w:r>
      <w:r>
        <w:rPr>
          <w:rFonts w:hint="eastAsia" w:ascii="宋体" w:hAnsi="宋体"/>
          <w:b/>
          <w:sz w:val="28"/>
          <w:szCs w:val="28"/>
          <w:lang w:val="en-US" w:eastAsia="zh-CN"/>
        </w:rPr>
        <w:t>二</w:t>
      </w:r>
      <w:r>
        <w:rPr>
          <w:rFonts w:hint="eastAsia" w:ascii="宋体" w:hAnsi="宋体"/>
          <w:b/>
          <w:sz w:val="28"/>
          <w:szCs w:val="28"/>
          <w:lang w:eastAsia="zh-CN"/>
        </w:rPr>
        <w:t>）</w:t>
      </w:r>
      <w:r>
        <w:rPr>
          <w:rFonts w:hint="eastAsia" w:ascii="宋体" w:hAnsi="宋体"/>
          <w:b/>
          <w:sz w:val="28"/>
          <w:szCs w:val="28"/>
        </w:rPr>
        <w:t>投入本项目</w:t>
      </w:r>
      <w:r>
        <w:rPr>
          <w:rFonts w:hint="eastAsia" w:ascii="宋体" w:hAnsi="宋体"/>
          <w:b/>
          <w:sz w:val="28"/>
          <w:szCs w:val="28"/>
          <w:lang w:eastAsia="zh-CN"/>
        </w:rPr>
        <w:t>管理</w:t>
      </w:r>
      <w:r>
        <w:rPr>
          <w:rFonts w:hint="eastAsia" w:ascii="宋体" w:hAnsi="宋体"/>
          <w:b/>
          <w:sz w:val="28"/>
          <w:szCs w:val="28"/>
        </w:rPr>
        <w:t>人员表</w:t>
      </w:r>
    </w:p>
    <w:tbl>
      <w:tblPr>
        <w:tblStyle w:val="27"/>
        <w:tblW w:w="9966" w:type="dxa"/>
        <w:jc w:val="center"/>
        <w:tblLayout w:type="fixed"/>
        <w:tblCellMar>
          <w:top w:w="0" w:type="dxa"/>
          <w:left w:w="108" w:type="dxa"/>
          <w:bottom w:w="0" w:type="dxa"/>
          <w:right w:w="108" w:type="dxa"/>
        </w:tblCellMar>
      </w:tblPr>
      <w:tblGrid>
        <w:gridCol w:w="2635"/>
        <w:gridCol w:w="1225"/>
        <w:gridCol w:w="1225"/>
        <w:gridCol w:w="1225"/>
        <w:gridCol w:w="1227"/>
        <w:gridCol w:w="2429"/>
      </w:tblGrid>
      <w:tr>
        <w:tblPrEx>
          <w:tblCellMar>
            <w:top w:w="0" w:type="dxa"/>
            <w:left w:w="108" w:type="dxa"/>
            <w:bottom w:w="0" w:type="dxa"/>
            <w:right w:w="108" w:type="dxa"/>
          </w:tblCellMar>
        </w:tblPrEx>
        <w:trPr>
          <w:trHeight w:val="624" w:hRule="atLeast"/>
          <w:jc w:val="center"/>
        </w:trPr>
        <w:tc>
          <w:tcPr>
            <w:tcW w:w="2635" w:type="dxa"/>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spacing w:line="276" w:lineRule="auto"/>
              <w:ind w:firstLine="600" w:firstLineChars="250"/>
              <w:jc w:val="center"/>
              <w:rPr>
                <w:rFonts w:ascii="宋体" w:hAnsi="宋体"/>
                <w:sz w:val="24"/>
              </w:rPr>
            </w:pPr>
            <w:r>
              <w:rPr>
                <w:rFonts w:hint="eastAsia" w:ascii="宋体" w:hAnsi="宋体"/>
                <w:sz w:val="24"/>
              </w:rPr>
              <w:t xml:space="preserve">     资历</w:t>
            </w:r>
          </w:p>
          <w:p>
            <w:pPr>
              <w:adjustRightInd w:val="0"/>
              <w:snapToGrid w:val="0"/>
              <w:spacing w:line="276" w:lineRule="auto"/>
              <w:rPr>
                <w:rFonts w:ascii="宋体" w:hAnsi="宋体"/>
                <w:sz w:val="24"/>
              </w:rPr>
            </w:pPr>
            <w:r>
              <w:rPr>
                <w:rFonts w:hint="eastAsia" w:ascii="宋体" w:hAnsi="宋体"/>
                <w:sz w:val="24"/>
              </w:rPr>
              <w:t>拟任职务</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姓名</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职称</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专业</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工作年限</w:t>
            </w:r>
          </w:p>
        </w:tc>
        <w:tc>
          <w:tcPr>
            <w:tcW w:w="2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备注</w:t>
            </w:r>
          </w:p>
        </w:tc>
      </w:tr>
      <w:tr>
        <w:tblPrEx>
          <w:tblCellMar>
            <w:top w:w="0" w:type="dxa"/>
            <w:left w:w="108" w:type="dxa"/>
            <w:bottom w:w="0" w:type="dxa"/>
            <w:right w:w="108" w:type="dxa"/>
          </w:tblCellMar>
        </w:tblPrEx>
        <w:trPr>
          <w:trHeight w:val="370" w:hRule="atLeast"/>
          <w:jc w:val="center"/>
        </w:trPr>
        <w:tc>
          <w:tcPr>
            <w:tcW w:w="2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项目负责人</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2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370" w:hRule="atLeast"/>
          <w:jc w:val="center"/>
        </w:trPr>
        <w:tc>
          <w:tcPr>
            <w:tcW w:w="2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技术负责人</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2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308" w:hRule="atLeast"/>
          <w:jc w:val="center"/>
        </w:trPr>
        <w:tc>
          <w:tcPr>
            <w:tcW w:w="2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2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r>
        <w:tblPrEx>
          <w:tblCellMar>
            <w:top w:w="0" w:type="dxa"/>
            <w:left w:w="108" w:type="dxa"/>
            <w:bottom w:w="0" w:type="dxa"/>
            <w:right w:w="108" w:type="dxa"/>
          </w:tblCellMar>
        </w:tblPrEx>
        <w:trPr>
          <w:trHeight w:val="343" w:hRule="atLeast"/>
          <w:jc w:val="center"/>
        </w:trPr>
        <w:tc>
          <w:tcPr>
            <w:tcW w:w="2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w:t>
            </w: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c>
          <w:tcPr>
            <w:tcW w:w="24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p>
        </w:tc>
      </w:tr>
    </w:tbl>
    <w:p>
      <w:pPr>
        <w:spacing w:line="360" w:lineRule="auto"/>
        <w:ind w:firstLine="480" w:firstLineChars="200"/>
        <w:rPr>
          <w:rFonts w:ascii="宋体" w:hAnsi="宋体"/>
          <w:sz w:val="24"/>
        </w:rPr>
      </w:pPr>
      <w:r>
        <w:rPr>
          <w:rFonts w:hint="eastAsia" w:ascii="宋体" w:hAnsi="宋体"/>
          <w:sz w:val="24"/>
        </w:rPr>
        <w:t>注：须附上身份证、学历证书、职称证书</w:t>
      </w:r>
      <w:r>
        <w:rPr>
          <w:rFonts w:hint="eastAsia" w:ascii="宋体" w:hAnsi="宋体"/>
          <w:sz w:val="24"/>
          <w:lang w:eastAsia="zh-CN"/>
        </w:rPr>
        <w:t>（如有）</w:t>
      </w:r>
      <w:r>
        <w:rPr>
          <w:rFonts w:hint="eastAsia" w:ascii="宋体" w:hAnsi="宋体"/>
          <w:sz w:val="24"/>
        </w:rPr>
        <w:t>复印件（加盖公章）</w:t>
      </w:r>
    </w:p>
    <w:p>
      <w:pPr>
        <w:spacing w:line="360" w:lineRule="auto"/>
        <w:ind w:firstLine="6720" w:firstLineChars="28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jc w:val="center"/>
        <w:rPr>
          <w:rFonts w:ascii="宋体" w:hAnsi="宋体"/>
          <w:sz w:val="24"/>
        </w:rPr>
      </w:pPr>
      <w:r>
        <w:rPr>
          <w:rFonts w:hint="eastAsia" w:ascii="宋体" w:hAnsi="宋体"/>
          <w:sz w:val="24"/>
        </w:rPr>
        <w:t xml:space="preserve">                                        日  期：</w:t>
      </w:r>
    </w:p>
    <w:p>
      <w:pPr>
        <w:pStyle w:val="8"/>
        <w:rPr>
          <w:b w:val="0"/>
          <w:bCs/>
        </w:rPr>
      </w:pPr>
    </w:p>
    <w:p>
      <w:pPr>
        <w:jc w:val="center"/>
        <w:rPr>
          <w:rFonts w:hint="eastAsia" w:eastAsia="宋体"/>
          <w:b/>
          <w:sz w:val="28"/>
          <w:szCs w:val="28"/>
          <w:lang w:eastAsia="zh-CN"/>
        </w:rPr>
      </w:pPr>
      <w:r>
        <w:rPr>
          <w:rFonts w:hint="eastAsia" w:ascii="宋体" w:hAnsi="宋体"/>
          <w:b/>
          <w:sz w:val="28"/>
          <w:szCs w:val="28"/>
          <w:lang w:eastAsia="zh-CN"/>
        </w:rPr>
        <w:t>（</w:t>
      </w:r>
      <w:r>
        <w:rPr>
          <w:rFonts w:hint="eastAsia" w:ascii="宋体" w:hAnsi="宋体"/>
          <w:b/>
          <w:sz w:val="28"/>
          <w:szCs w:val="28"/>
          <w:lang w:val="en-US" w:eastAsia="zh-CN"/>
        </w:rPr>
        <w:t>三</w:t>
      </w:r>
      <w:r>
        <w:rPr>
          <w:rFonts w:hint="eastAsia" w:ascii="宋体" w:hAnsi="宋体"/>
          <w:b/>
          <w:sz w:val="28"/>
          <w:szCs w:val="28"/>
          <w:lang w:eastAsia="zh-CN"/>
        </w:rPr>
        <w:t>）</w:t>
      </w:r>
      <w:r>
        <w:rPr>
          <w:rFonts w:hint="eastAsia" w:ascii="宋体" w:hAnsi="宋体"/>
          <w:b/>
          <w:sz w:val="28"/>
          <w:szCs w:val="28"/>
        </w:rPr>
        <w:t>投入本项目</w:t>
      </w:r>
      <w:r>
        <w:rPr>
          <w:rFonts w:hint="eastAsia" w:ascii="宋体" w:hAnsi="宋体"/>
          <w:b/>
          <w:sz w:val="28"/>
          <w:szCs w:val="28"/>
          <w:lang w:eastAsia="zh-CN"/>
        </w:rPr>
        <w:t>工作</w:t>
      </w:r>
      <w:r>
        <w:rPr>
          <w:rFonts w:hint="eastAsia" w:ascii="宋体" w:hAnsi="宋体"/>
          <w:b/>
          <w:sz w:val="28"/>
          <w:szCs w:val="28"/>
        </w:rPr>
        <w:t>人员</w:t>
      </w:r>
      <w:r>
        <w:rPr>
          <w:rFonts w:hint="eastAsia" w:ascii="宋体" w:hAnsi="宋体"/>
          <w:b/>
          <w:sz w:val="28"/>
          <w:szCs w:val="28"/>
          <w:lang w:eastAsia="zh-CN"/>
        </w:rPr>
        <w:t>花名册</w:t>
      </w:r>
    </w:p>
    <w:p>
      <w:pPr>
        <w:ind w:firstLine="480" w:firstLineChars="200"/>
        <w:rPr>
          <w:rFonts w:hint="eastAsia" w:ascii="宋体" w:hAnsi="宋体"/>
          <w:b/>
          <w:sz w:val="28"/>
          <w:szCs w:val="28"/>
        </w:rPr>
      </w:pPr>
      <w:r>
        <w:rPr>
          <w:rFonts w:hint="eastAsia" w:ascii="宋体" w:hAnsi="宋体"/>
          <w:b w:val="0"/>
          <w:bCs/>
          <w:sz w:val="24"/>
          <w:szCs w:val="24"/>
          <w:lang w:eastAsia="zh-CN"/>
        </w:rPr>
        <w:t>注：由于本项目涉及工作量较大，需投入大量工作人员完成平时绿化养护工作，请根据本单位实际情况填写人员花名册，如有虚报，一经查实将视情节轻重给予适当处罚。</w:t>
      </w:r>
      <w:r>
        <w:rPr>
          <w:rFonts w:hint="eastAsia" w:ascii="宋体" w:hAnsi="宋体"/>
          <w:b/>
          <w:sz w:val="28"/>
          <w:szCs w:val="28"/>
        </w:rPr>
        <w:br w:type="page"/>
      </w:r>
    </w:p>
    <w:p>
      <w:pPr>
        <w:rPr>
          <w:rFonts w:hint="eastAsia" w:ascii="宋体" w:hAnsi="宋体"/>
          <w:b/>
          <w:sz w:val="28"/>
          <w:szCs w:val="28"/>
        </w:rPr>
      </w:pPr>
      <w:r>
        <w:rPr>
          <w:rFonts w:hint="eastAsia" w:ascii="宋体" w:hAnsi="宋体"/>
          <w:b/>
          <w:sz w:val="28"/>
          <w:szCs w:val="28"/>
        </w:rPr>
        <w:t>附</w:t>
      </w:r>
      <w:r>
        <w:rPr>
          <w:rFonts w:hint="eastAsia" w:ascii="宋体" w:hAnsi="宋体"/>
          <w:b/>
          <w:sz w:val="28"/>
          <w:szCs w:val="28"/>
          <w:lang w:eastAsia="zh-CN"/>
        </w:rPr>
        <w:t>表十</w:t>
      </w:r>
      <w:r>
        <w:rPr>
          <w:rFonts w:hint="eastAsia" w:ascii="宋体" w:hAnsi="宋体"/>
          <w:b/>
          <w:sz w:val="28"/>
          <w:szCs w:val="28"/>
        </w:rPr>
        <w:t>：</w:t>
      </w:r>
    </w:p>
    <w:p>
      <w:pPr>
        <w:spacing w:line="440" w:lineRule="exact"/>
        <w:jc w:val="center"/>
        <w:rPr>
          <w:rFonts w:hint="eastAsia" w:eastAsia="宋体"/>
          <w:b/>
          <w:bCs/>
          <w:sz w:val="24"/>
          <w:lang w:eastAsia="zh-CN"/>
        </w:rPr>
      </w:pPr>
      <w:r>
        <w:rPr>
          <w:rFonts w:hint="eastAsia"/>
          <w:b/>
          <w:sz w:val="28"/>
          <w:szCs w:val="28"/>
        </w:rPr>
        <w:t>项目</w:t>
      </w:r>
      <w:r>
        <w:rPr>
          <w:rFonts w:hint="eastAsia"/>
          <w:b/>
          <w:sz w:val="28"/>
          <w:szCs w:val="28"/>
          <w:lang w:eastAsia="zh-CN"/>
        </w:rPr>
        <w:t>技术方案</w:t>
      </w:r>
    </w:p>
    <w:p>
      <w:pPr>
        <w:jc w:val="center"/>
        <w:rPr>
          <w:rFonts w:hint="eastAsia"/>
          <w:sz w:val="24"/>
          <w:lang w:eastAsia="zh-CN"/>
        </w:rPr>
      </w:pPr>
      <w:r>
        <w:rPr>
          <w:rFonts w:hint="eastAsia"/>
          <w:sz w:val="24"/>
          <w:lang w:eastAsia="zh-CN"/>
        </w:rPr>
        <w:t>（</w:t>
      </w:r>
      <w:r>
        <w:rPr>
          <w:rFonts w:hint="eastAsia" w:ascii="宋体" w:hAnsi="宋体"/>
          <w:sz w:val="24"/>
          <w:lang w:eastAsia="zh-CN"/>
        </w:rPr>
        <w:t>请</w:t>
      </w:r>
      <w:r>
        <w:rPr>
          <w:rFonts w:hint="eastAsia"/>
          <w:sz w:val="24"/>
          <w:lang w:eastAsia="zh-CN"/>
        </w:rPr>
        <w:t>根据评标办法中商务技术部分评分内容编制完善</w:t>
      </w:r>
      <w:r>
        <w:rPr>
          <w:sz w:val="24"/>
        </w:rPr>
        <w:t>。</w:t>
      </w:r>
      <w:r>
        <w:rPr>
          <w:rFonts w:hint="eastAsia"/>
          <w:sz w:val="24"/>
          <w:lang w:eastAsia="zh-CN"/>
        </w:rPr>
        <w:t>）</w:t>
      </w: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r>
        <w:rPr>
          <w:b/>
          <w:sz w:val="28"/>
          <w:szCs w:val="28"/>
        </w:rPr>
        <w:t>附</w:t>
      </w:r>
      <w:r>
        <w:rPr>
          <w:rFonts w:hint="eastAsia"/>
          <w:b/>
          <w:sz w:val="28"/>
          <w:szCs w:val="28"/>
          <w:lang w:eastAsia="zh-CN"/>
        </w:rPr>
        <w:t>表</w:t>
      </w:r>
      <w:r>
        <w:rPr>
          <w:rFonts w:hint="eastAsia"/>
          <w:b/>
          <w:sz w:val="28"/>
          <w:szCs w:val="28"/>
        </w:rPr>
        <w:t>十</w:t>
      </w:r>
      <w:r>
        <w:rPr>
          <w:rFonts w:hint="eastAsia"/>
          <w:b/>
          <w:sz w:val="28"/>
          <w:szCs w:val="28"/>
          <w:lang w:eastAsia="zh-CN"/>
        </w:rPr>
        <w:t>一</w:t>
      </w:r>
      <w:r>
        <w:rPr>
          <w:b/>
          <w:sz w:val="28"/>
          <w:szCs w:val="28"/>
        </w:rPr>
        <w:t>：</w:t>
      </w:r>
    </w:p>
    <w:p>
      <w:pPr>
        <w:jc w:val="center"/>
        <w:rPr>
          <w:b/>
          <w:sz w:val="28"/>
          <w:szCs w:val="28"/>
        </w:rPr>
      </w:pPr>
      <w:r>
        <w:rPr>
          <w:b/>
          <w:bCs/>
          <w:sz w:val="24"/>
        </w:rPr>
        <w:t>具有履行合同所必需的设备和专业技术能力</w:t>
      </w:r>
      <w:r>
        <w:rPr>
          <w:rFonts w:hint="eastAsia"/>
          <w:b/>
          <w:bCs/>
          <w:sz w:val="24"/>
          <w:lang w:eastAsia="zh-CN"/>
        </w:rPr>
        <w:t>（格式自拟）</w:t>
      </w:r>
      <w:r>
        <w:rPr>
          <w:b/>
          <w:sz w:val="28"/>
          <w:szCs w:val="28"/>
        </w:rPr>
        <w:br w:type="page"/>
      </w:r>
    </w:p>
    <w:p>
      <w:pPr>
        <w:rPr>
          <w:rFonts w:hint="eastAsia" w:ascii="宋体" w:hAnsi="宋体"/>
          <w:b/>
          <w:sz w:val="28"/>
          <w:szCs w:val="28"/>
        </w:rPr>
      </w:pPr>
      <w:r>
        <w:rPr>
          <w:b/>
          <w:sz w:val="28"/>
          <w:szCs w:val="28"/>
        </w:rPr>
        <w:t>附</w:t>
      </w:r>
      <w:r>
        <w:rPr>
          <w:rFonts w:hint="eastAsia"/>
          <w:b/>
          <w:sz w:val="28"/>
          <w:szCs w:val="28"/>
          <w:lang w:eastAsia="zh-CN"/>
        </w:rPr>
        <w:t>表</w:t>
      </w:r>
      <w:r>
        <w:rPr>
          <w:rFonts w:hint="eastAsia"/>
          <w:b/>
          <w:sz w:val="28"/>
          <w:szCs w:val="28"/>
        </w:rPr>
        <w:t>十</w:t>
      </w:r>
      <w:r>
        <w:rPr>
          <w:rFonts w:hint="eastAsia"/>
          <w:b/>
          <w:sz w:val="28"/>
          <w:szCs w:val="28"/>
          <w:lang w:eastAsia="zh-CN"/>
        </w:rPr>
        <w:t>二</w:t>
      </w:r>
      <w:r>
        <w:rPr>
          <w:b/>
          <w:sz w:val="28"/>
          <w:szCs w:val="28"/>
        </w:rPr>
        <w:t>：</w:t>
      </w:r>
    </w:p>
    <w:p>
      <w:pPr>
        <w:spacing w:line="440" w:lineRule="exact"/>
        <w:jc w:val="center"/>
        <w:rPr>
          <w:rFonts w:hint="eastAsia"/>
          <w:b/>
          <w:bCs/>
          <w:sz w:val="24"/>
        </w:rPr>
      </w:pPr>
      <w:r>
        <w:rPr>
          <w:rFonts w:hint="eastAsia"/>
          <w:b/>
          <w:bCs/>
          <w:sz w:val="24"/>
        </w:rPr>
        <w:t>未被信用中国（www.creditchina.gov.cn）、中国政府采购网（www.ccgp.gov.cn）、国家企业信用信息公示系统（http://www.gsxt.gov.cn）列入失信被执行人、税收违法黑名单、政府采购严重违法失信行为记录名单截图</w:t>
      </w:r>
    </w:p>
    <w:p>
      <w:pPr>
        <w:rPr>
          <w:rFonts w:hint="eastAsia" w:ascii="宋体" w:hAnsi="宋体"/>
          <w:b/>
          <w:sz w:val="28"/>
          <w:szCs w:val="28"/>
        </w:rPr>
      </w:pPr>
      <w:r>
        <w:rPr>
          <w:rFonts w:hint="eastAsia" w:ascii="宋体" w:hAnsi="宋体"/>
          <w:b/>
          <w:sz w:val="28"/>
          <w:szCs w:val="28"/>
        </w:rPr>
        <w:br w:type="page"/>
      </w:r>
    </w:p>
    <w:p>
      <w:pPr>
        <w:spacing w:line="440" w:lineRule="exact"/>
        <w:rPr>
          <w:rFonts w:ascii="宋体" w:hAnsi="宋体"/>
          <w:b/>
          <w:sz w:val="28"/>
          <w:szCs w:val="28"/>
        </w:rPr>
      </w:pPr>
      <w:r>
        <w:rPr>
          <w:rFonts w:hint="eastAsia" w:ascii="宋体" w:hAnsi="宋体"/>
          <w:b/>
          <w:sz w:val="28"/>
          <w:szCs w:val="28"/>
        </w:rPr>
        <w:t>附</w:t>
      </w:r>
      <w:r>
        <w:rPr>
          <w:rFonts w:hint="eastAsia"/>
          <w:b/>
          <w:sz w:val="28"/>
          <w:szCs w:val="28"/>
          <w:lang w:eastAsia="zh-CN"/>
        </w:rPr>
        <w:t>表</w:t>
      </w:r>
      <w:r>
        <w:rPr>
          <w:rFonts w:hint="eastAsia" w:ascii="宋体" w:hAnsi="宋体"/>
          <w:b/>
          <w:sz w:val="28"/>
          <w:szCs w:val="28"/>
        </w:rPr>
        <w:t>十</w:t>
      </w:r>
      <w:r>
        <w:rPr>
          <w:rFonts w:hint="eastAsia" w:ascii="宋体" w:hAnsi="宋体"/>
          <w:b/>
          <w:sz w:val="28"/>
          <w:szCs w:val="28"/>
          <w:lang w:eastAsia="zh-CN"/>
        </w:rPr>
        <w:t>三</w:t>
      </w:r>
      <w:r>
        <w:rPr>
          <w:rFonts w:hint="eastAsia" w:ascii="宋体" w:hAnsi="宋体"/>
          <w:b/>
          <w:sz w:val="28"/>
          <w:szCs w:val="28"/>
        </w:rPr>
        <w:t xml:space="preserve">：               </w:t>
      </w:r>
    </w:p>
    <w:p>
      <w:pPr>
        <w:widowControl/>
        <w:spacing w:before="100" w:after="100" w:line="360" w:lineRule="exact"/>
        <w:ind w:firstLine="420"/>
        <w:jc w:val="center"/>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中小企业声明函（格式）</w:t>
      </w:r>
    </w:p>
    <w:p>
      <w:pPr>
        <w:pStyle w:val="13"/>
        <w:tabs>
          <w:tab w:val="left" w:pos="1260"/>
          <w:tab w:val="right" w:leader="dot" w:pos="8630"/>
        </w:tabs>
        <w:rPr>
          <w:rFonts w:hint="eastAsia"/>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720" w:firstLineChars="3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本公司（联合体）郑重声明，根据《政府采购促进中小企业发展管理办法》（财库[2020]46 号）的规定，本公司参加</w:t>
      </w:r>
      <w:r>
        <w:rPr>
          <w:rFonts w:hint="eastAsia" w:ascii="宋体" w:hAnsi="宋体" w:eastAsia="宋体" w:cs="宋体"/>
          <w:kern w:val="0"/>
          <w:sz w:val="24"/>
          <w:szCs w:val="24"/>
          <w:highlight w:val="none"/>
          <w:u w:val="single"/>
        </w:rPr>
        <w:t>（单位名称）</w:t>
      </w:r>
      <w:r>
        <w:rPr>
          <w:rFonts w:hint="eastAsia" w:ascii="宋体" w:hAnsi="宋体" w:eastAsia="宋体" w:cs="宋体"/>
          <w:kern w:val="0"/>
          <w:sz w:val="24"/>
          <w:szCs w:val="24"/>
          <w:highlight w:val="none"/>
        </w:rPr>
        <w:t>的</w:t>
      </w:r>
      <w:r>
        <w:rPr>
          <w:rFonts w:hint="eastAsia" w:ascii="宋体" w:hAnsi="宋体" w:eastAsia="宋体" w:cs="宋体"/>
          <w:kern w:val="0"/>
          <w:sz w:val="24"/>
          <w:szCs w:val="24"/>
          <w:highlight w:val="none"/>
          <w:u w:val="single"/>
        </w:rPr>
        <w:t>（项目名称）</w:t>
      </w:r>
      <w:r>
        <w:rPr>
          <w:rFonts w:hint="eastAsia" w:ascii="宋体" w:hAnsi="宋体" w:eastAsia="宋体" w:cs="宋体"/>
          <w:kern w:val="0"/>
          <w:sz w:val="24"/>
          <w:szCs w:val="24"/>
          <w:highlight w:val="none"/>
        </w:rPr>
        <w:t>采购活动，服务全部由符合政策要求的中小企业承接。相关企业的具体情况如下：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u w:val="single"/>
        </w:rPr>
        <w:t>（标的名称）</w:t>
      </w:r>
      <w:r>
        <w:rPr>
          <w:rFonts w:hint="eastAsia" w:ascii="宋体" w:hAnsi="宋体" w:eastAsia="宋体" w:cs="宋体"/>
          <w:kern w:val="0"/>
          <w:sz w:val="24"/>
          <w:szCs w:val="24"/>
          <w:highlight w:val="none"/>
        </w:rPr>
        <w:t>，属于</w:t>
      </w:r>
      <w:r>
        <w:rPr>
          <w:rFonts w:hint="eastAsia" w:ascii="宋体" w:hAnsi="宋体" w:eastAsia="宋体" w:cs="宋体"/>
          <w:kern w:val="0"/>
          <w:sz w:val="24"/>
          <w:szCs w:val="24"/>
          <w:highlight w:val="none"/>
          <w:u w:val="single"/>
        </w:rPr>
        <w:t>（采购文件中明确的所属行业）</w:t>
      </w:r>
      <w:r>
        <w:rPr>
          <w:rFonts w:hint="eastAsia" w:ascii="宋体" w:hAnsi="宋体" w:eastAsia="宋体" w:cs="宋体"/>
          <w:kern w:val="0"/>
          <w:sz w:val="24"/>
          <w:szCs w:val="24"/>
          <w:highlight w:val="none"/>
        </w:rPr>
        <w:t>；承接企业为</w:t>
      </w:r>
      <w:r>
        <w:rPr>
          <w:rFonts w:hint="eastAsia" w:ascii="宋体" w:hAnsi="宋体" w:eastAsia="宋体" w:cs="宋体"/>
          <w:kern w:val="0"/>
          <w:sz w:val="24"/>
          <w:szCs w:val="24"/>
          <w:highlight w:val="none"/>
          <w:u w:val="single"/>
        </w:rPr>
        <w:t>（企业名称）</w:t>
      </w:r>
      <w:r>
        <w:rPr>
          <w:rFonts w:hint="eastAsia" w:ascii="宋体" w:hAnsi="宋体" w:eastAsia="宋体" w:cs="宋体"/>
          <w:kern w:val="0"/>
          <w:sz w:val="24"/>
          <w:szCs w:val="24"/>
          <w:highlight w:val="none"/>
        </w:rPr>
        <w:t>，从业人员</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rPr>
        <w:t>人，营业收入为</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rPr>
        <w:t>万元，资产总额为</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rPr>
        <w:t>万元，属于</w:t>
      </w:r>
      <w:r>
        <w:rPr>
          <w:rFonts w:hint="eastAsia" w:ascii="宋体" w:hAnsi="宋体" w:eastAsia="宋体" w:cs="宋体"/>
          <w:kern w:val="0"/>
          <w:sz w:val="24"/>
          <w:szCs w:val="24"/>
          <w:highlight w:val="none"/>
          <w:u w:val="single"/>
        </w:rPr>
        <w:t>（中型企业、小型企业、微型企业）</w:t>
      </w:r>
      <w:r>
        <w:rPr>
          <w:rFonts w:hint="eastAsia" w:ascii="宋体" w:hAnsi="宋体" w:eastAsia="宋体" w:cs="宋体"/>
          <w:kern w:val="0"/>
          <w:sz w:val="24"/>
          <w:szCs w:val="24"/>
          <w:highlight w:val="none"/>
        </w:rPr>
        <w:t xml:space="preserve">； </w:t>
      </w:r>
    </w:p>
    <w:p>
      <w:pPr>
        <w:pStyle w:val="13"/>
        <w:tabs>
          <w:tab w:val="left" w:pos="1260"/>
          <w:tab w:val="right" w:leader="dot" w:pos="8630"/>
        </w:tabs>
        <w:rPr>
          <w:rFonts w:hint="eastAsia" w:ascii="宋体" w:hAnsi="宋体" w:eastAsia="宋体" w:cs="宋体"/>
          <w:kern w:val="0"/>
          <w:sz w:val="24"/>
          <w:szCs w:val="24"/>
          <w:highlight w:val="none"/>
        </w:rPr>
      </w:pPr>
    </w:p>
    <w:p>
      <w:pPr>
        <w:rPr>
          <w:rFonts w:hint="eastAsia" w:ascii="宋体" w:hAnsi="宋体" w:eastAsia="宋体" w:cs="宋体"/>
          <w:kern w:val="0"/>
          <w:sz w:val="24"/>
          <w:szCs w:val="24"/>
          <w:highlight w:val="none"/>
        </w:rPr>
      </w:pPr>
    </w:p>
    <w:p>
      <w:pPr>
        <w:pStyle w:val="13"/>
        <w:tabs>
          <w:tab w:val="left" w:pos="1260"/>
          <w:tab w:val="right" w:leader="dot" w:pos="8630"/>
        </w:tabs>
        <w:rPr>
          <w:rFonts w:hint="eastAsia"/>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本企业对上述声明内容的真实性负责。如有虚假，将依法承担相应责任。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600" w:firstLineChars="1500"/>
        <w:jc w:val="left"/>
        <w:textAlignment w:val="auto"/>
        <w:rPr>
          <w:rFonts w:hint="eastAsia" w:ascii="宋体" w:hAnsi="宋体" w:eastAsia="宋体" w:cs="宋体"/>
          <w:kern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600" w:firstLineChars="1500"/>
        <w:jc w:val="left"/>
        <w:textAlignment w:val="auto"/>
        <w:rPr>
          <w:rFonts w:hint="eastAsia" w:ascii="宋体" w:hAnsi="宋体" w:eastAsia="宋体" w:cs="宋体"/>
          <w:kern w:val="0"/>
          <w:sz w:val="24"/>
          <w:szCs w:val="24"/>
          <w:highlight w:val="none"/>
          <w:u w:val="none"/>
        </w:rPr>
      </w:pPr>
      <w:r>
        <w:rPr>
          <w:rFonts w:hint="eastAsia" w:ascii="宋体" w:hAnsi="宋体" w:eastAsia="宋体" w:cs="宋体"/>
          <w:kern w:val="0"/>
          <w:sz w:val="24"/>
          <w:szCs w:val="24"/>
          <w:highlight w:val="none"/>
        </w:rPr>
        <w:t>企业名称（盖章）：</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lang w:val="en-US" w:eastAsia="zh-CN"/>
        </w:rPr>
        <w:t xml:space="preserve">  </w:t>
      </w:r>
    </w:p>
    <w:p>
      <w:pPr>
        <w:pStyle w:val="4"/>
        <w:ind w:firstLine="3600" w:firstLineChars="1500"/>
        <w:jc w:val="both"/>
        <w:rPr>
          <w:rFonts w:hint="eastAsia" w:ascii="宋体" w:hAnsi="宋体" w:eastAsia="宋体" w:cs="宋体"/>
          <w:kern w:val="0"/>
          <w:sz w:val="28"/>
          <w:szCs w:val="28"/>
          <w:highlight w:val="none"/>
        </w:rPr>
      </w:pPr>
      <w:r>
        <w:rPr>
          <w:rFonts w:hint="eastAsia" w:ascii="宋体" w:hAnsi="宋体" w:eastAsia="宋体" w:cs="宋体"/>
          <w:b w:val="0"/>
          <w:bCs/>
          <w:kern w:val="0"/>
          <w:sz w:val="24"/>
          <w:szCs w:val="24"/>
          <w:highlight w:val="none"/>
          <w:u w:val="none"/>
        </w:rPr>
        <w:t>日期：</w:t>
      </w:r>
      <w:r>
        <w:rPr>
          <w:rFonts w:hint="eastAsia" w:ascii="宋体" w:hAnsi="宋体" w:eastAsia="宋体" w:cs="宋体"/>
          <w:b w:val="0"/>
          <w:bCs/>
          <w:kern w:val="0"/>
          <w:sz w:val="24"/>
          <w:szCs w:val="24"/>
          <w:highlight w:val="none"/>
          <w:u w:val="single"/>
          <w:lang w:val="en-US" w:eastAsia="zh-CN"/>
        </w:rPr>
        <w:t xml:space="preserve">                              </w:t>
      </w:r>
      <w:r>
        <w:rPr>
          <w:rFonts w:hint="eastAsia" w:ascii="宋体" w:hAnsi="宋体" w:eastAsia="宋体" w:cs="宋体"/>
          <w:kern w:val="0"/>
          <w:sz w:val="28"/>
          <w:szCs w:val="28"/>
          <w:highlight w:val="none"/>
        </w:rPr>
        <w:br w:type="page"/>
      </w:r>
    </w:p>
    <w:p>
      <w:pPr>
        <w:pStyle w:val="4"/>
        <w:jc w:val="both"/>
        <w:rPr>
          <w:rFonts w:hint="eastAsia" w:ascii="宋体" w:hAnsi="宋体" w:eastAsia="宋体" w:cs="宋体"/>
          <w:b/>
          <w:bCs/>
          <w:sz w:val="24"/>
          <w:szCs w:val="24"/>
          <w:highlight w:val="none"/>
        </w:rPr>
      </w:pPr>
      <w:r>
        <w:rPr>
          <w:b/>
          <w:bCs/>
          <w:sz w:val="28"/>
          <w:szCs w:val="28"/>
        </w:rPr>
        <w:t>附</w:t>
      </w:r>
      <w:r>
        <w:rPr>
          <w:rFonts w:hint="eastAsia"/>
          <w:b/>
          <w:sz w:val="28"/>
          <w:szCs w:val="28"/>
          <w:lang w:eastAsia="zh-CN"/>
        </w:rPr>
        <w:t>表</w:t>
      </w:r>
      <w:r>
        <w:rPr>
          <w:b/>
          <w:bCs/>
          <w:sz w:val="28"/>
          <w:szCs w:val="28"/>
        </w:rPr>
        <w:t>十</w:t>
      </w:r>
      <w:r>
        <w:rPr>
          <w:rFonts w:hint="eastAsia"/>
          <w:b/>
          <w:bCs/>
          <w:sz w:val="28"/>
          <w:szCs w:val="28"/>
          <w:lang w:val="en-US" w:eastAsia="zh-CN"/>
        </w:rPr>
        <w:t>四</w:t>
      </w:r>
      <w:r>
        <w:rPr>
          <w:b/>
          <w:bCs/>
          <w:sz w:val="28"/>
          <w:szCs w:val="28"/>
        </w:rPr>
        <w:t>：</w:t>
      </w:r>
    </w:p>
    <w:p>
      <w:pPr>
        <w:pStyle w:val="4"/>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残疾人福利性单位声明函</w:t>
      </w:r>
      <w:r>
        <w:rPr>
          <w:rFonts w:hint="eastAsia" w:ascii="宋体" w:hAnsi="宋体" w:eastAsia="宋体" w:cs="宋体"/>
          <w:b/>
          <w:bCs/>
          <w:sz w:val="24"/>
          <w:szCs w:val="24"/>
          <w:highlight w:val="none"/>
          <w:lang w:eastAsia="zh-CN"/>
        </w:rPr>
        <w:t>（格式）</w:t>
      </w:r>
    </w:p>
    <w:p>
      <w:pPr>
        <w:spacing w:line="360" w:lineRule="exact"/>
        <w:ind w:left="1079" w:leftChars="257" w:hanging="540"/>
        <w:jc w:val="center"/>
        <w:rPr>
          <w:rFonts w:hint="eastAsia" w:ascii="宋体" w:hAnsi="宋体" w:eastAsia="宋体" w:cs="宋体"/>
          <w:kern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720" w:firstLineChars="3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720" w:firstLineChars="3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本单位对上述声明的真实性负责。如有虚假，将依法承担相应责任。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720" w:firstLineChars="300"/>
        <w:jc w:val="left"/>
        <w:textAlignment w:val="auto"/>
        <w:rPr>
          <w:rFonts w:hint="eastAsia" w:ascii="宋体" w:hAnsi="宋体" w:eastAsia="宋体" w:cs="宋体"/>
          <w:kern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720" w:firstLineChars="300"/>
        <w:jc w:val="left"/>
        <w:textAlignment w:val="auto"/>
        <w:rPr>
          <w:rFonts w:hint="eastAsia" w:ascii="宋体" w:hAnsi="宋体" w:eastAsia="宋体" w:cs="宋体"/>
          <w:kern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720" w:firstLineChars="3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残疾人福利性单位名称（盖单位章）：</w:t>
      </w:r>
      <w:r>
        <w:rPr>
          <w:rFonts w:hint="eastAsia" w:ascii="宋体" w:hAnsi="宋体" w:eastAsia="宋体" w:cs="宋体"/>
          <w:kern w:val="0"/>
          <w:sz w:val="24"/>
          <w:szCs w:val="24"/>
          <w:highlight w:val="none"/>
          <w:u w:val="single"/>
          <w:lang w:val="en-US" w:eastAsia="zh-CN"/>
        </w:rPr>
        <w:t xml:space="preserve">               </w:t>
      </w:r>
    </w:p>
    <w:p>
      <w:pPr>
        <w:rPr>
          <w:b/>
          <w:bCs/>
          <w:sz w:val="28"/>
          <w:szCs w:val="28"/>
        </w:rPr>
      </w:pP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日  期：</w:t>
      </w:r>
      <w:r>
        <w:rPr>
          <w:rFonts w:hint="eastAsia" w:ascii="宋体" w:hAnsi="宋体" w:eastAsia="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rPr>
        <w:br w:type="page"/>
      </w:r>
    </w:p>
    <w:p>
      <w:pPr>
        <w:spacing w:line="440" w:lineRule="exact"/>
        <w:rPr>
          <w:rFonts w:ascii="宋体" w:hAnsi="宋体"/>
          <w:b/>
          <w:sz w:val="28"/>
          <w:szCs w:val="28"/>
        </w:rPr>
      </w:pPr>
      <w:r>
        <w:rPr>
          <w:b/>
          <w:sz w:val="28"/>
          <w:szCs w:val="28"/>
        </w:rPr>
        <w:t>附</w:t>
      </w:r>
      <w:r>
        <w:rPr>
          <w:rFonts w:hint="eastAsia"/>
          <w:b/>
          <w:sz w:val="28"/>
          <w:szCs w:val="28"/>
          <w:lang w:eastAsia="zh-CN"/>
        </w:rPr>
        <w:t>表</w:t>
      </w:r>
      <w:r>
        <w:rPr>
          <w:rFonts w:hint="eastAsia"/>
          <w:b/>
          <w:sz w:val="28"/>
          <w:szCs w:val="28"/>
        </w:rPr>
        <w:t>十</w:t>
      </w:r>
      <w:r>
        <w:rPr>
          <w:rFonts w:hint="eastAsia"/>
          <w:b/>
          <w:sz w:val="28"/>
          <w:szCs w:val="28"/>
          <w:lang w:eastAsia="zh-CN"/>
        </w:rPr>
        <w:t>五</w:t>
      </w:r>
      <w:r>
        <w:rPr>
          <w:b/>
          <w:sz w:val="28"/>
          <w:szCs w:val="28"/>
        </w:rPr>
        <w:t>：</w:t>
      </w:r>
    </w:p>
    <w:p>
      <w:pPr>
        <w:pStyle w:val="36"/>
        <w:ind w:firstLine="562"/>
        <w:jc w:val="center"/>
      </w:pPr>
      <w:r>
        <w:rPr>
          <w:rFonts w:hint="eastAsia" w:ascii="宋体" w:hAnsi="宋体" w:eastAsia="宋体"/>
          <w:b/>
          <w:szCs w:val="28"/>
        </w:rPr>
        <w:t>其他证明材料</w:t>
      </w:r>
    </w:p>
    <w:p>
      <w:pPr>
        <w:spacing w:line="360" w:lineRule="auto"/>
        <w:jc w:val="center"/>
        <w:rPr>
          <w:b/>
          <w:bCs/>
          <w:sz w:val="24"/>
        </w:rPr>
      </w:pPr>
    </w:p>
    <w:p>
      <w:pPr>
        <w:spacing w:line="360" w:lineRule="auto"/>
        <w:ind w:firstLine="480" w:firstLineChars="200"/>
        <w:rPr>
          <w:sz w:val="24"/>
        </w:rPr>
      </w:pPr>
      <w:r>
        <w:rPr>
          <w:sz w:val="24"/>
        </w:rPr>
        <w:t>投标人认为有必要提供的其他资料。</w:t>
      </w:r>
    </w:p>
    <w:p>
      <w:pPr>
        <w:spacing w:line="360" w:lineRule="auto"/>
        <w:rPr>
          <w:b/>
          <w:sz w:val="28"/>
          <w:szCs w:val="28"/>
        </w:rPr>
      </w:pPr>
    </w:p>
    <w:p>
      <w:pPr>
        <w:rPr>
          <w:b/>
          <w:sz w:val="32"/>
          <w:szCs w:val="32"/>
        </w:rPr>
      </w:pPr>
      <w:r>
        <w:rPr>
          <w:b/>
          <w:sz w:val="32"/>
          <w:szCs w:val="32"/>
        </w:rPr>
        <w:br w:type="page"/>
      </w:r>
    </w:p>
    <w:p>
      <w:pPr>
        <w:adjustRightInd w:val="0"/>
        <w:snapToGrid w:val="0"/>
        <w:spacing w:before="100" w:beforeAutospacing="1" w:after="100" w:afterAutospacing="1" w:line="360" w:lineRule="auto"/>
        <w:jc w:val="center"/>
        <w:outlineLvl w:val="0"/>
        <w:rPr>
          <w:b/>
          <w:sz w:val="28"/>
          <w:szCs w:val="28"/>
        </w:rPr>
      </w:pPr>
      <w:bookmarkStart w:id="23" w:name="_Toc7351"/>
      <w:r>
        <w:rPr>
          <w:b/>
          <w:sz w:val="32"/>
          <w:szCs w:val="32"/>
        </w:rPr>
        <w:t>第七部分  评标办法和细则</w:t>
      </w:r>
      <w:bookmarkEnd w:id="23"/>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根据《中华人民共和国招标投标法》、《中华人民共和国政府采购法》、《政府采购招标采购方式管理暂行办法》《政府采购货物和服务招标投标管理办法》《评标委员会和评标方法暂行规定》、《政府采购评审专家管理办法》以及国家和地方颁布的有关法令、法规，并结合本项目的实际，按照公正、公平、科学、择优的原则选择中标人，特制定本办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sz w:val="24"/>
        </w:rPr>
      </w:pPr>
      <w:r>
        <w:rPr>
          <w:rFonts w:hint="eastAsia" w:ascii="宋体" w:hAnsi="宋体" w:cs="宋体"/>
          <w:b/>
          <w:sz w:val="24"/>
        </w:rPr>
        <w:t>一、评定总则和规定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1.1 为最大限度地保护各当事人的权益，评审小组应严格按照招标文件的要求进行评定，编制评标报告。评审人员必须严格遵守保密规定，不得泄漏评审有关的情况，不得索贿受贿，不得参加影响评审的任何活动。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1.2 评审时，评审小组应当对照招标文件规定的条件和标准，对各投标人投标文件的合格性、完整性和有效性进行审查、比较和评估，其中对投标人的资格条件、主要技术参数、商务报价和其他评审要素等，评定人员应逐项进行审查、比较，不得漏评少评。如发现与招标文件要求相偏离的，应对其偏离情况进行必要的核实，并在工作底稿中予以说明；如属于实质性偏离或符合无效响应条件的，应当询问投标人，并允许投标人进行陈述申辩，但不允许其对实质性偏离条款进行补充、修正或撤回。</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1.3 评定原则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1.3.1采取综合评分法。由评审小组采用综合评分法对提交有效报价的投标人的投标文件进行综合评分。综合评分法，是指投标文件满足招标文件全部实质性要求且按评审因素的量化指标评审得分最高的投标人为中标候选投标人的评审方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1.3.2评审小组应当根据综合评分情况，按照评审得分由高到低顺序推荐3 名以上中标候选投标人，并编写评标报告。评审得分相同的，按照最后报价由低到高的顺序推荐。评审得分且最后报价相同的，由评审小组确定以按照技术指标优劣顺序或抽签确定排名先后推荐。</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1.4 本评标办法仅适用于本次招标。</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sz w:val="24"/>
        </w:rPr>
      </w:pPr>
      <w:r>
        <w:rPr>
          <w:rFonts w:hint="eastAsia" w:ascii="宋体" w:hAnsi="宋体" w:cs="宋体"/>
          <w:b/>
          <w:sz w:val="24"/>
        </w:rPr>
        <w:t>二、机构组成和职能</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2.1 本次招标将设监督小组、组织机构和评审小组。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sz w:val="24"/>
        </w:rPr>
      </w:pPr>
      <w:r>
        <w:rPr>
          <w:rFonts w:hint="eastAsia" w:ascii="宋体" w:hAnsi="宋体" w:cs="宋体"/>
          <w:b/>
          <w:sz w:val="24"/>
        </w:rPr>
        <w:t>2.2 监督小组机构组成和职能</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highlight w:val="none"/>
        </w:rPr>
      </w:pPr>
      <w:r>
        <w:rPr>
          <w:rFonts w:hint="eastAsia" w:ascii="宋体" w:hAnsi="宋体" w:cs="宋体"/>
          <w:sz w:val="24"/>
          <w:highlight w:val="none"/>
        </w:rPr>
        <w:t>2.2.1机构成员：由</w:t>
      </w:r>
      <w:r>
        <w:rPr>
          <w:rFonts w:hint="eastAsia" w:ascii="宋体" w:hAnsi="宋体" w:cs="宋体"/>
          <w:sz w:val="24"/>
          <w:highlight w:val="none"/>
          <w:lang w:eastAsia="zh-CN"/>
        </w:rPr>
        <w:t>库车经济技术开发区管理委员会建设管理局</w:t>
      </w:r>
      <w:r>
        <w:rPr>
          <w:rFonts w:hint="eastAsia" w:ascii="宋体" w:hAnsi="宋体" w:cs="宋体"/>
          <w:sz w:val="24"/>
          <w:highlight w:val="none"/>
        </w:rPr>
        <w:t>相关部门负责。</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2.2.2职能：独立行使监督工作，对所有招标工作做出复审意见。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sz w:val="24"/>
        </w:rPr>
      </w:pPr>
      <w:r>
        <w:rPr>
          <w:rFonts w:hint="eastAsia" w:ascii="宋体" w:hAnsi="宋体" w:cs="宋体"/>
          <w:b/>
          <w:sz w:val="24"/>
        </w:rPr>
        <w:t>2.3 组织机构的组成和职能</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2.3.1机构成员：由本项目采购代理机构相关人员组成。</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2.3.2职能：按规定的程序和要求依法严密组织招标、评定等各项活动，且客观如实予以记录和反映，对评审小组的评分记录，评定过程中不干扰和影响评审小组正常的评定工作。</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sz w:val="24"/>
        </w:rPr>
      </w:pPr>
      <w:r>
        <w:rPr>
          <w:rFonts w:hint="eastAsia" w:ascii="宋体" w:hAnsi="宋体" w:cs="宋体"/>
          <w:b/>
          <w:sz w:val="24"/>
        </w:rPr>
        <w:t>2.4 评审小组组成和职能</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highlight w:val="none"/>
        </w:rPr>
      </w:pPr>
      <w:r>
        <w:rPr>
          <w:rFonts w:hint="eastAsia" w:ascii="宋体" w:hAnsi="宋体" w:cs="宋体"/>
          <w:sz w:val="24"/>
          <w:highlight w:val="none"/>
        </w:rPr>
        <w:t>2.4.1机构成员：由采购人和专家共</w:t>
      </w:r>
      <w:r>
        <w:rPr>
          <w:rFonts w:hint="eastAsia" w:ascii="宋体" w:hAnsi="宋体" w:cs="宋体"/>
          <w:sz w:val="24"/>
          <w:highlight w:val="none"/>
          <w:lang w:val="en-US" w:eastAsia="zh-CN"/>
        </w:rPr>
        <w:t>5</w:t>
      </w:r>
      <w:r>
        <w:rPr>
          <w:rFonts w:hint="eastAsia" w:ascii="宋体" w:hAnsi="宋体" w:cs="宋体"/>
          <w:sz w:val="24"/>
          <w:highlight w:val="none"/>
        </w:rPr>
        <w:t>人组成，其中相关行业专家</w:t>
      </w:r>
      <w:r>
        <w:rPr>
          <w:rFonts w:hint="eastAsia" w:ascii="宋体" w:hAnsi="宋体" w:cs="宋体"/>
          <w:sz w:val="24"/>
          <w:highlight w:val="none"/>
          <w:lang w:val="en-US" w:eastAsia="zh-CN"/>
        </w:rPr>
        <w:t>4</w:t>
      </w:r>
      <w:r>
        <w:rPr>
          <w:rFonts w:hint="eastAsia" w:ascii="宋体" w:hAnsi="宋体" w:cs="宋体"/>
          <w:sz w:val="24"/>
          <w:highlight w:val="none"/>
        </w:rPr>
        <w:t>人，业主代表</w:t>
      </w:r>
      <w:r>
        <w:rPr>
          <w:rFonts w:hint="eastAsia" w:ascii="宋体" w:hAnsi="宋体" w:cs="宋体"/>
          <w:sz w:val="24"/>
          <w:highlight w:val="none"/>
          <w:lang w:val="en-US" w:eastAsia="zh-CN"/>
        </w:rPr>
        <w:t>1</w:t>
      </w:r>
      <w:r>
        <w:rPr>
          <w:rFonts w:hint="eastAsia" w:ascii="宋体" w:hAnsi="宋体" w:cs="宋体"/>
          <w:sz w:val="24"/>
          <w:highlight w:val="none"/>
        </w:rPr>
        <w:t>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2.4.2职能：根据招标文件的要求，对投标文件进行初步检查、汇总、分析和比较，并做好记录；对合格的投标人提出投标文件中需要澄清的问题。对不合格的投标人说明原因；对合格的投标文件认真、客观、公正地评审；对合格的投标人进行评定；完成所评审项目的评定报告，评审小组按评定原则推荐中标候选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2.5 评审小组的专家由采购人和采购代理机构在相关专家库随机抽取。</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2.6 各评审小组成员的评分情况和评审意见由采购代理机构审查，如发现评审小组的评审意见带有明显倾向性，或不按规定程序和标准评审、计分的，必须要求评审小组进行书面澄清和说明。</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
          <w:sz w:val="24"/>
        </w:rPr>
      </w:pPr>
      <w:r>
        <w:rPr>
          <w:rFonts w:hint="eastAsia" w:ascii="宋体" w:hAnsi="宋体" w:cs="宋体"/>
          <w:b/>
          <w:sz w:val="24"/>
        </w:rPr>
        <w:t>2.7 评标原则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2.7.1评标遵循公平、公正、科学、择优的原则。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2.7.2对所有投标人的投标评估，都采用相同的程序和标准。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2.7.3评标将严格按照招标文件的要求和评标标准及办法进行。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2.7.4根据招标文件规定的各项评价标准通过评审打分排序推荐出1-3名中标候选人。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bCs/>
          <w:sz w:val="24"/>
        </w:rPr>
      </w:pPr>
      <w:r>
        <w:rPr>
          <w:rFonts w:hint="eastAsia" w:ascii="宋体" w:hAnsi="宋体" w:cs="宋体"/>
          <w:bCs/>
          <w:sz w:val="24"/>
        </w:rPr>
        <w:t>2.7.5评标委员会判断投标文件的响应性仅基于投标文件本身而不靠外部证据。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bCs/>
          <w:sz w:val="24"/>
        </w:rPr>
        <w:t>2.7.6评标委员会拒绝被确定为非实质性响应的投标，投标人不能通过修正或撤销不符之处而使其投标成为实质性响应的投标。</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bCs/>
          <w:sz w:val="24"/>
        </w:rPr>
        <w:t>2.</w:t>
      </w:r>
      <w:r>
        <w:rPr>
          <w:rFonts w:hint="eastAsia" w:ascii="宋体" w:hAnsi="宋体" w:cs="宋体"/>
          <w:sz w:val="24"/>
        </w:rPr>
        <w:t>8 评标纪律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bCs/>
          <w:sz w:val="24"/>
        </w:rPr>
        <w:t>2.</w:t>
      </w:r>
      <w:r>
        <w:rPr>
          <w:rFonts w:hint="eastAsia" w:ascii="宋体" w:hAnsi="宋体" w:cs="宋体"/>
          <w:sz w:val="24"/>
        </w:rPr>
        <w:t>8.1评标委员会成员应当客观、公正地履行职责，遵守职业道德，对所提出的评审意见承担个人责任；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bCs/>
          <w:sz w:val="24"/>
        </w:rPr>
        <w:t>2.</w:t>
      </w:r>
      <w:r>
        <w:rPr>
          <w:rFonts w:hint="eastAsia" w:ascii="宋体" w:hAnsi="宋体" w:cs="宋体"/>
          <w:sz w:val="24"/>
        </w:rPr>
        <w:t>8.2评标委员会成员和与评标活动有关的工作人员不得向任何投标人或与评标工作无关的人员透露与评标有关的任何情况；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bCs/>
          <w:sz w:val="24"/>
        </w:rPr>
        <w:t>2.</w:t>
      </w:r>
      <w:r>
        <w:rPr>
          <w:rFonts w:hint="eastAsia" w:ascii="宋体" w:hAnsi="宋体" w:cs="宋体"/>
          <w:sz w:val="24"/>
        </w:rPr>
        <w:t>8.3封闭评标期间，评委不得独自与外界接触，个人的通讯工具均应交由招标监督人员集中保管。需要和外部联系应通过招标监督人员联系。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bCs/>
          <w:sz w:val="24"/>
        </w:rPr>
        <w:t>2.</w:t>
      </w:r>
      <w:r>
        <w:rPr>
          <w:rFonts w:hint="eastAsia" w:ascii="宋体" w:hAnsi="宋体" w:cs="宋体"/>
          <w:sz w:val="24"/>
        </w:rPr>
        <w:t>8.4评标期间，投标人应服从工作人员的指挥，不得出现干扰评标工作的正常进行或影响评标公正性的现象，否则，将视为废标。</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
          <w:sz w:val="24"/>
        </w:rPr>
      </w:pPr>
      <w:r>
        <w:rPr>
          <w:b/>
          <w:sz w:val="24"/>
        </w:rPr>
        <w:t>三、评定程序</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
          <w:bCs/>
          <w:sz w:val="24"/>
        </w:rPr>
      </w:pPr>
      <w:r>
        <w:rPr>
          <w:b/>
          <w:bCs/>
          <w:sz w:val="24"/>
        </w:rPr>
        <w:t>3.1 初步评审</w:t>
      </w:r>
      <w:r>
        <w:rPr>
          <w:rFonts w:hint="eastAsia"/>
          <w:b/>
          <w:bCs/>
          <w:sz w:val="24"/>
          <w:lang w:eastAsia="zh-CN"/>
        </w:rPr>
        <w:t>（</w:t>
      </w:r>
      <w:r>
        <w:rPr>
          <w:rFonts w:hint="eastAsia"/>
          <w:b/>
          <w:sz w:val="24"/>
          <w:lang w:eastAsia="zh-CN"/>
        </w:rPr>
        <w:t>资格审查、</w:t>
      </w:r>
      <w:r>
        <w:rPr>
          <w:rFonts w:hint="eastAsia"/>
          <w:b/>
          <w:bCs/>
          <w:sz w:val="24"/>
          <w:lang w:eastAsia="zh-CN"/>
        </w:rPr>
        <w:t>符合性审查）</w:t>
      </w:r>
      <w:r>
        <w:rPr>
          <w:b/>
          <w:bCs/>
          <w:sz w:val="24"/>
        </w:rPr>
        <w:t>及报价复核</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bCs/>
          <w:sz w:val="24"/>
        </w:rPr>
        <w:t>3.1.1初步评审将对开标时有效的投标文件进行</w:t>
      </w:r>
      <w:r>
        <w:rPr>
          <w:rFonts w:hint="eastAsia"/>
          <w:bCs/>
          <w:sz w:val="24"/>
        </w:rPr>
        <w:t>，</w:t>
      </w:r>
      <w:r>
        <w:rPr>
          <w:bCs/>
          <w:sz w:val="24"/>
        </w:rPr>
        <w:t>根据招标文件</w:t>
      </w:r>
      <w:r>
        <w:rPr>
          <w:rFonts w:hint="eastAsia"/>
          <w:bCs/>
          <w:sz w:val="24"/>
        </w:rPr>
        <w:t>，</w:t>
      </w:r>
      <w:r>
        <w:rPr>
          <w:bCs/>
          <w:sz w:val="24"/>
        </w:rPr>
        <w:t>审查并逐项列出投标文件的全部投标重大偏差。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3.1.2下列情况属于重大偏差：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bookmarkStart w:id="24" w:name="OLE_LINK18"/>
      <w:bookmarkStart w:id="25" w:name="OLE_LINK17"/>
      <w:r>
        <w:rPr>
          <w:sz w:val="24"/>
        </w:rPr>
        <w:t>（1）没有按照招标文件要求提供投标保证金，或者提供的投标保证金有瑕疵；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（2）投标文件没有投标单位法定代表人或其授权代表签字加盖投标单位公章的；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（3）无法定代表人出具的授权委托书的；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（4）不满足第四章“</w:t>
      </w:r>
      <w:r>
        <w:rPr>
          <w:rFonts w:hint="eastAsia"/>
          <w:sz w:val="24"/>
          <w:lang w:val="en-US" w:eastAsia="zh-CN"/>
        </w:rPr>
        <w:t>采购需求</w:t>
      </w:r>
      <w:r>
        <w:rPr>
          <w:sz w:val="24"/>
        </w:rPr>
        <w:t>”中主要参数的；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（5）投标人对同一招标项目作出两个以上报价未明确效力的；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（6）未按招标文件的格式填写，内容不全或关键字迹模糊、无法辨认的；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（7）投标有效期不满足招标文件要求的；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（8）投标文件附有招标人不能接受的条件。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（9）存在招标文件规定的其它废标情况。</w:t>
      </w:r>
    </w:p>
    <w:bookmarkEnd w:id="24"/>
    <w:bookmarkEnd w:id="25"/>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3.1.3投标文件有上述重大偏差之一的，为未能对招标文件做出实质性响应，作废标处理，不再进入以后的评标程序。</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3.1.4细微偏差是指投标文件在实质上响应招标文件要求，但在个别地方存在漏项或者提供了不完整的技术信息和数据等情况，并且补正这些遗漏或者不完整不会对其他投标人造成不公平结果。细微偏差不影响投标文件的有效性。</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3.1.5评标委员会应当书面要求存在细微偏差的投标人在评标结果前予以补正。</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bCs/>
          <w:sz w:val="24"/>
        </w:rPr>
        <w:t>3.1</w:t>
      </w:r>
      <w:r>
        <w:rPr>
          <w:sz w:val="24"/>
        </w:rPr>
        <w:t>.6计算错误将按以下方法更正：若按单价计算的结果与总价不一致，以单价为准修改总价；若用文字表示的数值与用数字表示的数值不一致，以文字表示的数值为准。如果投标人不接受对其错误的更正，其投标将被拒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bCs/>
          <w:sz w:val="24"/>
        </w:rPr>
        <w:t>3.1</w:t>
      </w:r>
      <w:r>
        <w:rPr>
          <w:sz w:val="24"/>
        </w:rPr>
        <w:t>.7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的实质性内容。拒不按照要求对投标文件进行澄清、说明或者补正的，评标委员会可以否决其投标，作废标处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bCs/>
          <w:sz w:val="24"/>
        </w:rPr>
        <w:t>3.1.8</w:t>
      </w:r>
      <w:r>
        <w:rPr>
          <w:sz w:val="24"/>
        </w:rPr>
        <w:t>评标委员会判断投标文件的响应程度仅基于投标文件本身，而不靠外部证据。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bCs/>
          <w:sz w:val="24"/>
        </w:rPr>
        <w:t>3.</w:t>
      </w:r>
      <w:r>
        <w:rPr>
          <w:sz w:val="24"/>
        </w:rPr>
        <w:t>1.9在评标过程中，评标委员会发现投标人以他人的名义投标、串通投标、以行贿手段谋取中标或者以其它弄虚作假方式投标的,该投标将作废标处理。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bCs/>
          <w:sz w:val="24"/>
        </w:rPr>
        <w:t>3.</w:t>
      </w:r>
      <w:r>
        <w:rPr>
          <w:sz w:val="24"/>
        </w:rPr>
        <w:t>1.10评标委员会经评审，认为所有投标都不符合招标文件要求的或所有投标报价均过高时，可以否决所有投标。评标委员会经评审，认定投标人以低于成本报价竟标的，其投标将作废标处理。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Cs/>
          <w:sz w:val="24"/>
        </w:rPr>
      </w:pPr>
      <w:r>
        <w:rPr>
          <w:bCs/>
          <w:sz w:val="24"/>
        </w:rPr>
        <w:t>3.1.11经过初步评审，如果由于有效投标不足三家使得投标明显缺乏竞争的，评标委员会可以否决全部投标。</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
          <w:bCs/>
          <w:sz w:val="24"/>
        </w:rPr>
      </w:pPr>
      <w:r>
        <w:rPr>
          <w:b/>
          <w:bCs/>
          <w:sz w:val="24"/>
        </w:rPr>
        <w:t>3.2 详细评审</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Cs/>
          <w:sz w:val="24"/>
        </w:rPr>
      </w:pPr>
      <w:r>
        <w:rPr>
          <w:bCs/>
          <w:sz w:val="24"/>
        </w:rPr>
        <w:t>经初步评审合格的投标文件，评标委员会成员将对投标文件进行进一步评审、比较。</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
          <w:sz w:val="24"/>
        </w:rPr>
      </w:pPr>
      <w:r>
        <w:rPr>
          <w:b/>
          <w:bCs/>
          <w:sz w:val="24"/>
        </w:rPr>
        <w:t>3.</w:t>
      </w:r>
      <w:r>
        <w:rPr>
          <w:b/>
          <w:sz w:val="24"/>
        </w:rPr>
        <w:t>3 评分办法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Cs/>
          <w:sz w:val="24"/>
        </w:rPr>
      </w:pPr>
      <w:r>
        <w:rPr>
          <w:bCs/>
          <w:sz w:val="24"/>
        </w:rPr>
        <w:t>3.3.1经济标（</w:t>
      </w:r>
      <w:r>
        <w:rPr>
          <w:rFonts w:hint="eastAsia"/>
          <w:bCs/>
          <w:sz w:val="24"/>
          <w:lang w:val="en-US" w:eastAsia="zh-CN"/>
        </w:rPr>
        <w:t>1</w:t>
      </w:r>
      <w:r>
        <w:rPr>
          <w:bCs/>
          <w:sz w:val="24"/>
        </w:rPr>
        <w:t>0分）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Cs/>
          <w:sz w:val="24"/>
        </w:rPr>
      </w:pPr>
      <w:r>
        <w:rPr>
          <w:bCs/>
          <w:sz w:val="24"/>
        </w:rPr>
        <w:t>3.3.2商务</w:t>
      </w:r>
      <w:r>
        <w:rPr>
          <w:rFonts w:hint="eastAsia"/>
          <w:bCs/>
          <w:sz w:val="24"/>
        </w:rPr>
        <w:t>及技术</w:t>
      </w:r>
      <w:r>
        <w:rPr>
          <w:bCs/>
          <w:sz w:val="24"/>
        </w:rPr>
        <w:t>标（</w:t>
      </w:r>
      <w:r>
        <w:rPr>
          <w:rFonts w:hint="eastAsia"/>
          <w:bCs/>
          <w:sz w:val="24"/>
          <w:lang w:val="en-US" w:eastAsia="zh-CN"/>
        </w:rPr>
        <w:t>9</w:t>
      </w:r>
      <w:r>
        <w:rPr>
          <w:bCs/>
          <w:sz w:val="24"/>
        </w:rPr>
        <w:t>0分）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b/>
          <w:sz w:val="24"/>
        </w:rPr>
      </w:pPr>
      <w:r>
        <w:rPr>
          <w:b/>
          <w:sz w:val="24"/>
        </w:rPr>
        <w:t>3.3.4价格调整原则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1）投标人的报价必须包含所有服务内容。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2）投标人报价如有漏项，则须将其他投标人报价中该项价格的最高价加计入该投标人的投标总价。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3）调整后的价格作为投标人的评标价。根据评标价测算各投标人的经济标分值。</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b/>
          <w:sz w:val="24"/>
        </w:rPr>
        <w:t>3.3.</w:t>
      </w:r>
      <w:r>
        <w:rPr>
          <w:rFonts w:hint="eastAsia"/>
          <w:b/>
          <w:sz w:val="24"/>
        </w:rPr>
        <w:t>5</w:t>
      </w:r>
      <w:r>
        <w:rPr>
          <w:b/>
          <w:sz w:val="24"/>
        </w:rPr>
        <w:t>经济标不设标底，依照如下标准计算商务标得分：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1</w:t>
      </w:r>
      <w:r>
        <w:rPr>
          <w:rFonts w:hint="eastAsia"/>
          <w:sz w:val="24"/>
        </w:rPr>
        <w:t>）</w:t>
      </w:r>
      <w:r>
        <w:rPr>
          <w:sz w:val="24"/>
        </w:rPr>
        <w:t>基准价为合理低价，即满足招标文件要求且投标价格最低的投标报价为评标基准价，其价格分为满分。其他投标投标人的价格分统一按照下列公式计算：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投标报价得分=</w:t>
      </w:r>
      <w:r>
        <w:rPr>
          <w:rFonts w:hint="eastAsia"/>
          <w:sz w:val="24"/>
        </w:rPr>
        <w:t>（</w:t>
      </w:r>
      <w:r>
        <w:rPr>
          <w:sz w:val="24"/>
        </w:rPr>
        <w:t>评标基准价／投标报价</w:t>
      </w:r>
      <w:r>
        <w:rPr>
          <w:rFonts w:hint="eastAsia"/>
          <w:sz w:val="24"/>
        </w:rPr>
        <w:t>）</w:t>
      </w:r>
      <w:r>
        <w:rPr>
          <w:sz w:val="24"/>
        </w:rPr>
        <w:t xml:space="preserve">×价格分值×100%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结果保留两位小数。</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2</w:t>
      </w:r>
      <w:r>
        <w:rPr>
          <w:rFonts w:hint="eastAsia"/>
          <w:sz w:val="24"/>
        </w:rPr>
        <w:t>）</w:t>
      </w:r>
      <w:r>
        <w:rPr>
          <w:sz w:val="24"/>
        </w:rPr>
        <w:t>如果得分为负分时</w:t>
      </w:r>
      <w:r>
        <w:rPr>
          <w:rFonts w:hint="eastAsia"/>
          <w:sz w:val="24"/>
        </w:rPr>
        <w:t>，</w:t>
      </w:r>
      <w:r>
        <w:rPr>
          <w:sz w:val="24"/>
        </w:rPr>
        <w:t>按零分计。</w:t>
      </w:r>
    </w:p>
    <w:p>
      <w:pPr>
        <w:spacing w:line="360" w:lineRule="auto"/>
        <w:rPr>
          <w:b/>
          <w:sz w:val="24"/>
        </w:rPr>
      </w:pPr>
    </w:p>
    <w:p>
      <w:pPr>
        <w:spacing w:line="360" w:lineRule="auto"/>
        <w:rPr>
          <w:rFonts w:hint="eastAsia" w:eastAsia="宋体"/>
          <w:b/>
          <w:sz w:val="24"/>
          <w:lang w:eastAsia="zh-CN"/>
        </w:rPr>
      </w:pPr>
      <w:r>
        <w:rPr>
          <w:b/>
          <w:sz w:val="24"/>
        </w:rPr>
        <w:t>附表1：</w:t>
      </w:r>
      <w:r>
        <w:rPr>
          <w:rFonts w:hint="eastAsia"/>
          <w:b/>
          <w:sz w:val="24"/>
          <w:lang w:eastAsia="zh-CN"/>
        </w:rPr>
        <w:t>资格审查表</w:t>
      </w:r>
    </w:p>
    <w:tbl>
      <w:tblPr>
        <w:tblStyle w:val="27"/>
        <w:tblW w:w="97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6"/>
        <w:gridCol w:w="84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1266" w:type="dxa"/>
            <w:vAlign w:val="center"/>
          </w:tcPr>
          <w:p>
            <w:pPr>
              <w:snapToGrid w:val="0"/>
              <w:jc w:val="center"/>
              <w:rPr>
                <w:b/>
                <w:sz w:val="24"/>
              </w:rPr>
            </w:pPr>
            <w:r>
              <w:rPr>
                <w:b/>
                <w:sz w:val="24"/>
              </w:rPr>
              <w:t>序号</w:t>
            </w:r>
          </w:p>
        </w:tc>
        <w:tc>
          <w:tcPr>
            <w:tcW w:w="8499" w:type="dxa"/>
            <w:vAlign w:val="center"/>
          </w:tcPr>
          <w:p>
            <w:pPr>
              <w:snapToGrid w:val="0"/>
              <w:jc w:val="center"/>
              <w:rPr>
                <w:b/>
                <w:sz w:val="24"/>
              </w:rPr>
            </w:pPr>
            <w:r>
              <w:rPr>
                <w:b/>
                <w:bCs/>
                <w:sz w:val="24"/>
              </w:rPr>
              <w:t>检查项目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266" w:type="dxa"/>
            <w:vAlign w:val="center"/>
          </w:tcPr>
          <w:p>
            <w:pPr>
              <w:ind w:firstLine="232" w:firstLineChars="97"/>
              <w:rPr>
                <w:sz w:val="24"/>
              </w:rPr>
            </w:pPr>
            <w:r>
              <w:rPr>
                <w:sz w:val="24"/>
              </w:rPr>
              <w:t>1</w:t>
            </w:r>
          </w:p>
        </w:tc>
        <w:tc>
          <w:tcPr>
            <w:tcW w:w="8499" w:type="dxa"/>
            <w:vAlign w:val="center"/>
          </w:tcPr>
          <w:p>
            <w:pP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有效经年检的三证合一营业执照；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1266" w:type="dxa"/>
            <w:vAlign w:val="center"/>
          </w:tcPr>
          <w:p>
            <w:pPr>
              <w:ind w:firstLine="232" w:firstLineChars="97"/>
              <w:rPr>
                <w:rFonts w:hint="eastAsia" w:eastAsia="宋体"/>
                <w:sz w:val="24"/>
                <w:lang w:val="en-US" w:eastAsia="zh-CN"/>
              </w:rPr>
            </w:pPr>
            <w:r>
              <w:rPr>
                <w:rFonts w:hint="eastAsia"/>
                <w:sz w:val="24"/>
                <w:lang w:val="en-US" w:eastAsia="zh-CN"/>
              </w:rPr>
              <w:t>2</w:t>
            </w:r>
          </w:p>
        </w:tc>
        <w:tc>
          <w:tcPr>
            <w:tcW w:w="8499" w:type="dxa"/>
            <w:vAlign w:val="center"/>
          </w:tcPr>
          <w:p>
            <w:pPr>
              <w:rPr>
                <w:rFonts w:hint="eastAsia" w:ascii="Times New Roman" w:hAnsi="Times New Roman" w:cs="Times New Roman"/>
                <w:sz w:val="24"/>
              </w:rPr>
            </w:pPr>
            <w:r>
              <w:rPr>
                <w:rFonts w:hint="eastAsia" w:ascii="Times New Roman" w:hAnsi="Times New Roman" w:eastAsia="宋体" w:cs="Times New Roman"/>
                <w:sz w:val="24"/>
                <w:lang w:eastAsia="zh-CN"/>
              </w:rPr>
              <w:t>法人身份证明（投标代表为法人时）或法人授权委托书、被授权人身份证和法人身份证；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1266" w:type="dxa"/>
            <w:vAlign w:val="center"/>
          </w:tcPr>
          <w:p>
            <w:pPr>
              <w:ind w:firstLine="232" w:firstLineChars="97"/>
              <w:rPr>
                <w:rFonts w:hint="eastAsia" w:eastAsia="宋体"/>
                <w:sz w:val="24"/>
                <w:lang w:eastAsia="zh-CN"/>
              </w:rPr>
            </w:pPr>
            <w:r>
              <w:rPr>
                <w:rFonts w:hint="eastAsia"/>
                <w:sz w:val="24"/>
                <w:lang w:val="en-US" w:eastAsia="zh-CN"/>
              </w:rPr>
              <w:t>3</w:t>
            </w:r>
          </w:p>
        </w:tc>
        <w:tc>
          <w:tcPr>
            <w:tcW w:w="8499" w:type="dxa"/>
            <w:vAlign w:val="center"/>
          </w:tcPr>
          <w:p>
            <w:pPr>
              <w:rPr>
                <w:rFonts w:ascii="Times New Roman" w:hAnsi="Times New Roman" w:cs="Times New Roman"/>
                <w:sz w:val="24"/>
              </w:rPr>
            </w:pPr>
            <w:r>
              <w:rPr>
                <w:rFonts w:hint="eastAsia" w:cs="Times New Roman"/>
                <w:sz w:val="24"/>
                <w:highlight w:val="none"/>
                <w:lang w:eastAsia="zh-CN"/>
              </w:rPr>
              <w:t>项目负责人具有园林专业中级及以上职称</w:t>
            </w:r>
            <w:r>
              <w:rPr>
                <w:rFonts w:hint="eastAsia" w:ascii="Times New Roman" w:hAnsi="Times New Roman" w:eastAsia="宋体" w:cs="Times New Roman"/>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1266" w:type="dxa"/>
            <w:vAlign w:val="center"/>
          </w:tcPr>
          <w:p>
            <w:pPr>
              <w:ind w:firstLine="232" w:firstLineChars="97"/>
              <w:rPr>
                <w:rFonts w:hint="eastAsia" w:eastAsia="宋体"/>
                <w:sz w:val="24"/>
                <w:lang w:eastAsia="zh-CN"/>
              </w:rPr>
            </w:pPr>
            <w:r>
              <w:rPr>
                <w:rFonts w:hint="eastAsia"/>
                <w:sz w:val="24"/>
                <w:lang w:val="en-US" w:eastAsia="zh-CN"/>
              </w:rPr>
              <w:t>4</w:t>
            </w:r>
          </w:p>
        </w:tc>
        <w:tc>
          <w:tcPr>
            <w:tcW w:w="8499" w:type="dxa"/>
            <w:vAlign w:val="center"/>
          </w:tcPr>
          <w:p>
            <w:pPr>
              <w:rPr>
                <w:rFonts w:hint="eastAsia" w:eastAsia="宋体"/>
                <w:sz w:val="24"/>
                <w:lang w:eastAsia="zh-CN"/>
              </w:rPr>
            </w:pPr>
            <w:r>
              <w:rPr>
                <w:rFonts w:hint="eastAsia" w:ascii="Times New Roman" w:hAnsi="Times New Roman" w:eastAsia="宋体" w:cs="Times New Roman"/>
                <w:sz w:val="24"/>
                <w:lang w:eastAsia="zh-CN"/>
              </w:rPr>
              <w:t>未被信用中国（www.creditchina.gov.cn）、中国政府采购网（www.ccgp.gov.cn）、国家企业信用信息公示系统（http://www.gsxt.gov.cn）列入失信被执行人、税收违法黑名单、政府采购严重违法失信行为记录名单截图；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1266" w:type="dxa"/>
            <w:vAlign w:val="center"/>
          </w:tcPr>
          <w:p>
            <w:pPr>
              <w:ind w:firstLine="232" w:firstLineChars="97"/>
              <w:rPr>
                <w:rFonts w:hint="default"/>
                <w:sz w:val="24"/>
                <w:lang w:val="en-US" w:eastAsia="zh-CN"/>
              </w:rPr>
            </w:pPr>
            <w:r>
              <w:rPr>
                <w:rFonts w:hint="eastAsia"/>
                <w:sz w:val="24"/>
                <w:lang w:val="en-US" w:eastAsia="zh-CN"/>
              </w:rPr>
              <w:t>5</w:t>
            </w:r>
          </w:p>
        </w:tc>
        <w:tc>
          <w:tcPr>
            <w:tcW w:w="8499" w:type="dxa"/>
            <w:vAlign w:val="center"/>
          </w:tcPr>
          <w:p>
            <w:pPr>
              <w:rPr>
                <w:sz w:val="24"/>
              </w:rPr>
            </w:pPr>
            <w:r>
              <w:rPr>
                <w:rFonts w:hint="eastAsia"/>
                <w:sz w:val="24"/>
              </w:rPr>
              <w:t>与采购人存在利害关系可能影响采购公正性的单位，不得参加</w:t>
            </w:r>
            <w:r>
              <w:rPr>
                <w:rFonts w:hint="eastAsia"/>
                <w:sz w:val="24"/>
                <w:lang w:val="en-US" w:eastAsia="zh-CN"/>
              </w:rPr>
              <w:t>投标</w:t>
            </w:r>
            <w:r>
              <w:rPr>
                <w:rFonts w:hint="eastAsia"/>
                <w:sz w:val="24"/>
              </w:rPr>
              <w:t>。单位负责人为同一人或存在控股、管理关系的不同单位，不得参加同一标段</w:t>
            </w:r>
            <w:r>
              <w:rPr>
                <w:rFonts w:hint="eastAsia"/>
                <w:sz w:val="24"/>
                <w:lang w:val="en-US" w:eastAsia="zh-CN"/>
              </w:rPr>
              <w:t>投标</w:t>
            </w:r>
            <w:r>
              <w:rPr>
                <w:rFonts w:hint="eastAsia"/>
                <w:sz w:val="24"/>
              </w:rPr>
              <w:t>，否则，相关</w:t>
            </w:r>
            <w:r>
              <w:rPr>
                <w:rFonts w:hint="eastAsia"/>
                <w:sz w:val="24"/>
                <w:lang w:val="en-US" w:eastAsia="zh-CN"/>
              </w:rPr>
              <w:t>投标</w:t>
            </w:r>
            <w:r>
              <w:rPr>
                <w:rFonts w:hint="eastAsia"/>
                <w:sz w:val="24"/>
              </w:rPr>
              <w:t>均无效。</w:t>
            </w:r>
          </w:p>
        </w:tc>
      </w:tr>
    </w:tbl>
    <w:p>
      <w:pPr>
        <w:spacing w:line="360" w:lineRule="auto"/>
        <w:rPr>
          <w:b/>
          <w:sz w:val="24"/>
        </w:rPr>
      </w:pPr>
    </w:p>
    <w:p>
      <w:pPr>
        <w:spacing w:line="360" w:lineRule="auto"/>
        <w:rPr>
          <w:b/>
          <w:sz w:val="24"/>
        </w:rPr>
      </w:pPr>
    </w:p>
    <w:p>
      <w:pPr>
        <w:spacing w:line="360" w:lineRule="auto"/>
        <w:rPr>
          <w:b/>
          <w:sz w:val="24"/>
        </w:rPr>
      </w:pPr>
    </w:p>
    <w:p>
      <w:pPr>
        <w:spacing w:line="360" w:lineRule="auto"/>
        <w:rPr>
          <w:rFonts w:hint="eastAsia" w:eastAsia="宋体"/>
          <w:b/>
          <w:bCs/>
          <w:sz w:val="24"/>
          <w:lang w:eastAsia="zh-CN"/>
        </w:rPr>
      </w:pPr>
      <w:r>
        <w:rPr>
          <w:b/>
          <w:sz w:val="24"/>
        </w:rPr>
        <w:t>附表</w:t>
      </w:r>
      <w:r>
        <w:rPr>
          <w:rFonts w:hint="eastAsia"/>
          <w:b/>
          <w:sz w:val="24"/>
          <w:lang w:val="en-US" w:eastAsia="zh-CN"/>
        </w:rPr>
        <w:t>2</w:t>
      </w:r>
      <w:r>
        <w:rPr>
          <w:b/>
          <w:sz w:val="24"/>
        </w:rPr>
        <w:t>：</w:t>
      </w:r>
      <w:r>
        <w:rPr>
          <w:rFonts w:hint="eastAsia"/>
          <w:b/>
          <w:bCs/>
          <w:sz w:val="24"/>
          <w:lang w:eastAsia="zh-CN"/>
        </w:rPr>
        <w:t>符合性审查表</w:t>
      </w:r>
    </w:p>
    <w:tbl>
      <w:tblPr>
        <w:tblStyle w:val="27"/>
        <w:tblW w:w="97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6"/>
        <w:gridCol w:w="84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1266" w:type="dxa"/>
            <w:vAlign w:val="center"/>
          </w:tcPr>
          <w:p>
            <w:pPr>
              <w:snapToGrid w:val="0"/>
              <w:jc w:val="center"/>
              <w:rPr>
                <w:b/>
                <w:sz w:val="24"/>
              </w:rPr>
            </w:pPr>
            <w:r>
              <w:rPr>
                <w:b/>
                <w:sz w:val="24"/>
              </w:rPr>
              <w:t>序号</w:t>
            </w:r>
          </w:p>
        </w:tc>
        <w:tc>
          <w:tcPr>
            <w:tcW w:w="8499" w:type="dxa"/>
            <w:vAlign w:val="center"/>
          </w:tcPr>
          <w:p>
            <w:pPr>
              <w:snapToGrid w:val="0"/>
              <w:jc w:val="center"/>
              <w:rPr>
                <w:b/>
                <w:sz w:val="24"/>
              </w:rPr>
            </w:pPr>
            <w:r>
              <w:rPr>
                <w:b/>
                <w:bCs/>
                <w:sz w:val="24"/>
              </w:rPr>
              <w:t>检查项目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266" w:type="dxa"/>
            <w:vAlign w:val="center"/>
          </w:tcPr>
          <w:p>
            <w:pPr>
              <w:ind w:firstLine="232" w:firstLineChars="97"/>
              <w:rPr>
                <w:sz w:val="24"/>
              </w:rPr>
            </w:pPr>
            <w:r>
              <w:rPr>
                <w:sz w:val="24"/>
              </w:rPr>
              <w:t>1</w:t>
            </w:r>
          </w:p>
        </w:tc>
        <w:tc>
          <w:tcPr>
            <w:tcW w:w="8499" w:type="dxa"/>
            <w:vAlign w:val="center"/>
          </w:tcPr>
          <w:p>
            <w:pP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是否只有一个有效报价且不超过预算金额。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1266" w:type="dxa"/>
            <w:vAlign w:val="center"/>
          </w:tcPr>
          <w:p>
            <w:pPr>
              <w:ind w:firstLine="232" w:firstLineChars="97"/>
              <w:rPr>
                <w:sz w:val="24"/>
              </w:rPr>
            </w:pPr>
            <w:r>
              <w:rPr>
                <w:sz w:val="24"/>
              </w:rPr>
              <w:t>2</w:t>
            </w:r>
          </w:p>
        </w:tc>
        <w:tc>
          <w:tcPr>
            <w:tcW w:w="8499" w:type="dxa"/>
            <w:vAlign w:val="center"/>
          </w:tcPr>
          <w:p>
            <w:pPr>
              <w:rPr>
                <w:rFonts w:hint="eastAsia" w:ascii="Times New Roman" w:hAnsi="Times New Roman" w:cs="Times New Roman"/>
                <w:sz w:val="24"/>
                <w:lang w:val="en-US" w:eastAsia="zh-CN"/>
              </w:rPr>
            </w:pPr>
            <w:r>
              <w:rPr>
                <w:sz w:val="24"/>
              </w:rPr>
              <w:t>项目</w:t>
            </w:r>
            <w:r>
              <w:rPr>
                <w:rFonts w:hint="eastAsia"/>
                <w:sz w:val="24"/>
                <w:lang w:eastAsia="zh-CN"/>
              </w:rPr>
              <w:t>履约</w:t>
            </w:r>
            <w:r>
              <w:rPr>
                <w:sz w:val="24"/>
              </w:rPr>
              <w:t>期限</w:t>
            </w:r>
            <w:r>
              <w:rPr>
                <w:rFonts w:hint="eastAsia" w:eastAsia="宋体"/>
                <w:sz w:val="24"/>
                <w:lang w:eastAsia="zh-CN"/>
              </w:rPr>
              <w:t>符合招标文件要求</w:t>
            </w:r>
            <w:r>
              <w:rPr>
                <w:rFonts w:hint="eastAsia"/>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1266" w:type="dxa"/>
            <w:vAlign w:val="center"/>
          </w:tcPr>
          <w:p>
            <w:pPr>
              <w:ind w:firstLine="232" w:firstLineChars="97"/>
              <w:rPr>
                <w:sz w:val="24"/>
              </w:rPr>
            </w:pPr>
            <w:r>
              <w:rPr>
                <w:sz w:val="24"/>
              </w:rPr>
              <w:t>3</w:t>
            </w:r>
          </w:p>
        </w:tc>
        <w:tc>
          <w:tcPr>
            <w:tcW w:w="8499" w:type="dxa"/>
            <w:vAlign w:val="center"/>
          </w:tcPr>
          <w:p>
            <w:pPr>
              <w:rPr>
                <w:rFonts w:hint="eastAsia" w:eastAsia="宋体"/>
                <w:sz w:val="24"/>
                <w:lang w:eastAsia="zh-CN"/>
              </w:rPr>
            </w:pPr>
            <w:r>
              <w:rPr>
                <w:rFonts w:hint="eastAsia"/>
                <w:sz w:val="24"/>
                <w:lang w:eastAsia="zh-CN"/>
              </w:rPr>
              <w:t>投标保证金符合招标文件要求。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1266" w:type="dxa"/>
            <w:vAlign w:val="center"/>
          </w:tcPr>
          <w:p>
            <w:pPr>
              <w:ind w:firstLine="232" w:firstLineChars="97"/>
              <w:rPr>
                <w:sz w:val="24"/>
              </w:rPr>
            </w:pPr>
            <w:r>
              <w:rPr>
                <w:sz w:val="24"/>
              </w:rPr>
              <w:t>4</w:t>
            </w:r>
          </w:p>
        </w:tc>
        <w:tc>
          <w:tcPr>
            <w:tcW w:w="8499" w:type="dxa"/>
            <w:vAlign w:val="center"/>
          </w:tcPr>
          <w:p>
            <w:pPr>
              <w:rPr>
                <w:rFonts w:hint="eastAsia" w:eastAsia="宋体"/>
                <w:sz w:val="24"/>
                <w:lang w:eastAsia="zh-CN"/>
              </w:rPr>
            </w:pPr>
            <w:r>
              <w:rPr>
                <w:rFonts w:hint="eastAsia"/>
                <w:sz w:val="24"/>
                <w:lang w:eastAsia="zh-CN"/>
              </w:rPr>
              <w:t>投标有效期符合招标文件要求。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1266" w:type="dxa"/>
            <w:vAlign w:val="center"/>
          </w:tcPr>
          <w:p>
            <w:pPr>
              <w:ind w:firstLine="232" w:firstLineChars="97"/>
              <w:rPr>
                <w:rFonts w:hint="eastAsia" w:eastAsia="宋体"/>
                <w:sz w:val="24"/>
                <w:lang w:val="en-US" w:eastAsia="zh-CN"/>
              </w:rPr>
            </w:pPr>
            <w:r>
              <w:rPr>
                <w:rFonts w:hint="eastAsia"/>
                <w:sz w:val="24"/>
                <w:lang w:val="en-US" w:eastAsia="zh-CN"/>
              </w:rPr>
              <w:t>5</w:t>
            </w:r>
          </w:p>
        </w:tc>
        <w:tc>
          <w:tcPr>
            <w:tcW w:w="8499" w:type="dxa"/>
            <w:vAlign w:val="center"/>
          </w:tcPr>
          <w:p>
            <w:pPr>
              <w:rPr>
                <w:rFonts w:hint="eastAsia"/>
                <w:sz w:val="24"/>
                <w:lang w:eastAsia="zh-CN"/>
              </w:rPr>
            </w:pPr>
            <w:r>
              <w:rPr>
                <w:rFonts w:hint="eastAsia"/>
                <w:sz w:val="24"/>
              </w:rPr>
              <w:t>投标文件</w:t>
            </w:r>
            <w:r>
              <w:rPr>
                <w:rFonts w:hint="eastAsia"/>
                <w:sz w:val="24"/>
                <w:lang w:eastAsia="zh-CN"/>
              </w:rPr>
              <w:t>未</w:t>
            </w:r>
            <w:r>
              <w:rPr>
                <w:rFonts w:hint="eastAsia"/>
                <w:sz w:val="24"/>
              </w:rPr>
              <w:t>附有采购人不能接受条件的</w:t>
            </w:r>
            <w:r>
              <w:rPr>
                <w:rFonts w:hint="eastAsia"/>
                <w:sz w:val="24"/>
                <w:lang w:eastAsia="zh-CN"/>
              </w:rPr>
              <w:t>。</w:t>
            </w:r>
          </w:p>
        </w:tc>
      </w:tr>
    </w:tbl>
    <w:p>
      <w:pPr>
        <w:spacing w:line="360" w:lineRule="auto"/>
        <w:ind w:firstLine="480" w:firstLineChars="200"/>
      </w:pPr>
      <w:r>
        <w:rPr>
          <w:b/>
          <w:bCs/>
          <w:sz w:val="24"/>
        </w:rPr>
        <w:t>特别说明：</w:t>
      </w:r>
      <w:r>
        <w:rPr>
          <w:sz w:val="24"/>
        </w:rPr>
        <w:t>如投标人的投标文件中没有按此表的内容提供相关证明文件（如无特别要求，均提供复印件）或不符合上述审查内容的任意一条，其投标文件将视为无效投标文件。</w:t>
      </w:r>
    </w:p>
    <w:p>
      <w:pPr>
        <w:rPr>
          <w:b/>
          <w:sz w:val="24"/>
        </w:rPr>
      </w:pPr>
      <w:r>
        <w:rPr>
          <w:b/>
          <w:sz w:val="24"/>
        </w:rPr>
        <w:br w:type="page"/>
      </w:r>
    </w:p>
    <w:p>
      <w:pPr>
        <w:spacing w:line="360" w:lineRule="auto"/>
        <w:rPr>
          <w:b/>
          <w:sz w:val="24"/>
        </w:rPr>
      </w:pPr>
      <w:r>
        <w:rPr>
          <w:b/>
          <w:sz w:val="24"/>
        </w:rPr>
        <w:t>附表2：经济标得分（</w:t>
      </w:r>
      <w:r>
        <w:rPr>
          <w:rFonts w:hint="eastAsia"/>
          <w:b/>
          <w:sz w:val="24"/>
          <w:lang w:val="en-US" w:eastAsia="zh-CN"/>
        </w:rPr>
        <w:t>1</w:t>
      </w:r>
      <w:r>
        <w:rPr>
          <w:rFonts w:hint="eastAsia"/>
          <w:b/>
          <w:sz w:val="24"/>
        </w:rPr>
        <w:t>0</w:t>
      </w:r>
      <w:r>
        <w:rPr>
          <w:b/>
          <w:sz w:val="24"/>
        </w:rPr>
        <w:t>分）</w:t>
      </w:r>
    </w:p>
    <w:tbl>
      <w:tblPr>
        <w:tblStyle w:val="27"/>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850"/>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shd w:val="clear" w:color="auto" w:fill="D7D7D7" w:themeFill="background1" w:themeFillShade="D8"/>
            <w:vAlign w:val="center"/>
          </w:tcPr>
          <w:p>
            <w:pPr>
              <w:spacing w:line="276" w:lineRule="auto"/>
              <w:jc w:val="center"/>
              <w:rPr>
                <w:b/>
                <w:bCs/>
                <w:sz w:val="24"/>
              </w:rPr>
            </w:pPr>
            <w:r>
              <w:rPr>
                <w:b/>
                <w:bCs/>
                <w:sz w:val="24"/>
              </w:rPr>
              <w:t>评分项目</w:t>
            </w:r>
          </w:p>
        </w:tc>
        <w:tc>
          <w:tcPr>
            <w:tcW w:w="850" w:type="dxa"/>
            <w:shd w:val="clear" w:color="auto" w:fill="D7D7D7" w:themeFill="background1" w:themeFillShade="D8"/>
            <w:vAlign w:val="center"/>
          </w:tcPr>
          <w:p>
            <w:pPr>
              <w:spacing w:line="276" w:lineRule="auto"/>
              <w:jc w:val="center"/>
              <w:rPr>
                <w:b/>
                <w:bCs/>
                <w:sz w:val="24"/>
              </w:rPr>
            </w:pPr>
            <w:r>
              <w:rPr>
                <w:b/>
                <w:bCs/>
                <w:sz w:val="24"/>
              </w:rPr>
              <w:t>分值</w:t>
            </w:r>
          </w:p>
        </w:tc>
        <w:tc>
          <w:tcPr>
            <w:tcW w:w="7483" w:type="dxa"/>
            <w:shd w:val="clear" w:color="auto" w:fill="D7D7D7" w:themeFill="background1" w:themeFillShade="D8"/>
            <w:vAlign w:val="center"/>
          </w:tcPr>
          <w:p>
            <w:pPr>
              <w:spacing w:line="276" w:lineRule="auto"/>
              <w:jc w:val="center"/>
              <w:rPr>
                <w:b/>
                <w:bCs/>
                <w:sz w:val="24"/>
              </w:rPr>
            </w:pPr>
            <w:r>
              <w:rPr>
                <w:b/>
                <w:bCs/>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vAlign w:val="center"/>
          </w:tcPr>
          <w:p>
            <w:pPr>
              <w:spacing w:line="276"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经济标</w:t>
            </w:r>
          </w:p>
        </w:tc>
        <w:tc>
          <w:tcPr>
            <w:tcW w:w="850" w:type="dxa"/>
            <w:vAlign w:val="center"/>
          </w:tcPr>
          <w:p>
            <w:pPr>
              <w:spacing w:line="276" w:lineRule="auto"/>
              <w:jc w:val="center"/>
              <w:rPr>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0</w:t>
            </w:r>
            <w:r>
              <w:rPr>
                <w:color w:val="000000" w:themeColor="text1"/>
                <w:sz w:val="24"/>
                <w14:textFill>
                  <w14:solidFill>
                    <w14:schemeClr w14:val="tx1"/>
                  </w14:solidFill>
                </w14:textFill>
              </w:rPr>
              <w:t>分</w:t>
            </w:r>
          </w:p>
        </w:tc>
        <w:tc>
          <w:tcPr>
            <w:tcW w:w="7483" w:type="dxa"/>
          </w:tcPr>
          <w:p>
            <w:pPr>
              <w:widowControl/>
              <w:jc w:val="left"/>
              <w:rPr>
                <w:rFonts w:asciiTheme="minorEastAsia" w:hAnsiTheme="minorEastAsia" w:eastAsiaTheme="minorEastAsia" w:cstheme="minorEastAsia"/>
                <w:b/>
                <w:bCs/>
                <w:color w:val="000000" w:themeColor="text1"/>
                <w:kern w:val="0"/>
                <w:sz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14:textFill>
                  <w14:solidFill>
                    <w14:schemeClr w14:val="tx1"/>
                  </w14:solidFill>
                </w14:textFill>
              </w:rPr>
              <w:t>投标报价得分=(评标基准价/修正后投标报价)×100%×</w:t>
            </w:r>
            <w:r>
              <w:rPr>
                <w:rFonts w:hint="eastAsia" w:asciiTheme="minorEastAsia" w:hAnsiTheme="minorEastAsia" w:eastAsiaTheme="minorEastAsia" w:cstheme="minorEastAsia"/>
                <w:b/>
                <w:bCs/>
                <w:color w:val="000000" w:themeColor="text1"/>
                <w:kern w:val="0"/>
                <w:sz w:val="24"/>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kern w:val="0"/>
                <w:sz w:val="24"/>
                <w14:textFill>
                  <w14:solidFill>
                    <w14:schemeClr w14:val="tx1"/>
                  </w14:solidFill>
                </w14:textFill>
              </w:rPr>
              <w:t>0</w:t>
            </w:r>
          </w:p>
          <w:p>
            <w:pPr>
              <w:widowControl/>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1、投标价格评分采用低价优先法计算；</w:t>
            </w:r>
          </w:p>
          <w:p>
            <w:pPr>
              <w:widowControl/>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2、评标基准价：满足招标文件要求且经算术修正，依据政府采购政策进行价格扣除后的最低报价为评标基准价；</w:t>
            </w:r>
          </w:p>
          <w:p>
            <w:pPr>
              <w:widowControl/>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3、修正后投标报价：评标委员会以开标一览表中投标报价为基础，对其进行算术修正，依据政府采购政策进行价格扣除后，作为投标报价计算的依据。</w:t>
            </w:r>
          </w:p>
          <w:p>
            <w:pPr>
              <w:widowControl/>
              <w:jc w:val="left"/>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4、根据《政府采购促进中小企业发展暂行办法》的相关规定，对小型和微型企业制造（生产）产品的价格给予</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4"/>
                <w14:textFill>
                  <w14:solidFill>
                    <w14:schemeClr w14:val="tx1"/>
                  </w14:solidFill>
                </w14:textFill>
              </w:rPr>
              <w:t>%的扣除，用扣除后的价格参与评审。</w:t>
            </w:r>
          </w:p>
          <w:p>
            <w:pPr>
              <w:widowControl/>
              <w:jc w:val="left"/>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5、根据《关于促进残疾人就业政府采购政策的通知》（财库[2017]141号），残疾人福利性单位视同小型、微型企业。</w:t>
            </w:r>
          </w:p>
          <w:p>
            <w:pPr>
              <w:spacing w:line="276" w:lineRule="auto"/>
              <w:jc w:val="left"/>
              <w:rPr>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6、残疾人福利性单位属于小型、微型企业的，不重复享受政策。</w:t>
            </w:r>
          </w:p>
        </w:tc>
      </w:tr>
    </w:tbl>
    <w:p>
      <w:pPr>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附表3、商务</w:t>
      </w:r>
      <w:r>
        <w:rPr>
          <w:rFonts w:hint="eastAsia"/>
          <w:b/>
          <w:color w:val="000000" w:themeColor="text1"/>
          <w:sz w:val="24"/>
          <w14:textFill>
            <w14:solidFill>
              <w14:schemeClr w14:val="tx1"/>
            </w14:solidFill>
          </w14:textFill>
        </w:rPr>
        <w:t>及技术</w:t>
      </w:r>
      <w:r>
        <w:rPr>
          <w:b/>
          <w:color w:val="000000" w:themeColor="text1"/>
          <w:sz w:val="24"/>
          <w14:textFill>
            <w14:solidFill>
              <w14:schemeClr w14:val="tx1"/>
            </w14:solidFill>
          </w14:textFill>
        </w:rPr>
        <w:t>部分评审表（</w:t>
      </w:r>
      <w:r>
        <w:rPr>
          <w:rFonts w:hint="eastAsia"/>
          <w:b/>
          <w:color w:val="000000" w:themeColor="text1"/>
          <w:sz w:val="24"/>
          <w:lang w:val="en-US" w:eastAsia="zh-CN"/>
          <w14:textFill>
            <w14:solidFill>
              <w14:schemeClr w14:val="tx1"/>
            </w14:solidFill>
          </w14:textFill>
        </w:rPr>
        <w:t>9</w:t>
      </w:r>
      <w:r>
        <w:rPr>
          <w:rFonts w:hint="eastAsia"/>
          <w:b/>
          <w:color w:val="000000" w:themeColor="text1"/>
          <w:sz w:val="24"/>
          <w14:textFill>
            <w14:solidFill>
              <w14:schemeClr w14:val="tx1"/>
            </w14:solidFill>
          </w14:textFill>
        </w:rPr>
        <w:t>0</w:t>
      </w:r>
      <w:r>
        <w:rPr>
          <w:b/>
          <w:color w:val="000000" w:themeColor="text1"/>
          <w:sz w:val="24"/>
          <w14:textFill>
            <w14:solidFill>
              <w14:schemeClr w14:val="tx1"/>
            </w14:solidFill>
          </w14:textFill>
        </w:rPr>
        <w:t>分）</w:t>
      </w:r>
    </w:p>
    <w:tbl>
      <w:tblPr>
        <w:tblStyle w:val="27"/>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751"/>
        <w:gridCol w:w="7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07" w:type="dxa"/>
            <w:shd w:val="clear" w:color="auto" w:fill="D7D7D7" w:themeFill="background1" w:themeFillShade="D8"/>
            <w:tcMar>
              <w:top w:w="28" w:type="dxa"/>
              <w:left w:w="108" w:type="dxa"/>
              <w:bottom w:w="28" w:type="dxa"/>
              <w:right w:w="108" w:type="dxa"/>
            </w:tcMar>
            <w:vAlign w:val="center"/>
          </w:tcPr>
          <w:p>
            <w:pPr>
              <w:adjustRightInd w:val="0"/>
              <w:snapToGrid w:val="0"/>
              <w:spacing w:line="276" w:lineRule="auto"/>
              <w:jc w:val="center"/>
              <w:rPr>
                <w:rFonts w:ascii="宋体" w:hAnsi="宋体"/>
                <w:b/>
                <w:color w:val="000000"/>
                <w:sz w:val="24"/>
              </w:rPr>
            </w:pPr>
            <w:r>
              <w:rPr>
                <w:rFonts w:hint="eastAsia" w:ascii="宋体" w:hAnsi="宋体"/>
                <w:b/>
                <w:color w:val="000000"/>
                <w:sz w:val="24"/>
              </w:rPr>
              <w:t>项目</w:t>
            </w:r>
          </w:p>
        </w:tc>
        <w:tc>
          <w:tcPr>
            <w:tcW w:w="751" w:type="dxa"/>
            <w:shd w:val="clear" w:color="auto" w:fill="D7D7D7" w:themeFill="background1" w:themeFillShade="D8"/>
            <w:tcMar>
              <w:top w:w="28" w:type="dxa"/>
              <w:left w:w="108" w:type="dxa"/>
              <w:bottom w:w="28" w:type="dxa"/>
              <w:right w:w="108" w:type="dxa"/>
            </w:tcMar>
            <w:vAlign w:val="center"/>
          </w:tcPr>
          <w:p>
            <w:pPr>
              <w:adjustRightInd w:val="0"/>
              <w:snapToGrid w:val="0"/>
              <w:spacing w:line="276" w:lineRule="auto"/>
              <w:jc w:val="center"/>
              <w:rPr>
                <w:rFonts w:ascii="宋体" w:hAnsi="宋体"/>
                <w:b/>
                <w:color w:val="000000"/>
                <w:sz w:val="24"/>
              </w:rPr>
            </w:pPr>
            <w:r>
              <w:rPr>
                <w:rFonts w:hint="eastAsia" w:ascii="宋体" w:hAnsi="宋体"/>
                <w:b/>
                <w:color w:val="000000"/>
                <w:sz w:val="24"/>
              </w:rPr>
              <w:t>分值</w:t>
            </w:r>
          </w:p>
        </w:tc>
        <w:tc>
          <w:tcPr>
            <w:tcW w:w="7519" w:type="dxa"/>
            <w:shd w:val="clear" w:color="auto" w:fill="D7D7D7" w:themeFill="background1" w:themeFillShade="D8"/>
            <w:tcMar>
              <w:top w:w="28" w:type="dxa"/>
              <w:left w:w="108" w:type="dxa"/>
              <w:bottom w:w="28" w:type="dxa"/>
              <w:right w:w="108" w:type="dxa"/>
            </w:tcMar>
            <w:vAlign w:val="center"/>
          </w:tcPr>
          <w:p>
            <w:pPr>
              <w:adjustRightInd w:val="0"/>
              <w:snapToGrid w:val="0"/>
              <w:spacing w:line="276" w:lineRule="auto"/>
              <w:jc w:val="center"/>
              <w:rPr>
                <w:rFonts w:ascii="宋体" w:hAnsi="宋体"/>
                <w:b/>
                <w:color w:val="000000"/>
                <w:sz w:val="24"/>
              </w:rPr>
            </w:pPr>
            <w:r>
              <w:rPr>
                <w:rFonts w:hint="eastAsia" w:ascii="宋体" w:hAnsi="宋体"/>
                <w:b/>
                <w:color w:val="000000"/>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07" w:type="dxa"/>
            <w:shd w:val="clear" w:color="auto" w:fill="auto"/>
            <w:tcMar>
              <w:top w:w="28" w:type="dxa"/>
              <w:left w:w="108" w:type="dxa"/>
              <w:bottom w:w="28" w:type="dxa"/>
              <w:right w:w="108" w:type="dxa"/>
            </w:tcMar>
            <w:vAlign w:val="center"/>
          </w:tcPr>
          <w:p>
            <w:pPr>
              <w:adjustRightInd w:val="0"/>
              <w:snapToGrid w:val="0"/>
              <w:spacing w:line="276" w:lineRule="auto"/>
              <w:jc w:val="center"/>
              <w:rPr>
                <w:rFonts w:hint="eastAsia" w:ascii="宋体" w:hAnsi="宋体" w:eastAsia="宋体"/>
                <w:b w:val="0"/>
                <w:bCs/>
                <w:color w:val="000000"/>
                <w:sz w:val="24"/>
                <w:shd w:val="clear" w:color="FFFFFF" w:fill="D9D9D9"/>
                <w:lang w:eastAsia="zh-CN"/>
              </w:rPr>
            </w:pPr>
            <w:r>
              <w:rPr>
                <w:rFonts w:hint="eastAsia" w:ascii="宋体" w:hAnsi="宋体"/>
                <w:b w:val="0"/>
                <w:bCs/>
                <w:color w:val="000000"/>
                <w:sz w:val="24"/>
                <w:shd w:val="clear" w:color="auto" w:fill="auto"/>
                <w:lang w:eastAsia="zh-CN"/>
              </w:rPr>
              <w:t>项目现状分析</w:t>
            </w:r>
          </w:p>
        </w:tc>
        <w:tc>
          <w:tcPr>
            <w:tcW w:w="751" w:type="dxa"/>
            <w:shd w:val="clear" w:color="auto" w:fill="auto"/>
            <w:tcMar>
              <w:top w:w="28" w:type="dxa"/>
              <w:left w:w="108" w:type="dxa"/>
              <w:bottom w:w="28" w:type="dxa"/>
              <w:right w:w="108" w:type="dxa"/>
            </w:tcMar>
            <w:vAlign w:val="center"/>
          </w:tcPr>
          <w:p>
            <w:pPr>
              <w:adjustRightInd w:val="0"/>
              <w:snapToGrid w:val="0"/>
              <w:spacing w:line="276" w:lineRule="auto"/>
              <w:jc w:val="center"/>
              <w:rPr>
                <w:rFonts w:hint="default" w:ascii="宋体" w:hAnsi="宋体" w:eastAsia="宋体"/>
                <w:b w:val="0"/>
                <w:bCs/>
                <w:color w:val="000000"/>
                <w:sz w:val="24"/>
                <w:shd w:val="clear" w:color="FFFFFF" w:fill="D9D9D9"/>
                <w:lang w:val="en-US" w:eastAsia="zh-CN"/>
              </w:rPr>
            </w:pPr>
            <w:r>
              <w:rPr>
                <w:rFonts w:hint="eastAsia" w:ascii="宋体" w:hAnsi="宋体"/>
                <w:b w:val="0"/>
                <w:bCs/>
                <w:color w:val="000000"/>
                <w:sz w:val="24"/>
                <w:shd w:val="clear" w:color="auto" w:fill="auto"/>
                <w:lang w:val="en-US" w:eastAsia="zh-CN"/>
              </w:rPr>
              <w:t>10分</w:t>
            </w:r>
          </w:p>
        </w:tc>
        <w:tc>
          <w:tcPr>
            <w:tcW w:w="7519" w:type="dxa"/>
            <w:shd w:val="clear" w:color="auto" w:fill="auto"/>
            <w:tcMar>
              <w:top w:w="28" w:type="dxa"/>
              <w:left w:w="108" w:type="dxa"/>
              <w:bottom w:w="28" w:type="dxa"/>
              <w:right w:w="108" w:type="dxa"/>
            </w:tcMar>
            <w:vAlign w:val="center"/>
          </w:tcPr>
          <w:p>
            <w:pPr>
              <w:adjustRightInd w:val="0"/>
              <w:snapToGrid w:val="0"/>
              <w:spacing w:line="276" w:lineRule="auto"/>
              <w:jc w:val="left"/>
              <w:rPr>
                <w:rFonts w:hint="eastAsia" w:ascii="宋体" w:hAnsi="宋体"/>
                <w:b w:val="0"/>
                <w:bCs/>
                <w:color w:val="000000"/>
                <w:sz w:val="24"/>
                <w:shd w:val="clear" w:color="auto" w:fill="auto"/>
              </w:rPr>
            </w:pPr>
            <w:r>
              <w:rPr>
                <w:rFonts w:hint="eastAsia" w:ascii="宋体" w:hAnsi="宋体"/>
                <w:b w:val="0"/>
                <w:bCs/>
                <w:color w:val="000000"/>
                <w:sz w:val="24"/>
                <w:shd w:val="clear" w:color="auto" w:fill="auto"/>
              </w:rPr>
              <w:t>对本项目现状了解透彻，理解到位的得</w:t>
            </w:r>
            <w:r>
              <w:rPr>
                <w:rFonts w:hint="eastAsia" w:ascii="宋体" w:hAnsi="宋体"/>
                <w:b w:val="0"/>
                <w:bCs/>
                <w:color w:val="000000"/>
                <w:sz w:val="24"/>
                <w:shd w:val="clear" w:color="auto" w:fill="auto"/>
                <w:lang w:val="en-US" w:eastAsia="zh-CN"/>
              </w:rPr>
              <w:t>10</w:t>
            </w:r>
            <w:r>
              <w:rPr>
                <w:rFonts w:hint="eastAsia" w:ascii="宋体" w:hAnsi="宋体"/>
                <w:b w:val="0"/>
                <w:bCs/>
                <w:color w:val="000000"/>
                <w:sz w:val="24"/>
                <w:shd w:val="clear" w:color="auto" w:fill="auto"/>
              </w:rPr>
              <w:t>分；</w:t>
            </w:r>
          </w:p>
          <w:p>
            <w:pPr>
              <w:adjustRightInd w:val="0"/>
              <w:snapToGrid w:val="0"/>
              <w:spacing w:line="276" w:lineRule="auto"/>
              <w:jc w:val="left"/>
              <w:rPr>
                <w:rFonts w:hint="eastAsia" w:ascii="宋体" w:hAnsi="宋体"/>
                <w:b w:val="0"/>
                <w:bCs/>
                <w:color w:val="000000"/>
                <w:sz w:val="24"/>
                <w:shd w:val="clear" w:color="auto" w:fill="auto"/>
              </w:rPr>
            </w:pPr>
            <w:r>
              <w:rPr>
                <w:rFonts w:hint="eastAsia" w:ascii="宋体" w:hAnsi="宋体"/>
                <w:b w:val="0"/>
                <w:bCs/>
                <w:color w:val="000000"/>
                <w:sz w:val="24"/>
                <w:shd w:val="clear" w:color="auto" w:fill="auto"/>
              </w:rPr>
              <w:t>对本项目现状基本了解，理解基本到位的得</w:t>
            </w:r>
            <w:r>
              <w:rPr>
                <w:rFonts w:hint="eastAsia" w:ascii="宋体" w:hAnsi="宋体"/>
                <w:b w:val="0"/>
                <w:bCs/>
                <w:color w:val="000000"/>
                <w:sz w:val="24"/>
                <w:shd w:val="clear" w:color="auto" w:fill="auto"/>
                <w:lang w:val="en-US" w:eastAsia="zh-CN"/>
              </w:rPr>
              <w:t>7</w:t>
            </w:r>
            <w:r>
              <w:rPr>
                <w:rFonts w:hint="eastAsia" w:ascii="宋体" w:hAnsi="宋体"/>
                <w:b w:val="0"/>
                <w:bCs/>
                <w:color w:val="000000"/>
                <w:sz w:val="24"/>
                <w:shd w:val="clear" w:color="auto" w:fill="auto"/>
              </w:rPr>
              <w:t>分；</w:t>
            </w:r>
          </w:p>
          <w:p>
            <w:pPr>
              <w:adjustRightInd w:val="0"/>
              <w:snapToGrid w:val="0"/>
              <w:spacing w:line="276" w:lineRule="auto"/>
              <w:jc w:val="left"/>
              <w:rPr>
                <w:rFonts w:hint="eastAsia" w:ascii="宋体" w:hAnsi="宋体" w:eastAsia="宋体"/>
                <w:b w:val="0"/>
                <w:bCs/>
                <w:color w:val="000000"/>
                <w:sz w:val="24"/>
                <w:shd w:val="clear" w:color="auto" w:fill="auto"/>
                <w:lang w:eastAsia="zh-CN"/>
              </w:rPr>
            </w:pPr>
            <w:r>
              <w:rPr>
                <w:rFonts w:hint="eastAsia" w:ascii="宋体" w:hAnsi="宋体"/>
                <w:b w:val="0"/>
                <w:bCs/>
                <w:color w:val="000000"/>
                <w:sz w:val="24"/>
                <w:shd w:val="clear" w:color="auto" w:fill="auto"/>
              </w:rPr>
              <w:t>对本项目现状有所了解，理解不充分的得3分</w:t>
            </w:r>
            <w:r>
              <w:rPr>
                <w:rFonts w:hint="eastAsia" w:ascii="宋体" w:hAnsi="宋体"/>
                <w:b w:val="0"/>
                <w:bCs/>
                <w:color w:val="000000"/>
                <w:sz w:val="24"/>
                <w:shd w:val="clear" w:color="auto" w:fill="auto"/>
                <w:lang w:eastAsia="zh-CN"/>
              </w:rPr>
              <w:t>；</w:t>
            </w:r>
          </w:p>
          <w:p>
            <w:pPr>
              <w:adjustRightInd w:val="0"/>
              <w:snapToGrid w:val="0"/>
              <w:spacing w:line="276" w:lineRule="auto"/>
              <w:jc w:val="left"/>
              <w:rPr>
                <w:rFonts w:hint="eastAsia" w:ascii="宋体" w:hAnsi="宋体"/>
                <w:b w:val="0"/>
                <w:bCs/>
                <w:color w:val="000000"/>
                <w:sz w:val="24"/>
                <w:shd w:val="clear" w:color="FFFFFF" w:fill="D9D9D9"/>
              </w:rPr>
            </w:pPr>
            <w:r>
              <w:rPr>
                <w:rFonts w:hint="eastAsia" w:ascii="宋体" w:hAnsi="宋体"/>
                <w:b w:val="0"/>
                <w:bCs/>
                <w:color w:val="000000"/>
                <w:sz w:val="24"/>
                <w:shd w:val="clear" w:color="auto" w:fill="auto"/>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07" w:type="dxa"/>
            <w:shd w:val="clear" w:color="auto" w:fill="auto"/>
            <w:tcMar>
              <w:top w:w="28" w:type="dxa"/>
              <w:left w:w="108" w:type="dxa"/>
              <w:bottom w:w="28"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绿化养护方案</w:t>
            </w:r>
          </w:p>
        </w:tc>
        <w:tc>
          <w:tcPr>
            <w:tcW w:w="751" w:type="dxa"/>
            <w:shd w:val="clear" w:color="auto" w:fill="auto"/>
            <w:tcMar>
              <w:top w:w="28" w:type="dxa"/>
              <w:left w:w="108" w:type="dxa"/>
              <w:bottom w:w="28"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15</w:t>
            </w:r>
            <w:r>
              <w:rPr>
                <w:rFonts w:hint="eastAsia" w:ascii="宋体" w:hAnsi="宋体"/>
                <w:b w:val="0"/>
                <w:bCs/>
                <w:color w:val="000000"/>
                <w:sz w:val="24"/>
                <w:shd w:val="clear" w:color="auto" w:fill="auto"/>
                <w:lang w:val="en-US" w:eastAsia="zh-CN"/>
              </w:rPr>
              <w:t>分</w:t>
            </w:r>
          </w:p>
        </w:tc>
        <w:tc>
          <w:tcPr>
            <w:tcW w:w="7519" w:type="dxa"/>
            <w:shd w:val="clear" w:color="auto" w:fill="auto"/>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全年度具体绿化养护方案（月度、季度、年度）是否切合实际</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，包括但不限于</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养护目标、针对性、关注点等方面：</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方案符合要求，内容完整、充实的得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15</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方案符合要求，内容完整，但有所欠缺的得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10</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方案符合要求，但内容不完整的得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5</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p>
          <w:p>
            <w:pPr>
              <w:widowControl/>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07" w:type="dxa"/>
            <w:shd w:val="clear" w:color="auto" w:fill="auto"/>
            <w:tcMar>
              <w:top w:w="28" w:type="dxa"/>
              <w:left w:w="108" w:type="dxa"/>
              <w:bottom w:w="28"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养护技术措施</w:t>
            </w:r>
          </w:p>
        </w:tc>
        <w:tc>
          <w:tcPr>
            <w:tcW w:w="751" w:type="dxa"/>
            <w:shd w:val="clear" w:color="auto" w:fill="auto"/>
            <w:tcMar>
              <w:top w:w="28" w:type="dxa"/>
              <w:left w:w="108" w:type="dxa"/>
              <w:bottom w:w="28"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10</w:t>
            </w:r>
            <w:r>
              <w:rPr>
                <w:rFonts w:hint="eastAsia" w:ascii="宋体" w:hAnsi="宋体"/>
                <w:b w:val="0"/>
                <w:bCs/>
                <w:color w:val="000000"/>
                <w:sz w:val="24"/>
                <w:shd w:val="clear" w:color="auto" w:fill="auto"/>
                <w:lang w:val="en-US" w:eastAsia="zh-CN"/>
              </w:rPr>
              <w:t>分</w:t>
            </w:r>
          </w:p>
        </w:tc>
        <w:tc>
          <w:tcPr>
            <w:tcW w:w="7519" w:type="dxa"/>
            <w:shd w:val="clear" w:color="auto" w:fill="auto"/>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针对</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病虫害防治、施肥、修剪、用药等关键养护技术措施等方面内容</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编制绿化养护方案</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方案符合要求，内容完整、充实的得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10</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方案符合要求，内容完整，但有所欠缺的得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7</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方案符合要求，但内容不完整的得3分</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p>
          <w:p>
            <w:pPr>
              <w:widowControl/>
              <w:rPr>
                <w:rFonts w:hint="default"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507" w:type="dxa"/>
            <w:vAlign w:val="center"/>
          </w:tcPr>
          <w:p>
            <w:pPr>
              <w:widowControl/>
              <w:jc w:val="cente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重点难点分析</w:t>
            </w:r>
          </w:p>
        </w:tc>
        <w:tc>
          <w:tcPr>
            <w:tcW w:w="751" w:type="dxa"/>
            <w:tcMar>
              <w:top w:w="28" w:type="dxa"/>
              <w:left w:w="108" w:type="dxa"/>
              <w:bottom w:w="28" w:type="dxa"/>
              <w:right w:w="108" w:type="dxa"/>
            </w:tcMar>
            <w:vAlign w:val="center"/>
          </w:tcPr>
          <w:p>
            <w:pPr>
              <w:widowControl/>
              <w:jc w:val="cente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15</w:t>
            </w:r>
            <w:r>
              <w:rPr>
                <w:rFonts w:hint="eastAsia" w:ascii="宋体" w:hAnsi="宋体"/>
                <w:b w:val="0"/>
                <w:bCs/>
                <w:color w:val="000000"/>
                <w:sz w:val="24"/>
                <w:shd w:val="clear" w:color="auto" w:fill="auto"/>
                <w:lang w:val="en-US" w:eastAsia="zh-CN"/>
              </w:rPr>
              <w:t>分</w:t>
            </w:r>
          </w:p>
        </w:tc>
        <w:tc>
          <w:tcPr>
            <w:tcW w:w="7519" w:type="dxa"/>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对重难点了解分析全面，解决方案科学合理，可实施性强的得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15</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对重难点分析较为全面，解决方案较为科学合理，可实施性较强的得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10</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对本项目了解粗略，分析较为笼统，方案可实施性较弱的得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5</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507" w:type="dxa"/>
            <w:vAlign w:val="center"/>
          </w:tcPr>
          <w:p>
            <w:pPr>
              <w:widowControl/>
              <w:jc w:val="cente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绿地养护安全文明作业和环境保护管理措施</w:t>
            </w:r>
          </w:p>
        </w:tc>
        <w:tc>
          <w:tcPr>
            <w:tcW w:w="751" w:type="dxa"/>
            <w:tcMar>
              <w:top w:w="28" w:type="dxa"/>
              <w:left w:w="108" w:type="dxa"/>
              <w:bottom w:w="28" w:type="dxa"/>
              <w:right w:w="108" w:type="dxa"/>
            </w:tcMar>
            <w:vAlign w:val="center"/>
          </w:tcPr>
          <w:p>
            <w:pPr>
              <w:widowControl/>
              <w:jc w:val="cente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10</w:t>
            </w:r>
            <w:r>
              <w:rPr>
                <w:rFonts w:hint="eastAsia" w:ascii="宋体" w:hAnsi="宋体"/>
                <w:b w:val="0"/>
                <w:bCs/>
                <w:color w:val="000000"/>
                <w:sz w:val="24"/>
                <w:highlight w:val="none"/>
                <w:shd w:val="clear" w:color="auto" w:fill="auto"/>
                <w:lang w:val="en-US" w:eastAsia="zh-CN"/>
              </w:rPr>
              <w:t>分</w:t>
            </w:r>
          </w:p>
        </w:tc>
        <w:tc>
          <w:tcPr>
            <w:tcW w:w="7519" w:type="dxa"/>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措施符合要求，内容完整、充实的得</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10</w:t>
            </w:r>
            <w: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措施符合要求，内容完整，但有所欠缺的得</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7</w:t>
            </w:r>
            <w: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措施符合要求，但内容不完整的得3分</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w:t>
            </w:r>
          </w:p>
          <w:p>
            <w:pPr>
              <w:widowControl/>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507" w:type="dxa"/>
            <w:vAlign w:val="center"/>
          </w:tcPr>
          <w:p>
            <w:pPr>
              <w:widowControl/>
              <w:jc w:val="cente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管理方案、管理制度、</w:t>
            </w:r>
          </w:p>
          <w:p>
            <w:pPr>
              <w:widowControl/>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人员配置的合理性</w:t>
            </w:r>
          </w:p>
        </w:tc>
        <w:tc>
          <w:tcPr>
            <w:tcW w:w="751" w:type="dxa"/>
            <w:tcMar>
              <w:top w:w="28" w:type="dxa"/>
              <w:left w:w="108" w:type="dxa"/>
              <w:bottom w:w="28"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10</w:t>
            </w:r>
            <w:r>
              <w:rPr>
                <w:rFonts w:hint="eastAsia" w:ascii="宋体" w:hAnsi="宋体"/>
                <w:b w:val="0"/>
                <w:bCs/>
                <w:color w:val="000000"/>
                <w:sz w:val="24"/>
                <w:highlight w:val="none"/>
                <w:shd w:val="clear" w:color="auto" w:fill="auto"/>
                <w:lang w:val="en-US" w:eastAsia="zh-CN"/>
              </w:rPr>
              <w:t>分</w:t>
            </w:r>
          </w:p>
        </w:tc>
        <w:tc>
          <w:tcPr>
            <w:tcW w:w="7519" w:type="dxa"/>
            <w:tcMar>
              <w:top w:w="28" w:type="dxa"/>
              <w:left w:w="108" w:type="dxa"/>
              <w:bottom w:w="28" w:type="dxa"/>
              <w:right w:w="108" w:type="dxa"/>
            </w:tcMar>
            <w:vAlign w:val="center"/>
          </w:tcPr>
          <w:p>
            <w:pPr>
              <w:widowControl/>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管理方案、制度完善，程序规范，责任明确，人员配置的合理</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（80人及以上得满分）</w:t>
            </w: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，具有可操作性</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w:t>
            </w:r>
          </w:p>
          <w:p>
            <w:pPr>
              <w:widowControl/>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管理方案、人员配置的合理且详细、具体的得10分；</w:t>
            </w:r>
          </w:p>
          <w:p>
            <w:pPr>
              <w:widowControl/>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管理方案、制度、人员配置的较合理，较详细、具体的得</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7</w:t>
            </w: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分；</w:t>
            </w:r>
          </w:p>
          <w:p>
            <w:pPr>
              <w:widowControl/>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管理方案、制度、人员配置的不够合理，不够详细、具体的得</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3</w:t>
            </w: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分</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w:t>
            </w:r>
          </w:p>
          <w:p>
            <w:pPr>
              <w:widowControl/>
              <w:rPr>
                <w:rFonts w:hint="default"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未提供不得分</w:t>
            </w:r>
            <w:r>
              <w:rPr>
                <w:rFonts w:hint="default" w:asciiTheme="minorEastAsia" w:hAnsiTheme="minorEastAsia" w:eastAsiaTheme="minorEastAsia" w:cstheme="minorEastAsia"/>
                <w:color w:val="000000" w:themeColor="text1"/>
                <w:kern w:val="0"/>
                <w:sz w:val="24"/>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507" w:type="dxa"/>
            <w:vAlign w:val="center"/>
          </w:tcPr>
          <w:p>
            <w:pPr>
              <w:widowControl/>
              <w:jc w:val="center"/>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设备投入</w:t>
            </w:r>
          </w:p>
        </w:tc>
        <w:tc>
          <w:tcPr>
            <w:tcW w:w="751" w:type="dxa"/>
            <w:tcMar>
              <w:top w:w="28" w:type="dxa"/>
              <w:left w:w="108" w:type="dxa"/>
              <w:bottom w:w="28" w:type="dxa"/>
              <w:right w:w="108" w:type="dxa"/>
            </w:tcMar>
            <w:vAlign w:val="center"/>
          </w:tcPr>
          <w:p>
            <w:pPr>
              <w:widowControl/>
              <w:jc w:val="cente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5分</w:t>
            </w:r>
          </w:p>
        </w:tc>
        <w:tc>
          <w:tcPr>
            <w:tcW w:w="7519" w:type="dxa"/>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设备完整、先进</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能够完全满足项目需求的得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5</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设备较完整、先进</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能够较好的满足项目需求的得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设备普通</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能够基本满足项目需求的得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507" w:type="dxa"/>
            <w:vAlign w:val="center"/>
          </w:tcPr>
          <w:p>
            <w:pPr>
              <w:widowControl/>
              <w:jc w:val="cente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车辆投入</w:t>
            </w:r>
          </w:p>
        </w:tc>
        <w:tc>
          <w:tcPr>
            <w:tcW w:w="751" w:type="dxa"/>
            <w:tcMar>
              <w:top w:w="28" w:type="dxa"/>
              <w:left w:w="108" w:type="dxa"/>
              <w:bottom w:w="28" w:type="dxa"/>
              <w:right w:w="108" w:type="dxa"/>
            </w:tcMar>
            <w:vAlign w:val="center"/>
          </w:tcPr>
          <w:p>
            <w:pPr>
              <w:widowControl/>
              <w:jc w:val="center"/>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2分</w:t>
            </w:r>
          </w:p>
        </w:tc>
        <w:tc>
          <w:tcPr>
            <w:tcW w:w="7519" w:type="dxa"/>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能够较好的满足项目需求的得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2</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p>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能够基本满足项目需求的得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w:t>
            </w: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分</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p>
          <w:p>
            <w:pPr>
              <w:widowControl/>
              <w:rPr>
                <w:rFonts w:hint="default"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507" w:type="dxa"/>
            <w:vAlign w:val="center"/>
          </w:tcPr>
          <w:p>
            <w:pPr>
              <w:widowControl/>
              <w:jc w:val="center"/>
              <w:rPr>
                <w:rFonts w:hint="default"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企业信用实力</w:t>
            </w:r>
          </w:p>
        </w:tc>
        <w:tc>
          <w:tcPr>
            <w:tcW w:w="751" w:type="dxa"/>
            <w:tcMar>
              <w:top w:w="28" w:type="dxa"/>
              <w:left w:w="108" w:type="dxa"/>
              <w:bottom w:w="28"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3分</w:t>
            </w:r>
          </w:p>
        </w:tc>
        <w:tc>
          <w:tcPr>
            <w:tcW w:w="7519" w:type="dxa"/>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具有质量管理体系认证证书、职业健康安全管理体系认证证书、 环境管理体系认证证书，每项得1分，满分3分。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07" w:type="dxa"/>
            <w:tcBorders>
              <w:right w:val="single" w:color="auto" w:sz="4" w:space="0"/>
            </w:tcBorders>
            <w:vAlign w:val="center"/>
          </w:tcPr>
          <w:p>
            <w:pPr>
              <w:widowControl/>
              <w:jc w:val="cente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优惠方案</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及承诺</w:t>
            </w:r>
          </w:p>
        </w:tc>
        <w:tc>
          <w:tcPr>
            <w:tcW w:w="751" w:type="dxa"/>
            <w:tcBorders>
              <w:left w:val="single" w:color="auto" w:sz="4" w:space="0"/>
              <w:right w:val="single" w:color="auto" w:sz="4" w:space="0"/>
            </w:tcBorders>
            <w:tcMar>
              <w:top w:w="28" w:type="dxa"/>
              <w:left w:w="108" w:type="dxa"/>
              <w:bottom w:w="28" w:type="dxa"/>
              <w:right w:w="108" w:type="dxa"/>
            </w:tcMar>
            <w:vAlign w:val="center"/>
          </w:tcPr>
          <w:p>
            <w:pPr>
              <w:widowControl/>
              <w:jc w:val="cente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2分</w:t>
            </w:r>
          </w:p>
        </w:tc>
        <w:tc>
          <w:tcPr>
            <w:tcW w:w="751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pPr>
              <w:widowControl/>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投标人承诺给与本项目的优惠方案及承诺切合实际，针对性强，优惠内容明确得2分；</w:t>
            </w:r>
          </w:p>
          <w:p>
            <w:pPr>
              <w:widowControl/>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承诺的优惠方案一般，不满足实际要求得1分；</w:t>
            </w:r>
          </w:p>
          <w:p>
            <w:pPr>
              <w:widowControl/>
              <w:rPr>
                <w:rFonts w:hint="default" w:asciiTheme="minorEastAsia" w:hAnsiTheme="minorEastAsia" w:eastAsiaTheme="minorEastAsia" w:cstheme="minorEastAsia"/>
                <w:color w:val="000000" w:themeColor="text1"/>
                <w:kern w:val="0"/>
                <w:sz w:val="24"/>
                <w:lang w:val="en-US"/>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未提供不得分</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07" w:type="dxa"/>
            <w:tcBorders>
              <w:right w:val="single" w:color="auto" w:sz="4" w:space="0"/>
            </w:tcBorders>
            <w:vAlign w:val="center"/>
          </w:tcPr>
          <w:p>
            <w:pPr>
              <w:widowControl/>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合理化建议</w:t>
            </w:r>
          </w:p>
        </w:tc>
        <w:tc>
          <w:tcPr>
            <w:tcW w:w="751" w:type="dxa"/>
            <w:tcBorders>
              <w:left w:val="single" w:color="auto" w:sz="4" w:space="0"/>
              <w:right w:val="single" w:color="auto" w:sz="4" w:space="0"/>
            </w:tcBorders>
            <w:tcMar>
              <w:top w:w="28" w:type="dxa"/>
              <w:left w:w="108" w:type="dxa"/>
              <w:bottom w:w="28"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2分</w:t>
            </w:r>
          </w:p>
        </w:tc>
        <w:tc>
          <w:tcPr>
            <w:tcW w:w="751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pPr>
              <w:widowControl/>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对本项目有合理化的建议得2分；</w:t>
            </w:r>
          </w:p>
          <w:p>
            <w:pPr>
              <w:widowControl/>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t>未提供不得分</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07" w:type="dxa"/>
            <w:tcBorders>
              <w:right w:val="single" w:color="auto" w:sz="4" w:space="0"/>
            </w:tcBorders>
            <w:vAlign w:val="center"/>
          </w:tcPr>
          <w:p>
            <w:pPr>
              <w:widowControl/>
              <w:jc w:val="center"/>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业绩</w:t>
            </w:r>
          </w:p>
        </w:tc>
        <w:tc>
          <w:tcPr>
            <w:tcW w:w="751" w:type="dxa"/>
            <w:tcBorders>
              <w:left w:val="single" w:color="auto" w:sz="4" w:space="0"/>
              <w:right w:val="single" w:color="auto" w:sz="4" w:space="0"/>
            </w:tcBorders>
            <w:tcMar>
              <w:top w:w="28" w:type="dxa"/>
              <w:left w:w="108" w:type="dxa"/>
              <w:bottom w:w="28" w:type="dxa"/>
              <w:right w:w="108" w:type="dxa"/>
            </w:tcMar>
            <w:vAlign w:val="center"/>
          </w:tcPr>
          <w:p>
            <w:pPr>
              <w:widowControl/>
              <w:jc w:val="cente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6分</w:t>
            </w:r>
          </w:p>
        </w:tc>
        <w:tc>
          <w:tcPr>
            <w:tcW w:w="751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pPr>
              <w:widowControl/>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投标人提供</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近三年（投标截止之日起向前推算）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类似业绩（绿化工程或绿化养护类业绩，需提供合同或中标通知书），每提供一项类似业绩得2分，最多得6分。</w:t>
            </w:r>
          </w:p>
        </w:tc>
      </w:tr>
    </w:tbl>
    <w:p>
      <w:pPr>
        <w:spacing w:line="440" w:lineRule="exact"/>
        <w:ind w:firstLine="480" w:firstLineChars="200"/>
        <w:rPr>
          <w:rFonts w:ascii="宋体" w:hAnsi="宋体" w:cs="宋体"/>
          <w:b/>
          <w:sz w:val="24"/>
        </w:rPr>
      </w:pPr>
      <w:r>
        <w:rPr>
          <w:rFonts w:hint="eastAsia" w:ascii="宋体" w:hAnsi="宋体" w:cs="宋体"/>
          <w:b/>
          <w:sz w:val="24"/>
        </w:rPr>
        <w:t>四、招标注意事项</w:t>
      </w:r>
    </w:p>
    <w:p>
      <w:pPr>
        <w:spacing w:line="440" w:lineRule="exact"/>
        <w:ind w:firstLine="480" w:firstLineChars="200"/>
        <w:rPr>
          <w:rFonts w:ascii="宋体" w:hAnsi="宋体" w:cs="宋体"/>
          <w:sz w:val="24"/>
        </w:rPr>
      </w:pPr>
      <w:r>
        <w:rPr>
          <w:rFonts w:hint="eastAsia" w:ascii="宋体" w:hAnsi="宋体" w:cs="宋体"/>
          <w:sz w:val="24"/>
        </w:rPr>
        <w:t>4.1投标时，投标人应派代表在指定的地点参加投标。投标人人员必须及时解释和澄清投标文件内容，并以书面的形式签署确定等。</w:t>
      </w:r>
    </w:p>
    <w:p>
      <w:pPr>
        <w:spacing w:line="440" w:lineRule="exact"/>
        <w:ind w:firstLine="480" w:firstLineChars="200"/>
        <w:rPr>
          <w:rFonts w:ascii="宋体" w:hAnsi="宋体" w:cs="宋体"/>
          <w:sz w:val="24"/>
        </w:rPr>
      </w:pPr>
      <w:r>
        <w:rPr>
          <w:rFonts w:hint="eastAsia" w:ascii="宋体" w:hAnsi="宋体" w:cs="宋体"/>
          <w:sz w:val="24"/>
        </w:rPr>
        <w:t>4.2评审时如发现投标人的报价明显高于其市场报价或低于成本价的，应要求该投标人书面说明并提供相关证明材料。该投标人不能合理说明原因并提供证明材料的，评审小组应将该投标人的采购投标文件作无效处理，同时采购组织机构应将该情况报同级财政部门，并视情将其列入不良投标人名单。</w:t>
      </w:r>
    </w:p>
    <w:p>
      <w:pPr>
        <w:spacing w:line="440" w:lineRule="exact"/>
        <w:ind w:firstLine="480" w:firstLineChars="200"/>
        <w:rPr>
          <w:rFonts w:ascii="宋体" w:hAnsi="宋体" w:cs="宋体"/>
          <w:b/>
          <w:sz w:val="24"/>
        </w:rPr>
      </w:pPr>
      <w:r>
        <w:rPr>
          <w:rFonts w:hint="eastAsia" w:ascii="宋体" w:hAnsi="宋体" w:cs="宋体"/>
          <w:b/>
          <w:sz w:val="24"/>
        </w:rPr>
        <w:t>五、评定纪律</w:t>
      </w:r>
    </w:p>
    <w:p>
      <w:pPr>
        <w:spacing w:line="440" w:lineRule="exact"/>
        <w:ind w:firstLine="480" w:firstLineChars="200"/>
        <w:rPr>
          <w:rFonts w:ascii="宋体" w:hAnsi="宋体" w:cs="宋体"/>
          <w:sz w:val="24"/>
        </w:rPr>
      </w:pPr>
      <w:r>
        <w:rPr>
          <w:rFonts w:hint="eastAsia" w:ascii="宋体" w:hAnsi="宋体" w:cs="宋体"/>
          <w:sz w:val="24"/>
        </w:rPr>
        <w:t>5.1评审小组必须公平、公正评定；遵纪守法，客观、廉洁地履行职责；</w:t>
      </w:r>
    </w:p>
    <w:p>
      <w:pPr>
        <w:spacing w:line="440" w:lineRule="exact"/>
        <w:ind w:firstLine="480" w:firstLineChars="200"/>
        <w:rPr>
          <w:rFonts w:ascii="宋体" w:hAnsi="宋体" w:cs="宋体"/>
          <w:sz w:val="24"/>
        </w:rPr>
      </w:pPr>
      <w:r>
        <w:rPr>
          <w:rFonts w:hint="eastAsia" w:ascii="宋体" w:hAnsi="宋体" w:cs="宋体"/>
          <w:sz w:val="24"/>
        </w:rPr>
        <w:t>5.2评审小组在评定开始前，应关闭随身携带的各种通信工具；</w:t>
      </w:r>
    </w:p>
    <w:p>
      <w:pPr>
        <w:spacing w:line="440" w:lineRule="exact"/>
        <w:ind w:firstLine="480" w:firstLineChars="200"/>
        <w:rPr>
          <w:rFonts w:ascii="宋体" w:hAnsi="宋体" w:cs="宋体"/>
          <w:sz w:val="24"/>
        </w:rPr>
      </w:pPr>
      <w:r>
        <w:rPr>
          <w:rFonts w:hint="eastAsia" w:ascii="宋体" w:hAnsi="宋体" w:cs="宋体"/>
          <w:sz w:val="24"/>
        </w:rPr>
        <w:t>5.3评审小组在评定过程中，未经许可不得中途离开评定现场，不得迟到早退；</w:t>
      </w:r>
    </w:p>
    <w:p>
      <w:pPr>
        <w:spacing w:line="440" w:lineRule="exact"/>
        <w:ind w:firstLine="480" w:firstLineChars="200"/>
        <w:rPr>
          <w:rFonts w:ascii="宋体" w:hAnsi="宋体" w:cs="宋体"/>
          <w:sz w:val="24"/>
        </w:rPr>
      </w:pPr>
      <w:r>
        <w:rPr>
          <w:rFonts w:hint="eastAsia" w:ascii="宋体" w:hAnsi="宋体" w:cs="宋体"/>
          <w:sz w:val="24"/>
        </w:rPr>
        <w:t>5.4评审小组和工作人员不得透露评定过程中的讨论情况和评定结果。</w:t>
      </w:r>
    </w:p>
    <w:p>
      <w:pPr>
        <w:spacing w:line="440" w:lineRule="exact"/>
        <w:ind w:firstLine="480" w:firstLineChars="200"/>
        <w:rPr>
          <w:rFonts w:ascii="宋体" w:hAnsi="宋体" w:cs="宋体"/>
          <w:sz w:val="24"/>
        </w:rPr>
      </w:pPr>
      <w:r>
        <w:rPr>
          <w:rFonts w:hint="eastAsia" w:ascii="宋体" w:hAnsi="宋体" w:cs="宋体"/>
          <w:sz w:val="24"/>
        </w:rPr>
        <w:t>5.5评审小组应当对照招标文件规定的条件和标准，对各投标人投标文件的合格性、完整性和有效性进行审查、比较和评估，其中对投标人的资格条件、主要技术参数、商务报价和其他评审要素等，评审专家应逐项进行审查、比较，不得漏评少评。如发现与采购文件要求相偏离的，应对其偏离情形进行必要的核实，并在评审报告中予以说明；如属于实质性偏离或符合无效响应条件的，应当询问投标人，并允许投标人进行陈述申辩，但不允许其对偏离条款时行补充、修正或搞撤回。</w:t>
      </w:r>
    </w:p>
    <w:p>
      <w:pPr>
        <w:spacing w:line="440" w:lineRule="exact"/>
        <w:ind w:firstLine="480" w:firstLineChars="200"/>
        <w:rPr>
          <w:rFonts w:ascii="宋体" w:hAnsi="宋体" w:cs="宋体"/>
          <w:sz w:val="24"/>
        </w:rPr>
      </w:pPr>
      <w:r>
        <w:rPr>
          <w:rFonts w:hint="eastAsia" w:ascii="宋体" w:hAnsi="宋体" w:cs="宋体"/>
          <w:sz w:val="24"/>
        </w:rPr>
        <w:t>5.6评审小组在评定过程中不得将自己的观点，强加给其他评审小组，评审小组应自主发表见解，对评审意见承担个人责任。</w:t>
      </w:r>
    </w:p>
    <w:p>
      <w:pPr>
        <w:spacing w:line="440" w:lineRule="exact"/>
        <w:ind w:firstLine="480" w:firstLineChars="200"/>
        <w:rPr>
          <w:rFonts w:ascii="宋体" w:hAnsi="宋体" w:cs="宋体"/>
          <w:sz w:val="24"/>
        </w:rPr>
      </w:pPr>
      <w:r>
        <w:rPr>
          <w:rFonts w:hint="eastAsia" w:ascii="宋体" w:hAnsi="宋体" w:cs="宋体"/>
          <w:sz w:val="24"/>
        </w:rPr>
        <w:t>5.7评审小组应根据评定办法确定项目得分，并参与评标报告的起草，按评定原则推荐1-3名中标候选人。</w:t>
      </w:r>
    </w:p>
    <w:p>
      <w:pPr>
        <w:spacing w:line="440" w:lineRule="exact"/>
        <w:ind w:firstLine="480" w:firstLineChars="200"/>
        <w:rPr>
          <w:rFonts w:ascii="宋体" w:hAnsi="宋体" w:cs="宋体"/>
          <w:sz w:val="24"/>
        </w:rPr>
      </w:pPr>
      <w:r>
        <w:rPr>
          <w:rFonts w:hint="eastAsia" w:ascii="宋体" w:hAnsi="宋体" w:cs="宋体"/>
          <w:sz w:val="24"/>
        </w:rPr>
        <w:t>5.8各评审人员应当独立、客观、公正地提出评审意见，不得带有倾向性，不得影响其他人员评审，并在评标报告上签字；如对评标报告有异议的，可以在报告上签署不同意见，并说明理由，否则将视为同意。</w:t>
      </w:r>
    </w:p>
    <w:p>
      <w:pPr>
        <w:spacing w:line="440" w:lineRule="exact"/>
        <w:ind w:firstLine="480" w:firstLineChars="200"/>
        <w:rPr>
          <w:rFonts w:ascii="宋体" w:hAnsi="宋体" w:cs="宋体"/>
          <w:sz w:val="24"/>
        </w:rPr>
      </w:pPr>
      <w:r>
        <w:rPr>
          <w:rFonts w:hint="eastAsia" w:ascii="宋体" w:hAnsi="宋体" w:cs="宋体"/>
          <w:sz w:val="24"/>
        </w:rPr>
        <w:t>5.9配合财政部门的投诉处理工作。</w:t>
      </w:r>
    </w:p>
    <w:p>
      <w:pPr>
        <w:spacing w:line="440" w:lineRule="exact"/>
        <w:ind w:firstLine="480" w:firstLineChars="200"/>
        <w:rPr>
          <w:rFonts w:ascii="宋体" w:hAnsi="宋体" w:cs="宋体"/>
          <w:sz w:val="24"/>
        </w:rPr>
      </w:pPr>
      <w:r>
        <w:rPr>
          <w:rFonts w:hint="eastAsia" w:ascii="宋体" w:hAnsi="宋体" w:cs="宋体"/>
          <w:sz w:val="24"/>
        </w:rPr>
        <w:t>5.10配合采购代理机构单位答复投标人提出的质疑。</w:t>
      </w:r>
    </w:p>
    <w:p>
      <w:pPr>
        <w:spacing w:line="440" w:lineRule="exact"/>
        <w:ind w:firstLine="480" w:firstLineChars="200"/>
        <w:rPr>
          <w:rFonts w:ascii="宋体" w:hAnsi="宋体" w:cs="宋体"/>
          <w:sz w:val="24"/>
        </w:rPr>
      </w:pPr>
      <w:r>
        <w:rPr>
          <w:rFonts w:hint="eastAsia" w:ascii="宋体" w:hAnsi="宋体" w:cs="宋体"/>
          <w:sz w:val="24"/>
        </w:rPr>
        <w:t>5.11评定委员会成员有如下行为之一的，责令改正，给予警告，可以并处一千元以下的罚款：</w:t>
      </w:r>
    </w:p>
    <w:p>
      <w:pPr>
        <w:spacing w:line="440" w:lineRule="exact"/>
        <w:ind w:firstLine="480" w:firstLineChars="200"/>
        <w:rPr>
          <w:rFonts w:ascii="宋体" w:hAnsi="宋体" w:cs="宋体"/>
          <w:sz w:val="24"/>
        </w:rPr>
      </w:pPr>
      <w:r>
        <w:rPr>
          <w:rFonts w:hint="eastAsia" w:ascii="宋体" w:hAnsi="宋体" w:cs="宋体"/>
          <w:sz w:val="24"/>
        </w:rPr>
        <w:t>5.11.1明知应当回避而未主动回避的；</w:t>
      </w:r>
    </w:p>
    <w:p>
      <w:pPr>
        <w:spacing w:line="440" w:lineRule="exact"/>
        <w:ind w:firstLine="480" w:firstLineChars="200"/>
        <w:rPr>
          <w:rFonts w:ascii="宋体" w:hAnsi="宋体" w:cs="宋体"/>
          <w:sz w:val="24"/>
        </w:rPr>
      </w:pPr>
      <w:r>
        <w:rPr>
          <w:rFonts w:hint="eastAsia" w:ascii="宋体" w:hAnsi="宋体" w:cs="宋体"/>
          <w:sz w:val="24"/>
        </w:rPr>
        <w:t>5.11.2在知道自己为评审小组身份后至评定结束前的时段内私下接触投标人的；</w:t>
      </w:r>
    </w:p>
    <w:p>
      <w:pPr>
        <w:spacing w:line="440" w:lineRule="exact"/>
        <w:ind w:firstLine="480" w:firstLineChars="200"/>
        <w:rPr>
          <w:rFonts w:ascii="宋体" w:hAnsi="宋体" w:cs="宋体"/>
          <w:sz w:val="24"/>
        </w:rPr>
      </w:pPr>
      <w:r>
        <w:rPr>
          <w:rFonts w:hint="eastAsia" w:ascii="宋体" w:hAnsi="宋体" w:cs="宋体"/>
          <w:sz w:val="24"/>
        </w:rPr>
        <w:t>5.11.3在评定过程中擅离职守，影响评定程序正常进行的；</w:t>
      </w:r>
    </w:p>
    <w:p>
      <w:pPr>
        <w:spacing w:line="440" w:lineRule="exact"/>
        <w:ind w:firstLine="480" w:firstLineChars="200"/>
        <w:rPr>
          <w:rFonts w:ascii="宋体" w:hAnsi="宋体" w:cs="宋体"/>
          <w:sz w:val="24"/>
        </w:rPr>
      </w:pPr>
      <w:r>
        <w:rPr>
          <w:rFonts w:hint="eastAsia" w:ascii="宋体" w:hAnsi="宋体" w:cs="宋体"/>
          <w:sz w:val="24"/>
        </w:rPr>
        <w:t>5.11.4在评定过程有明显不合理或者不正当倾向性的；</w:t>
      </w:r>
    </w:p>
    <w:p>
      <w:pPr>
        <w:spacing w:line="440" w:lineRule="exact"/>
        <w:ind w:firstLine="480" w:firstLineChars="200"/>
        <w:rPr>
          <w:rFonts w:hint="eastAsia" w:ascii="宋体" w:hAnsi="宋体" w:cs="宋体"/>
          <w:sz w:val="24"/>
        </w:rPr>
      </w:pPr>
      <w:r>
        <w:rPr>
          <w:rFonts w:hint="eastAsia" w:ascii="宋体" w:hAnsi="宋体" w:cs="宋体"/>
          <w:sz w:val="24"/>
        </w:rPr>
        <w:t xml:space="preserve">5.11.5未按招标文件规定的评定方法和标准进行评定的。 </w:t>
      </w:r>
    </w:p>
    <w:p/>
    <w:sectPr>
      <w:headerReference r:id="rId7" w:type="default"/>
      <w:footerReference r:id="rId8" w:type="default"/>
      <w:pgSz w:w="11906" w:h="16838"/>
      <w:pgMar w:top="993" w:right="1080" w:bottom="1440" w:left="1080" w:header="4" w:footer="567"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Angsana New">
    <w:altName w:val="Times New Roman"/>
    <w:panose1 w:val="02020603050405020304"/>
    <w:charset w:val="00"/>
    <w:family w:val="roman"/>
    <w:pitch w:val="default"/>
    <w:sig w:usb0="00000000" w:usb1="00000000" w:usb2="00000000" w:usb3="00000000" w:csb0="0001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crosoft Uighur">
    <w:altName w:val="Trebuchet MS"/>
    <w:panose1 w:val="02000000000000000000"/>
    <w:charset w:val="00"/>
    <w:family w:val="auto"/>
    <w:pitch w:val="default"/>
    <w:sig w:usb0="00000000" w:usb1="00000000" w:usb2="00000008" w:usb3="00000000" w:csb0="0000004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rPr>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ascii="仿宋_GB2312" w:hAnsi="华文楷体" w:eastAsia="仿宋_GB2312"/>
        <w:b/>
        <w:bCs/>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3C69CF"/>
    <w:multiLevelType w:val="singleLevel"/>
    <w:tmpl w:val="543C69CF"/>
    <w:lvl w:ilvl="0" w:tentative="0">
      <w:start w:val="6"/>
      <w:numFmt w:val="chineseCounting"/>
      <w:suff w:val="space"/>
      <w:lvlText w:val="第%1部分"/>
      <w:lvlJc w:val="left"/>
      <w:rPr>
        <w:rFonts w:hint="eastAsia"/>
      </w:rPr>
    </w:lvl>
  </w:abstractNum>
  <w:abstractNum w:abstractNumId="1">
    <w:nsid w:val="64487842"/>
    <w:multiLevelType w:val="multilevel"/>
    <w:tmpl w:val="64487842"/>
    <w:lvl w:ilvl="0" w:tentative="0">
      <w:start w:val="1"/>
      <w:numFmt w:val="decimal"/>
      <w:pStyle w:val="7"/>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0E499E"/>
    <w:multiLevelType w:val="multilevel"/>
    <w:tmpl w:val="6F0E499E"/>
    <w:lvl w:ilvl="0" w:tentative="0">
      <w:start w:val="1"/>
      <w:numFmt w:val="decimal"/>
      <w:pStyle w:val="6"/>
      <w:lvlText w:val="%1、"/>
      <w:lvlJc w:val="left"/>
      <w:pPr>
        <w:ind w:left="704" w:hanging="420"/>
      </w:pPr>
      <w:rPr>
        <w:rFonts w:hint="default"/>
      </w:rPr>
    </w:lvl>
    <w:lvl w:ilvl="1" w:tentative="0">
      <w:start w:val="1"/>
      <w:numFmt w:val="lowerLetter"/>
      <w:lvlText w:val="%2)"/>
      <w:lvlJc w:val="left"/>
      <w:pPr>
        <w:ind w:left="5094" w:hanging="420"/>
      </w:pPr>
    </w:lvl>
    <w:lvl w:ilvl="2" w:tentative="0">
      <w:start w:val="1"/>
      <w:numFmt w:val="lowerRoman"/>
      <w:lvlText w:val="%3."/>
      <w:lvlJc w:val="right"/>
      <w:pPr>
        <w:ind w:left="5514" w:hanging="420"/>
      </w:pPr>
    </w:lvl>
    <w:lvl w:ilvl="3" w:tentative="0">
      <w:start w:val="1"/>
      <w:numFmt w:val="decimal"/>
      <w:lvlText w:val="%4."/>
      <w:lvlJc w:val="left"/>
      <w:pPr>
        <w:ind w:left="5934" w:hanging="420"/>
      </w:pPr>
    </w:lvl>
    <w:lvl w:ilvl="4" w:tentative="0">
      <w:start w:val="1"/>
      <w:numFmt w:val="lowerLetter"/>
      <w:lvlText w:val="%5)"/>
      <w:lvlJc w:val="left"/>
      <w:pPr>
        <w:ind w:left="6354" w:hanging="420"/>
      </w:pPr>
    </w:lvl>
    <w:lvl w:ilvl="5" w:tentative="0">
      <w:start w:val="1"/>
      <w:numFmt w:val="lowerRoman"/>
      <w:lvlText w:val="%6."/>
      <w:lvlJc w:val="right"/>
      <w:pPr>
        <w:ind w:left="6774" w:hanging="420"/>
      </w:pPr>
    </w:lvl>
    <w:lvl w:ilvl="6" w:tentative="0">
      <w:start w:val="1"/>
      <w:numFmt w:val="decimal"/>
      <w:lvlText w:val="%7."/>
      <w:lvlJc w:val="left"/>
      <w:pPr>
        <w:ind w:left="7194" w:hanging="420"/>
      </w:pPr>
    </w:lvl>
    <w:lvl w:ilvl="7" w:tentative="0">
      <w:start w:val="1"/>
      <w:numFmt w:val="lowerLetter"/>
      <w:lvlText w:val="%8)"/>
      <w:lvlJc w:val="left"/>
      <w:pPr>
        <w:ind w:left="7614" w:hanging="420"/>
      </w:pPr>
    </w:lvl>
    <w:lvl w:ilvl="8" w:tentative="0">
      <w:start w:val="1"/>
      <w:numFmt w:val="lowerRoman"/>
      <w:lvlText w:val="%9."/>
      <w:lvlJc w:val="right"/>
      <w:pPr>
        <w:ind w:left="803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Mjk2YWZiM2NlMTAwMTM1MjA5YTRhNWNiNjA3YjcifQ=="/>
  </w:docVars>
  <w:rsids>
    <w:rsidRoot w:val="04A10F5C"/>
    <w:rsid w:val="00025388"/>
    <w:rsid w:val="000423BA"/>
    <w:rsid w:val="000759A5"/>
    <w:rsid w:val="00080820"/>
    <w:rsid w:val="00094D67"/>
    <w:rsid w:val="000955B0"/>
    <w:rsid w:val="000E0E13"/>
    <w:rsid w:val="000E144D"/>
    <w:rsid w:val="000E3FC3"/>
    <w:rsid w:val="000E411D"/>
    <w:rsid w:val="001009ED"/>
    <w:rsid w:val="00124C2E"/>
    <w:rsid w:val="00131FC5"/>
    <w:rsid w:val="001452DA"/>
    <w:rsid w:val="001705D7"/>
    <w:rsid w:val="001C379F"/>
    <w:rsid w:val="001D2F6F"/>
    <w:rsid w:val="001F4C71"/>
    <w:rsid w:val="00270CEC"/>
    <w:rsid w:val="00280B1B"/>
    <w:rsid w:val="0028565E"/>
    <w:rsid w:val="002A316A"/>
    <w:rsid w:val="002A7346"/>
    <w:rsid w:val="002B0F3C"/>
    <w:rsid w:val="002F09E1"/>
    <w:rsid w:val="00304A7E"/>
    <w:rsid w:val="00352FE0"/>
    <w:rsid w:val="00354510"/>
    <w:rsid w:val="00356005"/>
    <w:rsid w:val="00374080"/>
    <w:rsid w:val="00376872"/>
    <w:rsid w:val="00377EFE"/>
    <w:rsid w:val="003925CB"/>
    <w:rsid w:val="003A3AEF"/>
    <w:rsid w:val="003D6A01"/>
    <w:rsid w:val="0041192A"/>
    <w:rsid w:val="00417DD7"/>
    <w:rsid w:val="00423D60"/>
    <w:rsid w:val="0046293C"/>
    <w:rsid w:val="00473F00"/>
    <w:rsid w:val="00496CCE"/>
    <w:rsid w:val="004A5330"/>
    <w:rsid w:val="004B25A2"/>
    <w:rsid w:val="004D592C"/>
    <w:rsid w:val="004E0F63"/>
    <w:rsid w:val="004F3314"/>
    <w:rsid w:val="005139AD"/>
    <w:rsid w:val="00522057"/>
    <w:rsid w:val="005535BF"/>
    <w:rsid w:val="005606BA"/>
    <w:rsid w:val="00572B40"/>
    <w:rsid w:val="00587C54"/>
    <w:rsid w:val="00595FBC"/>
    <w:rsid w:val="005B2260"/>
    <w:rsid w:val="005C6A18"/>
    <w:rsid w:val="005D3880"/>
    <w:rsid w:val="005F6E15"/>
    <w:rsid w:val="00614BCB"/>
    <w:rsid w:val="00614FB5"/>
    <w:rsid w:val="00630321"/>
    <w:rsid w:val="00671D07"/>
    <w:rsid w:val="00674899"/>
    <w:rsid w:val="006818C1"/>
    <w:rsid w:val="006A47A7"/>
    <w:rsid w:val="006B3A30"/>
    <w:rsid w:val="006B5DFC"/>
    <w:rsid w:val="006D695D"/>
    <w:rsid w:val="006F433D"/>
    <w:rsid w:val="006F68F1"/>
    <w:rsid w:val="0070030F"/>
    <w:rsid w:val="00735D4F"/>
    <w:rsid w:val="00740B71"/>
    <w:rsid w:val="00746AE7"/>
    <w:rsid w:val="007B53CD"/>
    <w:rsid w:val="007D5EB3"/>
    <w:rsid w:val="007F015C"/>
    <w:rsid w:val="007F4A9F"/>
    <w:rsid w:val="00815C31"/>
    <w:rsid w:val="00821789"/>
    <w:rsid w:val="00826009"/>
    <w:rsid w:val="00835472"/>
    <w:rsid w:val="008725A3"/>
    <w:rsid w:val="008C651E"/>
    <w:rsid w:val="008D1543"/>
    <w:rsid w:val="008F1784"/>
    <w:rsid w:val="00902E92"/>
    <w:rsid w:val="009230BA"/>
    <w:rsid w:val="00923438"/>
    <w:rsid w:val="009615A1"/>
    <w:rsid w:val="00970733"/>
    <w:rsid w:val="00A25A08"/>
    <w:rsid w:val="00A83AD0"/>
    <w:rsid w:val="00AC09FC"/>
    <w:rsid w:val="00AD5837"/>
    <w:rsid w:val="00AE75C4"/>
    <w:rsid w:val="00B03E26"/>
    <w:rsid w:val="00B14DB4"/>
    <w:rsid w:val="00B32B72"/>
    <w:rsid w:val="00B37484"/>
    <w:rsid w:val="00B5323E"/>
    <w:rsid w:val="00B63A66"/>
    <w:rsid w:val="00B708C9"/>
    <w:rsid w:val="00B8118E"/>
    <w:rsid w:val="00BA256F"/>
    <w:rsid w:val="00BC46D9"/>
    <w:rsid w:val="00BD5D7F"/>
    <w:rsid w:val="00C51C42"/>
    <w:rsid w:val="00CD094A"/>
    <w:rsid w:val="00D030BB"/>
    <w:rsid w:val="00D344B7"/>
    <w:rsid w:val="00D40CCD"/>
    <w:rsid w:val="00D5285B"/>
    <w:rsid w:val="00DD6500"/>
    <w:rsid w:val="00DF4433"/>
    <w:rsid w:val="00E01495"/>
    <w:rsid w:val="00E0260A"/>
    <w:rsid w:val="00E11A29"/>
    <w:rsid w:val="00E15163"/>
    <w:rsid w:val="00E15234"/>
    <w:rsid w:val="00E2349B"/>
    <w:rsid w:val="00E24262"/>
    <w:rsid w:val="00E348E1"/>
    <w:rsid w:val="00E52194"/>
    <w:rsid w:val="00EC52C3"/>
    <w:rsid w:val="00EF550D"/>
    <w:rsid w:val="00F06C7B"/>
    <w:rsid w:val="00F1543D"/>
    <w:rsid w:val="00F41FC5"/>
    <w:rsid w:val="00F42B57"/>
    <w:rsid w:val="00F62216"/>
    <w:rsid w:val="00F63F5A"/>
    <w:rsid w:val="00F73896"/>
    <w:rsid w:val="00FA4EBD"/>
    <w:rsid w:val="00FD2601"/>
    <w:rsid w:val="00FD7E74"/>
    <w:rsid w:val="00FE394E"/>
    <w:rsid w:val="00FE6902"/>
    <w:rsid w:val="00FE6A9D"/>
    <w:rsid w:val="00FF6DE1"/>
    <w:rsid w:val="01211AD4"/>
    <w:rsid w:val="012D2A7A"/>
    <w:rsid w:val="01534979"/>
    <w:rsid w:val="0156177E"/>
    <w:rsid w:val="015C1D7C"/>
    <w:rsid w:val="0174398E"/>
    <w:rsid w:val="018A6BE2"/>
    <w:rsid w:val="019B2EF9"/>
    <w:rsid w:val="01A06E9D"/>
    <w:rsid w:val="01C831C4"/>
    <w:rsid w:val="01E160C9"/>
    <w:rsid w:val="01E50D53"/>
    <w:rsid w:val="023458FA"/>
    <w:rsid w:val="02647ECA"/>
    <w:rsid w:val="02780693"/>
    <w:rsid w:val="02AF7D72"/>
    <w:rsid w:val="02B7510C"/>
    <w:rsid w:val="02D45050"/>
    <w:rsid w:val="02FC1D07"/>
    <w:rsid w:val="03012D45"/>
    <w:rsid w:val="032064E7"/>
    <w:rsid w:val="03326D42"/>
    <w:rsid w:val="034F43D4"/>
    <w:rsid w:val="03597303"/>
    <w:rsid w:val="035D6DC5"/>
    <w:rsid w:val="03AE265E"/>
    <w:rsid w:val="041800B5"/>
    <w:rsid w:val="046B5540"/>
    <w:rsid w:val="04730898"/>
    <w:rsid w:val="04A10F5C"/>
    <w:rsid w:val="04A44EF6"/>
    <w:rsid w:val="04D8694E"/>
    <w:rsid w:val="04FF212C"/>
    <w:rsid w:val="05017C52"/>
    <w:rsid w:val="051D1CC1"/>
    <w:rsid w:val="05341DD6"/>
    <w:rsid w:val="053915D1"/>
    <w:rsid w:val="057B4A25"/>
    <w:rsid w:val="058B25AC"/>
    <w:rsid w:val="059705B7"/>
    <w:rsid w:val="05C553A5"/>
    <w:rsid w:val="05DB4D76"/>
    <w:rsid w:val="063B53E6"/>
    <w:rsid w:val="063D115E"/>
    <w:rsid w:val="065F4D96"/>
    <w:rsid w:val="06670810"/>
    <w:rsid w:val="06943F80"/>
    <w:rsid w:val="06AA1A32"/>
    <w:rsid w:val="06C278B5"/>
    <w:rsid w:val="06C87947"/>
    <w:rsid w:val="06CC603E"/>
    <w:rsid w:val="06EB13F0"/>
    <w:rsid w:val="075306D3"/>
    <w:rsid w:val="07623775"/>
    <w:rsid w:val="078604E1"/>
    <w:rsid w:val="078E1545"/>
    <w:rsid w:val="079223B4"/>
    <w:rsid w:val="07CB3F4E"/>
    <w:rsid w:val="07EE2A40"/>
    <w:rsid w:val="082223BA"/>
    <w:rsid w:val="083A61D5"/>
    <w:rsid w:val="084F1FE0"/>
    <w:rsid w:val="085608FD"/>
    <w:rsid w:val="08701417"/>
    <w:rsid w:val="087E07B8"/>
    <w:rsid w:val="08941AA5"/>
    <w:rsid w:val="08BC7646"/>
    <w:rsid w:val="08C23B9D"/>
    <w:rsid w:val="08CA572C"/>
    <w:rsid w:val="08CB0CA3"/>
    <w:rsid w:val="08EF122D"/>
    <w:rsid w:val="091004C6"/>
    <w:rsid w:val="09137F54"/>
    <w:rsid w:val="092E24FE"/>
    <w:rsid w:val="09304FAA"/>
    <w:rsid w:val="096C6BA2"/>
    <w:rsid w:val="098470A4"/>
    <w:rsid w:val="098E057A"/>
    <w:rsid w:val="0990452D"/>
    <w:rsid w:val="09944DDA"/>
    <w:rsid w:val="09AC2584"/>
    <w:rsid w:val="09FE6AEA"/>
    <w:rsid w:val="0A3665F0"/>
    <w:rsid w:val="0A725D8F"/>
    <w:rsid w:val="0A7C3D9F"/>
    <w:rsid w:val="0A9934A8"/>
    <w:rsid w:val="0AB92482"/>
    <w:rsid w:val="0B1361DB"/>
    <w:rsid w:val="0B2F3D58"/>
    <w:rsid w:val="0B3C7C36"/>
    <w:rsid w:val="0B651A09"/>
    <w:rsid w:val="0B6D4294"/>
    <w:rsid w:val="0BB537FB"/>
    <w:rsid w:val="0BBA7D82"/>
    <w:rsid w:val="0BC85764"/>
    <w:rsid w:val="0BE15762"/>
    <w:rsid w:val="0BE91440"/>
    <w:rsid w:val="0BFC2234"/>
    <w:rsid w:val="0BFF5B37"/>
    <w:rsid w:val="0C0B7CD8"/>
    <w:rsid w:val="0C1F2F11"/>
    <w:rsid w:val="0C660306"/>
    <w:rsid w:val="0C66480D"/>
    <w:rsid w:val="0C692E54"/>
    <w:rsid w:val="0C7C7FF7"/>
    <w:rsid w:val="0C842572"/>
    <w:rsid w:val="0C8B665C"/>
    <w:rsid w:val="0C944FBF"/>
    <w:rsid w:val="0CB53909"/>
    <w:rsid w:val="0CCA3020"/>
    <w:rsid w:val="0CCF21BE"/>
    <w:rsid w:val="0CE43377"/>
    <w:rsid w:val="0D0522AA"/>
    <w:rsid w:val="0D465956"/>
    <w:rsid w:val="0D4E1D85"/>
    <w:rsid w:val="0D576FA9"/>
    <w:rsid w:val="0D984ECC"/>
    <w:rsid w:val="0DC567F0"/>
    <w:rsid w:val="0DC8579F"/>
    <w:rsid w:val="0DD0598D"/>
    <w:rsid w:val="0DD55107"/>
    <w:rsid w:val="0DEC6F5F"/>
    <w:rsid w:val="0E0F1632"/>
    <w:rsid w:val="0E303356"/>
    <w:rsid w:val="0E574D87"/>
    <w:rsid w:val="0E6B25E0"/>
    <w:rsid w:val="0E770F85"/>
    <w:rsid w:val="0E7B120A"/>
    <w:rsid w:val="0EBA0110"/>
    <w:rsid w:val="0EBE394A"/>
    <w:rsid w:val="0F10078F"/>
    <w:rsid w:val="0F2F3E65"/>
    <w:rsid w:val="0F580DB7"/>
    <w:rsid w:val="0F6F19F5"/>
    <w:rsid w:val="0F7F6343"/>
    <w:rsid w:val="0F86221E"/>
    <w:rsid w:val="0F9D2E3B"/>
    <w:rsid w:val="0FCB06D7"/>
    <w:rsid w:val="0FD001C2"/>
    <w:rsid w:val="10240C99"/>
    <w:rsid w:val="104430E9"/>
    <w:rsid w:val="10501A8E"/>
    <w:rsid w:val="10A65B52"/>
    <w:rsid w:val="10BA62DC"/>
    <w:rsid w:val="10E24DDC"/>
    <w:rsid w:val="10EC77C3"/>
    <w:rsid w:val="10EF724A"/>
    <w:rsid w:val="10F51ECF"/>
    <w:rsid w:val="11625F1D"/>
    <w:rsid w:val="11A50E79"/>
    <w:rsid w:val="11BB562D"/>
    <w:rsid w:val="11C52008"/>
    <w:rsid w:val="11E710E0"/>
    <w:rsid w:val="121E2100"/>
    <w:rsid w:val="122F1CA3"/>
    <w:rsid w:val="124A70DD"/>
    <w:rsid w:val="125C0BBE"/>
    <w:rsid w:val="125C5139"/>
    <w:rsid w:val="126902C7"/>
    <w:rsid w:val="12B84F7B"/>
    <w:rsid w:val="12C66037"/>
    <w:rsid w:val="12EC2D29"/>
    <w:rsid w:val="131018D8"/>
    <w:rsid w:val="132F322B"/>
    <w:rsid w:val="13685340"/>
    <w:rsid w:val="136E6DFB"/>
    <w:rsid w:val="136F66CF"/>
    <w:rsid w:val="139F590B"/>
    <w:rsid w:val="13B35A4F"/>
    <w:rsid w:val="13BD1122"/>
    <w:rsid w:val="13E96D0C"/>
    <w:rsid w:val="13EB41FA"/>
    <w:rsid w:val="13F32DFD"/>
    <w:rsid w:val="13FA779F"/>
    <w:rsid w:val="14042DB7"/>
    <w:rsid w:val="141421B6"/>
    <w:rsid w:val="142C1457"/>
    <w:rsid w:val="146A2525"/>
    <w:rsid w:val="146F48E9"/>
    <w:rsid w:val="14797507"/>
    <w:rsid w:val="14912710"/>
    <w:rsid w:val="14983A03"/>
    <w:rsid w:val="14CA6F83"/>
    <w:rsid w:val="14D7531B"/>
    <w:rsid w:val="14EA24B1"/>
    <w:rsid w:val="150A66AF"/>
    <w:rsid w:val="150E311E"/>
    <w:rsid w:val="15312B70"/>
    <w:rsid w:val="1532074D"/>
    <w:rsid w:val="154E0CCD"/>
    <w:rsid w:val="15595808"/>
    <w:rsid w:val="15783F61"/>
    <w:rsid w:val="15B11221"/>
    <w:rsid w:val="15BA3249"/>
    <w:rsid w:val="15D168FF"/>
    <w:rsid w:val="15FB48C3"/>
    <w:rsid w:val="160133BB"/>
    <w:rsid w:val="164F4491"/>
    <w:rsid w:val="16662F5D"/>
    <w:rsid w:val="16687B33"/>
    <w:rsid w:val="166B5873"/>
    <w:rsid w:val="16865DF7"/>
    <w:rsid w:val="16907AC1"/>
    <w:rsid w:val="16A27929"/>
    <w:rsid w:val="16DE3658"/>
    <w:rsid w:val="16F95816"/>
    <w:rsid w:val="173B5412"/>
    <w:rsid w:val="174152AC"/>
    <w:rsid w:val="178A1F00"/>
    <w:rsid w:val="178B4636"/>
    <w:rsid w:val="17AD5A18"/>
    <w:rsid w:val="17B005EC"/>
    <w:rsid w:val="17B370DB"/>
    <w:rsid w:val="17BD5B44"/>
    <w:rsid w:val="17C62542"/>
    <w:rsid w:val="17E340BC"/>
    <w:rsid w:val="184027AC"/>
    <w:rsid w:val="184629F8"/>
    <w:rsid w:val="184A3267"/>
    <w:rsid w:val="18502F73"/>
    <w:rsid w:val="18511A82"/>
    <w:rsid w:val="1880614A"/>
    <w:rsid w:val="18B03A11"/>
    <w:rsid w:val="18B776FF"/>
    <w:rsid w:val="18C96881"/>
    <w:rsid w:val="18E4746B"/>
    <w:rsid w:val="19033E41"/>
    <w:rsid w:val="1903556B"/>
    <w:rsid w:val="190B6E9A"/>
    <w:rsid w:val="19483C4A"/>
    <w:rsid w:val="19634C35"/>
    <w:rsid w:val="19682338"/>
    <w:rsid w:val="19704DB0"/>
    <w:rsid w:val="19810F0A"/>
    <w:rsid w:val="199271FE"/>
    <w:rsid w:val="19B25567"/>
    <w:rsid w:val="19B72B7E"/>
    <w:rsid w:val="19C257AA"/>
    <w:rsid w:val="19E20B38"/>
    <w:rsid w:val="19EC54DE"/>
    <w:rsid w:val="19F416DC"/>
    <w:rsid w:val="1A385ECC"/>
    <w:rsid w:val="1A3A1D53"/>
    <w:rsid w:val="1A3D3083"/>
    <w:rsid w:val="1A400DC5"/>
    <w:rsid w:val="1A536139"/>
    <w:rsid w:val="1A7A244E"/>
    <w:rsid w:val="1AB232E4"/>
    <w:rsid w:val="1B0E5A15"/>
    <w:rsid w:val="1B1B527C"/>
    <w:rsid w:val="1B2168A4"/>
    <w:rsid w:val="1B341875"/>
    <w:rsid w:val="1B68296A"/>
    <w:rsid w:val="1B6F54BE"/>
    <w:rsid w:val="1B702951"/>
    <w:rsid w:val="1B763FD8"/>
    <w:rsid w:val="1B9211AC"/>
    <w:rsid w:val="1BA24DBD"/>
    <w:rsid w:val="1BAF14AC"/>
    <w:rsid w:val="1BD14A1C"/>
    <w:rsid w:val="1BD209BD"/>
    <w:rsid w:val="1BFD51C0"/>
    <w:rsid w:val="1C13053F"/>
    <w:rsid w:val="1C1826E0"/>
    <w:rsid w:val="1C2362A8"/>
    <w:rsid w:val="1C2B1C40"/>
    <w:rsid w:val="1C692927"/>
    <w:rsid w:val="1C9E36FB"/>
    <w:rsid w:val="1CFF3E3D"/>
    <w:rsid w:val="1D0D6025"/>
    <w:rsid w:val="1D1522F2"/>
    <w:rsid w:val="1D410C70"/>
    <w:rsid w:val="1D417BBA"/>
    <w:rsid w:val="1D444728"/>
    <w:rsid w:val="1D953906"/>
    <w:rsid w:val="1DA01267"/>
    <w:rsid w:val="1DCF018E"/>
    <w:rsid w:val="1DD652A4"/>
    <w:rsid w:val="1E262347"/>
    <w:rsid w:val="1E2973BC"/>
    <w:rsid w:val="1E390E69"/>
    <w:rsid w:val="1E3E4C49"/>
    <w:rsid w:val="1E4F496B"/>
    <w:rsid w:val="1E547805"/>
    <w:rsid w:val="1E704015"/>
    <w:rsid w:val="1E753245"/>
    <w:rsid w:val="1EAF02C7"/>
    <w:rsid w:val="1EC65D3D"/>
    <w:rsid w:val="1EFF4CE4"/>
    <w:rsid w:val="1F02211F"/>
    <w:rsid w:val="1F432F96"/>
    <w:rsid w:val="1F5A6485"/>
    <w:rsid w:val="1F5E5F75"/>
    <w:rsid w:val="1F690E94"/>
    <w:rsid w:val="1F7216C1"/>
    <w:rsid w:val="1F8452B0"/>
    <w:rsid w:val="1F9B1C25"/>
    <w:rsid w:val="1FB75686"/>
    <w:rsid w:val="1FE560C6"/>
    <w:rsid w:val="1FEF6BCD"/>
    <w:rsid w:val="20140D2A"/>
    <w:rsid w:val="20323B1D"/>
    <w:rsid w:val="2039104C"/>
    <w:rsid w:val="204B3751"/>
    <w:rsid w:val="204F0253"/>
    <w:rsid w:val="20515ADA"/>
    <w:rsid w:val="20592BE1"/>
    <w:rsid w:val="206E426A"/>
    <w:rsid w:val="208048FB"/>
    <w:rsid w:val="20854AE6"/>
    <w:rsid w:val="20894213"/>
    <w:rsid w:val="2091237A"/>
    <w:rsid w:val="20C1485B"/>
    <w:rsid w:val="20CA2B64"/>
    <w:rsid w:val="20CE17ED"/>
    <w:rsid w:val="20D364EF"/>
    <w:rsid w:val="20EA55E7"/>
    <w:rsid w:val="21072BF0"/>
    <w:rsid w:val="2107788D"/>
    <w:rsid w:val="21294361"/>
    <w:rsid w:val="215A2846"/>
    <w:rsid w:val="2181453C"/>
    <w:rsid w:val="218E28AD"/>
    <w:rsid w:val="219263AA"/>
    <w:rsid w:val="21D41DD3"/>
    <w:rsid w:val="21D70261"/>
    <w:rsid w:val="21D73DBD"/>
    <w:rsid w:val="21E25BC6"/>
    <w:rsid w:val="21E85FCA"/>
    <w:rsid w:val="22373980"/>
    <w:rsid w:val="22702C63"/>
    <w:rsid w:val="22851372"/>
    <w:rsid w:val="228D26CE"/>
    <w:rsid w:val="22B24EA1"/>
    <w:rsid w:val="22C6648E"/>
    <w:rsid w:val="22E57ED1"/>
    <w:rsid w:val="22F41543"/>
    <w:rsid w:val="230D27BA"/>
    <w:rsid w:val="2318468D"/>
    <w:rsid w:val="231A3C2B"/>
    <w:rsid w:val="231E22FE"/>
    <w:rsid w:val="23203D54"/>
    <w:rsid w:val="23215484"/>
    <w:rsid w:val="23390F0A"/>
    <w:rsid w:val="23737B15"/>
    <w:rsid w:val="23DF3883"/>
    <w:rsid w:val="23EC3205"/>
    <w:rsid w:val="23F925C2"/>
    <w:rsid w:val="240370EB"/>
    <w:rsid w:val="24057B9C"/>
    <w:rsid w:val="24106054"/>
    <w:rsid w:val="241115F5"/>
    <w:rsid w:val="24184308"/>
    <w:rsid w:val="244E3DAE"/>
    <w:rsid w:val="245F6A86"/>
    <w:rsid w:val="246D4540"/>
    <w:rsid w:val="24883A94"/>
    <w:rsid w:val="248E3007"/>
    <w:rsid w:val="24A645D9"/>
    <w:rsid w:val="24AA57B9"/>
    <w:rsid w:val="24C50DD5"/>
    <w:rsid w:val="24CF521F"/>
    <w:rsid w:val="24FE5B05"/>
    <w:rsid w:val="253A7ACB"/>
    <w:rsid w:val="25AB6067"/>
    <w:rsid w:val="25AC694C"/>
    <w:rsid w:val="26117E15"/>
    <w:rsid w:val="263168D5"/>
    <w:rsid w:val="26413EBD"/>
    <w:rsid w:val="26461511"/>
    <w:rsid w:val="265D6B71"/>
    <w:rsid w:val="26844E74"/>
    <w:rsid w:val="26887C85"/>
    <w:rsid w:val="26962499"/>
    <w:rsid w:val="26E054C2"/>
    <w:rsid w:val="26F15921"/>
    <w:rsid w:val="27085BFB"/>
    <w:rsid w:val="27092ACA"/>
    <w:rsid w:val="27233601"/>
    <w:rsid w:val="274A360B"/>
    <w:rsid w:val="279544FE"/>
    <w:rsid w:val="27A44741"/>
    <w:rsid w:val="27BA21B7"/>
    <w:rsid w:val="27D77E4D"/>
    <w:rsid w:val="27E91D37"/>
    <w:rsid w:val="27FD48FE"/>
    <w:rsid w:val="282F4953"/>
    <w:rsid w:val="28537F15"/>
    <w:rsid w:val="289C366A"/>
    <w:rsid w:val="28DE0127"/>
    <w:rsid w:val="28F17E5A"/>
    <w:rsid w:val="29015BC3"/>
    <w:rsid w:val="291707E0"/>
    <w:rsid w:val="291E49C7"/>
    <w:rsid w:val="292673D8"/>
    <w:rsid w:val="29304698"/>
    <w:rsid w:val="297E0FC2"/>
    <w:rsid w:val="29852351"/>
    <w:rsid w:val="29D924A0"/>
    <w:rsid w:val="29EC615C"/>
    <w:rsid w:val="29F0536A"/>
    <w:rsid w:val="29F6324E"/>
    <w:rsid w:val="2A0C2212"/>
    <w:rsid w:val="2A0C2316"/>
    <w:rsid w:val="2A0E2346"/>
    <w:rsid w:val="2A202079"/>
    <w:rsid w:val="2A353271"/>
    <w:rsid w:val="2A50504C"/>
    <w:rsid w:val="2A602AE0"/>
    <w:rsid w:val="2AF161D4"/>
    <w:rsid w:val="2B400C25"/>
    <w:rsid w:val="2B670055"/>
    <w:rsid w:val="2B85488A"/>
    <w:rsid w:val="2BA50A88"/>
    <w:rsid w:val="2BC453B2"/>
    <w:rsid w:val="2BD3243F"/>
    <w:rsid w:val="2BDF21EC"/>
    <w:rsid w:val="2BE33EDA"/>
    <w:rsid w:val="2C105B86"/>
    <w:rsid w:val="2C1C3C0F"/>
    <w:rsid w:val="2C5F50DB"/>
    <w:rsid w:val="2CB11C4E"/>
    <w:rsid w:val="2CBA0319"/>
    <w:rsid w:val="2CBD21FA"/>
    <w:rsid w:val="2CC460B5"/>
    <w:rsid w:val="2CCA6412"/>
    <w:rsid w:val="2CD044A4"/>
    <w:rsid w:val="2CD6590B"/>
    <w:rsid w:val="2D853B95"/>
    <w:rsid w:val="2D964B2C"/>
    <w:rsid w:val="2D990DB5"/>
    <w:rsid w:val="2D9C735E"/>
    <w:rsid w:val="2DA83F99"/>
    <w:rsid w:val="2DBD5646"/>
    <w:rsid w:val="2DC225E3"/>
    <w:rsid w:val="2E02243A"/>
    <w:rsid w:val="2E277E7A"/>
    <w:rsid w:val="2E3916CB"/>
    <w:rsid w:val="2E412FAC"/>
    <w:rsid w:val="2E58756D"/>
    <w:rsid w:val="2E5A3DAC"/>
    <w:rsid w:val="2E905B07"/>
    <w:rsid w:val="2E9F751D"/>
    <w:rsid w:val="2EB21E3A"/>
    <w:rsid w:val="2EC61641"/>
    <w:rsid w:val="2ED718A0"/>
    <w:rsid w:val="2EFC44C7"/>
    <w:rsid w:val="2F037C30"/>
    <w:rsid w:val="2F171E02"/>
    <w:rsid w:val="2F3C1703"/>
    <w:rsid w:val="2F4F0498"/>
    <w:rsid w:val="2F8B61E7"/>
    <w:rsid w:val="2F974B8C"/>
    <w:rsid w:val="2FC655BB"/>
    <w:rsid w:val="3005243D"/>
    <w:rsid w:val="30134A8B"/>
    <w:rsid w:val="302D3FB4"/>
    <w:rsid w:val="303F0EEB"/>
    <w:rsid w:val="305666F0"/>
    <w:rsid w:val="30567972"/>
    <w:rsid w:val="30617E20"/>
    <w:rsid w:val="30965626"/>
    <w:rsid w:val="30C776F3"/>
    <w:rsid w:val="30EC5878"/>
    <w:rsid w:val="30F57DBC"/>
    <w:rsid w:val="312B1D4E"/>
    <w:rsid w:val="31662A68"/>
    <w:rsid w:val="318178A1"/>
    <w:rsid w:val="31A23A12"/>
    <w:rsid w:val="31AE3035"/>
    <w:rsid w:val="31B639EF"/>
    <w:rsid w:val="31C45729"/>
    <w:rsid w:val="31C872F8"/>
    <w:rsid w:val="31D04385"/>
    <w:rsid w:val="31D420C7"/>
    <w:rsid w:val="31E247E4"/>
    <w:rsid w:val="32030F40"/>
    <w:rsid w:val="323C2E8C"/>
    <w:rsid w:val="323F73DA"/>
    <w:rsid w:val="32791867"/>
    <w:rsid w:val="329D4BAF"/>
    <w:rsid w:val="32A16ECB"/>
    <w:rsid w:val="32A642F0"/>
    <w:rsid w:val="32AD727A"/>
    <w:rsid w:val="32BD6C42"/>
    <w:rsid w:val="32BF01BA"/>
    <w:rsid w:val="32BF68D3"/>
    <w:rsid w:val="32D97B55"/>
    <w:rsid w:val="32DE7BE5"/>
    <w:rsid w:val="32E334F3"/>
    <w:rsid w:val="33254336"/>
    <w:rsid w:val="33266952"/>
    <w:rsid w:val="3361379C"/>
    <w:rsid w:val="337066EC"/>
    <w:rsid w:val="337D02CD"/>
    <w:rsid w:val="338C0A3B"/>
    <w:rsid w:val="33AB3A5C"/>
    <w:rsid w:val="33AD6236"/>
    <w:rsid w:val="33C566E9"/>
    <w:rsid w:val="33D44600"/>
    <w:rsid w:val="34164C19"/>
    <w:rsid w:val="34E326FC"/>
    <w:rsid w:val="34E74E4D"/>
    <w:rsid w:val="34F94FD1"/>
    <w:rsid w:val="35110564"/>
    <w:rsid w:val="3522630E"/>
    <w:rsid w:val="352549E8"/>
    <w:rsid w:val="353A0493"/>
    <w:rsid w:val="355A2FBA"/>
    <w:rsid w:val="35887BD1"/>
    <w:rsid w:val="35B1007D"/>
    <w:rsid w:val="35DA3A24"/>
    <w:rsid w:val="36091A53"/>
    <w:rsid w:val="3650773F"/>
    <w:rsid w:val="36592B9B"/>
    <w:rsid w:val="3660007A"/>
    <w:rsid w:val="368E4F3A"/>
    <w:rsid w:val="36B21D04"/>
    <w:rsid w:val="36B95684"/>
    <w:rsid w:val="36C739BA"/>
    <w:rsid w:val="36DA644C"/>
    <w:rsid w:val="373D2F9E"/>
    <w:rsid w:val="375A5B41"/>
    <w:rsid w:val="37991EBF"/>
    <w:rsid w:val="37C84F19"/>
    <w:rsid w:val="37D01583"/>
    <w:rsid w:val="37D96425"/>
    <w:rsid w:val="37F92887"/>
    <w:rsid w:val="38167911"/>
    <w:rsid w:val="38351008"/>
    <w:rsid w:val="386D0B7F"/>
    <w:rsid w:val="38790164"/>
    <w:rsid w:val="38B779DA"/>
    <w:rsid w:val="38DE3B01"/>
    <w:rsid w:val="39305703"/>
    <w:rsid w:val="399D36E6"/>
    <w:rsid w:val="39D32C64"/>
    <w:rsid w:val="3A3C6CAC"/>
    <w:rsid w:val="3A4D58B7"/>
    <w:rsid w:val="3A794F7C"/>
    <w:rsid w:val="3AA407BD"/>
    <w:rsid w:val="3B0C6285"/>
    <w:rsid w:val="3B110927"/>
    <w:rsid w:val="3B246063"/>
    <w:rsid w:val="3B265113"/>
    <w:rsid w:val="3B4C7D7B"/>
    <w:rsid w:val="3B840735"/>
    <w:rsid w:val="3B936CA3"/>
    <w:rsid w:val="3BBA7AA0"/>
    <w:rsid w:val="3BF72025"/>
    <w:rsid w:val="3C027831"/>
    <w:rsid w:val="3C2829AE"/>
    <w:rsid w:val="3C5B491C"/>
    <w:rsid w:val="3C6D42A2"/>
    <w:rsid w:val="3CB72746"/>
    <w:rsid w:val="3CD70087"/>
    <w:rsid w:val="3CF4361D"/>
    <w:rsid w:val="3D0371AF"/>
    <w:rsid w:val="3D164601"/>
    <w:rsid w:val="3D361E88"/>
    <w:rsid w:val="3D436353"/>
    <w:rsid w:val="3D45031D"/>
    <w:rsid w:val="3D69223C"/>
    <w:rsid w:val="3D7B45E7"/>
    <w:rsid w:val="3E37499A"/>
    <w:rsid w:val="3E4817DA"/>
    <w:rsid w:val="3E532C8F"/>
    <w:rsid w:val="3E7B2753"/>
    <w:rsid w:val="3EB56AD2"/>
    <w:rsid w:val="3EBD1FBA"/>
    <w:rsid w:val="3EE618F9"/>
    <w:rsid w:val="3EFE0783"/>
    <w:rsid w:val="3F283A52"/>
    <w:rsid w:val="3F2B3D4A"/>
    <w:rsid w:val="3F3F6447"/>
    <w:rsid w:val="3F516B05"/>
    <w:rsid w:val="3F5A449A"/>
    <w:rsid w:val="3F752D01"/>
    <w:rsid w:val="3FBE50DF"/>
    <w:rsid w:val="3FE739D0"/>
    <w:rsid w:val="40093884"/>
    <w:rsid w:val="40231A17"/>
    <w:rsid w:val="402E32EA"/>
    <w:rsid w:val="4075017B"/>
    <w:rsid w:val="4084103D"/>
    <w:rsid w:val="40AF29F5"/>
    <w:rsid w:val="40C1415E"/>
    <w:rsid w:val="40C7345C"/>
    <w:rsid w:val="40D23C76"/>
    <w:rsid w:val="40D95004"/>
    <w:rsid w:val="40E90FBF"/>
    <w:rsid w:val="4103323B"/>
    <w:rsid w:val="41150E86"/>
    <w:rsid w:val="411E335F"/>
    <w:rsid w:val="41313092"/>
    <w:rsid w:val="416442EA"/>
    <w:rsid w:val="41CC4B69"/>
    <w:rsid w:val="429C09DF"/>
    <w:rsid w:val="42BB1633"/>
    <w:rsid w:val="430622FC"/>
    <w:rsid w:val="430912E0"/>
    <w:rsid w:val="430976F7"/>
    <w:rsid w:val="4317039A"/>
    <w:rsid w:val="43314E25"/>
    <w:rsid w:val="433C618D"/>
    <w:rsid w:val="434846C3"/>
    <w:rsid w:val="434E13A9"/>
    <w:rsid w:val="4357419F"/>
    <w:rsid w:val="436E4930"/>
    <w:rsid w:val="43776534"/>
    <w:rsid w:val="437E62AC"/>
    <w:rsid w:val="43891618"/>
    <w:rsid w:val="43A63197"/>
    <w:rsid w:val="43AB5691"/>
    <w:rsid w:val="43B56997"/>
    <w:rsid w:val="43D7687B"/>
    <w:rsid w:val="43DC60B2"/>
    <w:rsid w:val="43E91F39"/>
    <w:rsid w:val="43F8280E"/>
    <w:rsid w:val="440D6621"/>
    <w:rsid w:val="440D7267"/>
    <w:rsid w:val="441632C2"/>
    <w:rsid w:val="44541936"/>
    <w:rsid w:val="44797F00"/>
    <w:rsid w:val="4508012C"/>
    <w:rsid w:val="45206EA7"/>
    <w:rsid w:val="453B3CB1"/>
    <w:rsid w:val="45554082"/>
    <w:rsid w:val="45685D0B"/>
    <w:rsid w:val="45790967"/>
    <w:rsid w:val="4597548E"/>
    <w:rsid w:val="45BE408F"/>
    <w:rsid w:val="45E36925"/>
    <w:rsid w:val="46072613"/>
    <w:rsid w:val="460F14C8"/>
    <w:rsid w:val="46245607"/>
    <w:rsid w:val="46736CD7"/>
    <w:rsid w:val="46BA58D8"/>
    <w:rsid w:val="46C06704"/>
    <w:rsid w:val="46C4213A"/>
    <w:rsid w:val="46C73B51"/>
    <w:rsid w:val="46D02A05"/>
    <w:rsid w:val="46D149CF"/>
    <w:rsid w:val="46D93082"/>
    <w:rsid w:val="46DA1AD6"/>
    <w:rsid w:val="46E841F3"/>
    <w:rsid w:val="471A6376"/>
    <w:rsid w:val="472E107D"/>
    <w:rsid w:val="473E4DBB"/>
    <w:rsid w:val="47490A0A"/>
    <w:rsid w:val="47637D1D"/>
    <w:rsid w:val="476475F1"/>
    <w:rsid w:val="478903BB"/>
    <w:rsid w:val="47BB389B"/>
    <w:rsid w:val="47BE31A6"/>
    <w:rsid w:val="47D324F0"/>
    <w:rsid w:val="47DB411D"/>
    <w:rsid w:val="480C3F11"/>
    <w:rsid w:val="48160602"/>
    <w:rsid w:val="482B1A8E"/>
    <w:rsid w:val="48474F49"/>
    <w:rsid w:val="486F0E49"/>
    <w:rsid w:val="48CA7928"/>
    <w:rsid w:val="48D04F3E"/>
    <w:rsid w:val="48D20BCE"/>
    <w:rsid w:val="48FB5D34"/>
    <w:rsid w:val="49074DFE"/>
    <w:rsid w:val="490D6193"/>
    <w:rsid w:val="49276B29"/>
    <w:rsid w:val="494E2307"/>
    <w:rsid w:val="49787384"/>
    <w:rsid w:val="49A60395"/>
    <w:rsid w:val="49B04D70"/>
    <w:rsid w:val="49D219AC"/>
    <w:rsid w:val="49D361E3"/>
    <w:rsid w:val="49D547D7"/>
    <w:rsid w:val="49DB003F"/>
    <w:rsid w:val="49F27137"/>
    <w:rsid w:val="4A073FC5"/>
    <w:rsid w:val="4A1379A0"/>
    <w:rsid w:val="4A477482"/>
    <w:rsid w:val="4A4B3126"/>
    <w:rsid w:val="4A5477E6"/>
    <w:rsid w:val="4A555C30"/>
    <w:rsid w:val="4A701955"/>
    <w:rsid w:val="4A8952BD"/>
    <w:rsid w:val="4B187071"/>
    <w:rsid w:val="4B55797D"/>
    <w:rsid w:val="4B7818BD"/>
    <w:rsid w:val="4B787A3F"/>
    <w:rsid w:val="4BF453E8"/>
    <w:rsid w:val="4BFF1F54"/>
    <w:rsid w:val="4C3C5617"/>
    <w:rsid w:val="4C4F261E"/>
    <w:rsid w:val="4C8756E3"/>
    <w:rsid w:val="4C951AAA"/>
    <w:rsid w:val="4C982217"/>
    <w:rsid w:val="4CB62B01"/>
    <w:rsid w:val="4CCA2BFB"/>
    <w:rsid w:val="4CE3349F"/>
    <w:rsid w:val="4CF34742"/>
    <w:rsid w:val="4D044DB4"/>
    <w:rsid w:val="4D4E28D6"/>
    <w:rsid w:val="4D6245D3"/>
    <w:rsid w:val="4D736443"/>
    <w:rsid w:val="4D8D29C9"/>
    <w:rsid w:val="4DB84022"/>
    <w:rsid w:val="4DD70B1D"/>
    <w:rsid w:val="4DDE1EAC"/>
    <w:rsid w:val="4DEE4A39"/>
    <w:rsid w:val="4E165F61"/>
    <w:rsid w:val="4E203E0E"/>
    <w:rsid w:val="4E23222F"/>
    <w:rsid w:val="4E325320"/>
    <w:rsid w:val="4EFC5790"/>
    <w:rsid w:val="4F142BB7"/>
    <w:rsid w:val="4F416B96"/>
    <w:rsid w:val="4F483E30"/>
    <w:rsid w:val="4F4B5368"/>
    <w:rsid w:val="4F5A1A06"/>
    <w:rsid w:val="4F5B577E"/>
    <w:rsid w:val="4F7D3946"/>
    <w:rsid w:val="4F7F4EB2"/>
    <w:rsid w:val="4F846A83"/>
    <w:rsid w:val="4FA90297"/>
    <w:rsid w:val="4FB9443F"/>
    <w:rsid w:val="4FBD08DF"/>
    <w:rsid w:val="4FC46117"/>
    <w:rsid w:val="4FE6207D"/>
    <w:rsid w:val="4FEB08B0"/>
    <w:rsid w:val="500009EA"/>
    <w:rsid w:val="50281B04"/>
    <w:rsid w:val="5029771A"/>
    <w:rsid w:val="509251CF"/>
    <w:rsid w:val="50B05148"/>
    <w:rsid w:val="50B17533"/>
    <w:rsid w:val="50BE5FC4"/>
    <w:rsid w:val="51246D13"/>
    <w:rsid w:val="51C05FDF"/>
    <w:rsid w:val="51D80421"/>
    <w:rsid w:val="51DC2D32"/>
    <w:rsid w:val="51E47CAD"/>
    <w:rsid w:val="51E655A8"/>
    <w:rsid w:val="52293911"/>
    <w:rsid w:val="52754DA9"/>
    <w:rsid w:val="52EB2107"/>
    <w:rsid w:val="53016CFD"/>
    <w:rsid w:val="531405EC"/>
    <w:rsid w:val="531C5BCB"/>
    <w:rsid w:val="5338150F"/>
    <w:rsid w:val="533E66BE"/>
    <w:rsid w:val="536746F1"/>
    <w:rsid w:val="5382152B"/>
    <w:rsid w:val="539B3EAD"/>
    <w:rsid w:val="53B4545D"/>
    <w:rsid w:val="53D068D4"/>
    <w:rsid w:val="53F4459D"/>
    <w:rsid w:val="53F654B5"/>
    <w:rsid w:val="54271FE7"/>
    <w:rsid w:val="543F0341"/>
    <w:rsid w:val="54513065"/>
    <w:rsid w:val="54723DEB"/>
    <w:rsid w:val="54A656ED"/>
    <w:rsid w:val="54AD53A0"/>
    <w:rsid w:val="54C16083"/>
    <w:rsid w:val="54D2649A"/>
    <w:rsid w:val="55103E40"/>
    <w:rsid w:val="55306D65"/>
    <w:rsid w:val="557B06BC"/>
    <w:rsid w:val="557D6F17"/>
    <w:rsid w:val="55920CA6"/>
    <w:rsid w:val="55A439DB"/>
    <w:rsid w:val="55A66B18"/>
    <w:rsid w:val="55F95084"/>
    <w:rsid w:val="56072502"/>
    <w:rsid w:val="56180F27"/>
    <w:rsid w:val="567A298E"/>
    <w:rsid w:val="568036C9"/>
    <w:rsid w:val="56947CB9"/>
    <w:rsid w:val="56A87D26"/>
    <w:rsid w:val="56C31910"/>
    <w:rsid w:val="56CD475D"/>
    <w:rsid w:val="56E36785"/>
    <w:rsid w:val="56EC3BB2"/>
    <w:rsid w:val="56FB3ACE"/>
    <w:rsid w:val="57174680"/>
    <w:rsid w:val="572C012C"/>
    <w:rsid w:val="57494A63"/>
    <w:rsid w:val="57BA777E"/>
    <w:rsid w:val="57D2216F"/>
    <w:rsid w:val="580404DB"/>
    <w:rsid w:val="58146A07"/>
    <w:rsid w:val="581B3CFC"/>
    <w:rsid w:val="58451850"/>
    <w:rsid w:val="586E4240"/>
    <w:rsid w:val="58704048"/>
    <w:rsid w:val="58772B82"/>
    <w:rsid w:val="588A66DF"/>
    <w:rsid w:val="589760B9"/>
    <w:rsid w:val="58BD71CE"/>
    <w:rsid w:val="58C53696"/>
    <w:rsid w:val="58EC42D4"/>
    <w:rsid w:val="58F6733F"/>
    <w:rsid w:val="58FA7DB6"/>
    <w:rsid w:val="5903310E"/>
    <w:rsid w:val="59172716"/>
    <w:rsid w:val="59176D0E"/>
    <w:rsid w:val="59266ED9"/>
    <w:rsid w:val="59377FE6"/>
    <w:rsid w:val="59554FEC"/>
    <w:rsid w:val="5979360D"/>
    <w:rsid w:val="5987231B"/>
    <w:rsid w:val="59892CB1"/>
    <w:rsid w:val="59961CCE"/>
    <w:rsid w:val="599761D5"/>
    <w:rsid w:val="5A5D5CA9"/>
    <w:rsid w:val="5A6E2B59"/>
    <w:rsid w:val="5A8F631C"/>
    <w:rsid w:val="5A9A0292"/>
    <w:rsid w:val="5A9F51BF"/>
    <w:rsid w:val="5AA21243"/>
    <w:rsid w:val="5ABA09C3"/>
    <w:rsid w:val="5ADA0D78"/>
    <w:rsid w:val="5B5A4B3C"/>
    <w:rsid w:val="5B5E287E"/>
    <w:rsid w:val="5B79235D"/>
    <w:rsid w:val="5BB72DFA"/>
    <w:rsid w:val="5BC76675"/>
    <w:rsid w:val="5BEA2363"/>
    <w:rsid w:val="5BF1122A"/>
    <w:rsid w:val="5BF14209"/>
    <w:rsid w:val="5BFE5E0F"/>
    <w:rsid w:val="5C0D324F"/>
    <w:rsid w:val="5C243387"/>
    <w:rsid w:val="5C5A7255"/>
    <w:rsid w:val="5C8B4720"/>
    <w:rsid w:val="5CF43966"/>
    <w:rsid w:val="5D170F36"/>
    <w:rsid w:val="5D270DF1"/>
    <w:rsid w:val="5D276C9F"/>
    <w:rsid w:val="5D35760E"/>
    <w:rsid w:val="5D47794D"/>
    <w:rsid w:val="5D6718A8"/>
    <w:rsid w:val="5D6A3E66"/>
    <w:rsid w:val="5DA4378F"/>
    <w:rsid w:val="5DA44433"/>
    <w:rsid w:val="5DAB78D0"/>
    <w:rsid w:val="5DBA48BB"/>
    <w:rsid w:val="5DC0337C"/>
    <w:rsid w:val="5DD200E2"/>
    <w:rsid w:val="5DFE3EA4"/>
    <w:rsid w:val="5DFE6F3B"/>
    <w:rsid w:val="5DFF3FD4"/>
    <w:rsid w:val="5E033269"/>
    <w:rsid w:val="5E077B83"/>
    <w:rsid w:val="5E141DC9"/>
    <w:rsid w:val="5E422C68"/>
    <w:rsid w:val="5E4915C3"/>
    <w:rsid w:val="5E7C3556"/>
    <w:rsid w:val="5E9642F5"/>
    <w:rsid w:val="5EA315E6"/>
    <w:rsid w:val="5EAB50CF"/>
    <w:rsid w:val="5EB75082"/>
    <w:rsid w:val="5ED82947"/>
    <w:rsid w:val="5F1A373D"/>
    <w:rsid w:val="5F6B2401"/>
    <w:rsid w:val="5F6D434A"/>
    <w:rsid w:val="5F940380"/>
    <w:rsid w:val="5FC41398"/>
    <w:rsid w:val="5FCA04E2"/>
    <w:rsid w:val="5FCC6AA8"/>
    <w:rsid w:val="5FD21C15"/>
    <w:rsid w:val="5FDC0D4A"/>
    <w:rsid w:val="5FE33352"/>
    <w:rsid w:val="5FE92684"/>
    <w:rsid w:val="602A7D19"/>
    <w:rsid w:val="60430294"/>
    <w:rsid w:val="60713851"/>
    <w:rsid w:val="60BB0A7A"/>
    <w:rsid w:val="60C82547"/>
    <w:rsid w:val="612479FF"/>
    <w:rsid w:val="616A7F28"/>
    <w:rsid w:val="61C13B66"/>
    <w:rsid w:val="61CC66FB"/>
    <w:rsid w:val="62161F3E"/>
    <w:rsid w:val="622B71B9"/>
    <w:rsid w:val="6270239D"/>
    <w:rsid w:val="62E053D1"/>
    <w:rsid w:val="630A262A"/>
    <w:rsid w:val="6320666B"/>
    <w:rsid w:val="632117EE"/>
    <w:rsid w:val="632D4415"/>
    <w:rsid w:val="6353430F"/>
    <w:rsid w:val="63812B2C"/>
    <w:rsid w:val="639F3A33"/>
    <w:rsid w:val="63B92BCC"/>
    <w:rsid w:val="63CE7438"/>
    <w:rsid w:val="63E06A7E"/>
    <w:rsid w:val="63EC01F2"/>
    <w:rsid w:val="63F208C0"/>
    <w:rsid w:val="63F7561D"/>
    <w:rsid w:val="64015D03"/>
    <w:rsid w:val="64155AA4"/>
    <w:rsid w:val="641E51DF"/>
    <w:rsid w:val="642C178F"/>
    <w:rsid w:val="64487C27"/>
    <w:rsid w:val="64754DD6"/>
    <w:rsid w:val="647924D6"/>
    <w:rsid w:val="648B3FB8"/>
    <w:rsid w:val="64915A72"/>
    <w:rsid w:val="64D21BE7"/>
    <w:rsid w:val="64E75692"/>
    <w:rsid w:val="650A75D2"/>
    <w:rsid w:val="651112BF"/>
    <w:rsid w:val="6525705F"/>
    <w:rsid w:val="652C1320"/>
    <w:rsid w:val="658E1FB1"/>
    <w:rsid w:val="658F0C8A"/>
    <w:rsid w:val="65943C08"/>
    <w:rsid w:val="65960E66"/>
    <w:rsid w:val="659E5E1D"/>
    <w:rsid w:val="65AD4628"/>
    <w:rsid w:val="65B01F28"/>
    <w:rsid w:val="65B55E97"/>
    <w:rsid w:val="65C571F4"/>
    <w:rsid w:val="65DC3A1F"/>
    <w:rsid w:val="65DE7A95"/>
    <w:rsid w:val="65E6594A"/>
    <w:rsid w:val="66002466"/>
    <w:rsid w:val="66185489"/>
    <w:rsid w:val="66195D1F"/>
    <w:rsid w:val="662B5A52"/>
    <w:rsid w:val="66501015"/>
    <w:rsid w:val="666F3B91"/>
    <w:rsid w:val="66725BFB"/>
    <w:rsid w:val="667C0290"/>
    <w:rsid w:val="667C4500"/>
    <w:rsid w:val="669827C7"/>
    <w:rsid w:val="66B5531C"/>
    <w:rsid w:val="66C27D6F"/>
    <w:rsid w:val="66C337DE"/>
    <w:rsid w:val="66D26775"/>
    <w:rsid w:val="66E16111"/>
    <w:rsid w:val="66EF5AA1"/>
    <w:rsid w:val="67006EDF"/>
    <w:rsid w:val="67184229"/>
    <w:rsid w:val="671D477F"/>
    <w:rsid w:val="67452B44"/>
    <w:rsid w:val="6751565B"/>
    <w:rsid w:val="6787315C"/>
    <w:rsid w:val="67A1421E"/>
    <w:rsid w:val="67A35B3A"/>
    <w:rsid w:val="67C0431D"/>
    <w:rsid w:val="67CF0D07"/>
    <w:rsid w:val="67E83C27"/>
    <w:rsid w:val="67ED7A99"/>
    <w:rsid w:val="68085F5A"/>
    <w:rsid w:val="68131D4B"/>
    <w:rsid w:val="681764E6"/>
    <w:rsid w:val="68196232"/>
    <w:rsid w:val="68272C9C"/>
    <w:rsid w:val="68273FF7"/>
    <w:rsid w:val="684D3A5E"/>
    <w:rsid w:val="685E5C6B"/>
    <w:rsid w:val="68623356"/>
    <w:rsid w:val="6865011A"/>
    <w:rsid w:val="689E1495"/>
    <w:rsid w:val="68D8555E"/>
    <w:rsid w:val="68DC4DE2"/>
    <w:rsid w:val="691B0000"/>
    <w:rsid w:val="694A4DB3"/>
    <w:rsid w:val="696873C7"/>
    <w:rsid w:val="696E6382"/>
    <w:rsid w:val="69BD3298"/>
    <w:rsid w:val="69CC4E56"/>
    <w:rsid w:val="69DB6C70"/>
    <w:rsid w:val="69DC0762"/>
    <w:rsid w:val="6A057816"/>
    <w:rsid w:val="6A096CD3"/>
    <w:rsid w:val="6A3A44B6"/>
    <w:rsid w:val="6A577655"/>
    <w:rsid w:val="6A5A55C2"/>
    <w:rsid w:val="6AA858C3"/>
    <w:rsid w:val="6AB3678B"/>
    <w:rsid w:val="6ABA600F"/>
    <w:rsid w:val="6ACA4F42"/>
    <w:rsid w:val="6AD8488D"/>
    <w:rsid w:val="6B06502A"/>
    <w:rsid w:val="6B11490F"/>
    <w:rsid w:val="6B296E17"/>
    <w:rsid w:val="6B302937"/>
    <w:rsid w:val="6B4D1FC7"/>
    <w:rsid w:val="6B572DC3"/>
    <w:rsid w:val="6B614B0C"/>
    <w:rsid w:val="6B80414A"/>
    <w:rsid w:val="6B902452"/>
    <w:rsid w:val="6B9F4B52"/>
    <w:rsid w:val="6BBA58AE"/>
    <w:rsid w:val="6BD149A6"/>
    <w:rsid w:val="6C111246"/>
    <w:rsid w:val="6C1D5E3D"/>
    <w:rsid w:val="6C803039"/>
    <w:rsid w:val="6C8F6784"/>
    <w:rsid w:val="6C916AB9"/>
    <w:rsid w:val="6C93245A"/>
    <w:rsid w:val="6CB43503"/>
    <w:rsid w:val="6CC80A8E"/>
    <w:rsid w:val="6CCB5899"/>
    <w:rsid w:val="6CE4145A"/>
    <w:rsid w:val="6D22603A"/>
    <w:rsid w:val="6D3F3B91"/>
    <w:rsid w:val="6D823EBE"/>
    <w:rsid w:val="6D8C0532"/>
    <w:rsid w:val="6DD34C67"/>
    <w:rsid w:val="6E214824"/>
    <w:rsid w:val="6E657628"/>
    <w:rsid w:val="6E6B6F27"/>
    <w:rsid w:val="6E80505B"/>
    <w:rsid w:val="6E8126B3"/>
    <w:rsid w:val="6E835C32"/>
    <w:rsid w:val="6E8F21CF"/>
    <w:rsid w:val="6E9A5523"/>
    <w:rsid w:val="6E9D034A"/>
    <w:rsid w:val="6EAE77A9"/>
    <w:rsid w:val="6ED749C9"/>
    <w:rsid w:val="6ED94286"/>
    <w:rsid w:val="6EF914F5"/>
    <w:rsid w:val="6F0B6421"/>
    <w:rsid w:val="6F1572A0"/>
    <w:rsid w:val="6F2C51E7"/>
    <w:rsid w:val="6F3E308A"/>
    <w:rsid w:val="6F3F60CB"/>
    <w:rsid w:val="6F476480"/>
    <w:rsid w:val="6F564F1C"/>
    <w:rsid w:val="6FA1728E"/>
    <w:rsid w:val="6FA46DD8"/>
    <w:rsid w:val="6FC860C0"/>
    <w:rsid w:val="6FF43359"/>
    <w:rsid w:val="70006D09"/>
    <w:rsid w:val="7006027C"/>
    <w:rsid w:val="70065DD2"/>
    <w:rsid w:val="701249CD"/>
    <w:rsid w:val="706E686D"/>
    <w:rsid w:val="70871AD7"/>
    <w:rsid w:val="70972D4C"/>
    <w:rsid w:val="70D535B7"/>
    <w:rsid w:val="70D806F3"/>
    <w:rsid w:val="70DC14E6"/>
    <w:rsid w:val="70DF5DB7"/>
    <w:rsid w:val="70E23EAC"/>
    <w:rsid w:val="712C56E3"/>
    <w:rsid w:val="71664F1F"/>
    <w:rsid w:val="723F63A5"/>
    <w:rsid w:val="724F2AC9"/>
    <w:rsid w:val="726F1F3A"/>
    <w:rsid w:val="727268E0"/>
    <w:rsid w:val="72830C57"/>
    <w:rsid w:val="72D72D41"/>
    <w:rsid w:val="731B14E6"/>
    <w:rsid w:val="73353A6C"/>
    <w:rsid w:val="735F68D1"/>
    <w:rsid w:val="73756254"/>
    <w:rsid w:val="737A29C8"/>
    <w:rsid w:val="738B2725"/>
    <w:rsid w:val="739C1D3D"/>
    <w:rsid w:val="73EA0D04"/>
    <w:rsid w:val="73EB6821"/>
    <w:rsid w:val="73EC265C"/>
    <w:rsid w:val="741D7F20"/>
    <w:rsid w:val="741E09A4"/>
    <w:rsid w:val="741E5701"/>
    <w:rsid w:val="7423420D"/>
    <w:rsid w:val="747F7695"/>
    <w:rsid w:val="7491404D"/>
    <w:rsid w:val="74923DD8"/>
    <w:rsid w:val="74980757"/>
    <w:rsid w:val="74A16D28"/>
    <w:rsid w:val="74B3556C"/>
    <w:rsid w:val="74DB106B"/>
    <w:rsid w:val="74E26C97"/>
    <w:rsid w:val="75106440"/>
    <w:rsid w:val="753D03C2"/>
    <w:rsid w:val="754227A1"/>
    <w:rsid w:val="75494D9F"/>
    <w:rsid w:val="756C51E3"/>
    <w:rsid w:val="75A0762E"/>
    <w:rsid w:val="75AB479D"/>
    <w:rsid w:val="75CE7D56"/>
    <w:rsid w:val="75DD2AFA"/>
    <w:rsid w:val="75F25761"/>
    <w:rsid w:val="760C2423"/>
    <w:rsid w:val="76165DD7"/>
    <w:rsid w:val="762F455C"/>
    <w:rsid w:val="76447F3E"/>
    <w:rsid w:val="76A11F6D"/>
    <w:rsid w:val="76DE7925"/>
    <w:rsid w:val="76F517C0"/>
    <w:rsid w:val="771B4819"/>
    <w:rsid w:val="7723168A"/>
    <w:rsid w:val="774626EC"/>
    <w:rsid w:val="77626DFA"/>
    <w:rsid w:val="77642210"/>
    <w:rsid w:val="777702D8"/>
    <w:rsid w:val="778E3A71"/>
    <w:rsid w:val="778F4F02"/>
    <w:rsid w:val="77C655DB"/>
    <w:rsid w:val="7825412B"/>
    <w:rsid w:val="784C7EB0"/>
    <w:rsid w:val="7859644F"/>
    <w:rsid w:val="785E52D9"/>
    <w:rsid w:val="78621EDA"/>
    <w:rsid w:val="78825428"/>
    <w:rsid w:val="788F1E71"/>
    <w:rsid w:val="78957F17"/>
    <w:rsid w:val="78A551F0"/>
    <w:rsid w:val="78CD5ADC"/>
    <w:rsid w:val="78DF3BAF"/>
    <w:rsid w:val="78FD14F2"/>
    <w:rsid w:val="79330A4E"/>
    <w:rsid w:val="793D1D39"/>
    <w:rsid w:val="7951722A"/>
    <w:rsid w:val="79904AAD"/>
    <w:rsid w:val="79921B7D"/>
    <w:rsid w:val="79955265"/>
    <w:rsid w:val="799A1440"/>
    <w:rsid w:val="79A438AD"/>
    <w:rsid w:val="79B606C6"/>
    <w:rsid w:val="79ED703A"/>
    <w:rsid w:val="7A187C44"/>
    <w:rsid w:val="7A2605B3"/>
    <w:rsid w:val="7A390E51"/>
    <w:rsid w:val="7A431664"/>
    <w:rsid w:val="7A5404F2"/>
    <w:rsid w:val="7A635363"/>
    <w:rsid w:val="7A7E03EF"/>
    <w:rsid w:val="7A804167"/>
    <w:rsid w:val="7A8D6872"/>
    <w:rsid w:val="7A943D7D"/>
    <w:rsid w:val="7A98273D"/>
    <w:rsid w:val="7A9C2087"/>
    <w:rsid w:val="7AAE4CAE"/>
    <w:rsid w:val="7AAF33E2"/>
    <w:rsid w:val="7AC62AC8"/>
    <w:rsid w:val="7AD51C0E"/>
    <w:rsid w:val="7AF2795C"/>
    <w:rsid w:val="7B087DC6"/>
    <w:rsid w:val="7B1152C8"/>
    <w:rsid w:val="7B18614D"/>
    <w:rsid w:val="7B3B2BBC"/>
    <w:rsid w:val="7B6C7864"/>
    <w:rsid w:val="7B7F7F7B"/>
    <w:rsid w:val="7B8F013F"/>
    <w:rsid w:val="7B9F686F"/>
    <w:rsid w:val="7BAD0F8C"/>
    <w:rsid w:val="7BB10004"/>
    <w:rsid w:val="7BB702A7"/>
    <w:rsid w:val="7BC93656"/>
    <w:rsid w:val="7BC9569A"/>
    <w:rsid w:val="7BC96752"/>
    <w:rsid w:val="7BFB0ABB"/>
    <w:rsid w:val="7C125848"/>
    <w:rsid w:val="7C1728A9"/>
    <w:rsid w:val="7C1F275F"/>
    <w:rsid w:val="7C4A287E"/>
    <w:rsid w:val="7C5F6F1C"/>
    <w:rsid w:val="7C6465C1"/>
    <w:rsid w:val="7C780A48"/>
    <w:rsid w:val="7C7C0683"/>
    <w:rsid w:val="7C7C66A8"/>
    <w:rsid w:val="7C7D3061"/>
    <w:rsid w:val="7C812119"/>
    <w:rsid w:val="7C82611E"/>
    <w:rsid w:val="7CAA6373"/>
    <w:rsid w:val="7CAE4C51"/>
    <w:rsid w:val="7CE111F7"/>
    <w:rsid w:val="7CE85FC4"/>
    <w:rsid w:val="7D05671F"/>
    <w:rsid w:val="7D6878F6"/>
    <w:rsid w:val="7DC30D31"/>
    <w:rsid w:val="7E024E93"/>
    <w:rsid w:val="7E110BB2"/>
    <w:rsid w:val="7E293129"/>
    <w:rsid w:val="7E3F60E7"/>
    <w:rsid w:val="7E7C3774"/>
    <w:rsid w:val="7E86775F"/>
    <w:rsid w:val="7EF21420"/>
    <w:rsid w:val="7F1565E0"/>
    <w:rsid w:val="7F2B3C8E"/>
    <w:rsid w:val="7F305AED"/>
    <w:rsid w:val="7F4B6D8D"/>
    <w:rsid w:val="7F507DBC"/>
    <w:rsid w:val="7F531E4A"/>
    <w:rsid w:val="7F5C05D3"/>
    <w:rsid w:val="7F7B4D7A"/>
    <w:rsid w:val="7F82628B"/>
    <w:rsid w:val="7F9F6E3D"/>
    <w:rsid w:val="7FBA13A9"/>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5"/>
    <w:qFormat/>
    <w:uiPriority w:val="0"/>
    <w:pPr>
      <w:keepNext/>
      <w:keepLines/>
      <w:spacing w:before="340" w:after="330" w:line="576" w:lineRule="auto"/>
      <w:outlineLvl w:val="0"/>
    </w:pPr>
    <w:rPr>
      <w:b/>
      <w:kern w:val="44"/>
      <w:sz w:val="44"/>
      <w:szCs w:val="20"/>
    </w:rPr>
  </w:style>
  <w:style w:type="paragraph" w:styleId="5">
    <w:name w:val="heading 2"/>
    <w:basedOn w:val="1"/>
    <w:next w:val="1"/>
    <w:qFormat/>
    <w:uiPriority w:val="0"/>
    <w:pPr>
      <w:keepNext/>
      <w:keepLines/>
      <w:spacing w:before="260" w:after="120" w:line="415" w:lineRule="auto"/>
      <w:outlineLvl w:val="1"/>
    </w:pPr>
    <w:rPr>
      <w:rFonts w:ascii="Arial" w:hAnsi="Arial"/>
      <w:b/>
      <w:bCs/>
      <w:kern w:val="0"/>
      <w:sz w:val="32"/>
      <w:szCs w:val="32"/>
    </w:rPr>
  </w:style>
  <w:style w:type="paragraph" w:styleId="6">
    <w:name w:val="heading 3"/>
    <w:basedOn w:val="1"/>
    <w:next w:val="1"/>
    <w:unhideWhenUsed/>
    <w:qFormat/>
    <w:uiPriority w:val="0"/>
    <w:pPr>
      <w:keepNext/>
      <w:keepLines/>
      <w:numPr>
        <w:ilvl w:val="0"/>
        <w:numId w:val="1"/>
      </w:numPr>
      <w:spacing w:before="260" w:line="360" w:lineRule="auto"/>
      <w:ind w:left="420" w:right="100" w:rightChars="100"/>
      <w:jc w:val="left"/>
      <w:outlineLvl w:val="2"/>
    </w:pPr>
    <w:rPr>
      <w:b/>
      <w:bCs/>
      <w:sz w:val="28"/>
      <w:szCs w:val="32"/>
    </w:rPr>
  </w:style>
  <w:style w:type="paragraph" w:styleId="7">
    <w:name w:val="heading 4"/>
    <w:basedOn w:val="1"/>
    <w:next w:val="1"/>
    <w:unhideWhenUsed/>
    <w:qFormat/>
    <w:uiPriority w:val="0"/>
    <w:pPr>
      <w:keepNext/>
      <w:keepLines/>
      <w:numPr>
        <w:ilvl w:val="0"/>
        <w:numId w:val="2"/>
      </w:numPr>
      <w:spacing w:before="280" w:line="377" w:lineRule="auto"/>
      <w:outlineLvl w:val="3"/>
    </w:pPr>
    <w:rPr>
      <w:rFonts w:asciiTheme="majorHAnsi" w:hAnsiTheme="majorHAnsi" w:eastAsiaTheme="majorEastAsia" w:cstheme="majorBidi"/>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_Style 2"/>
    <w:basedOn w:val="1"/>
    <w:qFormat/>
    <w:uiPriority w:val="0"/>
    <w:pPr>
      <w:ind w:firstLine="420" w:firstLineChars="200"/>
    </w:pPr>
  </w:style>
  <w:style w:type="paragraph" w:styleId="8">
    <w:name w:val="Normal Indent"/>
    <w:basedOn w:val="1"/>
    <w:qFormat/>
    <w:uiPriority w:val="0"/>
    <w:pPr>
      <w:ind w:firstLine="420" w:firstLineChars="200"/>
    </w:pPr>
  </w:style>
  <w:style w:type="paragraph" w:styleId="9">
    <w:name w:val="caption"/>
    <w:basedOn w:val="1"/>
    <w:next w:val="1"/>
    <w:unhideWhenUsed/>
    <w:qFormat/>
    <w:uiPriority w:val="0"/>
    <w:rPr>
      <w:rFonts w:eastAsia="黑体" w:asciiTheme="majorHAnsi" w:hAnsiTheme="majorHAnsi" w:cstheme="majorBidi"/>
      <w:sz w:val="20"/>
      <w:szCs w:val="20"/>
    </w:rPr>
  </w:style>
  <w:style w:type="paragraph" w:styleId="10">
    <w:name w:val="annotation text"/>
    <w:basedOn w:val="1"/>
    <w:link w:val="49"/>
    <w:qFormat/>
    <w:uiPriority w:val="0"/>
    <w:pPr>
      <w:jc w:val="left"/>
    </w:pPr>
  </w:style>
  <w:style w:type="paragraph" w:styleId="11">
    <w:name w:val="Body Text 3"/>
    <w:basedOn w:val="1"/>
    <w:qFormat/>
    <w:uiPriority w:val="0"/>
    <w:pPr>
      <w:spacing w:line="440" w:lineRule="exact"/>
    </w:pPr>
    <w:rPr>
      <w:color w:val="000000"/>
      <w:szCs w:val="18"/>
    </w:rPr>
  </w:style>
  <w:style w:type="paragraph" w:styleId="12">
    <w:name w:val="Body Text Indent"/>
    <w:basedOn w:val="1"/>
    <w:qFormat/>
    <w:uiPriority w:val="0"/>
    <w:pPr>
      <w:ind w:firstLine="444"/>
    </w:pPr>
    <w:rPr>
      <w:b/>
      <w:kern w:val="0"/>
      <w:sz w:val="24"/>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Body Text Indent 2"/>
    <w:basedOn w:val="1"/>
    <w:qFormat/>
    <w:uiPriority w:val="0"/>
    <w:pPr>
      <w:spacing w:line="440" w:lineRule="exact"/>
      <w:ind w:firstLine="412" w:firstLineChars="200"/>
    </w:pPr>
    <w:rPr>
      <w:rFonts w:ascii="宋体" w:hAnsi="宋体"/>
      <w:b/>
      <w:bCs/>
      <w:szCs w:val="20"/>
    </w:rPr>
  </w:style>
  <w:style w:type="paragraph" w:styleId="16">
    <w:name w:val="Balloon Text"/>
    <w:basedOn w:val="1"/>
    <w:link w:val="46"/>
    <w:qFormat/>
    <w:uiPriority w:val="0"/>
    <w:rPr>
      <w:sz w:val="18"/>
      <w:szCs w:val="18"/>
    </w:rPr>
  </w:style>
  <w:style w:type="paragraph" w:styleId="17">
    <w:name w:val="footer"/>
    <w:basedOn w:val="1"/>
    <w:unhideWhenUsed/>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dotted" w:color="auto" w:sz="4" w:space="1"/>
      </w:pBdr>
      <w:tabs>
        <w:tab w:val="center" w:pos="4153"/>
        <w:tab w:val="right" w:pos="8306"/>
      </w:tabs>
      <w:adjustRightInd w:val="0"/>
      <w:spacing w:line="240" w:lineRule="atLeast"/>
      <w:textAlignment w:val="baseline"/>
    </w:pPr>
    <w:rPr>
      <w:rFonts w:ascii="华文楷体" w:hAnsi="华文楷体" w:eastAsia="华文楷体"/>
      <w:kern w:val="0"/>
      <w:sz w:val="18"/>
      <w:szCs w:val="18"/>
    </w:rPr>
  </w:style>
  <w:style w:type="paragraph" w:styleId="19">
    <w:name w:val="toc 1"/>
    <w:basedOn w:val="1"/>
    <w:next w:val="1"/>
    <w:qFormat/>
    <w:uiPriority w:val="39"/>
    <w:rPr>
      <w:rFonts w:cs="Angsana New"/>
      <w:lang w:bidi="th-TH"/>
    </w:rPr>
  </w:style>
  <w:style w:type="paragraph" w:styleId="20">
    <w:name w:val="footnote text"/>
    <w:basedOn w:val="1"/>
    <w:qFormat/>
    <w:uiPriority w:val="0"/>
    <w:rPr>
      <w:sz w:val="20"/>
      <w:szCs w:val="20"/>
    </w:rPr>
  </w:style>
  <w:style w:type="paragraph" w:styleId="21">
    <w:name w:val="toc 2"/>
    <w:basedOn w:val="1"/>
    <w:next w:val="1"/>
    <w:qFormat/>
    <w:uiPriority w:val="39"/>
    <w:pPr>
      <w:ind w:left="420" w:leftChars="200"/>
    </w:pPr>
    <w:rPr>
      <w:rFonts w:cs="Angsana New"/>
      <w:lang w:bidi="th-TH"/>
    </w:rPr>
  </w:style>
  <w:style w:type="paragraph" w:styleId="2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23">
    <w:name w:val="Title"/>
    <w:basedOn w:val="1"/>
    <w:next w:val="1"/>
    <w:qFormat/>
    <w:uiPriority w:val="99"/>
    <w:pPr>
      <w:spacing w:before="240" w:after="60"/>
      <w:jc w:val="center"/>
      <w:outlineLvl w:val="0"/>
    </w:pPr>
    <w:rPr>
      <w:rFonts w:ascii="Cambria" w:hAnsi="Cambria"/>
      <w:b/>
      <w:bCs/>
      <w:sz w:val="32"/>
      <w:szCs w:val="32"/>
    </w:rPr>
  </w:style>
  <w:style w:type="paragraph" w:styleId="24">
    <w:name w:val="annotation subject"/>
    <w:basedOn w:val="10"/>
    <w:next w:val="10"/>
    <w:link w:val="50"/>
    <w:qFormat/>
    <w:uiPriority w:val="0"/>
    <w:rPr>
      <w:b/>
      <w:bCs/>
    </w:rPr>
  </w:style>
  <w:style w:type="paragraph" w:styleId="25">
    <w:name w:val="Body Text First Indent"/>
    <w:basedOn w:val="2"/>
    <w:qFormat/>
    <w:uiPriority w:val="0"/>
    <w:pPr>
      <w:ind w:firstLine="100" w:firstLineChars="100"/>
    </w:pPr>
    <w:rPr>
      <w:szCs w:val="20"/>
    </w:rPr>
  </w:style>
  <w:style w:type="paragraph" w:styleId="26">
    <w:name w:val="Body Text First Indent 2"/>
    <w:basedOn w:val="12"/>
    <w:qFormat/>
    <w:uiPriority w:val="0"/>
    <w:pPr>
      <w:tabs>
        <w:tab w:val="left" w:pos="930"/>
      </w:tabs>
      <w:ind w:left="0" w:leftChars="0" w:firstLine="210"/>
    </w:pPr>
    <w:rPr>
      <w:szCs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FollowedHyperlink"/>
    <w:basedOn w:val="29"/>
    <w:semiHidden/>
    <w:unhideWhenUsed/>
    <w:qFormat/>
    <w:uiPriority w:val="0"/>
    <w:rPr>
      <w:color w:val="800080"/>
      <w:u w:val="single"/>
    </w:rPr>
  </w:style>
  <w:style w:type="character" w:styleId="32">
    <w:name w:val="Hyperlink"/>
    <w:qFormat/>
    <w:uiPriority w:val="99"/>
    <w:rPr>
      <w:color w:val="0000FF"/>
      <w:u w:val="single"/>
    </w:rPr>
  </w:style>
  <w:style w:type="character" w:styleId="33">
    <w:name w:val="annotation reference"/>
    <w:basedOn w:val="29"/>
    <w:qFormat/>
    <w:uiPriority w:val="0"/>
    <w:rPr>
      <w:sz w:val="21"/>
      <w:szCs w:val="21"/>
    </w:rPr>
  </w:style>
  <w:style w:type="paragraph" w:styleId="34">
    <w:name w:val="No Spacing"/>
    <w:qFormat/>
    <w:uiPriority w:val="0"/>
    <w:rPr>
      <w:rFonts w:ascii="Times New Roman" w:hAnsi="Times New Roman" w:eastAsia="宋体" w:cs="Times New Roman"/>
      <w:sz w:val="22"/>
      <w:szCs w:val="22"/>
      <w:lang w:val="en-US" w:eastAsia="zh-CN" w:bidi="ar-SA"/>
    </w:rPr>
  </w:style>
  <w:style w:type="character" w:customStyle="1" w:styleId="35">
    <w:name w:val="标题 1 字符"/>
    <w:link w:val="4"/>
    <w:qFormat/>
    <w:uiPriority w:val="0"/>
    <w:rPr>
      <w:rFonts w:ascii="Times New Roman" w:hAnsi="Times New Roman" w:eastAsia="宋体" w:cs="Times New Roman"/>
      <w:b/>
      <w:kern w:val="44"/>
      <w:sz w:val="44"/>
    </w:rPr>
  </w:style>
  <w:style w:type="paragraph" w:customStyle="1" w:styleId="36">
    <w:name w:val="z-正文"/>
    <w:basedOn w:val="1"/>
    <w:qFormat/>
    <w:uiPriority w:val="0"/>
    <w:pPr>
      <w:spacing w:line="560" w:lineRule="exact"/>
      <w:ind w:firstLine="200" w:firstLineChars="200"/>
      <w:jc w:val="left"/>
    </w:pPr>
    <w:rPr>
      <w:rFonts w:eastAsia="仿宋_GB2312"/>
      <w:sz w:val="28"/>
      <w:szCs w:val="44"/>
    </w:rPr>
  </w:style>
  <w:style w:type="paragraph" w:customStyle="1" w:styleId="37">
    <w:name w:val="列出段落11"/>
    <w:basedOn w:val="1"/>
    <w:qFormat/>
    <w:uiPriority w:val="34"/>
    <w:pPr>
      <w:ind w:firstLine="420" w:firstLineChars="200"/>
    </w:pPr>
    <w:rPr>
      <w:rFonts w:ascii="宋体" w:hAnsi="宋体"/>
      <w:szCs w:val="22"/>
    </w:rPr>
  </w:style>
  <w:style w:type="paragraph" w:styleId="38">
    <w:name w:val="List Paragraph"/>
    <w:basedOn w:val="1"/>
    <w:qFormat/>
    <w:uiPriority w:val="34"/>
    <w:pPr>
      <w:ind w:firstLine="420" w:firstLineChars="200"/>
    </w:pPr>
  </w:style>
  <w:style w:type="paragraph" w:customStyle="1" w:styleId="39">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40">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1">
    <w:name w:val="标书正文"/>
    <w:basedOn w:val="1"/>
    <w:qFormat/>
    <w:uiPriority w:val="0"/>
    <w:pPr>
      <w:spacing w:line="560" w:lineRule="exact"/>
      <w:ind w:firstLine="723" w:firstLineChars="200"/>
      <w:jc w:val="center"/>
    </w:pPr>
    <w:rPr>
      <w:rFonts w:ascii="仿宋_GB2312" w:eastAsia="仿宋_GB2312"/>
      <w:b/>
      <w:sz w:val="36"/>
      <w:szCs w:val="20"/>
    </w:rPr>
  </w:style>
  <w:style w:type="paragraph" w:customStyle="1" w:styleId="42">
    <w:name w:val="列出段落2"/>
    <w:basedOn w:val="1"/>
    <w:qFormat/>
    <w:uiPriority w:val="34"/>
    <w:pPr>
      <w:spacing w:line="360" w:lineRule="auto"/>
      <w:ind w:firstLine="420" w:firstLineChars="200"/>
    </w:pPr>
    <w:rPr>
      <w:rFonts w:ascii="Calibri" w:hAnsi="Calibri"/>
      <w:sz w:val="24"/>
      <w:szCs w:val="22"/>
    </w:rPr>
  </w:style>
  <w:style w:type="paragraph" w:customStyle="1" w:styleId="43">
    <w:name w:val="正文（绿盟科技）"/>
    <w:qFormat/>
    <w:uiPriority w:val="0"/>
    <w:pPr>
      <w:spacing w:line="300" w:lineRule="auto"/>
    </w:pPr>
    <w:rPr>
      <w:rFonts w:ascii="Arial" w:hAnsi="Arial" w:eastAsia="宋体" w:cs="Times New Roman"/>
      <w:szCs w:val="21"/>
      <w:lang w:val="en-US" w:eastAsia="zh-CN" w:bidi="ar-SA"/>
    </w:rPr>
  </w:style>
  <w:style w:type="paragraph" w:customStyle="1" w:styleId="44">
    <w:name w:val="正文_河南黄河信息技术公司模板"/>
    <w:basedOn w:val="1"/>
    <w:qFormat/>
    <w:uiPriority w:val="99"/>
    <w:pPr>
      <w:spacing w:line="360" w:lineRule="auto"/>
      <w:ind w:firstLine="200" w:firstLineChars="200"/>
    </w:pPr>
    <w:rPr>
      <w:rFonts w:ascii="Calibri" w:hAnsi="Calibri" w:cs="Microsoft Uighur"/>
      <w:sz w:val="24"/>
    </w:rPr>
  </w:style>
  <w:style w:type="paragraph" w:customStyle="1" w:styleId="45">
    <w:name w:val="正文 Char Char"/>
    <w:basedOn w:val="1"/>
    <w:qFormat/>
    <w:uiPriority w:val="0"/>
    <w:pPr>
      <w:adjustRightInd w:val="0"/>
      <w:spacing w:line="360" w:lineRule="auto"/>
      <w:ind w:firstLine="480" w:firstLineChars="200"/>
      <w:textAlignment w:val="baseline"/>
    </w:pPr>
    <w:rPr>
      <w:rFonts w:ascii="宋体" w:hAnsi="宋体"/>
      <w:kern w:val="0"/>
      <w:sz w:val="24"/>
    </w:rPr>
  </w:style>
  <w:style w:type="character" w:customStyle="1" w:styleId="46">
    <w:name w:val="批注框文本 字符"/>
    <w:basedOn w:val="29"/>
    <w:link w:val="16"/>
    <w:qFormat/>
    <w:uiPriority w:val="0"/>
    <w:rPr>
      <w:kern w:val="2"/>
      <w:sz w:val="18"/>
      <w:szCs w:val="18"/>
    </w:rPr>
  </w:style>
  <w:style w:type="paragraph" w:customStyle="1" w:styleId="47">
    <w:name w:val="正文A"/>
    <w:basedOn w:val="1"/>
    <w:qFormat/>
    <w:uiPriority w:val="0"/>
    <w:pPr>
      <w:spacing w:line="360" w:lineRule="auto"/>
      <w:ind w:firstLine="200" w:firstLineChars="200"/>
    </w:pPr>
    <w:rPr>
      <w:sz w:val="24"/>
    </w:rPr>
  </w:style>
  <w:style w:type="paragraph" w:customStyle="1" w:styleId="48">
    <w:name w:val="正文_河南黄河信息技术公司"/>
    <w:basedOn w:val="1"/>
    <w:qFormat/>
    <w:uiPriority w:val="0"/>
    <w:pPr>
      <w:spacing w:line="360" w:lineRule="auto"/>
      <w:ind w:left="105" w:leftChars="50" w:firstLine="480" w:firstLineChars="200"/>
    </w:pPr>
    <w:rPr>
      <w:sz w:val="24"/>
    </w:rPr>
  </w:style>
  <w:style w:type="character" w:customStyle="1" w:styleId="49">
    <w:name w:val="批注文字 字符"/>
    <w:basedOn w:val="29"/>
    <w:link w:val="10"/>
    <w:qFormat/>
    <w:uiPriority w:val="0"/>
    <w:rPr>
      <w:kern w:val="2"/>
      <w:sz w:val="21"/>
      <w:szCs w:val="24"/>
    </w:rPr>
  </w:style>
  <w:style w:type="character" w:customStyle="1" w:styleId="50">
    <w:name w:val="批注主题 字符"/>
    <w:basedOn w:val="49"/>
    <w:link w:val="24"/>
    <w:qFormat/>
    <w:uiPriority w:val="0"/>
    <w:rPr>
      <w:b/>
      <w:bCs/>
      <w:kern w:val="2"/>
      <w:sz w:val="21"/>
      <w:szCs w:val="24"/>
    </w:rPr>
  </w:style>
  <w:style w:type="paragraph" w:customStyle="1" w:styleId="51">
    <w:name w:val="图表标题"/>
    <w:basedOn w:val="1"/>
    <w:qFormat/>
    <w:uiPriority w:val="0"/>
    <w:pPr>
      <w:spacing w:line="360" w:lineRule="auto"/>
      <w:jc w:val="center"/>
    </w:pPr>
    <w:rPr>
      <w:rFonts w:eastAsia="黑体"/>
    </w:rPr>
  </w:style>
  <w:style w:type="paragraph" w:customStyle="1" w:styleId="52">
    <w:name w:val="A 正文"/>
    <w:basedOn w:val="1"/>
    <w:qFormat/>
    <w:uiPriority w:val="0"/>
    <w:pPr>
      <w:adjustRightInd w:val="0"/>
      <w:snapToGrid w:val="0"/>
      <w:spacing w:line="288" w:lineRule="auto"/>
      <w:ind w:firstLine="200" w:firstLineChars="200"/>
    </w:pPr>
    <w:rPr>
      <w:rFonts w:ascii="宋体" w:hAnsi="宋体"/>
      <w:sz w:val="28"/>
    </w:rPr>
  </w:style>
  <w:style w:type="paragraph" w:customStyle="1" w:styleId="53">
    <w:name w:val="样式 首行缩进:  2 字符 行距: 单倍行距"/>
    <w:basedOn w:val="1"/>
    <w:qFormat/>
    <w:uiPriority w:val="0"/>
    <w:pPr>
      <w:adjustRightInd w:val="0"/>
      <w:snapToGrid w:val="0"/>
      <w:spacing w:line="288" w:lineRule="auto"/>
      <w:ind w:firstLine="200" w:firstLineChars="200"/>
    </w:pPr>
    <w:rPr>
      <w:rFonts w:ascii="Calibri" w:hAnsi="Calibri" w:cs="宋体"/>
      <w:sz w:val="28"/>
      <w:szCs w:val="20"/>
    </w:rPr>
  </w:style>
  <w:style w:type="paragraph" w:customStyle="1" w:styleId="54">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55">
    <w:name w:val="正文_塔河"/>
    <w:basedOn w:val="1"/>
    <w:qFormat/>
    <w:uiPriority w:val="0"/>
    <w:pPr>
      <w:spacing w:line="360" w:lineRule="auto"/>
      <w:ind w:firstLine="200" w:firstLineChars="200"/>
    </w:pPr>
    <w:rPr>
      <w:rFonts w:ascii="Calibri" w:hAnsi="Calibri" w:cs="黑体"/>
      <w:sz w:val="24"/>
    </w:rPr>
  </w:style>
  <w:style w:type="paragraph" w:customStyle="1" w:styleId="56">
    <w:name w:val="烽火正文"/>
    <w:basedOn w:val="8"/>
    <w:qFormat/>
    <w:uiPriority w:val="0"/>
    <w:pPr>
      <w:spacing w:line="360" w:lineRule="auto"/>
      <w:ind w:firstLine="200"/>
      <w:jc w:val="left"/>
    </w:pPr>
    <w:rPr>
      <w:szCs w:val="21"/>
    </w:rPr>
  </w:style>
  <w:style w:type="character" w:customStyle="1" w:styleId="57">
    <w:name w:val="font151"/>
    <w:basedOn w:val="29"/>
    <w:qFormat/>
    <w:uiPriority w:val="0"/>
    <w:rPr>
      <w:rFonts w:hint="eastAsia" w:ascii="宋体" w:hAnsi="宋体" w:eastAsia="宋体" w:cs="宋体"/>
      <w:color w:val="000000"/>
      <w:sz w:val="18"/>
      <w:szCs w:val="18"/>
      <w:u w:val="none"/>
    </w:rPr>
  </w:style>
  <w:style w:type="character" w:customStyle="1" w:styleId="58">
    <w:name w:val="font251"/>
    <w:basedOn w:val="29"/>
    <w:qFormat/>
    <w:uiPriority w:val="0"/>
    <w:rPr>
      <w:rFonts w:ascii="Wingdings 2" w:hAnsi="Wingdings 2" w:eastAsia="Wingdings 2" w:cs="Wingdings 2"/>
      <w:color w:val="000000"/>
      <w:sz w:val="18"/>
      <w:szCs w:val="18"/>
      <w:u w:val="none"/>
    </w:rPr>
  </w:style>
  <w:style w:type="character" w:customStyle="1" w:styleId="59">
    <w:name w:val="font281"/>
    <w:basedOn w:val="29"/>
    <w:qFormat/>
    <w:uiPriority w:val="0"/>
    <w:rPr>
      <w:rFonts w:hint="default" w:ascii="Wingdings 2" w:hAnsi="Wingdings 2" w:eastAsia="Wingdings 2" w:cs="Wingdings 2"/>
      <w:color w:val="000000"/>
      <w:sz w:val="18"/>
      <w:szCs w:val="18"/>
      <w:u w:val="none"/>
    </w:rPr>
  </w:style>
  <w:style w:type="character" w:customStyle="1" w:styleId="60">
    <w:name w:val="font241"/>
    <w:basedOn w:val="29"/>
    <w:qFormat/>
    <w:uiPriority w:val="0"/>
    <w:rPr>
      <w:rFonts w:hint="eastAsia" w:ascii="宋体" w:hAnsi="宋体" w:eastAsia="宋体" w:cs="宋体"/>
      <w:b/>
      <w:bCs/>
      <w:color w:val="000000"/>
      <w:sz w:val="18"/>
      <w:szCs w:val="18"/>
      <w:u w:val="single"/>
    </w:rPr>
  </w:style>
  <w:style w:type="character" w:customStyle="1" w:styleId="61">
    <w:name w:val="font51"/>
    <w:basedOn w:val="29"/>
    <w:qFormat/>
    <w:uiPriority w:val="0"/>
    <w:rPr>
      <w:rFonts w:hint="eastAsia" w:ascii="宋体" w:hAnsi="宋体" w:eastAsia="宋体" w:cs="宋体"/>
      <w:color w:val="000000"/>
      <w:sz w:val="18"/>
      <w:szCs w:val="18"/>
      <w:u w:val="none"/>
    </w:rPr>
  </w:style>
  <w:style w:type="character" w:customStyle="1" w:styleId="62">
    <w:name w:val="font291"/>
    <w:basedOn w:val="29"/>
    <w:qFormat/>
    <w:uiPriority w:val="0"/>
    <w:rPr>
      <w:rFonts w:hint="default" w:ascii="Times New Roman" w:hAnsi="Times New Roman" w:cs="Times New Roman"/>
      <w:color w:val="000000"/>
      <w:sz w:val="24"/>
      <w:szCs w:val="24"/>
      <w:u w:val="none"/>
    </w:rPr>
  </w:style>
  <w:style w:type="character" w:customStyle="1" w:styleId="63">
    <w:name w:val="font271"/>
    <w:basedOn w:val="29"/>
    <w:qFormat/>
    <w:uiPriority w:val="0"/>
    <w:rPr>
      <w:rFonts w:hint="eastAsia" w:ascii="微软雅黑" w:hAnsi="微软雅黑" w:eastAsia="微软雅黑" w:cs="微软雅黑"/>
      <w:color w:val="000000"/>
      <w:sz w:val="24"/>
      <w:szCs w:val="24"/>
      <w:u w:val="none"/>
    </w:rPr>
  </w:style>
  <w:style w:type="character" w:customStyle="1" w:styleId="64">
    <w:name w:val="font141"/>
    <w:basedOn w:val="29"/>
    <w:qFormat/>
    <w:uiPriority w:val="0"/>
    <w:rPr>
      <w:rFonts w:hint="eastAsia" w:ascii="宋体" w:hAnsi="宋体" w:eastAsia="宋体" w:cs="宋体"/>
      <w:color w:val="000000"/>
      <w:sz w:val="18"/>
      <w:szCs w:val="18"/>
      <w:u w:val="none"/>
    </w:rPr>
  </w:style>
  <w:style w:type="character" w:customStyle="1" w:styleId="65">
    <w:name w:val="font381"/>
    <w:basedOn w:val="29"/>
    <w:qFormat/>
    <w:uiPriority w:val="0"/>
    <w:rPr>
      <w:rFonts w:hint="eastAsia" w:ascii="宋体" w:hAnsi="宋体" w:eastAsia="宋体" w:cs="宋体"/>
      <w:b/>
      <w:bCs/>
      <w:color w:val="000000"/>
      <w:sz w:val="18"/>
      <w:szCs w:val="18"/>
      <w:u w:val="single"/>
    </w:rPr>
  </w:style>
  <w:style w:type="character" w:customStyle="1" w:styleId="66">
    <w:name w:val="font341"/>
    <w:basedOn w:val="29"/>
    <w:qFormat/>
    <w:uiPriority w:val="0"/>
    <w:rPr>
      <w:rFonts w:hint="eastAsia" w:ascii="微软雅黑" w:hAnsi="微软雅黑" w:eastAsia="微软雅黑" w:cs="微软雅黑"/>
      <w:color w:val="000000"/>
      <w:sz w:val="24"/>
      <w:szCs w:val="24"/>
      <w:u w:val="none"/>
    </w:rPr>
  </w:style>
  <w:style w:type="character" w:customStyle="1" w:styleId="67">
    <w:name w:val="font11"/>
    <w:basedOn w:val="29"/>
    <w:qFormat/>
    <w:uiPriority w:val="0"/>
    <w:rPr>
      <w:rFonts w:hint="eastAsia" w:ascii="微软雅黑" w:hAnsi="微软雅黑" w:eastAsia="微软雅黑" w:cs="微软雅黑"/>
      <w:color w:val="000000"/>
      <w:sz w:val="20"/>
      <w:szCs w:val="20"/>
      <w:u w:val="none"/>
    </w:rPr>
  </w:style>
  <w:style w:type="character" w:customStyle="1" w:styleId="68">
    <w:name w:val="font321"/>
    <w:basedOn w:val="29"/>
    <w:qFormat/>
    <w:uiPriority w:val="0"/>
    <w:rPr>
      <w:rFonts w:hint="eastAsia" w:ascii="宋体" w:hAnsi="宋体" w:eastAsia="宋体" w:cs="宋体"/>
      <w:b/>
      <w:bCs/>
      <w:color w:val="000000"/>
      <w:sz w:val="18"/>
      <w:szCs w:val="18"/>
      <w:u w:val="single"/>
    </w:rPr>
  </w:style>
  <w:style w:type="character" w:customStyle="1" w:styleId="69">
    <w:name w:val="font41"/>
    <w:basedOn w:val="29"/>
    <w:qFormat/>
    <w:uiPriority w:val="0"/>
    <w:rPr>
      <w:rFonts w:hint="eastAsia" w:ascii="宋体" w:hAnsi="宋体" w:eastAsia="宋体" w:cs="宋体"/>
      <w:color w:val="000000"/>
      <w:sz w:val="20"/>
      <w:szCs w:val="20"/>
      <w:u w:val="none"/>
    </w:rPr>
  </w:style>
  <w:style w:type="character" w:customStyle="1" w:styleId="70">
    <w:name w:val="font12"/>
    <w:basedOn w:val="29"/>
    <w:qFormat/>
    <w:uiPriority w:val="0"/>
    <w:rPr>
      <w:rFonts w:hint="eastAsia" w:ascii="宋体" w:hAnsi="宋体" w:eastAsia="宋体" w:cs="宋体"/>
      <w:b/>
      <w:bCs/>
      <w:color w:val="000000"/>
      <w:sz w:val="18"/>
      <w:szCs w:val="18"/>
      <w:u w:val="none"/>
    </w:rPr>
  </w:style>
  <w:style w:type="character" w:customStyle="1" w:styleId="71">
    <w:name w:val="font71"/>
    <w:basedOn w:val="29"/>
    <w:qFormat/>
    <w:uiPriority w:val="0"/>
    <w:rPr>
      <w:rFonts w:hint="default" w:ascii="Times New Roman" w:hAnsi="Times New Roman" w:cs="Times New Roman"/>
      <w:b/>
      <w:bCs/>
      <w:color w:val="000000"/>
      <w:sz w:val="18"/>
      <w:szCs w:val="18"/>
      <w:u w:val="none"/>
    </w:rPr>
  </w:style>
  <w:style w:type="character" w:customStyle="1" w:styleId="72">
    <w:name w:val="font61"/>
    <w:basedOn w:val="29"/>
    <w:qFormat/>
    <w:uiPriority w:val="0"/>
    <w:rPr>
      <w:rFonts w:hint="eastAsia" w:ascii="宋体" w:hAnsi="宋体" w:eastAsia="宋体" w:cs="宋体"/>
      <w:b/>
      <w:bCs/>
      <w:color w:val="000000"/>
      <w:sz w:val="20"/>
      <w:szCs w:val="20"/>
      <w:u w:val="none"/>
    </w:rPr>
  </w:style>
  <w:style w:type="character" w:customStyle="1" w:styleId="73">
    <w:name w:val="NormalCharacter"/>
    <w:semiHidden/>
    <w:qFormat/>
    <w:uiPriority w:val="0"/>
    <w:rPr>
      <w:kern w:val="2"/>
      <w:sz w:val="21"/>
      <w:lang w:val="en-US" w:eastAsia="zh-CN" w:bidi="ar-SA"/>
    </w:rPr>
  </w:style>
  <w:style w:type="paragraph" w:customStyle="1" w:styleId="74">
    <w:name w:val="Default"/>
    <w:qFormat/>
    <w:uiPriority w:val="0"/>
    <w:pPr>
      <w:widowControl w:val="0"/>
      <w:autoSpaceDE w:val="0"/>
      <w:autoSpaceDN w:val="0"/>
      <w:adjustRightInd w:val="0"/>
    </w:pPr>
    <w:rPr>
      <w:rFonts w:ascii="华文中宋" w:hAnsi="Times New Roman" w:eastAsia="华文中宋" w:cs="Arial"/>
      <w:color w:val="000000"/>
      <w:sz w:val="24"/>
      <w:szCs w:val="22"/>
      <w:lang w:val="en-US" w:eastAsia="zh-CN" w:bidi="ar-SA"/>
    </w:rPr>
  </w:style>
  <w:style w:type="paragraph" w:customStyle="1" w:styleId="75">
    <w:name w:val="p0"/>
    <w:basedOn w:val="1"/>
    <w:qFormat/>
    <w:uiPriority w:val="0"/>
    <w:pPr>
      <w:spacing w:line="240" w:lineRule="auto"/>
      <w:jc w:val="left"/>
    </w:pPr>
    <w:rPr>
      <w:color w:val="auto"/>
      <w:szCs w:val="21"/>
      <w:u w:val="none" w:color="auto"/>
    </w:rPr>
  </w:style>
  <w:style w:type="character" w:customStyle="1" w:styleId="76">
    <w:name w:val="正文文本 + MingLiU"/>
    <w:qFormat/>
    <w:uiPriority w:val="0"/>
    <w:rPr>
      <w:rFonts w:ascii="MingLiU" w:hAnsi="MingLiU" w:eastAsia="MingLiU" w:cs="MingLiU"/>
      <w:color w:val="000000"/>
      <w:spacing w:val="-20"/>
      <w:w w:val="100"/>
      <w:position w:val="0"/>
      <w:sz w:val="13"/>
      <w:szCs w:val="13"/>
      <w:u w:val="none"/>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47</Pages>
  <Words>23939</Words>
  <Characters>25823</Characters>
  <Lines>235</Lines>
  <Paragraphs>66</Paragraphs>
  <TotalTime>87</TotalTime>
  <ScaleCrop>false</ScaleCrop>
  <LinksUpToDate>false</LinksUpToDate>
  <CharactersWithSpaces>26952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2021-04-21T06:01:00Z</dcterms:created>
  <dc:creator>Ray</dc:creator>
  <cp:lastModifiedBy>李国栋</cp:lastModifiedBy>
  <cp:lastPrinted>2021-11-24T04:49:00Z</cp:lastPrinted>
  <dcterms:modified xsi:type="dcterms:W3CDTF">2023-04-13T02:13:18Z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CB9600ACEA294185B0953B2D5D615A78_13</vt:lpwstr>
  </property>
</Properties>
</file>