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 xml:space="preserve">    </w:t>
      </w:r>
    </w:p>
    <w:p>
      <w:pPr>
        <w:spacing w:line="0" w:lineRule="atLeast"/>
        <w:jc w:val="center"/>
        <w:rPr>
          <w:rFonts w:ascii="宋体" w:hAnsi="宋体"/>
          <w:b/>
          <w:sz w:val="44"/>
          <w:szCs w:val="22"/>
        </w:rPr>
      </w:pPr>
    </w:p>
    <w:p>
      <w:pPr>
        <w:spacing w:line="0" w:lineRule="atLeast"/>
        <w:jc w:val="center"/>
        <w:rPr>
          <w:rFonts w:ascii="宋体" w:hAnsi="宋体"/>
          <w:b/>
          <w:sz w:val="44"/>
          <w:szCs w:val="22"/>
        </w:rPr>
      </w:pPr>
    </w:p>
    <w:p>
      <w:pPr>
        <w:spacing w:line="0" w:lineRule="atLeast"/>
        <w:jc w:val="center"/>
        <w:rPr>
          <w:rFonts w:ascii="宋体" w:hAnsi="宋体"/>
          <w:b/>
          <w:sz w:val="44"/>
          <w:szCs w:val="22"/>
        </w:rPr>
      </w:pPr>
      <w:r>
        <w:rPr>
          <w:rFonts w:hint="eastAsia" w:ascii="宋体" w:hAnsi="宋体"/>
          <w:b/>
          <w:sz w:val="44"/>
          <w:szCs w:val="22"/>
        </w:rPr>
        <w:t>伊宁市2023年春节氛围亮化工程采购项目</w:t>
      </w:r>
    </w:p>
    <w:p>
      <w:pPr>
        <w:spacing w:line="0" w:lineRule="atLeast"/>
        <w:jc w:val="center"/>
        <w:rPr>
          <w:rFonts w:ascii="宋体" w:hAnsi="宋体"/>
          <w:b/>
          <w:sz w:val="44"/>
        </w:rPr>
      </w:pPr>
    </w:p>
    <w:p>
      <w:pPr>
        <w:spacing w:line="200" w:lineRule="exact"/>
        <w:rPr>
          <w:sz w:val="24"/>
        </w:rPr>
      </w:pPr>
    </w:p>
    <w:p>
      <w:pPr>
        <w:spacing w:line="200" w:lineRule="exact"/>
        <w:rPr>
          <w:sz w:val="24"/>
        </w:rPr>
      </w:pPr>
    </w:p>
    <w:p>
      <w:pPr>
        <w:spacing w:line="200" w:lineRule="exact"/>
        <w:rPr>
          <w:sz w:val="24"/>
        </w:rPr>
      </w:pPr>
    </w:p>
    <w:p>
      <w:pPr>
        <w:spacing w:line="200" w:lineRule="exact"/>
        <w:rPr>
          <w:sz w:val="24"/>
        </w:rPr>
      </w:pPr>
    </w:p>
    <w:p>
      <w:pPr>
        <w:spacing w:line="213" w:lineRule="exact"/>
        <w:rPr>
          <w:sz w:val="24"/>
        </w:rPr>
      </w:pPr>
    </w:p>
    <w:p>
      <w:pPr>
        <w:spacing w:line="213" w:lineRule="exact"/>
        <w:rPr>
          <w:sz w:val="24"/>
        </w:rPr>
      </w:pPr>
    </w:p>
    <w:p>
      <w:pPr>
        <w:pStyle w:val="2"/>
      </w:pPr>
    </w:p>
    <w:p>
      <w:pPr>
        <w:tabs>
          <w:tab w:val="left" w:pos="1960"/>
          <w:tab w:val="left" w:pos="3480"/>
          <w:tab w:val="left" w:pos="4980"/>
        </w:tabs>
        <w:spacing w:line="0" w:lineRule="atLeast"/>
        <w:jc w:val="center"/>
        <w:rPr>
          <w:rFonts w:ascii="宋体" w:hAnsi="宋体"/>
          <w:b/>
          <w:sz w:val="84"/>
        </w:rPr>
      </w:pPr>
    </w:p>
    <w:p>
      <w:pPr>
        <w:tabs>
          <w:tab w:val="left" w:pos="1960"/>
          <w:tab w:val="left" w:pos="3480"/>
          <w:tab w:val="left" w:pos="4980"/>
        </w:tabs>
        <w:spacing w:line="0" w:lineRule="atLeast"/>
        <w:jc w:val="center"/>
        <w:rPr>
          <w:rFonts w:ascii="宋体" w:hAnsi="宋体"/>
          <w:b/>
          <w:sz w:val="83"/>
        </w:rPr>
      </w:pPr>
      <w:r>
        <w:rPr>
          <w:rFonts w:hint="eastAsia" w:ascii="宋体" w:hAnsi="宋体"/>
          <w:b/>
          <w:sz w:val="84"/>
        </w:rPr>
        <w:t>招标</w:t>
      </w:r>
      <w:r>
        <w:rPr>
          <w:rFonts w:ascii="宋体" w:hAnsi="宋体"/>
          <w:b/>
          <w:sz w:val="84"/>
        </w:rPr>
        <w:t>文</w:t>
      </w:r>
      <w:r>
        <w:rPr>
          <w:rFonts w:ascii="宋体" w:hAnsi="宋体"/>
          <w:b/>
          <w:sz w:val="83"/>
        </w:rPr>
        <w:t>件</w:t>
      </w:r>
    </w:p>
    <w:p>
      <w:pPr>
        <w:tabs>
          <w:tab w:val="left" w:pos="1960"/>
          <w:tab w:val="left" w:pos="3480"/>
          <w:tab w:val="left" w:pos="4980"/>
        </w:tabs>
        <w:spacing w:line="0" w:lineRule="atLeast"/>
        <w:jc w:val="center"/>
        <w:rPr>
          <w:rFonts w:hint="default" w:ascii="宋体" w:hAnsi="宋体" w:eastAsia="宋体"/>
          <w:b/>
          <w:bCs/>
          <w:sz w:val="32"/>
          <w:szCs w:val="32"/>
          <w:highlight w:val="none"/>
          <w:lang w:val="en-US" w:eastAsia="zh-CN"/>
        </w:rPr>
      </w:pPr>
      <w:r>
        <w:rPr>
          <w:rFonts w:ascii="宋体" w:hAnsi="宋体"/>
          <w:b/>
          <w:bCs/>
          <w:sz w:val="32"/>
          <w:szCs w:val="32"/>
          <w:highlight w:val="none"/>
        </w:rPr>
        <w:t>项目编号：</w:t>
      </w:r>
      <w:r>
        <w:rPr>
          <w:rFonts w:hint="eastAsia" w:ascii="宋体" w:hAnsi="宋体"/>
          <w:b/>
          <w:bCs/>
          <w:sz w:val="32"/>
          <w:szCs w:val="32"/>
          <w:highlight w:val="none"/>
        </w:rPr>
        <w:t>XJYC-ZB-20230</w:t>
      </w:r>
      <w:r>
        <w:rPr>
          <w:rFonts w:hint="eastAsia" w:ascii="宋体" w:hAnsi="宋体"/>
          <w:b/>
          <w:bCs/>
          <w:sz w:val="32"/>
          <w:szCs w:val="32"/>
          <w:highlight w:val="none"/>
          <w:lang w:val="en-US" w:eastAsia="zh-CN"/>
        </w:rPr>
        <w:t>10</w:t>
      </w:r>
    </w:p>
    <w:p>
      <w:pPr>
        <w:pStyle w:val="3"/>
      </w:pPr>
    </w:p>
    <w:p/>
    <w:p>
      <w:pPr>
        <w:pStyle w:val="2"/>
      </w:pPr>
    </w:p>
    <w:p>
      <w:pPr>
        <w:spacing w:line="720" w:lineRule="exact"/>
        <w:jc w:val="center"/>
        <w:rPr>
          <w:rFonts w:ascii="宋体" w:hAnsi="宋体"/>
          <w:sz w:val="28"/>
          <w:szCs w:val="28"/>
        </w:rPr>
      </w:pPr>
    </w:p>
    <w:p>
      <w:pPr>
        <w:pStyle w:val="3"/>
      </w:pPr>
    </w:p>
    <w:p>
      <w:pPr>
        <w:spacing w:line="720" w:lineRule="exact"/>
        <w:rPr>
          <w:rFonts w:hint="default" w:ascii="宋体" w:hAnsi="宋体" w:eastAsia="宋体"/>
          <w:sz w:val="28"/>
          <w:szCs w:val="28"/>
          <w:lang w:val="en-US" w:eastAsia="zh-CN"/>
        </w:rPr>
      </w:pPr>
    </w:p>
    <w:p>
      <w:pPr>
        <w:spacing w:line="720" w:lineRule="exact"/>
        <w:jc w:val="center"/>
        <w:rPr>
          <w:rFonts w:ascii="宋体" w:hAnsi="宋体"/>
          <w:sz w:val="28"/>
          <w:szCs w:val="28"/>
        </w:rPr>
      </w:pPr>
      <w:r>
        <w:rPr>
          <w:rFonts w:hint="eastAsia" w:ascii="宋体" w:hAnsi="宋体"/>
          <w:sz w:val="28"/>
          <w:szCs w:val="28"/>
        </w:rPr>
        <w:t>采购人：伊宁市住房和城乡建设局</w:t>
      </w:r>
    </w:p>
    <w:p>
      <w:pPr>
        <w:spacing w:line="720" w:lineRule="exact"/>
        <w:jc w:val="center"/>
        <w:rPr>
          <w:rFonts w:ascii="宋体" w:hAnsi="宋体"/>
          <w:sz w:val="28"/>
          <w:szCs w:val="28"/>
        </w:rPr>
      </w:pPr>
      <w:r>
        <w:rPr>
          <w:rFonts w:ascii="宋体" w:hAnsi="宋体"/>
          <w:sz w:val="28"/>
          <w:szCs w:val="28"/>
        </w:rPr>
        <w:t>采购代理机构：</w:t>
      </w:r>
      <w:r>
        <w:rPr>
          <w:rFonts w:hint="eastAsia" w:ascii="宋体" w:hAnsi="宋体"/>
          <w:sz w:val="28"/>
          <w:szCs w:val="28"/>
        </w:rPr>
        <w:t>新疆远驰工程咨询有限公司</w:t>
      </w:r>
    </w:p>
    <w:p>
      <w:pPr>
        <w:spacing w:line="0" w:lineRule="atLeast"/>
        <w:jc w:val="center"/>
        <w:rPr>
          <w:rFonts w:ascii="宋体" w:hAnsi="宋体"/>
          <w:sz w:val="32"/>
          <w:szCs w:val="32"/>
        </w:rPr>
      </w:pPr>
    </w:p>
    <w:p>
      <w:pPr>
        <w:spacing w:line="0" w:lineRule="atLeast"/>
        <w:jc w:val="center"/>
        <w:rPr>
          <w:rFonts w:ascii="宋体" w:hAnsi="宋体"/>
          <w:sz w:val="32"/>
          <w:szCs w:val="32"/>
        </w:rPr>
      </w:pPr>
      <w:r>
        <w:rPr>
          <w:rFonts w:ascii="宋体" w:hAnsi="宋体"/>
          <w:sz w:val="32"/>
          <w:szCs w:val="32"/>
        </w:rPr>
        <w:t>二〇</w:t>
      </w:r>
      <w:r>
        <w:rPr>
          <w:rFonts w:hint="eastAsia" w:ascii="宋体" w:hAnsi="宋体"/>
          <w:sz w:val="32"/>
          <w:szCs w:val="32"/>
        </w:rPr>
        <w:t>二三</w:t>
      </w:r>
      <w:r>
        <w:rPr>
          <w:rFonts w:ascii="宋体" w:hAnsi="宋体"/>
          <w:sz w:val="32"/>
          <w:szCs w:val="32"/>
        </w:rPr>
        <w:t>年</w:t>
      </w:r>
      <w:r>
        <w:rPr>
          <w:rFonts w:hint="eastAsia" w:ascii="宋体" w:hAnsi="宋体"/>
          <w:sz w:val="32"/>
          <w:szCs w:val="32"/>
        </w:rPr>
        <w:t>一</w:t>
      </w:r>
      <w:r>
        <w:rPr>
          <w:rFonts w:ascii="宋体" w:hAnsi="宋体"/>
          <w:sz w:val="32"/>
          <w:szCs w:val="32"/>
        </w:rPr>
        <w:t>月</w:t>
      </w:r>
    </w:p>
    <w:p>
      <w:pPr>
        <w:pStyle w:val="87"/>
        <w:spacing w:line="360" w:lineRule="auto"/>
        <w:jc w:val="center"/>
        <w:rPr>
          <w:rFonts w:ascii="宋体" w:hAnsi="宋体"/>
          <w:b/>
          <w:color w:val="auto"/>
          <w:sz w:val="36"/>
        </w:rPr>
        <w:sectPr>
          <w:footerReference r:id="rId3" w:type="first"/>
          <w:pgSz w:w="11906" w:h="16838"/>
          <w:pgMar w:top="1440" w:right="1800" w:bottom="1440" w:left="1800" w:header="851" w:footer="851" w:gutter="0"/>
          <w:pgNumType w:start="0"/>
          <w:cols w:space="720" w:num="1"/>
          <w:docGrid w:type="linesAndChars" w:linePitch="312" w:charSpace="0"/>
        </w:sectPr>
      </w:pPr>
    </w:p>
    <w:p>
      <w:pPr>
        <w:pStyle w:val="87"/>
        <w:spacing w:line="360" w:lineRule="auto"/>
        <w:jc w:val="center"/>
        <w:rPr>
          <w:rFonts w:ascii="宋体" w:hAnsi="宋体"/>
          <w:b/>
          <w:color w:val="auto"/>
          <w:sz w:val="36"/>
        </w:rPr>
      </w:pPr>
      <w:r>
        <w:rPr>
          <w:rFonts w:hint="eastAsia" w:ascii="宋体" w:hAnsi="宋体"/>
          <w:b/>
          <w:color w:val="auto"/>
          <w:sz w:val="36"/>
        </w:rPr>
        <w:t>目    录</w:t>
      </w:r>
    </w:p>
    <w:p>
      <w:pPr>
        <w:pStyle w:val="29"/>
        <w:tabs>
          <w:tab w:val="right" w:leader="dot" w:pos="9354"/>
        </w:tabs>
        <w:spacing w:line="500" w:lineRule="exact"/>
        <w:rPr>
          <w:rFonts w:asciiTheme="minorEastAsia" w:hAnsiTheme="minorEastAsia" w:eastAsiaTheme="minorEastAsia" w:cstheme="minorEastAsia"/>
          <w:sz w:val="24"/>
          <w:szCs w:val="24"/>
        </w:rPr>
      </w:pPr>
      <w:r>
        <w:rPr>
          <w:rFonts w:ascii="宋体" w:hAnsi="宋体"/>
          <w:b w:val="0"/>
          <w:sz w:val="28"/>
          <w:szCs w:val="28"/>
        </w:rPr>
        <w:fldChar w:fldCharType="begin"/>
      </w:r>
      <w:r>
        <w:rPr>
          <w:rFonts w:hint="eastAsia" w:ascii="宋体" w:hAnsi="宋体"/>
          <w:b w:val="0"/>
          <w:sz w:val="28"/>
          <w:szCs w:val="28"/>
        </w:rPr>
        <w:instrText xml:space="preserve">TOC \o "1-3" \h \z \u</w:instrText>
      </w:r>
      <w:r>
        <w:rPr>
          <w:rFonts w:ascii="宋体" w:hAnsi="宋体"/>
          <w:b w:val="0"/>
          <w:sz w:val="28"/>
          <w:szCs w:val="28"/>
        </w:rPr>
        <w:fldChar w:fldCharType="separate"/>
      </w:r>
      <w:r>
        <w:fldChar w:fldCharType="begin"/>
      </w:r>
      <w:r>
        <w:instrText xml:space="preserve"> HYPERLINK \l "_Toc28438" </w:instrText>
      </w:r>
      <w:r>
        <w:fldChar w:fldCharType="separate"/>
      </w:r>
      <w:r>
        <w:rPr>
          <w:rFonts w:hint="eastAsia" w:asciiTheme="minorEastAsia" w:hAnsiTheme="minorEastAsia" w:eastAsiaTheme="minorEastAsia" w:cstheme="minorEastAsia"/>
          <w:sz w:val="24"/>
          <w:szCs w:val="24"/>
        </w:rPr>
        <w:t>投标供应商须知前附表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_Toc28438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29"/>
        <w:tabs>
          <w:tab w:val="right" w:leader="dot" w:pos="9354"/>
        </w:tabs>
        <w:spacing w:line="500" w:lineRule="exact"/>
        <w:rPr>
          <w:rFonts w:asciiTheme="minorEastAsia" w:hAnsiTheme="minorEastAsia" w:eastAsiaTheme="minorEastAsia" w:cstheme="minorEastAsia"/>
          <w:sz w:val="24"/>
          <w:szCs w:val="24"/>
        </w:rPr>
      </w:pPr>
      <w:r>
        <w:fldChar w:fldCharType="begin"/>
      </w:r>
      <w:r>
        <w:instrText xml:space="preserve"> HYPERLINK \l "_Toc2189" </w:instrText>
      </w:r>
      <w:r>
        <w:fldChar w:fldCharType="separate"/>
      </w:r>
      <w:r>
        <w:rPr>
          <w:rFonts w:hint="eastAsia" w:asciiTheme="minorEastAsia" w:hAnsiTheme="minorEastAsia" w:eastAsiaTheme="minorEastAsia" w:cstheme="minorEastAsia"/>
          <w:sz w:val="24"/>
          <w:szCs w:val="24"/>
        </w:rPr>
        <w:t>第一章 招标公告</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_Toc2189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29"/>
        <w:tabs>
          <w:tab w:val="right" w:leader="dot" w:pos="9354"/>
        </w:tabs>
        <w:spacing w:line="500" w:lineRule="exact"/>
        <w:rPr>
          <w:rFonts w:asciiTheme="minorEastAsia" w:hAnsiTheme="minorEastAsia" w:eastAsiaTheme="minorEastAsia" w:cstheme="minorEastAsia"/>
          <w:sz w:val="24"/>
          <w:szCs w:val="24"/>
        </w:rPr>
      </w:pPr>
      <w:r>
        <w:fldChar w:fldCharType="begin"/>
      </w:r>
      <w:r>
        <w:instrText xml:space="preserve"> HYPERLINK \l "_Toc6564" </w:instrText>
      </w:r>
      <w:r>
        <w:fldChar w:fldCharType="separate"/>
      </w:r>
      <w:r>
        <w:rPr>
          <w:rFonts w:hint="eastAsia" w:asciiTheme="minorEastAsia" w:hAnsiTheme="minorEastAsia" w:eastAsiaTheme="minorEastAsia" w:cstheme="minorEastAsia"/>
          <w:sz w:val="24"/>
          <w:szCs w:val="24"/>
        </w:rPr>
        <w:t>第二章 投标须知</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_Toc6564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3"/>
        <w:tabs>
          <w:tab w:val="right" w:leader="dot" w:pos="9354"/>
        </w:tabs>
        <w:spacing w:line="500" w:lineRule="exact"/>
        <w:rPr>
          <w:rFonts w:asciiTheme="minorEastAsia" w:hAnsiTheme="minorEastAsia" w:eastAsiaTheme="minorEastAsia" w:cstheme="minorEastAsia"/>
          <w:sz w:val="24"/>
          <w:szCs w:val="24"/>
        </w:rPr>
      </w:pPr>
      <w:r>
        <w:fldChar w:fldCharType="begin"/>
      </w:r>
      <w:r>
        <w:instrText xml:space="preserve"> HYPERLINK \l "_Toc8533" </w:instrText>
      </w:r>
      <w:r>
        <w:fldChar w:fldCharType="separate"/>
      </w:r>
      <w:r>
        <w:rPr>
          <w:rFonts w:hint="eastAsia" w:asciiTheme="minorEastAsia" w:hAnsiTheme="minorEastAsia" w:eastAsiaTheme="minorEastAsia" w:cstheme="minorEastAsia"/>
          <w:sz w:val="24"/>
          <w:szCs w:val="24"/>
        </w:rPr>
        <w:t>一、总则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_Toc8533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3"/>
        <w:tabs>
          <w:tab w:val="right" w:leader="dot" w:pos="9354"/>
        </w:tabs>
        <w:spacing w:line="500" w:lineRule="exact"/>
        <w:rPr>
          <w:rFonts w:asciiTheme="minorEastAsia" w:hAnsiTheme="minorEastAsia" w:eastAsiaTheme="minorEastAsia" w:cstheme="minorEastAsia"/>
          <w:sz w:val="24"/>
          <w:szCs w:val="24"/>
        </w:rPr>
      </w:pPr>
      <w:r>
        <w:fldChar w:fldCharType="begin"/>
      </w:r>
      <w:r>
        <w:instrText xml:space="preserve"> HYPERLINK \l "_Toc7954" </w:instrText>
      </w:r>
      <w:r>
        <w:fldChar w:fldCharType="separate"/>
      </w:r>
      <w:r>
        <w:rPr>
          <w:rFonts w:hint="eastAsia" w:asciiTheme="minorEastAsia" w:hAnsiTheme="minorEastAsia" w:eastAsiaTheme="minorEastAsia" w:cstheme="minorEastAsia"/>
          <w:sz w:val="24"/>
          <w:szCs w:val="24"/>
        </w:rPr>
        <w:t>二、招标文件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_Toc7954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3"/>
        <w:tabs>
          <w:tab w:val="right" w:leader="dot" w:pos="9354"/>
        </w:tabs>
        <w:spacing w:line="500" w:lineRule="exact"/>
        <w:rPr>
          <w:rFonts w:asciiTheme="minorEastAsia" w:hAnsiTheme="minorEastAsia" w:eastAsiaTheme="minorEastAsia" w:cstheme="minorEastAsia"/>
          <w:sz w:val="24"/>
          <w:szCs w:val="24"/>
        </w:rPr>
      </w:pPr>
      <w:r>
        <w:fldChar w:fldCharType="begin"/>
      </w:r>
      <w:r>
        <w:instrText xml:space="preserve"> HYPERLINK \l "_Toc22109" </w:instrText>
      </w:r>
      <w:r>
        <w:fldChar w:fldCharType="separate"/>
      </w:r>
      <w:r>
        <w:rPr>
          <w:rFonts w:hint="eastAsia" w:asciiTheme="minorEastAsia" w:hAnsiTheme="minorEastAsia" w:eastAsiaTheme="minorEastAsia" w:cstheme="minorEastAsia"/>
          <w:sz w:val="24"/>
          <w:szCs w:val="24"/>
        </w:rPr>
        <w:t>三、投标文件的编制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_Toc22109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3"/>
        <w:tabs>
          <w:tab w:val="right" w:leader="dot" w:pos="9354"/>
        </w:tabs>
        <w:spacing w:line="500" w:lineRule="exact"/>
        <w:rPr>
          <w:rFonts w:asciiTheme="minorEastAsia" w:hAnsiTheme="minorEastAsia" w:eastAsiaTheme="minorEastAsia" w:cstheme="minorEastAsia"/>
          <w:sz w:val="24"/>
          <w:szCs w:val="24"/>
        </w:rPr>
      </w:pPr>
      <w:r>
        <w:fldChar w:fldCharType="begin"/>
      </w:r>
      <w:r>
        <w:instrText xml:space="preserve"> HYPERLINK \l "_Toc4643" </w:instrText>
      </w:r>
      <w:r>
        <w:fldChar w:fldCharType="separate"/>
      </w:r>
      <w:r>
        <w:rPr>
          <w:rFonts w:hint="eastAsia" w:asciiTheme="minorEastAsia" w:hAnsiTheme="minorEastAsia" w:eastAsiaTheme="minorEastAsia" w:cstheme="minorEastAsia"/>
          <w:sz w:val="24"/>
          <w:szCs w:val="24"/>
        </w:rPr>
        <w:t>四、投标文件的递交</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_Toc4643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13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3"/>
        <w:tabs>
          <w:tab w:val="right" w:leader="dot" w:pos="9354"/>
        </w:tabs>
        <w:spacing w:line="500" w:lineRule="exact"/>
        <w:rPr>
          <w:rFonts w:asciiTheme="minorEastAsia" w:hAnsiTheme="minorEastAsia" w:eastAsiaTheme="minorEastAsia" w:cstheme="minorEastAsia"/>
          <w:sz w:val="24"/>
          <w:szCs w:val="24"/>
        </w:rPr>
      </w:pPr>
      <w:r>
        <w:fldChar w:fldCharType="begin"/>
      </w:r>
      <w:r>
        <w:instrText xml:space="preserve"> HYPERLINK \l "_Toc8270" </w:instrText>
      </w:r>
      <w:r>
        <w:fldChar w:fldCharType="separate"/>
      </w:r>
      <w:r>
        <w:rPr>
          <w:rFonts w:hint="eastAsia" w:asciiTheme="minorEastAsia" w:hAnsiTheme="minorEastAsia" w:eastAsiaTheme="minorEastAsia" w:cstheme="minorEastAsia"/>
          <w:sz w:val="24"/>
          <w:szCs w:val="24"/>
        </w:rPr>
        <w:t>五、开标</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_Toc8270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3"/>
        <w:tabs>
          <w:tab w:val="right" w:leader="dot" w:pos="9354"/>
        </w:tabs>
        <w:spacing w:line="500" w:lineRule="exact"/>
        <w:rPr>
          <w:rFonts w:asciiTheme="minorEastAsia" w:hAnsiTheme="minorEastAsia" w:eastAsiaTheme="minorEastAsia" w:cstheme="minorEastAsia"/>
          <w:sz w:val="24"/>
          <w:szCs w:val="24"/>
        </w:rPr>
      </w:pPr>
      <w:r>
        <w:fldChar w:fldCharType="begin"/>
      </w:r>
      <w:r>
        <w:instrText xml:space="preserve"> HYPERLINK \l "_Toc15882" </w:instrText>
      </w:r>
      <w:r>
        <w:fldChar w:fldCharType="separate"/>
      </w:r>
      <w:r>
        <w:rPr>
          <w:rFonts w:hint="eastAsia" w:asciiTheme="minorEastAsia" w:hAnsiTheme="minorEastAsia" w:eastAsiaTheme="minorEastAsia" w:cstheme="minorEastAsia"/>
          <w:sz w:val="24"/>
          <w:szCs w:val="24"/>
        </w:rPr>
        <w:t>六、评标、定标</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_Toc15882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15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3"/>
        <w:tabs>
          <w:tab w:val="right" w:leader="dot" w:pos="9354"/>
        </w:tabs>
        <w:spacing w:line="500" w:lineRule="exact"/>
        <w:rPr>
          <w:rFonts w:asciiTheme="minorEastAsia" w:hAnsiTheme="minorEastAsia" w:eastAsiaTheme="minorEastAsia" w:cstheme="minorEastAsia"/>
          <w:sz w:val="24"/>
          <w:szCs w:val="24"/>
        </w:rPr>
      </w:pPr>
      <w:r>
        <w:fldChar w:fldCharType="begin"/>
      </w:r>
      <w:r>
        <w:instrText xml:space="preserve"> HYPERLINK \l "_Toc9740" </w:instrText>
      </w:r>
      <w:r>
        <w:fldChar w:fldCharType="separate"/>
      </w:r>
      <w:r>
        <w:rPr>
          <w:rFonts w:hint="eastAsia" w:asciiTheme="minorEastAsia" w:hAnsiTheme="minorEastAsia" w:eastAsiaTheme="minorEastAsia" w:cstheme="minorEastAsia"/>
          <w:sz w:val="24"/>
          <w:szCs w:val="24"/>
        </w:rPr>
        <w:t>七、授予合同</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_Toc9740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22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3"/>
        <w:tabs>
          <w:tab w:val="right" w:leader="dot" w:pos="9354"/>
        </w:tabs>
        <w:spacing w:line="500" w:lineRule="exact"/>
        <w:rPr>
          <w:rFonts w:asciiTheme="minorEastAsia" w:hAnsiTheme="minorEastAsia" w:eastAsiaTheme="minorEastAsia" w:cstheme="minorEastAsia"/>
          <w:sz w:val="24"/>
          <w:szCs w:val="24"/>
        </w:rPr>
      </w:pPr>
      <w:r>
        <w:fldChar w:fldCharType="begin"/>
      </w:r>
      <w:r>
        <w:instrText xml:space="preserve"> HYPERLINK \l "_Toc7315" </w:instrText>
      </w:r>
      <w:r>
        <w:fldChar w:fldCharType="separate"/>
      </w:r>
      <w:r>
        <w:rPr>
          <w:rFonts w:hint="eastAsia" w:asciiTheme="minorEastAsia" w:hAnsiTheme="minorEastAsia" w:eastAsiaTheme="minorEastAsia" w:cstheme="minorEastAsia"/>
          <w:sz w:val="24"/>
          <w:szCs w:val="24"/>
        </w:rPr>
        <w:t>八、买方授标时更改采购货物数量的权利</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_Toc7315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23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3"/>
        <w:tabs>
          <w:tab w:val="right" w:leader="dot" w:pos="9354"/>
        </w:tabs>
        <w:spacing w:line="500" w:lineRule="exact"/>
        <w:rPr>
          <w:rFonts w:asciiTheme="minorEastAsia" w:hAnsiTheme="minorEastAsia" w:eastAsiaTheme="minorEastAsia" w:cstheme="minorEastAsia"/>
          <w:sz w:val="24"/>
          <w:szCs w:val="24"/>
        </w:rPr>
      </w:pPr>
      <w:r>
        <w:fldChar w:fldCharType="begin"/>
      </w:r>
      <w:r>
        <w:instrText xml:space="preserve"> HYPERLINK \l "_Toc5835" </w:instrText>
      </w:r>
      <w:r>
        <w:fldChar w:fldCharType="separate"/>
      </w:r>
      <w:r>
        <w:rPr>
          <w:rFonts w:hint="eastAsia" w:asciiTheme="minorEastAsia" w:hAnsiTheme="minorEastAsia" w:eastAsiaTheme="minorEastAsia" w:cstheme="minorEastAsia"/>
          <w:sz w:val="24"/>
          <w:szCs w:val="24"/>
        </w:rPr>
        <w:t>九、其他事项</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_Toc5835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23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29"/>
        <w:tabs>
          <w:tab w:val="right" w:leader="dot" w:pos="9354"/>
        </w:tabs>
        <w:spacing w:line="500" w:lineRule="exact"/>
        <w:rPr>
          <w:rFonts w:asciiTheme="minorEastAsia" w:hAnsiTheme="minorEastAsia" w:eastAsiaTheme="minorEastAsia" w:cstheme="minorEastAsia"/>
          <w:sz w:val="24"/>
          <w:szCs w:val="24"/>
        </w:rPr>
      </w:pPr>
      <w:r>
        <w:fldChar w:fldCharType="begin"/>
      </w:r>
      <w:r>
        <w:instrText xml:space="preserve"> HYPERLINK \l "_Toc4714" </w:instrText>
      </w:r>
      <w:r>
        <w:fldChar w:fldCharType="separate"/>
      </w:r>
      <w:r>
        <w:rPr>
          <w:rFonts w:hint="eastAsia" w:asciiTheme="minorEastAsia" w:hAnsiTheme="minorEastAsia" w:eastAsiaTheme="minorEastAsia" w:cstheme="minorEastAsia"/>
          <w:sz w:val="24"/>
          <w:szCs w:val="24"/>
        </w:rPr>
        <w:t>第三章 货物需求一览表及技术规格要求及售后服务</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_Toc4714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24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29"/>
        <w:tabs>
          <w:tab w:val="right" w:leader="dot" w:pos="9354"/>
        </w:tabs>
        <w:spacing w:line="500" w:lineRule="exact"/>
        <w:rPr>
          <w:rFonts w:asciiTheme="minorEastAsia" w:hAnsiTheme="minorEastAsia" w:eastAsiaTheme="minorEastAsia" w:cstheme="minorEastAsia"/>
          <w:sz w:val="24"/>
          <w:szCs w:val="24"/>
        </w:rPr>
      </w:pPr>
      <w:r>
        <w:fldChar w:fldCharType="begin"/>
      </w:r>
      <w:r>
        <w:instrText xml:space="preserve"> HYPERLINK \l "_Toc5541" </w:instrText>
      </w:r>
      <w:r>
        <w:fldChar w:fldCharType="separate"/>
      </w:r>
      <w:r>
        <w:rPr>
          <w:rFonts w:hint="eastAsia" w:asciiTheme="minorEastAsia" w:hAnsiTheme="minorEastAsia" w:eastAsiaTheme="minorEastAsia" w:cstheme="minorEastAsia"/>
          <w:sz w:val="24"/>
          <w:szCs w:val="24"/>
        </w:rPr>
        <w:t>第四章 合同条款</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7</w:t>
      </w:r>
    </w:p>
    <w:p>
      <w:pPr>
        <w:pStyle w:val="29"/>
        <w:tabs>
          <w:tab w:val="right" w:leader="dot" w:pos="9354"/>
        </w:tabs>
        <w:spacing w:line="500" w:lineRule="exact"/>
        <w:rPr>
          <w:rFonts w:asciiTheme="minorEastAsia" w:hAnsiTheme="minorEastAsia" w:eastAsiaTheme="minorEastAsia" w:cstheme="minorEastAsia"/>
          <w:sz w:val="24"/>
          <w:szCs w:val="24"/>
        </w:rPr>
      </w:pPr>
      <w:r>
        <w:fldChar w:fldCharType="begin"/>
      </w:r>
      <w:r>
        <w:instrText xml:space="preserve"> HYPERLINK \l "_Toc19169" </w:instrText>
      </w:r>
      <w:r>
        <w:fldChar w:fldCharType="separate"/>
      </w:r>
      <w:r>
        <w:rPr>
          <w:rFonts w:hint="eastAsia" w:asciiTheme="minorEastAsia" w:hAnsiTheme="minorEastAsia" w:eastAsiaTheme="minorEastAsia" w:cstheme="minorEastAsia"/>
          <w:sz w:val="24"/>
          <w:szCs w:val="24"/>
        </w:rPr>
        <w:t>第五章 投标文件格式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0</w:t>
      </w:r>
    </w:p>
    <w:p>
      <w:pPr>
        <w:rPr>
          <w:rFonts w:eastAsiaTheme="minorEastAsia"/>
        </w:rPr>
      </w:pPr>
    </w:p>
    <w:p>
      <w:pPr>
        <w:pStyle w:val="29"/>
        <w:tabs>
          <w:tab w:val="right" w:leader="dot" w:pos="9354"/>
        </w:tabs>
        <w:spacing w:line="500" w:lineRule="exact"/>
      </w:pPr>
    </w:p>
    <w:p>
      <w:pPr>
        <w:pStyle w:val="29"/>
        <w:tabs>
          <w:tab w:val="left" w:pos="5410"/>
        </w:tabs>
        <w:spacing w:line="500" w:lineRule="exact"/>
        <w:rPr>
          <w:rFonts w:ascii="宋体" w:hAnsi="宋体"/>
          <w:sz w:val="28"/>
          <w:szCs w:val="28"/>
        </w:rPr>
      </w:pPr>
      <w:r>
        <w:rPr>
          <w:rFonts w:ascii="宋体" w:hAnsi="宋体"/>
          <w:szCs w:val="28"/>
        </w:rPr>
        <w:fldChar w:fldCharType="end"/>
      </w:r>
      <w:r>
        <w:rPr>
          <w:rFonts w:hint="eastAsia" w:ascii="宋体" w:hAnsi="宋体"/>
          <w:szCs w:val="28"/>
        </w:rPr>
        <w:tab/>
      </w:r>
    </w:p>
    <w:p>
      <w:pPr>
        <w:spacing w:line="360" w:lineRule="auto"/>
        <w:jc w:val="center"/>
        <w:rPr>
          <w:rFonts w:ascii="宋体" w:hAnsi="宋体"/>
          <w:b/>
          <w:sz w:val="36"/>
        </w:rPr>
      </w:pPr>
    </w:p>
    <w:p>
      <w:pPr>
        <w:spacing w:line="360" w:lineRule="auto"/>
        <w:jc w:val="center"/>
        <w:rPr>
          <w:rFonts w:ascii="宋体" w:hAnsi="宋体"/>
          <w:b/>
          <w:sz w:val="36"/>
        </w:rPr>
        <w:sectPr>
          <w:footerReference r:id="rId4" w:type="default"/>
          <w:pgSz w:w="11906" w:h="16838"/>
          <w:pgMar w:top="1418" w:right="1134" w:bottom="1418" w:left="1418" w:header="851" w:footer="851" w:gutter="0"/>
          <w:pgNumType w:start="1"/>
          <w:cols w:space="720" w:num="1"/>
          <w:docGrid w:type="linesAndChars" w:linePitch="312" w:charSpace="0"/>
        </w:sectPr>
      </w:pPr>
    </w:p>
    <w:p>
      <w:pPr>
        <w:spacing w:line="500" w:lineRule="exact"/>
        <w:jc w:val="center"/>
        <w:outlineLvl w:val="0"/>
        <w:rPr>
          <w:rFonts w:ascii="宋体" w:hAnsi="宋体"/>
          <w:b/>
          <w:sz w:val="24"/>
          <w:szCs w:val="24"/>
        </w:rPr>
      </w:pPr>
      <w:bookmarkStart w:id="0" w:name="_Toc28438"/>
      <w:r>
        <w:rPr>
          <w:rFonts w:hint="eastAsia" w:ascii="宋体" w:hAnsi="宋体"/>
          <w:b/>
          <w:sz w:val="36"/>
        </w:rPr>
        <w:t>投标供应商须知前附表</w:t>
      </w:r>
      <w:bookmarkEnd w:id="0"/>
    </w:p>
    <w:tbl>
      <w:tblPr>
        <w:tblStyle w:val="40"/>
        <w:tblW w:w="5000" w:type="pct"/>
        <w:jc w:val="center"/>
        <w:tblLayout w:type="autofit"/>
        <w:tblCellMar>
          <w:top w:w="0" w:type="dxa"/>
          <w:left w:w="108" w:type="dxa"/>
          <w:bottom w:w="0" w:type="dxa"/>
          <w:right w:w="108" w:type="dxa"/>
        </w:tblCellMar>
      </w:tblPr>
      <w:tblGrid>
        <w:gridCol w:w="994"/>
        <w:gridCol w:w="8577"/>
      </w:tblGrid>
      <w:tr>
        <w:tblPrEx>
          <w:tblCellMar>
            <w:top w:w="0" w:type="dxa"/>
            <w:left w:w="108" w:type="dxa"/>
            <w:bottom w:w="0" w:type="dxa"/>
            <w:right w:w="108" w:type="dxa"/>
          </w:tblCellMar>
        </w:tblPrEx>
        <w:trPr>
          <w:trHeight w:val="467" w:hRule="exact"/>
          <w:jc w:val="center"/>
        </w:trPr>
        <w:tc>
          <w:tcPr>
            <w:tcW w:w="519" w:type="pct"/>
            <w:tcBorders>
              <w:top w:val="single" w:color="auto" w:sz="12" w:space="0"/>
              <w:left w:val="single" w:color="auto" w:sz="12" w:space="0"/>
              <w:bottom w:val="single" w:color="auto" w:sz="12" w:space="0"/>
              <w:right w:val="single" w:color="auto" w:sz="12" w:space="0"/>
            </w:tcBorders>
            <w:vAlign w:val="center"/>
          </w:tcPr>
          <w:p>
            <w:pPr>
              <w:pStyle w:val="87"/>
              <w:spacing w:line="500" w:lineRule="exact"/>
              <w:jc w:val="center"/>
              <w:rPr>
                <w:rFonts w:ascii="宋体" w:hAnsi="宋体"/>
                <w:color w:val="auto"/>
              </w:rPr>
            </w:pPr>
            <w:r>
              <w:rPr>
                <w:rFonts w:hint="eastAsia" w:ascii="宋体" w:hAnsi="宋体"/>
                <w:color w:val="auto"/>
              </w:rPr>
              <w:t>序号</w:t>
            </w:r>
          </w:p>
        </w:tc>
        <w:tc>
          <w:tcPr>
            <w:tcW w:w="4480" w:type="pct"/>
            <w:tcBorders>
              <w:top w:val="single" w:color="auto" w:sz="12" w:space="0"/>
              <w:left w:val="single" w:color="auto" w:sz="12" w:space="0"/>
              <w:bottom w:val="single" w:color="auto" w:sz="12" w:space="0"/>
              <w:right w:val="single" w:color="auto" w:sz="12" w:space="0"/>
            </w:tcBorders>
            <w:vAlign w:val="center"/>
          </w:tcPr>
          <w:p>
            <w:pPr>
              <w:pStyle w:val="87"/>
              <w:spacing w:line="500" w:lineRule="exact"/>
              <w:jc w:val="center"/>
              <w:rPr>
                <w:rFonts w:ascii="宋体" w:hAnsi="宋体"/>
                <w:color w:val="auto"/>
              </w:rPr>
            </w:pPr>
            <w:r>
              <w:rPr>
                <w:rFonts w:hint="eastAsia" w:ascii="宋体" w:hAnsi="宋体"/>
                <w:color w:val="auto"/>
              </w:rPr>
              <w:t>内     容</w:t>
            </w:r>
          </w:p>
        </w:tc>
      </w:tr>
      <w:tr>
        <w:tblPrEx>
          <w:tblCellMar>
            <w:top w:w="0" w:type="dxa"/>
            <w:left w:w="108" w:type="dxa"/>
            <w:bottom w:w="0" w:type="dxa"/>
            <w:right w:w="108" w:type="dxa"/>
          </w:tblCellMar>
        </w:tblPrEx>
        <w:trPr>
          <w:trHeight w:val="3634" w:hRule="exact"/>
          <w:jc w:val="center"/>
        </w:trPr>
        <w:tc>
          <w:tcPr>
            <w:tcW w:w="519" w:type="pct"/>
            <w:tcBorders>
              <w:top w:val="single" w:color="auto" w:sz="12" w:space="0"/>
              <w:left w:val="single" w:color="auto" w:sz="12" w:space="0"/>
              <w:bottom w:val="single" w:color="auto" w:sz="12" w:space="0"/>
              <w:right w:val="single" w:color="auto" w:sz="12" w:space="0"/>
            </w:tcBorders>
            <w:vAlign w:val="center"/>
          </w:tcPr>
          <w:p>
            <w:pPr>
              <w:pStyle w:val="87"/>
              <w:spacing w:line="500" w:lineRule="exact"/>
              <w:jc w:val="center"/>
              <w:rPr>
                <w:rFonts w:ascii="宋体" w:hAnsi="宋体"/>
                <w:color w:val="auto"/>
              </w:rPr>
            </w:pPr>
            <w:r>
              <w:rPr>
                <w:rFonts w:hint="eastAsia" w:ascii="宋体" w:hAnsi="宋体"/>
                <w:color w:val="auto"/>
              </w:rPr>
              <w:t>1</w:t>
            </w:r>
          </w:p>
        </w:tc>
        <w:tc>
          <w:tcPr>
            <w:tcW w:w="4480" w:type="pct"/>
            <w:tcBorders>
              <w:top w:val="single" w:color="auto" w:sz="12" w:space="0"/>
              <w:left w:val="single" w:color="auto" w:sz="12" w:space="0"/>
              <w:bottom w:val="single" w:color="auto" w:sz="12" w:space="0"/>
              <w:right w:val="single" w:color="auto" w:sz="12" w:space="0"/>
            </w:tcBorders>
            <w:vAlign w:val="center"/>
          </w:tcPr>
          <w:p>
            <w:pPr>
              <w:pStyle w:val="23"/>
              <w:spacing w:line="440" w:lineRule="exact"/>
              <w:jc w:val="left"/>
              <w:rPr>
                <w:rFonts w:cs="宋体"/>
                <w:sz w:val="24"/>
                <w:szCs w:val="24"/>
              </w:rPr>
            </w:pPr>
            <w:r>
              <w:rPr>
                <w:rFonts w:hint="eastAsia" w:cs="宋体"/>
                <w:sz w:val="24"/>
                <w:szCs w:val="24"/>
              </w:rPr>
              <w:t>项目名称：伊宁市2023年春节氛围亮化工程采购项目</w:t>
            </w:r>
          </w:p>
          <w:p>
            <w:pPr>
              <w:pStyle w:val="23"/>
              <w:spacing w:line="440" w:lineRule="exact"/>
              <w:jc w:val="left"/>
              <w:rPr>
                <w:rFonts w:cs="宋体"/>
                <w:sz w:val="24"/>
                <w:szCs w:val="24"/>
              </w:rPr>
            </w:pPr>
            <w:r>
              <w:rPr>
                <w:rFonts w:hint="eastAsia" w:cs="宋体"/>
                <w:sz w:val="24"/>
                <w:szCs w:val="24"/>
              </w:rPr>
              <w:t>采购人：伊宁市住房和城乡建设局</w:t>
            </w:r>
          </w:p>
          <w:p>
            <w:pPr>
              <w:pStyle w:val="23"/>
              <w:spacing w:line="440" w:lineRule="exact"/>
              <w:jc w:val="left"/>
              <w:rPr>
                <w:rFonts w:hint="default" w:eastAsia="宋体" w:cs="宋体"/>
                <w:sz w:val="24"/>
                <w:szCs w:val="24"/>
                <w:lang w:val="en-US" w:eastAsia="zh-CN"/>
              </w:rPr>
            </w:pPr>
            <w:r>
              <w:rPr>
                <w:rFonts w:hint="eastAsia" w:cs="宋体"/>
                <w:sz w:val="24"/>
                <w:szCs w:val="24"/>
              </w:rPr>
              <w:t>联系人：</w:t>
            </w:r>
            <w:r>
              <w:rPr>
                <w:rFonts w:hint="eastAsia" w:cs="宋体"/>
                <w:sz w:val="24"/>
                <w:szCs w:val="24"/>
                <w:lang w:val="en-US" w:eastAsia="zh-CN"/>
              </w:rPr>
              <w:t>史君</w:t>
            </w:r>
          </w:p>
          <w:p>
            <w:pPr>
              <w:pStyle w:val="23"/>
              <w:spacing w:line="440" w:lineRule="exact"/>
              <w:jc w:val="left"/>
              <w:rPr>
                <w:rFonts w:hint="default" w:eastAsia="宋体" w:cs="宋体"/>
                <w:sz w:val="24"/>
                <w:szCs w:val="24"/>
                <w:lang w:val="en-US" w:eastAsia="zh-CN"/>
              </w:rPr>
            </w:pPr>
            <w:r>
              <w:rPr>
                <w:rFonts w:hint="eastAsia" w:cs="宋体"/>
                <w:sz w:val="24"/>
                <w:szCs w:val="24"/>
              </w:rPr>
              <w:t>联系电话：</w:t>
            </w:r>
            <w:r>
              <w:rPr>
                <w:rFonts w:hint="eastAsia" w:cs="宋体"/>
                <w:sz w:val="24"/>
                <w:szCs w:val="24"/>
                <w:lang w:val="en-US" w:eastAsia="zh-CN"/>
              </w:rPr>
              <w:t>18997586656</w:t>
            </w:r>
          </w:p>
          <w:p>
            <w:pPr>
              <w:pStyle w:val="23"/>
              <w:spacing w:line="440" w:lineRule="exact"/>
              <w:jc w:val="left"/>
              <w:rPr>
                <w:rFonts w:cs="宋体"/>
                <w:sz w:val="24"/>
                <w:szCs w:val="24"/>
              </w:rPr>
            </w:pPr>
            <w:r>
              <w:rPr>
                <w:rFonts w:hint="eastAsia" w:cs="宋体"/>
                <w:sz w:val="24"/>
                <w:szCs w:val="24"/>
              </w:rPr>
              <w:t>标项划分：本项目共分为一个标项</w:t>
            </w:r>
          </w:p>
          <w:p>
            <w:pPr>
              <w:pStyle w:val="23"/>
              <w:spacing w:line="440" w:lineRule="exact"/>
              <w:jc w:val="left"/>
              <w:rPr>
                <w:rFonts w:cs="宋体"/>
                <w:sz w:val="24"/>
                <w:szCs w:val="24"/>
              </w:rPr>
            </w:pPr>
            <w:r>
              <w:rPr>
                <w:rFonts w:hint="eastAsia" w:cs="宋体"/>
                <w:sz w:val="24"/>
                <w:szCs w:val="24"/>
              </w:rPr>
              <w:t>采购内容：春节彩灯装饰布置、照明配电及控制等工程</w:t>
            </w:r>
            <w:r>
              <w:rPr>
                <w:rFonts w:hint="eastAsia" w:cs="宋体"/>
                <w:sz w:val="24"/>
                <w:szCs w:val="24"/>
                <w:lang w:eastAsia="zh-CN"/>
              </w:rPr>
              <w:t>（</w:t>
            </w:r>
            <w:r>
              <w:rPr>
                <w:rFonts w:hint="eastAsia" w:cs="宋体"/>
                <w:sz w:val="24"/>
                <w:szCs w:val="24"/>
                <w:lang w:val="en-US" w:eastAsia="zh-CN"/>
              </w:rPr>
              <w:t>详见第三章</w:t>
            </w:r>
            <w:r>
              <w:rPr>
                <w:rFonts w:hint="eastAsia" w:cs="宋体"/>
                <w:sz w:val="24"/>
                <w:szCs w:val="24"/>
                <w:lang w:eastAsia="zh-CN"/>
              </w:rPr>
              <w:t>）</w:t>
            </w:r>
            <w:r>
              <w:rPr>
                <w:rFonts w:hint="eastAsia" w:cs="宋体"/>
                <w:sz w:val="24"/>
                <w:szCs w:val="24"/>
              </w:rPr>
              <w:t>。</w:t>
            </w:r>
          </w:p>
          <w:p>
            <w:pPr>
              <w:pStyle w:val="23"/>
              <w:spacing w:line="440" w:lineRule="exact"/>
              <w:jc w:val="left"/>
              <w:rPr>
                <w:rFonts w:cs="宋体"/>
                <w:sz w:val="24"/>
                <w:szCs w:val="24"/>
              </w:rPr>
            </w:pPr>
            <w:r>
              <w:rPr>
                <w:rFonts w:hint="eastAsia" w:cs="宋体"/>
                <w:sz w:val="24"/>
                <w:szCs w:val="24"/>
              </w:rPr>
              <w:t>项目编号：XJYC-ZB-2023010</w:t>
            </w:r>
          </w:p>
          <w:p>
            <w:pPr>
              <w:pStyle w:val="23"/>
              <w:spacing w:line="440" w:lineRule="exact"/>
              <w:jc w:val="left"/>
              <w:rPr>
                <w:rFonts w:cs="宋体"/>
                <w:sz w:val="24"/>
                <w:szCs w:val="24"/>
              </w:rPr>
            </w:pPr>
            <w:r>
              <w:rPr>
                <w:rFonts w:hint="eastAsia" w:cs="宋体"/>
                <w:sz w:val="24"/>
                <w:szCs w:val="24"/>
              </w:rPr>
              <w:t>最高限价：513.801105</w:t>
            </w:r>
            <w:r>
              <w:rPr>
                <w:rFonts w:hint="eastAsia" w:cs="宋体"/>
                <w:sz w:val="24"/>
                <w:szCs w:val="24"/>
                <w:lang w:val="en-US" w:eastAsia="zh-CN"/>
              </w:rPr>
              <w:t>万</w:t>
            </w:r>
            <w:bookmarkStart w:id="20" w:name="_GoBack"/>
            <w:bookmarkEnd w:id="20"/>
            <w:r>
              <w:rPr>
                <w:rFonts w:hint="eastAsia" w:cs="宋体"/>
                <w:sz w:val="24"/>
                <w:szCs w:val="24"/>
              </w:rPr>
              <w:t>元</w:t>
            </w:r>
          </w:p>
          <w:p>
            <w:pPr>
              <w:pStyle w:val="23"/>
              <w:spacing w:line="440" w:lineRule="exact"/>
              <w:ind w:firstLine="484" w:firstLineChars="200"/>
              <w:jc w:val="left"/>
              <w:rPr>
                <w:kern w:val="0"/>
                <w:sz w:val="24"/>
                <w:szCs w:val="24"/>
              </w:rPr>
            </w:pPr>
            <w:r>
              <w:rPr>
                <w:rFonts w:hint="eastAsia" w:cs="宋体"/>
                <w:sz w:val="24"/>
                <w:szCs w:val="24"/>
              </w:rPr>
              <w:t>招标方式：公开招标</w:t>
            </w:r>
          </w:p>
        </w:tc>
      </w:tr>
      <w:tr>
        <w:tblPrEx>
          <w:tblCellMar>
            <w:top w:w="0" w:type="dxa"/>
            <w:left w:w="108" w:type="dxa"/>
            <w:bottom w:w="0" w:type="dxa"/>
            <w:right w:w="108" w:type="dxa"/>
          </w:tblCellMar>
        </w:tblPrEx>
        <w:trPr>
          <w:trHeight w:val="1575" w:hRule="exact"/>
          <w:jc w:val="center"/>
        </w:trPr>
        <w:tc>
          <w:tcPr>
            <w:tcW w:w="519" w:type="pct"/>
            <w:tcBorders>
              <w:top w:val="single" w:color="auto" w:sz="12" w:space="0"/>
              <w:left w:val="single" w:color="auto" w:sz="12" w:space="0"/>
              <w:bottom w:val="single" w:color="auto" w:sz="12" w:space="0"/>
              <w:right w:val="single" w:color="auto" w:sz="12" w:space="0"/>
            </w:tcBorders>
            <w:vAlign w:val="center"/>
          </w:tcPr>
          <w:p>
            <w:pPr>
              <w:pStyle w:val="87"/>
              <w:spacing w:line="500" w:lineRule="exact"/>
              <w:jc w:val="center"/>
              <w:rPr>
                <w:rFonts w:ascii="宋体" w:hAnsi="宋体"/>
                <w:color w:val="auto"/>
              </w:rPr>
            </w:pPr>
            <w:r>
              <w:rPr>
                <w:rFonts w:hint="eastAsia" w:ascii="宋体" w:hAnsi="宋体"/>
                <w:color w:val="auto"/>
              </w:rPr>
              <w:t>2</w:t>
            </w:r>
          </w:p>
        </w:tc>
        <w:tc>
          <w:tcPr>
            <w:tcW w:w="4480" w:type="pct"/>
            <w:tcBorders>
              <w:top w:val="single" w:color="auto" w:sz="12" w:space="0"/>
              <w:left w:val="single" w:color="auto" w:sz="12" w:space="0"/>
              <w:bottom w:val="single" w:color="auto" w:sz="12" w:space="0"/>
              <w:right w:val="single" w:color="auto" w:sz="12" w:space="0"/>
            </w:tcBorders>
            <w:vAlign w:val="center"/>
          </w:tcPr>
          <w:p>
            <w:pPr>
              <w:pStyle w:val="87"/>
              <w:spacing w:line="440" w:lineRule="exact"/>
              <w:jc w:val="both"/>
              <w:rPr>
                <w:rFonts w:ascii="宋体" w:hAnsi="宋体"/>
                <w:color w:val="auto"/>
              </w:rPr>
            </w:pPr>
            <w:r>
              <w:rPr>
                <w:rFonts w:hint="eastAsia" w:ascii="宋体" w:hAnsi="宋体"/>
                <w:color w:val="auto"/>
              </w:rPr>
              <w:t>招标代理机构：新疆远驰工程咨询有限公司</w:t>
            </w:r>
          </w:p>
          <w:p>
            <w:pPr>
              <w:pStyle w:val="87"/>
              <w:spacing w:line="440" w:lineRule="exact"/>
              <w:jc w:val="both"/>
              <w:rPr>
                <w:rFonts w:hint="default" w:ascii="宋体" w:hAnsi="宋体" w:eastAsia="宋体"/>
                <w:color w:val="auto"/>
                <w:lang w:val="en-US" w:eastAsia="zh-CN"/>
              </w:rPr>
            </w:pPr>
            <w:r>
              <w:rPr>
                <w:rFonts w:hint="eastAsia" w:ascii="宋体" w:hAnsi="宋体"/>
                <w:color w:val="auto"/>
              </w:rPr>
              <w:t>联系人：</w:t>
            </w:r>
            <w:r>
              <w:rPr>
                <w:rFonts w:hint="eastAsia" w:ascii="宋体" w:hAnsi="宋体"/>
                <w:color w:val="auto"/>
                <w:lang w:val="en-US" w:eastAsia="zh-CN"/>
              </w:rPr>
              <w:t>陈香如</w:t>
            </w:r>
          </w:p>
          <w:p>
            <w:pPr>
              <w:pStyle w:val="87"/>
              <w:spacing w:line="440" w:lineRule="exact"/>
              <w:jc w:val="both"/>
              <w:rPr>
                <w:rFonts w:hint="default" w:ascii="宋体" w:hAnsi="宋体" w:eastAsia="宋体"/>
                <w:color w:val="auto"/>
                <w:lang w:val="en-US" w:eastAsia="zh-CN"/>
              </w:rPr>
            </w:pPr>
            <w:r>
              <w:rPr>
                <w:rFonts w:hint="eastAsia" w:ascii="宋体" w:hAnsi="宋体"/>
                <w:color w:val="auto"/>
              </w:rPr>
              <w:t>联系电话：</w:t>
            </w:r>
            <w:r>
              <w:rPr>
                <w:rFonts w:hint="eastAsia" w:ascii="宋体" w:hAnsi="宋体"/>
                <w:color w:val="auto"/>
                <w:lang w:val="en-US" w:eastAsia="zh-CN"/>
              </w:rPr>
              <w:t>15886976808</w:t>
            </w:r>
          </w:p>
        </w:tc>
      </w:tr>
      <w:tr>
        <w:tblPrEx>
          <w:tblCellMar>
            <w:top w:w="0" w:type="dxa"/>
            <w:left w:w="108" w:type="dxa"/>
            <w:bottom w:w="0" w:type="dxa"/>
            <w:right w:w="108" w:type="dxa"/>
          </w:tblCellMar>
        </w:tblPrEx>
        <w:trPr>
          <w:trHeight w:val="5516" w:hRule="exact"/>
          <w:jc w:val="center"/>
        </w:trPr>
        <w:tc>
          <w:tcPr>
            <w:tcW w:w="519" w:type="pct"/>
            <w:tcBorders>
              <w:top w:val="single" w:color="auto" w:sz="12" w:space="0"/>
              <w:left w:val="single" w:color="auto" w:sz="12" w:space="0"/>
              <w:bottom w:val="single" w:color="auto" w:sz="12" w:space="0"/>
              <w:right w:val="single" w:color="auto" w:sz="12" w:space="0"/>
            </w:tcBorders>
            <w:vAlign w:val="center"/>
          </w:tcPr>
          <w:p>
            <w:pPr>
              <w:pStyle w:val="87"/>
              <w:spacing w:line="500" w:lineRule="exact"/>
              <w:jc w:val="center"/>
              <w:rPr>
                <w:rFonts w:ascii="宋体" w:hAnsi="宋体"/>
                <w:color w:val="auto"/>
              </w:rPr>
            </w:pPr>
            <w:r>
              <w:rPr>
                <w:rFonts w:hint="eastAsia" w:ascii="宋体" w:hAnsi="宋体"/>
                <w:color w:val="auto"/>
              </w:rPr>
              <w:t>3</w:t>
            </w:r>
          </w:p>
        </w:tc>
        <w:tc>
          <w:tcPr>
            <w:tcW w:w="4480" w:type="pct"/>
            <w:tcBorders>
              <w:top w:val="single" w:color="auto" w:sz="12" w:space="0"/>
              <w:left w:val="single" w:color="auto" w:sz="12" w:space="0"/>
              <w:bottom w:val="single" w:color="auto" w:sz="12" w:space="0"/>
              <w:right w:val="single" w:color="auto" w:sz="12" w:space="0"/>
            </w:tcBorders>
            <w:vAlign w:val="center"/>
          </w:tcPr>
          <w:p>
            <w:pPr>
              <w:pStyle w:val="23"/>
              <w:spacing w:line="440" w:lineRule="exact"/>
              <w:jc w:val="left"/>
              <w:rPr>
                <w:rFonts w:cs="宋体"/>
                <w:b/>
                <w:bCs/>
                <w:sz w:val="24"/>
                <w:szCs w:val="24"/>
                <w:u w:val="single"/>
              </w:rPr>
            </w:pPr>
            <w:r>
              <w:rPr>
                <w:rFonts w:hint="eastAsia" w:cs="宋体"/>
                <w:sz w:val="24"/>
                <w:szCs w:val="24"/>
              </w:rPr>
              <w:t>保证金要求提供，数额不得超过采购项目预算金额的2%，本项目的投标保证金为</w:t>
            </w:r>
            <w:r>
              <w:rPr>
                <w:rFonts w:hint="eastAsia" w:cs="宋体"/>
                <w:b/>
                <w:bCs/>
                <w:sz w:val="24"/>
                <w:szCs w:val="24"/>
                <w:highlight w:val="none"/>
                <w:u w:val="single"/>
              </w:rPr>
              <w:t>：</w:t>
            </w:r>
            <w:r>
              <w:rPr>
                <w:rFonts w:hint="eastAsia" w:cs="宋体"/>
                <w:b/>
                <w:bCs/>
                <w:sz w:val="24"/>
                <w:szCs w:val="24"/>
                <w:highlight w:val="none"/>
                <w:u w:val="single"/>
                <w:lang w:val="en-US" w:eastAsia="zh-CN"/>
              </w:rPr>
              <w:t>7</w:t>
            </w:r>
            <w:r>
              <w:rPr>
                <w:rFonts w:hint="eastAsia" w:cs="宋体"/>
                <w:b/>
                <w:bCs/>
                <w:sz w:val="24"/>
                <w:szCs w:val="24"/>
                <w:highlight w:val="none"/>
                <w:u w:val="single"/>
              </w:rPr>
              <w:t>0000.00元（大写：</w:t>
            </w:r>
            <w:r>
              <w:rPr>
                <w:rFonts w:hint="eastAsia" w:cs="宋体"/>
                <w:b/>
                <w:bCs/>
                <w:sz w:val="24"/>
                <w:szCs w:val="24"/>
                <w:highlight w:val="none"/>
                <w:u w:val="single"/>
                <w:lang w:val="en-US" w:eastAsia="zh-CN"/>
              </w:rPr>
              <w:t>柒</w:t>
            </w:r>
            <w:r>
              <w:rPr>
                <w:rFonts w:hint="eastAsia" w:cs="宋体"/>
                <w:b/>
                <w:bCs/>
                <w:sz w:val="24"/>
                <w:szCs w:val="24"/>
                <w:highlight w:val="none"/>
                <w:u w:val="single"/>
              </w:rPr>
              <w:t>万元整）</w:t>
            </w:r>
          </w:p>
          <w:p>
            <w:pPr>
              <w:pStyle w:val="23"/>
              <w:spacing w:line="440" w:lineRule="exact"/>
              <w:ind w:firstLine="484" w:firstLineChars="200"/>
              <w:jc w:val="left"/>
              <w:rPr>
                <w:rFonts w:cs="宋体"/>
                <w:sz w:val="24"/>
                <w:szCs w:val="24"/>
              </w:rPr>
            </w:pPr>
            <w:r>
              <w:rPr>
                <w:rFonts w:hint="eastAsia" w:cs="宋体"/>
                <w:sz w:val="24"/>
                <w:szCs w:val="24"/>
              </w:rPr>
              <w:t>提交方式为</w:t>
            </w:r>
            <w:r>
              <w:rPr>
                <w:rFonts w:hint="eastAsia" w:cs="宋体"/>
                <w:sz w:val="24"/>
                <w:szCs w:val="24"/>
                <w:u w:val="single"/>
              </w:rPr>
              <w:t>投标人基本账户以网银或银行电汇形式</w:t>
            </w:r>
            <w:r>
              <w:rPr>
                <w:rFonts w:hint="eastAsia" w:cs="宋体"/>
                <w:sz w:val="24"/>
                <w:szCs w:val="24"/>
              </w:rPr>
              <w:t>，在投标截止时间之前汇至本公司账户，否则其投标文件将被拒绝评审，投标人提交投标保证金应充分考虑资金在途时间。</w:t>
            </w:r>
          </w:p>
          <w:p>
            <w:pPr>
              <w:pStyle w:val="23"/>
              <w:spacing w:line="440" w:lineRule="exact"/>
              <w:jc w:val="left"/>
              <w:rPr>
                <w:rFonts w:cs="宋体"/>
                <w:sz w:val="24"/>
                <w:szCs w:val="24"/>
                <w:u w:val="single"/>
              </w:rPr>
            </w:pPr>
            <w:r>
              <w:rPr>
                <w:rFonts w:hint="eastAsia" w:cs="宋体"/>
                <w:sz w:val="24"/>
                <w:szCs w:val="24"/>
              </w:rPr>
              <w:t>单位名称：</w:t>
            </w:r>
            <w:r>
              <w:rPr>
                <w:rFonts w:hint="eastAsia" w:cs="宋体"/>
                <w:sz w:val="24"/>
                <w:szCs w:val="24"/>
                <w:u w:val="single"/>
              </w:rPr>
              <w:t>新疆远驰工程咨询有限公司</w:t>
            </w:r>
          </w:p>
          <w:p>
            <w:pPr>
              <w:pStyle w:val="23"/>
              <w:spacing w:line="440" w:lineRule="exact"/>
              <w:jc w:val="left"/>
              <w:rPr>
                <w:rFonts w:cs="宋体"/>
                <w:sz w:val="24"/>
                <w:szCs w:val="24"/>
              </w:rPr>
            </w:pPr>
            <w:r>
              <w:rPr>
                <w:rFonts w:hint="eastAsia" w:cs="宋体"/>
                <w:sz w:val="24"/>
                <w:szCs w:val="24"/>
              </w:rPr>
              <w:t>账号：0000020080110018473887</w:t>
            </w:r>
          </w:p>
          <w:p>
            <w:pPr>
              <w:pStyle w:val="23"/>
              <w:spacing w:line="440" w:lineRule="exact"/>
              <w:jc w:val="left"/>
              <w:rPr>
                <w:rFonts w:cs="宋体"/>
                <w:sz w:val="24"/>
                <w:szCs w:val="24"/>
              </w:rPr>
            </w:pPr>
            <w:r>
              <w:rPr>
                <w:rFonts w:hint="eastAsia" w:cs="宋体"/>
                <w:sz w:val="24"/>
                <w:szCs w:val="24"/>
              </w:rPr>
              <w:t>开户行：乌鲁木齐银行股份有限公司伊宁市迎宾路支行</w:t>
            </w:r>
          </w:p>
          <w:p>
            <w:pPr>
              <w:pStyle w:val="23"/>
              <w:spacing w:line="440" w:lineRule="exact"/>
              <w:jc w:val="left"/>
              <w:rPr>
                <w:rFonts w:cs="宋体"/>
                <w:sz w:val="24"/>
                <w:szCs w:val="24"/>
              </w:rPr>
            </w:pPr>
            <w:r>
              <w:rPr>
                <w:rFonts w:hint="eastAsia" w:cs="宋体"/>
                <w:sz w:val="24"/>
                <w:szCs w:val="24"/>
              </w:rPr>
              <w:t>行号：313898000031</w:t>
            </w:r>
          </w:p>
          <w:p>
            <w:pPr>
              <w:spacing w:line="440" w:lineRule="exact"/>
              <w:jc w:val="left"/>
              <w:rPr>
                <w:rFonts w:ascii="宋体" w:hAnsi="宋体"/>
                <w:sz w:val="24"/>
                <w:szCs w:val="24"/>
              </w:rPr>
            </w:pPr>
            <w:r>
              <w:rPr>
                <w:rFonts w:hint="eastAsia" w:hAnsi="宋体" w:cs="宋体"/>
                <w:sz w:val="24"/>
                <w:szCs w:val="24"/>
              </w:rPr>
              <w:t>注：以电汇方式递交投标保证金须在电汇凭据附言栏中写明项目编号、包号及用途(询价保证金)，由于未按要求注明信息而导致的一切后果由投标人承担。</w:t>
            </w:r>
          </w:p>
        </w:tc>
      </w:tr>
      <w:tr>
        <w:tblPrEx>
          <w:tblCellMar>
            <w:top w:w="0" w:type="dxa"/>
            <w:left w:w="108" w:type="dxa"/>
            <w:bottom w:w="0" w:type="dxa"/>
            <w:right w:w="108" w:type="dxa"/>
          </w:tblCellMar>
        </w:tblPrEx>
        <w:trPr>
          <w:trHeight w:val="551" w:hRule="exact"/>
          <w:jc w:val="center"/>
        </w:trPr>
        <w:tc>
          <w:tcPr>
            <w:tcW w:w="519" w:type="pct"/>
            <w:tcBorders>
              <w:top w:val="single" w:color="auto" w:sz="12" w:space="0"/>
              <w:left w:val="single" w:color="auto" w:sz="12" w:space="0"/>
              <w:bottom w:val="single" w:color="auto" w:sz="12" w:space="0"/>
              <w:right w:val="single" w:color="auto" w:sz="12" w:space="0"/>
            </w:tcBorders>
            <w:vAlign w:val="center"/>
          </w:tcPr>
          <w:p>
            <w:pPr>
              <w:pStyle w:val="87"/>
              <w:spacing w:line="500" w:lineRule="exact"/>
              <w:jc w:val="center"/>
              <w:rPr>
                <w:rFonts w:ascii="宋体" w:hAnsi="宋体"/>
                <w:color w:val="auto"/>
              </w:rPr>
            </w:pPr>
            <w:r>
              <w:rPr>
                <w:rFonts w:hint="eastAsia" w:ascii="宋体" w:hAnsi="宋体"/>
                <w:color w:val="auto"/>
              </w:rPr>
              <w:t>4</w:t>
            </w:r>
          </w:p>
        </w:tc>
        <w:tc>
          <w:tcPr>
            <w:tcW w:w="4480" w:type="pct"/>
            <w:tcBorders>
              <w:top w:val="single" w:color="auto" w:sz="12" w:space="0"/>
              <w:left w:val="single" w:color="auto" w:sz="12" w:space="0"/>
              <w:bottom w:val="single" w:color="auto" w:sz="12" w:space="0"/>
              <w:right w:val="single" w:color="auto" w:sz="12" w:space="0"/>
            </w:tcBorders>
            <w:vAlign w:val="center"/>
          </w:tcPr>
          <w:p>
            <w:pPr>
              <w:pStyle w:val="87"/>
              <w:spacing w:line="440" w:lineRule="exact"/>
              <w:jc w:val="both"/>
              <w:rPr>
                <w:rFonts w:ascii="宋体" w:hAnsi="宋体"/>
                <w:color w:val="auto"/>
              </w:rPr>
            </w:pPr>
            <w:r>
              <w:rPr>
                <w:rFonts w:hint="eastAsia" w:ascii="宋体" w:hAnsi="宋体"/>
                <w:color w:val="auto"/>
              </w:rPr>
              <w:t>投标有效期：</w:t>
            </w:r>
            <w:r>
              <w:rPr>
                <w:rFonts w:hint="eastAsia" w:ascii="宋体" w:hAnsi="宋体"/>
                <w:color w:val="auto"/>
                <w:u w:val="single"/>
              </w:rPr>
              <w:t>90</w:t>
            </w:r>
            <w:r>
              <w:rPr>
                <w:rFonts w:hint="eastAsia" w:ascii="宋体" w:hAnsi="宋体"/>
                <w:color w:val="auto"/>
              </w:rPr>
              <w:t>天</w:t>
            </w:r>
          </w:p>
        </w:tc>
      </w:tr>
      <w:tr>
        <w:tblPrEx>
          <w:tblCellMar>
            <w:top w:w="0" w:type="dxa"/>
            <w:left w:w="108" w:type="dxa"/>
            <w:bottom w:w="0" w:type="dxa"/>
            <w:right w:w="108" w:type="dxa"/>
          </w:tblCellMar>
        </w:tblPrEx>
        <w:trPr>
          <w:trHeight w:val="575" w:hRule="exact"/>
          <w:jc w:val="center"/>
        </w:trPr>
        <w:tc>
          <w:tcPr>
            <w:tcW w:w="519" w:type="pct"/>
            <w:tcBorders>
              <w:top w:val="single" w:color="auto" w:sz="12" w:space="0"/>
              <w:left w:val="single" w:color="auto" w:sz="12" w:space="0"/>
              <w:bottom w:val="single" w:color="auto" w:sz="12" w:space="0"/>
              <w:right w:val="single" w:color="auto" w:sz="12" w:space="0"/>
            </w:tcBorders>
            <w:vAlign w:val="center"/>
          </w:tcPr>
          <w:p>
            <w:pPr>
              <w:pStyle w:val="87"/>
              <w:spacing w:line="500" w:lineRule="exact"/>
              <w:jc w:val="center"/>
              <w:rPr>
                <w:rFonts w:ascii="宋体" w:hAnsi="宋体"/>
                <w:color w:val="auto"/>
                <w:highlight w:val="none"/>
              </w:rPr>
            </w:pPr>
            <w:r>
              <w:rPr>
                <w:rFonts w:hint="eastAsia" w:ascii="宋体" w:hAnsi="宋体"/>
                <w:color w:val="auto"/>
                <w:highlight w:val="none"/>
              </w:rPr>
              <w:t>5</w:t>
            </w:r>
          </w:p>
        </w:tc>
        <w:tc>
          <w:tcPr>
            <w:tcW w:w="4480" w:type="pct"/>
            <w:tcBorders>
              <w:top w:val="single" w:color="auto" w:sz="12" w:space="0"/>
              <w:left w:val="single" w:color="auto" w:sz="12" w:space="0"/>
              <w:bottom w:val="single" w:color="auto" w:sz="12" w:space="0"/>
              <w:right w:val="single" w:color="auto" w:sz="12" w:space="0"/>
            </w:tcBorders>
            <w:vAlign w:val="center"/>
          </w:tcPr>
          <w:p>
            <w:pPr>
              <w:pStyle w:val="87"/>
              <w:spacing w:line="440" w:lineRule="exact"/>
              <w:jc w:val="both"/>
              <w:rPr>
                <w:rFonts w:ascii="宋体" w:hAnsi="宋体"/>
                <w:color w:val="auto"/>
                <w:highlight w:val="none"/>
              </w:rPr>
            </w:pPr>
            <w:r>
              <w:rPr>
                <w:rFonts w:hint="eastAsia" w:ascii="宋体" w:hAnsi="宋体"/>
                <w:color w:val="auto"/>
                <w:highlight w:val="none"/>
              </w:rPr>
              <w:t>投标截止时间：2023年</w:t>
            </w:r>
            <w:r>
              <w:rPr>
                <w:rFonts w:hint="eastAsia" w:ascii="宋体" w:hAnsi="宋体"/>
                <w:color w:val="auto"/>
                <w:highlight w:val="none"/>
                <w:lang w:val="en-US" w:eastAsia="zh-CN"/>
              </w:rPr>
              <w:t>3</w:t>
            </w:r>
            <w:r>
              <w:rPr>
                <w:rFonts w:hint="eastAsia" w:ascii="宋体" w:hAnsi="宋体"/>
                <w:color w:val="auto"/>
                <w:highlight w:val="none"/>
              </w:rPr>
              <w:t>月</w:t>
            </w:r>
            <w:r>
              <w:rPr>
                <w:rFonts w:hint="eastAsia" w:ascii="宋体" w:hAnsi="宋体"/>
                <w:color w:val="auto"/>
                <w:highlight w:val="none"/>
                <w:lang w:val="en-US" w:eastAsia="zh-CN"/>
              </w:rPr>
              <w:t>21</w:t>
            </w:r>
            <w:r>
              <w:rPr>
                <w:rFonts w:hint="eastAsia" w:ascii="宋体" w:hAnsi="宋体"/>
                <w:color w:val="auto"/>
                <w:highlight w:val="none"/>
              </w:rPr>
              <w:t>日下午16:00分（北京时间）</w:t>
            </w:r>
          </w:p>
        </w:tc>
      </w:tr>
      <w:tr>
        <w:tblPrEx>
          <w:tblCellMar>
            <w:top w:w="0" w:type="dxa"/>
            <w:left w:w="108" w:type="dxa"/>
            <w:bottom w:w="0" w:type="dxa"/>
            <w:right w:w="108" w:type="dxa"/>
          </w:tblCellMar>
        </w:tblPrEx>
        <w:trPr>
          <w:trHeight w:val="2957" w:hRule="exact"/>
          <w:jc w:val="center"/>
        </w:trPr>
        <w:tc>
          <w:tcPr>
            <w:tcW w:w="519" w:type="pct"/>
            <w:tcBorders>
              <w:top w:val="single" w:color="auto" w:sz="12" w:space="0"/>
              <w:left w:val="single" w:color="auto" w:sz="12" w:space="0"/>
              <w:bottom w:val="single" w:color="auto" w:sz="12" w:space="0"/>
              <w:right w:val="single" w:color="auto" w:sz="12" w:space="0"/>
            </w:tcBorders>
            <w:vAlign w:val="center"/>
          </w:tcPr>
          <w:p>
            <w:pPr>
              <w:pStyle w:val="87"/>
              <w:spacing w:line="500" w:lineRule="exact"/>
              <w:jc w:val="center"/>
              <w:rPr>
                <w:rFonts w:ascii="宋体" w:hAnsi="宋体"/>
                <w:color w:val="auto"/>
              </w:rPr>
            </w:pPr>
            <w:r>
              <w:rPr>
                <w:rFonts w:hint="eastAsia" w:ascii="宋体" w:hAnsi="宋体"/>
                <w:color w:val="auto"/>
              </w:rPr>
              <w:t>6</w:t>
            </w:r>
          </w:p>
        </w:tc>
        <w:tc>
          <w:tcPr>
            <w:tcW w:w="4480" w:type="pct"/>
            <w:tcBorders>
              <w:top w:val="single" w:color="auto" w:sz="12" w:space="0"/>
              <w:left w:val="single" w:color="auto" w:sz="12" w:space="0"/>
              <w:bottom w:val="single" w:color="auto" w:sz="12" w:space="0"/>
              <w:right w:val="single" w:color="auto" w:sz="12" w:space="0"/>
            </w:tcBorders>
            <w:vAlign w:val="center"/>
          </w:tcPr>
          <w:p>
            <w:pPr>
              <w:pStyle w:val="87"/>
              <w:spacing w:line="440" w:lineRule="exact"/>
              <w:jc w:val="both"/>
              <w:rPr>
                <w:rFonts w:ascii="宋体" w:hAnsi="宋体"/>
                <w:color w:val="auto"/>
              </w:rPr>
            </w:pPr>
            <w:r>
              <w:rPr>
                <w:rFonts w:hint="eastAsia" w:ascii="宋体" w:hAnsi="宋体"/>
                <w:color w:val="auto"/>
              </w:rPr>
              <w:t>投标文件的数量（每标项）：正本1份、副本4份</w:t>
            </w:r>
          </w:p>
          <w:p>
            <w:pPr>
              <w:pStyle w:val="87"/>
              <w:spacing w:line="440" w:lineRule="exact"/>
              <w:jc w:val="both"/>
              <w:rPr>
                <w:rFonts w:ascii="宋体" w:hAnsi="宋体"/>
                <w:color w:val="auto"/>
              </w:rPr>
            </w:pPr>
            <w:r>
              <w:rPr>
                <w:rFonts w:hint="eastAsia" w:ascii="宋体" w:hAnsi="宋体"/>
                <w:color w:val="auto"/>
              </w:rPr>
              <w:t>投标报价单的数量（每标项）：1份（单独密封）</w:t>
            </w:r>
          </w:p>
          <w:p>
            <w:pPr>
              <w:pStyle w:val="87"/>
              <w:spacing w:line="440" w:lineRule="exact"/>
              <w:jc w:val="both"/>
              <w:rPr>
                <w:rFonts w:ascii="宋体" w:hAnsi="宋体"/>
                <w:color w:val="auto"/>
              </w:rPr>
            </w:pPr>
            <w:r>
              <w:rPr>
                <w:rFonts w:hint="eastAsia" w:ascii="宋体" w:hAnsi="宋体"/>
                <w:color w:val="auto"/>
              </w:rPr>
              <w:t>电子版投标文件（每标项）：1份(</w:t>
            </w:r>
            <w:r>
              <w:rPr>
                <w:rFonts w:hint="eastAsia" w:ascii="宋体" w:hAnsi="宋体"/>
                <w:color w:val="auto"/>
              </w:rPr>
              <w:sym w:font="Wingdings 2" w:char="0052"/>
            </w:r>
            <w:r>
              <w:rPr>
                <w:rFonts w:hint="eastAsia" w:ascii="宋体" w:hAnsi="宋体"/>
                <w:color w:val="auto"/>
              </w:rPr>
              <w:t>扫描件，</w:t>
            </w:r>
            <w:r>
              <w:rPr>
                <w:rFonts w:hint="eastAsia" w:ascii="宋体" w:hAnsi="宋体"/>
                <w:color w:val="auto"/>
              </w:rPr>
              <w:sym w:font="Wingdings 2" w:char="0052"/>
            </w:r>
            <w:r>
              <w:rPr>
                <w:rFonts w:hint="eastAsia" w:ascii="宋体" w:hAnsi="宋体"/>
                <w:color w:val="auto"/>
              </w:rPr>
              <w:t xml:space="preserve"> Word，可多选，以U盘形式提交，单独密封)</w:t>
            </w:r>
          </w:p>
          <w:p>
            <w:pPr>
              <w:pStyle w:val="87"/>
              <w:spacing w:line="440" w:lineRule="exact"/>
              <w:jc w:val="both"/>
              <w:rPr>
                <w:rFonts w:ascii="宋体" w:hAnsi="宋体"/>
                <w:b/>
                <w:color w:val="auto"/>
              </w:rPr>
            </w:pPr>
            <w:r>
              <w:rPr>
                <w:rFonts w:hint="eastAsia" w:ascii="宋体" w:hAnsi="宋体"/>
                <w:b/>
                <w:color w:val="auto"/>
              </w:rPr>
              <w:t>（注：装订形式：不得采用活页、拉杆等方式，必须采用胶装，否则按废标处理）</w:t>
            </w:r>
          </w:p>
          <w:p/>
          <w:p/>
          <w:p/>
          <w:p/>
        </w:tc>
      </w:tr>
      <w:tr>
        <w:tblPrEx>
          <w:tblCellMar>
            <w:top w:w="0" w:type="dxa"/>
            <w:left w:w="108" w:type="dxa"/>
            <w:bottom w:w="0" w:type="dxa"/>
            <w:right w:w="108" w:type="dxa"/>
          </w:tblCellMar>
        </w:tblPrEx>
        <w:trPr>
          <w:trHeight w:val="1202" w:hRule="exact"/>
          <w:jc w:val="center"/>
        </w:trPr>
        <w:tc>
          <w:tcPr>
            <w:tcW w:w="519" w:type="pct"/>
            <w:tcBorders>
              <w:top w:val="single" w:color="auto" w:sz="12" w:space="0"/>
              <w:left w:val="single" w:color="auto" w:sz="12" w:space="0"/>
              <w:bottom w:val="single" w:color="auto" w:sz="12" w:space="0"/>
              <w:right w:val="single" w:color="auto" w:sz="12" w:space="0"/>
            </w:tcBorders>
            <w:vAlign w:val="center"/>
          </w:tcPr>
          <w:p>
            <w:pPr>
              <w:pStyle w:val="87"/>
              <w:spacing w:line="500" w:lineRule="exact"/>
              <w:jc w:val="center"/>
              <w:rPr>
                <w:rFonts w:ascii="宋体" w:hAnsi="宋体"/>
                <w:color w:val="auto"/>
              </w:rPr>
            </w:pPr>
            <w:r>
              <w:rPr>
                <w:rFonts w:hint="eastAsia" w:ascii="宋体" w:hAnsi="宋体"/>
                <w:color w:val="auto"/>
              </w:rPr>
              <w:t>7</w:t>
            </w:r>
          </w:p>
        </w:tc>
        <w:tc>
          <w:tcPr>
            <w:tcW w:w="4480" w:type="pct"/>
            <w:tcBorders>
              <w:top w:val="single" w:color="auto" w:sz="12" w:space="0"/>
              <w:left w:val="single" w:color="auto" w:sz="12" w:space="0"/>
              <w:bottom w:val="single" w:color="auto" w:sz="12" w:space="0"/>
              <w:right w:val="single" w:color="auto" w:sz="12" w:space="0"/>
            </w:tcBorders>
            <w:vAlign w:val="center"/>
          </w:tcPr>
          <w:p>
            <w:pPr>
              <w:pStyle w:val="87"/>
              <w:spacing w:line="440" w:lineRule="exact"/>
              <w:jc w:val="both"/>
              <w:rPr>
                <w:rFonts w:ascii="宋体" w:hAnsi="宋体"/>
                <w:color w:val="FF0000"/>
              </w:rPr>
            </w:pPr>
            <w:r>
              <w:rPr>
                <w:rFonts w:hint="eastAsia" w:ascii="宋体" w:hAnsi="宋体"/>
                <w:color w:val="FF0000"/>
              </w:rPr>
              <w:t>供货期限要求：自合同签订之日起7日内将货物送达至采购人指定地点</w:t>
            </w:r>
            <w:r>
              <w:rPr>
                <w:rFonts w:hint="eastAsia" w:ascii="宋体" w:hAnsi="宋体"/>
                <w:color w:val="FF0000"/>
                <w:lang w:val="en-US" w:eastAsia="zh-CN"/>
              </w:rPr>
              <w:t>并安装调试完毕投入使用</w:t>
            </w:r>
            <w:r>
              <w:rPr>
                <w:rFonts w:hint="eastAsia" w:ascii="宋体" w:hAnsi="宋体"/>
                <w:color w:val="FF0000"/>
              </w:rPr>
              <w:t>。</w:t>
            </w:r>
          </w:p>
        </w:tc>
      </w:tr>
      <w:tr>
        <w:tblPrEx>
          <w:tblCellMar>
            <w:top w:w="0" w:type="dxa"/>
            <w:left w:w="108" w:type="dxa"/>
            <w:bottom w:w="0" w:type="dxa"/>
            <w:right w:w="108" w:type="dxa"/>
          </w:tblCellMar>
        </w:tblPrEx>
        <w:trPr>
          <w:trHeight w:val="1222" w:hRule="exact"/>
          <w:jc w:val="center"/>
        </w:trPr>
        <w:tc>
          <w:tcPr>
            <w:tcW w:w="519" w:type="pct"/>
            <w:tcBorders>
              <w:top w:val="single" w:color="auto" w:sz="12" w:space="0"/>
              <w:left w:val="single" w:color="auto" w:sz="12" w:space="0"/>
              <w:bottom w:val="single" w:color="auto" w:sz="12" w:space="0"/>
              <w:right w:val="single" w:color="auto" w:sz="12" w:space="0"/>
            </w:tcBorders>
            <w:vAlign w:val="center"/>
          </w:tcPr>
          <w:p>
            <w:pPr>
              <w:pStyle w:val="87"/>
              <w:spacing w:line="500" w:lineRule="exact"/>
              <w:jc w:val="center"/>
              <w:rPr>
                <w:rFonts w:ascii="宋体" w:hAnsi="宋体"/>
                <w:color w:val="auto"/>
              </w:rPr>
            </w:pPr>
            <w:r>
              <w:rPr>
                <w:rFonts w:hint="eastAsia" w:ascii="宋体" w:hAnsi="宋体"/>
                <w:color w:val="auto"/>
              </w:rPr>
              <w:t>8</w:t>
            </w:r>
          </w:p>
        </w:tc>
        <w:tc>
          <w:tcPr>
            <w:tcW w:w="4480" w:type="pct"/>
            <w:tcBorders>
              <w:top w:val="single" w:color="auto" w:sz="12" w:space="0"/>
              <w:left w:val="single" w:color="auto" w:sz="12" w:space="0"/>
              <w:bottom w:val="single" w:color="auto" w:sz="12" w:space="0"/>
              <w:right w:val="single" w:color="auto" w:sz="12" w:space="0"/>
            </w:tcBorders>
            <w:vAlign w:val="center"/>
          </w:tcPr>
          <w:p>
            <w:pPr>
              <w:pStyle w:val="87"/>
              <w:spacing w:line="440" w:lineRule="exact"/>
              <w:jc w:val="both"/>
              <w:rPr>
                <w:rFonts w:hint="eastAsia" w:ascii="宋体" w:hAnsi="宋体" w:eastAsia="宋体"/>
                <w:color w:val="FF0000"/>
                <w:lang w:eastAsia="zh-CN"/>
              </w:rPr>
            </w:pPr>
            <w:r>
              <w:rPr>
                <w:rFonts w:hint="eastAsia" w:ascii="宋体" w:hAnsi="宋体"/>
                <w:color w:val="FF0000"/>
              </w:rPr>
              <w:t>质量标准：</w:t>
            </w:r>
            <w:r>
              <w:rPr>
                <w:rFonts w:hint="eastAsia" w:ascii="宋体" w:hAnsi="宋体"/>
                <w:color w:val="FF0000"/>
                <w:lang w:val="en-US" w:eastAsia="zh-CN"/>
              </w:rPr>
              <w:t>合格</w:t>
            </w:r>
          </w:p>
        </w:tc>
      </w:tr>
      <w:tr>
        <w:tblPrEx>
          <w:tblCellMar>
            <w:top w:w="0" w:type="dxa"/>
            <w:left w:w="108" w:type="dxa"/>
            <w:bottom w:w="0" w:type="dxa"/>
            <w:right w:w="108" w:type="dxa"/>
          </w:tblCellMar>
        </w:tblPrEx>
        <w:trPr>
          <w:trHeight w:val="3285" w:hRule="exact"/>
          <w:jc w:val="center"/>
        </w:trPr>
        <w:tc>
          <w:tcPr>
            <w:tcW w:w="519" w:type="pct"/>
            <w:tcBorders>
              <w:top w:val="single" w:color="auto" w:sz="12" w:space="0"/>
              <w:left w:val="single" w:color="auto" w:sz="12" w:space="0"/>
              <w:bottom w:val="single" w:color="auto" w:sz="12" w:space="0"/>
              <w:right w:val="single" w:color="auto" w:sz="12" w:space="0"/>
            </w:tcBorders>
            <w:vAlign w:val="center"/>
          </w:tcPr>
          <w:p>
            <w:pPr>
              <w:pStyle w:val="87"/>
              <w:spacing w:line="500" w:lineRule="exact"/>
              <w:jc w:val="center"/>
              <w:rPr>
                <w:rFonts w:ascii="宋体" w:hAnsi="宋体"/>
                <w:color w:val="auto"/>
              </w:rPr>
            </w:pPr>
            <w:r>
              <w:rPr>
                <w:rFonts w:hint="eastAsia" w:ascii="宋体" w:hAnsi="宋体"/>
                <w:color w:val="auto"/>
              </w:rPr>
              <w:t>11</w:t>
            </w:r>
          </w:p>
        </w:tc>
        <w:tc>
          <w:tcPr>
            <w:tcW w:w="4480" w:type="pct"/>
            <w:tcBorders>
              <w:top w:val="single" w:color="auto" w:sz="12" w:space="0"/>
              <w:left w:val="single" w:color="auto" w:sz="12" w:space="0"/>
              <w:bottom w:val="single" w:color="auto" w:sz="12" w:space="0"/>
              <w:right w:val="single" w:color="auto" w:sz="12" w:space="0"/>
            </w:tcBorders>
            <w:vAlign w:val="center"/>
          </w:tcPr>
          <w:p>
            <w:pPr>
              <w:tabs>
                <w:tab w:val="center" w:pos="4422"/>
                <w:tab w:val="left" w:pos="7920"/>
              </w:tabs>
              <w:spacing w:line="440" w:lineRule="exact"/>
              <w:rPr>
                <w:rFonts w:ascii="宋体" w:hAnsi="宋体"/>
                <w:kern w:val="0"/>
                <w:sz w:val="24"/>
                <w:szCs w:val="24"/>
              </w:rPr>
            </w:pPr>
            <w:r>
              <w:rPr>
                <w:rFonts w:hint="eastAsia" w:ascii="宋体" w:hAnsi="宋体"/>
                <w:kern w:val="0"/>
                <w:sz w:val="24"/>
                <w:szCs w:val="24"/>
              </w:rPr>
              <w:t>采购产品为最新《节能产品政府采购清单》内非标记★符号的节能产品及《环境标志产品政府采购清单》的产品：</w:t>
            </w:r>
          </w:p>
          <w:p>
            <w:pPr>
              <w:tabs>
                <w:tab w:val="center" w:pos="4422"/>
                <w:tab w:val="left" w:pos="7920"/>
              </w:tabs>
              <w:spacing w:line="440" w:lineRule="exact"/>
              <w:rPr>
                <w:rFonts w:ascii="宋体" w:hAnsi="宋体"/>
              </w:rPr>
            </w:pPr>
            <w:r>
              <w:rPr>
                <w:rFonts w:hint="eastAsia" w:ascii="宋体" w:hAnsi="宋体"/>
                <w:kern w:val="0"/>
                <w:sz w:val="24"/>
                <w:szCs w:val="24"/>
              </w:rPr>
              <w:t>1、投标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tblPrEx>
          <w:tblCellMar>
            <w:top w:w="0" w:type="dxa"/>
            <w:left w:w="108" w:type="dxa"/>
            <w:bottom w:w="0" w:type="dxa"/>
            <w:right w:w="108" w:type="dxa"/>
          </w:tblCellMar>
        </w:tblPrEx>
        <w:trPr>
          <w:trHeight w:val="932" w:hRule="exact"/>
          <w:jc w:val="center"/>
        </w:trPr>
        <w:tc>
          <w:tcPr>
            <w:tcW w:w="519" w:type="pct"/>
            <w:vMerge w:val="restart"/>
            <w:tcBorders>
              <w:top w:val="single" w:color="auto" w:sz="12" w:space="0"/>
              <w:left w:val="single" w:color="auto" w:sz="12" w:space="0"/>
              <w:right w:val="single" w:color="auto" w:sz="12" w:space="0"/>
            </w:tcBorders>
            <w:vAlign w:val="center"/>
          </w:tcPr>
          <w:p>
            <w:pPr>
              <w:pStyle w:val="87"/>
              <w:spacing w:line="500" w:lineRule="exact"/>
              <w:jc w:val="center"/>
              <w:rPr>
                <w:rFonts w:ascii="宋体" w:hAnsi="宋体"/>
                <w:color w:val="auto"/>
              </w:rPr>
            </w:pPr>
            <w:r>
              <w:rPr>
                <w:rFonts w:hint="eastAsia" w:ascii="宋体" w:hAnsi="宋体"/>
                <w:color w:val="auto"/>
              </w:rPr>
              <w:t>12</w:t>
            </w:r>
          </w:p>
        </w:tc>
        <w:tc>
          <w:tcPr>
            <w:tcW w:w="4480" w:type="pct"/>
            <w:tcBorders>
              <w:top w:val="single" w:color="auto" w:sz="12" w:space="0"/>
              <w:left w:val="single" w:color="auto" w:sz="12" w:space="0"/>
              <w:bottom w:val="single" w:color="auto" w:sz="4" w:space="0"/>
              <w:right w:val="single" w:color="auto" w:sz="12" w:space="0"/>
            </w:tcBorders>
            <w:vAlign w:val="center"/>
          </w:tcPr>
          <w:p>
            <w:pPr>
              <w:tabs>
                <w:tab w:val="center" w:pos="4422"/>
                <w:tab w:val="left" w:pos="7920"/>
              </w:tabs>
              <w:spacing w:line="440" w:lineRule="exact"/>
              <w:rPr>
                <w:rFonts w:ascii="宋体" w:hAnsi="宋体"/>
                <w:kern w:val="0"/>
                <w:sz w:val="24"/>
                <w:szCs w:val="24"/>
              </w:rPr>
            </w:pPr>
            <w:r>
              <w:rPr>
                <w:rFonts w:hint="eastAsia" w:ascii="宋体" w:hAnsi="宋体"/>
                <w:kern w:val="0"/>
                <w:sz w:val="24"/>
                <w:szCs w:val="24"/>
              </w:rPr>
              <w:t>1、给予小型和微型企业产品的价格给予6%-10%的扣除，用扣除后的价格参与评审，本项目具体扣除比例为6%。</w:t>
            </w:r>
          </w:p>
        </w:tc>
      </w:tr>
      <w:tr>
        <w:tblPrEx>
          <w:tblCellMar>
            <w:top w:w="0" w:type="dxa"/>
            <w:left w:w="108" w:type="dxa"/>
            <w:bottom w:w="0" w:type="dxa"/>
            <w:right w:w="108" w:type="dxa"/>
          </w:tblCellMar>
        </w:tblPrEx>
        <w:trPr>
          <w:trHeight w:val="932" w:hRule="exact"/>
          <w:jc w:val="center"/>
        </w:trPr>
        <w:tc>
          <w:tcPr>
            <w:tcW w:w="519" w:type="pct"/>
            <w:vMerge w:val="continue"/>
            <w:tcBorders>
              <w:left w:val="single" w:color="auto" w:sz="12" w:space="0"/>
              <w:bottom w:val="single" w:color="auto" w:sz="12" w:space="0"/>
              <w:right w:val="single" w:color="auto" w:sz="12" w:space="0"/>
            </w:tcBorders>
            <w:vAlign w:val="center"/>
          </w:tcPr>
          <w:p>
            <w:pPr>
              <w:pStyle w:val="87"/>
              <w:spacing w:line="500" w:lineRule="exact"/>
              <w:jc w:val="center"/>
              <w:rPr>
                <w:rFonts w:ascii="宋体" w:hAnsi="宋体"/>
                <w:color w:val="auto"/>
              </w:rPr>
            </w:pPr>
          </w:p>
        </w:tc>
        <w:tc>
          <w:tcPr>
            <w:tcW w:w="4480" w:type="pct"/>
            <w:tcBorders>
              <w:top w:val="single" w:color="auto" w:sz="4" w:space="0"/>
              <w:left w:val="single" w:color="auto" w:sz="12" w:space="0"/>
              <w:bottom w:val="single" w:color="auto" w:sz="12" w:space="0"/>
              <w:right w:val="single" w:color="auto" w:sz="12" w:space="0"/>
            </w:tcBorders>
            <w:vAlign w:val="center"/>
          </w:tcPr>
          <w:p>
            <w:pPr>
              <w:tabs>
                <w:tab w:val="center" w:pos="4422"/>
                <w:tab w:val="left" w:pos="7920"/>
              </w:tabs>
              <w:spacing w:line="440" w:lineRule="exact"/>
              <w:rPr>
                <w:rFonts w:ascii="宋体" w:hAnsi="宋体"/>
                <w:kern w:val="0"/>
                <w:sz w:val="24"/>
                <w:szCs w:val="24"/>
              </w:rPr>
            </w:pPr>
            <w:r>
              <w:rPr>
                <w:rFonts w:hint="eastAsia" w:ascii="宋体" w:hAnsi="宋体"/>
                <w:kern w:val="0"/>
                <w:sz w:val="24"/>
                <w:szCs w:val="24"/>
              </w:rPr>
              <w:t>2、中小企业在融资、投标保证、履约保证等方面有需求的，可查询当地政府采购管理部门相关政策，通过专业化的担保途径解决。</w:t>
            </w:r>
          </w:p>
        </w:tc>
      </w:tr>
      <w:tr>
        <w:tblPrEx>
          <w:tblCellMar>
            <w:top w:w="0" w:type="dxa"/>
            <w:left w:w="108" w:type="dxa"/>
            <w:bottom w:w="0" w:type="dxa"/>
            <w:right w:w="108" w:type="dxa"/>
          </w:tblCellMar>
        </w:tblPrEx>
        <w:trPr>
          <w:trHeight w:val="1357" w:hRule="exact"/>
          <w:jc w:val="center"/>
        </w:trPr>
        <w:tc>
          <w:tcPr>
            <w:tcW w:w="519" w:type="pct"/>
            <w:tcBorders>
              <w:top w:val="single" w:color="auto" w:sz="12" w:space="0"/>
              <w:left w:val="single" w:color="auto" w:sz="12" w:space="0"/>
              <w:bottom w:val="single" w:color="auto" w:sz="12" w:space="0"/>
              <w:right w:val="single" w:color="auto" w:sz="12" w:space="0"/>
            </w:tcBorders>
            <w:vAlign w:val="center"/>
          </w:tcPr>
          <w:p>
            <w:pPr>
              <w:pStyle w:val="87"/>
              <w:spacing w:line="500" w:lineRule="exact"/>
              <w:jc w:val="center"/>
              <w:rPr>
                <w:rFonts w:ascii="宋体" w:hAnsi="宋体"/>
                <w:color w:val="auto"/>
              </w:rPr>
            </w:pPr>
            <w:r>
              <w:rPr>
                <w:rFonts w:hint="eastAsia" w:ascii="宋体" w:hAnsi="宋体"/>
                <w:color w:val="auto"/>
              </w:rPr>
              <w:t>13</w:t>
            </w:r>
          </w:p>
        </w:tc>
        <w:tc>
          <w:tcPr>
            <w:tcW w:w="4480" w:type="pct"/>
            <w:tcBorders>
              <w:top w:val="single" w:color="auto" w:sz="12" w:space="0"/>
              <w:left w:val="single" w:color="auto" w:sz="12" w:space="0"/>
              <w:bottom w:val="single" w:color="auto" w:sz="12" w:space="0"/>
              <w:right w:val="single" w:color="auto" w:sz="12" w:space="0"/>
            </w:tcBorders>
            <w:vAlign w:val="center"/>
          </w:tcPr>
          <w:p>
            <w:pPr>
              <w:pStyle w:val="87"/>
              <w:spacing w:line="440" w:lineRule="exact"/>
              <w:ind w:left="1941" w:hanging="1936" w:hangingChars="800"/>
              <w:jc w:val="both"/>
              <w:rPr>
                <w:rFonts w:ascii="宋体" w:hAnsi="宋体"/>
                <w:color w:val="auto"/>
              </w:rPr>
            </w:pPr>
            <w:r>
              <w:rPr>
                <w:rFonts w:hint="eastAsia" w:ascii="宋体" w:hAnsi="宋体"/>
                <w:color w:val="auto"/>
              </w:rPr>
              <w:t>投标文件递交至：伊宁市公共资源交易中心（伊宁市行政服务大厅5楼）</w:t>
            </w:r>
          </w:p>
        </w:tc>
      </w:tr>
      <w:tr>
        <w:tblPrEx>
          <w:tblCellMar>
            <w:top w:w="0" w:type="dxa"/>
            <w:left w:w="108" w:type="dxa"/>
            <w:bottom w:w="0" w:type="dxa"/>
            <w:right w:w="108" w:type="dxa"/>
          </w:tblCellMar>
        </w:tblPrEx>
        <w:trPr>
          <w:trHeight w:val="573" w:hRule="exact"/>
          <w:jc w:val="center"/>
        </w:trPr>
        <w:tc>
          <w:tcPr>
            <w:tcW w:w="519" w:type="pct"/>
            <w:tcBorders>
              <w:top w:val="single" w:color="auto" w:sz="12" w:space="0"/>
              <w:left w:val="single" w:color="auto" w:sz="12" w:space="0"/>
              <w:bottom w:val="single" w:color="auto" w:sz="12" w:space="0"/>
              <w:right w:val="single" w:color="auto" w:sz="12" w:space="0"/>
            </w:tcBorders>
            <w:vAlign w:val="center"/>
          </w:tcPr>
          <w:p>
            <w:pPr>
              <w:pStyle w:val="87"/>
              <w:spacing w:line="500" w:lineRule="exact"/>
              <w:jc w:val="center"/>
              <w:rPr>
                <w:rFonts w:ascii="宋体" w:hAnsi="宋体"/>
                <w:color w:val="auto"/>
                <w:highlight w:val="none"/>
              </w:rPr>
            </w:pPr>
            <w:r>
              <w:rPr>
                <w:rFonts w:hint="eastAsia" w:ascii="宋体" w:hAnsi="宋体"/>
                <w:color w:val="auto"/>
                <w:highlight w:val="none"/>
              </w:rPr>
              <w:t>14</w:t>
            </w:r>
          </w:p>
        </w:tc>
        <w:tc>
          <w:tcPr>
            <w:tcW w:w="4480" w:type="pct"/>
            <w:tcBorders>
              <w:top w:val="single" w:color="auto" w:sz="12" w:space="0"/>
              <w:left w:val="single" w:color="auto" w:sz="12" w:space="0"/>
              <w:bottom w:val="single" w:color="auto" w:sz="12" w:space="0"/>
              <w:right w:val="single" w:color="auto" w:sz="12" w:space="0"/>
            </w:tcBorders>
            <w:vAlign w:val="center"/>
          </w:tcPr>
          <w:p>
            <w:pPr>
              <w:pStyle w:val="87"/>
              <w:spacing w:line="440" w:lineRule="exact"/>
              <w:jc w:val="both"/>
              <w:rPr>
                <w:rFonts w:ascii="宋体" w:hAnsi="宋体"/>
                <w:color w:val="auto"/>
                <w:highlight w:val="none"/>
              </w:rPr>
            </w:pPr>
            <w:r>
              <w:rPr>
                <w:rFonts w:hint="eastAsia" w:ascii="宋体" w:hAnsi="宋体"/>
                <w:color w:val="auto"/>
                <w:highlight w:val="none"/>
              </w:rPr>
              <w:t>开标时间:2023年</w:t>
            </w:r>
            <w:r>
              <w:rPr>
                <w:rFonts w:hint="eastAsia" w:ascii="宋体" w:hAnsi="宋体"/>
                <w:color w:val="auto"/>
                <w:highlight w:val="none"/>
                <w:lang w:val="en-US" w:eastAsia="zh-CN"/>
              </w:rPr>
              <w:t>3</w:t>
            </w:r>
            <w:r>
              <w:rPr>
                <w:rFonts w:hint="eastAsia" w:ascii="宋体" w:hAnsi="宋体"/>
                <w:color w:val="auto"/>
                <w:highlight w:val="none"/>
              </w:rPr>
              <w:t>月</w:t>
            </w:r>
            <w:r>
              <w:rPr>
                <w:rFonts w:hint="eastAsia" w:ascii="宋体" w:hAnsi="宋体"/>
                <w:color w:val="auto"/>
                <w:highlight w:val="none"/>
                <w:lang w:val="en-US" w:eastAsia="zh-CN"/>
              </w:rPr>
              <w:t>21</w:t>
            </w:r>
            <w:r>
              <w:rPr>
                <w:rFonts w:hint="eastAsia" w:ascii="宋体" w:hAnsi="宋体"/>
                <w:color w:val="auto"/>
                <w:highlight w:val="none"/>
              </w:rPr>
              <w:t>日下午16:00分（北京时间）</w:t>
            </w:r>
          </w:p>
        </w:tc>
      </w:tr>
      <w:tr>
        <w:tblPrEx>
          <w:tblCellMar>
            <w:top w:w="0" w:type="dxa"/>
            <w:left w:w="108" w:type="dxa"/>
            <w:bottom w:w="0" w:type="dxa"/>
            <w:right w:w="108" w:type="dxa"/>
          </w:tblCellMar>
        </w:tblPrEx>
        <w:trPr>
          <w:trHeight w:val="1076" w:hRule="exact"/>
          <w:jc w:val="center"/>
        </w:trPr>
        <w:tc>
          <w:tcPr>
            <w:tcW w:w="519" w:type="pct"/>
            <w:tcBorders>
              <w:top w:val="single" w:color="auto" w:sz="12" w:space="0"/>
              <w:left w:val="single" w:color="auto" w:sz="12" w:space="0"/>
              <w:bottom w:val="single" w:color="auto" w:sz="12" w:space="0"/>
              <w:right w:val="single" w:color="auto" w:sz="12" w:space="0"/>
            </w:tcBorders>
            <w:vAlign w:val="center"/>
          </w:tcPr>
          <w:p>
            <w:pPr>
              <w:pStyle w:val="87"/>
              <w:spacing w:line="500" w:lineRule="exact"/>
              <w:jc w:val="center"/>
              <w:rPr>
                <w:rFonts w:ascii="宋体" w:hAnsi="宋体"/>
                <w:color w:val="auto"/>
              </w:rPr>
            </w:pPr>
            <w:r>
              <w:rPr>
                <w:rFonts w:hint="eastAsia" w:ascii="宋体" w:hAnsi="宋体"/>
                <w:color w:val="auto"/>
              </w:rPr>
              <w:t>15</w:t>
            </w:r>
          </w:p>
        </w:tc>
        <w:tc>
          <w:tcPr>
            <w:tcW w:w="4480" w:type="pct"/>
            <w:tcBorders>
              <w:top w:val="single" w:color="auto" w:sz="12" w:space="0"/>
              <w:left w:val="single" w:color="auto" w:sz="12" w:space="0"/>
              <w:bottom w:val="single" w:color="auto" w:sz="12" w:space="0"/>
              <w:right w:val="single" w:color="auto" w:sz="12" w:space="0"/>
            </w:tcBorders>
            <w:vAlign w:val="center"/>
          </w:tcPr>
          <w:p>
            <w:pPr>
              <w:pStyle w:val="87"/>
              <w:spacing w:line="440" w:lineRule="exact"/>
              <w:ind w:left="1213" w:hanging="1210" w:hangingChars="500"/>
              <w:jc w:val="both"/>
              <w:rPr>
                <w:rFonts w:ascii="宋体" w:hAnsi="宋体"/>
                <w:color w:val="auto"/>
              </w:rPr>
            </w:pPr>
            <w:r>
              <w:rPr>
                <w:rFonts w:hint="eastAsia" w:ascii="宋体" w:hAnsi="宋体"/>
                <w:color w:val="auto"/>
              </w:rPr>
              <w:t>开标地点：伊宁市公共资源交易中心（伊宁市行政服务大厅5楼）</w:t>
            </w:r>
          </w:p>
        </w:tc>
      </w:tr>
      <w:tr>
        <w:tblPrEx>
          <w:tblCellMar>
            <w:top w:w="0" w:type="dxa"/>
            <w:left w:w="108" w:type="dxa"/>
            <w:bottom w:w="0" w:type="dxa"/>
            <w:right w:w="108" w:type="dxa"/>
          </w:tblCellMar>
        </w:tblPrEx>
        <w:trPr>
          <w:trHeight w:val="1211" w:hRule="exact"/>
          <w:jc w:val="center"/>
        </w:trPr>
        <w:tc>
          <w:tcPr>
            <w:tcW w:w="519" w:type="pct"/>
            <w:tcBorders>
              <w:top w:val="single" w:color="auto" w:sz="12" w:space="0"/>
              <w:left w:val="single" w:color="auto" w:sz="12" w:space="0"/>
              <w:bottom w:val="single" w:color="auto" w:sz="12" w:space="0"/>
              <w:right w:val="single" w:color="auto" w:sz="12" w:space="0"/>
            </w:tcBorders>
            <w:vAlign w:val="center"/>
          </w:tcPr>
          <w:p>
            <w:pPr>
              <w:pStyle w:val="87"/>
              <w:spacing w:line="500" w:lineRule="exact"/>
              <w:jc w:val="center"/>
              <w:rPr>
                <w:rFonts w:ascii="宋体" w:hAnsi="宋体"/>
                <w:color w:val="auto"/>
              </w:rPr>
            </w:pPr>
            <w:r>
              <w:rPr>
                <w:rFonts w:hint="eastAsia" w:ascii="宋体" w:hAnsi="宋体"/>
                <w:color w:val="auto"/>
              </w:rPr>
              <w:t>16</w:t>
            </w:r>
          </w:p>
        </w:tc>
        <w:tc>
          <w:tcPr>
            <w:tcW w:w="4480" w:type="pct"/>
            <w:tcBorders>
              <w:top w:val="single" w:color="auto" w:sz="12" w:space="0"/>
              <w:left w:val="single" w:color="auto" w:sz="12" w:space="0"/>
              <w:bottom w:val="single" w:color="auto" w:sz="12" w:space="0"/>
              <w:right w:val="single" w:color="auto" w:sz="12" w:space="0"/>
            </w:tcBorders>
            <w:vAlign w:val="center"/>
          </w:tcPr>
          <w:p>
            <w:pPr>
              <w:pStyle w:val="87"/>
              <w:spacing w:line="440" w:lineRule="exact"/>
              <w:ind w:left="1941" w:hanging="1936" w:hangingChars="800"/>
              <w:jc w:val="both"/>
              <w:rPr>
                <w:rFonts w:ascii="宋体" w:hAnsi="宋体"/>
                <w:color w:val="auto"/>
              </w:rPr>
            </w:pPr>
            <w:r>
              <w:rPr>
                <w:rFonts w:hint="eastAsia" w:ascii="宋体" w:hAnsi="宋体"/>
                <w:color w:val="auto"/>
              </w:rPr>
              <w:t>招标代理服务费：</w:t>
            </w:r>
            <w:r>
              <w:rPr>
                <w:rFonts w:hint="eastAsia" w:ascii="宋体" w:hAnsi="宋体" w:cs="宋体"/>
                <w:color w:val="auto"/>
              </w:rPr>
              <w:t>按照国家发改价格（2011）534号文及发改办价格[2015]299号文计算，项目招标代理服务费由中标人支付。</w:t>
            </w:r>
          </w:p>
        </w:tc>
      </w:tr>
      <w:tr>
        <w:tblPrEx>
          <w:tblCellMar>
            <w:top w:w="0" w:type="dxa"/>
            <w:left w:w="108" w:type="dxa"/>
            <w:bottom w:w="0" w:type="dxa"/>
            <w:right w:w="108" w:type="dxa"/>
          </w:tblCellMar>
        </w:tblPrEx>
        <w:trPr>
          <w:trHeight w:val="4425" w:hRule="exact"/>
          <w:jc w:val="center"/>
        </w:trPr>
        <w:tc>
          <w:tcPr>
            <w:tcW w:w="519" w:type="pct"/>
            <w:tcBorders>
              <w:top w:val="single" w:color="auto" w:sz="12" w:space="0"/>
              <w:left w:val="single" w:color="auto" w:sz="12" w:space="0"/>
              <w:bottom w:val="single" w:color="auto" w:sz="12" w:space="0"/>
              <w:right w:val="single" w:color="auto" w:sz="12" w:space="0"/>
            </w:tcBorders>
            <w:vAlign w:val="center"/>
          </w:tcPr>
          <w:p>
            <w:pPr>
              <w:pStyle w:val="87"/>
              <w:spacing w:line="500" w:lineRule="exact"/>
              <w:ind w:firstLine="121" w:firstLineChars="50"/>
              <w:rPr>
                <w:rFonts w:ascii="宋体" w:hAnsi="宋体"/>
                <w:b/>
                <w:color w:val="auto"/>
              </w:rPr>
            </w:pPr>
            <w:r>
              <w:rPr>
                <w:rFonts w:hint="eastAsia" w:ascii="宋体" w:hAnsi="宋体"/>
                <w:b/>
                <w:color w:val="auto"/>
              </w:rPr>
              <w:t xml:space="preserve"> 17</w:t>
            </w:r>
          </w:p>
        </w:tc>
        <w:tc>
          <w:tcPr>
            <w:tcW w:w="4480" w:type="pct"/>
            <w:tcBorders>
              <w:top w:val="single" w:color="auto" w:sz="12" w:space="0"/>
              <w:left w:val="single" w:color="auto" w:sz="12" w:space="0"/>
              <w:bottom w:val="single" w:color="auto" w:sz="12" w:space="0"/>
              <w:right w:val="single" w:color="auto" w:sz="12" w:space="0"/>
            </w:tcBorders>
            <w:vAlign w:val="center"/>
          </w:tcPr>
          <w:p>
            <w:pPr>
              <w:widowControl/>
              <w:spacing w:line="440" w:lineRule="exact"/>
              <w:jc w:val="left"/>
              <w:rPr>
                <w:rFonts w:ascii="宋体" w:hAnsi="宋体" w:cs="宋体"/>
                <w:b/>
                <w:sz w:val="24"/>
                <w:szCs w:val="24"/>
              </w:rPr>
            </w:pPr>
            <w:r>
              <w:rPr>
                <w:rFonts w:hint="eastAsia" w:ascii="宋体" w:hAnsi="宋体" w:cs="宋体"/>
                <w:b/>
                <w:sz w:val="24"/>
                <w:szCs w:val="24"/>
              </w:rPr>
              <w:t>开标时须携带：</w:t>
            </w:r>
          </w:p>
          <w:p>
            <w:pPr>
              <w:widowControl/>
              <w:spacing w:line="440" w:lineRule="exact"/>
              <w:jc w:val="left"/>
              <w:rPr>
                <w:rFonts w:ascii="宋体" w:hAnsi="宋体" w:cs="宋体"/>
                <w:b/>
                <w:sz w:val="24"/>
                <w:szCs w:val="24"/>
              </w:rPr>
            </w:pPr>
            <w:r>
              <w:rPr>
                <w:rFonts w:hint="eastAsia" w:ascii="宋体" w:hAnsi="宋体" w:cs="宋体"/>
                <w:b/>
                <w:sz w:val="24"/>
                <w:szCs w:val="24"/>
              </w:rPr>
              <w:t>1、法定代表人参加时提供：身份证原件，或委托代理人参加时提供：身份证原件、法定代表人身份证明、授权委托书原件；</w:t>
            </w:r>
          </w:p>
          <w:p>
            <w:pPr>
              <w:widowControl/>
              <w:spacing w:line="440" w:lineRule="exact"/>
              <w:jc w:val="left"/>
            </w:pPr>
            <w:r>
              <w:rPr>
                <w:rFonts w:hint="eastAsia" w:ascii="宋体" w:hAnsi="宋体" w:cs="宋体"/>
                <w:b/>
                <w:sz w:val="24"/>
                <w:szCs w:val="24"/>
              </w:rPr>
              <w:t>2、企业营业执照副本原件；</w:t>
            </w:r>
          </w:p>
          <w:p>
            <w:pPr>
              <w:widowControl/>
              <w:spacing w:line="440" w:lineRule="exact"/>
              <w:jc w:val="left"/>
              <w:rPr>
                <w:rFonts w:ascii="宋体" w:hAnsi="宋体" w:cs="宋体"/>
                <w:b/>
                <w:sz w:val="24"/>
                <w:szCs w:val="24"/>
              </w:rPr>
            </w:pPr>
            <w:r>
              <w:rPr>
                <w:rFonts w:hint="eastAsia" w:ascii="宋体" w:hAnsi="宋体" w:cs="宋体"/>
                <w:b/>
                <w:sz w:val="24"/>
                <w:szCs w:val="24"/>
              </w:rPr>
              <w:t>3、提供在“信用中国”网站、 “中国政府采购网”查询结果打印件加盖公章；</w:t>
            </w:r>
          </w:p>
          <w:p>
            <w:pPr>
              <w:widowControl/>
              <w:spacing w:line="440" w:lineRule="exact"/>
              <w:jc w:val="left"/>
              <w:rPr>
                <w:rFonts w:ascii="宋体" w:hAnsi="宋体" w:cs="宋体"/>
                <w:b/>
                <w:sz w:val="24"/>
                <w:szCs w:val="24"/>
              </w:rPr>
            </w:pPr>
            <w:r>
              <w:rPr>
                <w:rFonts w:hint="eastAsia" w:ascii="宋体" w:hAnsi="宋体" w:cs="宋体"/>
                <w:b/>
                <w:sz w:val="24"/>
                <w:szCs w:val="24"/>
              </w:rPr>
              <w:t>4、投标保证金汇款凭证复印件加盖公章。</w:t>
            </w:r>
          </w:p>
          <w:p>
            <w:pPr>
              <w:widowControl/>
              <w:spacing w:line="440" w:lineRule="exact"/>
              <w:jc w:val="left"/>
              <w:rPr>
                <w:rFonts w:ascii="宋体" w:hAnsi="宋体"/>
                <w:b/>
                <w:sz w:val="24"/>
                <w:szCs w:val="24"/>
              </w:rPr>
            </w:pPr>
            <w:r>
              <w:rPr>
                <w:rFonts w:hint="eastAsia" w:ascii="宋体" w:hAnsi="宋体" w:cs="宋体"/>
                <w:b/>
                <w:sz w:val="24"/>
                <w:szCs w:val="24"/>
              </w:rPr>
              <w:t>注：无法提供以上资料的投标人为无效投标人，其投标文件不予开封并退回投标人。</w:t>
            </w:r>
          </w:p>
        </w:tc>
      </w:tr>
    </w:tbl>
    <w:p>
      <w:pPr>
        <w:pStyle w:val="87"/>
        <w:spacing w:line="500" w:lineRule="exact"/>
        <w:jc w:val="both"/>
        <w:outlineLvl w:val="0"/>
        <w:rPr>
          <w:rFonts w:ascii="宋体" w:hAnsi="宋体"/>
          <w:b/>
          <w:color w:val="auto"/>
          <w:sz w:val="21"/>
          <w:szCs w:val="30"/>
        </w:rPr>
      </w:pPr>
      <w:bookmarkStart w:id="1" w:name="_Toc2189"/>
      <w:r>
        <w:rPr>
          <w:rFonts w:hint="eastAsia" w:ascii="宋体" w:hAnsi="宋体"/>
          <w:b/>
          <w:color w:val="auto"/>
          <w:sz w:val="21"/>
          <w:szCs w:val="30"/>
        </w:rPr>
        <w:t>注：招标文件正文与投标人须知前附表不一致的，以投标人须知前附表为准。</w:t>
      </w:r>
    </w:p>
    <w:p>
      <w:pPr>
        <w:widowControl/>
        <w:jc w:val="left"/>
        <w:rPr>
          <w:rFonts w:ascii="宋体" w:hAnsi="宋体"/>
          <w:b/>
          <w:kern w:val="0"/>
          <w:sz w:val="30"/>
          <w:szCs w:val="30"/>
        </w:rPr>
      </w:pPr>
      <w:r>
        <w:rPr>
          <w:rFonts w:ascii="宋体" w:hAnsi="宋体"/>
          <w:b/>
          <w:sz w:val="30"/>
          <w:szCs w:val="30"/>
        </w:rPr>
        <w:br w:type="page"/>
      </w:r>
    </w:p>
    <w:p>
      <w:pPr>
        <w:pStyle w:val="87"/>
        <w:spacing w:line="500" w:lineRule="exact"/>
        <w:jc w:val="center"/>
        <w:outlineLvl w:val="0"/>
        <w:rPr>
          <w:rFonts w:ascii="宋体" w:hAnsi="宋体"/>
          <w:b/>
          <w:color w:val="auto"/>
          <w:sz w:val="30"/>
          <w:szCs w:val="30"/>
        </w:rPr>
      </w:pPr>
      <w:r>
        <w:rPr>
          <w:rFonts w:hint="eastAsia" w:ascii="宋体" w:hAnsi="宋体"/>
          <w:b/>
          <w:color w:val="auto"/>
          <w:sz w:val="30"/>
          <w:szCs w:val="30"/>
        </w:rPr>
        <w:t xml:space="preserve">第一章 </w:t>
      </w:r>
      <w:bookmarkEnd w:id="1"/>
      <w:r>
        <w:rPr>
          <w:rFonts w:hint="eastAsia" w:ascii="宋体" w:hAnsi="宋体"/>
          <w:b/>
          <w:color w:val="auto"/>
          <w:sz w:val="30"/>
          <w:szCs w:val="30"/>
        </w:rPr>
        <w:t>招标公告</w:t>
      </w:r>
    </w:p>
    <w:p>
      <w:pPr>
        <w:widowControl/>
        <w:jc w:val="left"/>
        <w:rPr>
          <w:rFonts w:ascii="宋体" w:hAnsi="宋体"/>
          <w:b/>
          <w:kern w:val="0"/>
          <w:sz w:val="24"/>
          <w:szCs w:val="24"/>
        </w:rPr>
      </w:pPr>
      <w:bookmarkStart w:id="2" w:name="_Toc6564"/>
    </w:p>
    <w:p>
      <w:pPr>
        <w:rPr>
          <w:rFonts w:ascii="宋体" w:hAnsi="宋体"/>
          <w:b/>
        </w:rPr>
      </w:pPr>
      <w:r>
        <w:rPr>
          <w:rFonts w:hint="eastAsia" w:ascii="宋体" w:hAnsi="宋体"/>
          <w:b/>
        </w:rPr>
        <w:br w:type="page"/>
      </w:r>
    </w:p>
    <w:p>
      <w:pPr>
        <w:pStyle w:val="87"/>
        <w:spacing w:line="500" w:lineRule="exact"/>
        <w:jc w:val="center"/>
        <w:outlineLvl w:val="0"/>
        <w:rPr>
          <w:rFonts w:ascii="宋体" w:hAnsi="宋体"/>
          <w:b/>
          <w:color w:val="auto"/>
        </w:rPr>
      </w:pPr>
      <w:r>
        <w:rPr>
          <w:rFonts w:hint="eastAsia" w:ascii="宋体" w:hAnsi="宋体"/>
          <w:b/>
          <w:color w:val="auto"/>
        </w:rPr>
        <w:t>第二章 投标须知</w:t>
      </w:r>
      <w:bookmarkEnd w:id="2"/>
    </w:p>
    <w:p>
      <w:pPr>
        <w:pStyle w:val="87"/>
        <w:spacing w:line="500" w:lineRule="exact"/>
        <w:jc w:val="center"/>
        <w:outlineLvl w:val="1"/>
        <w:rPr>
          <w:rFonts w:ascii="宋体" w:hAnsi="宋体"/>
          <w:color w:val="auto"/>
        </w:rPr>
      </w:pPr>
      <w:bookmarkStart w:id="3" w:name="_Toc8533"/>
      <w:r>
        <w:rPr>
          <w:rFonts w:hint="eastAsia" w:ascii="宋体" w:hAnsi="宋体"/>
          <w:color w:val="auto"/>
        </w:rPr>
        <w:t>一、总则</w:t>
      </w:r>
      <w:bookmarkEnd w:id="3"/>
    </w:p>
    <w:p>
      <w:pPr>
        <w:pStyle w:val="87"/>
        <w:spacing w:line="500" w:lineRule="exact"/>
        <w:ind w:firstLine="484" w:firstLineChars="200"/>
        <w:jc w:val="both"/>
        <w:rPr>
          <w:rFonts w:ascii="宋体" w:hAnsi="宋体"/>
          <w:color w:val="auto"/>
        </w:rPr>
      </w:pPr>
      <w:r>
        <w:rPr>
          <w:rFonts w:hint="eastAsia" w:ascii="宋体" w:hAnsi="宋体"/>
          <w:color w:val="auto"/>
        </w:rPr>
        <w:t>1.  合格的投标供应商：</w:t>
      </w:r>
    </w:p>
    <w:p>
      <w:pPr>
        <w:pStyle w:val="87"/>
        <w:spacing w:line="500" w:lineRule="exact"/>
        <w:ind w:firstLine="484" w:firstLineChars="200"/>
        <w:jc w:val="both"/>
        <w:rPr>
          <w:rFonts w:ascii="宋体" w:hAnsi="宋体"/>
          <w:color w:val="auto"/>
        </w:rPr>
      </w:pPr>
      <w:r>
        <w:rPr>
          <w:rFonts w:hint="eastAsia" w:ascii="宋体" w:hAnsi="宋体"/>
          <w:color w:val="auto"/>
        </w:rPr>
        <w:t>1.1 符合《中华人民共和国政府采购法》第二十二条的相关规定；</w:t>
      </w:r>
    </w:p>
    <w:p>
      <w:pPr>
        <w:pStyle w:val="87"/>
        <w:spacing w:line="500" w:lineRule="exact"/>
        <w:ind w:firstLine="484" w:firstLineChars="200"/>
        <w:jc w:val="both"/>
        <w:rPr>
          <w:rFonts w:ascii="宋体" w:hAnsi="宋体"/>
          <w:color w:val="auto"/>
        </w:rPr>
      </w:pPr>
      <w:r>
        <w:rPr>
          <w:rFonts w:hint="eastAsia" w:ascii="宋体" w:hAnsi="宋体"/>
          <w:color w:val="auto"/>
        </w:rPr>
        <w:t>1.2 有效的“一证一码”或“三证合一”的营业执照； </w:t>
      </w:r>
    </w:p>
    <w:p>
      <w:pPr>
        <w:pStyle w:val="87"/>
        <w:spacing w:line="500" w:lineRule="exact"/>
        <w:ind w:firstLine="484" w:firstLineChars="200"/>
        <w:rPr>
          <w:rFonts w:ascii="宋体" w:hAnsi="宋体"/>
          <w:color w:val="auto"/>
        </w:rPr>
      </w:pPr>
      <w:r>
        <w:rPr>
          <w:rFonts w:hint="eastAsia" w:ascii="宋体" w:hAnsi="宋体"/>
          <w:color w:val="auto"/>
        </w:rPr>
        <w:t>1.3 凡拟参加本次招标项目的投标人，如在“信用中国”网站（www.creditchina.gov.cn）、中国政府采购网（www.ccgp.gov.cn）被列入失信被执行人、重大税收违法案件当事人名单、政府采购严重违法失信行为记录名单的（尚在处罚期内的），将拒绝其参本次政府采购活动；</w:t>
      </w:r>
    </w:p>
    <w:p>
      <w:pPr>
        <w:pStyle w:val="87"/>
        <w:spacing w:line="500" w:lineRule="exact"/>
        <w:ind w:firstLine="484" w:firstLineChars="200"/>
        <w:jc w:val="both"/>
        <w:rPr>
          <w:rFonts w:ascii="宋体" w:hAnsi="宋体"/>
          <w:color w:val="auto"/>
        </w:rPr>
      </w:pPr>
      <w:r>
        <w:rPr>
          <w:rFonts w:hint="eastAsia" w:ascii="宋体" w:hAnsi="宋体"/>
          <w:color w:val="auto"/>
        </w:rPr>
        <w:t>1.4 本项目不接受联合体投标。</w:t>
      </w:r>
    </w:p>
    <w:p>
      <w:pPr>
        <w:pStyle w:val="87"/>
        <w:spacing w:line="500" w:lineRule="exact"/>
        <w:ind w:firstLine="567"/>
        <w:jc w:val="both"/>
        <w:rPr>
          <w:rFonts w:ascii="宋体" w:hAnsi="宋体"/>
          <w:color w:val="auto"/>
        </w:rPr>
      </w:pPr>
      <w:r>
        <w:rPr>
          <w:rFonts w:hint="eastAsia" w:ascii="宋体" w:hAnsi="宋体"/>
          <w:color w:val="auto"/>
        </w:rPr>
        <w:t>2.  定义。</w:t>
      </w:r>
    </w:p>
    <w:p>
      <w:pPr>
        <w:pStyle w:val="87"/>
        <w:spacing w:line="500" w:lineRule="exact"/>
        <w:ind w:firstLine="567"/>
        <w:jc w:val="both"/>
        <w:rPr>
          <w:rFonts w:ascii="宋体" w:hAnsi="宋体"/>
          <w:color w:val="auto"/>
        </w:rPr>
      </w:pPr>
      <w:r>
        <w:rPr>
          <w:rFonts w:hint="eastAsia" w:ascii="宋体" w:hAnsi="宋体"/>
          <w:color w:val="auto"/>
        </w:rPr>
        <w:t>2.1  “招标代理机构”系指新疆远驰工程咨询有限公司。</w:t>
      </w:r>
    </w:p>
    <w:p>
      <w:pPr>
        <w:pStyle w:val="87"/>
        <w:spacing w:line="500" w:lineRule="exact"/>
        <w:ind w:firstLine="567"/>
        <w:jc w:val="both"/>
        <w:rPr>
          <w:rFonts w:ascii="宋体" w:hAnsi="宋体"/>
          <w:color w:val="auto"/>
        </w:rPr>
      </w:pPr>
      <w:r>
        <w:rPr>
          <w:rFonts w:hint="eastAsia" w:ascii="宋体" w:hAnsi="宋体"/>
          <w:color w:val="auto"/>
        </w:rPr>
        <w:t>2.2  “投标供应商”系指向招标代理机构提交投标文件的供应商。</w:t>
      </w:r>
    </w:p>
    <w:p>
      <w:pPr>
        <w:pStyle w:val="87"/>
        <w:spacing w:line="500" w:lineRule="exact"/>
        <w:ind w:firstLine="567"/>
        <w:jc w:val="both"/>
        <w:rPr>
          <w:rFonts w:ascii="宋体" w:hAnsi="宋体"/>
          <w:color w:val="auto"/>
        </w:rPr>
      </w:pPr>
      <w:r>
        <w:rPr>
          <w:rFonts w:hint="eastAsia" w:ascii="宋体" w:hAnsi="宋体"/>
          <w:color w:val="auto"/>
        </w:rPr>
        <w:t>2.3  “货物”系指卖方按合同要求，向买方提供的设备手册及其他技术资料。</w:t>
      </w:r>
    </w:p>
    <w:p>
      <w:pPr>
        <w:pStyle w:val="87"/>
        <w:spacing w:line="500" w:lineRule="exact"/>
        <w:ind w:firstLine="605" w:firstLineChars="250"/>
        <w:rPr>
          <w:rFonts w:ascii="宋体" w:hAnsi="宋体"/>
          <w:color w:val="auto"/>
        </w:rPr>
      </w:pPr>
      <w:r>
        <w:rPr>
          <w:rFonts w:hint="eastAsia" w:ascii="宋体" w:hAnsi="宋体"/>
          <w:color w:val="auto"/>
        </w:rPr>
        <w:t>2.4.“节能产品”或者“环保产品”是指财政部最新发布的《节能产品政府采购清单》或者《环境标志产品政府采购清单》的产品。</w:t>
      </w:r>
    </w:p>
    <w:p>
      <w:pPr>
        <w:pStyle w:val="87"/>
        <w:spacing w:line="500" w:lineRule="exact"/>
        <w:ind w:firstLine="567"/>
        <w:jc w:val="both"/>
        <w:rPr>
          <w:rFonts w:ascii="宋体" w:hAnsi="宋体"/>
          <w:color w:val="auto"/>
        </w:rPr>
      </w:pPr>
      <w:r>
        <w:rPr>
          <w:rFonts w:hint="eastAsia" w:ascii="宋体" w:hAnsi="宋体"/>
          <w:color w:val="auto"/>
        </w:rPr>
        <w:t>2.5  “服务”系指按合同规定卖方须承担的运输、装卸、技术协助和交付使用后保修期内应履行的义务及售后服务等其他类似的义务。</w:t>
      </w:r>
    </w:p>
    <w:p>
      <w:pPr>
        <w:pStyle w:val="87"/>
        <w:spacing w:line="500" w:lineRule="exact"/>
        <w:ind w:firstLine="567"/>
        <w:jc w:val="both"/>
        <w:rPr>
          <w:rFonts w:ascii="宋体" w:hAnsi="宋体"/>
          <w:color w:val="auto"/>
        </w:rPr>
      </w:pPr>
      <w:r>
        <w:rPr>
          <w:rFonts w:hint="eastAsia" w:ascii="宋体" w:hAnsi="宋体"/>
          <w:color w:val="auto"/>
        </w:rPr>
        <w:t>2.6  “卖方”系指提供合同货物和服务的经济实体。</w:t>
      </w:r>
    </w:p>
    <w:p>
      <w:pPr>
        <w:pStyle w:val="87"/>
        <w:spacing w:line="500" w:lineRule="exact"/>
        <w:ind w:firstLine="567"/>
        <w:jc w:val="both"/>
        <w:rPr>
          <w:rFonts w:ascii="宋体" w:hAnsi="宋体"/>
          <w:color w:val="auto"/>
        </w:rPr>
      </w:pPr>
      <w:r>
        <w:rPr>
          <w:rFonts w:hint="eastAsia" w:ascii="宋体" w:hAnsi="宋体"/>
          <w:color w:val="auto"/>
        </w:rPr>
        <w:t>2.7  “买方”系指购买货物和服务的单位。</w:t>
      </w:r>
    </w:p>
    <w:p>
      <w:pPr>
        <w:pStyle w:val="87"/>
        <w:spacing w:line="500" w:lineRule="exact"/>
        <w:ind w:firstLine="484" w:firstLineChars="200"/>
        <w:jc w:val="both"/>
        <w:rPr>
          <w:rFonts w:ascii="宋体" w:hAnsi="宋体"/>
          <w:color w:val="auto"/>
        </w:rPr>
      </w:pPr>
      <w:r>
        <w:rPr>
          <w:rFonts w:hint="eastAsia" w:ascii="宋体" w:hAnsi="宋体"/>
          <w:color w:val="auto"/>
        </w:rPr>
        <w:t>3.  投标费用</w:t>
      </w:r>
    </w:p>
    <w:p>
      <w:pPr>
        <w:pStyle w:val="87"/>
        <w:spacing w:line="500" w:lineRule="exact"/>
        <w:ind w:firstLine="484" w:firstLineChars="200"/>
        <w:jc w:val="both"/>
        <w:rPr>
          <w:rFonts w:ascii="宋体" w:hAnsi="宋体"/>
          <w:color w:val="auto"/>
        </w:rPr>
      </w:pPr>
      <w:r>
        <w:rPr>
          <w:rFonts w:hint="eastAsia" w:ascii="宋体" w:hAnsi="宋体"/>
          <w:color w:val="auto"/>
        </w:rPr>
        <w:t>3.1  投标供应商在投标时应自行承担所有与编写和提交投标文件有关的费用。</w:t>
      </w:r>
    </w:p>
    <w:p>
      <w:pPr>
        <w:numPr>
          <w:ilvl w:val="0"/>
          <w:numId w:val="1"/>
        </w:numPr>
        <w:spacing w:line="500" w:lineRule="exact"/>
        <w:ind w:firstLine="570"/>
        <w:jc w:val="left"/>
        <w:rPr>
          <w:rFonts w:ascii="宋体" w:hAnsi="宋体"/>
          <w:b/>
          <w:sz w:val="24"/>
          <w:szCs w:val="24"/>
        </w:rPr>
      </w:pPr>
      <w:r>
        <w:rPr>
          <w:rFonts w:hint="eastAsia" w:ascii="宋体" w:hAnsi="宋体"/>
          <w:kern w:val="0"/>
          <w:sz w:val="24"/>
          <w:szCs w:val="24"/>
        </w:rPr>
        <w:t>本次项目不接受联合体投标。</w:t>
      </w:r>
    </w:p>
    <w:p>
      <w:pPr>
        <w:pStyle w:val="2"/>
        <w:rPr>
          <w:rFonts w:ascii="宋体" w:hAnsi="宋体"/>
          <w:kern w:val="0"/>
          <w:sz w:val="24"/>
          <w:szCs w:val="24"/>
        </w:rPr>
      </w:pPr>
    </w:p>
    <w:p>
      <w:pPr>
        <w:pStyle w:val="3"/>
        <w:rPr>
          <w:rFonts w:ascii="宋体" w:hAnsi="宋体"/>
          <w:sz w:val="24"/>
          <w:szCs w:val="24"/>
        </w:rPr>
      </w:pPr>
    </w:p>
    <w:p>
      <w:pPr>
        <w:rPr>
          <w:rFonts w:ascii="宋体" w:hAnsi="宋体"/>
          <w:kern w:val="0"/>
          <w:sz w:val="24"/>
          <w:szCs w:val="24"/>
        </w:rPr>
      </w:pPr>
    </w:p>
    <w:p>
      <w:pPr>
        <w:pStyle w:val="2"/>
        <w:rPr>
          <w:rFonts w:ascii="宋体" w:hAnsi="宋体"/>
          <w:kern w:val="0"/>
          <w:sz w:val="24"/>
          <w:szCs w:val="24"/>
        </w:rPr>
      </w:pPr>
    </w:p>
    <w:p>
      <w:pPr>
        <w:pStyle w:val="3"/>
      </w:pPr>
    </w:p>
    <w:p>
      <w:pPr>
        <w:pStyle w:val="87"/>
        <w:spacing w:line="500" w:lineRule="exact"/>
        <w:ind w:left="567"/>
        <w:jc w:val="center"/>
        <w:outlineLvl w:val="1"/>
        <w:rPr>
          <w:rFonts w:ascii="宋体" w:hAnsi="宋体"/>
          <w:color w:val="auto"/>
        </w:rPr>
      </w:pPr>
      <w:bookmarkStart w:id="4" w:name="_Toc7954"/>
      <w:r>
        <w:rPr>
          <w:rFonts w:hint="eastAsia" w:ascii="宋体" w:hAnsi="宋体"/>
          <w:color w:val="auto"/>
        </w:rPr>
        <w:t>二、招标文件</w:t>
      </w:r>
      <w:bookmarkEnd w:id="4"/>
    </w:p>
    <w:p>
      <w:pPr>
        <w:pStyle w:val="87"/>
        <w:spacing w:line="500" w:lineRule="exact"/>
        <w:ind w:firstLine="484" w:firstLineChars="200"/>
        <w:jc w:val="both"/>
        <w:rPr>
          <w:rFonts w:ascii="宋体" w:hAnsi="宋体"/>
          <w:color w:val="auto"/>
        </w:rPr>
      </w:pPr>
      <w:r>
        <w:rPr>
          <w:rFonts w:hint="eastAsia" w:ascii="宋体" w:hAnsi="宋体"/>
          <w:color w:val="auto"/>
        </w:rPr>
        <w:t>5.     招标文件</w:t>
      </w:r>
    </w:p>
    <w:p>
      <w:pPr>
        <w:pStyle w:val="87"/>
        <w:spacing w:line="500" w:lineRule="exact"/>
        <w:ind w:firstLine="484" w:firstLineChars="200"/>
        <w:jc w:val="both"/>
        <w:rPr>
          <w:rFonts w:ascii="宋体" w:hAnsi="宋体"/>
          <w:color w:val="auto"/>
        </w:rPr>
      </w:pPr>
      <w:r>
        <w:rPr>
          <w:rFonts w:hint="eastAsia" w:ascii="宋体" w:hAnsi="宋体"/>
          <w:color w:val="auto"/>
        </w:rPr>
        <w:t>5.1    招标文件用以阐明所需货物和服务、招标投标程序和商务合同主要条款包括：</w:t>
      </w:r>
    </w:p>
    <w:p>
      <w:pPr>
        <w:pStyle w:val="87"/>
        <w:spacing w:line="500" w:lineRule="exact"/>
        <w:ind w:firstLine="484" w:firstLineChars="200"/>
        <w:jc w:val="both"/>
        <w:rPr>
          <w:rFonts w:ascii="宋体" w:hAnsi="宋体"/>
          <w:color w:val="auto"/>
        </w:rPr>
      </w:pPr>
      <w:r>
        <w:rPr>
          <w:rFonts w:hint="eastAsia" w:ascii="宋体" w:hAnsi="宋体"/>
          <w:color w:val="auto"/>
        </w:rPr>
        <w:t xml:space="preserve">5.1.1  招标书 </w:t>
      </w:r>
    </w:p>
    <w:p>
      <w:pPr>
        <w:pStyle w:val="87"/>
        <w:spacing w:line="500" w:lineRule="exact"/>
        <w:ind w:firstLine="484" w:firstLineChars="200"/>
        <w:jc w:val="both"/>
        <w:rPr>
          <w:rFonts w:ascii="宋体" w:hAnsi="宋体"/>
          <w:color w:val="auto"/>
        </w:rPr>
      </w:pPr>
      <w:r>
        <w:rPr>
          <w:rFonts w:hint="eastAsia" w:ascii="宋体" w:hAnsi="宋体"/>
          <w:color w:val="auto"/>
        </w:rPr>
        <w:t>5.1.2  投标须知</w:t>
      </w:r>
    </w:p>
    <w:p>
      <w:pPr>
        <w:pStyle w:val="87"/>
        <w:spacing w:line="500" w:lineRule="exact"/>
        <w:ind w:firstLine="484" w:firstLineChars="200"/>
        <w:jc w:val="both"/>
        <w:rPr>
          <w:rFonts w:ascii="宋体" w:hAnsi="宋体"/>
          <w:color w:val="auto"/>
        </w:rPr>
      </w:pPr>
      <w:r>
        <w:rPr>
          <w:rFonts w:hint="eastAsia" w:ascii="宋体" w:hAnsi="宋体"/>
          <w:color w:val="auto"/>
        </w:rPr>
        <w:t>5.1.3  招标货物需求一览表及技术规格要求</w:t>
      </w:r>
    </w:p>
    <w:p>
      <w:pPr>
        <w:pStyle w:val="87"/>
        <w:spacing w:line="500" w:lineRule="exact"/>
        <w:ind w:firstLine="484" w:firstLineChars="200"/>
        <w:jc w:val="both"/>
        <w:rPr>
          <w:rFonts w:ascii="宋体" w:hAnsi="宋体"/>
          <w:color w:val="auto"/>
        </w:rPr>
      </w:pPr>
      <w:r>
        <w:rPr>
          <w:rFonts w:hint="eastAsia" w:ascii="宋体" w:hAnsi="宋体"/>
          <w:color w:val="auto"/>
        </w:rPr>
        <w:t>5.1.4  商务合同主要条款</w:t>
      </w:r>
    </w:p>
    <w:p>
      <w:pPr>
        <w:pStyle w:val="87"/>
        <w:spacing w:line="500" w:lineRule="exact"/>
        <w:ind w:left="483" w:leftChars="228"/>
        <w:jc w:val="both"/>
        <w:rPr>
          <w:rFonts w:ascii="宋体" w:hAnsi="宋体"/>
          <w:color w:val="auto"/>
        </w:rPr>
      </w:pPr>
      <w:r>
        <w:rPr>
          <w:rFonts w:hint="eastAsia" w:ascii="宋体" w:hAnsi="宋体"/>
          <w:color w:val="auto"/>
        </w:rPr>
        <w:t>5.1.5　投标文件格式</w:t>
      </w:r>
    </w:p>
    <w:p>
      <w:pPr>
        <w:pStyle w:val="87"/>
        <w:spacing w:line="500" w:lineRule="exact"/>
        <w:ind w:left="483" w:leftChars="228"/>
        <w:jc w:val="both"/>
        <w:rPr>
          <w:rFonts w:ascii="宋体" w:hAnsi="宋体"/>
          <w:color w:val="auto"/>
        </w:rPr>
      </w:pPr>
      <w:r>
        <w:rPr>
          <w:rFonts w:hint="eastAsia" w:ascii="宋体" w:hAnsi="宋体"/>
          <w:color w:val="auto"/>
        </w:rPr>
        <w:t>5.1.6  其  他　</w:t>
      </w:r>
    </w:p>
    <w:p>
      <w:pPr>
        <w:pStyle w:val="87"/>
        <w:spacing w:line="500" w:lineRule="exact"/>
        <w:ind w:firstLine="484" w:firstLineChars="200"/>
        <w:jc w:val="both"/>
        <w:rPr>
          <w:rFonts w:ascii="宋体" w:hAnsi="宋体"/>
          <w:color w:val="auto"/>
        </w:rPr>
      </w:pPr>
      <w:r>
        <w:rPr>
          <w:rFonts w:hint="eastAsia" w:ascii="宋体" w:hAnsi="宋体"/>
          <w:color w:val="auto"/>
        </w:rPr>
        <w:t>5.2    投标供应商应认真阅读招标文件中所有的事项、格式、条款和规范等要求。如果没有按照招标文件要求提交全部资料或者投标文件没有对招标文件做出实质性响应，其投标文件可能被拒绝。</w:t>
      </w:r>
    </w:p>
    <w:p>
      <w:pPr>
        <w:pStyle w:val="87"/>
        <w:spacing w:line="500" w:lineRule="exact"/>
        <w:ind w:firstLine="484" w:firstLineChars="200"/>
        <w:jc w:val="both"/>
        <w:rPr>
          <w:rFonts w:ascii="宋体" w:hAnsi="宋体"/>
          <w:color w:val="auto"/>
        </w:rPr>
      </w:pPr>
      <w:r>
        <w:rPr>
          <w:rFonts w:hint="eastAsia" w:ascii="宋体" w:hAnsi="宋体"/>
          <w:color w:val="auto"/>
        </w:rPr>
        <w:t>6.     招标文件的澄清</w:t>
      </w:r>
    </w:p>
    <w:p>
      <w:pPr>
        <w:pStyle w:val="87"/>
        <w:spacing w:line="500" w:lineRule="exact"/>
        <w:ind w:firstLine="484" w:firstLineChars="200"/>
        <w:jc w:val="both"/>
        <w:rPr>
          <w:rFonts w:ascii="宋体" w:hAnsi="宋体"/>
          <w:color w:val="auto"/>
        </w:rPr>
      </w:pPr>
      <w:r>
        <w:rPr>
          <w:rFonts w:hint="eastAsia" w:ascii="宋体" w:hAnsi="宋体"/>
          <w:color w:val="auto"/>
        </w:rPr>
        <w:t>6.1    招标采购单位对已发出的招标文件进行必要澄清或者修改的，应当在招标文件要求提交投标文件截止时间15日前，在财政部门指定的政府采购信息发布媒体上发布更正公告，并以书面形式通知所有招标文件收受人。该澄清或者修改的内容为招标文件的组成部分。</w:t>
      </w:r>
    </w:p>
    <w:p>
      <w:pPr>
        <w:pStyle w:val="87"/>
        <w:spacing w:line="500" w:lineRule="exact"/>
        <w:ind w:firstLine="484" w:firstLineChars="200"/>
        <w:jc w:val="both"/>
        <w:rPr>
          <w:rFonts w:ascii="宋体" w:hAnsi="宋体"/>
          <w:color w:val="auto"/>
        </w:rPr>
      </w:pPr>
      <w:r>
        <w:rPr>
          <w:rFonts w:hint="eastAsia" w:ascii="宋体" w:hAnsi="宋体"/>
          <w:color w:val="auto"/>
        </w:rPr>
        <w:t xml:space="preserve">7.  招标文件的澄清与修改 </w:t>
      </w:r>
    </w:p>
    <w:p>
      <w:pPr>
        <w:pStyle w:val="87"/>
        <w:spacing w:line="500" w:lineRule="exact"/>
        <w:ind w:firstLine="484" w:firstLineChars="200"/>
        <w:jc w:val="both"/>
        <w:rPr>
          <w:rFonts w:ascii="宋体" w:hAnsi="宋体"/>
          <w:color w:val="auto"/>
        </w:rPr>
      </w:pPr>
      <w:r>
        <w:rPr>
          <w:rFonts w:hint="eastAsia" w:ascii="宋体" w:hAnsi="宋体"/>
          <w:color w:val="auto"/>
        </w:rPr>
        <w:t>1.供应商应认真阅读本招标文件，发现其中有误或有不合理要求的，供应商必须在投标截止日期前 15 日以书面形式要求招标采购单位澄清，在招标现场以任何方式和理由对招标文件提出的质疑都将被拒绝。采购代理机构对已发出的招标文件进行必要澄清、答复、修改或补充的，应当在招标文件要求提交投标文件截止时间15天前，以书面形式通知所有招标文件收受人。</w:t>
      </w:r>
    </w:p>
    <w:p>
      <w:pPr>
        <w:pStyle w:val="87"/>
        <w:spacing w:line="500" w:lineRule="exact"/>
        <w:ind w:firstLine="484" w:firstLineChars="200"/>
        <w:jc w:val="both"/>
        <w:rPr>
          <w:rFonts w:ascii="宋体" w:hAnsi="宋体"/>
          <w:color w:val="auto"/>
        </w:rPr>
      </w:pPr>
      <w:r>
        <w:rPr>
          <w:rFonts w:hint="eastAsia" w:ascii="宋体" w:hAnsi="宋体"/>
          <w:color w:val="auto"/>
        </w:rPr>
        <w:t>2.采购代理机构必须以书面形式答复供应商要求澄清的问题，并将不包含问题来源的答复书面通知所有购买招标文件的供应商；除书面答复以外的其他澄清方式及澄清内容均无效。</w:t>
      </w:r>
    </w:p>
    <w:p>
      <w:pPr>
        <w:pStyle w:val="87"/>
        <w:spacing w:line="500" w:lineRule="exact"/>
        <w:ind w:firstLine="484" w:firstLineChars="200"/>
        <w:jc w:val="both"/>
        <w:rPr>
          <w:rFonts w:ascii="宋体" w:hAnsi="宋体"/>
          <w:color w:val="auto"/>
        </w:rPr>
      </w:pPr>
      <w:r>
        <w:rPr>
          <w:rFonts w:hint="eastAsia" w:ascii="宋体" w:hAnsi="宋体"/>
          <w:color w:val="auto"/>
        </w:rPr>
        <w:t>3.招标文件的答复、澄清、修改、补充通知实质上改变招标需求相关内容，且自招标文件的答复、澄清、修改、补充通知发出之日起至投标截止时间止不足15天的，招标采购单位应推迟投标截止时间和开标时间，并将变更后的时间书面通知所有招标文件收受人。</w:t>
      </w:r>
    </w:p>
    <w:p>
      <w:pPr>
        <w:pStyle w:val="87"/>
        <w:spacing w:line="500" w:lineRule="exact"/>
        <w:ind w:firstLine="484" w:firstLineChars="200"/>
        <w:jc w:val="both"/>
        <w:rPr>
          <w:rFonts w:ascii="宋体" w:hAnsi="宋体"/>
          <w:color w:val="auto"/>
        </w:rPr>
      </w:pPr>
      <w:r>
        <w:rPr>
          <w:rFonts w:hint="eastAsia" w:ascii="宋体" w:hAnsi="宋体"/>
          <w:color w:val="auto"/>
        </w:rPr>
        <w:t>4.招标文件澄清、答复、修改、补充的内容为招标文件的组成部分。当招标文件与招标文件的答复、澄清、修改、补充通知就同一内容的表述不一致时，以最后发出的书面文件为准。</w:t>
      </w:r>
    </w:p>
    <w:p>
      <w:pPr>
        <w:pStyle w:val="87"/>
        <w:spacing w:line="500" w:lineRule="exact"/>
        <w:ind w:firstLine="484" w:firstLineChars="200"/>
        <w:jc w:val="both"/>
        <w:rPr>
          <w:rFonts w:ascii="宋体" w:hAnsi="宋体"/>
          <w:color w:val="auto"/>
        </w:rPr>
      </w:pPr>
      <w:r>
        <w:rPr>
          <w:rFonts w:hint="eastAsia" w:ascii="宋体" w:hAnsi="宋体"/>
          <w:color w:val="auto"/>
        </w:rPr>
        <w:t>5.招标文件的澄清、答复、修改或补充都应该通过本代理机构以法定形式发布，采购人非通过本机构，不得擅自澄清、答复、修改或补充招标文件。</w:t>
      </w:r>
    </w:p>
    <w:p>
      <w:pPr>
        <w:pStyle w:val="87"/>
        <w:spacing w:line="500" w:lineRule="exact"/>
        <w:ind w:firstLine="484" w:firstLineChars="200"/>
        <w:jc w:val="both"/>
        <w:outlineLvl w:val="1"/>
        <w:rPr>
          <w:rFonts w:ascii="宋体" w:hAnsi="宋体"/>
          <w:color w:val="auto"/>
        </w:rPr>
      </w:pPr>
      <w:bookmarkStart w:id="5" w:name="_Toc22109"/>
      <w:r>
        <w:rPr>
          <w:rFonts w:hint="eastAsia" w:ascii="宋体" w:hAnsi="宋体"/>
          <w:color w:val="auto"/>
        </w:rPr>
        <w:t>三、投标文件的编制</w:t>
      </w:r>
      <w:bookmarkEnd w:id="5"/>
    </w:p>
    <w:p>
      <w:pPr>
        <w:pStyle w:val="87"/>
        <w:spacing w:line="500" w:lineRule="exact"/>
        <w:ind w:firstLine="484" w:firstLineChars="200"/>
        <w:jc w:val="both"/>
        <w:rPr>
          <w:rFonts w:ascii="宋体" w:hAnsi="宋体"/>
          <w:color w:val="auto"/>
        </w:rPr>
      </w:pPr>
      <w:r>
        <w:rPr>
          <w:rFonts w:hint="eastAsia" w:ascii="宋体" w:hAnsi="宋体"/>
          <w:color w:val="auto"/>
        </w:rPr>
        <w:t>8.  投标文件的编写</w:t>
      </w:r>
    </w:p>
    <w:p>
      <w:pPr>
        <w:pStyle w:val="87"/>
        <w:spacing w:line="500" w:lineRule="exact"/>
        <w:ind w:firstLine="484" w:firstLineChars="200"/>
        <w:jc w:val="both"/>
        <w:rPr>
          <w:rFonts w:ascii="宋体" w:hAnsi="宋体"/>
          <w:color w:val="auto"/>
        </w:rPr>
      </w:pPr>
      <w:r>
        <w:rPr>
          <w:rFonts w:hint="eastAsia" w:ascii="宋体" w:hAnsi="宋体"/>
          <w:color w:val="auto"/>
        </w:rPr>
        <w:t>8.1  投标供应商应仔细阅读招标文件,了解招标文件的要求。在充分理解招标文件提出的货物规格型号、技术性能、技术参数、服务和商务条件后，制作投标文件。</w:t>
      </w:r>
    </w:p>
    <w:p>
      <w:pPr>
        <w:pStyle w:val="87"/>
        <w:spacing w:line="500" w:lineRule="exact"/>
        <w:ind w:firstLine="484" w:firstLineChars="200"/>
        <w:jc w:val="both"/>
        <w:rPr>
          <w:rFonts w:ascii="宋体" w:hAnsi="宋体"/>
          <w:color w:val="auto"/>
        </w:rPr>
      </w:pPr>
      <w:r>
        <w:rPr>
          <w:rFonts w:hint="eastAsia" w:ascii="宋体" w:hAnsi="宋体"/>
          <w:color w:val="auto"/>
        </w:rPr>
        <w:t>9.  投标的语言及计量单位</w:t>
      </w:r>
    </w:p>
    <w:p>
      <w:pPr>
        <w:pStyle w:val="87"/>
        <w:spacing w:line="500" w:lineRule="exact"/>
        <w:ind w:firstLine="484" w:firstLineChars="200"/>
        <w:jc w:val="both"/>
        <w:rPr>
          <w:rFonts w:ascii="宋体" w:hAnsi="宋体"/>
          <w:color w:val="auto"/>
        </w:rPr>
      </w:pPr>
      <w:r>
        <w:rPr>
          <w:rFonts w:hint="eastAsia" w:ascii="宋体" w:hAnsi="宋体"/>
          <w:color w:val="auto"/>
        </w:rPr>
        <w:t>9.1  投标供应商的投标文件以及投标供应商与招标代理机构就有关招标活动的所有来往函电均应使用中文。如果投标文件或与投标有关的其它文件、信件及来往函电以其它语言书写，投标供应商应将其译成中文。</w:t>
      </w:r>
    </w:p>
    <w:p>
      <w:pPr>
        <w:pStyle w:val="87"/>
        <w:spacing w:line="500" w:lineRule="exact"/>
        <w:ind w:firstLine="484" w:firstLineChars="200"/>
        <w:jc w:val="both"/>
        <w:rPr>
          <w:rFonts w:ascii="宋体" w:hAnsi="宋体"/>
          <w:color w:val="auto"/>
        </w:rPr>
      </w:pPr>
      <w:r>
        <w:rPr>
          <w:rFonts w:hint="eastAsia" w:ascii="宋体" w:hAnsi="宋体"/>
          <w:color w:val="auto"/>
        </w:rPr>
        <w:t>9.2  投标文件中所使用的计量单位除招标文件中有特殊规定外，一律使用法定计量单位。</w:t>
      </w:r>
    </w:p>
    <w:p>
      <w:pPr>
        <w:pStyle w:val="87"/>
        <w:spacing w:line="500" w:lineRule="exact"/>
        <w:ind w:firstLine="484" w:firstLineChars="200"/>
        <w:jc w:val="both"/>
        <w:rPr>
          <w:rFonts w:ascii="宋体" w:hAnsi="宋体"/>
          <w:color w:val="auto"/>
        </w:rPr>
      </w:pPr>
      <w:r>
        <w:rPr>
          <w:rFonts w:hint="eastAsia" w:ascii="宋体" w:hAnsi="宋体"/>
          <w:color w:val="auto"/>
        </w:rPr>
        <w:t>10.  投标文件构成</w:t>
      </w:r>
    </w:p>
    <w:p>
      <w:pPr>
        <w:pStyle w:val="87"/>
        <w:spacing w:line="500" w:lineRule="exact"/>
        <w:ind w:firstLine="484" w:firstLineChars="200"/>
        <w:jc w:val="both"/>
        <w:rPr>
          <w:rFonts w:ascii="宋体" w:hAnsi="宋体"/>
          <w:color w:val="auto"/>
        </w:rPr>
      </w:pPr>
      <w:r>
        <w:rPr>
          <w:rFonts w:hint="eastAsia" w:ascii="宋体" w:hAnsi="宋体"/>
          <w:color w:val="auto"/>
        </w:rPr>
        <w:t>10.1  投标供应商编写的投标文件应按下列顺序及内容提供:</w:t>
      </w:r>
    </w:p>
    <w:p>
      <w:pPr>
        <w:pStyle w:val="87"/>
        <w:spacing w:line="500" w:lineRule="exact"/>
        <w:ind w:firstLine="484" w:firstLineChars="200"/>
        <w:jc w:val="both"/>
        <w:rPr>
          <w:rFonts w:ascii="宋体" w:hAnsi="宋体"/>
          <w:bCs/>
          <w:color w:val="auto"/>
        </w:rPr>
      </w:pPr>
      <w:r>
        <w:rPr>
          <w:rFonts w:hint="eastAsia" w:ascii="宋体" w:hAnsi="宋体"/>
          <w:bCs/>
          <w:color w:val="auto"/>
        </w:rPr>
        <w:t>10.1.1  商务部分;</w:t>
      </w:r>
    </w:p>
    <w:p>
      <w:pPr>
        <w:pStyle w:val="23"/>
        <w:spacing w:line="440" w:lineRule="exact"/>
        <w:ind w:firstLine="484" w:firstLineChars="200"/>
        <w:rPr>
          <w:rFonts w:ascii="Times New Roman" w:hAnsi="Times New Roman" w:eastAsia="MingLiU_HKSCS"/>
          <w:sz w:val="24"/>
          <w:szCs w:val="24"/>
        </w:rPr>
      </w:pPr>
      <w:r>
        <w:rPr>
          <w:rFonts w:hint="eastAsia" w:ascii="Times New Roman" w:hAnsi="Times New Roman"/>
          <w:sz w:val="24"/>
          <w:szCs w:val="24"/>
        </w:rPr>
        <w:t>一、投标函</w:t>
      </w:r>
      <w:r>
        <w:rPr>
          <w:rFonts w:ascii="Times New Roman" w:hAnsi="Times New Roman"/>
          <w:sz w:val="24"/>
          <w:szCs w:val="24"/>
        </w:rPr>
        <w:t>(</w:t>
      </w:r>
      <w:r>
        <w:rPr>
          <w:rFonts w:hint="eastAsia" w:ascii="Times New Roman" w:hAnsi="Times New Roman"/>
          <w:sz w:val="24"/>
          <w:szCs w:val="24"/>
        </w:rPr>
        <w:t>格式附后</w:t>
      </w:r>
      <w:r>
        <w:rPr>
          <w:rFonts w:ascii="Times New Roman" w:hAnsi="Times New Roman"/>
          <w:sz w:val="24"/>
          <w:szCs w:val="24"/>
        </w:rPr>
        <w:t>)</w:t>
      </w:r>
    </w:p>
    <w:p>
      <w:pPr>
        <w:pStyle w:val="23"/>
        <w:spacing w:line="440" w:lineRule="exact"/>
        <w:ind w:firstLine="484" w:firstLineChars="200"/>
        <w:rPr>
          <w:rFonts w:ascii="Times New Roman" w:hAnsi="Times New Roman" w:eastAsia="MingLiU_HKSCS"/>
          <w:sz w:val="24"/>
          <w:szCs w:val="24"/>
        </w:rPr>
      </w:pPr>
      <w:r>
        <w:rPr>
          <w:rFonts w:hint="eastAsia" w:ascii="Times New Roman" w:hAnsi="Times New Roman"/>
          <w:sz w:val="24"/>
          <w:szCs w:val="24"/>
        </w:rPr>
        <w:t>二、开标一览表</w:t>
      </w:r>
      <w:r>
        <w:rPr>
          <w:rFonts w:ascii="Times New Roman" w:hAnsi="Times New Roman"/>
          <w:sz w:val="24"/>
          <w:szCs w:val="24"/>
        </w:rPr>
        <w:t>(</w:t>
      </w:r>
      <w:r>
        <w:rPr>
          <w:rFonts w:hint="eastAsia" w:ascii="Times New Roman" w:hAnsi="Times New Roman"/>
          <w:sz w:val="24"/>
          <w:szCs w:val="24"/>
        </w:rPr>
        <w:t>格式附后</w:t>
      </w:r>
      <w:r>
        <w:rPr>
          <w:rFonts w:ascii="Times New Roman" w:hAnsi="Times New Roman"/>
          <w:sz w:val="24"/>
          <w:szCs w:val="24"/>
        </w:rPr>
        <w:t>)</w:t>
      </w:r>
    </w:p>
    <w:p>
      <w:pPr>
        <w:pStyle w:val="23"/>
        <w:spacing w:line="440" w:lineRule="exact"/>
        <w:ind w:firstLine="484" w:firstLineChars="200"/>
        <w:rPr>
          <w:rFonts w:ascii="Times New Roman" w:hAnsi="Times New Roman" w:eastAsia="MingLiU_HKSCS"/>
          <w:sz w:val="24"/>
          <w:szCs w:val="24"/>
        </w:rPr>
      </w:pPr>
      <w:r>
        <w:rPr>
          <w:rFonts w:hint="eastAsia" w:ascii="Times New Roman" w:hAnsi="Times New Roman"/>
          <w:sz w:val="24"/>
          <w:szCs w:val="24"/>
        </w:rPr>
        <w:t>三、分项价格表</w:t>
      </w:r>
      <w:r>
        <w:rPr>
          <w:rFonts w:ascii="Times New Roman" w:hAnsi="Times New Roman"/>
          <w:sz w:val="24"/>
          <w:szCs w:val="24"/>
        </w:rPr>
        <w:t>(</w:t>
      </w:r>
      <w:r>
        <w:rPr>
          <w:rFonts w:hint="eastAsia" w:ascii="Times New Roman" w:hAnsi="Times New Roman"/>
          <w:sz w:val="24"/>
          <w:szCs w:val="24"/>
        </w:rPr>
        <w:t>格式附后</w:t>
      </w:r>
      <w:r>
        <w:rPr>
          <w:rFonts w:ascii="Times New Roman" w:hAnsi="Times New Roman"/>
          <w:sz w:val="24"/>
          <w:szCs w:val="24"/>
        </w:rPr>
        <w:t>)</w:t>
      </w:r>
    </w:p>
    <w:p>
      <w:pPr>
        <w:pStyle w:val="23"/>
        <w:spacing w:line="440" w:lineRule="exact"/>
        <w:ind w:firstLine="484" w:firstLineChars="200"/>
        <w:rPr>
          <w:rFonts w:ascii="Times New Roman" w:hAnsi="Times New Roman" w:eastAsia="MingLiU_HKSCS"/>
          <w:sz w:val="24"/>
          <w:szCs w:val="24"/>
        </w:rPr>
      </w:pPr>
      <w:r>
        <w:rPr>
          <w:rFonts w:hint="eastAsia" w:ascii="Times New Roman" w:hAnsi="Times New Roman"/>
          <w:sz w:val="24"/>
          <w:szCs w:val="24"/>
        </w:rPr>
        <w:t>四、商务条款偏离表</w:t>
      </w:r>
      <w:r>
        <w:rPr>
          <w:rFonts w:ascii="Times New Roman" w:hAnsi="Times New Roman"/>
          <w:sz w:val="24"/>
          <w:szCs w:val="24"/>
        </w:rPr>
        <w:t>(</w:t>
      </w:r>
      <w:r>
        <w:rPr>
          <w:rFonts w:hint="eastAsia" w:ascii="Times New Roman" w:hAnsi="Times New Roman"/>
          <w:sz w:val="24"/>
          <w:szCs w:val="24"/>
        </w:rPr>
        <w:t>格式附后</w:t>
      </w:r>
      <w:r>
        <w:rPr>
          <w:rFonts w:ascii="Times New Roman" w:hAnsi="Times New Roman"/>
          <w:sz w:val="24"/>
          <w:szCs w:val="24"/>
        </w:rPr>
        <w:t>)</w:t>
      </w:r>
    </w:p>
    <w:p>
      <w:pPr>
        <w:pStyle w:val="23"/>
        <w:spacing w:line="440" w:lineRule="exact"/>
        <w:ind w:firstLine="484" w:firstLineChars="200"/>
        <w:rPr>
          <w:rFonts w:ascii="Times New Roman" w:hAnsi="Times New Roman" w:eastAsia="MingLiU_HKSCS"/>
          <w:sz w:val="24"/>
          <w:szCs w:val="24"/>
        </w:rPr>
      </w:pPr>
      <w:r>
        <w:rPr>
          <w:rFonts w:hint="eastAsia" w:ascii="Times New Roman" w:hAnsi="Times New Roman"/>
          <w:sz w:val="24"/>
          <w:szCs w:val="24"/>
        </w:rPr>
        <w:t>五、投标保证金</w:t>
      </w:r>
    </w:p>
    <w:p>
      <w:pPr>
        <w:pStyle w:val="23"/>
        <w:spacing w:line="440" w:lineRule="exact"/>
        <w:ind w:firstLine="484" w:firstLineChars="200"/>
        <w:rPr>
          <w:rFonts w:ascii="Times New Roman" w:hAnsi="Times New Roman" w:eastAsia="MingLiU_HKSCS"/>
          <w:sz w:val="24"/>
          <w:szCs w:val="24"/>
        </w:rPr>
      </w:pPr>
      <w:r>
        <w:rPr>
          <w:rFonts w:hint="eastAsia" w:ascii="Times New Roman" w:hAnsi="Times New Roman"/>
          <w:sz w:val="24"/>
          <w:szCs w:val="24"/>
        </w:rPr>
        <w:t>六、供应商的资格证明材料</w:t>
      </w:r>
    </w:p>
    <w:p>
      <w:pPr>
        <w:pStyle w:val="87"/>
        <w:spacing w:line="500" w:lineRule="exact"/>
        <w:ind w:firstLine="484" w:firstLineChars="200"/>
        <w:jc w:val="both"/>
        <w:outlineLvl w:val="1"/>
        <w:rPr>
          <w:color w:val="auto"/>
          <w:kern w:val="2"/>
        </w:rPr>
      </w:pPr>
      <w:r>
        <w:rPr>
          <w:rFonts w:hint="eastAsia"/>
          <w:color w:val="auto"/>
          <w:kern w:val="2"/>
        </w:rPr>
        <w:t>七、项目业绩表</w:t>
      </w:r>
    </w:p>
    <w:p>
      <w:pPr>
        <w:pStyle w:val="87"/>
        <w:spacing w:line="500" w:lineRule="exact"/>
        <w:ind w:firstLine="484" w:firstLineChars="200"/>
        <w:jc w:val="both"/>
        <w:outlineLvl w:val="1"/>
        <w:rPr>
          <w:color w:val="auto"/>
          <w:kern w:val="2"/>
        </w:rPr>
      </w:pPr>
      <w:r>
        <w:rPr>
          <w:rFonts w:hint="eastAsia"/>
          <w:color w:val="auto"/>
          <w:kern w:val="2"/>
        </w:rPr>
        <w:t>八、</w:t>
      </w:r>
      <w:r>
        <w:rPr>
          <w:color w:val="auto"/>
          <w:kern w:val="2"/>
        </w:rPr>
        <w:t>企业综合实力相关证明材料</w:t>
      </w:r>
    </w:p>
    <w:p>
      <w:pPr>
        <w:pStyle w:val="23"/>
        <w:spacing w:line="440" w:lineRule="exact"/>
        <w:ind w:firstLine="484" w:firstLineChars="200"/>
        <w:rPr>
          <w:rFonts w:ascii="Times New Roman" w:hAnsi="Times New Roman" w:eastAsia="MingLiU_HKSCS"/>
          <w:sz w:val="24"/>
          <w:szCs w:val="24"/>
        </w:rPr>
      </w:pPr>
      <w:r>
        <w:rPr>
          <w:rFonts w:hint="eastAsia" w:ascii="Times New Roman" w:hAnsi="Times New Roman"/>
          <w:sz w:val="24"/>
          <w:szCs w:val="24"/>
        </w:rPr>
        <w:t>九、提供符合政府采购政策的证明材料</w:t>
      </w:r>
    </w:p>
    <w:p>
      <w:pPr>
        <w:spacing w:line="500" w:lineRule="exact"/>
        <w:ind w:firstLine="484" w:firstLineChars="200"/>
        <w:rPr>
          <w:rFonts w:ascii="宋体" w:hAnsi="宋体"/>
          <w:bCs/>
          <w:sz w:val="24"/>
          <w:szCs w:val="24"/>
        </w:rPr>
      </w:pPr>
      <w:r>
        <w:rPr>
          <w:rFonts w:hint="eastAsia" w:ascii="宋体" w:hAnsi="宋体"/>
          <w:bCs/>
          <w:sz w:val="24"/>
          <w:szCs w:val="24"/>
        </w:rPr>
        <w:t>10.1.2  技术投标书</w:t>
      </w:r>
    </w:p>
    <w:p>
      <w:pPr>
        <w:spacing w:line="500" w:lineRule="exact"/>
        <w:ind w:firstLine="484" w:firstLineChars="200"/>
        <w:rPr>
          <w:rFonts w:ascii="宋体" w:hAnsi="宋体"/>
          <w:bCs/>
          <w:sz w:val="24"/>
          <w:szCs w:val="24"/>
        </w:rPr>
      </w:pPr>
      <w:r>
        <w:rPr>
          <w:rFonts w:hint="eastAsia" w:ascii="宋体" w:hAnsi="宋体"/>
          <w:bCs/>
          <w:sz w:val="24"/>
          <w:szCs w:val="24"/>
        </w:rPr>
        <w:t>一、运输方案；</w:t>
      </w:r>
    </w:p>
    <w:p>
      <w:pPr>
        <w:spacing w:line="500" w:lineRule="exact"/>
        <w:ind w:firstLine="484" w:firstLineChars="200"/>
        <w:rPr>
          <w:rFonts w:ascii="宋体" w:hAnsi="宋体"/>
          <w:bCs/>
          <w:sz w:val="24"/>
          <w:szCs w:val="24"/>
        </w:rPr>
      </w:pPr>
      <w:r>
        <w:rPr>
          <w:rFonts w:hint="eastAsia" w:ascii="宋体" w:hAnsi="宋体"/>
          <w:bCs/>
          <w:sz w:val="24"/>
          <w:szCs w:val="24"/>
        </w:rPr>
        <w:t>二、质量保证措施；</w:t>
      </w:r>
    </w:p>
    <w:p>
      <w:pPr>
        <w:spacing w:line="500" w:lineRule="exact"/>
        <w:ind w:firstLine="484" w:firstLineChars="200"/>
        <w:rPr>
          <w:rFonts w:ascii="宋体" w:hAnsi="宋体"/>
          <w:bCs/>
          <w:sz w:val="24"/>
          <w:szCs w:val="24"/>
        </w:rPr>
      </w:pPr>
      <w:r>
        <w:rPr>
          <w:rFonts w:hint="eastAsia" w:ascii="宋体" w:hAnsi="宋体"/>
          <w:bCs/>
          <w:sz w:val="24"/>
          <w:szCs w:val="24"/>
        </w:rPr>
        <w:t>三、应急措施；</w:t>
      </w:r>
    </w:p>
    <w:p>
      <w:pPr>
        <w:spacing w:line="500" w:lineRule="exact"/>
        <w:ind w:firstLine="484" w:firstLineChars="200"/>
        <w:rPr>
          <w:rFonts w:ascii="宋体" w:hAnsi="宋体"/>
          <w:bCs/>
          <w:sz w:val="24"/>
          <w:szCs w:val="24"/>
        </w:rPr>
      </w:pPr>
      <w:r>
        <w:rPr>
          <w:rFonts w:hint="eastAsia" w:ascii="宋体" w:hAnsi="宋体"/>
          <w:sz w:val="24"/>
          <w:szCs w:val="24"/>
        </w:rPr>
        <w:t>四、投标供应商认为有必要提供的声明及文件资料。</w:t>
      </w:r>
    </w:p>
    <w:p>
      <w:pPr>
        <w:pStyle w:val="87"/>
        <w:spacing w:line="500" w:lineRule="exact"/>
        <w:ind w:firstLine="484" w:firstLineChars="200"/>
        <w:jc w:val="both"/>
        <w:rPr>
          <w:rFonts w:ascii="宋体" w:hAnsi="宋体"/>
          <w:color w:val="auto"/>
          <w:kern w:val="2"/>
        </w:rPr>
      </w:pPr>
      <w:r>
        <w:rPr>
          <w:rFonts w:hint="eastAsia" w:ascii="宋体" w:hAnsi="宋体"/>
          <w:color w:val="auto"/>
          <w:kern w:val="2"/>
        </w:rPr>
        <w:t>10.3 第10.1.1条中第(1)-(7)项、第10.1.2条中第(1)-(7)项为必备项，投标供应商必须提供。</w:t>
      </w:r>
    </w:p>
    <w:p>
      <w:pPr>
        <w:pStyle w:val="87"/>
        <w:spacing w:line="500" w:lineRule="exact"/>
        <w:ind w:firstLine="484" w:firstLineChars="200"/>
        <w:jc w:val="both"/>
        <w:rPr>
          <w:rFonts w:ascii="宋体" w:hAnsi="宋体"/>
          <w:color w:val="auto"/>
        </w:rPr>
      </w:pPr>
      <w:r>
        <w:rPr>
          <w:rFonts w:hint="eastAsia" w:ascii="宋体" w:hAnsi="宋体"/>
          <w:color w:val="auto"/>
        </w:rPr>
        <w:t>11.  投标文件的格式</w:t>
      </w:r>
    </w:p>
    <w:p>
      <w:pPr>
        <w:spacing w:line="500" w:lineRule="exact"/>
        <w:ind w:firstLine="484" w:firstLineChars="200"/>
        <w:rPr>
          <w:rFonts w:ascii="宋体" w:hAnsi="宋体"/>
          <w:sz w:val="24"/>
          <w:szCs w:val="24"/>
        </w:rPr>
      </w:pPr>
      <w:r>
        <w:rPr>
          <w:rFonts w:hint="eastAsia" w:ascii="宋体" w:hAnsi="宋体"/>
          <w:sz w:val="24"/>
          <w:szCs w:val="24"/>
        </w:rPr>
        <w:t>11.1  招标文件附件及招标文件各章节提供了一部分用于编制投标文件时必要的格式，投标供应商应按此格式编制投标文件。</w:t>
      </w:r>
    </w:p>
    <w:p>
      <w:pPr>
        <w:pStyle w:val="87"/>
        <w:spacing w:line="500" w:lineRule="exact"/>
        <w:ind w:firstLine="484" w:firstLineChars="200"/>
        <w:jc w:val="both"/>
        <w:rPr>
          <w:rFonts w:ascii="宋体" w:hAnsi="宋体"/>
          <w:color w:val="auto"/>
        </w:rPr>
      </w:pPr>
      <w:r>
        <w:rPr>
          <w:rFonts w:hint="eastAsia" w:ascii="宋体" w:hAnsi="宋体"/>
          <w:color w:val="auto"/>
        </w:rPr>
        <w:t>11.2  招标文件中未提供格式的部分由投标供应商自行编制。</w:t>
      </w:r>
    </w:p>
    <w:p>
      <w:pPr>
        <w:pStyle w:val="87"/>
        <w:spacing w:line="500" w:lineRule="exact"/>
        <w:ind w:firstLine="484" w:firstLineChars="200"/>
        <w:jc w:val="both"/>
        <w:rPr>
          <w:rFonts w:ascii="宋体" w:hAnsi="宋体"/>
          <w:color w:val="auto"/>
        </w:rPr>
      </w:pPr>
      <w:r>
        <w:rPr>
          <w:rFonts w:hint="eastAsia" w:ascii="宋体" w:hAnsi="宋体"/>
          <w:color w:val="auto"/>
        </w:rPr>
        <w:t>12.   投标报价</w:t>
      </w:r>
    </w:p>
    <w:p>
      <w:pPr>
        <w:pStyle w:val="87"/>
        <w:spacing w:line="500" w:lineRule="exact"/>
        <w:ind w:firstLine="484" w:firstLineChars="200"/>
        <w:jc w:val="both"/>
        <w:rPr>
          <w:rFonts w:ascii="宋体" w:hAnsi="宋体"/>
          <w:b/>
          <w:bCs/>
          <w:color w:val="auto"/>
        </w:rPr>
      </w:pPr>
      <w:r>
        <w:rPr>
          <w:rFonts w:hint="eastAsia" w:ascii="宋体" w:hAnsi="宋体"/>
          <w:b/>
          <w:bCs/>
          <w:color w:val="auto"/>
        </w:rPr>
        <w:t>12.1除本招标文件另有规定外，投标供应商应按招标文件所附相应的开标一览表格式标明报价及相关内容；投标分项报价明细表中应按要求报明单价及相关费用内容（详见附件）。</w:t>
      </w:r>
    </w:p>
    <w:p>
      <w:pPr>
        <w:pStyle w:val="87"/>
        <w:spacing w:line="500" w:lineRule="exact"/>
        <w:ind w:firstLine="484" w:firstLineChars="200"/>
        <w:jc w:val="both"/>
        <w:rPr>
          <w:rFonts w:ascii="宋体" w:hAnsi="宋体"/>
          <w:b/>
          <w:bCs/>
          <w:color w:val="auto"/>
        </w:rPr>
      </w:pPr>
      <w:r>
        <w:rPr>
          <w:rFonts w:hint="eastAsia" w:ascii="宋体" w:hAnsi="宋体"/>
          <w:b/>
          <w:bCs/>
          <w:color w:val="auto"/>
        </w:rPr>
        <w:t>12.2  任何有选择性的报价将不予接受，每种服务</w:t>
      </w:r>
      <w:r>
        <w:rPr>
          <w:rFonts w:hint="eastAsia" w:ascii="宋体" w:hAnsi="宋体"/>
          <w:b/>
          <w:bCs/>
          <w:color w:val="auto"/>
          <w:lang w:val="en-US" w:eastAsia="zh-CN"/>
        </w:rPr>
        <w:t>或货物</w:t>
      </w:r>
      <w:r>
        <w:rPr>
          <w:rFonts w:hint="eastAsia" w:ascii="宋体" w:hAnsi="宋体"/>
          <w:b/>
          <w:bCs/>
          <w:color w:val="auto"/>
        </w:rPr>
        <w:t>只允许有一个报价。</w:t>
      </w:r>
    </w:p>
    <w:p>
      <w:pPr>
        <w:pStyle w:val="87"/>
        <w:spacing w:line="500" w:lineRule="exact"/>
        <w:ind w:firstLine="484" w:firstLineChars="200"/>
        <w:jc w:val="both"/>
        <w:rPr>
          <w:rFonts w:ascii="宋体" w:hAnsi="宋体"/>
          <w:color w:val="auto"/>
        </w:rPr>
      </w:pPr>
      <w:r>
        <w:rPr>
          <w:rFonts w:hint="eastAsia" w:ascii="宋体" w:hAnsi="宋体"/>
          <w:color w:val="auto"/>
        </w:rPr>
        <w:t>12.3  供应商须充分注意并重视第三章“招标货物需求一览表及技术规格要求”的内容，并严格按该章的有关内容做出实质性响应。</w:t>
      </w:r>
    </w:p>
    <w:p>
      <w:pPr>
        <w:pStyle w:val="87"/>
        <w:spacing w:line="500" w:lineRule="exact"/>
        <w:ind w:firstLine="484" w:firstLineChars="200"/>
        <w:jc w:val="both"/>
        <w:rPr>
          <w:rFonts w:ascii="宋体" w:hAnsi="宋体"/>
          <w:color w:val="auto"/>
        </w:rPr>
      </w:pPr>
      <w:r>
        <w:rPr>
          <w:rFonts w:hint="eastAsia" w:ascii="宋体" w:hAnsi="宋体"/>
          <w:color w:val="auto"/>
        </w:rPr>
        <w:t>13.   投标货币</w:t>
      </w:r>
    </w:p>
    <w:p>
      <w:pPr>
        <w:pStyle w:val="87"/>
        <w:spacing w:line="500" w:lineRule="exact"/>
        <w:ind w:firstLine="484" w:firstLineChars="200"/>
        <w:jc w:val="both"/>
        <w:rPr>
          <w:rFonts w:ascii="宋体" w:hAnsi="宋体"/>
          <w:color w:val="auto"/>
        </w:rPr>
      </w:pPr>
      <w:r>
        <w:rPr>
          <w:rFonts w:hint="eastAsia" w:ascii="宋体" w:hAnsi="宋体"/>
          <w:color w:val="auto"/>
        </w:rPr>
        <w:t>13.1  投标以人民币报价。</w:t>
      </w:r>
    </w:p>
    <w:p>
      <w:pPr>
        <w:pStyle w:val="87"/>
        <w:spacing w:line="500" w:lineRule="exact"/>
        <w:ind w:firstLine="484" w:firstLineChars="200"/>
        <w:jc w:val="both"/>
        <w:rPr>
          <w:rFonts w:ascii="宋体" w:hAnsi="宋体"/>
          <w:color w:val="auto"/>
        </w:rPr>
      </w:pPr>
      <w:r>
        <w:rPr>
          <w:rFonts w:hint="eastAsia" w:ascii="宋体" w:hAnsi="宋体"/>
          <w:color w:val="auto"/>
        </w:rPr>
        <w:t>14.   证明投标供应商合格和资格的文件。</w:t>
      </w:r>
    </w:p>
    <w:p>
      <w:pPr>
        <w:pStyle w:val="87"/>
        <w:spacing w:line="500" w:lineRule="exact"/>
        <w:ind w:firstLine="484" w:firstLineChars="200"/>
        <w:jc w:val="both"/>
        <w:rPr>
          <w:rFonts w:ascii="宋体" w:hAnsi="宋体"/>
          <w:color w:val="auto"/>
        </w:rPr>
      </w:pPr>
      <w:r>
        <w:rPr>
          <w:rFonts w:hint="eastAsia" w:ascii="宋体" w:hAnsi="宋体"/>
          <w:color w:val="auto"/>
        </w:rPr>
        <w:t>14.1  投标供应商应提交证明其有资格参加投标和有能力履行合同的文件，并作为其投标文件的一部分。</w:t>
      </w:r>
    </w:p>
    <w:p>
      <w:pPr>
        <w:pStyle w:val="87"/>
        <w:spacing w:line="500" w:lineRule="exact"/>
        <w:ind w:firstLine="484" w:firstLineChars="200"/>
        <w:jc w:val="both"/>
        <w:rPr>
          <w:rFonts w:ascii="宋体" w:hAnsi="宋体"/>
          <w:color w:val="auto"/>
        </w:rPr>
      </w:pPr>
      <w:r>
        <w:rPr>
          <w:rFonts w:hint="eastAsia" w:ascii="宋体" w:hAnsi="宋体"/>
          <w:color w:val="auto"/>
        </w:rPr>
        <w:t>14.2  投标供应商应填写并提交招标文件所要求的资格证明类文件。</w:t>
      </w:r>
    </w:p>
    <w:p>
      <w:pPr>
        <w:pStyle w:val="87"/>
        <w:spacing w:line="500" w:lineRule="exact"/>
        <w:ind w:firstLine="484" w:firstLineChars="200"/>
        <w:jc w:val="both"/>
        <w:rPr>
          <w:rFonts w:ascii="宋体" w:hAnsi="宋体"/>
          <w:color w:val="auto"/>
        </w:rPr>
      </w:pPr>
      <w:r>
        <w:rPr>
          <w:rFonts w:hint="eastAsia" w:ascii="宋体" w:hAnsi="宋体"/>
          <w:color w:val="auto"/>
        </w:rPr>
        <w:t>15.   证明服务的合格性和符合招标文件规定的文件</w:t>
      </w:r>
    </w:p>
    <w:p>
      <w:pPr>
        <w:pStyle w:val="87"/>
        <w:spacing w:line="500" w:lineRule="exact"/>
        <w:ind w:firstLine="484" w:firstLineChars="200"/>
        <w:jc w:val="both"/>
        <w:rPr>
          <w:rFonts w:ascii="宋体" w:hAnsi="宋体"/>
          <w:color w:val="auto"/>
        </w:rPr>
      </w:pPr>
      <w:r>
        <w:rPr>
          <w:rFonts w:hint="eastAsia" w:ascii="宋体" w:hAnsi="宋体"/>
          <w:color w:val="auto"/>
        </w:rPr>
        <w:t>15.1  投标供应商应逐条对招标文件要求的技术规格进行评审，指出自己提供的货物和服务是否对招标文件做出实质性的响应，并认真填写招标文件所附的“商务条款偏离表”、“技术规格偏离表”。</w:t>
      </w:r>
    </w:p>
    <w:p>
      <w:pPr>
        <w:pStyle w:val="87"/>
        <w:spacing w:line="500" w:lineRule="exact"/>
        <w:ind w:firstLine="484" w:firstLineChars="200"/>
        <w:jc w:val="both"/>
        <w:rPr>
          <w:rFonts w:ascii="宋体" w:hAnsi="宋体"/>
          <w:color w:val="auto"/>
        </w:rPr>
      </w:pPr>
      <w:r>
        <w:rPr>
          <w:rFonts w:hint="eastAsia" w:ascii="宋体" w:hAnsi="宋体"/>
          <w:color w:val="auto"/>
        </w:rPr>
        <w:t>15.2    证明服务的合格性和符合招标文件规定的文件应包括下列内容：</w:t>
      </w:r>
    </w:p>
    <w:p>
      <w:pPr>
        <w:pStyle w:val="87"/>
        <w:spacing w:line="500" w:lineRule="exact"/>
        <w:ind w:firstLine="484" w:firstLineChars="200"/>
        <w:jc w:val="both"/>
        <w:rPr>
          <w:rFonts w:ascii="宋体" w:hAnsi="宋体"/>
          <w:color w:val="auto"/>
        </w:rPr>
      </w:pPr>
      <w:r>
        <w:rPr>
          <w:rFonts w:hint="eastAsia" w:ascii="宋体" w:hAnsi="宋体"/>
          <w:color w:val="auto"/>
        </w:rPr>
        <w:t>15.2.1  资信、信誉等相关证明文件；</w:t>
      </w:r>
    </w:p>
    <w:p>
      <w:pPr>
        <w:pStyle w:val="87"/>
        <w:spacing w:line="500" w:lineRule="exact"/>
        <w:ind w:firstLine="484" w:firstLineChars="200"/>
        <w:jc w:val="both"/>
        <w:rPr>
          <w:rFonts w:ascii="宋体" w:hAnsi="宋体"/>
          <w:color w:val="auto"/>
        </w:rPr>
      </w:pPr>
      <w:r>
        <w:rPr>
          <w:rFonts w:hint="eastAsia" w:ascii="宋体" w:hAnsi="宋体"/>
          <w:color w:val="auto"/>
        </w:rPr>
        <w:t>15.2.2  执行的标准；</w:t>
      </w:r>
    </w:p>
    <w:p>
      <w:pPr>
        <w:pStyle w:val="87"/>
        <w:spacing w:line="500" w:lineRule="exact"/>
        <w:ind w:firstLine="484" w:firstLineChars="200"/>
        <w:jc w:val="both"/>
        <w:rPr>
          <w:rFonts w:ascii="宋体" w:hAnsi="宋体"/>
          <w:color w:val="auto"/>
        </w:rPr>
      </w:pPr>
      <w:r>
        <w:rPr>
          <w:rFonts w:hint="eastAsia" w:ascii="宋体" w:hAnsi="宋体"/>
          <w:color w:val="auto"/>
        </w:rPr>
        <w:t>15.2.3  荣获国优、部优、省优荣誉证书（复印件）；</w:t>
      </w:r>
    </w:p>
    <w:p>
      <w:pPr>
        <w:pStyle w:val="87"/>
        <w:spacing w:line="500" w:lineRule="exact"/>
        <w:ind w:firstLine="484" w:firstLineChars="200"/>
        <w:jc w:val="both"/>
        <w:rPr>
          <w:rFonts w:ascii="宋体" w:hAnsi="宋体"/>
          <w:color w:val="auto"/>
        </w:rPr>
      </w:pPr>
      <w:r>
        <w:rPr>
          <w:rFonts w:hint="eastAsia" w:ascii="宋体" w:hAnsi="宋体"/>
          <w:color w:val="auto"/>
        </w:rPr>
        <w:t>15.2.4  有关产品样本、手册、图纸等资料；</w:t>
      </w:r>
    </w:p>
    <w:p>
      <w:pPr>
        <w:pStyle w:val="87"/>
        <w:spacing w:line="500" w:lineRule="exact"/>
        <w:ind w:firstLine="484" w:firstLineChars="200"/>
        <w:jc w:val="both"/>
        <w:rPr>
          <w:rFonts w:ascii="宋体" w:hAnsi="宋体"/>
          <w:color w:val="auto"/>
        </w:rPr>
      </w:pPr>
      <w:r>
        <w:rPr>
          <w:rFonts w:hint="eastAsia" w:ascii="宋体" w:hAnsi="宋体"/>
          <w:color w:val="auto"/>
        </w:rPr>
        <w:t>15.2.5  投标供应商认为有必要提供的其它证明文件。</w:t>
      </w:r>
    </w:p>
    <w:p>
      <w:pPr>
        <w:pStyle w:val="87"/>
        <w:spacing w:line="500" w:lineRule="exact"/>
        <w:ind w:firstLine="484" w:firstLineChars="200"/>
        <w:jc w:val="both"/>
        <w:rPr>
          <w:rFonts w:ascii="宋体" w:hAnsi="宋体"/>
          <w:color w:val="auto"/>
        </w:rPr>
      </w:pPr>
      <w:r>
        <w:rPr>
          <w:rFonts w:hint="eastAsia" w:ascii="宋体" w:hAnsi="宋体"/>
          <w:color w:val="auto"/>
        </w:rPr>
        <w:t>16.     投标文件的有效期</w:t>
      </w:r>
    </w:p>
    <w:p>
      <w:pPr>
        <w:pStyle w:val="87"/>
        <w:spacing w:line="500" w:lineRule="exact"/>
        <w:ind w:firstLine="484" w:firstLineChars="200"/>
        <w:jc w:val="both"/>
        <w:rPr>
          <w:rFonts w:ascii="宋体" w:hAnsi="宋体"/>
          <w:color w:val="auto"/>
        </w:rPr>
      </w:pPr>
      <w:r>
        <w:rPr>
          <w:rFonts w:hint="eastAsia" w:ascii="宋体" w:hAnsi="宋体"/>
          <w:color w:val="auto"/>
        </w:rPr>
        <w:t>16.1    投标文件从实际开标之日起</w:t>
      </w:r>
      <w:r>
        <w:rPr>
          <w:rFonts w:hint="eastAsia" w:ascii="宋体" w:hAnsi="宋体"/>
          <w:color w:val="auto"/>
          <w:u w:val="single"/>
        </w:rPr>
        <w:t>90天</w:t>
      </w:r>
      <w:r>
        <w:rPr>
          <w:rFonts w:hint="eastAsia" w:ascii="宋体" w:hAnsi="宋体"/>
          <w:color w:val="auto"/>
        </w:rPr>
        <w:t>内有效。</w:t>
      </w:r>
    </w:p>
    <w:p>
      <w:pPr>
        <w:pStyle w:val="87"/>
        <w:spacing w:line="500" w:lineRule="exact"/>
        <w:ind w:left="1451" w:leftChars="228" w:hanging="968" w:hangingChars="400"/>
        <w:jc w:val="both"/>
        <w:rPr>
          <w:rFonts w:ascii="宋体" w:hAnsi="宋体"/>
          <w:color w:val="auto"/>
        </w:rPr>
      </w:pPr>
      <w:r>
        <w:rPr>
          <w:rFonts w:hint="eastAsia" w:ascii="宋体" w:hAnsi="宋体"/>
          <w:color w:val="auto"/>
        </w:rPr>
        <w:t>16.2    在特殊情况下, 在原投标有效期届满之前，招标代理机构可与投标单位协商延长投标文件的有效期，并经投标方确认。</w:t>
      </w:r>
    </w:p>
    <w:p>
      <w:pPr>
        <w:pStyle w:val="87"/>
        <w:spacing w:line="500" w:lineRule="exact"/>
        <w:ind w:firstLine="484" w:firstLineChars="200"/>
        <w:jc w:val="both"/>
        <w:rPr>
          <w:rFonts w:ascii="宋体" w:hAnsi="宋体"/>
          <w:color w:val="auto"/>
        </w:rPr>
      </w:pPr>
      <w:r>
        <w:rPr>
          <w:rFonts w:hint="eastAsia" w:ascii="宋体" w:hAnsi="宋体"/>
          <w:color w:val="auto"/>
        </w:rPr>
        <w:t>17.     投标文件的书写要求、签署、装订及数量。</w:t>
      </w:r>
    </w:p>
    <w:p>
      <w:pPr>
        <w:pStyle w:val="87"/>
        <w:spacing w:line="500" w:lineRule="exact"/>
        <w:ind w:firstLine="484" w:firstLineChars="200"/>
        <w:jc w:val="both"/>
        <w:rPr>
          <w:rFonts w:ascii="宋体" w:hAnsi="宋体"/>
          <w:color w:val="auto"/>
        </w:rPr>
      </w:pPr>
      <w:r>
        <w:rPr>
          <w:rFonts w:hint="eastAsia" w:ascii="宋体" w:hAnsi="宋体"/>
          <w:color w:val="auto"/>
        </w:rPr>
        <w:t>17.1    投标文件正本须用不褪色的墨水笔书写或打印。</w:t>
      </w:r>
    </w:p>
    <w:p>
      <w:pPr>
        <w:spacing w:line="500" w:lineRule="exact"/>
        <w:ind w:firstLine="484" w:firstLineChars="200"/>
        <w:rPr>
          <w:rFonts w:ascii="宋体" w:hAnsi="宋体"/>
          <w:sz w:val="24"/>
          <w:szCs w:val="24"/>
        </w:rPr>
      </w:pPr>
      <w:r>
        <w:rPr>
          <w:rFonts w:hint="eastAsia" w:ascii="宋体" w:hAnsi="宋体"/>
          <w:sz w:val="24"/>
          <w:szCs w:val="24"/>
        </w:rPr>
        <w:t>17.2    投标文件的书写应清楚工整，修改处应由投标供应商全权代表签字或盖章。</w:t>
      </w:r>
    </w:p>
    <w:p>
      <w:pPr>
        <w:pStyle w:val="87"/>
        <w:spacing w:line="500" w:lineRule="exact"/>
        <w:ind w:left="1451" w:leftChars="228" w:hanging="968" w:hangingChars="400"/>
        <w:jc w:val="both"/>
        <w:rPr>
          <w:rFonts w:ascii="宋体" w:hAnsi="宋体"/>
          <w:color w:val="auto"/>
        </w:rPr>
      </w:pPr>
      <w:r>
        <w:rPr>
          <w:rFonts w:hint="eastAsia" w:ascii="宋体" w:hAnsi="宋体"/>
          <w:color w:val="auto"/>
        </w:rPr>
        <w:t>17.3    未实质性响应招标文件、字迹潦草、表达不清、未按要求填写或可能导致非唯一理解的投标文件将被定为废标。</w:t>
      </w:r>
    </w:p>
    <w:p>
      <w:pPr>
        <w:pStyle w:val="87"/>
        <w:spacing w:line="500" w:lineRule="exact"/>
        <w:ind w:left="1451" w:leftChars="228" w:hanging="968" w:hangingChars="400"/>
        <w:jc w:val="both"/>
        <w:rPr>
          <w:rFonts w:ascii="宋体" w:hAnsi="宋体"/>
          <w:color w:val="auto"/>
        </w:rPr>
      </w:pPr>
      <w:r>
        <w:rPr>
          <w:rFonts w:hint="eastAsia" w:ascii="宋体" w:hAnsi="宋体"/>
          <w:color w:val="auto"/>
        </w:rPr>
        <w:t>17.4    投标文件应由投标供应商企业法人或法人授权代表在规定签章处逐一签署及加盖单位的公章。</w:t>
      </w:r>
    </w:p>
    <w:p>
      <w:pPr>
        <w:pStyle w:val="87"/>
        <w:spacing w:line="500" w:lineRule="exact"/>
        <w:ind w:firstLine="484" w:firstLineChars="200"/>
        <w:jc w:val="both"/>
        <w:rPr>
          <w:rFonts w:ascii="宋体" w:hAnsi="宋体"/>
          <w:color w:val="auto"/>
        </w:rPr>
      </w:pPr>
      <w:r>
        <w:rPr>
          <w:rFonts w:hint="eastAsia" w:ascii="宋体" w:hAnsi="宋体"/>
          <w:color w:val="auto"/>
        </w:rPr>
        <w:t>17.5    装订要求：</w:t>
      </w:r>
      <w:r>
        <w:rPr>
          <w:rFonts w:hint="eastAsia" w:ascii="宋体" w:hAnsi="宋体"/>
          <w:b/>
          <w:color w:val="auto"/>
        </w:rPr>
        <w:t>投标文件必须胶装</w:t>
      </w:r>
      <w:r>
        <w:rPr>
          <w:rFonts w:hint="eastAsia" w:ascii="宋体" w:hAnsi="宋体"/>
          <w:color w:val="auto"/>
        </w:rPr>
        <w:t xml:space="preserve">。 </w:t>
      </w:r>
    </w:p>
    <w:p>
      <w:pPr>
        <w:pStyle w:val="87"/>
        <w:spacing w:line="500" w:lineRule="exact"/>
        <w:ind w:left="1451" w:leftChars="228" w:hanging="968" w:hangingChars="400"/>
        <w:jc w:val="both"/>
        <w:rPr>
          <w:rFonts w:ascii="宋体" w:hAnsi="宋体"/>
          <w:color w:val="auto"/>
        </w:rPr>
      </w:pPr>
      <w:r>
        <w:rPr>
          <w:rFonts w:hint="eastAsia" w:ascii="宋体" w:hAnsi="宋体"/>
          <w:color w:val="auto"/>
        </w:rPr>
        <w:t>17.6    投标文件的数量：见投标人须知前附表，并在投标文件封面左上角注明“正本”、“副本”字样，一旦正本和副本不符，以正本为准。参考资料不限量。</w:t>
      </w:r>
    </w:p>
    <w:p>
      <w:pPr>
        <w:pStyle w:val="87"/>
        <w:spacing w:line="500" w:lineRule="exact"/>
        <w:ind w:left="1451" w:leftChars="228" w:hanging="968" w:hangingChars="400"/>
        <w:jc w:val="both"/>
        <w:rPr>
          <w:rFonts w:ascii="宋体" w:hAnsi="宋体"/>
          <w:color w:val="auto"/>
        </w:rPr>
      </w:pPr>
      <w:r>
        <w:rPr>
          <w:rFonts w:hint="eastAsia" w:ascii="宋体" w:hAnsi="宋体"/>
          <w:color w:val="auto"/>
        </w:rPr>
        <w:t>17.7    投标供应商可根据投标文件要求具体需要自行编制其它文件一式五份纳入投标书中。</w:t>
      </w:r>
    </w:p>
    <w:p>
      <w:pPr>
        <w:pStyle w:val="87"/>
        <w:spacing w:line="500" w:lineRule="exact"/>
        <w:ind w:firstLine="484" w:firstLineChars="200"/>
        <w:jc w:val="both"/>
        <w:rPr>
          <w:rFonts w:ascii="宋体" w:hAnsi="宋体"/>
          <w:color w:val="auto"/>
        </w:rPr>
      </w:pPr>
      <w:r>
        <w:rPr>
          <w:rFonts w:hint="eastAsia" w:ascii="宋体" w:hAnsi="宋体"/>
          <w:color w:val="auto"/>
        </w:rPr>
        <w:t>18.  投标保证金</w:t>
      </w:r>
    </w:p>
    <w:p>
      <w:pPr>
        <w:pStyle w:val="87"/>
        <w:spacing w:line="500" w:lineRule="exact"/>
        <w:ind w:firstLine="484" w:firstLineChars="200"/>
        <w:jc w:val="both"/>
        <w:rPr>
          <w:rFonts w:ascii="宋体" w:hAnsi="宋体"/>
          <w:b/>
          <w:color w:val="auto"/>
        </w:rPr>
      </w:pPr>
      <w:r>
        <w:rPr>
          <w:rFonts w:hint="eastAsia" w:ascii="宋体" w:hAnsi="宋体"/>
          <w:b/>
          <w:color w:val="auto"/>
        </w:rPr>
        <w:t>18.1    投标保证金金额为（每标项）：见投标人须知前附表</w:t>
      </w:r>
    </w:p>
    <w:p>
      <w:pPr>
        <w:pStyle w:val="87"/>
        <w:spacing w:line="500" w:lineRule="exact"/>
        <w:ind w:left="1451" w:leftChars="228" w:hanging="968" w:hangingChars="400"/>
        <w:jc w:val="both"/>
        <w:rPr>
          <w:rFonts w:ascii="宋体" w:hAnsi="宋体"/>
          <w:color w:val="auto"/>
        </w:rPr>
      </w:pPr>
      <w:r>
        <w:rPr>
          <w:rFonts w:hint="eastAsia" w:ascii="宋体" w:hAnsi="宋体"/>
          <w:color w:val="auto"/>
        </w:rPr>
        <w:t>18.2    投标保证金用于保护本次招标免受投标供应商的违规、违约行为而引起的风险。</w:t>
      </w:r>
    </w:p>
    <w:p>
      <w:pPr>
        <w:pStyle w:val="87"/>
        <w:spacing w:line="500" w:lineRule="exact"/>
        <w:ind w:left="1451" w:leftChars="228" w:hanging="968" w:hangingChars="400"/>
        <w:jc w:val="both"/>
        <w:rPr>
          <w:rFonts w:ascii="宋体" w:hAnsi="宋体"/>
          <w:color w:val="auto"/>
        </w:rPr>
      </w:pPr>
      <w:r>
        <w:rPr>
          <w:rFonts w:hint="eastAsia" w:ascii="宋体" w:hAnsi="宋体"/>
          <w:color w:val="auto"/>
        </w:rPr>
        <w:t>18.3    投标保证金用人民币，由投标供应商按《招标文件》中明确的银行账号，按18.1条要求的数额递交。</w:t>
      </w:r>
    </w:p>
    <w:p>
      <w:pPr>
        <w:pStyle w:val="87"/>
        <w:spacing w:line="500" w:lineRule="exact"/>
        <w:ind w:firstLine="484" w:firstLineChars="200"/>
        <w:jc w:val="both"/>
        <w:rPr>
          <w:rFonts w:ascii="宋体" w:hAnsi="宋体"/>
          <w:color w:val="auto"/>
        </w:rPr>
      </w:pPr>
      <w:r>
        <w:rPr>
          <w:rFonts w:hint="eastAsia" w:ascii="宋体" w:hAnsi="宋体"/>
          <w:color w:val="auto"/>
        </w:rPr>
        <w:t>18.4    投标保证金以网银或电汇形式提交。</w:t>
      </w:r>
    </w:p>
    <w:p>
      <w:pPr>
        <w:pStyle w:val="87"/>
        <w:spacing w:line="500" w:lineRule="exact"/>
        <w:ind w:firstLine="484" w:firstLineChars="200"/>
        <w:jc w:val="both"/>
        <w:rPr>
          <w:rFonts w:ascii="宋体" w:hAnsi="宋体"/>
          <w:color w:val="auto"/>
        </w:rPr>
      </w:pPr>
      <w:r>
        <w:rPr>
          <w:rFonts w:hint="eastAsia" w:ascii="宋体" w:hAnsi="宋体"/>
          <w:color w:val="auto"/>
        </w:rPr>
        <w:t>18.5    本次项目不接受联合体投标。</w:t>
      </w:r>
    </w:p>
    <w:p>
      <w:pPr>
        <w:pStyle w:val="87"/>
        <w:spacing w:line="500" w:lineRule="exact"/>
        <w:ind w:firstLine="484" w:firstLineChars="200"/>
        <w:jc w:val="both"/>
        <w:rPr>
          <w:rFonts w:ascii="宋体" w:hAnsi="宋体"/>
          <w:color w:val="auto"/>
        </w:rPr>
      </w:pPr>
      <w:r>
        <w:rPr>
          <w:rFonts w:hint="eastAsia" w:ascii="宋体" w:hAnsi="宋体"/>
          <w:color w:val="auto"/>
        </w:rPr>
        <w:t>18.6    未按时缴纳投标保证金的投标，将被拒绝。</w:t>
      </w:r>
    </w:p>
    <w:p>
      <w:pPr>
        <w:pStyle w:val="87"/>
        <w:spacing w:line="500" w:lineRule="exact"/>
        <w:ind w:left="1451" w:leftChars="228" w:hanging="968" w:hangingChars="400"/>
        <w:jc w:val="both"/>
        <w:rPr>
          <w:rFonts w:ascii="宋体" w:hAnsi="宋体"/>
          <w:color w:val="auto"/>
        </w:rPr>
      </w:pPr>
      <w:r>
        <w:rPr>
          <w:rFonts w:hint="eastAsia" w:ascii="宋体" w:hAnsi="宋体"/>
          <w:color w:val="auto"/>
        </w:rPr>
        <w:t>18.7    采购人或者采购代理机构应当自中标通知书发出之日起5个工作日内退还未中标人的投标保证金，自采购合同签订之日起5个工作日内退还中标人的投标保证金或者转为中标人的履约保证金。</w:t>
      </w:r>
    </w:p>
    <w:p>
      <w:pPr>
        <w:pStyle w:val="87"/>
        <w:spacing w:line="500" w:lineRule="exact"/>
        <w:ind w:firstLine="484" w:firstLineChars="200"/>
        <w:jc w:val="both"/>
        <w:rPr>
          <w:rFonts w:ascii="宋体" w:hAnsi="宋体"/>
          <w:color w:val="auto"/>
        </w:rPr>
      </w:pPr>
      <w:r>
        <w:rPr>
          <w:rFonts w:hint="eastAsia" w:ascii="宋体" w:hAnsi="宋体"/>
          <w:color w:val="auto"/>
        </w:rPr>
        <w:t>18.8    发生以下情况投标保证金可能被没收：</w:t>
      </w:r>
    </w:p>
    <w:p>
      <w:pPr>
        <w:pStyle w:val="87"/>
        <w:spacing w:line="500" w:lineRule="exact"/>
        <w:ind w:firstLine="484" w:firstLineChars="200"/>
        <w:jc w:val="both"/>
        <w:rPr>
          <w:rFonts w:ascii="宋体" w:hAnsi="宋体"/>
          <w:color w:val="auto"/>
        </w:rPr>
      </w:pPr>
      <w:r>
        <w:rPr>
          <w:rFonts w:hint="eastAsia" w:ascii="宋体" w:hAnsi="宋体"/>
          <w:color w:val="auto"/>
        </w:rPr>
        <w:t>18.8.1  如果投标供应商在投标有效期内撤回投标；</w:t>
      </w:r>
    </w:p>
    <w:p>
      <w:pPr>
        <w:pStyle w:val="87"/>
        <w:spacing w:line="500" w:lineRule="exact"/>
        <w:ind w:left="1451" w:leftChars="228" w:hanging="968" w:hangingChars="400"/>
        <w:jc w:val="both"/>
        <w:rPr>
          <w:rFonts w:ascii="宋体" w:hAnsi="宋体"/>
          <w:color w:val="auto"/>
        </w:rPr>
      </w:pPr>
      <w:r>
        <w:rPr>
          <w:rFonts w:hint="eastAsia" w:ascii="宋体" w:hAnsi="宋体"/>
          <w:color w:val="auto"/>
        </w:rPr>
        <w:t>18.8.2  如果中标供应商放弃中标项目的，无正当理由不与采购人签订合同的，在签订合同时向采购人提出附加条件或者更改合同实质性内容的，或者拒不提交所要求的履约保证金的。</w:t>
      </w:r>
    </w:p>
    <w:p>
      <w:pPr>
        <w:pStyle w:val="87"/>
        <w:spacing w:line="500" w:lineRule="exact"/>
        <w:jc w:val="center"/>
        <w:outlineLvl w:val="1"/>
        <w:rPr>
          <w:rFonts w:ascii="宋体" w:hAnsi="宋体"/>
          <w:color w:val="auto"/>
        </w:rPr>
      </w:pPr>
      <w:bookmarkStart w:id="6" w:name="_Toc4643"/>
      <w:r>
        <w:rPr>
          <w:rFonts w:hint="eastAsia" w:ascii="宋体" w:hAnsi="宋体"/>
          <w:color w:val="auto"/>
        </w:rPr>
        <w:t>四、投标文件的递交</w:t>
      </w:r>
      <w:bookmarkEnd w:id="6"/>
    </w:p>
    <w:p>
      <w:pPr>
        <w:pStyle w:val="87"/>
        <w:spacing w:line="500" w:lineRule="exact"/>
        <w:ind w:firstLine="484" w:firstLineChars="200"/>
        <w:jc w:val="both"/>
        <w:rPr>
          <w:rFonts w:ascii="宋体" w:hAnsi="宋体"/>
          <w:color w:val="auto"/>
        </w:rPr>
      </w:pPr>
      <w:r>
        <w:rPr>
          <w:rFonts w:hint="eastAsia" w:ascii="宋体" w:hAnsi="宋体"/>
          <w:color w:val="auto"/>
        </w:rPr>
        <w:t>19.     投标文件的密封与标记</w:t>
      </w:r>
    </w:p>
    <w:p>
      <w:pPr>
        <w:pStyle w:val="87"/>
        <w:spacing w:line="500" w:lineRule="exact"/>
        <w:ind w:left="1451" w:leftChars="228" w:hanging="968" w:hangingChars="400"/>
        <w:jc w:val="both"/>
        <w:rPr>
          <w:rFonts w:ascii="宋体" w:hAnsi="宋体"/>
          <w:color w:val="auto"/>
        </w:rPr>
      </w:pPr>
      <w:r>
        <w:rPr>
          <w:rFonts w:hint="eastAsia" w:ascii="宋体" w:hAnsi="宋体"/>
          <w:color w:val="auto"/>
        </w:rPr>
        <w:t>19.1    投标供应商应将投标文件正本和副本分别装入信封内加以密封，分别在信封上标“正本”或“副本”，并在密封处压口加盖公章（或合同专用章），当正本和副本、电子版不一致时，以正本为准。</w:t>
      </w:r>
    </w:p>
    <w:p>
      <w:pPr>
        <w:pStyle w:val="87"/>
        <w:spacing w:line="500" w:lineRule="exact"/>
        <w:ind w:left="1451" w:leftChars="228" w:hanging="968" w:hangingChars="400"/>
        <w:jc w:val="both"/>
        <w:rPr>
          <w:rFonts w:ascii="宋体" w:hAnsi="宋体"/>
          <w:color w:val="auto"/>
        </w:rPr>
      </w:pPr>
      <w:r>
        <w:rPr>
          <w:rFonts w:hint="eastAsia" w:ascii="宋体" w:hAnsi="宋体"/>
          <w:color w:val="auto"/>
        </w:rPr>
        <w:t>19.2    投标供应商还应将填好的</w:t>
      </w:r>
      <w:r>
        <w:rPr>
          <w:rFonts w:hint="eastAsia" w:ascii="宋体" w:hAnsi="宋体"/>
          <w:b/>
          <w:color w:val="auto"/>
        </w:rPr>
        <w:t>开标一览表</w:t>
      </w:r>
      <w:r>
        <w:rPr>
          <w:rFonts w:hint="eastAsia" w:ascii="宋体" w:hAnsi="宋体"/>
          <w:color w:val="auto"/>
        </w:rPr>
        <w:t>单独装入信封内加以密封，在密封处压        口加盖公章，并在信封上注明“开标一览表”字样，作为投标文件的一部分。</w:t>
      </w:r>
    </w:p>
    <w:p>
      <w:pPr>
        <w:pStyle w:val="87"/>
        <w:spacing w:line="500" w:lineRule="exact"/>
        <w:ind w:left="1451" w:leftChars="228" w:hanging="968" w:hangingChars="400"/>
        <w:jc w:val="both"/>
        <w:rPr>
          <w:rFonts w:ascii="宋体" w:hAnsi="宋体"/>
          <w:color w:val="auto"/>
        </w:rPr>
      </w:pPr>
      <w:r>
        <w:rPr>
          <w:rFonts w:hint="eastAsia" w:ascii="宋体" w:hAnsi="宋体"/>
          <w:color w:val="auto"/>
        </w:rPr>
        <w:t>19.3    投标供应商还应将</w:t>
      </w:r>
      <w:r>
        <w:rPr>
          <w:rFonts w:hint="eastAsia" w:ascii="宋体" w:hAnsi="宋体"/>
          <w:b/>
          <w:bCs/>
          <w:color w:val="auto"/>
        </w:rPr>
        <w:t>电子版投标文件</w:t>
      </w:r>
      <w:r>
        <w:rPr>
          <w:rFonts w:hint="eastAsia" w:ascii="宋体" w:hAnsi="宋体"/>
          <w:color w:val="auto"/>
        </w:rPr>
        <w:t>单独装入信封内加以密封，在密封处压口加盖公章，并在信封上注明“</w:t>
      </w:r>
      <w:r>
        <w:rPr>
          <w:rFonts w:hint="eastAsia" w:ascii="宋体" w:hAnsi="宋体"/>
          <w:b/>
          <w:bCs/>
          <w:color w:val="auto"/>
        </w:rPr>
        <w:t>电子版投标文件</w:t>
      </w:r>
      <w:r>
        <w:rPr>
          <w:rFonts w:hint="eastAsia" w:ascii="宋体" w:hAnsi="宋体"/>
          <w:color w:val="auto"/>
        </w:rPr>
        <w:t>”字样，作为投标文件的一部分。</w:t>
      </w:r>
    </w:p>
    <w:p>
      <w:pPr>
        <w:pStyle w:val="87"/>
        <w:spacing w:line="500" w:lineRule="exact"/>
        <w:ind w:firstLine="484" w:firstLineChars="200"/>
        <w:jc w:val="both"/>
        <w:rPr>
          <w:rFonts w:ascii="宋体" w:hAnsi="宋体"/>
          <w:color w:val="auto"/>
        </w:rPr>
      </w:pPr>
      <w:r>
        <w:rPr>
          <w:rFonts w:hint="eastAsia" w:ascii="宋体" w:hAnsi="宋体"/>
          <w:color w:val="auto"/>
        </w:rPr>
        <w:t>19.4    所有投标文件信封上均应贴上封条,封条上应写明：</w:t>
      </w:r>
    </w:p>
    <w:p>
      <w:pPr>
        <w:pStyle w:val="87"/>
        <w:spacing w:line="500" w:lineRule="exact"/>
        <w:ind w:firstLine="1210" w:firstLineChars="500"/>
        <w:jc w:val="both"/>
        <w:rPr>
          <w:rFonts w:ascii="宋体" w:hAnsi="宋体"/>
          <w:color w:val="auto"/>
        </w:rPr>
      </w:pPr>
      <w:r>
        <w:rPr>
          <w:rFonts w:hint="eastAsia" w:ascii="宋体" w:hAnsi="宋体"/>
          <w:color w:val="auto"/>
        </w:rPr>
        <w:t>⑴ 招标单位：</w:t>
      </w:r>
    </w:p>
    <w:p>
      <w:pPr>
        <w:pStyle w:val="87"/>
        <w:spacing w:line="500" w:lineRule="exact"/>
        <w:ind w:firstLine="1210" w:firstLineChars="500"/>
        <w:jc w:val="both"/>
        <w:rPr>
          <w:rFonts w:ascii="宋体" w:hAnsi="宋体"/>
          <w:color w:val="auto"/>
        </w:rPr>
      </w:pPr>
      <w:r>
        <w:rPr>
          <w:rFonts w:hint="eastAsia" w:ascii="宋体" w:hAnsi="宋体"/>
          <w:color w:val="auto"/>
        </w:rPr>
        <w:t>⑵ 项目名称：</w:t>
      </w:r>
    </w:p>
    <w:p>
      <w:pPr>
        <w:pStyle w:val="87"/>
        <w:spacing w:line="500" w:lineRule="exact"/>
        <w:ind w:firstLine="1210" w:firstLineChars="500"/>
        <w:jc w:val="both"/>
        <w:rPr>
          <w:rFonts w:ascii="宋体" w:hAnsi="宋体"/>
        </w:rPr>
      </w:pPr>
      <w:r>
        <w:rPr>
          <w:rFonts w:hint="eastAsia" w:ascii="宋体" w:hAnsi="宋体"/>
        </w:rPr>
        <w:t xml:space="preserve">⑶ 招标编号： </w:t>
      </w:r>
    </w:p>
    <w:p>
      <w:pPr>
        <w:pStyle w:val="87"/>
        <w:spacing w:line="500" w:lineRule="exact"/>
        <w:ind w:firstLine="1134" w:firstLineChars="469"/>
        <w:jc w:val="both"/>
        <w:rPr>
          <w:rFonts w:ascii="宋体" w:hAnsi="宋体"/>
          <w:color w:val="auto"/>
        </w:rPr>
      </w:pPr>
      <w:r>
        <w:rPr>
          <w:rFonts w:hint="eastAsia" w:ascii="宋体" w:hAnsi="宋体"/>
          <w:color w:val="auto"/>
          <w:kern w:val="2"/>
        </w:rPr>
        <w:t xml:space="preserve">⑷ </w:t>
      </w:r>
      <w:r>
        <w:rPr>
          <w:rFonts w:hint="eastAsia" w:ascii="宋体" w:hAnsi="宋体"/>
          <w:color w:val="auto"/>
        </w:rPr>
        <w:t>投标企业名称和地址。</w:t>
      </w:r>
    </w:p>
    <w:p>
      <w:pPr>
        <w:pStyle w:val="87"/>
        <w:spacing w:line="500" w:lineRule="exact"/>
        <w:ind w:firstLine="1134" w:firstLineChars="469"/>
        <w:jc w:val="both"/>
        <w:rPr>
          <w:rFonts w:ascii="宋体" w:hAnsi="宋体"/>
          <w:color w:val="auto"/>
          <w:kern w:val="2"/>
        </w:rPr>
      </w:pPr>
      <w:r>
        <w:rPr>
          <w:rFonts w:hint="eastAsia" w:ascii="宋体" w:hAnsi="宋体"/>
          <w:color w:val="auto"/>
          <w:kern w:val="2"/>
        </w:rPr>
        <w:t xml:space="preserve">⑸ 注明“开标前不准启封”，“正本”、“副本”、“开标一览表”、“电 </w:t>
      </w:r>
    </w:p>
    <w:p>
      <w:pPr>
        <w:pStyle w:val="87"/>
        <w:spacing w:line="500" w:lineRule="exact"/>
        <w:ind w:firstLine="1134" w:firstLineChars="469"/>
        <w:jc w:val="both"/>
        <w:rPr>
          <w:rFonts w:ascii="宋体" w:hAnsi="宋体"/>
          <w:color w:val="auto"/>
          <w:kern w:val="2"/>
        </w:rPr>
      </w:pPr>
      <w:r>
        <w:rPr>
          <w:rFonts w:hint="eastAsia" w:ascii="宋体" w:hAnsi="宋体"/>
          <w:color w:val="auto"/>
          <w:kern w:val="2"/>
        </w:rPr>
        <w:t xml:space="preserve">   子版投标文件”字样。</w:t>
      </w:r>
    </w:p>
    <w:p>
      <w:pPr>
        <w:pStyle w:val="87"/>
        <w:spacing w:line="500" w:lineRule="exact"/>
        <w:ind w:left="1451" w:leftChars="228" w:hanging="968" w:hangingChars="400"/>
        <w:jc w:val="both"/>
        <w:rPr>
          <w:rFonts w:ascii="宋体" w:hAnsi="宋体"/>
          <w:color w:val="auto"/>
        </w:rPr>
      </w:pPr>
      <w:r>
        <w:rPr>
          <w:rFonts w:hint="eastAsia" w:ascii="宋体" w:hAnsi="宋体"/>
          <w:color w:val="auto"/>
        </w:rPr>
        <w:t>19.5    未按本须知要求密封、标记和投递的投标文件，招标代理机构不对其后果负责。</w:t>
      </w:r>
    </w:p>
    <w:p>
      <w:pPr>
        <w:pStyle w:val="87"/>
        <w:spacing w:line="500" w:lineRule="exact"/>
        <w:ind w:firstLine="484" w:firstLineChars="200"/>
        <w:jc w:val="both"/>
        <w:rPr>
          <w:rFonts w:ascii="宋体" w:hAnsi="宋体"/>
          <w:color w:val="auto"/>
        </w:rPr>
      </w:pPr>
      <w:r>
        <w:rPr>
          <w:rFonts w:hint="eastAsia" w:ascii="宋体" w:hAnsi="宋体"/>
          <w:color w:val="auto"/>
        </w:rPr>
        <w:t>20.  投标文件递交的截止日期</w:t>
      </w:r>
    </w:p>
    <w:p>
      <w:pPr>
        <w:pStyle w:val="87"/>
        <w:spacing w:line="500" w:lineRule="exact"/>
        <w:ind w:firstLine="484" w:firstLineChars="200"/>
        <w:jc w:val="both"/>
        <w:rPr>
          <w:rFonts w:ascii="宋体" w:hAnsi="宋体"/>
          <w:color w:val="auto"/>
          <w:u w:val="single"/>
        </w:rPr>
      </w:pPr>
      <w:r>
        <w:rPr>
          <w:rFonts w:hint="eastAsia" w:ascii="宋体" w:hAnsi="宋体"/>
          <w:color w:val="auto"/>
        </w:rPr>
        <w:t>20.1</w:t>
      </w:r>
      <w:r>
        <w:rPr>
          <w:rFonts w:hint="eastAsia" w:ascii="宋体" w:hAnsi="宋体"/>
          <w:b/>
          <w:color w:val="auto"/>
        </w:rPr>
        <w:t xml:space="preserve">  见投标人须知前附表。</w:t>
      </w:r>
    </w:p>
    <w:p>
      <w:pPr>
        <w:pStyle w:val="87"/>
        <w:spacing w:line="500" w:lineRule="exact"/>
        <w:ind w:firstLine="484" w:firstLineChars="200"/>
        <w:jc w:val="both"/>
        <w:rPr>
          <w:rFonts w:ascii="宋体" w:hAnsi="宋体"/>
          <w:color w:val="auto"/>
        </w:rPr>
      </w:pPr>
      <w:r>
        <w:rPr>
          <w:rFonts w:hint="eastAsia" w:ascii="宋体" w:hAnsi="宋体"/>
          <w:color w:val="auto"/>
        </w:rPr>
        <w:t>20.2  超过招标文件规定的投标截止时间送达的投标文件将不予接受。</w:t>
      </w:r>
    </w:p>
    <w:p>
      <w:pPr>
        <w:pStyle w:val="87"/>
        <w:spacing w:line="500" w:lineRule="exact"/>
        <w:ind w:firstLine="484" w:firstLineChars="200"/>
        <w:jc w:val="both"/>
        <w:rPr>
          <w:rFonts w:ascii="宋体" w:hAnsi="宋体"/>
          <w:color w:val="auto"/>
        </w:rPr>
      </w:pPr>
      <w:r>
        <w:rPr>
          <w:rFonts w:hint="eastAsia" w:ascii="宋体" w:hAnsi="宋体"/>
          <w:color w:val="auto"/>
        </w:rPr>
        <w:t>21.  投标文件的修改和撤销</w:t>
      </w:r>
    </w:p>
    <w:p>
      <w:pPr>
        <w:pStyle w:val="157"/>
        <w:spacing w:line="500" w:lineRule="exact"/>
        <w:ind w:firstLine="484" w:firstLineChars="200"/>
        <w:jc w:val="both"/>
        <w:rPr>
          <w:rFonts w:ascii="宋体" w:hAnsi="宋体"/>
          <w:color w:val="auto"/>
          <w:sz w:val="24"/>
        </w:rPr>
      </w:pPr>
      <w:r>
        <w:rPr>
          <w:rFonts w:hint="eastAsia" w:ascii="宋体" w:hAnsi="宋体"/>
          <w:color w:val="auto"/>
          <w:sz w:val="24"/>
        </w:rPr>
        <w:t>21.1  投标供应商对其投标文件进行的修改或撤销应以书面形式并在招标文件规定的投标截止时间前送达招标代理机构。</w:t>
      </w:r>
    </w:p>
    <w:p>
      <w:pPr>
        <w:pStyle w:val="157"/>
        <w:spacing w:line="500" w:lineRule="exact"/>
        <w:ind w:firstLine="484" w:firstLineChars="200"/>
        <w:jc w:val="both"/>
        <w:rPr>
          <w:rFonts w:ascii="宋体" w:hAnsi="宋体"/>
          <w:color w:val="auto"/>
          <w:sz w:val="24"/>
        </w:rPr>
      </w:pPr>
      <w:r>
        <w:rPr>
          <w:rFonts w:hint="eastAsia" w:ascii="宋体" w:hAnsi="宋体"/>
          <w:color w:val="auto"/>
          <w:sz w:val="24"/>
        </w:rPr>
        <w:t>21.2  投标供应商对投标文件的修改或撤销应按第18和19条规定进行准备、密封、标注和递交。</w:t>
      </w:r>
    </w:p>
    <w:p>
      <w:pPr>
        <w:pStyle w:val="157"/>
        <w:spacing w:line="500" w:lineRule="exact"/>
        <w:ind w:firstLine="484" w:firstLineChars="200"/>
        <w:jc w:val="both"/>
        <w:rPr>
          <w:rFonts w:ascii="宋体" w:hAnsi="宋体"/>
          <w:color w:val="auto"/>
          <w:sz w:val="24"/>
        </w:rPr>
      </w:pPr>
      <w:r>
        <w:rPr>
          <w:rFonts w:hint="eastAsia" w:ascii="宋体" w:hAnsi="宋体"/>
          <w:color w:val="auto"/>
          <w:sz w:val="24"/>
        </w:rPr>
        <w:t>21.3  投标截止时间后不得修改投标文件。</w:t>
      </w:r>
    </w:p>
    <w:p>
      <w:pPr>
        <w:pStyle w:val="157"/>
        <w:spacing w:line="500" w:lineRule="exact"/>
        <w:ind w:firstLine="484" w:firstLineChars="200"/>
        <w:jc w:val="both"/>
        <w:rPr>
          <w:rFonts w:ascii="宋体" w:hAnsi="宋体"/>
          <w:color w:val="auto"/>
          <w:sz w:val="24"/>
        </w:rPr>
      </w:pPr>
      <w:r>
        <w:rPr>
          <w:rFonts w:hint="eastAsia" w:ascii="宋体" w:hAnsi="宋体"/>
          <w:color w:val="auto"/>
          <w:sz w:val="24"/>
        </w:rPr>
        <w:t>21.4  投标供应商不得在投标截止时间起至投标文件有效期满前撤销投标文件，否则其投标保证金将不予退还。</w:t>
      </w:r>
    </w:p>
    <w:p>
      <w:pPr>
        <w:pStyle w:val="87"/>
        <w:spacing w:line="500" w:lineRule="exact"/>
        <w:jc w:val="center"/>
        <w:outlineLvl w:val="1"/>
        <w:rPr>
          <w:rFonts w:ascii="宋体" w:hAnsi="宋体"/>
          <w:color w:val="auto"/>
        </w:rPr>
      </w:pPr>
      <w:bookmarkStart w:id="7" w:name="_Toc8270"/>
      <w:r>
        <w:rPr>
          <w:rFonts w:hint="eastAsia" w:ascii="宋体" w:hAnsi="宋体"/>
          <w:color w:val="auto"/>
        </w:rPr>
        <w:t>五、开标</w:t>
      </w:r>
      <w:bookmarkEnd w:id="7"/>
    </w:p>
    <w:p>
      <w:pPr>
        <w:pStyle w:val="87"/>
        <w:spacing w:line="500" w:lineRule="exact"/>
        <w:ind w:firstLine="567"/>
        <w:jc w:val="both"/>
        <w:rPr>
          <w:rFonts w:ascii="宋体" w:hAnsi="宋体"/>
          <w:color w:val="auto"/>
        </w:rPr>
      </w:pPr>
      <w:r>
        <w:rPr>
          <w:rFonts w:hint="eastAsia" w:ascii="宋体" w:hAnsi="宋体"/>
          <w:color w:val="auto"/>
        </w:rPr>
        <w:t>22.  开标</w:t>
      </w:r>
    </w:p>
    <w:p>
      <w:pPr>
        <w:spacing w:line="500" w:lineRule="exact"/>
        <w:ind w:left="1" w:firstLine="484" w:firstLineChars="200"/>
        <w:rPr>
          <w:rFonts w:ascii="宋体" w:hAnsi="宋体"/>
          <w:sz w:val="24"/>
          <w:szCs w:val="24"/>
        </w:rPr>
      </w:pPr>
      <w:r>
        <w:rPr>
          <w:rFonts w:hint="eastAsia" w:ascii="宋体" w:hAnsi="宋体"/>
          <w:sz w:val="24"/>
          <w:szCs w:val="24"/>
        </w:rPr>
        <w:t xml:space="preserve">22.1  </w:t>
      </w:r>
      <w:r>
        <w:rPr>
          <w:rFonts w:ascii="宋体" w:hAnsi="宋体"/>
          <w:sz w:val="24"/>
          <w:szCs w:val="24"/>
        </w:rPr>
        <w:t>开标应当在招标文件确定的提交投标文件截止时间的同一时间公开进行</w:t>
      </w:r>
      <w:r>
        <w:rPr>
          <w:rFonts w:hint="eastAsia" w:ascii="宋体" w:hAnsi="宋体"/>
          <w:sz w:val="24"/>
          <w:szCs w:val="24"/>
        </w:rPr>
        <w:t>，</w:t>
      </w:r>
      <w:r>
        <w:rPr>
          <w:rFonts w:ascii="宋体" w:hAnsi="宋体"/>
          <w:sz w:val="24"/>
          <w:szCs w:val="24"/>
        </w:rPr>
        <w:t>开标地点应当为招标文件中预先确定的地点。</w:t>
      </w:r>
    </w:p>
    <w:p>
      <w:pPr>
        <w:spacing w:line="500" w:lineRule="exact"/>
        <w:ind w:left="1" w:firstLine="484" w:firstLineChars="200"/>
        <w:rPr>
          <w:rFonts w:ascii="宋体" w:hAnsi="宋体"/>
          <w:sz w:val="24"/>
          <w:szCs w:val="24"/>
        </w:rPr>
      </w:pPr>
      <w:r>
        <w:rPr>
          <w:rFonts w:hint="eastAsia" w:ascii="宋体" w:hAnsi="宋体"/>
          <w:sz w:val="24"/>
          <w:szCs w:val="24"/>
        </w:rPr>
        <w:t>22.2  代理机构</w:t>
      </w:r>
      <w:r>
        <w:rPr>
          <w:rFonts w:ascii="宋体" w:hAnsi="宋体"/>
          <w:sz w:val="24"/>
          <w:szCs w:val="24"/>
        </w:rPr>
        <w:t>主持，采购人、投标供应商和有关方面代表参加。</w:t>
      </w:r>
    </w:p>
    <w:p>
      <w:pPr>
        <w:widowControl/>
        <w:spacing w:line="440" w:lineRule="exact"/>
        <w:ind w:firstLine="484" w:firstLineChars="200"/>
        <w:jc w:val="left"/>
        <w:rPr>
          <w:rFonts w:ascii="宋体" w:hAnsi="宋体"/>
          <w:b/>
          <w:sz w:val="24"/>
          <w:szCs w:val="24"/>
        </w:rPr>
      </w:pPr>
      <w:r>
        <w:rPr>
          <w:rFonts w:hint="eastAsia" w:ascii="宋体" w:hAnsi="宋体"/>
          <w:b/>
          <w:sz w:val="24"/>
          <w:szCs w:val="24"/>
        </w:rPr>
        <w:t>22.3  参加开标会议的投标人须随身携带：见投标人须知前附表第14条。</w:t>
      </w:r>
    </w:p>
    <w:p>
      <w:pPr>
        <w:widowControl/>
        <w:spacing w:line="440" w:lineRule="exact"/>
        <w:ind w:firstLine="484" w:firstLineChars="200"/>
        <w:jc w:val="left"/>
        <w:rPr>
          <w:rFonts w:ascii="宋体" w:hAnsi="宋体"/>
          <w:sz w:val="24"/>
          <w:szCs w:val="24"/>
        </w:rPr>
      </w:pPr>
      <w:r>
        <w:rPr>
          <w:rFonts w:hint="eastAsia" w:ascii="宋体" w:hAnsi="宋体"/>
          <w:sz w:val="24"/>
          <w:szCs w:val="24"/>
        </w:rPr>
        <w:t>22.4  开标时，应当由投标供应商或者其推选的代表检查投标文件的密封情况，也可以由采购人委托的公证机构检查并公证；经确认无误后，由招标工作人员当众拆封，宣读投标供应商名称、投标价格、价格折扣和投标文件的其他主要内容。</w:t>
      </w:r>
    </w:p>
    <w:p>
      <w:pPr>
        <w:spacing w:line="500" w:lineRule="exact"/>
        <w:ind w:left="1" w:firstLine="484" w:firstLineChars="200"/>
        <w:rPr>
          <w:rFonts w:ascii="宋体" w:hAnsi="宋体"/>
          <w:sz w:val="24"/>
          <w:szCs w:val="24"/>
        </w:rPr>
      </w:pPr>
      <w:r>
        <w:rPr>
          <w:rFonts w:hint="eastAsia" w:ascii="宋体" w:hAnsi="宋体"/>
          <w:sz w:val="24"/>
          <w:szCs w:val="24"/>
        </w:rPr>
        <w:t xml:space="preserve">22.5  </w:t>
      </w:r>
      <w:r>
        <w:rPr>
          <w:rFonts w:ascii="宋体" w:hAnsi="宋体"/>
          <w:sz w:val="24"/>
          <w:szCs w:val="24"/>
        </w:rPr>
        <w:t>未宣读的投标价格、价格折扣和</w:t>
      </w:r>
      <w:r>
        <w:rPr>
          <w:rFonts w:hint="eastAsia" w:ascii="宋体" w:hAnsi="宋体"/>
          <w:sz w:val="24"/>
          <w:szCs w:val="24"/>
        </w:rPr>
        <w:t>投标文件的其他主要</w:t>
      </w:r>
      <w:r>
        <w:rPr>
          <w:rFonts w:ascii="宋体" w:hAnsi="宋体"/>
          <w:sz w:val="24"/>
          <w:szCs w:val="24"/>
        </w:rPr>
        <w:t>内容，评标时不予承认。</w:t>
      </w:r>
    </w:p>
    <w:p>
      <w:pPr>
        <w:spacing w:line="500" w:lineRule="exact"/>
        <w:ind w:firstLine="484" w:firstLineChars="200"/>
        <w:rPr>
          <w:rFonts w:ascii="宋体" w:hAnsi="宋体"/>
          <w:sz w:val="24"/>
          <w:szCs w:val="24"/>
        </w:rPr>
      </w:pPr>
      <w:r>
        <w:rPr>
          <w:rFonts w:hint="eastAsia" w:ascii="宋体" w:hAnsi="宋体"/>
          <w:sz w:val="24"/>
          <w:szCs w:val="24"/>
        </w:rPr>
        <w:t>22.6  开标时，投标文件中开标一览表</w:t>
      </w:r>
      <w:r>
        <w:rPr>
          <w:rFonts w:ascii="宋体" w:hAnsi="宋体"/>
          <w:sz w:val="24"/>
          <w:szCs w:val="24"/>
        </w:rPr>
        <w:t>(报价表)内容与投标文件中明细表内容不一致的，以开标一览表(报价表)为准。</w:t>
      </w:r>
      <w:r>
        <w:rPr>
          <w:rFonts w:hint="eastAsia" w:ascii="宋体" w:hAnsi="宋体"/>
          <w:sz w:val="24"/>
          <w:szCs w:val="24"/>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pStyle w:val="87"/>
        <w:spacing w:line="500" w:lineRule="exact"/>
        <w:ind w:firstLine="560"/>
        <w:jc w:val="both"/>
        <w:rPr>
          <w:rFonts w:ascii="宋体" w:hAnsi="宋体"/>
          <w:color w:val="auto"/>
        </w:rPr>
      </w:pPr>
      <w:r>
        <w:rPr>
          <w:rFonts w:hint="eastAsia" w:ascii="宋体" w:hAnsi="宋体"/>
          <w:color w:val="auto"/>
        </w:rPr>
        <w:t>22.7  对未按照本招标文件要求进行投标及资格审查不合格的投标供应商，其投标文件将被视为无效投标文件。</w:t>
      </w:r>
    </w:p>
    <w:p>
      <w:pPr>
        <w:spacing w:line="500" w:lineRule="exact"/>
        <w:ind w:firstLine="570"/>
        <w:rPr>
          <w:rFonts w:ascii="宋体" w:hAnsi="宋体"/>
          <w:sz w:val="24"/>
          <w:szCs w:val="24"/>
        </w:rPr>
      </w:pPr>
      <w:r>
        <w:rPr>
          <w:rFonts w:hint="eastAsia" w:ascii="宋体" w:hAnsi="宋体"/>
          <w:sz w:val="24"/>
          <w:szCs w:val="24"/>
        </w:rPr>
        <w:t>22.8 投标供应商之间不得相互串通投标报价，不得妨碍其他投标供应商的公平竞争，不得损害招标采购单位或者其他投标供应商的合法权益。</w:t>
      </w:r>
    </w:p>
    <w:p>
      <w:pPr>
        <w:spacing w:line="500" w:lineRule="exact"/>
        <w:rPr>
          <w:rFonts w:ascii="宋体" w:hAnsi="宋体"/>
          <w:sz w:val="24"/>
          <w:szCs w:val="24"/>
        </w:rPr>
      </w:pPr>
      <w:r>
        <w:rPr>
          <w:rFonts w:ascii="宋体" w:hAnsi="宋体"/>
          <w:sz w:val="24"/>
          <w:szCs w:val="24"/>
        </w:rPr>
        <w:tab/>
      </w:r>
      <w:r>
        <w:rPr>
          <w:rFonts w:hint="eastAsia" w:ascii="宋体" w:hAnsi="宋体"/>
          <w:sz w:val="24"/>
          <w:szCs w:val="24"/>
        </w:rPr>
        <w:t>22.9 投标供应商不得以向招标采购单位、评标委员会成员行贿或者采取其他不正当手段谋取中标。</w:t>
      </w:r>
    </w:p>
    <w:p>
      <w:pPr>
        <w:spacing w:line="500" w:lineRule="exact"/>
        <w:rPr>
          <w:rFonts w:ascii="宋体" w:hAnsi="宋体"/>
          <w:sz w:val="24"/>
          <w:szCs w:val="24"/>
        </w:rPr>
      </w:pPr>
    </w:p>
    <w:p>
      <w:pPr>
        <w:pStyle w:val="87"/>
        <w:spacing w:line="500" w:lineRule="exact"/>
        <w:jc w:val="center"/>
        <w:outlineLvl w:val="1"/>
        <w:rPr>
          <w:rFonts w:ascii="宋体" w:hAnsi="宋体"/>
          <w:color w:val="auto"/>
        </w:rPr>
      </w:pPr>
      <w:bookmarkStart w:id="8" w:name="_Toc15882"/>
      <w:r>
        <w:rPr>
          <w:rFonts w:hint="eastAsia" w:ascii="宋体" w:hAnsi="宋体"/>
          <w:color w:val="auto"/>
        </w:rPr>
        <w:t>六、评标、定标</w:t>
      </w:r>
      <w:bookmarkEnd w:id="8"/>
    </w:p>
    <w:p>
      <w:pPr>
        <w:pStyle w:val="87"/>
        <w:spacing w:line="500" w:lineRule="exact"/>
        <w:ind w:left="567"/>
        <w:jc w:val="both"/>
        <w:rPr>
          <w:rFonts w:ascii="宋体" w:hAnsi="宋体"/>
          <w:color w:val="auto"/>
        </w:rPr>
      </w:pPr>
      <w:bookmarkStart w:id="9" w:name="OLE_LINK1"/>
      <w:r>
        <w:rPr>
          <w:rFonts w:hint="eastAsia" w:ascii="宋体" w:hAnsi="宋体"/>
          <w:color w:val="auto"/>
        </w:rPr>
        <w:t>23.  评标</w:t>
      </w:r>
    </w:p>
    <w:p>
      <w:pPr>
        <w:spacing w:line="500" w:lineRule="exact"/>
        <w:ind w:firstLine="484" w:firstLineChars="200"/>
        <w:rPr>
          <w:rFonts w:ascii="宋体" w:hAnsi="宋体"/>
          <w:sz w:val="24"/>
          <w:szCs w:val="24"/>
        </w:rPr>
      </w:pPr>
      <w:r>
        <w:rPr>
          <w:rFonts w:hint="eastAsia" w:ascii="宋体" w:hAnsi="宋体"/>
          <w:sz w:val="24"/>
          <w:szCs w:val="24"/>
        </w:rPr>
        <w:t>23.1  评标委员会</w:t>
      </w:r>
    </w:p>
    <w:p>
      <w:pPr>
        <w:spacing w:line="500" w:lineRule="exact"/>
        <w:ind w:firstLine="561"/>
        <w:rPr>
          <w:rFonts w:ascii="宋体" w:hAnsi="宋体"/>
          <w:sz w:val="24"/>
          <w:szCs w:val="24"/>
        </w:rPr>
      </w:pPr>
      <w:r>
        <w:rPr>
          <w:rFonts w:hint="eastAsia" w:ascii="宋体" w:hAnsi="宋体"/>
          <w:sz w:val="24"/>
          <w:szCs w:val="24"/>
        </w:rPr>
        <w:t>23.1.1 评标委员会由采购人代表和有关技术、经济等方面的专家组成，成员人数为5人。</w:t>
      </w:r>
    </w:p>
    <w:p>
      <w:pPr>
        <w:spacing w:line="500" w:lineRule="exact"/>
        <w:ind w:firstLine="484" w:firstLineChars="200"/>
        <w:rPr>
          <w:rFonts w:ascii="宋体" w:hAnsi="宋体"/>
          <w:sz w:val="24"/>
          <w:szCs w:val="24"/>
        </w:rPr>
      </w:pPr>
      <w:r>
        <w:rPr>
          <w:rFonts w:hint="eastAsia" w:ascii="宋体" w:hAnsi="宋体"/>
          <w:sz w:val="24"/>
          <w:szCs w:val="24"/>
        </w:rPr>
        <w:t>23.1.2 招标采购单位就招标文件征询过意见的专家，不得再作为评标专家参加评标。采购人不得以专家身份参与本部门或者本单位采购项目的评标。采购代理机构工作人员不得参加由本机构代理的政府采购项目的评标。</w:t>
      </w:r>
    </w:p>
    <w:p>
      <w:pPr>
        <w:pStyle w:val="87"/>
        <w:spacing w:line="500" w:lineRule="exact"/>
        <w:ind w:firstLine="484" w:firstLineChars="200"/>
        <w:jc w:val="both"/>
        <w:rPr>
          <w:rFonts w:ascii="宋体" w:hAnsi="宋体"/>
          <w:color w:val="auto"/>
        </w:rPr>
      </w:pPr>
      <w:r>
        <w:rPr>
          <w:rFonts w:hint="eastAsia" w:ascii="宋体" w:hAnsi="宋体"/>
          <w:color w:val="auto"/>
        </w:rPr>
        <w:t>23.1.3  评标人员应认真执行《中华人民共和国政府采购法》及相关法规规定，同时维护采购人和投标供应商的合法权益</w:t>
      </w:r>
    </w:p>
    <w:p>
      <w:pPr>
        <w:spacing w:line="500" w:lineRule="exact"/>
        <w:ind w:firstLine="484" w:firstLineChars="200"/>
        <w:rPr>
          <w:rFonts w:ascii="宋体" w:hAnsi="宋体"/>
          <w:sz w:val="24"/>
          <w:szCs w:val="24"/>
        </w:rPr>
      </w:pPr>
      <w:r>
        <w:rPr>
          <w:rFonts w:hint="eastAsia" w:ascii="宋体" w:hAnsi="宋体"/>
          <w:sz w:val="24"/>
          <w:szCs w:val="24"/>
        </w:rPr>
        <w:t>23.1.4  评标的依据为招标文件和投标文件</w:t>
      </w:r>
    </w:p>
    <w:p>
      <w:pPr>
        <w:spacing w:line="500" w:lineRule="exact"/>
        <w:ind w:firstLine="484" w:firstLineChars="200"/>
        <w:rPr>
          <w:rFonts w:ascii="宋体" w:hAnsi="宋体"/>
          <w:sz w:val="24"/>
          <w:szCs w:val="24"/>
        </w:rPr>
      </w:pPr>
      <w:r>
        <w:rPr>
          <w:rFonts w:hint="eastAsia" w:ascii="宋体" w:hAnsi="宋体"/>
          <w:sz w:val="24"/>
          <w:szCs w:val="24"/>
        </w:rPr>
        <w:t>23.1.5  评标中各评委若发生意见分歧，通过书面表决形式，以少数服从多数为原则决定。</w:t>
      </w:r>
    </w:p>
    <w:p>
      <w:pPr>
        <w:pStyle w:val="87"/>
        <w:spacing w:line="500" w:lineRule="exact"/>
        <w:ind w:firstLine="567"/>
        <w:jc w:val="both"/>
        <w:rPr>
          <w:rFonts w:ascii="宋体" w:hAnsi="宋体"/>
          <w:color w:val="auto"/>
        </w:rPr>
      </w:pPr>
      <w:r>
        <w:rPr>
          <w:rFonts w:hint="eastAsia" w:ascii="宋体" w:hAnsi="宋体"/>
          <w:color w:val="auto"/>
        </w:rPr>
        <w:t>23.2 评标纪律</w:t>
      </w:r>
    </w:p>
    <w:p>
      <w:pPr>
        <w:pStyle w:val="87"/>
        <w:spacing w:line="500" w:lineRule="exact"/>
        <w:ind w:firstLine="567"/>
        <w:jc w:val="both"/>
        <w:rPr>
          <w:rFonts w:ascii="宋体" w:hAnsi="宋体"/>
          <w:color w:val="auto"/>
        </w:rPr>
      </w:pPr>
      <w:r>
        <w:rPr>
          <w:rFonts w:hint="eastAsia" w:ascii="宋体" w:hAnsi="宋体"/>
          <w:color w:val="auto"/>
        </w:rPr>
        <w:t>（一）不徇私情，不得明招暗定，杜绝不正之风。</w:t>
      </w:r>
    </w:p>
    <w:p>
      <w:pPr>
        <w:pStyle w:val="87"/>
        <w:spacing w:line="500" w:lineRule="exact"/>
        <w:ind w:firstLine="567"/>
        <w:jc w:val="both"/>
        <w:rPr>
          <w:rFonts w:ascii="宋体" w:hAnsi="宋体"/>
          <w:color w:val="auto"/>
        </w:rPr>
      </w:pPr>
      <w:r>
        <w:rPr>
          <w:rFonts w:hint="eastAsia" w:ascii="宋体" w:hAnsi="宋体"/>
          <w:color w:val="auto"/>
        </w:rPr>
        <w:t>（二）评标人员不得私自泄露评标内容。</w:t>
      </w:r>
    </w:p>
    <w:p>
      <w:pPr>
        <w:spacing w:line="500" w:lineRule="exact"/>
        <w:ind w:firstLine="538"/>
        <w:rPr>
          <w:rFonts w:ascii="宋体" w:hAnsi="宋体"/>
          <w:sz w:val="24"/>
          <w:szCs w:val="24"/>
        </w:rPr>
      </w:pPr>
      <w:r>
        <w:rPr>
          <w:rFonts w:hint="eastAsia" w:ascii="宋体" w:hAnsi="宋体"/>
          <w:sz w:val="24"/>
          <w:szCs w:val="24"/>
        </w:rPr>
        <w:t>（三）评标过程应严格遵守保密制度。开标后,直到授予投标供应商合同止，凡是属于审查、澄清、评价和比较的有关资料以及授标建议等均不得向投标供应商或其他无关的人员透露。</w:t>
      </w:r>
    </w:p>
    <w:p>
      <w:pPr>
        <w:spacing w:line="500" w:lineRule="exact"/>
        <w:ind w:firstLine="538"/>
        <w:rPr>
          <w:rFonts w:ascii="宋体" w:hAnsi="宋体"/>
          <w:sz w:val="24"/>
          <w:szCs w:val="24"/>
        </w:rPr>
      </w:pPr>
      <w:r>
        <w:rPr>
          <w:rFonts w:hint="eastAsia" w:ascii="宋体" w:hAnsi="宋体"/>
          <w:sz w:val="24"/>
          <w:szCs w:val="24"/>
        </w:rPr>
        <w:t>23.3 评标委员会成员应当履行的义务</w:t>
      </w:r>
    </w:p>
    <w:p>
      <w:pPr>
        <w:spacing w:line="500" w:lineRule="exact"/>
        <w:ind w:firstLine="538"/>
        <w:rPr>
          <w:rFonts w:ascii="宋体" w:hAnsi="宋体"/>
          <w:sz w:val="24"/>
          <w:szCs w:val="24"/>
        </w:rPr>
      </w:pPr>
      <w:r>
        <w:rPr>
          <w:rFonts w:hint="eastAsia" w:ascii="宋体" w:hAnsi="宋体"/>
          <w:sz w:val="24"/>
          <w:szCs w:val="24"/>
        </w:rPr>
        <w:t>（一）遵纪守法，客观、公正、廉洁地履行职责；</w:t>
      </w:r>
    </w:p>
    <w:p>
      <w:pPr>
        <w:spacing w:line="500" w:lineRule="exact"/>
        <w:ind w:firstLine="538"/>
        <w:rPr>
          <w:rFonts w:ascii="宋体" w:hAnsi="宋体"/>
          <w:sz w:val="24"/>
          <w:szCs w:val="24"/>
        </w:rPr>
      </w:pPr>
      <w:r>
        <w:rPr>
          <w:rFonts w:hint="eastAsia" w:ascii="宋体" w:hAnsi="宋体"/>
          <w:sz w:val="24"/>
          <w:szCs w:val="24"/>
        </w:rPr>
        <w:t>（二）按照招标文件规定的评标方法和评标标准进行评标，对评审意见承担个人责任；</w:t>
      </w:r>
    </w:p>
    <w:p>
      <w:pPr>
        <w:spacing w:line="500" w:lineRule="exact"/>
        <w:ind w:firstLine="538"/>
        <w:rPr>
          <w:rFonts w:ascii="宋体" w:hAnsi="宋体"/>
          <w:sz w:val="24"/>
          <w:szCs w:val="24"/>
        </w:rPr>
      </w:pPr>
      <w:r>
        <w:rPr>
          <w:rFonts w:hint="eastAsia" w:ascii="宋体" w:hAnsi="宋体"/>
          <w:sz w:val="24"/>
          <w:szCs w:val="24"/>
        </w:rPr>
        <w:t>（三）对评标过程和结果，以及供应商的商业秘密保密；</w:t>
      </w:r>
    </w:p>
    <w:p>
      <w:pPr>
        <w:spacing w:line="500" w:lineRule="exact"/>
        <w:ind w:firstLine="538"/>
        <w:rPr>
          <w:rFonts w:ascii="宋体" w:hAnsi="宋体"/>
          <w:sz w:val="24"/>
          <w:szCs w:val="24"/>
        </w:rPr>
      </w:pPr>
      <w:r>
        <w:rPr>
          <w:rFonts w:hint="eastAsia" w:ascii="宋体" w:hAnsi="宋体"/>
          <w:sz w:val="24"/>
          <w:szCs w:val="24"/>
        </w:rPr>
        <w:t>（四）参与评标报告的起草；</w:t>
      </w:r>
    </w:p>
    <w:p>
      <w:pPr>
        <w:spacing w:line="500" w:lineRule="exact"/>
        <w:ind w:firstLine="538"/>
        <w:rPr>
          <w:rFonts w:ascii="宋体" w:hAnsi="宋体"/>
          <w:sz w:val="24"/>
          <w:szCs w:val="24"/>
        </w:rPr>
      </w:pPr>
      <w:r>
        <w:rPr>
          <w:rFonts w:hint="eastAsia" w:ascii="宋体" w:hAnsi="宋体"/>
          <w:sz w:val="24"/>
          <w:szCs w:val="24"/>
        </w:rPr>
        <w:t>（五）配合财政部门的投诉处理工作；</w:t>
      </w:r>
    </w:p>
    <w:p>
      <w:pPr>
        <w:spacing w:line="500" w:lineRule="exact"/>
        <w:ind w:firstLine="538"/>
        <w:rPr>
          <w:rFonts w:ascii="宋体" w:hAnsi="宋体"/>
          <w:sz w:val="24"/>
          <w:szCs w:val="24"/>
        </w:rPr>
      </w:pPr>
      <w:r>
        <w:rPr>
          <w:rFonts w:hint="eastAsia" w:ascii="宋体" w:hAnsi="宋体"/>
          <w:sz w:val="24"/>
          <w:szCs w:val="24"/>
        </w:rPr>
        <w:t>（六）配合招标采购单位答复投标供应商提出的质疑。</w:t>
      </w:r>
    </w:p>
    <w:p>
      <w:pPr>
        <w:spacing w:line="500" w:lineRule="exact"/>
        <w:ind w:firstLine="484" w:firstLineChars="200"/>
        <w:rPr>
          <w:rFonts w:ascii="宋体" w:hAnsi="宋体"/>
          <w:sz w:val="24"/>
          <w:szCs w:val="24"/>
        </w:rPr>
      </w:pPr>
      <w:r>
        <w:rPr>
          <w:rFonts w:hint="eastAsia" w:ascii="宋体" w:hAnsi="宋体"/>
          <w:sz w:val="24"/>
          <w:szCs w:val="24"/>
        </w:rPr>
        <w:t>24.  评标原则</w:t>
      </w:r>
    </w:p>
    <w:p>
      <w:pPr>
        <w:spacing w:line="500" w:lineRule="exact"/>
        <w:ind w:firstLine="484" w:firstLineChars="200"/>
        <w:rPr>
          <w:rFonts w:ascii="宋体" w:hAnsi="宋体"/>
          <w:sz w:val="24"/>
          <w:szCs w:val="24"/>
        </w:rPr>
      </w:pPr>
      <w:r>
        <w:rPr>
          <w:rFonts w:hint="eastAsia" w:ascii="宋体" w:hAnsi="宋体"/>
          <w:sz w:val="24"/>
          <w:szCs w:val="24"/>
        </w:rPr>
        <w:t>24.1  评标活动遵循公平、公正、科学和择优的原则。</w:t>
      </w:r>
    </w:p>
    <w:p>
      <w:pPr>
        <w:pStyle w:val="87"/>
        <w:spacing w:line="500" w:lineRule="exact"/>
        <w:ind w:firstLine="567"/>
        <w:jc w:val="both"/>
        <w:rPr>
          <w:rFonts w:ascii="宋体" w:hAnsi="宋体"/>
          <w:color w:val="auto"/>
        </w:rPr>
      </w:pPr>
      <w:r>
        <w:rPr>
          <w:rFonts w:hint="eastAsia" w:ascii="宋体" w:hAnsi="宋体"/>
          <w:color w:val="auto"/>
        </w:rPr>
        <w:t>25.  评标方法</w:t>
      </w:r>
    </w:p>
    <w:p>
      <w:pPr>
        <w:pStyle w:val="157"/>
        <w:spacing w:line="500" w:lineRule="exact"/>
        <w:ind w:firstLine="567"/>
        <w:jc w:val="both"/>
        <w:rPr>
          <w:rFonts w:ascii="宋体" w:hAnsi="宋体"/>
          <w:color w:val="auto"/>
          <w:sz w:val="24"/>
        </w:rPr>
      </w:pPr>
      <w:r>
        <w:rPr>
          <w:rFonts w:hint="eastAsia" w:ascii="宋体" w:hAnsi="宋体"/>
          <w:color w:val="auto"/>
          <w:sz w:val="24"/>
        </w:rPr>
        <w:t>25.1  开标后评标委员会将审查投标文件是否完整、要求的保证金是否已提供、文件是否恰当签署、是否有计算错误,若投标供应商拒绝接受修正，其投标将可能被拒绝。</w:t>
      </w:r>
    </w:p>
    <w:p>
      <w:pPr>
        <w:pStyle w:val="157"/>
        <w:spacing w:line="500" w:lineRule="exact"/>
        <w:ind w:firstLine="567"/>
        <w:jc w:val="both"/>
        <w:rPr>
          <w:rFonts w:ascii="宋体" w:hAnsi="宋体"/>
          <w:color w:val="auto"/>
          <w:sz w:val="24"/>
        </w:rPr>
      </w:pPr>
      <w:r>
        <w:rPr>
          <w:rFonts w:hint="eastAsia" w:ascii="宋体" w:hAnsi="宋体"/>
          <w:color w:val="auto"/>
          <w:sz w:val="24"/>
        </w:rPr>
        <w:t xml:space="preserve">25.2  </w:t>
      </w:r>
      <w:r>
        <w:rPr>
          <w:rFonts w:hint="eastAsia" w:ascii="宋体" w:hAnsi="宋体"/>
          <w:color w:val="auto"/>
          <w:spacing w:val="-2"/>
          <w:sz w:val="24"/>
        </w:rPr>
        <w:t>在对投标文件进行详细评估之前，评标委员会将审查每一份投标文件是否对招标文件的要求做出了实质性的响应。实质性响应的投标应该是与招标文件的全部条款、条件和规格相符，而没有重大偏离。重大偏离系指影响到合同所有条款的供货范围、质量、性能和规格或在实质上与招标文件不一致，而且限制了买方的权力和投标供应商的义务。而纠正或承认这些偏离将会对该投标供应商和其它投标供应商合理的竞争地位产生不公正的影响</w:t>
      </w:r>
      <w:r>
        <w:rPr>
          <w:rFonts w:hint="eastAsia" w:ascii="宋体" w:hAnsi="宋体"/>
          <w:color w:val="auto"/>
          <w:sz w:val="24"/>
        </w:rPr>
        <w:t>。</w:t>
      </w:r>
    </w:p>
    <w:p>
      <w:pPr>
        <w:pStyle w:val="157"/>
        <w:spacing w:line="500" w:lineRule="exact"/>
        <w:ind w:firstLine="567"/>
        <w:jc w:val="both"/>
        <w:rPr>
          <w:rFonts w:ascii="宋体" w:hAnsi="宋体"/>
          <w:color w:val="auto"/>
          <w:sz w:val="24"/>
        </w:rPr>
      </w:pPr>
      <w:r>
        <w:rPr>
          <w:rFonts w:hint="eastAsia" w:ascii="宋体" w:hAnsi="宋体"/>
          <w:color w:val="auto"/>
          <w:sz w:val="24"/>
        </w:rPr>
        <w:t>25.3  评标委员会判断投标文件的响应性仅基于投标文件本身而不寻求外部证据。</w:t>
      </w:r>
    </w:p>
    <w:p>
      <w:pPr>
        <w:pStyle w:val="157"/>
        <w:spacing w:line="500" w:lineRule="exact"/>
        <w:ind w:firstLine="567"/>
        <w:jc w:val="both"/>
        <w:rPr>
          <w:rFonts w:ascii="宋体" w:hAnsi="宋体"/>
          <w:color w:val="auto"/>
          <w:sz w:val="24"/>
        </w:rPr>
      </w:pPr>
      <w:r>
        <w:rPr>
          <w:rFonts w:hint="eastAsia" w:ascii="宋体" w:hAnsi="宋体"/>
          <w:color w:val="auto"/>
          <w:sz w:val="24"/>
        </w:rPr>
        <w:t>25.4  对已被评标委员会确定为非响应性的投标，投标供应商不能通过修正或撤销不符之处而使其投标成为响应性投标。</w:t>
      </w:r>
    </w:p>
    <w:p>
      <w:pPr>
        <w:pStyle w:val="87"/>
        <w:spacing w:line="500" w:lineRule="exact"/>
        <w:ind w:firstLine="567"/>
        <w:jc w:val="both"/>
        <w:rPr>
          <w:rFonts w:ascii="宋体" w:hAnsi="宋体"/>
          <w:color w:val="auto"/>
        </w:rPr>
      </w:pPr>
      <w:r>
        <w:rPr>
          <w:rFonts w:hint="eastAsia" w:ascii="宋体" w:hAnsi="宋体"/>
          <w:color w:val="auto"/>
        </w:rPr>
        <w:t>25.5  评标委员会允许投标中有微小的不正规、不一致或不规则，而该微小之处不构成重大偏离。</w:t>
      </w:r>
    </w:p>
    <w:p>
      <w:pPr>
        <w:pStyle w:val="87"/>
        <w:spacing w:line="500" w:lineRule="exact"/>
        <w:ind w:firstLine="567"/>
        <w:jc w:val="both"/>
        <w:rPr>
          <w:rFonts w:ascii="宋体" w:hAnsi="宋体"/>
          <w:b/>
          <w:color w:val="auto"/>
        </w:rPr>
      </w:pPr>
      <w:r>
        <w:rPr>
          <w:rFonts w:hint="eastAsia" w:ascii="宋体" w:hAnsi="宋体"/>
          <w:b/>
          <w:color w:val="auto"/>
        </w:rPr>
        <w:t>25.6  本项目将采用：综合评分法</w:t>
      </w:r>
    </w:p>
    <w:p>
      <w:pPr>
        <w:spacing w:line="500" w:lineRule="exact"/>
        <w:ind w:firstLine="484" w:firstLineChars="200"/>
        <w:rPr>
          <w:rFonts w:ascii="宋体" w:hAnsi="宋体"/>
          <w:sz w:val="24"/>
          <w:szCs w:val="24"/>
        </w:rPr>
      </w:pPr>
      <w:r>
        <w:rPr>
          <w:rFonts w:hint="eastAsia" w:ascii="宋体" w:hAnsi="宋体"/>
          <w:kern w:val="0"/>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jc w:val="center"/>
        <w:rPr>
          <w:rFonts w:ascii="黑体" w:hAnsi="黑体" w:eastAsia="黑体" w:cs="黑体"/>
          <w:sz w:val="30"/>
          <w:szCs w:val="30"/>
        </w:rPr>
      </w:pPr>
      <w:r>
        <w:rPr>
          <w:rFonts w:hint="eastAsia" w:ascii="黑体" w:hAnsi="黑体" w:eastAsia="黑体" w:cs="黑体"/>
          <w:kern w:val="0"/>
          <w:sz w:val="30"/>
          <w:szCs w:val="30"/>
        </w:rPr>
        <w:t>初步审查表</w:t>
      </w:r>
    </w:p>
    <w:tbl>
      <w:tblPr>
        <w:tblStyle w:val="40"/>
        <w:tblW w:w="5000" w:type="pct"/>
        <w:jc w:val="center"/>
        <w:tblLayout w:type="autofit"/>
        <w:tblCellMar>
          <w:top w:w="15" w:type="dxa"/>
          <w:left w:w="15" w:type="dxa"/>
          <w:bottom w:w="15" w:type="dxa"/>
          <w:right w:w="15" w:type="dxa"/>
        </w:tblCellMar>
      </w:tblPr>
      <w:tblGrid>
        <w:gridCol w:w="437"/>
        <w:gridCol w:w="8948"/>
      </w:tblGrid>
      <w:tr>
        <w:tblPrEx>
          <w:tblCellMar>
            <w:top w:w="15" w:type="dxa"/>
            <w:left w:w="15" w:type="dxa"/>
            <w:bottom w:w="15" w:type="dxa"/>
            <w:right w:w="15" w:type="dxa"/>
          </w:tblCellMar>
        </w:tblPrEx>
        <w:trPr>
          <w:trHeight w:val="988" w:hRule="atLeast"/>
          <w:jc w:val="center"/>
        </w:trPr>
        <w:tc>
          <w:tcPr>
            <w:tcW w:w="23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项目</w:t>
            </w:r>
          </w:p>
        </w:tc>
        <w:tc>
          <w:tcPr>
            <w:tcW w:w="4767" w:type="pct"/>
            <w:tcBorders>
              <w:top w:val="single" w:color="000000" w:sz="4" w:space="0"/>
              <w:left w:val="single" w:color="000000" w:sz="4" w:space="0"/>
              <w:bottom w:val="single" w:color="000000" w:sz="4" w:space="0"/>
              <w:right w:val="single" w:color="000000" w:sz="4" w:space="0"/>
              <w:tl2br w:val="single" w:color="000000" w:sz="4" w:space="0"/>
            </w:tcBorders>
          </w:tcPr>
          <w:p>
            <w:pPr>
              <w:widowControl/>
              <w:rPr>
                <w:rFonts w:ascii="宋体" w:hAnsi="宋体" w:cs="宋体"/>
                <w:kern w:val="0"/>
                <w:sz w:val="24"/>
              </w:rPr>
            </w:pPr>
            <w:r>
              <w:rPr>
                <w:rFonts w:hint="eastAsia" w:ascii="宋体" w:hAnsi="宋体" w:cs="宋体"/>
                <w:kern w:val="0"/>
                <w:sz w:val="24"/>
              </w:rPr>
              <w:t xml:space="preserve">                                                       投标单位</w:t>
            </w:r>
          </w:p>
          <w:p>
            <w:pPr>
              <w:widowControl/>
              <w:rPr>
                <w:rFonts w:ascii="宋体" w:hAnsi="宋体" w:cs="宋体"/>
                <w:sz w:val="24"/>
              </w:rPr>
            </w:pPr>
            <w:r>
              <w:rPr>
                <w:rFonts w:hint="eastAsia" w:ascii="宋体" w:hAnsi="宋体" w:cs="宋体"/>
                <w:kern w:val="0"/>
                <w:sz w:val="24"/>
              </w:rPr>
              <w:t>内 容</w:t>
            </w:r>
          </w:p>
        </w:tc>
      </w:tr>
      <w:tr>
        <w:tblPrEx>
          <w:tblCellMar>
            <w:top w:w="15" w:type="dxa"/>
            <w:left w:w="15" w:type="dxa"/>
            <w:bottom w:w="15" w:type="dxa"/>
            <w:right w:w="15" w:type="dxa"/>
          </w:tblCellMar>
        </w:tblPrEx>
        <w:trPr>
          <w:trHeight w:val="392" w:hRule="atLeast"/>
          <w:jc w:val="center"/>
        </w:trPr>
        <w:tc>
          <w:tcPr>
            <w:tcW w:w="23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资格           性                审                    查</w:t>
            </w:r>
          </w:p>
        </w:tc>
        <w:tc>
          <w:tcPr>
            <w:tcW w:w="476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sz w:val="24"/>
              </w:rPr>
              <w:t>投标人在“信用中国”（www.creditchina.gov.cn）和中国政府采购网（www.ccgp.gov.cn）网站上未被列入失信被执行人、重大税收违法案件当事人名单以及政府采购严重违法失信行为记录名单</w:t>
            </w:r>
          </w:p>
        </w:tc>
      </w:tr>
      <w:tr>
        <w:tblPrEx>
          <w:tblCellMar>
            <w:top w:w="15" w:type="dxa"/>
            <w:left w:w="15" w:type="dxa"/>
            <w:bottom w:w="15" w:type="dxa"/>
            <w:right w:w="15" w:type="dxa"/>
          </w:tblCellMar>
        </w:tblPrEx>
        <w:trPr>
          <w:trHeight w:val="660" w:hRule="atLeast"/>
          <w:jc w:val="center"/>
        </w:trPr>
        <w:tc>
          <w:tcPr>
            <w:tcW w:w="233" w:type="pct"/>
            <w:vMerge w:val="continue"/>
            <w:tcBorders>
              <w:left w:val="single" w:color="000000" w:sz="4" w:space="0"/>
              <w:right w:val="single" w:color="000000" w:sz="4" w:space="0"/>
            </w:tcBorders>
            <w:vAlign w:val="center"/>
          </w:tcPr>
          <w:p>
            <w:pPr>
              <w:jc w:val="center"/>
              <w:rPr>
                <w:rFonts w:ascii="宋体" w:hAnsi="宋体" w:cs="宋体"/>
                <w:sz w:val="24"/>
              </w:rPr>
            </w:pPr>
          </w:p>
        </w:tc>
        <w:tc>
          <w:tcPr>
            <w:tcW w:w="476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sz w:val="24"/>
              </w:rPr>
              <w:t>提供有效期内且年检合格的具有相应经营范围的营业执照、组织机构代码证、税务登记证副本原件或三证合一的副本</w:t>
            </w:r>
          </w:p>
        </w:tc>
      </w:tr>
      <w:tr>
        <w:tblPrEx>
          <w:tblCellMar>
            <w:top w:w="15" w:type="dxa"/>
            <w:left w:w="15" w:type="dxa"/>
            <w:bottom w:w="15" w:type="dxa"/>
            <w:right w:w="15" w:type="dxa"/>
          </w:tblCellMar>
        </w:tblPrEx>
        <w:trPr>
          <w:trHeight w:val="390" w:hRule="atLeast"/>
          <w:jc w:val="center"/>
        </w:trPr>
        <w:tc>
          <w:tcPr>
            <w:tcW w:w="233" w:type="pct"/>
            <w:vMerge w:val="continue"/>
            <w:tcBorders>
              <w:left w:val="single" w:color="000000" w:sz="4" w:space="0"/>
              <w:right w:val="single" w:color="000000" w:sz="4" w:space="0"/>
            </w:tcBorders>
            <w:vAlign w:val="center"/>
          </w:tcPr>
          <w:p>
            <w:pPr>
              <w:jc w:val="center"/>
              <w:rPr>
                <w:rFonts w:ascii="宋体" w:hAnsi="宋体" w:cs="宋体"/>
                <w:sz w:val="24"/>
              </w:rPr>
            </w:pPr>
          </w:p>
        </w:tc>
        <w:tc>
          <w:tcPr>
            <w:tcW w:w="476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sz w:val="24"/>
              </w:rPr>
              <w:t>法定代表人或授权委托人授权委托书</w:t>
            </w:r>
          </w:p>
        </w:tc>
      </w:tr>
      <w:tr>
        <w:tblPrEx>
          <w:tblCellMar>
            <w:top w:w="15" w:type="dxa"/>
            <w:left w:w="15" w:type="dxa"/>
            <w:bottom w:w="15" w:type="dxa"/>
            <w:right w:w="15" w:type="dxa"/>
          </w:tblCellMar>
        </w:tblPrEx>
        <w:trPr>
          <w:trHeight w:val="390" w:hRule="atLeast"/>
          <w:jc w:val="center"/>
        </w:trPr>
        <w:tc>
          <w:tcPr>
            <w:tcW w:w="233" w:type="pct"/>
            <w:vMerge w:val="continue"/>
            <w:tcBorders>
              <w:left w:val="single" w:color="000000" w:sz="4" w:space="0"/>
              <w:right w:val="single" w:color="000000" w:sz="4" w:space="0"/>
            </w:tcBorders>
            <w:vAlign w:val="center"/>
          </w:tcPr>
          <w:p>
            <w:pPr>
              <w:jc w:val="center"/>
              <w:rPr>
                <w:rFonts w:ascii="宋体" w:hAnsi="宋体" w:cs="宋体"/>
                <w:sz w:val="24"/>
              </w:rPr>
            </w:pPr>
          </w:p>
        </w:tc>
        <w:tc>
          <w:tcPr>
            <w:tcW w:w="476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sz w:val="24"/>
              </w:rPr>
              <w:t>法定代表人身份证或委托代理人身份证</w:t>
            </w:r>
          </w:p>
        </w:tc>
      </w:tr>
      <w:tr>
        <w:tblPrEx>
          <w:tblCellMar>
            <w:top w:w="15" w:type="dxa"/>
            <w:left w:w="15" w:type="dxa"/>
            <w:bottom w:w="15" w:type="dxa"/>
            <w:right w:w="15" w:type="dxa"/>
          </w:tblCellMar>
        </w:tblPrEx>
        <w:trPr>
          <w:trHeight w:val="405" w:hRule="atLeast"/>
          <w:jc w:val="center"/>
        </w:trPr>
        <w:tc>
          <w:tcPr>
            <w:tcW w:w="233" w:type="pct"/>
            <w:vMerge w:val="continue"/>
            <w:tcBorders>
              <w:left w:val="single" w:color="000000" w:sz="4" w:space="0"/>
              <w:right w:val="single" w:color="000000" w:sz="4" w:space="0"/>
            </w:tcBorders>
            <w:vAlign w:val="center"/>
          </w:tcPr>
          <w:p>
            <w:pPr>
              <w:jc w:val="center"/>
              <w:rPr>
                <w:rFonts w:ascii="宋体" w:hAnsi="宋体" w:cs="宋体"/>
                <w:sz w:val="24"/>
              </w:rPr>
            </w:pPr>
          </w:p>
        </w:tc>
        <w:tc>
          <w:tcPr>
            <w:tcW w:w="476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sz w:val="24"/>
              </w:rPr>
              <w:t>投标保证金打款凭证</w:t>
            </w:r>
          </w:p>
        </w:tc>
      </w:tr>
      <w:tr>
        <w:tblPrEx>
          <w:tblCellMar>
            <w:top w:w="15" w:type="dxa"/>
            <w:left w:w="15" w:type="dxa"/>
            <w:bottom w:w="15" w:type="dxa"/>
            <w:right w:w="15" w:type="dxa"/>
          </w:tblCellMar>
        </w:tblPrEx>
        <w:trPr>
          <w:trHeight w:val="435" w:hRule="atLeast"/>
          <w:jc w:val="center"/>
        </w:trPr>
        <w:tc>
          <w:tcPr>
            <w:tcW w:w="23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符合性审查</w:t>
            </w:r>
          </w:p>
        </w:tc>
        <w:tc>
          <w:tcPr>
            <w:tcW w:w="4767" w:type="pct"/>
            <w:tcBorders>
              <w:top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 w:val="24"/>
              </w:rPr>
            </w:pPr>
            <w:r>
              <w:rPr>
                <w:rFonts w:hint="eastAsia" w:ascii="宋体" w:hAnsi="宋体" w:cs="宋体"/>
                <w:kern w:val="0"/>
                <w:sz w:val="24"/>
              </w:rPr>
              <w:t>投标文件按照招标文件规定的份数、内容编制且字迹清晰可辨的</w:t>
            </w:r>
          </w:p>
        </w:tc>
      </w:tr>
      <w:tr>
        <w:tblPrEx>
          <w:tblCellMar>
            <w:top w:w="15" w:type="dxa"/>
            <w:left w:w="15" w:type="dxa"/>
            <w:bottom w:w="15" w:type="dxa"/>
            <w:right w:w="15" w:type="dxa"/>
          </w:tblCellMar>
        </w:tblPrEx>
        <w:trPr>
          <w:trHeight w:val="465"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4767" w:type="pct"/>
            <w:tcBorders>
              <w:top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投标人的报价未超出采购预算金额的</w:t>
            </w:r>
          </w:p>
        </w:tc>
      </w:tr>
      <w:tr>
        <w:tblPrEx>
          <w:tblCellMar>
            <w:top w:w="15" w:type="dxa"/>
            <w:left w:w="15" w:type="dxa"/>
            <w:bottom w:w="15" w:type="dxa"/>
            <w:right w:w="15" w:type="dxa"/>
          </w:tblCellMar>
        </w:tblPrEx>
        <w:trPr>
          <w:trHeight w:val="307"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4767" w:type="pct"/>
            <w:tcBorders>
              <w:top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投标文件有效期满足的</w:t>
            </w:r>
          </w:p>
        </w:tc>
      </w:tr>
      <w:tr>
        <w:tblPrEx>
          <w:tblCellMar>
            <w:top w:w="15" w:type="dxa"/>
            <w:left w:w="15" w:type="dxa"/>
            <w:bottom w:w="15" w:type="dxa"/>
            <w:right w:w="15" w:type="dxa"/>
          </w:tblCellMar>
        </w:tblPrEx>
        <w:trPr>
          <w:trHeight w:val="390"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4767" w:type="pct"/>
            <w:tcBorders>
              <w:top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投标人能按招标文件要求将货物送达采购人指定地点</w:t>
            </w:r>
          </w:p>
        </w:tc>
      </w:tr>
      <w:tr>
        <w:tblPrEx>
          <w:tblCellMar>
            <w:top w:w="15" w:type="dxa"/>
            <w:left w:w="15" w:type="dxa"/>
            <w:bottom w:w="15" w:type="dxa"/>
            <w:right w:w="15" w:type="dxa"/>
          </w:tblCellMar>
        </w:tblPrEx>
        <w:trPr>
          <w:trHeight w:val="394"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4767" w:type="pct"/>
            <w:tcBorders>
              <w:top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投标文件内附有采购人不能接受的条款的</w:t>
            </w:r>
          </w:p>
        </w:tc>
      </w:tr>
      <w:tr>
        <w:tblPrEx>
          <w:tblCellMar>
            <w:top w:w="15" w:type="dxa"/>
            <w:left w:w="15" w:type="dxa"/>
            <w:bottom w:w="15" w:type="dxa"/>
            <w:right w:w="15" w:type="dxa"/>
          </w:tblCellMar>
        </w:tblPrEx>
        <w:trPr>
          <w:trHeight w:val="231"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476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投标文件中的内容符合法律、规章、规范性文件和招标文件规定</w:t>
            </w:r>
          </w:p>
        </w:tc>
      </w:tr>
      <w:tr>
        <w:tblPrEx>
          <w:tblCellMar>
            <w:top w:w="15" w:type="dxa"/>
            <w:left w:w="15" w:type="dxa"/>
            <w:bottom w:w="15" w:type="dxa"/>
            <w:right w:w="15" w:type="dxa"/>
          </w:tblCellMar>
        </w:tblPrEx>
        <w:trPr>
          <w:trHeight w:val="480" w:hRule="atLeast"/>
          <w:jc w:val="center"/>
        </w:trPr>
        <w:tc>
          <w:tcPr>
            <w:tcW w:w="23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476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sz w:val="24"/>
              </w:rPr>
              <w:t>投标文件未按规定装订，未按招标文件格式要求正确签署的</w:t>
            </w:r>
          </w:p>
        </w:tc>
      </w:tr>
    </w:tbl>
    <w:p>
      <w:pPr>
        <w:jc w:val="right"/>
        <w:rPr>
          <w:rFonts w:ascii="宋体" w:hAnsi="宋体"/>
          <w:kern w:val="0"/>
          <w:sz w:val="24"/>
          <w:szCs w:val="24"/>
        </w:rPr>
      </w:pPr>
    </w:p>
    <w:p>
      <w:pPr>
        <w:spacing w:line="500" w:lineRule="exact"/>
        <w:ind w:firstLine="484" w:firstLineChars="200"/>
        <w:rPr>
          <w:rFonts w:ascii="宋体" w:hAnsi="宋体"/>
          <w:kern w:val="0"/>
          <w:sz w:val="24"/>
          <w:szCs w:val="24"/>
        </w:rPr>
      </w:pPr>
      <w:r>
        <w:rPr>
          <w:rFonts w:hint="eastAsia" w:ascii="宋体" w:hAnsi="宋体"/>
          <w:kern w:val="0"/>
          <w:sz w:val="24"/>
          <w:szCs w:val="24"/>
        </w:rPr>
        <w:t>综合评分法：评标委员会将采用综合评分法对投标文件所载明的商务标、技术标等内容进行打分，依据得分从高到低的顺序最终确定中标供应商。投标单位最终得分=报价得分+技术标得分+商务标得分，具体评分标准如下：</w:t>
      </w:r>
    </w:p>
    <w:tbl>
      <w:tblPr>
        <w:tblStyle w:val="40"/>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4"/>
        <w:gridCol w:w="2831"/>
        <w:gridCol w:w="1139"/>
        <w:gridCol w:w="4837"/>
        <w:gridCol w:w="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30" w:type="pct"/>
          <w:trHeight w:val="623"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序号</w:t>
            </w:r>
          </w:p>
        </w:tc>
        <w:tc>
          <w:tcPr>
            <w:tcW w:w="1479"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评分内容</w:t>
            </w:r>
          </w:p>
        </w:tc>
        <w:tc>
          <w:tcPr>
            <w:tcW w:w="3122" w:type="pct"/>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评分方法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30" w:type="pct"/>
          <w:trHeight w:val="416"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1</w:t>
            </w:r>
          </w:p>
        </w:tc>
        <w:tc>
          <w:tcPr>
            <w:tcW w:w="1479"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仿宋_GB2312"/>
                <w:b/>
                <w:bCs/>
                <w:sz w:val="24"/>
                <w:szCs w:val="24"/>
              </w:rPr>
            </w:pPr>
            <w:r>
              <w:rPr>
                <w:rFonts w:hint="eastAsia" w:ascii="宋体" w:hAnsi="宋体" w:cs="仿宋_GB2312"/>
                <w:b/>
                <w:bCs/>
                <w:sz w:val="24"/>
                <w:szCs w:val="24"/>
              </w:rPr>
              <w:t>报价得分</w:t>
            </w:r>
          </w:p>
          <w:p>
            <w:pPr>
              <w:spacing w:line="440" w:lineRule="exact"/>
              <w:jc w:val="center"/>
              <w:rPr>
                <w:rFonts w:ascii="宋体" w:hAnsi="宋体"/>
                <w:sz w:val="24"/>
                <w:szCs w:val="24"/>
              </w:rPr>
            </w:pPr>
            <w:r>
              <w:rPr>
                <w:rFonts w:hint="eastAsia" w:ascii="宋体" w:hAnsi="宋体" w:cs="仿宋_GB2312"/>
                <w:b/>
                <w:bCs/>
                <w:sz w:val="24"/>
                <w:szCs w:val="24"/>
                <w:lang w:val="en-US" w:eastAsia="zh-CN"/>
              </w:rPr>
              <w:t>30</w:t>
            </w:r>
            <w:r>
              <w:rPr>
                <w:rFonts w:hint="eastAsia" w:ascii="宋体" w:hAnsi="宋体" w:cs="仿宋_GB2312"/>
                <w:b/>
                <w:bCs/>
                <w:sz w:val="24"/>
                <w:szCs w:val="24"/>
              </w:rPr>
              <w:t>分</w:t>
            </w:r>
          </w:p>
        </w:tc>
        <w:tc>
          <w:tcPr>
            <w:tcW w:w="3122" w:type="pct"/>
            <w:gridSpan w:val="2"/>
            <w:tcBorders>
              <w:top w:val="single" w:color="auto" w:sz="4" w:space="0"/>
              <w:left w:val="single" w:color="auto" w:sz="4" w:space="0"/>
              <w:bottom w:val="single" w:color="auto" w:sz="4" w:space="0"/>
              <w:right w:val="single" w:color="auto" w:sz="4" w:space="0"/>
            </w:tcBorders>
            <w:vAlign w:val="center"/>
          </w:tcPr>
          <w:p>
            <w:pPr>
              <w:pStyle w:val="23"/>
              <w:snapToGrid w:val="0"/>
              <w:spacing w:line="500" w:lineRule="exact"/>
              <w:rPr>
                <w:rFonts w:cs="仿宋_GB2312"/>
                <w:sz w:val="24"/>
                <w:szCs w:val="24"/>
              </w:rPr>
            </w:pPr>
            <w:r>
              <w:rPr>
                <w:rFonts w:hint="eastAsia"/>
                <w:sz w:val="24"/>
                <w:szCs w:val="24"/>
              </w:rPr>
              <w:t>对于商务部分（投标报价）的评分，按以下方法进行：价格分统一采用低价优先法计算，即满足招标文件要求且投标价格最低的投标报价为评标基准价，其价格分为满分。其他投标人的价格分统一按照上述公式计算。</w:t>
            </w:r>
          </w:p>
          <w:p>
            <w:pPr>
              <w:adjustRightInd w:val="0"/>
              <w:snapToGrid w:val="0"/>
              <w:spacing w:line="440" w:lineRule="exact"/>
              <w:jc w:val="left"/>
              <w:rPr>
                <w:rFonts w:ascii="宋体" w:hAnsi="宋体" w:cs="仿宋_GB2312"/>
                <w:sz w:val="24"/>
                <w:szCs w:val="24"/>
              </w:rPr>
            </w:pPr>
            <w:r>
              <w:rPr>
                <w:rFonts w:hint="eastAsia" w:ascii="宋体" w:hAnsi="宋体" w:cs="仿宋_GB2312"/>
                <w:sz w:val="24"/>
                <w:szCs w:val="24"/>
              </w:rPr>
              <w:t>1、基准价计算方法：</w:t>
            </w:r>
            <w:r>
              <w:rPr>
                <w:rFonts w:hint="eastAsia"/>
                <w:sz w:val="24"/>
                <w:szCs w:val="24"/>
              </w:rPr>
              <w:t>采用低价优先法计算，即满足招标文件要求且投标价格最低的投标报价为评标基准价</w:t>
            </w:r>
            <w:r>
              <w:rPr>
                <w:rFonts w:hint="eastAsia" w:ascii="宋体" w:hAnsi="宋体" w:cs="仿宋_GB2312"/>
                <w:sz w:val="24"/>
                <w:szCs w:val="24"/>
              </w:rPr>
              <w:t>。</w:t>
            </w:r>
          </w:p>
          <w:p>
            <w:pPr>
              <w:adjustRightInd w:val="0"/>
              <w:snapToGrid w:val="0"/>
              <w:spacing w:line="440" w:lineRule="exact"/>
              <w:jc w:val="left"/>
              <w:rPr>
                <w:rFonts w:ascii="宋体" w:hAnsi="宋体" w:cs="仿宋_GB2312"/>
                <w:sz w:val="24"/>
                <w:szCs w:val="24"/>
              </w:rPr>
            </w:pPr>
            <w:r>
              <w:rPr>
                <w:rFonts w:hint="eastAsia" w:ascii="宋体" w:hAnsi="宋体" w:cs="仿宋_GB2312"/>
                <w:sz w:val="24"/>
                <w:szCs w:val="24"/>
              </w:rPr>
              <w:t>2、计算得分公式：</w:t>
            </w:r>
          </w:p>
          <w:p>
            <w:pPr>
              <w:adjustRightInd w:val="0"/>
              <w:snapToGrid w:val="0"/>
              <w:spacing w:line="440" w:lineRule="exact"/>
              <w:jc w:val="left"/>
              <w:rPr>
                <w:rFonts w:ascii="宋体" w:hAnsi="宋体"/>
                <w:sz w:val="24"/>
                <w:szCs w:val="24"/>
              </w:rPr>
            </w:pPr>
            <w:r>
              <w:rPr>
                <w:rFonts w:hint="eastAsia"/>
                <w:sz w:val="24"/>
                <w:szCs w:val="24"/>
              </w:rPr>
              <w:t>报价得分=基准价/投标报价*100分*</w:t>
            </w:r>
            <w:r>
              <w:rPr>
                <w:rFonts w:hint="eastAsia"/>
                <w:sz w:val="24"/>
                <w:szCs w:val="24"/>
                <w:lang w:val="en-US" w:eastAsia="zh-CN"/>
              </w:rPr>
              <w:t>30</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30" w:type="pct"/>
          <w:trHeight w:val="70"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szCs w:val="24"/>
              </w:rPr>
            </w:pPr>
          </w:p>
        </w:tc>
        <w:tc>
          <w:tcPr>
            <w:tcW w:w="1479"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szCs w:val="24"/>
              </w:rPr>
            </w:pPr>
            <w:r>
              <w:rPr>
                <w:rFonts w:hint="eastAsia" w:ascii="宋体" w:hAnsi="宋体" w:cs="仿宋_GB2312"/>
                <w:b/>
                <w:bCs/>
                <w:sz w:val="24"/>
                <w:szCs w:val="24"/>
              </w:rPr>
              <w:t>属于中小企业评审优惠内容及价格扣除幅度</w:t>
            </w:r>
          </w:p>
        </w:tc>
        <w:tc>
          <w:tcPr>
            <w:tcW w:w="3122"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ascii="宋体" w:hAnsi="宋体" w:cs="仿宋_GB2312"/>
                <w:sz w:val="24"/>
                <w:szCs w:val="24"/>
              </w:rPr>
            </w:pPr>
            <w:r>
              <w:rPr>
                <w:rFonts w:hint="eastAsia" w:ascii="宋体" w:hAnsi="宋体" w:cs="仿宋_GB2312"/>
                <w:sz w:val="24"/>
                <w:szCs w:val="24"/>
              </w:rPr>
              <w:t>根据中华人民共和国财政部、中华人民共和国工业和信息化部《政府采购促进中小企业发展暂行办法》（财库[2011]181号）文件的规定，属于中小企业评审优惠内容及幅度如下：</w:t>
            </w:r>
          </w:p>
          <w:p>
            <w:pPr>
              <w:adjustRightInd w:val="0"/>
              <w:snapToGrid w:val="0"/>
              <w:spacing w:line="440" w:lineRule="exact"/>
              <w:jc w:val="left"/>
              <w:rPr>
                <w:rFonts w:ascii="宋体" w:hAnsi="宋体" w:cs="仿宋_GB2312"/>
                <w:sz w:val="24"/>
                <w:szCs w:val="24"/>
              </w:rPr>
            </w:pPr>
            <w:r>
              <w:rPr>
                <w:rFonts w:hint="eastAsia" w:ascii="宋体" w:hAnsi="宋体" w:cs="仿宋_GB2312"/>
                <w:sz w:val="24"/>
                <w:szCs w:val="24"/>
              </w:rPr>
              <w:t>（一）中小企业（含中型、小型、微型企业）应当同时符合以下条件：</w:t>
            </w:r>
          </w:p>
          <w:p>
            <w:pPr>
              <w:adjustRightInd w:val="0"/>
              <w:snapToGrid w:val="0"/>
              <w:spacing w:line="440" w:lineRule="exact"/>
              <w:jc w:val="left"/>
              <w:rPr>
                <w:rFonts w:ascii="宋体" w:hAnsi="宋体" w:cs="仿宋_GB2312"/>
                <w:sz w:val="24"/>
                <w:szCs w:val="24"/>
              </w:rPr>
            </w:pPr>
            <w:r>
              <w:rPr>
                <w:rFonts w:hint="eastAsia" w:ascii="宋体" w:hAnsi="宋体" w:cs="仿宋_GB2312"/>
                <w:sz w:val="24"/>
                <w:szCs w:val="24"/>
              </w:rPr>
              <w:t>①符合中小企业划分标准（按《关于印发中小企业划型标准规定的通知》（工信部联企业〔2011〕300号）执行）；</w:t>
            </w:r>
          </w:p>
          <w:p>
            <w:pPr>
              <w:adjustRightInd w:val="0"/>
              <w:snapToGrid w:val="0"/>
              <w:spacing w:line="440" w:lineRule="exact"/>
              <w:jc w:val="left"/>
              <w:rPr>
                <w:rFonts w:ascii="宋体" w:hAnsi="宋体" w:cs="仿宋_GB2312"/>
                <w:sz w:val="24"/>
                <w:szCs w:val="24"/>
              </w:rPr>
            </w:pPr>
            <w:r>
              <w:rPr>
                <w:rFonts w:hint="eastAsia" w:ascii="宋体" w:hAnsi="宋体" w:cs="仿宋_GB2312"/>
                <w:sz w:val="24"/>
                <w:szCs w:val="24"/>
              </w:rPr>
              <w:t>②提供本企业制造的货物、承担的项目或者服务，或者提供其他中小企业制造的货物。本项所称货物不包括使用大型企业注册商标的货物；</w:t>
            </w:r>
          </w:p>
          <w:p>
            <w:pPr>
              <w:adjustRightInd w:val="0"/>
              <w:snapToGrid w:val="0"/>
              <w:spacing w:line="440" w:lineRule="exact"/>
              <w:jc w:val="left"/>
              <w:rPr>
                <w:rFonts w:ascii="宋体" w:hAnsi="宋体" w:cs="仿宋_GB2312"/>
                <w:sz w:val="24"/>
                <w:szCs w:val="24"/>
              </w:rPr>
            </w:pPr>
            <w:r>
              <w:rPr>
                <w:rFonts w:hint="eastAsia" w:ascii="宋体" w:hAnsi="宋体" w:cs="仿宋_GB2312"/>
                <w:sz w:val="24"/>
                <w:szCs w:val="24"/>
              </w:rPr>
              <w:t>③小型、微型企业提供中型企业制造的货物的，视同为中型企业。</w:t>
            </w:r>
          </w:p>
          <w:p>
            <w:pPr>
              <w:adjustRightInd w:val="0"/>
              <w:snapToGrid w:val="0"/>
              <w:spacing w:line="440" w:lineRule="exact"/>
              <w:jc w:val="left"/>
              <w:rPr>
                <w:rFonts w:ascii="宋体" w:hAnsi="宋体" w:cs="仿宋_GB2312"/>
                <w:sz w:val="24"/>
                <w:szCs w:val="24"/>
              </w:rPr>
            </w:pPr>
            <w:r>
              <w:rPr>
                <w:rFonts w:hint="eastAsia" w:ascii="宋体" w:hAnsi="宋体" w:cs="仿宋_GB2312"/>
                <w:sz w:val="24"/>
                <w:szCs w:val="24"/>
              </w:rPr>
              <w:t>（二）价格扣除办法：</w:t>
            </w:r>
          </w:p>
          <w:p>
            <w:pPr>
              <w:adjustRightInd w:val="0"/>
              <w:snapToGrid w:val="0"/>
              <w:spacing w:line="440" w:lineRule="exact"/>
              <w:jc w:val="left"/>
              <w:rPr>
                <w:rFonts w:ascii="宋体" w:hAnsi="宋体" w:cs="仿宋_GB2312"/>
                <w:sz w:val="24"/>
                <w:szCs w:val="24"/>
              </w:rPr>
            </w:pPr>
            <w:r>
              <w:rPr>
                <w:rFonts w:hint="eastAsia" w:ascii="宋体" w:hAnsi="宋体" w:cs="仿宋_GB2312"/>
                <w:sz w:val="24"/>
                <w:szCs w:val="24"/>
              </w:rPr>
              <w:t>①对于非专门面向中小企业的项目，对小型和微型企业（或联合体各方均为小型、微型企业的）产品的价格给予6%的扣除，用扣除后的价格参与价格分的评审。</w:t>
            </w:r>
          </w:p>
          <w:p>
            <w:pPr>
              <w:adjustRightInd w:val="0"/>
              <w:snapToGrid w:val="0"/>
              <w:spacing w:line="440" w:lineRule="exact"/>
              <w:jc w:val="left"/>
              <w:rPr>
                <w:rFonts w:ascii="宋体" w:hAnsi="宋体" w:cs="仿宋_GB2312"/>
                <w:sz w:val="24"/>
                <w:szCs w:val="24"/>
              </w:rPr>
            </w:pPr>
            <w:r>
              <w:rPr>
                <w:rFonts w:hint="eastAsia" w:ascii="宋体" w:hAnsi="宋体" w:cs="仿宋_GB2312"/>
                <w:sz w:val="24"/>
                <w:szCs w:val="24"/>
              </w:rPr>
              <w:t>（三）小型和微型企业适用价格扣除办法时应提供的相关资料：</w:t>
            </w:r>
          </w:p>
          <w:p>
            <w:pPr>
              <w:adjustRightInd w:val="0"/>
              <w:snapToGrid w:val="0"/>
              <w:spacing w:line="440" w:lineRule="exact"/>
              <w:jc w:val="left"/>
              <w:rPr>
                <w:rFonts w:ascii="宋体" w:hAnsi="宋体" w:cs="仿宋_GB2312"/>
                <w:sz w:val="24"/>
                <w:szCs w:val="24"/>
              </w:rPr>
            </w:pPr>
            <w:r>
              <w:rPr>
                <w:rFonts w:hint="eastAsia" w:ascii="宋体" w:hAnsi="宋体" w:cs="仿宋_GB2312"/>
                <w:sz w:val="24"/>
                <w:szCs w:val="24"/>
              </w:rPr>
              <w:t>①、《中小企业声明函》；</w:t>
            </w:r>
          </w:p>
          <w:p>
            <w:pPr>
              <w:adjustRightInd w:val="0"/>
              <w:snapToGrid w:val="0"/>
              <w:spacing w:line="440" w:lineRule="exact"/>
              <w:jc w:val="left"/>
              <w:rPr>
                <w:rFonts w:ascii="宋体" w:hAnsi="宋体" w:cs="仿宋_GB2312"/>
                <w:sz w:val="24"/>
                <w:szCs w:val="24"/>
              </w:rPr>
            </w:pPr>
            <w:r>
              <w:rPr>
                <w:rFonts w:hint="eastAsia" w:ascii="宋体" w:hAnsi="宋体" w:cs="仿宋_GB2312"/>
                <w:sz w:val="24"/>
                <w:szCs w:val="24"/>
              </w:rPr>
              <w:t>②、提供投标人工商行政登记所在地管理部门出具的小微企业证明文件。</w:t>
            </w:r>
          </w:p>
          <w:p>
            <w:pPr>
              <w:pStyle w:val="23"/>
              <w:snapToGrid w:val="0"/>
              <w:spacing w:line="440" w:lineRule="exact"/>
              <w:rPr>
                <w:rFonts w:cs="仿宋_GB2312"/>
                <w:sz w:val="24"/>
                <w:szCs w:val="24"/>
              </w:rPr>
            </w:pPr>
            <w:r>
              <w:rPr>
                <w:rFonts w:hint="eastAsia" w:cs="仿宋_GB2312"/>
                <w:sz w:val="24"/>
                <w:szCs w:val="24"/>
              </w:rPr>
              <w:t>③、提供所代理产品生产厂家的属地主管部门出具的小微企业证明文件；</w:t>
            </w:r>
          </w:p>
          <w:p>
            <w:pPr>
              <w:pStyle w:val="23"/>
              <w:snapToGrid w:val="0"/>
              <w:spacing w:line="440" w:lineRule="exact"/>
              <w:rPr>
                <w:sz w:val="24"/>
                <w:szCs w:val="24"/>
              </w:rPr>
            </w:pPr>
            <w:r>
              <w:rPr>
                <w:rFonts w:hint="eastAsia"/>
                <w:sz w:val="24"/>
                <w:szCs w:val="24"/>
              </w:rPr>
              <w:t>进口产品不享受中小企业评审优惠。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30" w:type="pct"/>
          <w:trHeight w:val="7214"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2</w:t>
            </w:r>
          </w:p>
        </w:tc>
        <w:tc>
          <w:tcPr>
            <w:tcW w:w="1479"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仿宋_GB2312"/>
                <w:b/>
                <w:bCs/>
                <w:sz w:val="24"/>
                <w:szCs w:val="24"/>
              </w:rPr>
            </w:pPr>
            <w:r>
              <w:rPr>
                <w:rFonts w:hint="eastAsia" w:hAnsi="宋体"/>
                <w:b/>
                <w:sz w:val="24"/>
              </w:rPr>
              <w:t>节能、环境标志产品评审优惠内容及加分幅度</w:t>
            </w:r>
          </w:p>
        </w:tc>
        <w:tc>
          <w:tcPr>
            <w:tcW w:w="3122" w:type="pct"/>
            <w:gridSpan w:val="2"/>
            <w:tcBorders>
              <w:top w:val="single" w:color="auto" w:sz="4" w:space="0"/>
              <w:left w:val="single" w:color="auto" w:sz="4" w:space="0"/>
              <w:bottom w:val="single" w:color="auto" w:sz="4" w:space="0"/>
              <w:right w:val="single" w:color="auto" w:sz="4" w:space="0"/>
            </w:tcBorders>
            <w:vAlign w:val="center"/>
          </w:tcPr>
          <w:p>
            <w:pPr>
              <w:pStyle w:val="23"/>
              <w:snapToGrid w:val="0"/>
              <w:spacing w:line="400" w:lineRule="exact"/>
              <w:rPr>
                <w:sz w:val="24"/>
                <w:szCs w:val="24"/>
              </w:rPr>
            </w:pPr>
            <w:r>
              <w:rPr>
                <w:rFonts w:hint="eastAsia"/>
                <w:sz w:val="24"/>
                <w:szCs w:val="24"/>
              </w:rPr>
              <w:t>根据《国务院办公厅关于建立政府强制采购节能产品制度的通知》（国办发[2007]51号）和财政部、发展改革委发布的《节能产品政府采购实施意见》（财库[2004]185号）以及《财政部、发展改革委关于调整节能产品政府采购清单的通知》最新的规定，本次采购货物中属政府强制采购节能产品的，投标人所投产品必须是《节能产品政府采购清单》内产品，并提供清单内证明材料，否则投标无效。其他产品若属于“节能产品政府采购清单”内产品，在同等条件下，优先采购清单中的产品。</w:t>
            </w:r>
          </w:p>
          <w:p>
            <w:pPr>
              <w:adjustRightInd w:val="0"/>
              <w:snapToGrid w:val="0"/>
              <w:spacing w:line="440" w:lineRule="exact"/>
              <w:jc w:val="left"/>
              <w:rPr>
                <w:rFonts w:ascii="宋体" w:hAnsi="宋体" w:cs="仿宋_GB2312"/>
                <w:sz w:val="24"/>
                <w:szCs w:val="24"/>
              </w:rPr>
            </w:pPr>
            <w:r>
              <w:rPr>
                <w:rFonts w:hint="eastAsia"/>
                <w:sz w:val="24"/>
                <w:szCs w:val="24"/>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pPr>
              <w:pStyle w:val="23"/>
              <w:spacing w:line="440" w:lineRule="exact"/>
              <w:jc w:val="center"/>
              <w:rPr>
                <w:sz w:val="24"/>
                <w:szCs w:val="24"/>
              </w:rPr>
            </w:pPr>
            <w:r>
              <w:rPr>
                <w:rFonts w:hint="eastAsia"/>
                <w:sz w:val="24"/>
                <w:szCs w:val="24"/>
              </w:rPr>
              <w:t>加分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2442" w:type="pct"/>
            <w:gridSpan w:val="3"/>
            <w:tcBorders>
              <w:top w:val="single" w:color="auto" w:sz="4" w:space="0"/>
              <w:left w:val="single" w:color="auto" w:sz="4" w:space="0"/>
              <w:bottom w:val="single" w:color="auto" w:sz="4" w:space="0"/>
              <w:right w:val="single" w:color="auto" w:sz="4" w:space="0"/>
            </w:tcBorders>
            <w:vAlign w:val="center"/>
          </w:tcPr>
          <w:p>
            <w:pPr>
              <w:pStyle w:val="23"/>
              <w:spacing w:line="440" w:lineRule="exact"/>
              <w:jc w:val="center"/>
              <w:rPr>
                <w:sz w:val="24"/>
                <w:szCs w:val="24"/>
              </w:rPr>
            </w:pPr>
            <w:r>
              <w:rPr>
                <w:rFonts w:hint="eastAsia"/>
                <w:sz w:val="24"/>
                <w:szCs w:val="24"/>
              </w:rPr>
              <w:t>价格项</w:t>
            </w:r>
          </w:p>
        </w:tc>
        <w:tc>
          <w:tcPr>
            <w:tcW w:w="2558" w:type="pct"/>
            <w:gridSpan w:val="2"/>
            <w:tcBorders>
              <w:top w:val="single" w:color="auto" w:sz="4" w:space="0"/>
              <w:left w:val="single" w:color="auto" w:sz="4" w:space="0"/>
              <w:bottom w:val="single" w:color="auto" w:sz="4" w:space="0"/>
              <w:right w:val="single" w:color="auto" w:sz="4" w:space="0"/>
            </w:tcBorders>
            <w:vAlign w:val="center"/>
          </w:tcPr>
          <w:p>
            <w:pPr>
              <w:pStyle w:val="23"/>
              <w:spacing w:line="440" w:lineRule="exact"/>
              <w:jc w:val="center"/>
              <w:rPr>
                <w:sz w:val="24"/>
                <w:szCs w:val="24"/>
              </w:rPr>
            </w:pPr>
            <w:r>
              <w:rPr>
                <w:rFonts w:hint="eastAsia"/>
                <w:sz w:val="24"/>
                <w:szCs w:val="24"/>
              </w:rPr>
              <w:t>技术项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2442" w:type="pct"/>
            <w:gridSpan w:val="3"/>
            <w:tcBorders>
              <w:top w:val="single" w:color="auto" w:sz="4" w:space="0"/>
              <w:left w:val="single" w:color="auto" w:sz="4" w:space="0"/>
              <w:bottom w:val="single" w:color="auto" w:sz="4" w:space="0"/>
              <w:right w:val="single" w:color="auto" w:sz="4" w:space="0"/>
            </w:tcBorders>
            <w:vAlign w:val="center"/>
          </w:tcPr>
          <w:p>
            <w:pPr>
              <w:pStyle w:val="23"/>
              <w:spacing w:line="440" w:lineRule="exact"/>
              <w:jc w:val="center"/>
              <w:rPr>
                <w:sz w:val="24"/>
                <w:szCs w:val="24"/>
              </w:rPr>
            </w:pPr>
            <w:r>
              <w:rPr>
                <w:rFonts w:hint="eastAsia"/>
                <w:sz w:val="24"/>
                <w:szCs w:val="24"/>
              </w:rPr>
              <w:t>1、（节能清单部分产品的价格/投标报价）×3%×价格项满分值</w:t>
            </w:r>
          </w:p>
        </w:tc>
        <w:tc>
          <w:tcPr>
            <w:tcW w:w="2558" w:type="pct"/>
            <w:gridSpan w:val="2"/>
            <w:tcBorders>
              <w:top w:val="single" w:color="auto" w:sz="4" w:space="0"/>
              <w:left w:val="single" w:color="auto" w:sz="4" w:space="0"/>
              <w:bottom w:val="single" w:color="auto" w:sz="4" w:space="0"/>
              <w:right w:val="single" w:color="auto" w:sz="4" w:space="0"/>
            </w:tcBorders>
            <w:vAlign w:val="center"/>
          </w:tcPr>
          <w:p>
            <w:pPr>
              <w:pStyle w:val="23"/>
              <w:spacing w:line="440" w:lineRule="exact"/>
              <w:jc w:val="center"/>
              <w:rPr>
                <w:sz w:val="24"/>
                <w:szCs w:val="24"/>
              </w:rPr>
            </w:pPr>
            <w:r>
              <w:rPr>
                <w:rFonts w:hint="eastAsia"/>
                <w:sz w:val="24"/>
                <w:szCs w:val="24"/>
              </w:rPr>
              <w:t>1、（节能清单部分产品的价格/投标报价）×3%×价格项满分值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2442" w:type="pct"/>
            <w:gridSpan w:val="3"/>
            <w:tcBorders>
              <w:top w:val="single" w:color="auto" w:sz="4" w:space="0"/>
              <w:left w:val="single" w:color="auto" w:sz="4" w:space="0"/>
              <w:bottom w:val="single" w:color="auto" w:sz="4" w:space="0"/>
              <w:right w:val="single" w:color="auto" w:sz="4" w:space="0"/>
            </w:tcBorders>
            <w:vAlign w:val="center"/>
          </w:tcPr>
          <w:p>
            <w:pPr>
              <w:pStyle w:val="23"/>
              <w:spacing w:line="440" w:lineRule="exact"/>
              <w:jc w:val="center"/>
              <w:rPr>
                <w:sz w:val="24"/>
                <w:szCs w:val="24"/>
              </w:rPr>
            </w:pPr>
            <w:r>
              <w:rPr>
                <w:rFonts w:hint="eastAsia"/>
                <w:sz w:val="24"/>
                <w:szCs w:val="24"/>
              </w:rPr>
              <w:t>2、（环境清单部分产品的价格/投标报价）×3%×价格项满分值</w:t>
            </w:r>
          </w:p>
        </w:tc>
        <w:tc>
          <w:tcPr>
            <w:tcW w:w="2558" w:type="pct"/>
            <w:gridSpan w:val="2"/>
            <w:tcBorders>
              <w:top w:val="single" w:color="auto" w:sz="4" w:space="0"/>
              <w:left w:val="single" w:color="auto" w:sz="4" w:space="0"/>
              <w:bottom w:val="single" w:color="auto" w:sz="4" w:space="0"/>
              <w:right w:val="single" w:color="auto" w:sz="4" w:space="0"/>
            </w:tcBorders>
            <w:vAlign w:val="center"/>
          </w:tcPr>
          <w:p>
            <w:pPr>
              <w:pStyle w:val="23"/>
              <w:spacing w:line="440" w:lineRule="exact"/>
              <w:jc w:val="center"/>
              <w:rPr>
                <w:sz w:val="24"/>
                <w:szCs w:val="24"/>
              </w:rPr>
            </w:pPr>
            <w:r>
              <w:rPr>
                <w:rFonts w:hint="eastAsia"/>
                <w:sz w:val="24"/>
                <w:szCs w:val="24"/>
              </w:rPr>
              <w:t>2、（环境清单部分产品的价格/投标报价）×3%×价格项满分值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pPr>
              <w:pStyle w:val="23"/>
              <w:spacing w:line="440" w:lineRule="exact"/>
              <w:jc w:val="center"/>
              <w:rPr>
                <w:sz w:val="24"/>
                <w:szCs w:val="24"/>
              </w:rPr>
            </w:pPr>
            <w:r>
              <w:rPr>
                <w:rFonts w:hint="eastAsia"/>
                <w:sz w:val="24"/>
                <w:szCs w:val="24"/>
              </w:rPr>
              <w:t>注：1、提供最新《节能产品政府采购清单》关于投标产品当前页的打印件；</w:t>
            </w:r>
          </w:p>
          <w:p>
            <w:pPr>
              <w:pStyle w:val="23"/>
              <w:spacing w:line="440" w:lineRule="exact"/>
              <w:jc w:val="center"/>
              <w:rPr>
                <w:sz w:val="24"/>
                <w:szCs w:val="24"/>
              </w:rPr>
            </w:pPr>
            <w:r>
              <w:rPr>
                <w:rFonts w:hint="eastAsia"/>
                <w:sz w:val="24"/>
                <w:szCs w:val="24"/>
              </w:rPr>
              <w:t>2、提供最新《环境标志产品政府采购清单》关于投标产品当前页的打印件。</w:t>
            </w:r>
          </w:p>
        </w:tc>
      </w:tr>
    </w:tbl>
    <w:p>
      <w:pPr>
        <w:rPr>
          <w:sz w:val="24"/>
          <w:szCs w:val="24"/>
        </w:rPr>
      </w:pPr>
      <w:r>
        <w:rPr>
          <w:rFonts w:hint="eastAsia"/>
          <w:sz w:val="24"/>
          <w:szCs w:val="24"/>
        </w:rPr>
        <w:br w:type="page"/>
      </w:r>
    </w:p>
    <w:p>
      <w:pPr>
        <w:pStyle w:val="23"/>
        <w:snapToGrid w:val="0"/>
        <w:spacing w:line="440" w:lineRule="exact"/>
        <w:rPr>
          <w:sz w:val="24"/>
          <w:szCs w:val="24"/>
        </w:rPr>
      </w:pPr>
      <w:r>
        <w:rPr>
          <w:rFonts w:hint="eastAsia"/>
          <w:sz w:val="24"/>
          <w:szCs w:val="24"/>
        </w:rPr>
        <w:t>商务、技术部分评分表</w:t>
      </w:r>
    </w:p>
    <w:tbl>
      <w:tblPr>
        <w:tblStyle w:val="40"/>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7"/>
        <w:gridCol w:w="423"/>
        <w:gridCol w:w="1394"/>
        <w:gridCol w:w="1130"/>
        <w:gridCol w:w="57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2" w:hRule="atLeast"/>
          <w:jc w:val="center"/>
        </w:trPr>
        <w:tc>
          <w:tcPr>
            <w:tcW w:w="653" w:type="pct"/>
            <w:gridSpan w:val="2"/>
            <w:tcBorders>
              <w:top w:val="single" w:color="auto" w:sz="4" w:space="0"/>
              <w:left w:val="single" w:color="auto" w:sz="4" w:space="0"/>
              <w:bottom w:val="single" w:color="auto" w:sz="4" w:space="0"/>
              <w:right w:val="single" w:color="auto" w:sz="4" w:space="0"/>
            </w:tcBorders>
            <w:vAlign w:val="center"/>
          </w:tcPr>
          <w:p>
            <w:pPr>
              <w:pStyle w:val="23"/>
              <w:jc w:val="center"/>
              <w:rPr>
                <w:rFonts w:cs="仿宋_GB2312"/>
                <w:sz w:val="24"/>
                <w:szCs w:val="24"/>
              </w:rPr>
            </w:pPr>
            <w:bookmarkStart w:id="10" w:name="OLE_LINK2"/>
            <w:r>
              <w:rPr>
                <w:rFonts w:hint="eastAsia" w:ascii="Times New Roman" w:hAnsi="Times New Roman"/>
                <w:sz w:val="24"/>
                <w:szCs w:val="24"/>
              </w:rPr>
              <w:t>序号</w:t>
            </w:r>
          </w:p>
        </w:tc>
        <w:tc>
          <w:tcPr>
            <w:tcW w:w="728" w:type="pct"/>
            <w:tcBorders>
              <w:top w:val="single" w:color="auto" w:sz="4" w:space="0"/>
              <w:left w:val="single" w:color="auto" w:sz="4" w:space="0"/>
              <w:bottom w:val="single" w:color="auto" w:sz="4" w:space="0"/>
              <w:right w:val="single" w:color="auto" w:sz="4" w:space="0"/>
            </w:tcBorders>
            <w:vAlign w:val="center"/>
          </w:tcPr>
          <w:p>
            <w:pPr>
              <w:pStyle w:val="23"/>
              <w:jc w:val="center"/>
              <w:rPr>
                <w:rFonts w:cs="仿宋_GB2312"/>
                <w:sz w:val="24"/>
                <w:szCs w:val="24"/>
              </w:rPr>
            </w:pPr>
            <w:r>
              <w:rPr>
                <w:rFonts w:hint="eastAsia" w:ascii="Times New Roman" w:hAnsi="Times New Roman"/>
                <w:sz w:val="24"/>
                <w:szCs w:val="24"/>
              </w:rPr>
              <w:t>评分因素</w:t>
            </w:r>
          </w:p>
        </w:tc>
        <w:tc>
          <w:tcPr>
            <w:tcW w:w="590" w:type="pct"/>
            <w:tcBorders>
              <w:top w:val="single" w:color="auto" w:sz="4" w:space="0"/>
              <w:left w:val="single" w:color="auto" w:sz="4" w:space="0"/>
              <w:bottom w:val="single" w:color="auto" w:sz="4" w:space="0"/>
              <w:right w:val="single" w:color="auto" w:sz="4" w:space="0"/>
            </w:tcBorders>
            <w:vAlign w:val="center"/>
          </w:tcPr>
          <w:p>
            <w:pPr>
              <w:pStyle w:val="23"/>
              <w:jc w:val="center"/>
              <w:rPr>
                <w:rFonts w:cs="仿宋_GB2312"/>
                <w:sz w:val="24"/>
                <w:szCs w:val="24"/>
              </w:rPr>
            </w:pPr>
            <w:r>
              <w:rPr>
                <w:rFonts w:hint="eastAsia" w:ascii="Times New Roman" w:hAnsi="Times New Roman"/>
                <w:sz w:val="24"/>
                <w:szCs w:val="24"/>
              </w:rPr>
              <w:t>分值</w:t>
            </w:r>
          </w:p>
        </w:tc>
        <w:tc>
          <w:tcPr>
            <w:tcW w:w="3027" w:type="pct"/>
            <w:tcBorders>
              <w:top w:val="single" w:color="auto" w:sz="4" w:space="0"/>
              <w:left w:val="single" w:color="auto" w:sz="4" w:space="0"/>
              <w:bottom w:val="single" w:color="auto" w:sz="4" w:space="0"/>
              <w:right w:val="single" w:color="auto" w:sz="4" w:space="0"/>
            </w:tcBorders>
            <w:vAlign w:val="center"/>
          </w:tcPr>
          <w:p>
            <w:pPr>
              <w:pStyle w:val="23"/>
              <w:jc w:val="center"/>
              <w:rPr>
                <w:rFonts w:cs="仿宋_GB2312"/>
                <w:sz w:val="24"/>
                <w:szCs w:val="24"/>
              </w:rPr>
            </w:pPr>
            <w:r>
              <w:rPr>
                <w:rFonts w:hint="eastAsia" w:ascii="Times New Roman" w:hAnsi="Times New Roman"/>
                <w:sz w:val="24"/>
                <w:szCs w:val="24"/>
              </w:rPr>
              <w:t>评审内容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7" w:hRule="atLeast"/>
          <w:jc w:val="center"/>
        </w:trPr>
        <w:tc>
          <w:tcPr>
            <w:tcW w:w="432" w:type="pct"/>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宋体" w:hAnsi="宋体" w:cs="仿宋_GB2312"/>
                <w:b/>
                <w:bCs/>
                <w:sz w:val="24"/>
                <w:szCs w:val="24"/>
              </w:rPr>
            </w:pPr>
            <w:r>
              <w:rPr>
                <w:rFonts w:hint="eastAsia" w:ascii="宋体" w:hAnsi="宋体" w:cs="仿宋_GB2312"/>
                <w:b/>
                <w:bCs/>
                <w:sz w:val="24"/>
                <w:szCs w:val="24"/>
              </w:rPr>
              <w:t>商务部分</w:t>
            </w:r>
          </w:p>
        </w:tc>
        <w:tc>
          <w:tcPr>
            <w:tcW w:w="22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cs="仿宋_GB2312"/>
                <w:sz w:val="24"/>
                <w:szCs w:val="24"/>
              </w:rPr>
            </w:pPr>
            <w:r>
              <w:rPr>
                <w:rFonts w:hint="eastAsia" w:ascii="宋体" w:hAnsi="宋体" w:cs="仿宋_GB2312"/>
                <w:sz w:val="24"/>
                <w:szCs w:val="24"/>
              </w:rPr>
              <w:t>1</w:t>
            </w:r>
          </w:p>
        </w:tc>
        <w:tc>
          <w:tcPr>
            <w:tcW w:w="72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cs="仿宋_GB2312"/>
                <w:szCs w:val="21"/>
              </w:rPr>
            </w:pPr>
            <w:r>
              <w:rPr>
                <w:rFonts w:hint="eastAsia" w:ascii="宋体" w:hAnsi="宋体" w:cs="仿宋_GB2312"/>
                <w:szCs w:val="21"/>
              </w:rPr>
              <w:t>标书制作</w:t>
            </w:r>
          </w:p>
        </w:tc>
        <w:tc>
          <w:tcPr>
            <w:tcW w:w="59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cs="仿宋_GB2312"/>
                <w:szCs w:val="21"/>
              </w:rPr>
            </w:pPr>
            <w:r>
              <w:rPr>
                <w:rFonts w:hint="eastAsia" w:ascii="宋体" w:hAnsi="宋体" w:cs="仿宋_GB2312"/>
                <w:szCs w:val="21"/>
              </w:rPr>
              <w:t>0-5分</w:t>
            </w:r>
          </w:p>
        </w:tc>
        <w:tc>
          <w:tcPr>
            <w:tcW w:w="3027" w:type="pct"/>
            <w:tcBorders>
              <w:top w:val="single" w:color="auto" w:sz="4" w:space="0"/>
              <w:left w:val="single" w:color="auto" w:sz="4" w:space="0"/>
              <w:bottom w:val="single" w:color="auto" w:sz="4" w:space="0"/>
              <w:right w:val="single" w:color="auto" w:sz="4" w:space="0"/>
            </w:tcBorders>
            <w:vAlign w:val="center"/>
          </w:tcPr>
          <w:p>
            <w:pPr>
              <w:jc w:val="left"/>
              <w:rPr>
                <w:rFonts w:ascii="宋体" w:cs="宋体"/>
                <w:szCs w:val="21"/>
              </w:rPr>
            </w:pPr>
            <w:r>
              <w:rPr>
                <w:rFonts w:hint="eastAsia" w:ascii="宋体" w:cs="宋体"/>
                <w:szCs w:val="21"/>
              </w:rPr>
              <w:t>投标文件格式内容严格按照招标文件内容编制：要求文件目录准确查找方便、图片文字清晰、内容完整、装订整齐。</w:t>
            </w:r>
          </w:p>
          <w:p>
            <w:pPr>
              <w:jc w:val="left"/>
              <w:rPr>
                <w:rFonts w:ascii="宋体" w:cs="宋体"/>
                <w:szCs w:val="21"/>
              </w:rPr>
            </w:pPr>
            <w:r>
              <w:rPr>
                <w:rFonts w:hint="eastAsia" w:ascii="宋体" w:cs="宋体"/>
                <w:szCs w:val="21"/>
              </w:rPr>
              <w:t>（1）投标文件格式内容严格按照招标文件内容编制：要求文件目录准确查找方便、图片文字清晰、内容完整、装订整齐得2分，否则不得分。</w:t>
            </w:r>
          </w:p>
          <w:p>
            <w:pPr>
              <w:adjustRightInd w:val="0"/>
              <w:snapToGrid w:val="0"/>
              <w:spacing w:line="440" w:lineRule="exact"/>
              <w:jc w:val="left"/>
              <w:rPr>
                <w:rFonts w:ascii="宋体" w:cs="宋体"/>
                <w:szCs w:val="21"/>
              </w:rPr>
            </w:pPr>
            <w:r>
              <w:rPr>
                <w:rFonts w:hint="eastAsia" w:ascii="宋体" w:cs="宋体"/>
                <w:szCs w:val="21"/>
              </w:rPr>
              <w:t>（2）正文有页码，图纸表格等有编号、提供准确的评分项速查表得3分，否则不得分。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21" w:hRule="atLeast"/>
          <w:jc w:val="center"/>
        </w:trPr>
        <w:tc>
          <w:tcPr>
            <w:tcW w:w="432" w:type="pct"/>
            <w:vMerge w:val="continue"/>
            <w:tcBorders>
              <w:left w:val="single" w:color="auto" w:sz="4" w:space="0"/>
              <w:right w:val="single" w:color="auto" w:sz="4" w:space="0"/>
            </w:tcBorders>
            <w:vAlign w:val="center"/>
          </w:tcPr>
          <w:p>
            <w:pPr>
              <w:adjustRightInd w:val="0"/>
              <w:snapToGrid w:val="0"/>
              <w:spacing w:line="440" w:lineRule="exact"/>
              <w:jc w:val="center"/>
              <w:rPr>
                <w:rFonts w:ascii="宋体" w:hAnsi="宋体" w:cs="仿宋_GB2312"/>
                <w:b/>
                <w:bCs/>
                <w:sz w:val="24"/>
                <w:szCs w:val="24"/>
              </w:rPr>
            </w:pPr>
          </w:p>
        </w:tc>
        <w:tc>
          <w:tcPr>
            <w:tcW w:w="22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cs="仿宋_GB2312"/>
                <w:sz w:val="24"/>
                <w:szCs w:val="24"/>
              </w:rPr>
            </w:pPr>
            <w:r>
              <w:rPr>
                <w:rFonts w:hint="eastAsia" w:ascii="宋体" w:hAnsi="宋体" w:cs="仿宋_GB2312"/>
                <w:sz w:val="24"/>
                <w:szCs w:val="24"/>
              </w:rPr>
              <w:t>2</w:t>
            </w:r>
          </w:p>
        </w:tc>
        <w:tc>
          <w:tcPr>
            <w:tcW w:w="72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cs="仿宋_GB2312"/>
                <w:szCs w:val="21"/>
              </w:rPr>
            </w:pPr>
            <w:r>
              <w:rPr>
                <w:rFonts w:hint="eastAsia" w:ascii="宋体" w:hAnsi="宋体"/>
                <w:szCs w:val="21"/>
              </w:rPr>
              <w:t>企业类似业绩</w:t>
            </w:r>
          </w:p>
        </w:tc>
        <w:tc>
          <w:tcPr>
            <w:tcW w:w="59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cs="仿宋_GB2312"/>
                <w:szCs w:val="21"/>
              </w:rPr>
            </w:pPr>
            <w:r>
              <w:rPr>
                <w:rFonts w:hint="eastAsia" w:ascii="宋体" w:hAnsi="宋体" w:cs="仿宋_GB2312"/>
                <w:szCs w:val="21"/>
              </w:rPr>
              <w:t>0-</w:t>
            </w:r>
            <w:r>
              <w:rPr>
                <w:rFonts w:hint="eastAsia" w:ascii="宋体" w:hAnsi="宋体" w:cs="仿宋_GB2312"/>
                <w:szCs w:val="21"/>
                <w:lang w:val="en-US" w:eastAsia="zh-CN"/>
              </w:rPr>
              <w:t>20</w:t>
            </w:r>
            <w:r>
              <w:rPr>
                <w:rFonts w:hint="eastAsia" w:ascii="宋体" w:hAnsi="宋体" w:cs="仿宋_GB2312"/>
                <w:szCs w:val="21"/>
              </w:rPr>
              <w:t>分</w:t>
            </w:r>
          </w:p>
        </w:tc>
        <w:tc>
          <w:tcPr>
            <w:tcW w:w="302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仿宋_GB2312"/>
                <w:szCs w:val="21"/>
              </w:rPr>
            </w:pPr>
            <w:r>
              <w:rPr>
                <w:rFonts w:hint="eastAsia" w:ascii="宋体"/>
                <w:szCs w:val="21"/>
              </w:rPr>
              <w:t>投标人自2020年1月至今类似项目的业绩。提供一项得3分。最高</w:t>
            </w:r>
            <w:r>
              <w:rPr>
                <w:rFonts w:hint="eastAsia" w:ascii="宋体"/>
                <w:szCs w:val="21"/>
                <w:lang w:val="en-US" w:eastAsia="zh-CN"/>
              </w:rPr>
              <w:t>20</w:t>
            </w:r>
            <w:r>
              <w:rPr>
                <w:rFonts w:hint="eastAsia" w:ascii="宋体"/>
                <w:szCs w:val="21"/>
              </w:rPr>
              <w:t>分（须提供中标通知书或合同）。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6" w:hRule="atLeast"/>
          <w:jc w:val="center"/>
        </w:trPr>
        <w:tc>
          <w:tcPr>
            <w:tcW w:w="432" w:type="pct"/>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宋体" w:hAnsi="宋体" w:cs="仿宋_GB2312"/>
                <w:b/>
                <w:bCs/>
                <w:sz w:val="24"/>
                <w:szCs w:val="24"/>
              </w:rPr>
            </w:pPr>
            <w:r>
              <w:rPr>
                <w:rFonts w:hint="eastAsia" w:ascii="宋体" w:hAnsi="宋体" w:cs="仿宋_GB2312"/>
                <w:b/>
                <w:bCs/>
                <w:sz w:val="24"/>
                <w:szCs w:val="24"/>
              </w:rPr>
              <w:t>技术部分</w:t>
            </w:r>
          </w:p>
          <w:p>
            <w:pPr>
              <w:pStyle w:val="2"/>
            </w:pPr>
          </w:p>
        </w:tc>
        <w:tc>
          <w:tcPr>
            <w:tcW w:w="22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宋体" w:hAnsi="宋体" w:eastAsia="宋体" w:cs="仿宋_GB2312"/>
                <w:sz w:val="24"/>
                <w:szCs w:val="24"/>
                <w:lang w:val="en-US" w:eastAsia="zh-CN"/>
              </w:rPr>
            </w:pPr>
            <w:r>
              <w:rPr>
                <w:rFonts w:hint="eastAsia" w:ascii="宋体" w:hAnsi="宋体" w:cs="仿宋_GB2312"/>
                <w:sz w:val="24"/>
                <w:szCs w:val="24"/>
                <w:lang w:val="en-US" w:eastAsia="zh-CN"/>
              </w:rPr>
              <w:t>1</w:t>
            </w:r>
          </w:p>
        </w:tc>
        <w:tc>
          <w:tcPr>
            <w:tcW w:w="72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宋体" w:hAnsi="宋体" w:eastAsia="宋体" w:cs="仿宋_GB2312"/>
                <w:szCs w:val="21"/>
                <w:lang w:val="en-US" w:eastAsia="zh-CN"/>
              </w:rPr>
            </w:pPr>
            <w:r>
              <w:rPr>
                <w:rFonts w:hint="eastAsia" w:ascii="宋体" w:hAnsi="宋体" w:cs="仿宋_GB2312"/>
                <w:szCs w:val="21"/>
                <w:lang w:val="en-US" w:eastAsia="zh-CN"/>
              </w:rPr>
              <w:t>技术方案</w:t>
            </w:r>
          </w:p>
        </w:tc>
        <w:tc>
          <w:tcPr>
            <w:tcW w:w="59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default" w:ascii="宋体" w:hAnsi="宋体" w:eastAsia="宋体" w:cs="仿宋_GB2312"/>
                <w:szCs w:val="21"/>
                <w:lang w:val="en-US" w:eastAsia="zh-CN"/>
              </w:rPr>
            </w:pPr>
            <w:r>
              <w:rPr>
                <w:rFonts w:hint="eastAsia" w:ascii="宋体" w:hAnsi="宋体" w:cs="仿宋_GB2312"/>
                <w:szCs w:val="21"/>
                <w:lang w:val="en-US" w:eastAsia="zh-CN"/>
              </w:rPr>
              <w:t>0-15</w:t>
            </w:r>
          </w:p>
        </w:tc>
        <w:tc>
          <w:tcPr>
            <w:tcW w:w="30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hint="default" w:ascii="宋体" w:hAnsi="宋体" w:eastAsia="宋体" w:cs="仿宋_GB2312"/>
                <w:szCs w:val="21"/>
                <w:lang w:val="en-US" w:eastAsia="zh-CN"/>
              </w:rPr>
            </w:pPr>
            <w:r>
              <w:rPr>
                <w:rFonts w:hint="eastAsia" w:ascii="宋体" w:hAnsi="宋体" w:cs="宋体"/>
                <w:spacing w:val="-1"/>
                <w:szCs w:val="21"/>
              </w:rPr>
              <w:t>专家对响应供应商提供的</w:t>
            </w:r>
            <w:r>
              <w:rPr>
                <w:rFonts w:hint="eastAsia" w:ascii="宋体" w:hAnsi="宋体" w:cs="宋体"/>
                <w:spacing w:val="-1"/>
                <w:szCs w:val="21"/>
                <w:lang w:val="en-US" w:eastAsia="zh-CN"/>
              </w:rPr>
              <w:t>技术</w:t>
            </w:r>
            <w:r>
              <w:rPr>
                <w:rFonts w:hint="eastAsia" w:ascii="宋体" w:hAnsi="宋体" w:cs="宋体"/>
                <w:spacing w:val="-1"/>
                <w:szCs w:val="21"/>
              </w:rPr>
              <w:t xml:space="preserve">方案和措施进行综合评价；根据响应人是否提供切实可行的 </w:t>
            </w:r>
            <w:r>
              <w:rPr>
                <w:rFonts w:hint="eastAsia" w:ascii="宋体" w:hAnsi="宋体" w:cs="宋体"/>
                <w:spacing w:val="-1"/>
                <w:szCs w:val="21"/>
                <w:lang w:val="en-US" w:eastAsia="zh-CN"/>
              </w:rPr>
              <w:t>技术方案</w:t>
            </w:r>
            <w:r>
              <w:rPr>
                <w:rFonts w:hint="eastAsia" w:ascii="宋体" w:hAnsi="宋体" w:cs="宋体"/>
                <w:spacing w:val="-1"/>
                <w:szCs w:val="21"/>
              </w:rPr>
              <w:t xml:space="preserve">和措施，根据响应供应商的工作程序、工作标准、工作方法、工作内容、工作进度安排等是否完整合理、科学严密，切实可行。服务方案详细得 </w:t>
            </w:r>
            <w:r>
              <w:rPr>
                <w:rFonts w:hint="eastAsia" w:ascii="宋体" w:hAnsi="宋体" w:cs="宋体"/>
                <w:spacing w:val="-1"/>
                <w:szCs w:val="21"/>
                <w:lang w:val="en-US" w:eastAsia="zh-CN"/>
              </w:rPr>
              <w:t>10</w:t>
            </w:r>
            <w:r>
              <w:rPr>
                <w:rFonts w:hint="eastAsia" w:ascii="宋体" w:hAnsi="宋体" w:cs="宋体"/>
                <w:spacing w:val="-1"/>
                <w:szCs w:val="21"/>
              </w:rPr>
              <w:t>-</w:t>
            </w:r>
            <w:r>
              <w:rPr>
                <w:rFonts w:hint="eastAsia" w:ascii="宋体" w:hAnsi="宋体" w:cs="宋体"/>
                <w:spacing w:val="-1"/>
                <w:szCs w:val="21"/>
                <w:lang w:val="en-US" w:eastAsia="zh-CN"/>
              </w:rPr>
              <w:t>15</w:t>
            </w:r>
            <w:r>
              <w:rPr>
                <w:rFonts w:hint="eastAsia" w:ascii="宋体" w:hAnsi="宋体" w:cs="宋体"/>
                <w:spacing w:val="-1"/>
                <w:szCs w:val="21"/>
              </w:rPr>
              <w:t>分；服务方案描述一般得</w:t>
            </w:r>
            <w:r>
              <w:rPr>
                <w:rFonts w:hint="eastAsia" w:ascii="宋体" w:hAnsi="宋体" w:cs="宋体"/>
                <w:spacing w:val="-1"/>
                <w:szCs w:val="21"/>
                <w:lang w:val="en-US" w:eastAsia="zh-CN"/>
              </w:rPr>
              <w:t>5</w:t>
            </w:r>
            <w:r>
              <w:rPr>
                <w:rFonts w:hint="eastAsia" w:ascii="宋体" w:hAnsi="宋体" w:cs="宋体"/>
                <w:spacing w:val="-1"/>
                <w:szCs w:val="21"/>
              </w:rPr>
              <w:t>-</w:t>
            </w:r>
            <w:r>
              <w:rPr>
                <w:rFonts w:hint="eastAsia" w:ascii="宋体" w:hAnsi="宋体" w:cs="宋体"/>
                <w:spacing w:val="-1"/>
                <w:szCs w:val="21"/>
                <w:lang w:val="en-US" w:eastAsia="zh-CN"/>
              </w:rPr>
              <w:t>9</w:t>
            </w:r>
            <w:r>
              <w:rPr>
                <w:rFonts w:hint="eastAsia" w:ascii="宋体" w:hAnsi="宋体" w:cs="宋体"/>
                <w:spacing w:val="-1"/>
                <w:szCs w:val="21"/>
              </w:rPr>
              <w:t>分；内容简单或存在部分缺陷的得</w:t>
            </w:r>
            <w:r>
              <w:rPr>
                <w:rFonts w:hint="eastAsia" w:ascii="宋体" w:hAnsi="宋体" w:cs="宋体"/>
                <w:spacing w:val="-1"/>
                <w:szCs w:val="21"/>
                <w:lang w:val="en-US" w:eastAsia="zh-CN"/>
              </w:rPr>
              <w:t>1</w:t>
            </w:r>
            <w:r>
              <w:rPr>
                <w:rFonts w:hint="eastAsia" w:ascii="宋体" w:hAnsi="宋体" w:cs="宋体"/>
                <w:spacing w:val="-1"/>
                <w:szCs w:val="21"/>
              </w:rPr>
              <w:t>-</w:t>
            </w:r>
            <w:r>
              <w:rPr>
                <w:rFonts w:hint="eastAsia" w:ascii="宋体" w:hAnsi="宋体" w:cs="宋体"/>
                <w:spacing w:val="-1"/>
                <w:szCs w:val="21"/>
                <w:lang w:val="en-US" w:eastAsia="zh-CN"/>
              </w:rPr>
              <w:t>4</w:t>
            </w:r>
            <w:r>
              <w:rPr>
                <w:rFonts w:hint="eastAsia" w:ascii="宋体" w:hAnsi="宋体" w:cs="宋体"/>
                <w:spacing w:val="-1"/>
                <w:szCs w:val="21"/>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51" w:hRule="atLeast"/>
          <w:jc w:val="center"/>
        </w:trPr>
        <w:tc>
          <w:tcPr>
            <w:tcW w:w="432" w:type="pct"/>
            <w:vMerge w:val="continue"/>
            <w:tcBorders>
              <w:left w:val="single" w:color="auto" w:sz="4" w:space="0"/>
              <w:right w:val="single" w:color="auto" w:sz="4" w:space="0"/>
            </w:tcBorders>
            <w:vAlign w:val="center"/>
          </w:tcPr>
          <w:p>
            <w:pPr>
              <w:pStyle w:val="2"/>
            </w:pPr>
          </w:p>
        </w:tc>
        <w:tc>
          <w:tcPr>
            <w:tcW w:w="22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宋体" w:hAnsi="宋体" w:eastAsia="宋体" w:cs="仿宋_GB2312"/>
                <w:sz w:val="24"/>
                <w:szCs w:val="24"/>
                <w:lang w:eastAsia="zh-CN"/>
              </w:rPr>
            </w:pPr>
            <w:r>
              <w:rPr>
                <w:rFonts w:hint="eastAsia" w:ascii="宋体" w:hAnsi="宋体" w:cs="仿宋_GB2312"/>
                <w:sz w:val="24"/>
                <w:szCs w:val="24"/>
                <w:lang w:val="en-US" w:eastAsia="zh-CN"/>
              </w:rPr>
              <w:t>2</w:t>
            </w:r>
          </w:p>
        </w:tc>
        <w:tc>
          <w:tcPr>
            <w:tcW w:w="72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cs="仿宋_GB2312"/>
                <w:szCs w:val="21"/>
              </w:rPr>
            </w:pPr>
            <w:r>
              <w:rPr>
                <w:rFonts w:hint="eastAsia" w:ascii="宋体" w:hAnsi="宋体" w:cs="仿宋_GB2312"/>
                <w:szCs w:val="21"/>
              </w:rPr>
              <w:t xml:space="preserve">运输方案           </w:t>
            </w:r>
          </w:p>
        </w:tc>
        <w:tc>
          <w:tcPr>
            <w:tcW w:w="59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cs="仿宋_GB2312"/>
                <w:szCs w:val="21"/>
              </w:rPr>
            </w:pPr>
            <w:r>
              <w:rPr>
                <w:rFonts w:hint="eastAsia" w:ascii="宋体" w:hAnsi="宋体" w:cs="仿宋_GB2312"/>
                <w:szCs w:val="21"/>
              </w:rPr>
              <w:t>0-15分</w:t>
            </w:r>
          </w:p>
        </w:tc>
        <w:tc>
          <w:tcPr>
            <w:tcW w:w="30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ascii="宋体" w:hAnsi="宋体" w:cs="仿宋_GB2312"/>
                <w:szCs w:val="21"/>
              </w:rPr>
            </w:pPr>
            <w:r>
              <w:rPr>
                <w:rFonts w:hint="eastAsia" w:ascii="宋体" w:hAnsi="宋体" w:cs="仿宋_GB2312"/>
                <w:szCs w:val="21"/>
              </w:rPr>
              <w:t>根据供应商提供的供方案</w:t>
            </w:r>
            <w:r>
              <w:rPr>
                <w:rFonts w:hint="eastAsia" w:ascii="宋体" w:hAnsi="宋体" w:cs="宋体"/>
                <w:bCs/>
                <w:szCs w:val="21"/>
              </w:rPr>
              <w:t>，运输安全性、时效性、采购人验收便利性进行评分，优秀得15-11分，一般得10-6分，较差得5-0分。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3" w:hRule="atLeast"/>
          <w:jc w:val="center"/>
        </w:trPr>
        <w:tc>
          <w:tcPr>
            <w:tcW w:w="432" w:type="pct"/>
            <w:vMerge w:val="continue"/>
            <w:tcBorders>
              <w:left w:val="single" w:color="auto" w:sz="4" w:space="0"/>
              <w:right w:val="single" w:color="auto" w:sz="4" w:space="0"/>
            </w:tcBorders>
            <w:vAlign w:val="center"/>
          </w:tcPr>
          <w:p>
            <w:pPr>
              <w:adjustRightInd w:val="0"/>
              <w:snapToGrid w:val="0"/>
              <w:spacing w:line="440" w:lineRule="exact"/>
              <w:jc w:val="center"/>
              <w:rPr>
                <w:rFonts w:ascii="宋体" w:hAnsi="宋体" w:cs="仿宋_GB2312"/>
                <w:b/>
                <w:bCs/>
                <w:sz w:val="24"/>
                <w:szCs w:val="24"/>
              </w:rPr>
            </w:pPr>
          </w:p>
        </w:tc>
        <w:tc>
          <w:tcPr>
            <w:tcW w:w="22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宋体" w:hAnsi="宋体" w:eastAsia="宋体" w:cs="仿宋_GB2312"/>
                <w:sz w:val="24"/>
                <w:szCs w:val="24"/>
                <w:lang w:eastAsia="zh-CN"/>
              </w:rPr>
            </w:pPr>
            <w:r>
              <w:rPr>
                <w:rFonts w:hint="eastAsia" w:ascii="宋体" w:hAnsi="宋体" w:cs="仿宋_GB2312"/>
                <w:sz w:val="24"/>
                <w:szCs w:val="24"/>
                <w:lang w:val="en-US" w:eastAsia="zh-CN"/>
              </w:rPr>
              <w:t>3</w:t>
            </w:r>
          </w:p>
        </w:tc>
        <w:tc>
          <w:tcPr>
            <w:tcW w:w="72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cs="仿宋_GB2312"/>
                <w:sz w:val="24"/>
                <w:szCs w:val="24"/>
              </w:rPr>
            </w:pPr>
            <w:r>
              <w:rPr>
                <w:rFonts w:hint="eastAsia" w:asciiTheme="minorEastAsia" w:hAnsiTheme="minorEastAsia" w:eastAsiaTheme="minorEastAsia" w:cstheme="minorEastAsia"/>
                <w:szCs w:val="21"/>
              </w:rPr>
              <w:t>质量保证措施</w:t>
            </w:r>
          </w:p>
        </w:tc>
        <w:tc>
          <w:tcPr>
            <w:tcW w:w="59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cs="仿宋_GB2312"/>
                <w:szCs w:val="21"/>
              </w:rPr>
            </w:pPr>
            <w:r>
              <w:rPr>
                <w:rFonts w:hint="eastAsia" w:ascii="宋体" w:hAnsi="宋体" w:cs="仿宋_GB2312"/>
                <w:szCs w:val="21"/>
              </w:rPr>
              <w:t>0-10分</w:t>
            </w:r>
          </w:p>
        </w:tc>
        <w:tc>
          <w:tcPr>
            <w:tcW w:w="30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hAnsi="宋体"/>
              </w:rPr>
            </w:pPr>
            <w:r>
              <w:rPr>
                <w:rFonts w:hint="eastAsia" w:ascii="宋体" w:hAnsi="宋体" w:cs="宋体"/>
                <w:bCs/>
                <w:szCs w:val="21"/>
              </w:rPr>
              <w:t>严格按照要求供货，供货规格、质量符合标准，保证安全不拖延，优秀得10-7分，一般得6-4分，较差得3-0分。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8" w:hRule="atLeast"/>
          <w:jc w:val="center"/>
        </w:trPr>
        <w:tc>
          <w:tcPr>
            <w:tcW w:w="432" w:type="pct"/>
            <w:vMerge w:val="continue"/>
            <w:tcBorders>
              <w:left w:val="single" w:color="auto" w:sz="4" w:space="0"/>
              <w:right w:val="single" w:color="auto" w:sz="4" w:space="0"/>
            </w:tcBorders>
            <w:vAlign w:val="center"/>
          </w:tcPr>
          <w:p>
            <w:pPr>
              <w:adjustRightInd w:val="0"/>
              <w:snapToGrid w:val="0"/>
              <w:spacing w:line="440" w:lineRule="exact"/>
              <w:jc w:val="center"/>
              <w:rPr>
                <w:rFonts w:ascii="宋体" w:hAnsi="宋体" w:cs="仿宋_GB2312"/>
                <w:b/>
                <w:bCs/>
                <w:sz w:val="24"/>
                <w:szCs w:val="24"/>
              </w:rPr>
            </w:pPr>
          </w:p>
        </w:tc>
        <w:tc>
          <w:tcPr>
            <w:tcW w:w="22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宋体" w:hAnsi="宋体" w:eastAsia="宋体" w:cs="仿宋_GB2312"/>
                <w:sz w:val="24"/>
                <w:szCs w:val="24"/>
                <w:lang w:eastAsia="zh-CN"/>
              </w:rPr>
            </w:pPr>
            <w:r>
              <w:rPr>
                <w:rFonts w:hint="eastAsia" w:ascii="宋体" w:hAnsi="宋体" w:cs="仿宋_GB2312"/>
                <w:sz w:val="24"/>
                <w:szCs w:val="24"/>
                <w:lang w:val="en-US" w:eastAsia="zh-CN"/>
              </w:rPr>
              <w:t>4</w:t>
            </w:r>
          </w:p>
        </w:tc>
        <w:tc>
          <w:tcPr>
            <w:tcW w:w="728"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szCs w:val="21"/>
              </w:rPr>
            </w:pPr>
            <w:r>
              <w:rPr>
                <w:rFonts w:hint="eastAsia" w:ascii="宋体" w:hAnsi="宋体" w:cs="宋体"/>
                <w:szCs w:val="21"/>
              </w:rPr>
              <w:t>应急措施</w:t>
            </w:r>
          </w:p>
        </w:tc>
        <w:tc>
          <w:tcPr>
            <w:tcW w:w="59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cs="仿宋_GB2312"/>
                <w:szCs w:val="21"/>
              </w:rPr>
            </w:pPr>
            <w:r>
              <w:rPr>
                <w:rFonts w:hint="eastAsia" w:ascii="宋体" w:hAnsi="宋体" w:cs="仿宋_GB2312"/>
                <w:szCs w:val="21"/>
              </w:rPr>
              <w:t>0-5分</w:t>
            </w:r>
          </w:p>
        </w:tc>
        <w:tc>
          <w:tcPr>
            <w:tcW w:w="3027"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hint="eastAsia" w:asciiTheme="minorEastAsia" w:hAnsiTheme="minorEastAsia" w:eastAsiaTheme="minorEastAsia" w:cstheme="minorEastAsia"/>
                <w:szCs w:val="21"/>
              </w:rPr>
              <w:t>根据供应商对设备采购、运输过程、人员等突发状况的应急处理措施</w:t>
            </w:r>
            <w:r>
              <w:rPr>
                <w:rFonts w:hint="eastAsia" w:ascii="宋体" w:hAnsi="宋体" w:cs="宋体"/>
                <w:bCs/>
                <w:szCs w:val="21"/>
              </w:rPr>
              <w:t>，优秀得5-3分，一般得2-0分。</w:t>
            </w:r>
          </w:p>
        </w:tc>
      </w:tr>
      <w:bookmarkEnd w:id="10"/>
    </w:tbl>
    <w:p>
      <w:pPr>
        <w:pStyle w:val="23"/>
        <w:snapToGrid w:val="0"/>
        <w:spacing w:line="500" w:lineRule="exact"/>
        <w:ind w:left="228" w:firstLine="484" w:firstLineChars="200"/>
        <w:rPr>
          <w:sz w:val="24"/>
          <w:szCs w:val="24"/>
        </w:rPr>
      </w:pPr>
      <w:r>
        <w:rPr>
          <w:rFonts w:hint="eastAsia"/>
          <w:sz w:val="24"/>
          <w:szCs w:val="24"/>
        </w:rPr>
        <w:t>按照评标委员会成员评分结果汇总数的算术平均分计算，计算公式为：</w:t>
      </w:r>
    </w:p>
    <w:p>
      <w:pPr>
        <w:pStyle w:val="23"/>
        <w:snapToGrid w:val="0"/>
        <w:spacing w:line="500" w:lineRule="exact"/>
        <w:ind w:left="228" w:firstLine="484" w:firstLineChars="200"/>
        <w:rPr>
          <w:sz w:val="24"/>
          <w:szCs w:val="24"/>
        </w:rPr>
      </w:pPr>
      <w:r>
        <w:rPr>
          <w:rFonts w:hint="eastAsia"/>
          <w:sz w:val="24"/>
          <w:szCs w:val="24"/>
        </w:rPr>
        <w:t>投标得分=（评标委员会所有成员评分合计数-最高分-最低分）/（评标委员会组成人员数-2）</w:t>
      </w:r>
    </w:p>
    <w:p>
      <w:pPr>
        <w:pStyle w:val="87"/>
        <w:spacing w:line="500" w:lineRule="exact"/>
        <w:ind w:firstLine="567"/>
        <w:jc w:val="both"/>
        <w:rPr>
          <w:rFonts w:ascii="宋体" w:hAnsi="宋体"/>
          <w:color w:val="auto"/>
        </w:rPr>
      </w:pPr>
      <w:r>
        <w:rPr>
          <w:rFonts w:hint="eastAsia" w:ascii="宋体" w:hAnsi="宋体"/>
          <w:color w:val="auto"/>
        </w:rPr>
        <w:t>26. 评标程序</w:t>
      </w:r>
    </w:p>
    <w:p>
      <w:pPr>
        <w:spacing w:line="500" w:lineRule="exact"/>
        <w:ind w:firstLine="560"/>
        <w:rPr>
          <w:rFonts w:ascii="宋体" w:hAnsi="宋体"/>
          <w:sz w:val="24"/>
          <w:szCs w:val="24"/>
        </w:rPr>
      </w:pPr>
      <w:r>
        <w:rPr>
          <w:rFonts w:hint="eastAsia" w:ascii="宋体" w:hAnsi="宋体"/>
          <w:sz w:val="24"/>
          <w:szCs w:val="24"/>
        </w:rPr>
        <w:t>26.1 投标文件初审：投标人的资格检查。</w:t>
      </w:r>
    </w:p>
    <w:p>
      <w:pPr>
        <w:spacing w:line="500" w:lineRule="exact"/>
        <w:ind w:firstLine="560"/>
        <w:rPr>
          <w:rFonts w:ascii="宋体" w:hAnsi="宋体"/>
          <w:sz w:val="24"/>
          <w:szCs w:val="24"/>
        </w:rPr>
      </w:pPr>
      <w:r>
        <w:rPr>
          <w:rFonts w:hint="eastAsia" w:ascii="宋体" w:hAnsi="宋体"/>
          <w:sz w:val="24"/>
          <w:szCs w:val="24"/>
        </w:rPr>
        <w:t xml:space="preserve">26.2 </w:t>
      </w:r>
      <w:r>
        <w:rPr>
          <w:rFonts w:ascii="宋体" w:hAnsi="宋体"/>
          <w:sz w:val="24"/>
          <w:szCs w:val="24"/>
        </w:rPr>
        <w:t>资格性检查。依据法律法规和招标文件的规定，对投标文件中的资格证明、投标保证金等进行审查，以确定投标供应商是否具备投标资格。</w:t>
      </w:r>
    </w:p>
    <w:p>
      <w:pPr>
        <w:spacing w:line="500" w:lineRule="exact"/>
        <w:ind w:firstLine="560"/>
        <w:rPr>
          <w:rFonts w:ascii="宋体" w:hAnsi="宋体"/>
          <w:sz w:val="24"/>
          <w:szCs w:val="24"/>
        </w:rPr>
      </w:pPr>
      <w:r>
        <w:rPr>
          <w:rFonts w:hint="eastAsia" w:ascii="宋体" w:hAnsi="宋体"/>
          <w:sz w:val="24"/>
          <w:szCs w:val="24"/>
        </w:rPr>
        <w:t>26.3 澄清有关问题。对投标文件中含义不明确、同类问题表述不一致或者有明显文字和计算错误的内容，评标委员会可以书面形式（应当由评标委员会专家签字）要求投标供应商作出必要的澄清、说明或者纠正。投标供应商的澄清、说明或者补正应当采用书面形式，由其授权的代表签字，并不得超出投标文件的范围或者改变投标文件的实质性内容。</w:t>
      </w:r>
    </w:p>
    <w:p>
      <w:pPr>
        <w:spacing w:line="500" w:lineRule="exact"/>
        <w:ind w:firstLine="560"/>
        <w:rPr>
          <w:rFonts w:ascii="宋体" w:hAnsi="宋体"/>
          <w:sz w:val="24"/>
          <w:szCs w:val="24"/>
        </w:rPr>
      </w:pPr>
      <w:r>
        <w:rPr>
          <w:rFonts w:hint="eastAsia" w:ascii="宋体" w:hAnsi="宋体"/>
          <w:sz w:val="24"/>
          <w:szCs w:val="24"/>
        </w:rPr>
        <w:t>26.4比较与评价。按招标文件中规定的评标方法和标准，对资格性检查和符合性检查合格的投标文件进行商务和技术评估，综合比较与评价。</w:t>
      </w:r>
    </w:p>
    <w:p>
      <w:pPr>
        <w:spacing w:line="500" w:lineRule="exact"/>
        <w:ind w:firstLine="560"/>
        <w:rPr>
          <w:rFonts w:ascii="宋体" w:hAnsi="宋体"/>
          <w:sz w:val="24"/>
          <w:szCs w:val="24"/>
        </w:rPr>
      </w:pPr>
      <w:r>
        <w:rPr>
          <w:rFonts w:hint="eastAsia" w:ascii="宋体" w:hAnsi="宋体"/>
          <w:sz w:val="24"/>
          <w:szCs w:val="24"/>
        </w:rPr>
        <w:t>26.5 推荐中标候选供应商名单。中标候选供应商数量应当根据采购需要确定，但必须按顺序排列中标候选供应商。</w:t>
      </w:r>
    </w:p>
    <w:p>
      <w:pPr>
        <w:spacing w:line="500" w:lineRule="exact"/>
        <w:ind w:firstLine="484" w:firstLineChars="200"/>
        <w:rPr>
          <w:rFonts w:ascii="宋体" w:hAnsi="宋体"/>
          <w:b/>
          <w:bCs/>
          <w:kern w:val="0"/>
          <w:sz w:val="24"/>
          <w:szCs w:val="24"/>
        </w:rPr>
      </w:pPr>
      <w:r>
        <w:rPr>
          <w:rFonts w:hint="eastAsia" w:ascii="宋体" w:hAnsi="宋体"/>
          <w:b/>
          <w:sz w:val="24"/>
          <w:szCs w:val="24"/>
        </w:rPr>
        <w:t xml:space="preserve">26.6 </w:t>
      </w:r>
      <w:r>
        <w:rPr>
          <w:rFonts w:hint="eastAsia" w:ascii="宋体" w:hAnsi="宋体"/>
          <w:b/>
          <w:bCs/>
          <w:sz w:val="24"/>
          <w:szCs w:val="24"/>
        </w:rPr>
        <w:t>投标文件属下列情况之一的，应</w:t>
      </w:r>
      <w:r>
        <w:rPr>
          <w:rFonts w:hint="eastAsia" w:ascii="宋体" w:hAnsi="宋体"/>
          <w:b/>
          <w:bCs/>
          <w:kern w:val="0"/>
          <w:sz w:val="24"/>
          <w:szCs w:val="24"/>
        </w:rPr>
        <w:t>当在资格性检查时按照无效投标处理：</w:t>
      </w:r>
    </w:p>
    <w:p>
      <w:pPr>
        <w:spacing w:line="500" w:lineRule="exact"/>
        <w:ind w:firstLine="236" w:firstLineChars="98"/>
        <w:rPr>
          <w:rFonts w:ascii="宋体" w:hAnsi="宋体"/>
          <w:kern w:val="0"/>
          <w:sz w:val="24"/>
          <w:szCs w:val="24"/>
        </w:rPr>
      </w:pPr>
      <w:r>
        <w:rPr>
          <w:rFonts w:hint="eastAsia" w:ascii="宋体" w:hAnsi="宋体"/>
          <w:kern w:val="0"/>
          <w:sz w:val="24"/>
          <w:szCs w:val="24"/>
        </w:rPr>
        <w:t>(一)未按照招标文件的规定提交投标保证金的;</w:t>
      </w:r>
    </w:p>
    <w:p>
      <w:pPr>
        <w:spacing w:line="500" w:lineRule="exact"/>
        <w:ind w:firstLine="242" w:firstLineChars="100"/>
        <w:rPr>
          <w:rFonts w:ascii="宋体" w:hAnsi="宋体"/>
          <w:kern w:val="0"/>
          <w:sz w:val="24"/>
          <w:szCs w:val="24"/>
        </w:rPr>
      </w:pPr>
      <w:r>
        <w:rPr>
          <w:rFonts w:hint="eastAsia" w:ascii="宋体" w:hAnsi="宋体"/>
          <w:kern w:val="0"/>
          <w:sz w:val="24"/>
          <w:szCs w:val="24"/>
        </w:rPr>
        <w:t>(二)投标文件未按招标文件要求签署、盖章的;</w:t>
      </w:r>
    </w:p>
    <w:p>
      <w:pPr>
        <w:spacing w:line="500" w:lineRule="exact"/>
        <w:ind w:firstLine="242" w:firstLineChars="100"/>
        <w:rPr>
          <w:rFonts w:ascii="宋体" w:hAnsi="宋体"/>
          <w:kern w:val="0"/>
          <w:sz w:val="24"/>
          <w:szCs w:val="24"/>
        </w:rPr>
      </w:pPr>
      <w:r>
        <w:rPr>
          <w:rFonts w:hint="eastAsia" w:ascii="宋体" w:hAnsi="宋体"/>
          <w:kern w:val="0"/>
          <w:sz w:val="24"/>
          <w:szCs w:val="24"/>
        </w:rPr>
        <w:t>(三)不具备招标文件中规定的资格要求的;</w:t>
      </w:r>
    </w:p>
    <w:p>
      <w:pPr>
        <w:spacing w:line="500" w:lineRule="exact"/>
        <w:ind w:firstLine="242" w:firstLineChars="100"/>
        <w:rPr>
          <w:rFonts w:ascii="宋体" w:hAnsi="宋体"/>
          <w:kern w:val="0"/>
          <w:sz w:val="24"/>
          <w:szCs w:val="24"/>
        </w:rPr>
      </w:pPr>
      <w:r>
        <w:rPr>
          <w:rFonts w:hint="eastAsia" w:ascii="宋体" w:hAnsi="宋体"/>
          <w:kern w:val="0"/>
          <w:sz w:val="24"/>
          <w:szCs w:val="24"/>
        </w:rPr>
        <w:t>(四)报价超过招标文件中规定的预算金额或者最高限价的;</w:t>
      </w:r>
    </w:p>
    <w:p>
      <w:pPr>
        <w:spacing w:line="500" w:lineRule="exact"/>
        <w:ind w:firstLine="242" w:firstLineChars="100"/>
        <w:rPr>
          <w:rFonts w:ascii="宋体" w:hAnsi="宋体"/>
          <w:kern w:val="0"/>
          <w:sz w:val="24"/>
          <w:szCs w:val="24"/>
        </w:rPr>
      </w:pPr>
      <w:r>
        <w:rPr>
          <w:rFonts w:hint="eastAsia" w:ascii="宋体" w:hAnsi="宋体"/>
          <w:kern w:val="0"/>
          <w:sz w:val="24"/>
          <w:szCs w:val="24"/>
        </w:rPr>
        <w:t>(五)投标文件含有采购人不能接受的附加条件的;</w:t>
      </w:r>
    </w:p>
    <w:p>
      <w:pPr>
        <w:spacing w:line="500" w:lineRule="exact"/>
        <w:ind w:firstLine="242" w:firstLineChars="100"/>
        <w:rPr>
          <w:rFonts w:ascii="宋体" w:hAnsi="宋体"/>
          <w:kern w:val="0"/>
          <w:sz w:val="24"/>
          <w:szCs w:val="24"/>
        </w:rPr>
      </w:pPr>
      <w:r>
        <w:rPr>
          <w:rFonts w:hint="eastAsia" w:ascii="宋体" w:hAnsi="宋体"/>
          <w:kern w:val="0"/>
          <w:sz w:val="24"/>
          <w:szCs w:val="24"/>
        </w:rPr>
        <w:t>(六)法律、法规和招标文件规定的其他无效情形。</w:t>
      </w:r>
    </w:p>
    <w:p>
      <w:pPr>
        <w:spacing w:line="500" w:lineRule="exact"/>
        <w:rPr>
          <w:rFonts w:ascii="宋体" w:hAnsi="宋体"/>
          <w:kern w:val="0"/>
          <w:sz w:val="24"/>
          <w:szCs w:val="24"/>
        </w:rPr>
      </w:pPr>
      <w:r>
        <w:rPr>
          <w:rFonts w:hint="eastAsia" w:ascii="宋体" w:hAnsi="宋体"/>
          <w:sz w:val="24"/>
          <w:szCs w:val="24"/>
        </w:rPr>
        <w:t>26.7</w:t>
      </w:r>
      <w:r>
        <w:rPr>
          <w:rFonts w:hint="eastAsia" w:ascii="宋体" w:hAnsi="宋体"/>
          <w:b/>
          <w:bCs/>
          <w:kern w:val="0"/>
          <w:sz w:val="24"/>
          <w:szCs w:val="24"/>
        </w:rPr>
        <w:t>在招标采购中，出现下列规定情形之一的，招标采购单位应当予以废标，并将废标理由通知所有投标供应商。</w:t>
      </w:r>
    </w:p>
    <w:p>
      <w:pPr>
        <w:spacing w:line="500" w:lineRule="exact"/>
        <w:ind w:firstLine="484" w:firstLineChars="200"/>
        <w:rPr>
          <w:rFonts w:ascii="宋体" w:hAnsi="宋体"/>
          <w:kern w:val="0"/>
          <w:sz w:val="24"/>
          <w:szCs w:val="24"/>
        </w:rPr>
      </w:pPr>
      <w:r>
        <w:rPr>
          <w:rFonts w:ascii="宋体" w:hAnsi="宋体"/>
          <w:kern w:val="0"/>
          <w:sz w:val="24"/>
          <w:szCs w:val="24"/>
        </w:rPr>
        <w:t>（一）符合专业条件的供应商或者对招标文件作实质响应的供应商不足三家的；</w:t>
      </w:r>
    </w:p>
    <w:p>
      <w:pPr>
        <w:spacing w:line="500" w:lineRule="exact"/>
        <w:rPr>
          <w:rFonts w:ascii="宋体" w:hAnsi="宋体"/>
          <w:kern w:val="0"/>
          <w:sz w:val="24"/>
          <w:szCs w:val="24"/>
        </w:rPr>
      </w:pPr>
      <w:r>
        <w:rPr>
          <w:rFonts w:ascii="宋体" w:hAnsi="宋体"/>
          <w:kern w:val="0"/>
          <w:sz w:val="24"/>
          <w:szCs w:val="24"/>
        </w:rPr>
        <w:t>　　（二）出现影响采购公正的违法、违规行为的；</w:t>
      </w:r>
    </w:p>
    <w:p>
      <w:pPr>
        <w:spacing w:line="500" w:lineRule="exact"/>
        <w:rPr>
          <w:rFonts w:ascii="宋体" w:hAnsi="宋体"/>
          <w:kern w:val="0"/>
          <w:sz w:val="24"/>
          <w:szCs w:val="24"/>
        </w:rPr>
      </w:pPr>
      <w:r>
        <w:rPr>
          <w:rFonts w:ascii="宋体" w:hAnsi="宋体"/>
          <w:kern w:val="0"/>
          <w:sz w:val="24"/>
          <w:szCs w:val="24"/>
        </w:rPr>
        <w:t>　　（三）投标供应商的报价均超过了采购预算，采购人不能支付的；</w:t>
      </w:r>
    </w:p>
    <w:p>
      <w:pPr>
        <w:spacing w:line="500" w:lineRule="exact"/>
        <w:rPr>
          <w:rFonts w:ascii="宋体" w:hAnsi="宋体"/>
          <w:kern w:val="0"/>
          <w:sz w:val="24"/>
          <w:szCs w:val="24"/>
        </w:rPr>
      </w:pPr>
      <w:r>
        <w:rPr>
          <w:rFonts w:ascii="宋体" w:hAnsi="宋体"/>
          <w:kern w:val="0"/>
          <w:sz w:val="24"/>
          <w:szCs w:val="24"/>
        </w:rPr>
        <w:t>　　（四）因重大变故，采购任务取消的。</w:t>
      </w:r>
    </w:p>
    <w:p>
      <w:pPr>
        <w:spacing w:line="500" w:lineRule="exact"/>
        <w:rPr>
          <w:rFonts w:ascii="宋体" w:hAnsi="宋体"/>
          <w:kern w:val="0"/>
          <w:sz w:val="24"/>
          <w:szCs w:val="24"/>
        </w:rPr>
      </w:pPr>
      <w:r>
        <w:rPr>
          <w:rFonts w:hint="eastAsia" w:ascii="宋体" w:hAnsi="宋体"/>
          <w:kern w:val="0"/>
          <w:sz w:val="24"/>
          <w:szCs w:val="24"/>
        </w:rPr>
        <w:t xml:space="preserve">    26.8 废标后，除采购任务取消情形外，招标采购单位应当重新组织招标。需要采取其他采购方式的，应当在采购活动开始前获得设区的市、自治州以上人民政府财政部门的批准。</w:t>
      </w:r>
    </w:p>
    <w:p>
      <w:pPr>
        <w:spacing w:line="500" w:lineRule="exact"/>
        <w:ind w:firstLine="484" w:firstLineChars="200"/>
        <w:rPr>
          <w:rFonts w:ascii="宋体" w:hAnsi="宋体"/>
          <w:kern w:val="0"/>
          <w:sz w:val="24"/>
          <w:szCs w:val="24"/>
        </w:rPr>
      </w:pPr>
      <w:r>
        <w:rPr>
          <w:rFonts w:hint="eastAsia" w:ascii="宋体" w:hAnsi="宋体"/>
          <w:kern w:val="0"/>
          <w:sz w:val="24"/>
          <w:szCs w:val="24"/>
        </w:rPr>
        <w:t>27. 定标</w:t>
      </w:r>
    </w:p>
    <w:p>
      <w:pPr>
        <w:spacing w:line="500" w:lineRule="exact"/>
        <w:ind w:firstLine="484" w:firstLineChars="200"/>
        <w:rPr>
          <w:rFonts w:ascii="宋体" w:hAnsi="宋体"/>
          <w:kern w:val="0"/>
          <w:sz w:val="24"/>
          <w:szCs w:val="24"/>
        </w:rPr>
      </w:pPr>
      <w:r>
        <w:rPr>
          <w:rFonts w:hint="eastAsia" w:ascii="宋体" w:hAnsi="宋体"/>
          <w:kern w:val="0"/>
          <w:sz w:val="24"/>
          <w:szCs w:val="24"/>
        </w:rPr>
        <w:t>27.1</w:t>
      </w:r>
      <w:r>
        <w:rPr>
          <w:rFonts w:ascii="宋体" w:hAnsi="宋体"/>
          <w:kern w:val="0"/>
          <w:sz w:val="24"/>
          <w:szCs w:val="24"/>
        </w:rPr>
        <w:t>采用综合评分法的，按评审后得分由高到低顺序排列。得分相同的，按投标报价由低到高顺序排列。得分且投标报价相同的，按技术指标优劣顺序排列。</w:t>
      </w:r>
    </w:p>
    <w:p>
      <w:pPr>
        <w:spacing w:line="500" w:lineRule="exact"/>
        <w:ind w:firstLine="484" w:firstLineChars="200"/>
        <w:rPr>
          <w:rFonts w:ascii="宋体" w:hAnsi="宋体"/>
          <w:kern w:val="0"/>
          <w:sz w:val="24"/>
          <w:szCs w:val="24"/>
        </w:rPr>
      </w:pPr>
      <w:r>
        <w:rPr>
          <w:rFonts w:hint="eastAsia" w:ascii="宋体" w:hAnsi="宋体"/>
          <w:kern w:val="0"/>
          <w:sz w:val="24"/>
          <w:szCs w:val="24"/>
        </w:rPr>
        <w:t>28. 中标供应商的确认</w:t>
      </w:r>
    </w:p>
    <w:p>
      <w:pPr>
        <w:spacing w:line="500" w:lineRule="exact"/>
        <w:ind w:firstLine="484" w:firstLineChars="200"/>
        <w:rPr>
          <w:rFonts w:ascii="宋体" w:hAnsi="宋体"/>
          <w:kern w:val="0"/>
          <w:sz w:val="24"/>
          <w:szCs w:val="24"/>
        </w:rPr>
      </w:pPr>
      <w:r>
        <w:rPr>
          <w:rFonts w:hint="eastAsia" w:ascii="宋体" w:hAnsi="宋体"/>
          <w:kern w:val="0"/>
          <w:sz w:val="24"/>
          <w:szCs w:val="24"/>
        </w:rPr>
        <w:t>28.1  评标委员会以书面形式推荐三名中标候选人。采购人应当接受评标委员会推荐的中标候选人，不得在评标委员会推荐的中标候选人之外确定中标供应商。评标委员会无义务向投标供应商进行任何有关评标的解释工作。</w:t>
      </w:r>
    </w:p>
    <w:p>
      <w:pPr>
        <w:spacing w:line="500" w:lineRule="exact"/>
        <w:ind w:firstLine="484" w:firstLineChars="200"/>
        <w:rPr>
          <w:rFonts w:ascii="宋体" w:hAnsi="宋体"/>
          <w:sz w:val="24"/>
          <w:szCs w:val="24"/>
        </w:rPr>
      </w:pPr>
      <w:r>
        <w:rPr>
          <w:rFonts w:hint="eastAsia" w:ascii="宋体" w:hAnsi="宋体"/>
          <w:kern w:val="0"/>
          <w:sz w:val="24"/>
          <w:szCs w:val="24"/>
        </w:rPr>
        <w:t>28.2  使用国有资金投资或者国家融资的项目，采购人应当确定排名第</w:t>
      </w:r>
      <w:r>
        <w:rPr>
          <w:rFonts w:hint="eastAsia" w:ascii="宋体" w:hAnsi="宋体"/>
          <w:sz w:val="24"/>
          <w:szCs w:val="24"/>
        </w:rPr>
        <w:t>一的中标候选人为中标供应商。排名第一的中标候选人放弃中标、因不可抗力提出不能履行合同，或者招标文件规定应当提交履约保证金而在规定的期限内未能提交的，采购人可以确定排名第二的中标候选人为中标供应商。</w:t>
      </w:r>
    </w:p>
    <w:p>
      <w:pPr>
        <w:pStyle w:val="87"/>
        <w:spacing w:line="500" w:lineRule="exact"/>
        <w:ind w:firstLine="567"/>
        <w:jc w:val="both"/>
        <w:rPr>
          <w:rFonts w:ascii="宋体" w:hAnsi="宋体"/>
          <w:color w:val="auto"/>
        </w:rPr>
      </w:pPr>
      <w:r>
        <w:rPr>
          <w:rFonts w:hint="eastAsia" w:ascii="宋体" w:hAnsi="宋体"/>
          <w:color w:val="auto"/>
        </w:rPr>
        <w:t>排名第二的中标候选人因前款规定的同样原因不能签订合同的，采购人可以确定排名第三的中标候选人为中标供应商。</w:t>
      </w:r>
    </w:p>
    <w:p>
      <w:pPr>
        <w:pStyle w:val="87"/>
        <w:spacing w:line="500" w:lineRule="exact"/>
        <w:ind w:firstLine="567"/>
        <w:jc w:val="both"/>
        <w:rPr>
          <w:rFonts w:ascii="宋体" w:hAnsi="宋体"/>
          <w:color w:val="auto"/>
        </w:rPr>
      </w:pPr>
      <w:r>
        <w:rPr>
          <w:rFonts w:ascii="宋体" w:hAnsi="宋体"/>
          <w:color w:val="auto"/>
        </w:rPr>
        <w:t>2</w:t>
      </w:r>
      <w:r>
        <w:rPr>
          <w:rFonts w:hint="eastAsia" w:ascii="宋体" w:hAnsi="宋体"/>
          <w:color w:val="auto"/>
        </w:rPr>
        <w:t>8.3  采购代理机构应当在评标结束后2个工作日内将评标报告送采购人。采购人应当自收到评标报告之日起５个工作日内，在评标报告确定的中标候选人名单中按顺序确定中标人。</w:t>
      </w:r>
    </w:p>
    <w:p>
      <w:pPr>
        <w:pStyle w:val="87"/>
        <w:spacing w:line="500" w:lineRule="exact"/>
        <w:ind w:firstLine="567"/>
        <w:jc w:val="both"/>
        <w:rPr>
          <w:rFonts w:ascii="宋体" w:hAnsi="宋体"/>
          <w:color w:val="auto"/>
        </w:rPr>
      </w:pPr>
      <w:r>
        <w:rPr>
          <w:rFonts w:hint="eastAsia" w:ascii="宋体" w:hAnsi="宋体"/>
          <w:color w:val="auto"/>
        </w:rPr>
        <w:t>28.4 在确定中标供应商前，招标采购单位不得与投标供应商就投标价格、投标方案等实质性内容进行谈判。</w:t>
      </w:r>
    </w:p>
    <w:p>
      <w:pPr>
        <w:spacing w:line="500" w:lineRule="exact"/>
        <w:ind w:firstLine="484" w:firstLineChars="200"/>
        <w:rPr>
          <w:rFonts w:ascii="宋体" w:hAnsi="宋体"/>
          <w:sz w:val="24"/>
          <w:szCs w:val="24"/>
        </w:rPr>
      </w:pPr>
      <w:r>
        <w:rPr>
          <w:rFonts w:hint="eastAsia" w:ascii="宋体" w:hAnsi="宋体"/>
          <w:sz w:val="24"/>
          <w:szCs w:val="24"/>
        </w:rPr>
        <w:t>29. 中标通知</w:t>
      </w:r>
    </w:p>
    <w:p>
      <w:pPr>
        <w:pStyle w:val="87"/>
        <w:spacing w:line="500" w:lineRule="exact"/>
        <w:ind w:firstLine="567"/>
        <w:jc w:val="both"/>
        <w:rPr>
          <w:rFonts w:ascii="宋体" w:hAnsi="宋体"/>
          <w:color w:val="auto"/>
        </w:rPr>
      </w:pPr>
      <w:r>
        <w:rPr>
          <w:rFonts w:hint="eastAsia" w:ascii="宋体" w:hAnsi="宋体"/>
          <w:color w:val="auto"/>
        </w:rPr>
        <w:t xml:space="preserve">29.1  </w:t>
      </w:r>
      <w:r>
        <w:rPr>
          <w:rFonts w:ascii="宋体" w:hAnsi="宋体"/>
          <w:color w:val="auto"/>
        </w:rPr>
        <w:t>中标供应商确定后，中标结果应当在财政部门指定的政府采购信息发布媒体上公告。</w:t>
      </w:r>
    </w:p>
    <w:p>
      <w:pPr>
        <w:pStyle w:val="87"/>
        <w:spacing w:line="500" w:lineRule="exact"/>
        <w:ind w:firstLine="567"/>
        <w:jc w:val="both"/>
        <w:rPr>
          <w:rFonts w:ascii="宋体" w:hAnsi="宋体"/>
          <w:color w:val="auto"/>
        </w:rPr>
      </w:pPr>
      <w:r>
        <w:rPr>
          <w:rFonts w:hint="eastAsia" w:ascii="宋体" w:hAnsi="宋体"/>
          <w:color w:val="auto"/>
        </w:rPr>
        <w:t xml:space="preserve">29.2  </w:t>
      </w:r>
      <w:r>
        <w:rPr>
          <w:rFonts w:ascii="宋体" w:hAnsi="宋体"/>
          <w:color w:val="auto"/>
        </w:rPr>
        <w:t>在发布公告的同时，招标</w:t>
      </w:r>
      <w:r>
        <w:rPr>
          <w:rFonts w:hint="eastAsia" w:ascii="宋体" w:hAnsi="宋体"/>
          <w:color w:val="auto"/>
        </w:rPr>
        <w:t>代理机构</w:t>
      </w:r>
      <w:r>
        <w:rPr>
          <w:rFonts w:ascii="宋体" w:hAnsi="宋体"/>
          <w:color w:val="auto"/>
        </w:rPr>
        <w:t>应当向中标供应商发出中标通知书，中标通知书对采购人和中标供应商具有同等法律效力</w:t>
      </w:r>
      <w:r>
        <w:rPr>
          <w:rFonts w:hint="eastAsia" w:ascii="宋体" w:hAnsi="宋体"/>
          <w:color w:val="auto"/>
        </w:rPr>
        <w:t>。</w:t>
      </w:r>
      <w:bookmarkEnd w:id="9"/>
    </w:p>
    <w:p>
      <w:pPr>
        <w:pStyle w:val="87"/>
        <w:spacing w:line="500" w:lineRule="exact"/>
        <w:jc w:val="center"/>
        <w:outlineLvl w:val="1"/>
        <w:rPr>
          <w:rFonts w:ascii="宋体" w:hAnsi="宋体"/>
          <w:color w:val="auto"/>
        </w:rPr>
      </w:pPr>
      <w:bookmarkStart w:id="11" w:name="_Toc9740"/>
      <w:r>
        <w:rPr>
          <w:rFonts w:hint="eastAsia" w:ascii="宋体" w:hAnsi="宋体"/>
          <w:color w:val="auto"/>
        </w:rPr>
        <w:t>七、授予合同</w:t>
      </w:r>
      <w:bookmarkEnd w:id="11"/>
    </w:p>
    <w:p>
      <w:pPr>
        <w:pStyle w:val="87"/>
        <w:spacing w:line="500" w:lineRule="exact"/>
        <w:ind w:firstLine="484" w:firstLineChars="200"/>
        <w:jc w:val="both"/>
        <w:rPr>
          <w:rFonts w:ascii="宋体" w:hAnsi="宋体"/>
          <w:color w:val="auto"/>
        </w:rPr>
      </w:pPr>
      <w:r>
        <w:rPr>
          <w:rFonts w:hint="eastAsia" w:ascii="宋体" w:hAnsi="宋体"/>
          <w:color w:val="auto"/>
        </w:rPr>
        <w:t>31.  签订商务合同</w:t>
      </w:r>
    </w:p>
    <w:p>
      <w:pPr>
        <w:pStyle w:val="87"/>
        <w:spacing w:line="500" w:lineRule="exact"/>
        <w:ind w:firstLine="484" w:firstLineChars="200"/>
        <w:jc w:val="both"/>
        <w:rPr>
          <w:rFonts w:ascii="宋体" w:hAnsi="宋体"/>
          <w:color w:val="auto"/>
        </w:rPr>
      </w:pPr>
      <w:r>
        <w:rPr>
          <w:rFonts w:hint="eastAsia" w:ascii="宋体" w:hAnsi="宋体"/>
          <w:color w:val="auto"/>
        </w:rPr>
        <w:t>31.1  中标供应商应当在收到《中标通知书》后的30日内与采购人签订合同。</w:t>
      </w:r>
    </w:p>
    <w:p>
      <w:pPr>
        <w:pStyle w:val="87"/>
        <w:spacing w:line="500" w:lineRule="exact"/>
        <w:ind w:firstLine="484" w:firstLineChars="200"/>
        <w:jc w:val="both"/>
        <w:rPr>
          <w:rFonts w:ascii="宋体" w:hAnsi="宋体"/>
          <w:color w:val="auto"/>
        </w:rPr>
      </w:pPr>
      <w:r>
        <w:rPr>
          <w:rFonts w:hint="eastAsia" w:ascii="宋体" w:hAnsi="宋体"/>
          <w:color w:val="auto"/>
        </w:rPr>
        <w:t>31.2  中标合同不得转让。合同分包需在投标文件中予以说明，并需经买方同意。否则，买方有权取消中标供应商的中标资格。</w:t>
      </w:r>
    </w:p>
    <w:p>
      <w:pPr>
        <w:pStyle w:val="87"/>
        <w:spacing w:line="500" w:lineRule="exact"/>
        <w:ind w:firstLine="484" w:firstLineChars="200"/>
        <w:jc w:val="both"/>
        <w:rPr>
          <w:rFonts w:ascii="宋体" w:hAnsi="宋体"/>
          <w:color w:val="auto"/>
        </w:rPr>
      </w:pPr>
      <w:r>
        <w:rPr>
          <w:rFonts w:hint="eastAsia" w:ascii="宋体" w:hAnsi="宋体"/>
          <w:color w:val="auto"/>
        </w:rPr>
        <w:t>31.3  如中标供应商拒签合同, 招标代理机构可从评委推荐出的中标候选人中按推荐顺序重新选定中标供应商，并组织中标供应商和买方签订商务合同。</w:t>
      </w:r>
    </w:p>
    <w:p>
      <w:pPr>
        <w:pStyle w:val="87"/>
        <w:spacing w:line="500" w:lineRule="exact"/>
        <w:ind w:firstLine="484" w:firstLineChars="200"/>
        <w:jc w:val="both"/>
        <w:rPr>
          <w:rFonts w:ascii="宋体" w:hAnsi="宋体"/>
          <w:color w:val="auto"/>
        </w:rPr>
      </w:pPr>
      <w:r>
        <w:rPr>
          <w:rFonts w:hint="eastAsia" w:ascii="宋体" w:hAnsi="宋体"/>
          <w:color w:val="auto"/>
        </w:rPr>
        <w:t xml:space="preserve">32.  商务合同的组成  </w:t>
      </w:r>
    </w:p>
    <w:p>
      <w:pPr>
        <w:pStyle w:val="87"/>
        <w:spacing w:line="500" w:lineRule="exact"/>
        <w:ind w:firstLine="484" w:firstLineChars="200"/>
        <w:jc w:val="both"/>
        <w:rPr>
          <w:rFonts w:ascii="宋体" w:hAnsi="宋体"/>
          <w:color w:val="auto"/>
        </w:rPr>
      </w:pPr>
      <w:r>
        <w:rPr>
          <w:rFonts w:hint="eastAsia" w:ascii="宋体" w:hAnsi="宋体"/>
          <w:color w:val="auto"/>
        </w:rPr>
        <w:t>32.1  下列文件均为商务合同不可分割的组成部分：</w:t>
      </w:r>
    </w:p>
    <w:p>
      <w:pPr>
        <w:pStyle w:val="87"/>
        <w:spacing w:line="500" w:lineRule="exact"/>
        <w:ind w:firstLine="484" w:firstLineChars="200"/>
        <w:jc w:val="both"/>
        <w:rPr>
          <w:rFonts w:ascii="宋体" w:hAnsi="宋体"/>
          <w:color w:val="auto"/>
        </w:rPr>
      </w:pPr>
      <w:r>
        <w:rPr>
          <w:rFonts w:hint="eastAsia" w:ascii="宋体" w:hAnsi="宋体"/>
          <w:color w:val="auto"/>
        </w:rPr>
        <w:t>32.1.1  招标文件；</w:t>
      </w:r>
    </w:p>
    <w:p>
      <w:pPr>
        <w:pStyle w:val="87"/>
        <w:spacing w:line="500" w:lineRule="exact"/>
        <w:ind w:firstLine="484" w:firstLineChars="200"/>
        <w:jc w:val="both"/>
        <w:rPr>
          <w:rFonts w:ascii="宋体" w:hAnsi="宋体"/>
          <w:color w:val="auto"/>
        </w:rPr>
      </w:pPr>
      <w:r>
        <w:rPr>
          <w:rFonts w:hint="eastAsia" w:ascii="宋体" w:hAnsi="宋体"/>
          <w:color w:val="auto"/>
        </w:rPr>
        <w:t>32.1.2  卖方中标的投标文件；</w:t>
      </w:r>
    </w:p>
    <w:p>
      <w:pPr>
        <w:pStyle w:val="87"/>
        <w:spacing w:line="500" w:lineRule="exact"/>
        <w:ind w:firstLine="484" w:firstLineChars="200"/>
        <w:jc w:val="both"/>
        <w:rPr>
          <w:rFonts w:ascii="宋体" w:hAnsi="宋体"/>
          <w:color w:val="auto"/>
        </w:rPr>
      </w:pPr>
      <w:r>
        <w:rPr>
          <w:rFonts w:hint="eastAsia" w:ascii="宋体" w:hAnsi="宋体"/>
          <w:color w:val="auto"/>
        </w:rPr>
        <w:t>32.1.3  中标通知书；</w:t>
      </w:r>
    </w:p>
    <w:p>
      <w:pPr>
        <w:pStyle w:val="87"/>
        <w:spacing w:line="500" w:lineRule="exact"/>
        <w:ind w:firstLine="484" w:firstLineChars="200"/>
        <w:rPr>
          <w:rFonts w:ascii="宋体" w:hAnsi="宋体"/>
          <w:color w:val="auto"/>
        </w:rPr>
      </w:pPr>
      <w:r>
        <w:rPr>
          <w:rFonts w:hint="eastAsia" w:ascii="宋体" w:hAnsi="宋体"/>
          <w:color w:val="auto"/>
        </w:rPr>
        <w:t>32.1.4  投标供应商澄清、说明或补正文件。</w:t>
      </w:r>
      <w:bookmarkStart w:id="12" w:name="_Toc7315"/>
    </w:p>
    <w:p>
      <w:pPr>
        <w:pStyle w:val="87"/>
        <w:spacing w:line="500" w:lineRule="exact"/>
        <w:jc w:val="center"/>
        <w:outlineLvl w:val="1"/>
        <w:rPr>
          <w:rFonts w:ascii="宋体" w:hAnsi="宋体"/>
          <w:color w:val="auto"/>
        </w:rPr>
      </w:pPr>
      <w:r>
        <w:rPr>
          <w:rFonts w:hint="eastAsia" w:ascii="宋体" w:hAnsi="宋体"/>
          <w:color w:val="auto"/>
        </w:rPr>
        <w:t>八、买方授标时更改采购货物数量的权利</w:t>
      </w:r>
      <w:bookmarkEnd w:id="12"/>
    </w:p>
    <w:p>
      <w:pPr>
        <w:pStyle w:val="87"/>
        <w:spacing w:line="500" w:lineRule="exact"/>
        <w:ind w:firstLine="484" w:firstLineChars="200"/>
        <w:rPr>
          <w:rFonts w:ascii="宋体" w:hAnsi="宋体"/>
          <w:color w:val="auto"/>
        </w:rPr>
      </w:pPr>
      <w:r>
        <w:rPr>
          <w:rFonts w:hint="eastAsia" w:ascii="宋体" w:hAnsi="宋体"/>
          <w:color w:val="auto"/>
        </w:rPr>
        <w:t>33.  招标方在授予合同时有权在“招标货物需求及技术规格要求”中规定的货物数量和服务予以局部增加或减少，但比例不超过10%，并且不得对单价或其它实质性内容做任何改变，对增加的数量按同类型中标价格支付货款。</w:t>
      </w:r>
    </w:p>
    <w:p>
      <w:pPr>
        <w:pStyle w:val="87"/>
        <w:spacing w:line="500" w:lineRule="exact"/>
        <w:jc w:val="center"/>
        <w:outlineLvl w:val="1"/>
        <w:rPr>
          <w:rFonts w:ascii="宋体" w:hAnsi="宋体"/>
          <w:color w:val="auto"/>
        </w:rPr>
      </w:pPr>
      <w:bookmarkStart w:id="13" w:name="_Toc5835"/>
      <w:r>
        <w:rPr>
          <w:rFonts w:hint="eastAsia" w:ascii="宋体" w:hAnsi="宋体"/>
          <w:color w:val="auto"/>
        </w:rPr>
        <w:t>九、其他事项</w:t>
      </w:r>
      <w:bookmarkEnd w:id="13"/>
    </w:p>
    <w:p>
      <w:pPr>
        <w:pStyle w:val="87"/>
        <w:spacing w:line="500" w:lineRule="exact"/>
        <w:ind w:firstLine="484" w:firstLineChars="200"/>
        <w:jc w:val="both"/>
        <w:rPr>
          <w:rFonts w:ascii="宋体" w:hAnsi="宋体"/>
          <w:color w:val="auto"/>
        </w:rPr>
      </w:pPr>
      <w:r>
        <w:rPr>
          <w:rFonts w:hint="eastAsia" w:ascii="宋体" w:hAnsi="宋体"/>
          <w:color w:val="auto"/>
        </w:rPr>
        <w:t>34.  中标服务费</w:t>
      </w:r>
    </w:p>
    <w:p>
      <w:pPr>
        <w:pStyle w:val="87"/>
        <w:spacing w:line="500" w:lineRule="exact"/>
        <w:ind w:firstLine="484" w:firstLineChars="200"/>
        <w:jc w:val="both"/>
        <w:rPr>
          <w:rFonts w:ascii="宋体" w:hAnsi="宋体"/>
          <w:color w:val="auto"/>
        </w:rPr>
      </w:pPr>
      <w:r>
        <w:rPr>
          <w:rFonts w:hint="eastAsia" w:ascii="宋体" w:hAnsi="宋体"/>
          <w:color w:val="auto"/>
        </w:rPr>
        <w:t>34.1 《中标通知书》核发后3天内，中标方必须向招标代理机构</w:t>
      </w:r>
      <w:r>
        <w:rPr>
          <w:rFonts w:hint="eastAsia" w:ascii="宋体" w:hAnsi="宋体" w:cs="宋体"/>
          <w:color w:val="auto"/>
        </w:rPr>
        <w:t>按照国家发改价格（2011）534号文及发改办价格[2015]299号文</w:t>
      </w:r>
      <w:r>
        <w:rPr>
          <w:rFonts w:hint="eastAsia" w:ascii="宋体" w:hAnsi="宋体"/>
          <w:color w:val="auto"/>
        </w:rPr>
        <w:t>的收费标准一次性付清中标服务费。</w:t>
      </w:r>
    </w:p>
    <w:p>
      <w:pPr>
        <w:pStyle w:val="87"/>
        <w:spacing w:line="500" w:lineRule="exact"/>
        <w:ind w:firstLine="484" w:firstLineChars="200"/>
        <w:jc w:val="both"/>
        <w:rPr>
          <w:rFonts w:ascii="宋体" w:hAnsi="宋体"/>
          <w:color w:val="auto"/>
        </w:rPr>
      </w:pPr>
      <w:r>
        <w:rPr>
          <w:rFonts w:hint="eastAsia" w:ascii="宋体" w:hAnsi="宋体"/>
          <w:color w:val="auto"/>
        </w:rPr>
        <w:t>34.2  中标服务费的计算基数：</w:t>
      </w:r>
      <w:r>
        <w:rPr>
          <w:rFonts w:hint="eastAsia" w:ascii="宋体" w:hAnsi="宋体"/>
          <w:b/>
          <w:color w:val="auto"/>
          <w:u w:val="single"/>
        </w:rPr>
        <w:t>中标通知书载明的中标金额</w:t>
      </w:r>
      <w:r>
        <w:rPr>
          <w:rFonts w:hint="eastAsia" w:ascii="宋体" w:hAnsi="宋体"/>
          <w:b/>
          <w:color w:val="auto"/>
        </w:rPr>
        <w:t>。</w:t>
      </w:r>
    </w:p>
    <w:p>
      <w:pPr>
        <w:pStyle w:val="87"/>
        <w:numPr>
          <w:ilvl w:val="0"/>
          <w:numId w:val="2"/>
        </w:numPr>
        <w:spacing w:line="500" w:lineRule="exact"/>
        <w:ind w:firstLine="484" w:firstLineChars="200"/>
        <w:jc w:val="both"/>
        <w:rPr>
          <w:rFonts w:ascii="宋体" w:hAnsi="宋体"/>
          <w:color w:val="auto"/>
        </w:rPr>
      </w:pPr>
      <w:r>
        <w:rPr>
          <w:rFonts w:hint="eastAsia" w:ascii="宋体" w:hAnsi="宋体"/>
          <w:color w:val="auto"/>
        </w:rPr>
        <w:t xml:space="preserve"> 本招标文件是根据《中华人民共和国政府采购法》的规定编制。</w:t>
      </w:r>
    </w:p>
    <w:p>
      <w:pPr>
        <w:pStyle w:val="157"/>
        <w:spacing w:line="500" w:lineRule="exact"/>
        <w:jc w:val="center"/>
        <w:outlineLvl w:val="0"/>
        <w:rPr>
          <w:rFonts w:ascii="宋体" w:hAnsi="宋体"/>
          <w:b/>
          <w:color w:val="auto"/>
          <w:sz w:val="24"/>
        </w:rPr>
      </w:pPr>
    </w:p>
    <w:p>
      <w:pPr>
        <w:pStyle w:val="157"/>
        <w:spacing w:line="500" w:lineRule="exact"/>
        <w:jc w:val="center"/>
        <w:outlineLvl w:val="0"/>
        <w:rPr>
          <w:rFonts w:ascii="宋体" w:hAnsi="宋体"/>
          <w:b/>
          <w:color w:val="auto"/>
          <w:sz w:val="24"/>
        </w:rPr>
      </w:pPr>
    </w:p>
    <w:p>
      <w:pPr>
        <w:pStyle w:val="157"/>
        <w:spacing w:line="500" w:lineRule="exact"/>
        <w:jc w:val="center"/>
        <w:outlineLvl w:val="0"/>
        <w:rPr>
          <w:rFonts w:ascii="宋体" w:hAnsi="宋体"/>
          <w:b/>
          <w:color w:val="auto"/>
          <w:sz w:val="24"/>
        </w:rPr>
      </w:pPr>
    </w:p>
    <w:p>
      <w:pPr>
        <w:pStyle w:val="157"/>
        <w:spacing w:line="500" w:lineRule="exact"/>
        <w:jc w:val="center"/>
        <w:outlineLvl w:val="0"/>
        <w:rPr>
          <w:rFonts w:ascii="宋体" w:hAnsi="宋体"/>
          <w:b/>
          <w:color w:val="auto"/>
          <w:sz w:val="24"/>
        </w:rPr>
      </w:pPr>
    </w:p>
    <w:p>
      <w:pPr>
        <w:widowControl/>
        <w:jc w:val="left"/>
        <w:rPr>
          <w:rFonts w:ascii="宋体" w:hAnsi="宋体"/>
          <w:b/>
          <w:sz w:val="24"/>
        </w:rPr>
        <w:sectPr>
          <w:headerReference r:id="rId5" w:type="default"/>
          <w:footerReference r:id="rId6" w:type="default"/>
          <w:pgSz w:w="11906" w:h="16838"/>
          <w:pgMar w:top="1417" w:right="1134" w:bottom="1417" w:left="1417" w:header="851" w:footer="850" w:gutter="0"/>
          <w:cols w:space="0" w:num="1"/>
          <w:docGrid w:type="linesAndChars" w:linePitch="322" w:charSpace="535"/>
        </w:sectPr>
      </w:pPr>
      <w:r>
        <w:rPr>
          <w:rFonts w:ascii="宋体" w:hAnsi="宋体"/>
          <w:b/>
          <w:sz w:val="24"/>
        </w:rPr>
        <w:br w:type="page"/>
      </w:r>
    </w:p>
    <w:p>
      <w:pPr>
        <w:numPr>
          <w:numId w:val="0"/>
        </w:numPr>
        <w:jc w:val="both"/>
        <w:rPr>
          <w:rFonts w:hint="eastAsia" w:ascii="宋体" w:hAnsi="宋体"/>
          <w:b/>
          <w:sz w:val="44"/>
          <w:szCs w:val="44"/>
        </w:rPr>
      </w:pPr>
      <w:bookmarkStart w:id="14" w:name="_Toc4714"/>
    </w:p>
    <w:p>
      <w:pPr>
        <w:numPr>
          <w:numId w:val="0"/>
        </w:numPr>
        <w:jc w:val="center"/>
        <w:rPr>
          <w:rFonts w:ascii="宋体" w:hAnsi="宋体"/>
          <w:b/>
          <w:sz w:val="44"/>
          <w:szCs w:val="44"/>
        </w:rPr>
      </w:pPr>
      <w:r>
        <w:rPr>
          <w:rFonts w:hint="eastAsia" w:ascii="宋体" w:hAnsi="宋体"/>
          <w:b/>
          <w:sz w:val="44"/>
          <w:szCs w:val="44"/>
          <w:lang w:val="en-US" w:eastAsia="zh-CN"/>
        </w:rPr>
        <w:t>第三章、</w:t>
      </w:r>
      <w:r>
        <w:rPr>
          <w:rFonts w:hint="eastAsia" w:ascii="宋体" w:hAnsi="宋体"/>
          <w:b/>
          <w:sz w:val="44"/>
          <w:szCs w:val="44"/>
        </w:rPr>
        <w:t>技术参数要求、需求一览表</w:t>
      </w:r>
      <w:bookmarkEnd w:id="14"/>
    </w:p>
    <w:p>
      <w:pPr>
        <w:widowControl/>
        <w:jc w:val="center"/>
        <w:rPr>
          <w:rFonts w:ascii="宋体" w:hAnsi="宋体" w:cs="宋体"/>
          <w:b/>
          <w:bCs/>
          <w:color w:val="000000"/>
          <w:kern w:val="0"/>
          <w:sz w:val="32"/>
          <w:szCs w:val="32"/>
        </w:rPr>
      </w:pPr>
    </w:p>
    <w:p>
      <w:pPr>
        <w:pStyle w:val="2"/>
      </w:pPr>
    </w:p>
    <w:p>
      <w:pPr>
        <w:widowControl/>
        <w:jc w:val="center"/>
        <w:rPr>
          <w:rFonts w:hint="default" w:ascii="宋体" w:hAnsi="宋体" w:eastAsia="宋体" w:cs="宋体"/>
          <w:b/>
          <w:bCs/>
          <w:color w:val="000000"/>
          <w:kern w:val="0"/>
          <w:sz w:val="32"/>
          <w:szCs w:val="32"/>
          <w:lang w:val="en-US" w:eastAsia="zh-CN"/>
        </w:rPr>
      </w:pPr>
      <w:r>
        <w:rPr>
          <w:rFonts w:hint="eastAsia" w:ascii="宋体" w:hAnsi="宋体" w:cs="宋体"/>
          <w:b/>
          <w:bCs/>
          <w:color w:val="000000"/>
          <w:kern w:val="0"/>
          <w:sz w:val="32"/>
          <w:szCs w:val="32"/>
          <w:lang w:val="en-US" w:eastAsia="zh-CN"/>
        </w:rPr>
        <w:t>（清单另册）</w:t>
      </w:r>
    </w:p>
    <w:p>
      <w:pPr>
        <w:rPr>
          <w:rFonts w:ascii="宋体" w:hAnsi="宋体" w:cs="宋体"/>
          <w:b/>
          <w:bCs/>
          <w:color w:val="000000"/>
          <w:kern w:val="0"/>
          <w:sz w:val="32"/>
          <w:szCs w:val="32"/>
        </w:rPr>
      </w:pPr>
      <w:r>
        <w:rPr>
          <w:rFonts w:ascii="宋体" w:hAnsi="宋体" w:cs="宋体"/>
          <w:b/>
          <w:bCs/>
          <w:color w:val="000000"/>
          <w:kern w:val="0"/>
          <w:sz w:val="32"/>
          <w:szCs w:val="32"/>
        </w:rPr>
        <w:br w:type="page"/>
      </w:r>
    </w:p>
    <w:p>
      <w:pPr>
        <w:pStyle w:val="2"/>
      </w:pPr>
    </w:p>
    <w:p>
      <w:pPr>
        <w:pStyle w:val="2"/>
      </w:pPr>
    </w:p>
    <w:p>
      <w:pPr>
        <w:spacing w:line="500" w:lineRule="exact"/>
        <w:jc w:val="center"/>
        <w:outlineLvl w:val="0"/>
        <w:rPr>
          <w:rFonts w:ascii="宋体" w:hAnsi="宋体"/>
          <w:b/>
          <w:sz w:val="30"/>
          <w:szCs w:val="30"/>
        </w:rPr>
      </w:pPr>
      <w:bookmarkStart w:id="15" w:name="_Toc5541"/>
      <w:r>
        <w:rPr>
          <w:rFonts w:hint="eastAsia" w:ascii="宋体" w:hAnsi="宋体"/>
          <w:b/>
          <w:sz w:val="30"/>
          <w:szCs w:val="30"/>
        </w:rPr>
        <w:t>第四章 合同条款</w:t>
      </w:r>
      <w:bookmarkEnd w:id="15"/>
    </w:p>
    <w:p>
      <w:pPr>
        <w:pStyle w:val="2"/>
        <w:jc w:val="center"/>
      </w:pPr>
      <w:r>
        <w:rPr>
          <w:rFonts w:hint="eastAsia" w:ascii="宋体" w:hAnsi="宋体"/>
        </w:rPr>
        <w:t>（采购人与中标人自行协商签订合同，本合同经供参考）</w:t>
      </w:r>
    </w:p>
    <w:p>
      <w:pPr>
        <w:snapToGrid w:val="0"/>
        <w:spacing w:line="500" w:lineRule="exact"/>
        <w:ind w:firstLine="242" w:firstLineChars="100"/>
        <w:rPr>
          <w:rFonts w:ascii="宋体" w:hAnsi="宋体"/>
          <w:sz w:val="24"/>
          <w:szCs w:val="24"/>
        </w:rPr>
      </w:pPr>
      <w:r>
        <w:rPr>
          <w:rFonts w:hint="eastAsia" w:ascii="宋体" w:hAnsi="宋体"/>
          <w:sz w:val="24"/>
          <w:szCs w:val="24"/>
        </w:rPr>
        <w:t>合同号：</w:t>
      </w:r>
    </w:p>
    <w:p>
      <w:pPr>
        <w:snapToGrid w:val="0"/>
        <w:spacing w:line="500" w:lineRule="exact"/>
        <w:ind w:firstLine="242" w:firstLineChars="100"/>
        <w:rPr>
          <w:rFonts w:ascii="宋体" w:hAnsi="宋体"/>
          <w:sz w:val="24"/>
          <w:szCs w:val="24"/>
          <w:u w:val="single"/>
        </w:rPr>
      </w:pPr>
      <w:r>
        <w:rPr>
          <w:rFonts w:hint="eastAsia" w:ascii="宋体" w:hAnsi="宋体"/>
          <w:sz w:val="24"/>
          <w:szCs w:val="24"/>
        </w:rPr>
        <w:t xml:space="preserve">甲方（采购单位）： </w:t>
      </w:r>
    </w:p>
    <w:p>
      <w:pPr>
        <w:snapToGrid w:val="0"/>
        <w:spacing w:line="500" w:lineRule="exact"/>
        <w:ind w:firstLine="242" w:firstLineChars="100"/>
        <w:rPr>
          <w:rFonts w:ascii="宋体" w:hAnsi="宋体"/>
          <w:sz w:val="24"/>
          <w:szCs w:val="24"/>
        </w:rPr>
      </w:pPr>
      <w:r>
        <w:rPr>
          <w:rFonts w:hint="eastAsia" w:ascii="宋体" w:hAnsi="宋体"/>
          <w:sz w:val="24"/>
          <w:szCs w:val="24"/>
        </w:rPr>
        <w:t>乙方（中标人）  ：</w:t>
      </w:r>
    </w:p>
    <w:p>
      <w:pPr>
        <w:snapToGrid w:val="0"/>
        <w:spacing w:line="500" w:lineRule="exact"/>
        <w:ind w:firstLine="242" w:firstLineChars="100"/>
        <w:rPr>
          <w:rFonts w:ascii="宋体" w:hAnsi="宋体"/>
          <w:sz w:val="24"/>
          <w:szCs w:val="24"/>
        </w:rPr>
      </w:pPr>
      <w:r>
        <w:rPr>
          <w:rFonts w:hint="eastAsia" w:ascii="宋体" w:hAnsi="宋体"/>
          <w:sz w:val="24"/>
          <w:szCs w:val="24"/>
        </w:rPr>
        <w:t xml:space="preserve">甲乙双方根据   </w:t>
      </w:r>
      <w:r>
        <w:rPr>
          <w:rFonts w:ascii="宋体" w:hAnsi="宋体"/>
          <w:sz w:val="24"/>
          <w:szCs w:val="24"/>
        </w:rPr>
        <w:t xml:space="preserve">年 月  </w:t>
      </w:r>
      <w:r>
        <w:rPr>
          <w:rFonts w:hint="eastAsia" w:ascii="宋体" w:hAnsi="宋体"/>
          <w:sz w:val="24"/>
          <w:szCs w:val="24"/>
        </w:rPr>
        <w:t>日所签发的《中标通知书》（编号：   ），以及招标文件、投标文件的规定，并经双方协商一致，达成本购销合同（中标通知书、招标文件、投标文件以及甲、乙双方商定确认后的补充协议构成本合同不可分割的部份）：</w:t>
      </w:r>
    </w:p>
    <w:p>
      <w:pPr>
        <w:snapToGrid w:val="0"/>
        <w:spacing w:line="500" w:lineRule="exact"/>
        <w:rPr>
          <w:rFonts w:ascii="宋体" w:hAnsi="宋体"/>
          <w:sz w:val="24"/>
          <w:szCs w:val="24"/>
        </w:rPr>
      </w:pPr>
      <w:r>
        <w:rPr>
          <w:rFonts w:hint="eastAsia" w:ascii="宋体" w:hAnsi="宋体"/>
          <w:b/>
          <w:sz w:val="24"/>
          <w:szCs w:val="24"/>
        </w:rPr>
        <w:t>一、采购内容</w:t>
      </w:r>
    </w:p>
    <w:tbl>
      <w:tblPr>
        <w:tblStyle w:val="40"/>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56"/>
        <w:gridCol w:w="1568"/>
        <w:gridCol w:w="1314"/>
        <w:gridCol w:w="1408"/>
        <w:gridCol w:w="3194"/>
        <w:gridCol w:w="1205"/>
        <w:gridCol w:w="12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354" w:type="pct"/>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sz w:val="24"/>
                <w:szCs w:val="24"/>
              </w:rPr>
            </w:pPr>
            <w:r>
              <w:rPr>
                <w:rFonts w:hint="eastAsia" w:ascii="宋体" w:hAnsi="宋体"/>
                <w:sz w:val="24"/>
                <w:szCs w:val="24"/>
              </w:rPr>
              <w:t>序号</w:t>
            </w:r>
          </w:p>
        </w:tc>
        <w:tc>
          <w:tcPr>
            <w:tcW w:w="734" w:type="pct"/>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sz w:val="24"/>
                <w:szCs w:val="24"/>
              </w:rPr>
            </w:pPr>
            <w:r>
              <w:rPr>
                <w:rFonts w:hint="eastAsia" w:ascii="宋体" w:hAnsi="宋体"/>
                <w:sz w:val="24"/>
                <w:szCs w:val="24"/>
              </w:rPr>
              <w:t>名称</w:t>
            </w:r>
          </w:p>
        </w:tc>
        <w:tc>
          <w:tcPr>
            <w:tcW w:w="615" w:type="pct"/>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sz w:val="24"/>
                <w:szCs w:val="24"/>
              </w:rPr>
            </w:pPr>
            <w:r>
              <w:rPr>
                <w:rFonts w:hint="eastAsia" w:ascii="宋体" w:hAnsi="宋体"/>
                <w:sz w:val="24"/>
                <w:szCs w:val="24"/>
              </w:rPr>
              <w:t>单位</w:t>
            </w:r>
          </w:p>
        </w:tc>
        <w:tc>
          <w:tcPr>
            <w:tcW w:w="659" w:type="pct"/>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sz w:val="24"/>
                <w:szCs w:val="24"/>
              </w:rPr>
            </w:pPr>
            <w:r>
              <w:rPr>
                <w:rFonts w:hint="eastAsia" w:ascii="宋体" w:hAnsi="宋体"/>
                <w:sz w:val="24"/>
                <w:szCs w:val="24"/>
              </w:rPr>
              <w:t>数量</w:t>
            </w:r>
          </w:p>
        </w:tc>
        <w:tc>
          <w:tcPr>
            <w:tcW w:w="1495" w:type="pct"/>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sz w:val="24"/>
                <w:szCs w:val="24"/>
              </w:rPr>
            </w:pPr>
            <w:r>
              <w:rPr>
                <w:rFonts w:hint="eastAsia" w:ascii="宋体" w:hAnsi="宋体"/>
                <w:sz w:val="24"/>
                <w:szCs w:val="24"/>
              </w:rPr>
              <w:t>技术参数</w:t>
            </w:r>
          </w:p>
        </w:tc>
        <w:tc>
          <w:tcPr>
            <w:tcW w:w="564" w:type="pct"/>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sz w:val="24"/>
                <w:szCs w:val="24"/>
              </w:rPr>
            </w:pPr>
            <w:r>
              <w:rPr>
                <w:rFonts w:hint="eastAsia" w:ascii="宋体" w:hAnsi="宋体"/>
                <w:sz w:val="24"/>
                <w:szCs w:val="24"/>
              </w:rPr>
              <w:t>单价</w:t>
            </w:r>
          </w:p>
        </w:tc>
        <w:tc>
          <w:tcPr>
            <w:tcW w:w="579" w:type="pct"/>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sz w:val="24"/>
                <w:szCs w:val="24"/>
              </w:rPr>
            </w:pPr>
            <w:r>
              <w:rPr>
                <w:rFonts w:hint="eastAsia" w:ascii="宋体" w:hAnsi="宋体"/>
                <w:sz w:val="24"/>
                <w:szCs w:val="24"/>
              </w:rPr>
              <w:t>合价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0" w:hRule="atLeast"/>
          <w:jc w:val="center"/>
        </w:trPr>
        <w:tc>
          <w:tcPr>
            <w:tcW w:w="354" w:type="pct"/>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sz w:val="24"/>
                <w:szCs w:val="24"/>
              </w:rPr>
            </w:pPr>
          </w:p>
        </w:tc>
        <w:tc>
          <w:tcPr>
            <w:tcW w:w="734" w:type="pct"/>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sz w:val="24"/>
                <w:szCs w:val="24"/>
              </w:rPr>
            </w:pPr>
          </w:p>
        </w:tc>
        <w:tc>
          <w:tcPr>
            <w:tcW w:w="615" w:type="pct"/>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sz w:val="24"/>
                <w:szCs w:val="24"/>
              </w:rPr>
            </w:pPr>
          </w:p>
        </w:tc>
        <w:tc>
          <w:tcPr>
            <w:tcW w:w="659" w:type="pct"/>
            <w:tcBorders>
              <w:top w:val="single" w:color="auto" w:sz="4" w:space="0"/>
              <w:left w:val="single" w:color="auto" w:sz="4" w:space="0"/>
              <w:bottom w:val="single" w:color="auto" w:sz="4" w:space="0"/>
              <w:right w:val="single" w:color="auto" w:sz="4" w:space="0"/>
            </w:tcBorders>
          </w:tcPr>
          <w:p>
            <w:pPr>
              <w:spacing w:line="500" w:lineRule="exact"/>
              <w:rPr>
                <w:rFonts w:ascii="宋体" w:hAnsi="宋体"/>
                <w:sz w:val="24"/>
                <w:szCs w:val="24"/>
              </w:rPr>
            </w:pPr>
          </w:p>
        </w:tc>
        <w:tc>
          <w:tcPr>
            <w:tcW w:w="1495" w:type="pct"/>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sz w:val="24"/>
                <w:szCs w:val="24"/>
              </w:rPr>
            </w:pPr>
          </w:p>
        </w:tc>
        <w:tc>
          <w:tcPr>
            <w:tcW w:w="564" w:type="pct"/>
            <w:tcBorders>
              <w:top w:val="single" w:color="auto" w:sz="4" w:space="0"/>
              <w:left w:val="single" w:color="auto" w:sz="4" w:space="0"/>
              <w:bottom w:val="single" w:color="auto" w:sz="4" w:space="0"/>
              <w:right w:val="single" w:color="auto" w:sz="4" w:space="0"/>
            </w:tcBorders>
          </w:tcPr>
          <w:p>
            <w:pPr>
              <w:spacing w:line="500" w:lineRule="exact"/>
              <w:rPr>
                <w:rFonts w:ascii="宋体" w:hAnsi="宋体"/>
                <w:sz w:val="24"/>
                <w:szCs w:val="24"/>
              </w:rPr>
            </w:pPr>
          </w:p>
        </w:tc>
        <w:tc>
          <w:tcPr>
            <w:tcW w:w="579" w:type="pct"/>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0" w:hRule="atLeast"/>
          <w:jc w:val="center"/>
        </w:trPr>
        <w:tc>
          <w:tcPr>
            <w:tcW w:w="354" w:type="pct"/>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sz w:val="24"/>
                <w:szCs w:val="24"/>
              </w:rPr>
            </w:pPr>
          </w:p>
        </w:tc>
        <w:tc>
          <w:tcPr>
            <w:tcW w:w="734" w:type="pct"/>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sz w:val="24"/>
                <w:szCs w:val="24"/>
              </w:rPr>
            </w:pPr>
          </w:p>
        </w:tc>
        <w:tc>
          <w:tcPr>
            <w:tcW w:w="615" w:type="pct"/>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sz w:val="24"/>
                <w:szCs w:val="24"/>
              </w:rPr>
            </w:pPr>
          </w:p>
        </w:tc>
        <w:tc>
          <w:tcPr>
            <w:tcW w:w="659" w:type="pct"/>
            <w:tcBorders>
              <w:top w:val="single" w:color="auto" w:sz="4" w:space="0"/>
              <w:left w:val="single" w:color="auto" w:sz="4" w:space="0"/>
              <w:bottom w:val="single" w:color="auto" w:sz="4" w:space="0"/>
              <w:right w:val="single" w:color="auto" w:sz="4" w:space="0"/>
            </w:tcBorders>
          </w:tcPr>
          <w:p>
            <w:pPr>
              <w:spacing w:line="500" w:lineRule="exact"/>
              <w:rPr>
                <w:rFonts w:ascii="宋体" w:hAnsi="宋体"/>
                <w:sz w:val="24"/>
                <w:szCs w:val="24"/>
              </w:rPr>
            </w:pPr>
          </w:p>
        </w:tc>
        <w:tc>
          <w:tcPr>
            <w:tcW w:w="1495" w:type="pct"/>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sz w:val="24"/>
                <w:szCs w:val="24"/>
              </w:rPr>
            </w:pPr>
          </w:p>
        </w:tc>
        <w:tc>
          <w:tcPr>
            <w:tcW w:w="564" w:type="pct"/>
            <w:tcBorders>
              <w:top w:val="single" w:color="auto" w:sz="4" w:space="0"/>
              <w:left w:val="single" w:color="auto" w:sz="4" w:space="0"/>
              <w:bottom w:val="single" w:color="auto" w:sz="4" w:space="0"/>
              <w:right w:val="single" w:color="auto" w:sz="4" w:space="0"/>
            </w:tcBorders>
          </w:tcPr>
          <w:p>
            <w:pPr>
              <w:spacing w:line="500" w:lineRule="exact"/>
              <w:rPr>
                <w:rFonts w:ascii="宋体" w:hAnsi="宋体"/>
                <w:sz w:val="24"/>
                <w:szCs w:val="24"/>
              </w:rPr>
            </w:pPr>
          </w:p>
        </w:tc>
        <w:tc>
          <w:tcPr>
            <w:tcW w:w="579" w:type="pct"/>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0" w:hRule="atLeast"/>
          <w:jc w:val="center"/>
        </w:trPr>
        <w:tc>
          <w:tcPr>
            <w:tcW w:w="354" w:type="pct"/>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sz w:val="24"/>
                <w:szCs w:val="24"/>
              </w:rPr>
            </w:pPr>
          </w:p>
        </w:tc>
        <w:tc>
          <w:tcPr>
            <w:tcW w:w="734" w:type="pct"/>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sz w:val="24"/>
                <w:szCs w:val="24"/>
              </w:rPr>
            </w:pPr>
          </w:p>
        </w:tc>
        <w:tc>
          <w:tcPr>
            <w:tcW w:w="615" w:type="pct"/>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sz w:val="24"/>
                <w:szCs w:val="24"/>
              </w:rPr>
            </w:pPr>
          </w:p>
        </w:tc>
        <w:tc>
          <w:tcPr>
            <w:tcW w:w="659" w:type="pct"/>
            <w:tcBorders>
              <w:top w:val="single" w:color="auto" w:sz="4" w:space="0"/>
              <w:left w:val="single" w:color="auto" w:sz="4" w:space="0"/>
              <w:bottom w:val="single" w:color="auto" w:sz="4" w:space="0"/>
              <w:right w:val="single" w:color="auto" w:sz="4" w:space="0"/>
            </w:tcBorders>
          </w:tcPr>
          <w:p>
            <w:pPr>
              <w:spacing w:line="500" w:lineRule="exact"/>
              <w:rPr>
                <w:rFonts w:ascii="宋体" w:hAnsi="宋体"/>
                <w:sz w:val="24"/>
                <w:szCs w:val="24"/>
              </w:rPr>
            </w:pPr>
          </w:p>
        </w:tc>
        <w:tc>
          <w:tcPr>
            <w:tcW w:w="1495" w:type="pct"/>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sz w:val="24"/>
                <w:szCs w:val="24"/>
              </w:rPr>
            </w:pPr>
          </w:p>
        </w:tc>
        <w:tc>
          <w:tcPr>
            <w:tcW w:w="564" w:type="pct"/>
            <w:tcBorders>
              <w:top w:val="single" w:color="auto" w:sz="4" w:space="0"/>
              <w:left w:val="single" w:color="auto" w:sz="4" w:space="0"/>
              <w:bottom w:val="single" w:color="auto" w:sz="4" w:space="0"/>
              <w:right w:val="single" w:color="auto" w:sz="4" w:space="0"/>
            </w:tcBorders>
          </w:tcPr>
          <w:p>
            <w:pPr>
              <w:spacing w:line="500" w:lineRule="exact"/>
              <w:rPr>
                <w:rFonts w:ascii="宋体" w:hAnsi="宋体"/>
                <w:sz w:val="24"/>
                <w:szCs w:val="24"/>
              </w:rPr>
            </w:pPr>
          </w:p>
        </w:tc>
        <w:tc>
          <w:tcPr>
            <w:tcW w:w="579" w:type="pct"/>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0" w:hRule="atLeast"/>
          <w:jc w:val="center"/>
        </w:trPr>
        <w:tc>
          <w:tcPr>
            <w:tcW w:w="354" w:type="pct"/>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sz w:val="24"/>
                <w:szCs w:val="24"/>
              </w:rPr>
            </w:pPr>
          </w:p>
        </w:tc>
        <w:tc>
          <w:tcPr>
            <w:tcW w:w="734" w:type="pct"/>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sz w:val="24"/>
                <w:szCs w:val="24"/>
              </w:rPr>
            </w:pPr>
          </w:p>
        </w:tc>
        <w:tc>
          <w:tcPr>
            <w:tcW w:w="615" w:type="pct"/>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sz w:val="24"/>
                <w:szCs w:val="24"/>
              </w:rPr>
            </w:pPr>
          </w:p>
        </w:tc>
        <w:tc>
          <w:tcPr>
            <w:tcW w:w="659" w:type="pct"/>
            <w:tcBorders>
              <w:top w:val="single" w:color="auto" w:sz="4" w:space="0"/>
              <w:left w:val="single" w:color="auto" w:sz="4" w:space="0"/>
              <w:bottom w:val="single" w:color="auto" w:sz="4" w:space="0"/>
              <w:right w:val="single" w:color="auto" w:sz="4" w:space="0"/>
            </w:tcBorders>
          </w:tcPr>
          <w:p>
            <w:pPr>
              <w:spacing w:line="500" w:lineRule="exact"/>
              <w:rPr>
                <w:rFonts w:ascii="宋体" w:hAnsi="宋体"/>
                <w:sz w:val="24"/>
                <w:szCs w:val="24"/>
              </w:rPr>
            </w:pPr>
          </w:p>
        </w:tc>
        <w:tc>
          <w:tcPr>
            <w:tcW w:w="1495" w:type="pct"/>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sz w:val="24"/>
                <w:szCs w:val="24"/>
              </w:rPr>
            </w:pPr>
          </w:p>
        </w:tc>
        <w:tc>
          <w:tcPr>
            <w:tcW w:w="564" w:type="pct"/>
            <w:tcBorders>
              <w:top w:val="single" w:color="auto" w:sz="4" w:space="0"/>
              <w:left w:val="single" w:color="auto" w:sz="4" w:space="0"/>
              <w:bottom w:val="single" w:color="auto" w:sz="4" w:space="0"/>
              <w:right w:val="single" w:color="auto" w:sz="4" w:space="0"/>
            </w:tcBorders>
          </w:tcPr>
          <w:p>
            <w:pPr>
              <w:spacing w:line="500" w:lineRule="exact"/>
              <w:rPr>
                <w:rFonts w:ascii="宋体" w:hAnsi="宋体"/>
                <w:sz w:val="24"/>
                <w:szCs w:val="24"/>
              </w:rPr>
            </w:pPr>
          </w:p>
        </w:tc>
        <w:tc>
          <w:tcPr>
            <w:tcW w:w="579" w:type="pct"/>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sz w:val="24"/>
                <w:szCs w:val="24"/>
              </w:rPr>
            </w:pPr>
          </w:p>
        </w:tc>
      </w:tr>
    </w:tbl>
    <w:p>
      <w:pPr>
        <w:snapToGrid w:val="0"/>
        <w:spacing w:line="500" w:lineRule="exact"/>
        <w:ind w:firstLine="484" w:firstLineChars="200"/>
        <w:rPr>
          <w:rFonts w:ascii="宋体" w:hAnsi="宋体"/>
          <w:sz w:val="24"/>
          <w:szCs w:val="24"/>
        </w:rPr>
      </w:pPr>
    </w:p>
    <w:p>
      <w:pPr>
        <w:snapToGrid w:val="0"/>
        <w:spacing w:line="500" w:lineRule="exact"/>
        <w:ind w:firstLine="484" w:firstLineChars="200"/>
        <w:rPr>
          <w:rFonts w:ascii="宋体" w:hAnsi="宋体"/>
          <w:sz w:val="24"/>
          <w:szCs w:val="24"/>
        </w:rPr>
      </w:pPr>
      <w:r>
        <w:rPr>
          <w:rFonts w:hint="eastAsia" w:ascii="宋体" w:hAnsi="宋体"/>
          <w:sz w:val="24"/>
          <w:szCs w:val="24"/>
        </w:rPr>
        <w:t>本合同的采购总金额为（大写）</w:t>
      </w:r>
      <w:r>
        <w:rPr>
          <w:rFonts w:ascii="宋体" w:hAnsi="宋体"/>
          <w:sz w:val="24"/>
          <w:szCs w:val="24"/>
          <w:u w:val="single"/>
        </w:rPr>
        <w:t>（¥</w:t>
      </w:r>
      <w:r>
        <w:rPr>
          <w:rFonts w:hint="eastAsia" w:ascii="宋体" w:hAnsi="宋体"/>
          <w:sz w:val="24"/>
          <w:szCs w:val="24"/>
          <w:u w:val="single"/>
        </w:rPr>
        <w:t>）人民</w:t>
      </w:r>
      <w:r>
        <w:rPr>
          <w:rFonts w:hint="eastAsia" w:ascii="宋体" w:hAnsi="宋体"/>
          <w:sz w:val="24"/>
          <w:szCs w:val="24"/>
        </w:rPr>
        <w:t>币，该价格为交货含税价。</w:t>
      </w:r>
    </w:p>
    <w:p>
      <w:pPr>
        <w:snapToGrid w:val="0"/>
        <w:spacing w:line="500" w:lineRule="exact"/>
        <w:rPr>
          <w:rFonts w:ascii="宋体" w:hAnsi="宋体"/>
          <w:b/>
          <w:sz w:val="24"/>
          <w:szCs w:val="24"/>
        </w:rPr>
      </w:pPr>
      <w:r>
        <w:rPr>
          <w:rFonts w:hint="eastAsia" w:ascii="宋体" w:hAnsi="宋体"/>
          <w:b/>
          <w:sz w:val="24"/>
          <w:szCs w:val="24"/>
        </w:rPr>
        <w:t>二、质量要求和售后服务</w:t>
      </w:r>
    </w:p>
    <w:p>
      <w:pPr>
        <w:tabs>
          <w:tab w:val="left" w:pos="0"/>
        </w:tabs>
        <w:snapToGrid w:val="0"/>
        <w:spacing w:line="500" w:lineRule="exact"/>
        <w:ind w:firstLine="480"/>
        <w:rPr>
          <w:rFonts w:ascii="宋体" w:hAnsi="宋体"/>
          <w:sz w:val="24"/>
          <w:szCs w:val="24"/>
        </w:rPr>
      </w:pPr>
      <w:r>
        <w:rPr>
          <w:rFonts w:ascii="宋体" w:hAnsi="宋体"/>
          <w:sz w:val="24"/>
          <w:szCs w:val="24"/>
        </w:rPr>
        <w:t>1、</w:t>
      </w:r>
      <w:r>
        <w:rPr>
          <w:rFonts w:hint="eastAsia" w:ascii="宋体" w:hAnsi="宋体"/>
          <w:sz w:val="24"/>
          <w:szCs w:val="24"/>
        </w:rPr>
        <w:t>乙方提供的设备必须是符合国家有关标准，或具有中国海关商检证明，未经使用全新的产品。</w:t>
      </w:r>
    </w:p>
    <w:p>
      <w:pPr>
        <w:snapToGrid w:val="0"/>
        <w:spacing w:line="500" w:lineRule="exact"/>
        <w:ind w:firstLine="463" w:firstLineChars="192"/>
        <w:rPr>
          <w:rFonts w:ascii="宋体" w:hAnsi="宋体"/>
          <w:sz w:val="24"/>
          <w:szCs w:val="24"/>
        </w:rPr>
      </w:pPr>
      <w:r>
        <w:rPr>
          <w:rFonts w:ascii="宋体" w:hAnsi="宋体"/>
          <w:sz w:val="24"/>
          <w:szCs w:val="24"/>
        </w:rPr>
        <w:t>2、乙方提供设备的质量保证期为自交货验收合格之日起至满</w:t>
      </w:r>
      <w:r>
        <w:rPr>
          <w:rFonts w:hint="eastAsia" w:ascii="宋体" w:hAnsi="宋体"/>
          <w:sz w:val="24"/>
          <w:szCs w:val="24"/>
          <w:u w:val="single"/>
        </w:rPr>
        <w:t>时间止</w:t>
      </w:r>
      <w:r>
        <w:rPr>
          <w:rFonts w:hint="eastAsia" w:ascii="宋体" w:hAnsi="宋体"/>
          <w:sz w:val="24"/>
          <w:szCs w:val="24"/>
        </w:rPr>
        <w:t>。在保证期内因设备本身的质量问题发生故障，乙方应负责免费修理、更换零部件或者退换。在质保期内，乙方应对设备出现的质量及安全问题负责处理解决。</w:t>
      </w:r>
    </w:p>
    <w:p>
      <w:pPr>
        <w:snapToGrid w:val="0"/>
        <w:spacing w:line="500" w:lineRule="exact"/>
        <w:ind w:firstLine="484" w:firstLineChars="200"/>
        <w:rPr>
          <w:rFonts w:ascii="宋体" w:hAnsi="宋体"/>
          <w:sz w:val="24"/>
          <w:szCs w:val="24"/>
        </w:rPr>
      </w:pPr>
      <w:r>
        <w:rPr>
          <w:rFonts w:ascii="宋体" w:hAnsi="宋体"/>
          <w:sz w:val="24"/>
          <w:szCs w:val="24"/>
        </w:rPr>
        <w:t>3、乙方提供</w:t>
      </w:r>
      <w:r>
        <w:rPr>
          <w:rFonts w:hint="eastAsia" w:ascii="宋体" w:hAnsi="宋体"/>
          <w:sz w:val="24"/>
          <w:szCs w:val="24"/>
        </w:rPr>
        <w:t>免费维修，如在使用过程中发生质量问题，乙方在接到甲方通知后24</w:t>
      </w:r>
      <w:r>
        <w:rPr>
          <w:rFonts w:ascii="宋体" w:hAnsi="宋体"/>
          <w:sz w:val="24"/>
          <w:szCs w:val="24"/>
        </w:rPr>
        <w:t>小时内</w:t>
      </w:r>
      <w:r>
        <w:rPr>
          <w:rFonts w:hint="eastAsia" w:ascii="宋体" w:hAnsi="宋体"/>
          <w:sz w:val="24"/>
          <w:szCs w:val="24"/>
        </w:rPr>
        <w:t>应到达甲方现场。若在24小时内仍未解决乙方必须免费提供相同档次的设备予临时使用。</w:t>
      </w:r>
    </w:p>
    <w:p>
      <w:pPr>
        <w:snapToGrid w:val="0"/>
        <w:spacing w:line="500" w:lineRule="exact"/>
        <w:ind w:firstLine="463" w:firstLineChars="192"/>
        <w:rPr>
          <w:rFonts w:ascii="宋体" w:hAnsi="宋体"/>
          <w:sz w:val="24"/>
          <w:szCs w:val="24"/>
        </w:rPr>
      </w:pPr>
      <w:r>
        <w:rPr>
          <w:rFonts w:ascii="宋体" w:hAnsi="宋体"/>
          <w:sz w:val="24"/>
          <w:szCs w:val="24"/>
        </w:rPr>
        <w:t>4、因设备的质量问题发生争议，由国家和招标人指定的技术单位进行质量鉴定，该鉴定结论是终局的，甲乙双方应当接受。</w:t>
      </w:r>
    </w:p>
    <w:p>
      <w:pPr>
        <w:snapToGrid w:val="0"/>
        <w:spacing w:line="500" w:lineRule="exact"/>
        <w:ind w:firstLine="463" w:firstLineChars="192"/>
        <w:rPr>
          <w:rFonts w:ascii="宋体" w:hAnsi="宋体"/>
          <w:bCs/>
          <w:sz w:val="24"/>
          <w:szCs w:val="24"/>
        </w:rPr>
      </w:pPr>
      <w:r>
        <w:rPr>
          <w:rFonts w:ascii="宋体" w:hAnsi="宋体"/>
          <w:sz w:val="24"/>
          <w:szCs w:val="24"/>
        </w:rPr>
        <w:t>5、本合同条款与乙方在报价文件中所承诺的售后服务优于招标</w:t>
      </w:r>
      <w:r>
        <w:rPr>
          <w:rFonts w:hint="eastAsia" w:ascii="宋体" w:hAnsi="宋体"/>
          <w:sz w:val="24"/>
          <w:szCs w:val="24"/>
        </w:rPr>
        <w:t>文件</w:t>
      </w:r>
      <w:r>
        <w:rPr>
          <w:rFonts w:ascii="宋体" w:hAnsi="宋体"/>
          <w:sz w:val="24"/>
          <w:szCs w:val="24"/>
        </w:rPr>
        <w:t>要求的，按招标</w:t>
      </w:r>
      <w:r>
        <w:rPr>
          <w:rFonts w:hint="eastAsia" w:ascii="宋体" w:hAnsi="宋体"/>
          <w:sz w:val="24"/>
          <w:szCs w:val="24"/>
        </w:rPr>
        <w:t>文件</w:t>
      </w:r>
      <w:r>
        <w:rPr>
          <w:rFonts w:ascii="宋体" w:hAnsi="宋体"/>
          <w:sz w:val="24"/>
          <w:szCs w:val="24"/>
        </w:rPr>
        <w:t>中的承诺作为合同不可分割部分</w:t>
      </w:r>
      <w:r>
        <w:rPr>
          <w:rFonts w:hint="eastAsia" w:ascii="宋体" w:hAnsi="宋体"/>
          <w:bCs/>
          <w:sz w:val="24"/>
          <w:szCs w:val="24"/>
        </w:rPr>
        <w:t>。</w:t>
      </w:r>
    </w:p>
    <w:p>
      <w:pPr>
        <w:snapToGrid w:val="0"/>
        <w:spacing w:line="500" w:lineRule="exact"/>
        <w:rPr>
          <w:rFonts w:ascii="宋体" w:hAnsi="宋体"/>
          <w:b/>
          <w:sz w:val="24"/>
          <w:szCs w:val="24"/>
        </w:rPr>
      </w:pPr>
      <w:r>
        <w:rPr>
          <w:rFonts w:hint="eastAsia" w:ascii="宋体" w:hAnsi="宋体"/>
          <w:b/>
          <w:sz w:val="24"/>
          <w:szCs w:val="24"/>
        </w:rPr>
        <w:t>三、设备的包装、发运及运输</w:t>
      </w:r>
    </w:p>
    <w:p>
      <w:pPr>
        <w:snapToGrid w:val="0"/>
        <w:spacing w:line="500" w:lineRule="exact"/>
        <w:ind w:left="1"/>
        <w:rPr>
          <w:rFonts w:ascii="宋体" w:hAnsi="宋体"/>
          <w:sz w:val="24"/>
          <w:szCs w:val="24"/>
        </w:rPr>
      </w:pPr>
      <w:r>
        <w:rPr>
          <w:rFonts w:ascii="宋体" w:hAnsi="宋体"/>
          <w:sz w:val="24"/>
          <w:szCs w:val="24"/>
        </w:rPr>
        <w:t xml:space="preserve">    l、乙方应在设备发运前对其进行满足于运输距离、防潮、防震、防锈和防破损装卸要求的包装，以保证货物安全运输到达甲方指定地点。</w:t>
      </w:r>
    </w:p>
    <w:p>
      <w:pPr>
        <w:snapToGrid w:val="0"/>
        <w:spacing w:line="500" w:lineRule="exact"/>
        <w:rPr>
          <w:rFonts w:ascii="宋体" w:hAnsi="宋体"/>
          <w:sz w:val="24"/>
          <w:szCs w:val="24"/>
        </w:rPr>
      </w:pPr>
      <w:r>
        <w:rPr>
          <w:rFonts w:ascii="宋体" w:hAnsi="宋体"/>
          <w:sz w:val="24"/>
          <w:szCs w:val="24"/>
        </w:rPr>
        <w:t xml:space="preserve">    2、使用说明书、质量检验证明书、随配附件和工具以及清单一并附于设备内。</w:t>
      </w:r>
    </w:p>
    <w:p>
      <w:pPr>
        <w:snapToGrid w:val="0"/>
        <w:spacing w:line="500" w:lineRule="exact"/>
        <w:rPr>
          <w:rFonts w:ascii="宋体" w:hAnsi="宋体"/>
          <w:sz w:val="24"/>
          <w:szCs w:val="24"/>
        </w:rPr>
      </w:pPr>
      <w:r>
        <w:rPr>
          <w:rFonts w:ascii="宋体" w:hAnsi="宋体"/>
          <w:sz w:val="24"/>
          <w:szCs w:val="24"/>
        </w:rPr>
        <w:t xml:space="preserve">    3、乙方负责将设备安全送到甲方指定交货地点，不另收任何费用。</w:t>
      </w:r>
    </w:p>
    <w:p>
      <w:pPr>
        <w:snapToGrid w:val="0"/>
        <w:spacing w:line="500" w:lineRule="exact"/>
        <w:ind w:firstLine="480"/>
        <w:rPr>
          <w:rFonts w:ascii="宋体" w:hAnsi="宋体"/>
          <w:sz w:val="24"/>
          <w:szCs w:val="24"/>
        </w:rPr>
      </w:pPr>
      <w:r>
        <w:rPr>
          <w:rFonts w:ascii="宋体" w:hAnsi="宋体"/>
          <w:sz w:val="24"/>
          <w:szCs w:val="24"/>
        </w:rPr>
        <w:t>4、设备在交货前发生的不可预见的风险均由乙方负责。</w:t>
      </w:r>
    </w:p>
    <w:p>
      <w:pPr>
        <w:snapToGrid w:val="0"/>
        <w:spacing w:line="500" w:lineRule="exact"/>
        <w:ind w:firstLine="480"/>
        <w:rPr>
          <w:rFonts w:ascii="宋体" w:hAnsi="宋体"/>
          <w:sz w:val="24"/>
          <w:szCs w:val="24"/>
        </w:rPr>
      </w:pPr>
      <w:r>
        <w:rPr>
          <w:rFonts w:ascii="宋体" w:hAnsi="宋体"/>
          <w:sz w:val="24"/>
          <w:szCs w:val="24"/>
        </w:rPr>
        <w:t>5、设备在发运手续办理完毕后24小时内或货到甲方前48小时通知甲方，以准备接货。</w:t>
      </w:r>
    </w:p>
    <w:p>
      <w:pPr>
        <w:snapToGrid w:val="0"/>
        <w:spacing w:line="500" w:lineRule="exact"/>
        <w:rPr>
          <w:rFonts w:ascii="宋体" w:hAnsi="宋体"/>
          <w:b/>
          <w:sz w:val="24"/>
          <w:szCs w:val="24"/>
        </w:rPr>
      </w:pPr>
      <w:r>
        <w:rPr>
          <w:rFonts w:hint="eastAsia" w:ascii="宋体" w:hAnsi="宋体"/>
          <w:b/>
          <w:sz w:val="24"/>
          <w:szCs w:val="24"/>
        </w:rPr>
        <w:t>四、验收</w:t>
      </w:r>
    </w:p>
    <w:p>
      <w:pPr>
        <w:tabs>
          <w:tab w:val="left" w:pos="840"/>
        </w:tabs>
        <w:snapToGrid w:val="0"/>
        <w:spacing w:line="500" w:lineRule="exact"/>
        <w:ind w:firstLine="480"/>
        <w:rPr>
          <w:rFonts w:ascii="宋体" w:hAnsi="宋体"/>
          <w:sz w:val="24"/>
          <w:szCs w:val="24"/>
        </w:rPr>
      </w:pPr>
      <w:r>
        <w:rPr>
          <w:rFonts w:ascii="宋体" w:hAnsi="宋体"/>
          <w:sz w:val="24"/>
          <w:szCs w:val="24"/>
        </w:rPr>
        <w:t>1</w:t>
      </w:r>
      <w:r>
        <w:rPr>
          <w:rFonts w:hint="eastAsia" w:ascii="宋体" w:hAnsi="宋体"/>
          <w:sz w:val="24"/>
          <w:szCs w:val="24"/>
        </w:rPr>
        <w:t>、甲方对乙方所交设备依照国家有关技术标准进行现场验收；须安装的，由乙方现场验收，性能达到技术要求的，给予签收，验收不合格的不予签收。</w:t>
      </w:r>
    </w:p>
    <w:p>
      <w:pPr>
        <w:tabs>
          <w:tab w:val="left" w:pos="0"/>
        </w:tabs>
        <w:snapToGrid w:val="0"/>
        <w:spacing w:line="500" w:lineRule="exact"/>
        <w:ind w:firstLine="480"/>
        <w:rPr>
          <w:rFonts w:ascii="宋体" w:hAnsi="宋体"/>
          <w:sz w:val="24"/>
          <w:szCs w:val="24"/>
        </w:rPr>
      </w:pPr>
      <w:r>
        <w:rPr>
          <w:rFonts w:ascii="宋体" w:hAnsi="宋体"/>
          <w:sz w:val="24"/>
          <w:szCs w:val="24"/>
        </w:rPr>
        <w:t>2</w:t>
      </w:r>
      <w:r>
        <w:rPr>
          <w:rFonts w:hint="eastAsia" w:ascii="宋体" w:hAnsi="宋体"/>
          <w:sz w:val="24"/>
          <w:szCs w:val="24"/>
        </w:rPr>
        <w:t>、甲方应在设备验收合格完毕之日起</w:t>
      </w:r>
      <w:r>
        <w:rPr>
          <w:rFonts w:hint="eastAsia" w:ascii="宋体" w:hAnsi="宋体"/>
          <w:sz w:val="24"/>
          <w:szCs w:val="24"/>
          <w:u w:val="single"/>
        </w:rPr>
        <w:t>五个工作日内</w:t>
      </w:r>
      <w:r>
        <w:rPr>
          <w:rFonts w:hint="eastAsia" w:ascii="宋体" w:hAnsi="宋体"/>
          <w:sz w:val="24"/>
          <w:szCs w:val="24"/>
        </w:rPr>
        <w:t>验收完毕，并作出验收结果报告</w:t>
      </w:r>
      <w:r>
        <w:rPr>
          <w:rFonts w:ascii="宋体" w:hAnsi="宋体"/>
          <w:sz w:val="24"/>
          <w:szCs w:val="24"/>
        </w:rPr>
        <w:t>,验收时乙方必须在现场。</w:t>
      </w:r>
    </w:p>
    <w:p>
      <w:pPr>
        <w:snapToGrid w:val="0"/>
        <w:spacing w:line="500" w:lineRule="exact"/>
        <w:rPr>
          <w:rFonts w:ascii="宋体" w:hAnsi="宋体"/>
          <w:b/>
          <w:sz w:val="24"/>
          <w:szCs w:val="24"/>
        </w:rPr>
      </w:pPr>
      <w:r>
        <w:rPr>
          <w:rFonts w:hint="eastAsia" w:ascii="宋体" w:hAnsi="宋体"/>
          <w:b/>
          <w:sz w:val="24"/>
          <w:szCs w:val="24"/>
        </w:rPr>
        <w:t>五、交货期及竣工期限及交货方式</w:t>
      </w:r>
    </w:p>
    <w:p>
      <w:pPr>
        <w:snapToGrid w:val="0"/>
        <w:spacing w:line="500" w:lineRule="exact"/>
        <w:ind w:firstLine="544" w:firstLineChars="225"/>
        <w:rPr>
          <w:rFonts w:ascii="宋体" w:hAnsi="宋体"/>
          <w:sz w:val="24"/>
          <w:szCs w:val="24"/>
        </w:rPr>
      </w:pPr>
      <w:r>
        <w:rPr>
          <w:rFonts w:ascii="宋体" w:hAnsi="宋体"/>
          <w:sz w:val="24"/>
          <w:szCs w:val="24"/>
        </w:rPr>
        <w:t>1、</w:t>
      </w:r>
      <w:r>
        <w:rPr>
          <w:rFonts w:hint="eastAsia" w:ascii="宋体" w:hAnsi="宋体"/>
          <w:sz w:val="24"/>
          <w:szCs w:val="24"/>
        </w:rPr>
        <w:t>交货期：自合同签订之日起7日内完成供货。</w:t>
      </w:r>
    </w:p>
    <w:p>
      <w:pPr>
        <w:snapToGrid w:val="0"/>
        <w:spacing w:line="500" w:lineRule="exact"/>
        <w:ind w:firstLine="544" w:firstLineChars="225"/>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交货及安装地点：</w:t>
      </w:r>
      <w:r>
        <w:rPr>
          <w:rFonts w:hint="eastAsia" w:ascii="宋体" w:hAnsi="宋体"/>
          <w:sz w:val="24"/>
          <w:szCs w:val="24"/>
          <w:u w:val="single"/>
        </w:rPr>
        <w:t xml:space="preserve"> 甲方指定地点 。</w:t>
      </w:r>
    </w:p>
    <w:p>
      <w:pPr>
        <w:snapToGrid w:val="0"/>
        <w:spacing w:line="500" w:lineRule="exact"/>
        <w:rPr>
          <w:rFonts w:ascii="宋体" w:hAnsi="宋体"/>
          <w:b/>
          <w:sz w:val="24"/>
          <w:szCs w:val="24"/>
        </w:rPr>
      </w:pPr>
      <w:r>
        <w:rPr>
          <w:rFonts w:hint="eastAsia" w:ascii="宋体" w:hAnsi="宋体"/>
          <w:b/>
          <w:sz w:val="24"/>
          <w:szCs w:val="24"/>
        </w:rPr>
        <w:t>六、付款方式</w:t>
      </w:r>
    </w:p>
    <w:p>
      <w:pPr>
        <w:snapToGrid w:val="0"/>
        <w:spacing w:line="500" w:lineRule="exact"/>
        <w:ind w:firstLine="544" w:firstLineChars="225"/>
        <w:rPr>
          <w:u w:val="single"/>
        </w:rPr>
      </w:pPr>
      <w:r>
        <w:rPr>
          <w:rFonts w:hint="eastAsia" w:ascii="宋体" w:hAnsi="宋体"/>
          <w:sz w:val="24"/>
          <w:szCs w:val="24"/>
        </w:rPr>
        <w:t>签订合同后支付合同总价款的</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%作为预付款，货到全部验收合格后支付至合同总价款的</w:t>
      </w:r>
      <w:r>
        <w:rPr>
          <w:rFonts w:hint="eastAsia" w:ascii="宋体" w:hAnsi="宋体"/>
          <w:sz w:val="24"/>
          <w:szCs w:val="24"/>
          <w:u w:val="single"/>
        </w:rPr>
        <w:t xml:space="preserve">   </w:t>
      </w:r>
      <w:r>
        <w:rPr>
          <w:rFonts w:hint="eastAsia" w:ascii="宋体" w:hAnsi="宋体"/>
          <w:sz w:val="24"/>
          <w:szCs w:val="24"/>
        </w:rPr>
        <w:t>%，剩余合同总价款的3%作为质保金，待质保期满后支付剩余合同价款。</w:t>
      </w:r>
    </w:p>
    <w:p>
      <w:pPr>
        <w:snapToGrid w:val="0"/>
        <w:spacing w:line="500" w:lineRule="exact"/>
        <w:rPr>
          <w:rFonts w:ascii="宋体" w:hAnsi="宋体"/>
          <w:b/>
          <w:sz w:val="24"/>
          <w:szCs w:val="24"/>
        </w:rPr>
      </w:pPr>
      <w:r>
        <w:rPr>
          <w:rFonts w:hint="eastAsia" w:ascii="宋体" w:hAnsi="宋体"/>
          <w:b/>
          <w:sz w:val="24"/>
          <w:szCs w:val="24"/>
        </w:rPr>
        <w:t>七、违约责任</w:t>
      </w:r>
    </w:p>
    <w:p>
      <w:pPr>
        <w:snapToGrid w:val="0"/>
        <w:spacing w:line="500" w:lineRule="exact"/>
        <w:ind w:firstLine="420"/>
        <w:rPr>
          <w:rFonts w:ascii="宋体" w:hAnsi="宋体"/>
          <w:sz w:val="24"/>
          <w:szCs w:val="24"/>
        </w:rPr>
      </w:pPr>
      <w:r>
        <w:rPr>
          <w:rFonts w:ascii="宋体" w:hAnsi="宋体"/>
          <w:sz w:val="24"/>
          <w:szCs w:val="24"/>
        </w:rPr>
        <w:t>1、逾期交货或付款的，每天按合同额的</w:t>
      </w:r>
      <w:r>
        <w:rPr>
          <w:rFonts w:ascii="宋体" w:hAnsi="宋体"/>
          <w:sz w:val="24"/>
          <w:szCs w:val="24"/>
          <w:u w:val="single"/>
        </w:rPr>
        <w:t xml:space="preserve">  ‰</w:t>
      </w:r>
      <w:r>
        <w:rPr>
          <w:rFonts w:hint="eastAsia" w:ascii="宋体" w:hAnsi="宋体"/>
          <w:sz w:val="24"/>
          <w:szCs w:val="24"/>
        </w:rPr>
        <w:t>对违约方进行罚款。</w:t>
      </w:r>
    </w:p>
    <w:p>
      <w:pPr>
        <w:snapToGrid w:val="0"/>
        <w:spacing w:line="500" w:lineRule="exact"/>
        <w:ind w:firstLine="427" w:firstLineChars="177"/>
        <w:rPr>
          <w:rFonts w:ascii="宋体" w:hAnsi="宋体"/>
          <w:sz w:val="24"/>
          <w:szCs w:val="24"/>
        </w:rPr>
      </w:pPr>
      <w:r>
        <w:rPr>
          <w:rFonts w:ascii="宋体" w:hAnsi="宋体"/>
          <w:sz w:val="24"/>
          <w:szCs w:val="24"/>
        </w:rPr>
        <w:t>2、乙方逾期超过</w:t>
      </w:r>
      <w:r>
        <w:rPr>
          <w:rFonts w:ascii="宋体" w:hAnsi="宋体"/>
          <w:sz w:val="24"/>
          <w:szCs w:val="24"/>
          <w:u w:val="single"/>
        </w:rPr>
        <w:t xml:space="preserve">  </w:t>
      </w:r>
      <w:r>
        <w:rPr>
          <w:rFonts w:ascii="宋体" w:hAnsi="宋体"/>
          <w:sz w:val="24"/>
          <w:szCs w:val="24"/>
        </w:rPr>
        <w:t>天</w:t>
      </w:r>
      <w:r>
        <w:rPr>
          <w:rFonts w:hint="eastAsia" w:ascii="宋体" w:hAnsi="宋体"/>
          <w:sz w:val="24"/>
          <w:szCs w:val="24"/>
        </w:rPr>
        <w:t>仍不能交货的，甲方可解除双方的供货合同，造成甲方损失的，由乙方负责赔偿。</w:t>
      </w:r>
    </w:p>
    <w:p>
      <w:pPr>
        <w:snapToGrid w:val="0"/>
        <w:spacing w:line="500" w:lineRule="exact"/>
        <w:ind w:firstLine="427" w:firstLineChars="177"/>
        <w:rPr>
          <w:rFonts w:ascii="宋体" w:hAnsi="宋体"/>
          <w:sz w:val="24"/>
          <w:szCs w:val="24"/>
        </w:rPr>
      </w:pPr>
      <w:r>
        <w:rPr>
          <w:rFonts w:ascii="宋体" w:hAnsi="宋体"/>
          <w:sz w:val="24"/>
          <w:szCs w:val="24"/>
        </w:rPr>
        <w:t>3、乙方所交的</w:t>
      </w:r>
      <w:r>
        <w:rPr>
          <w:rFonts w:hint="eastAsia" w:ascii="宋体" w:hAnsi="宋体"/>
          <w:sz w:val="24"/>
          <w:szCs w:val="24"/>
        </w:rPr>
        <w:t>货物</w:t>
      </w:r>
      <w:r>
        <w:rPr>
          <w:rFonts w:ascii="宋体" w:hAnsi="宋体"/>
          <w:sz w:val="24"/>
          <w:szCs w:val="24"/>
        </w:rPr>
        <w:t>品种、型号、规格、质量不符合规定标准的，甲方有权拒绝收货。乙方向甲方偿付设备总值百分之三十的违约金。</w:t>
      </w:r>
    </w:p>
    <w:p>
      <w:pPr>
        <w:snapToGrid w:val="0"/>
        <w:spacing w:line="500" w:lineRule="exact"/>
        <w:ind w:left="101" w:leftChars="48" w:firstLine="326" w:firstLineChars="135"/>
        <w:rPr>
          <w:rFonts w:ascii="宋体" w:hAnsi="宋体"/>
          <w:sz w:val="24"/>
          <w:szCs w:val="24"/>
        </w:rPr>
      </w:pPr>
      <w:r>
        <w:rPr>
          <w:rFonts w:ascii="宋体" w:hAnsi="宋体"/>
          <w:sz w:val="24"/>
          <w:szCs w:val="24"/>
        </w:rPr>
        <w:t>4、甲方不按规定时间予以验收</w:t>
      </w:r>
      <w:r>
        <w:rPr>
          <w:rFonts w:hint="eastAsia" w:ascii="宋体" w:hAnsi="宋体"/>
          <w:sz w:val="24"/>
          <w:szCs w:val="24"/>
        </w:rPr>
        <w:t>货物</w:t>
      </w:r>
      <w:r>
        <w:rPr>
          <w:rFonts w:ascii="宋体" w:hAnsi="宋体"/>
          <w:sz w:val="24"/>
          <w:szCs w:val="24"/>
        </w:rPr>
        <w:t>的，每天按合同额的</w:t>
      </w:r>
      <w:r>
        <w:rPr>
          <w:rFonts w:ascii="宋体" w:hAnsi="宋体"/>
          <w:sz w:val="24"/>
          <w:szCs w:val="24"/>
          <w:u w:val="single"/>
        </w:rPr>
        <w:t xml:space="preserve">  ‰</w:t>
      </w:r>
      <w:r>
        <w:rPr>
          <w:rFonts w:hint="eastAsia" w:ascii="宋体" w:hAnsi="宋体"/>
          <w:sz w:val="24"/>
          <w:szCs w:val="24"/>
        </w:rPr>
        <w:t>进行罚款；甲方无正当理由拒收的，应向乙方偿付货物总值百分之三十的违约金。</w:t>
      </w:r>
    </w:p>
    <w:p>
      <w:pPr>
        <w:pStyle w:val="3"/>
        <w:snapToGrid w:val="0"/>
        <w:spacing w:line="500" w:lineRule="exact"/>
        <w:ind w:firstLine="427" w:firstLineChars="177"/>
        <w:rPr>
          <w:rFonts w:ascii="宋体" w:hAnsi="宋体"/>
          <w:color w:val="auto"/>
          <w:kern w:val="2"/>
          <w:sz w:val="24"/>
          <w:szCs w:val="24"/>
        </w:rPr>
      </w:pPr>
      <w:r>
        <w:rPr>
          <w:rFonts w:ascii="宋体" w:hAnsi="宋体"/>
          <w:color w:val="auto"/>
          <w:kern w:val="2"/>
          <w:sz w:val="24"/>
          <w:szCs w:val="24"/>
        </w:rPr>
        <w:t>5、乙方在保质期内如不按要求提供质量及服务，甲方可向</w:t>
      </w:r>
      <w:r>
        <w:rPr>
          <w:rFonts w:hint="eastAsia" w:ascii="宋体" w:hAnsi="宋体"/>
          <w:color w:val="auto"/>
          <w:kern w:val="2"/>
          <w:sz w:val="24"/>
          <w:szCs w:val="24"/>
        </w:rPr>
        <w:t>相关部门</w:t>
      </w:r>
      <w:r>
        <w:rPr>
          <w:rFonts w:ascii="宋体" w:hAnsi="宋体"/>
          <w:color w:val="auto"/>
          <w:kern w:val="2"/>
          <w:sz w:val="24"/>
          <w:szCs w:val="24"/>
        </w:rPr>
        <w:t>投诉，将视情节轻重扣减或没收其质量保证金，质量保证金不足以赔偿损失，按实际损失赔偿。</w:t>
      </w:r>
      <w:r>
        <w:rPr>
          <w:rFonts w:hint="eastAsia" w:ascii="宋体" w:hAnsi="宋体"/>
          <w:color w:val="auto"/>
          <w:kern w:val="2"/>
          <w:sz w:val="24"/>
          <w:szCs w:val="24"/>
        </w:rPr>
        <w:t>情节严重者，将被列入政府采购黑名单。</w:t>
      </w:r>
    </w:p>
    <w:p>
      <w:pPr>
        <w:snapToGrid w:val="0"/>
        <w:spacing w:line="500" w:lineRule="exact"/>
        <w:rPr>
          <w:rFonts w:ascii="宋体" w:hAnsi="宋体"/>
          <w:b/>
          <w:sz w:val="24"/>
          <w:szCs w:val="24"/>
        </w:rPr>
      </w:pPr>
      <w:r>
        <w:rPr>
          <w:rFonts w:hint="eastAsia" w:ascii="宋体" w:hAnsi="宋体"/>
          <w:b/>
          <w:sz w:val="24"/>
          <w:szCs w:val="24"/>
        </w:rPr>
        <w:t>八、仲裁</w:t>
      </w:r>
    </w:p>
    <w:p>
      <w:pPr>
        <w:snapToGrid w:val="0"/>
        <w:spacing w:line="500" w:lineRule="exact"/>
        <w:ind w:firstLine="544" w:firstLineChars="225"/>
        <w:rPr>
          <w:rFonts w:ascii="宋体" w:hAnsi="宋体"/>
          <w:sz w:val="24"/>
          <w:szCs w:val="24"/>
        </w:rPr>
      </w:pPr>
      <w:r>
        <w:rPr>
          <w:rFonts w:hint="eastAsia" w:ascii="宋体" w:hAnsi="宋体"/>
          <w:sz w:val="24"/>
          <w:szCs w:val="24"/>
        </w:rPr>
        <w:t>双方在执行合同中所发生的一切争议，应通过协商解决。如协商不成，则向合同签订所在地仲裁部门提交仲裁或法院起诉。</w:t>
      </w:r>
    </w:p>
    <w:p>
      <w:pPr>
        <w:snapToGrid w:val="0"/>
        <w:spacing w:line="500" w:lineRule="exact"/>
        <w:rPr>
          <w:rFonts w:ascii="宋体" w:hAnsi="宋体"/>
          <w:b/>
          <w:sz w:val="24"/>
          <w:szCs w:val="24"/>
        </w:rPr>
      </w:pPr>
      <w:r>
        <w:rPr>
          <w:rFonts w:hint="eastAsia" w:ascii="宋体" w:hAnsi="宋体"/>
          <w:b/>
          <w:sz w:val="24"/>
          <w:szCs w:val="24"/>
        </w:rPr>
        <w:t>九、合同生效及其它</w:t>
      </w:r>
    </w:p>
    <w:p>
      <w:pPr>
        <w:tabs>
          <w:tab w:val="left" w:pos="0"/>
        </w:tabs>
        <w:snapToGrid w:val="0"/>
        <w:spacing w:line="500" w:lineRule="exact"/>
        <w:ind w:firstLine="480"/>
        <w:rPr>
          <w:rFonts w:ascii="宋体" w:hAnsi="宋体"/>
          <w:sz w:val="24"/>
          <w:szCs w:val="24"/>
        </w:rPr>
      </w:pPr>
      <w:r>
        <w:rPr>
          <w:rFonts w:ascii="宋体" w:hAnsi="宋体"/>
          <w:sz w:val="24"/>
          <w:szCs w:val="24"/>
        </w:rPr>
        <w:t>1、</w:t>
      </w:r>
      <w:r>
        <w:rPr>
          <w:rFonts w:hint="eastAsia" w:ascii="宋体" w:hAnsi="宋体"/>
          <w:sz w:val="24"/>
          <w:szCs w:val="24"/>
        </w:rPr>
        <w:t>合同经双方法定代表人或委托代理人签字加盖单位公章后生效。</w:t>
      </w:r>
    </w:p>
    <w:p>
      <w:pPr>
        <w:tabs>
          <w:tab w:val="left" w:pos="0"/>
        </w:tabs>
        <w:snapToGrid w:val="0"/>
        <w:spacing w:line="500" w:lineRule="exact"/>
        <w:ind w:firstLine="480"/>
        <w:rPr>
          <w:rFonts w:ascii="宋体" w:hAnsi="宋体"/>
          <w:sz w:val="24"/>
          <w:szCs w:val="24"/>
        </w:rPr>
      </w:pPr>
      <w:r>
        <w:rPr>
          <w:rFonts w:ascii="宋体" w:hAnsi="宋体"/>
          <w:sz w:val="24"/>
          <w:szCs w:val="24"/>
        </w:rPr>
        <w:t>2、</w:t>
      </w:r>
      <w:r>
        <w:rPr>
          <w:rFonts w:hint="eastAsia" w:ascii="宋体" w:hAnsi="宋体"/>
          <w:sz w:val="24"/>
          <w:szCs w:val="24"/>
        </w:rPr>
        <w:t>合同执行中，如需修改或补充合同内容，由双方协商同意后，另签署书面修改或补充协议作为主合同不可分割的一部分。</w:t>
      </w:r>
    </w:p>
    <w:p>
      <w:pPr>
        <w:tabs>
          <w:tab w:val="left" w:pos="0"/>
        </w:tabs>
        <w:snapToGrid w:val="0"/>
        <w:spacing w:line="500" w:lineRule="exact"/>
        <w:ind w:firstLine="480"/>
        <w:rPr>
          <w:rFonts w:ascii="宋体" w:hAnsi="宋体"/>
          <w:sz w:val="24"/>
          <w:szCs w:val="24"/>
        </w:rPr>
      </w:pPr>
      <w:r>
        <w:rPr>
          <w:rFonts w:ascii="宋体" w:hAnsi="宋体"/>
          <w:sz w:val="24"/>
          <w:szCs w:val="24"/>
        </w:rPr>
        <w:t>3、</w:t>
      </w:r>
      <w:r>
        <w:rPr>
          <w:rFonts w:hint="eastAsia" w:ascii="宋体" w:hAnsi="宋体"/>
          <w:sz w:val="24"/>
          <w:szCs w:val="24"/>
        </w:rPr>
        <w:t>本合同一式二份，甲、乙双方各一份，均具同等法律效力。</w:t>
      </w:r>
    </w:p>
    <w:p>
      <w:pPr>
        <w:snapToGrid w:val="0"/>
        <w:spacing w:line="500" w:lineRule="exact"/>
        <w:rPr>
          <w:rFonts w:ascii="宋体" w:hAnsi="宋体"/>
          <w:sz w:val="24"/>
          <w:szCs w:val="24"/>
        </w:rPr>
      </w:pPr>
    </w:p>
    <w:p>
      <w:pPr>
        <w:snapToGrid w:val="0"/>
        <w:spacing w:line="500" w:lineRule="exact"/>
        <w:rPr>
          <w:rFonts w:ascii="宋体" w:hAnsi="宋体"/>
          <w:sz w:val="24"/>
          <w:szCs w:val="24"/>
        </w:rPr>
      </w:pPr>
      <w:r>
        <w:rPr>
          <w:rFonts w:hint="eastAsia" w:ascii="宋体" w:hAnsi="宋体"/>
          <w:sz w:val="24"/>
          <w:szCs w:val="24"/>
        </w:rPr>
        <w:t xml:space="preserve">甲方：                             </w:t>
      </w:r>
      <w:r>
        <w:rPr>
          <w:rFonts w:ascii="宋体" w:hAnsi="宋体"/>
          <w:sz w:val="24"/>
          <w:szCs w:val="24"/>
        </w:rPr>
        <w:t xml:space="preserve"> 乙方：              </w:t>
      </w:r>
    </w:p>
    <w:p>
      <w:pPr>
        <w:snapToGrid w:val="0"/>
        <w:spacing w:line="500" w:lineRule="exact"/>
        <w:rPr>
          <w:rFonts w:ascii="宋体" w:hAnsi="宋体"/>
          <w:sz w:val="24"/>
          <w:szCs w:val="24"/>
        </w:rPr>
      </w:pPr>
      <w:r>
        <w:rPr>
          <w:rFonts w:hint="eastAsia" w:ascii="宋体" w:hAnsi="宋体"/>
          <w:sz w:val="24"/>
          <w:szCs w:val="24"/>
        </w:rPr>
        <w:t xml:space="preserve">法定代表人或委托代理人：                    </w:t>
      </w:r>
      <w:r>
        <w:rPr>
          <w:rFonts w:ascii="宋体" w:hAnsi="宋体"/>
          <w:sz w:val="24"/>
          <w:szCs w:val="24"/>
        </w:rPr>
        <w:t xml:space="preserve">法定代表人或委托代理人：      </w:t>
      </w:r>
    </w:p>
    <w:p>
      <w:pPr>
        <w:snapToGrid w:val="0"/>
        <w:spacing w:line="500" w:lineRule="exact"/>
        <w:rPr>
          <w:rFonts w:ascii="宋体" w:hAnsi="宋体"/>
          <w:sz w:val="24"/>
          <w:szCs w:val="24"/>
        </w:rPr>
      </w:pPr>
      <w:r>
        <w:rPr>
          <w:rFonts w:hint="eastAsia" w:ascii="宋体" w:hAnsi="宋体"/>
          <w:sz w:val="24"/>
          <w:szCs w:val="24"/>
        </w:rPr>
        <w:t xml:space="preserve">地址：                                     </w:t>
      </w:r>
      <w:r>
        <w:rPr>
          <w:rFonts w:ascii="宋体" w:hAnsi="宋体"/>
          <w:sz w:val="24"/>
          <w:szCs w:val="24"/>
        </w:rPr>
        <w:t xml:space="preserve"> 地址：                    </w:t>
      </w:r>
    </w:p>
    <w:p>
      <w:pPr>
        <w:snapToGrid w:val="0"/>
        <w:spacing w:line="500" w:lineRule="exact"/>
        <w:rPr>
          <w:rFonts w:ascii="宋体" w:hAnsi="宋体"/>
          <w:sz w:val="24"/>
          <w:szCs w:val="24"/>
        </w:rPr>
      </w:pPr>
      <w:r>
        <w:rPr>
          <w:rFonts w:hint="eastAsia" w:ascii="宋体" w:hAnsi="宋体"/>
          <w:sz w:val="24"/>
          <w:szCs w:val="24"/>
        </w:rPr>
        <w:t>联系电话：</w:t>
      </w:r>
      <w:r>
        <w:rPr>
          <w:rFonts w:ascii="宋体" w:hAnsi="宋体"/>
          <w:sz w:val="24"/>
          <w:szCs w:val="24"/>
        </w:rPr>
        <w:t xml:space="preserve">联系电话：          </w:t>
      </w:r>
    </w:p>
    <w:p>
      <w:pPr>
        <w:snapToGrid w:val="0"/>
        <w:spacing w:line="500" w:lineRule="exact"/>
        <w:rPr>
          <w:rFonts w:ascii="宋体" w:hAnsi="宋体"/>
          <w:sz w:val="24"/>
          <w:szCs w:val="24"/>
        </w:rPr>
      </w:pPr>
    </w:p>
    <w:p>
      <w:pPr>
        <w:snapToGrid w:val="0"/>
        <w:spacing w:line="500" w:lineRule="exact"/>
        <w:rPr>
          <w:rFonts w:ascii="宋体" w:hAnsi="宋体"/>
          <w:b/>
          <w:sz w:val="24"/>
          <w:szCs w:val="24"/>
        </w:rPr>
      </w:pPr>
      <w:r>
        <w:rPr>
          <w:rFonts w:hint="eastAsia" w:ascii="宋体" w:hAnsi="宋体"/>
          <w:sz w:val="24"/>
          <w:szCs w:val="24"/>
        </w:rPr>
        <w:t xml:space="preserve">签约日期：   </w:t>
      </w:r>
      <w:r>
        <w:rPr>
          <w:rFonts w:ascii="宋体" w:hAnsi="宋体"/>
          <w:sz w:val="24"/>
          <w:szCs w:val="24"/>
        </w:rPr>
        <w:t>年  月  日</w:t>
      </w:r>
    </w:p>
    <w:p>
      <w:pPr>
        <w:spacing w:line="500" w:lineRule="exact"/>
        <w:jc w:val="center"/>
        <w:outlineLvl w:val="0"/>
        <w:rPr>
          <w:rFonts w:ascii="宋体" w:hAnsi="宋体"/>
          <w:b/>
          <w:sz w:val="30"/>
          <w:szCs w:val="30"/>
        </w:rPr>
      </w:pPr>
      <w:r>
        <w:rPr>
          <w:rFonts w:ascii="宋体" w:hAnsi="宋体"/>
          <w:b/>
        </w:rPr>
        <w:br w:type="page"/>
      </w:r>
      <w:bookmarkStart w:id="16" w:name="_Toc19169"/>
      <w:r>
        <w:rPr>
          <w:rFonts w:hint="eastAsia" w:ascii="宋体" w:hAnsi="宋体"/>
          <w:b/>
          <w:sz w:val="30"/>
          <w:szCs w:val="30"/>
        </w:rPr>
        <w:t>第五章 投标文件格式</w:t>
      </w:r>
      <w:bookmarkEnd w:id="16"/>
    </w:p>
    <w:p>
      <w:pPr>
        <w:pStyle w:val="87"/>
        <w:spacing w:line="500" w:lineRule="exact"/>
        <w:rPr>
          <w:rFonts w:ascii="宋体" w:hAnsi="宋体"/>
          <w:b/>
          <w:color w:val="auto"/>
        </w:rPr>
      </w:pPr>
    </w:p>
    <w:p>
      <w:pPr>
        <w:pStyle w:val="87"/>
        <w:spacing w:line="500" w:lineRule="exact"/>
        <w:rPr>
          <w:rFonts w:ascii="宋体" w:hAnsi="宋体"/>
          <w:b/>
          <w:color w:val="auto"/>
        </w:rPr>
      </w:pPr>
    </w:p>
    <w:p>
      <w:pPr>
        <w:pStyle w:val="87"/>
        <w:spacing w:line="500" w:lineRule="exact"/>
        <w:rPr>
          <w:rFonts w:ascii="宋体" w:hAnsi="宋体"/>
          <w:b/>
          <w:color w:val="auto"/>
        </w:rPr>
      </w:pPr>
    </w:p>
    <w:p>
      <w:pPr>
        <w:pStyle w:val="87"/>
        <w:spacing w:line="500" w:lineRule="exact"/>
        <w:rPr>
          <w:rFonts w:ascii="宋体" w:hAnsi="宋体"/>
          <w:b/>
          <w:color w:val="auto"/>
        </w:rPr>
      </w:pPr>
    </w:p>
    <w:p>
      <w:pPr>
        <w:pStyle w:val="87"/>
        <w:spacing w:line="500" w:lineRule="exact"/>
        <w:rPr>
          <w:rFonts w:ascii="宋体" w:hAnsi="宋体"/>
          <w:b/>
          <w:color w:val="auto"/>
        </w:rPr>
      </w:pPr>
    </w:p>
    <w:p>
      <w:pPr>
        <w:pStyle w:val="87"/>
        <w:spacing w:line="500" w:lineRule="exact"/>
        <w:rPr>
          <w:rFonts w:ascii="宋体" w:hAnsi="宋体"/>
          <w:b/>
          <w:color w:val="auto"/>
        </w:rPr>
      </w:pPr>
    </w:p>
    <w:p>
      <w:pPr>
        <w:pStyle w:val="87"/>
        <w:spacing w:line="500" w:lineRule="exact"/>
        <w:rPr>
          <w:rFonts w:ascii="宋体" w:hAnsi="宋体"/>
          <w:b/>
          <w:color w:val="auto"/>
        </w:rPr>
      </w:pPr>
    </w:p>
    <w:p>
      <w:pPr>
        <w:pStyle w:val="87"/>
        <w:spacing w:line="500" w:lineRule="exact"/>
        <w:rPr>
          <w:rFonts w:ascii="宋体" w:hAnsi="宋体"/>
          <w:b/>
          <w:color w:val="auto"/>
        </w:rPr>
      </w:pPr>
    </w:p>
    <w:p>
      <w:pPr>
        <w:pStyle w:val="87"/>
        <w:spacing w:line="500" w:lineRule="exact"/>
        <w:rPr>
          <w:rFonts w:ascii="宋体" w:hAnsi="宋体"/>
          <w:b/>
          <w:color w:val="auto"/>
        </w:rPr>
      </w:pPr>
    </w:p>
    <w:p>
      <w:pPr>
        <w:pStyle w:val="87"/>
        <w:spacing w:line="500" w:lineRule="exact"/>
        <w:rPr>
          <w:rFonts w:ascii="宋体" w:hAnsi="宋体"/>
          <w:b/>
          <w:color w:val="auto"/>
        </w:rPr>
      </w:pPr>
    </w:p>
    <w:p>
      <w:pPr>
        <w:pStyle w:val="87"/>
        <w:spacing w:line="500" w:lineRule="exact"/>
        <w:rPr>
          <w:rFonts w:ascii="宋体" w:hAnsi="宋体"/>
          <w:b/>
          <w:color w:val="auto"/>
        </w:rPr>
      </w:pPr>
    </w:p>
    <w:p>
      <w:pPr>
        <w:pStyle w:val="87"/>
        <w:spacing w:line="500" w:lineRule="exact"/>
        <w:rPr>
          <w:rFonts w:ascii="宋体" w:hAnsi="宋体"/>
          <w:b/>
          <w:color w:val="auto"/>
        </w:rPr>
      </w:pPr>
    </w:p>
    <w:p>
      <w:pPr>
        <w:pStyle w:val="87"/>
        <w:spacing w:line="500" w:lineRule="exact"/>
        <w:rPr>
          <w:rFonts w:ascii="宋体" w:hAnsi="宋体"/>
          <w:b/>
          <w:color w:val="auto"/>
        </w:rPr>
      </w:pPr>
    </w:p>
    <w:p>
      <w:pPr>
        <w:pStyle w:val="87"/>
        <w:spacing w:line="500" w:lineRule="exact"/>
        <w:rPr>
          <w:rFonts w:ascii="宋体" w:hAnsi="宋体"/>
          <w:b/>
          <w:color w:val="auto"/>
        </w:rPr>
      </w:pPr>
    </w:p>
    <w:p>
      <w:pPr>
        <w:pStyle w:val="87"/>
        <w:spacing w:line="500" w:lineRule="exact"/>
        <w:rPr>
          <w:rFonts w:ascii="宋体" w:hAnsi="宋体"/>
          <w:b/>
          <w:color w:val="auto"/>
        </w:rPr>
      </w:pPr>
    </w:p>
    <w:p>
      <w:pPr>
        <w:pStyle w:val="87"/>
        <w:spacing w:line="500" w:lineRule="exact"/>
        <w:rPr>
          <w:rFonts w:ascii="宋体" w:hAnsi="宋体"/>
          <w:b/>
          <w:color w:val="auto"/>
        </w:rPr>
      </w:pPr>
    </w:p>
    <w:p>
      <w:pPr>
        <w:pStyle w:val="87"/>
        <w:spacing w:line="500" w:lineRule="exact"/>
        <w:rPr>
          <w:rFonts w:ascii="宋体" w:hAnsi="宋体"/>
          <w:b/>
          <w:color w:val="auto"/>
        </w:rPr>
      </w:pPr>
    </w:p>
    <w:p>
      <w:pPr>
        <w:pStyle w:val="87"/>
        <w:spacing w:line="500" w:lineRule="exact"/>
        <w:jc w:val="right"/>
        <w:rPr>
          <w:rFonts w:ascii="宋体" w:hAnsi="宋体"/>
          <w:b/>
          <w:color w:val="auto"/>
        </w:rPr>
      </w:pPr>
    </w:p>
    <w:p>
      <w:pPr>
        <w:pStyle w:val="87"/>
        <w:spacing w:line="500" w:lineRule="exact"/>
        <w:jc w:val="right"/>
        <w:rPr>
          <w:rFonts w:ascii="宋体" w:hAnsi="宋体"/>
          <w:b/>
          <w:color w:val="auto"/>
        </w:rPr>
      </w:pPr>
    </w:p>
    <w:p>
      <w:pPr>
        <w:pStyle w:val="87"/>
        <w:spacing w:line="500" w:lineRule="exact"/>
        <w:jc w:val="right"/>
        <w:rPr>
          <w:rFonts w:ascii="宋体" w:hAnsi="宋体"/>
          <w:b/>
          <w:color w:val="auto"/>
        </w:rPr>
      </w:pPr>
    </w:p>
    <w:p>
      <w:pPr>
        <w:pStyle w:val="87"/>
        <w:spacing w:line="500" w:lineRule="exact"/>
        <w:jc w:val="right"/>
        <w:rPr>
          <w:rFonts w:ascii="宋体" w:hAnsi="宋体"/>
          <w:b/>
          <w:color w:val="auto"/>
        </w:rPr>
      </w:pPr>
    </w:p>
    <w:p>
      <w:pPr>
        <w:pStyle w:val="87"/>
        <w:spacing w:line="500" w:lineRule="exact"/>
        <w:jc w:val="right"/>
        <w:rPr>
          <w:rFonts w:ascii="宋体" w:hAnsi="宋体"/>
          <w:b/>
          <w:color w:val="auto"/>
        </w:rPr>
      </w:pPr>
    </w:p>
    <w:p>
      <w:pPr>
        <w:pStyle w:val="87"/>
        <w:spacing w:line="500" w:lineRule="exact"/>
        <w:jc w:val="right"/>
        <w:rPr>
          <w:rFonts w:ascii="宋体" w:hAnsi="宋体"/>
          <w:b/>
          <w:color w:val="auto"/>
        </w:rPr>
      </w:pPr>
    </w:p>
    <w:p>
      <w:pPr>
        <w:pStyle w:val="87"/>
        <w:spacing w:line="500" w:lineRule="exact"/>
        <w:jc w:val="right"/>
        <w:rPr>
          <w:rFonts w:ascii="宋体" w:hAnsi="宋体"/>
          <w:b/>
          <w:color w:val="auto"/>
        </w:rPr>
      </w:pPr>
    </w:p>
    <w:p>
      <w:pPr>
        <w:pStyle w:val="87"/>
        <w:spacing w:line="500" w:lineRule="exact"/>
        <w:jc w:val="right"/>
        <w:rPr>
          <w:rFonts w:ascii="宋体" w:hAnsi="宋体"/>
          <w:b/>
          <w:color w:val="auto"/>
        </w:rPr>
      </w:pPr>
    </w:p>
    <w:p>
      <w:pPr>
        <w:pStyle w:val="87"/>
        <w:spacing w:line="500" w:lineRule="exact"/>
        <w:jc w:val="right"/>
        <w:rPr>
          <w:rFonts w:ascii="宋体" w:hAnsi="宋体"/>
          <w:b/>
          <w:color w:val="auto"/>
        </w:rPr>
      </w:pPr>
    </w:p>
    <w:p>
      <w:pPr>
        <w:pStyle w:val="87"/>
        <w:spacing w:line="500" w:lineRule="exact"/>
        <w:jc w:val="right"/>
        <w:rPr>
          <w:rFonts w:ascii="宋体" w:hAnsi="宋体"/>
          <w:b/>
          <w:color w:val="auto"/>
        </w:rPr>
      </w:pPr>
    </w:p>
    <w:p>
      <w:pPr>
        <w:pStyle w:val="87"/>
        <w:spacing w:line="500" w:lineRule="exact"/>
        <w:jc w:val="right"/>
        <w:rPr>
          <w:rFonts w:ascii="宋体" w:hAnsi="宋体"/>
          <w:b/>
          <w:color w:val="auto"/>
        </w:rPr>
      </w:pPr>
      <w:r>
        <w:rPr>
          <w:rFonts w:hint="eastAsia" w:ascii="宋体" w:hAnsi="宋体"/>
          <w:b/>
          <w:color w:val="auto"/>
        </w:rPr>
        <w:t>正本/副本</w:t>
      </w:r>
    </w:p>
    <w:p>
      <w:pPr>
        <w:pStyle w:val="87"/>
        <w:spacing w:line="500" w:lineRule="exact"/>
        <w:jc w:val="center"/>
        <w:rPr>
          <w:rFonts w:ascii="宋体" w:hAnsi="宋体"/>
          <w:b/>
          <w:color w:val="auto"/>
          <w:sz w:val="30"/>
          <w:szCs w:val="30"/>
        </w:rPr>
      </w:pPr>
    </w:p>
    <w:p>
      <w:pPr>
        <w:pStyle w:val="87"/>
        <w:spacing w:line="500" w:lineRule="exact"/>
        <w:jc w:val="center"/>
        <w:rPr>
          <w:rFonts w:ascii="宋体" w:hAnsi="宋体"/>
          <w:color w:val="auto"/>
          <w:sz w:val="44"/>
          <w:szCs w:val="44"/>
        </w:rPr>
      </w:pPr>
      <w:r>
        <w:rPr>
          <w:rFonts w:hint="eastAsia" w:ascii="宋体" w:hAnsi="宋体"/>
          <w:b/>
          <w:color w:val="auto"/>
          <w:sz w:val="44"/>
          <w:szCs w:val="44"/>
        </w:rPr>
        <w:t>投标文件</w:t>
      </w:r>
    </w:p>
    <w:p>
      <w:pPr>
        <w:pStyle w:val="87"/>
        <w:spacing w:line="500" w:lineRule="exact"/>
        <w:jc w:val="both"/>
        <w:rPr>
          <w:rFonts w:ascii="宋体" w:hAnsi="宋体"/>
          <w:color w:val="auto"/>
        </w:rPr>
      </w:pPr>
    </w:p>
    <w:p>
      <w:pPr>
        <w:pStyle w:val="87"/>
        <w:spacing w:line="500" w:lineRule="exact"/>
        <w:jc w:val="both"/>
        <w:rPr>
          <w:rFonts w:ascii="宋体" w:hAnsi="宋体"/>
          <w:color w:val="auto"/>
        </w:rPr>
      </w:pPr>
    </w:p>
    <w:p>
      <w:pPr>
        <w:pStyle w:val="87"/>
        <w:spacing w:line="500" w:lineRule="exact"/>
        <w:jc w:val="both"/>
        <w:rPr>
          <w:rFonts w:ascii="宋体" w:hAnsi="宋体"/>
          <w:color w:val="auto"/>
        </w:rPr>
      </w:pPr>
    </w:p>
    <w:p>
      <w:pPr>
        <w:pStyle w:val="87"/>
        <w:spacing w:line="500" w:lineRule="exact"/>
        <w:jc w:val="both"/>
        <w:rPr>
          <w:rFonts w:ascii="宋体" w:hAnsi="宋体"/>
          <w:color w:val="auto"/>
        </w:rPr>
      </w:pPr>
    </w:p>
    <w:p>
      <w:pPr>
        <w:pStyle w:val="87"/>
        <w:spacing w:line="500" w:lineRule="exact"/>
        <w:jc w:val="both"/>
        <w:rPr>
          <w:rFonts w:ascii="宋体" w:hAnsi="宋体"/>
          <w:color w:val="auto"/>
        </w:rPr>
      </w:pPr>
    </w:p>
    <w:p>
      <w:pPr>
        <w:pStyle w:val="87"/>
        <w:spacing w:line="500" w:lineRule="exact"/>
        <w:jc w:val="both"/>
        <w:rPr>
          <w:rFonts w:ascii="宋体" w:hAnsi="宋体"/>
          <w:color w:val="auto"/>
        </w:rPr>
      </w:pPr>
    </w:p>
    <w:p>
      <w:pPr>
        <w:pStyle w:val="87"/>
        <w:spacing w:line="500" w:lineRule="exact"/>
        <w:ind w:firstLine="567"/>
        <w:jc w:val="both"/>
        <w:rPr>
          <w:rFonts w:ascii="宋体" w:hAnsi="宋体"/>
          <w:color w:val="auto"/>
        </w:rPr>
      </w:pPr>
    </w:p>
    <w:p>
      <w:pPr>
        <w:spacing w:line="500" w:lineRule="exact"/>
        <w:ind w:firstLine="604" w:firstLineChars="200"/>
        <w:rPr>
          <w:rFonts w:ascii="宋体" w:hAnsi="宋体"/>
          <w:kern w:val="0"/>
          <w:sz w:val="30"/>
          <w:szCs w:val="30"/>
        </w:rPr>
      </w:pPr>
      <w:r>
        <w:rPr>
          <w:rFonts w:hint="eastAsia" w:ascii="宋体" w:hAnsi="宋体"/>
          <w:kern w:val="0"/>
          <w:sz w:val="30"/>
          <w:szCs w:val="30"/>
        </w:rPr>
        <w:t xml:space="preserve">招标项目名称：                        </w:t>
      </w:r>
    </w:p>
    <w:p>
      <w:pPr>
        <w:spacing w:line="500" w:lineRule="exact"/>
        <w:ind w:left="1680" w:hanging="1680"/>
        <w:jc w:val="center"/>
        <w:rPr>
          <w:rFonts w:ascii="宋体" w:hAnsi="宋体"/>
          <w:kern w:val="0"/>
          <w:sz w:val="30"/>
          <w:szCs w:val="30"/>
        </w:rPr>
      </w:pPr>
    </w:p>
    <w:p>
      <w:pPr>
        <w:pStyle w:val="87"/>
        <w:spacing w:line="500" w:lineRule="exact"/>
        <w:ind w:firstLine="604" w:firstLineChars="200"/>
        <w:jc w:val="both"/>
        <w:rPr>
          <w:rFonts w:ascii="宋体" w:hAnsi="宋体"/>
          <w:color w:val="auto"/>
          <w:sz w:val="30"/>
          <w:szCs w:val="30"/>
        </w:rPr>
      </w:pPr>
      <w:r>
        <w:rPr>
          <w:rFonts w:hint="eastAsia" w:ascii="宋体" w:hAnsi="宋体"/>
          <w:color w:val="auto"/>
          <w:sz w:val="30"/>
          <w:szCs w:val="30"/>
        </w:rPr>
        <w:t xml:space="preserve">招标文件编号： </w:t>
      </w:r>
    </w:p>
    <w:p>
      <w:pPr>
        <w:pStyle w:val="87"/>
        <w:spacing w:line="500" w:lineRule="exact"/>
        <w:ind w:firstLine="567"/>
        <w:jc w:val="both"/>
        <w:rPr>
          <w:rFonts w:ascii="宋体" w:hAnsi="宋体"/>
          <w:color w:val="auto"/>
          <w:sz w:val="30"/>
          <w:szCs w:val="30"/>
        </w:rPr>
      </w:pPr>
    </w:p>
    <w:p>
      <w:pPr>
        <w:pStyle w:val="87"/>
        <w:spacing w:line="500" w:lineRule="exact"/>
        <w:ind w:firstLine="604" w:firstLineChars="200"/>
        <w:jc w:val="both"/>
        <w:rPr>
          <w:rFonts w:ascii="宋体" w:hAnsi="宋体"/>
          <w:color w:val="auto"/>
          <w:sz w:val="30"/>
          <w:szCs w:val="30"/>
        </w:rPr>
      </w:pPr>
      <w:r>
        <w:rPr>
          <w:rFonts w:hint="eastAsia" w:ascii="宋体" w:hAnsi="宋体"/>
          <w:color w:val="auto"/>
          <w:sz w:val="30"/>
          <w:szCs w:val="30"/>
        </w:rPr>
        <w:t>投标单位名称（加盖公章） ：</w:t>
      </w:r>
    </w:p>
    <w:p>
      <w:pPr>
        <w:pStyle w:val="87"/>
        <w:spacing w:line="500" w:lineRule="exact"/>
        <w:ind w:firstLine="567"/>
        <w:jc w:val="both"/>
        <w:rPr>
          <w:rFonts w:ascii="宋体" w:hAnsi="宋体"/>
          <w:color w:val="auto"/>
          <w:sz w:val="30"/>
          <w:szCs w:val="30"/>
        </w:rPr>
      </w:pPr>
    </w:p>
    <w:p>
      <w:pPr>
        <w:pStyle w:val="87"/>
        <w:spacing w:line="500" w:lineRule="exact"/>
        <w:ind w:firstLine="604" w:firstLineChars="200"/>
        <w:jc w:val="both"/>
        <w:rPr>
          <w:rFonts w:ascii="宋体" w:hAnsi="宋体"/>
          <w:color w:val="auto"/>
          <w:sz w:val="30"/>
          <w:szCs w:val="30"/>
        </w:rPr>
      </w:pPr>
      <w:r>
        <w:rPr>
          <w:rFonts w:hint="eastAsia" w:ascii="宋体" w:hAnsi="宋体"/>
          <w:color w:val="auto"/>
          <w:sz w:val="30"/>
          <w:szCs w:val="30"/>
        </w:rPr>
        <w:t>法定代表人（加盖公章）：</w:t>
      </w:r>
    </w:p>
    <w:p>
      <w:pPr>
        <w:pStyle w:val="87"/>
        <w:spacing w:line="500" w:lineRule="exact"/>
        <w:ind w:firstLine="604" w:firstLineChars="200"/>
        <w:jc w:val="both"/>
        <w:rPr>
          <w:rFonts w:ascii="宋体" w:hAnsi="宋体"/>
          <w:color w:val="auto"/>
          <w:sz w:val="30"/>
          <w:szCs w:val="30"/>
        </w:rPr>
      </w:pPr>
    </w:p>
    <w:p>
      <w:pPr>
        <w:pStyle w:val="87"/>
        <w:spacing w:line="500" w:lineRule="exact"/>
        <w:ind w:firstLine="604" w:firstLineChars="200"/>
        <w:jc w:val="both"/>
        <w:rPr>
          <w:rFonts w:ascii="宋体" w:hAnsi="宋体"/>
          <w:color w:val="auto"/>
          <w:sz w:val="30"/>
          <w:szCs w:val="30"/>
        </w:rPr>
      </w:pPr>
      <w:r>
        <w:rPr>
          <w:rFonts w:hint="eastAsia" w:ascii="宋体" w:hAnsi="宋体"/>
          <w:color w:val="auto"/>
          <w:sz w:val="30"/>
          <w:szCs w:val="30"/>
        </w:rPr>
        <w:t>项目联系人及联系方式：</w:t>
      </w:r>
    </w:p>
    <w:p>
      <w:pPr>
        <w:pStyle w:val="87"/>
        <w:spacing w:line="500" w:lineRule="exact"/>
        <w:jc w:val="both"/>
        <w:rPr>
          <w:rFonts w:ascii="宋体" w:hAnsi="宋体"/>
          <w:color w:val="auto"/>
        </w:rPr>
      </w:pPr>
    </w:p>
    <w:p>
      <w:pPr>
        <w:pStyle w:val="87"/>
        <w:spacing w:line="500" w:lineRule="exact"/>
        <w:ind w:firstLine="604" w:firstLineChars="200"/>
        <w:jc w:val="both"/>
        <w:rPr>
          <w:rFonts w:ascii="宋体" w:hAnsi="宋体"/>
          <w:color w:val="auto"/>
          <w:sz w:val="30"/>
          <w:szCs w:val="30"/>
        </w:rPr>
      </w:pPr>
      <w:r>
        <w:rPr>
          <w:rFonts w:hint="eastAsia" w:ascii="宋体" w:hAnsi="宋体"/>
          <w:color w:val="auto"/>
          <w:sz w:val="30"/>
          <w:szCs w:val="30"/>
        </w:rPr>
        <w:t>日   期：</w:t>
      </w:r>
    </w:p>
    <w:p>
      <w:pPr>
        <w:pStyle w:val="87"/>
        <w:spacing w:line="500" w:lineRule="exact"/>
        <w:jc w:val="both"/>
        <w:rPr>
          <w:rFonts w:ascii="宋体" w:hAnsi="宋体"/>
          <w:color w:val="auto"/>
        </w:rPr>
      </w:pPr>
    </w:p>
    <w:p>
      <w:pPr>
        <w:pStyle w:val="87"/>
        <w:spacing w:line="500" w:lineRule="exact"/>
        <w:jc w:val="both"/>
        <w:rPr>
          <w:rFonts w:ascii="宋体" w:hAnsi="宋体"/>
          <w:color w:val="auto"/>
        </w:rPr>
      </w:pPr>
    </w:p>
    <w:p>
      <w:pPr>
        <w:pStyle w:val="87"/>
        <w:spacing w:line="500" w:lineRule="exact"/>
        <w:jc w:val="both"/>
        <w:rPr>
          <w:rFonts w:ascii="宋体" w:hAnsi="宋体"/>
          <w:color w:val="auto"/>
        </w:rPr>
      </w:pPr>
    </w:p>
    <w:p>
      <w:pPr>
        <w:pStyle w:val="87"/>
        <w:spacing w:line="500" w:lineRule="exact"/>
        <w:jc w:val="center"/>
        <w:rPr>
          <w:rFonts w:ascii="宋体" w:hAnsi="宋体"/>
          <w:b/>
          <w:color w:val="auto"/>
        </w:rPr>
      </w:pPr>
    </w:p>
    <w:p>
      <w:pPr>
        <w:pStyle w:val="87"/>
        <w:spacing w:line="500" w:lineRule="exact"/>
        <w:jc w:val="center"/>
        <w:rPr>
          <w:rFonts w:ascii="宋体" w:hAnsi="宋体"/>
          <w:b/>
          <w:color w:val="auto"/>
        </w:rPr>
      </w:pPr>
    </w:p>
    <w:p>
      <w:pPr>
        <w:pStyle w:val="87"/>
        <w:spacing w:line="500" w:lineRule="exact"/>
        <w:jc w:val="center"/>
        <w:rPr>
          <w:rFonts w:ascii="宋体" w:hAnsi="宋体"/>
          <w:b/>
          <w:color w:val="auto"/>
        </w:rPr>
      </w:pPr>
    </w:p>
    <w:p>
      <w:pPr>
        <w:pStyle w:val="87"/>
        <w:spacing w:line="500" w:lineRule="exact"/>
        <w:jc w:val="center"/>
        <w:rPr>
          <w:rFonts w:ascii="宋体" w:hAnsi="宋体"/>
          <w:b/>
          <w:color w:val="auto"/>
        </w:rPr>
      </w:pPr>
      <w:r>
        <w:rPr>
          <w:rFonts w:hint="eastAsia" w:ascii="宋体" w:hAnsi="宋体"/>
          <w:b/>
          <w:color w:val="auto"/>
        </w:rPr>
        <w:t>目  录</w:t>
      </w:r>
    </w:p>
    <w:p>
      <w:pPr>
        <w:pStyle w:val="23"/>
        <w:numPr>
          <w:ilvl w:val="0"/>
          <w:numId w:val="3"/>
        </w:numPr>
        <w:spacing w:line="440" w:lineRule="exact"/>
        <w:ind w:firstLine="484" w:firstLineChars="200"/>
        <w:jc w:val="center"/>
        <w:rPr>
          <w:rFonts w:ascii="Times New Roman" w:hAnsi="Times New Roman"/>
          <w:sz w:val="24"/>
          <w:szCs w:val="24"/>
        </w:rPr>
      </w:pPr>
      <w:r>
        <w:rPr>
          <w:rFonts w:hint="eastAsia" w:ascii="Times New Roman" w:hAnsi="Times New Roman"/>
          <w:sz w:val="24"/>
          <w:szCs w:val="24"/>
        </w:rPr>
        <w:t>商务部分</w:t>
      </w:r>
    </w:p>
    <w:p>
      <w:pPr>
        <w:pStyle w:val="23"/>
        <w:spacing w:line="440" w:lineRule="exact"/>
        <w:rPr>
          <w:rFonts w:ascii="Times New Roman" w:hAnsi="Times New Roman"/>
          <w:sz w:val="24"/>
          <w:szCs w:val="24"/>
        </w:rPr>
      </w:pPr>
    </w:p>
    <w:p>
      <w:pPr>
        <w:pStyle w:val="23"/>
        <w:spacing w:line="440" w:lineRule="exact"/>
        <w:ind w:firstLine="484" w:firstLineChars="200"/>
        <w:rPr>
          <w:rFonts w:ascii="Times New Roman" w:hAnsi="Times New Roman" w:eastAsia="MingLiU_HKSCS"/>
          <w:sz w:val="24"/>
          <w:szCs w:val="24"/>
        </w:rPr>
      </w:pPr>
      <w:r>
        <w:rPr>
          <w:rFonts w:hint="eastAsia" w:ascii="Times New Roman" w:hAnsi="Times New Roman"/>
          <w:sz w:val="24"/>
          <w:szCs w:val="24"/>
        </w:rPr>
        <w:t>一、投标函</w:t>
      </w:r>
      <w:r>
        <w:rPr>
          <w:rFonts w:ascii="Times New Roman" w:hAnsi="Times New Roman"/>
          <w:sz w:val="24"/>
          <w:szCs w:val="24"/>
        </w:rPr>
        <w:t>(</w:t>
      </w:r>
      <w:r>
        <w:rPr>
          <w:rFonts w:hint="eastAsia" w:ascii="Times New Roman" w:hAnsi="Times New Roman"/>
          <w:sz w:val="24"/>
          <w:szCs w:val="24"/>
        </w:rPr>
        <w:t>格式附后</w:t>
      </w:r>
      <w:r>
        <w:rPr>
          <w:rFonts w:ascii="Times New Roman" w:hAnsi="Times New Roman"/>
          <w:sz w:val="24"/>
          <w:szCs w:val="24"/>
        </w:rPr>
        <w:t>)</w:t>
      </w:r>
    </w:p>
    <w:p>
      <w:pPr>
        <w:pStyle w:val="23"/>
        <w:spacing w:line="440" w:lineRule="exact"/>
        <w:ind w:firstLine="484" w:firstLineChars="200"/>
        <w:rPr>
          <w:rFonts w:ascii="Times New Roman" w:hAnsi="Times New Roman" w:eastAsia="MingLiU_HKSCS"/>
          <w:sz w:val="24"/>
          <w:szCs w:val="24"/>
        </w:rPr>
      </w:pPr>
      <w:r>
        <w:rPr>
          <w:rFonts w:hint="eastAsia" w:ascii="Times New Roman" w:hAnsi="Times New Roman"/>
          <w:sz w:val="24"/>
          <w:szCs w:val="24"/>
        </w:rPr>
        <w:t>附件</w:t>
      </w:r>
      <w:r>
        <w:rPr>
          <w:rFonts w:ascii="Times New Roman" w:hAnsi="Times New Roman"/>
          <w:sz w:val="24"/>
          <w:szCs w:val="24"/>
        </w:rPr>
        <w:t>1</w:t>
      </w:r>
      <w:r>
        <w:rPr>
          <w:rFonts w:hint="eastAsia" w:ascii="Times New Roman" w:hAnsi="Times New Roman"/>
          <w:sz w:val="24"/>
          <w:szCs w:val="24"/>
        </w:rPr>
        <w:t>-1　法定代表人身份证明复印件</w:t>
      </w:r>
      <w:r>
        <w:rPr>
          <w:rFonts w:ascii="Times New Roman" w:hAnsi="Times New Roman"/>
          <w:sz w:val="24"/>
          <w:szCs w:val="24"/>
        </w:rPr>
        <w:t>(</w:t>
      </w:r>
      <w:r>
        <w:rPr>
          <w:rFonts w:hint="eastAsia" w:ascii="Times New Roman" w:hAnsi="Times New Roman"/>
          <w:sz w:val="24"/>
          <w:szCs w:val="24"/>
        </w:rPr>
        <w:t>法定代表人参加投标</w:t>
      </w:r>
      <w:r>
        <w:rPr>
          <w:rFonts w:ascii="Times New Roman" w:hAnsi="Times New Roman"/>
          <w:sz w:val="24"/>
          <w:szCs w:val="24"/>
        </w:rPr>
        <w:t>)</w:t>
      </w:r>
    </w:p>
    <w:p>
      <w:pPr>
        <w:pStyle w:val="23"/>
        <w:spacing w:line="440" w:lineRule="exact"/>
        <w:ind w:firstLine="484" w:firstLineChars="200"/>
        <w:rPr>
          <w:rFonts w:ascii="Times New Roman" w:hAnsi="Times New Roman" w:eastAsia="MingLiU_HKSCS"/>
          <w:sz w:val="24"/>
          <w:szCs w:val="24"/>
        </w:rPr>
      </w:pPr>
      <w:r>
        <w:rPr>
          <w:rFonts w:hint="eastAsia" w:ascii="Times New Roman" w:hAnsi="Times New Roman"/>
          <w:sz w:val="24"/>
          <w:szCs w:val="24"/>
        </w:rPr>
        <w:t>附件1-2　法定代表人授权书</w:t>
      </w:r>
      <w:r>
        <w:rPr>
          <w:rFonts w:ascii="Times New Roman" w:hAnsi="Times New Roman"/>
          <w:sz w:val="24"/>
          <w:szCs w:val="24"/>
        </w:rPr>
        <w:t>(</w:t>
      </w:r>
      <w:r>
        <w:rPr>
          <w:rFonts w:hint="eastAsia" w:ascii="Times New Roman" w:hAnsi="Times New Roman"/>
          <w:sz w:val="24"/>
          <w:szCs w:val="24"/>
        </w:rPr>
        <w:t>授权代表参加投标</w:t>
      </w:r>
      <w:r>
        <w:rPr>
          <w:rFonts w:ascii="Times New Roman" w:hAnsi="Times New Roman"/>
          <w:sz w:val="24"/>
          <w:szCs w:val="24"/>
        </w:rPr>
        <w:t>)</w:t>
      </w:r>
    </w:p>
    <w:p>
      <w:pPr>
        <w:pStyle w:val="23"/>
        <w:spacing w:line="440" w:lineRule="exact"/>
        <w:ind w:firstLine="484" w:firstLineChars="200"/>
        <w:rPr>
          <w:rFonts w:ascii="Times New Roman" w:hAnsi="Times New Roman" w:eastAsia="MingLiU_HKSCS"/>
          <w:sz w:val="24"/>
          <w:szCs w:val="24"/>
        </w:rPr>
      </w:pPr>
      <w:r>
        <w:rPr>
          <w:rFonts w:hint="eastAsia" w:ascii="Times New Roman" w:hAnsi="Times New Roman"/>
          <w:sz w:val="24"/>
          <w:szCs w:val="24"/>
        </w:rPr>
        <w:t>附件1-3　授权委托书</w:t>
      </w:r>
      <w:r>
        <w:rPr>
          <w:rFonts w:ascii="Times New Roman" w:hAnsi="Times New Roman"/>
          <w:sz w:val="24"/>
          <w:szCs w:val="24"/>
        </w:rPr>
        <w:t>(</w:t>
      </w:r>
      <w:r>
        <w:rPr>
          <w:rFonts w:hint="eastAsia" w:ascii="Times New Roman" w:hAnsi="Times New Roman"/>
          <w:sz w:val="24"/>
          <w:szCs w:val="24"/>
        </w:rPr>
        <w:t>格式二</w:t>
      </w:r>
      <w:r>
        <w:rPr>
          <w:rFonts w:ascii="Times New Roman" w:hAnsi="Times New Roman"/>
          <w:sz w:val="24"/>
          <w:szCs w:val="24"/>
        </w:rPr>
        <w:t>)(</w:t>
      </w:r>
      <w:r>
        <w:rPr>
          <w:rFonts w:hint="eastAsia" w:ascii="Times New Roman" w:hAnsi="Times New Roman"/>
          <w:sz w:val="24"/>
          <w:szCs w:val="24"/>
        </w:rPr>
        <w:t>适用于自然人委托投标</w:t>
      </w:r>
      <w:r>
        <w:rPr>
          <w:rFonts w:ascii="Times New Roman" w:hAnsi="Times New Roman"/>
          <w:sz w:val="24"/>
          <w:szCs w:val="24"/>
        </w:rPr>
        <w:t>)</w:t>
      </w:r>
    </w:p>
    <w:p>
      <w:pPr>
        <w:pStyle w:val="23"/>
        <w:spacing w:line="440" w:lineRule="exact"/>
        <w:ind w:firstLine="484" w:firstLineChars="200"/>
        <w:rPr>
          <w:rFonts w:ascii="Times New Roman" w:hAnsi="Times New Roman" w:eastAsia="MingLiU_HKSCS"/>
          <w:sz w:val="24"/>
          <w:szCs w:val="24"/>
        </w:rPr>
      </w:pPr>
      <w:r>
        <w:rPr>
          <w:rFonts w:hint="eastAsia" w:ascii="Times New Roman" w:hAnsi="Times New Roman"/>
          <w:sz w:val="24"/>
          <w:szCs w:val="24"/>
        </w:rPr>
        <w:t>二、开标一览表</w:t>
      </w:r>
      <w:r>
        <w:rPr>
          <w:rFonts w:ascii="Times New Roman" w:hAnsi="Times New Roman"/>
          <w:sz w:val="24"/>
          <w:szCs w:val="24"/>
        </w:rPr>
        <w:t>(</w:t>
      </w:r>
      <w:r>
        <w:rPr>
          <w:rFonts w:hint="eastAsia" w:ascii="Times New Roman" w:hAnsi="Times New Roman"/>
          <w:sz w:val="24"/>
          <w:szCs w:val="24"/>
        </w:rPr>
        <w:t>格式附后</w:t>
      </w:r>
      <w:r>
        <w:rPr>
          <w:rFonts w:ascii="Times New Roman" w:hAnsi="Times New Roman"/>
          <w:sz w:val="24"/>
          <w:szCs w:val="24"/>
        </w:rPr>
        <w:t>)</w:t>
      </w:r>
    </w:p>
    <w:p>
      <w:pPr>
        <w:pStyle w:val="23"/>
        <w:spacing w:line="440" w:lineRule="exact"/>
        <w:ind w:firstLine="484" w:firstLineChars="200"/>
        <w:rPr>
          <w:rFonts w:ascii="Times New Roman" w:hAnsi="Times New Roman" w:eastAsia="MingLiU_HKSCS"/>
          <w:sz w:val="24"/>
          <w:szCs w:val="24"/>
        </w:rPr>
      </w:pPr>
      <w:r>
        <w:rPr>
          <w:rFonts w:hint="eastAsia" w:ascii="Times New Roman" w:hAnsi="Times New Roman"/>
          <w:sz w:val="24"/>
          <w:szCs w:val="24"/>
        </w:rPr>
        <w:t>三、分项价格表</w:t>
      </w:r>
      <w:r>
        <w:rPr>
          <w:rFonts w:ascii="Times New Roman" w:hAnsi="Times New Roman"/>
          <w:sz w:val="24"/>
          <w:szCs w:val="24"/>
        </w:rPr>
        <w:t>(</w:t>
      </w:r>
      <w:r>
        <w:rPr>
          <w:rFonts w:hint="eastAsia" w:ascii="Times New Roman" w:hAnsi="Times New Roman"/>
          <w:sz w:val="24"/>
          <w:szCs w:val="24"/>
        </w:rPr>
        <w:t>格式附后</w:t>
      </w:r>
      <w:r>
        <w:rPr>
          <w:rFonts w:ascii="Times New Roman" w:hAnsi="Times New Roman"/>
          <w:sz w:val="24"/>
          <w:szCs w:val="24"/>
        </w:rPr>
        <w:t>)</w:t>
      </w:r>
    </w:p>
    <w:p>
      <w:pPr>
        <w:pStyle w:val="23"/>
        <w:spacing w:line="440" w:lineRule="exact"/>
        <w:ind w:firstLine="484" w:firstLineChars="200"/>
        <w:rPr>
          <w:rFonts w:ascii="Times New Roman" w:hAnsi="Times New Roman" w:eastAsia="MingLiU_HKSCS"/>
          <w:sz w:val="24"/>
          <w:szCs w:val="24"/>
        </w:rPr>
      </w:pPr>
      <w:r>
        <w:rPr>
          <w:rFonts w:hint="eastAsia" w:ascii="Times New Roman" w:hAnsi="Times New Roman"/>
          <w:sz w:val="24"/>
          <w:szCs w:val="24"/>
        </w:rPr>
        <w:t>四、商务条款偏离表</w:t>
      </w:r>
      <w:r>
        <w:rPr>
          <w:rFonts w:ascii="Times New Roman" w:hAnsi="Times New Roman"/>
          <w:sz w:val="24"/>
          <w:szCs w:val="24"/>
        </w:rPr>
        <w:t>(</w:t>
      </w:r>
      <w:r>
        <w:rPr>
          <w:rFonts w:hint="eastAsia" w:ascii="Times New Roman" w:hAnsi="Times New Roman"/>
          <w:sz w:val="24"/>
          <w:szCs w:val="24"/>
        </w:rPr>
        <w:t>格式附后</w:t>
      </w:r>
      <w:r>
        <w:rPr>
          <w:rFonts w:ascii="Times New Roman" w:hAnsi="Times New Roman"/>
          <w:sz w:val="24"/>
          <w:szCs w:val="24"/>
        </w:rPr>
        <w:t>)</w:t>
      </w:r>
    </w:p>
    <w:p>
      <w:pPr>
        <w:pStyle w:val="23"/>
        <w:spacing w:line="440" w:lineRule="exact"/>
        <w:ind w:firstLine="484" w:firstLineChars="200"/>
        <w:rPr>
          <w:rFonts w:ascii="Times New Roman" w:hAnsi="Times New Roman" w:eastAsia="MingLiU_HKSCS"/>
          <w:sz w:val="24"/>
          <w:szCs w:val="24"/>
        </w:rPr>
      </w:pPr>
      <w:r>
        <w:rPr>
          <w:rFonts w:hint="eastAsia" w:ascii="Times New Roman" w:hAnsi="Times New Roman"/>
          <w:sz w:val="24"/>
          <w:szCs w:val="24"/>
        </w:rPr>
        <w:t>五、投标保证金</w:t>
      </w:r>
    </w:p>
    <w:p>
      <w:pPr>
        <w:pStyle w:val="23"/>
        <w:spacing w:line="440" w:lineRule="exact"/>
        <w:ind w:firstLine="484" w:firstLineChars="200"/>
        <w:rPr>
          <w:rFonts w:ascii="Times New Roman" w:hAnsi="Times New Roman" w:eastAsia="MingLiU_HKSCS"/>
          <w:sz w:val="24"/>
          <w:szCs w:val="24"/>
        </w:rPr>
      </w:pPr>
      <w:r>
        <w:rPr>
          <w:rFonts w:hint="eastAsia" w:ascii="Times New Roman" w:hAnsi="Times New Roman"/>
          <w:sz w:val="24"/>
          <w:szCs w:val="24"/>
        </w:rPr>
        <w:t>六、供应商的资格证明材料</w:t>
      </w:r>
    </w:p>
    <w:p>
      <w:pPr>
        <w:pStyle w:val="23"/>
        <w:spacing w:line="440" w:lineRule="exact"/>
        <w:ind w:firstLine="484" w:firstLineChars="200"/>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一</w:t>
      </w:r>
      <w:r>
        <w:rPr>
          <w:rFonts w:ascii="Times New Roman" w:hAnsi="Times New Roman"/>
          <w:sz w:val="24"/>
          <w:szCs w:val="24"/>
        </w:rPr>
        <w:t>)</w:t>
      </w:r>
      <w:r>
        <w:rPr>
          <w:rFonts w:hint="eastAsia" w:ascii="Times New Roman" w:hAnsi="Times New Roman"/>
          <w:sz w:val="24"/>
          <w:szCs w:val="24"/>
        </w:rPr>
        <w:t>供应商基本情况表</w:t>
      </w:r>
    </w:p>
    <w:p>
      <w:pPr>
        <w:pStyle w:val="23"/>
        <w:spacing w:line="440" w:lineRule="exact"/>
        <w:ind w:firstLine="484" w:firstLineChars="200"/>
        <w:rPr>
          <w:rFonts w:ascii="Times New Roman" w:hAnsi="Times New Roman"/>
          <w:sz w:val="24"/>
          <w:szCs w:val="24"/>
        </w:rPr>
      </w:pPr>
      <w:r>
        <w:rPr>
          <w:rFonts w:hint="eastAsia" w:ascii="Times New Roman" w:hAnsi="Times New Roman"/>
          <w:sz w:val="24"/>
          <w:szCs w:val="24"/>
        </w:rPr>
        <w:t>附件2-1　法人或者其他组织的营业执照副本复印件或自然人的身份证明复印件</w:t>
      </w:r>
    </w:p>
    <w:p>
      <w:pPr>
        <w:pStyle w:val="23"/>
        <w:spacing w:line="440" w:lineRule="exact"/>
        <w:ind w:firstLine="484" w:firstLineChars="200"/>
        <w:rPr>
          <w:rFonts w:ascii="Times New Roman" w:hAnsi="Times New Roman"/>
          <w:sz w:val="24"/>
          <w:szCs w:val="24"/>
        </w:rPr>
      </w:pPr>
      <w:r>
        <w:rPr>
          <w:rFonts w:hint="eastAsia" w:ascii="Times New Roman" w:hAnsi="Times New Roman"/>
          <w:sz w:val="24"/>
          <w:szCs w:val="24"/>
        </w:rPr>
        <w:t>附件2-2　法人或者其他组织的税务登记证副本复印件(按规定可不进行税务登记的不提供)</w:t>
      </w:r>
    </w:p>
    <w:p>
      <w:pPr>
        <w:pStyle w:val="23"/>
        <w:spacing w:line="440" w:lineRule="exact"/>
        <w:ind w:firstLine="484" w:firstLineChars="200"/>
        <w:rPr>
          <w:rFonts w:ascii="Times New Roman" w:hAnsi="Times New Roman"/>
          <w:sz w:val="24"/>
          <w:szCs w:val="24"/>
        </w:rPr>
      </w:pPr>
      <w:r>
        <w:rPr>
          <w:rFonts w:hint="eastAsia" w:ascii="Times New Roman" w:hAnsi="Times New Roman"/>
          <w:sz w:val="24"/>
          <w:szCs w:val="24"/>
        </w:rPr>
        <w:t>附件2-3 “信用中国”（www.creditchina.gov.cn）和中国政府采购网（www.ccgp.gov.cn）网站上未被列入失信被执行人、重大税收违法案件当事人名单以及政府采购严重违法失信行为记录名单的网页打印件（网页打印件须自招标文件发布之日起至投标截止时间从上述网站中打印）</w:t>
      </w:r>
    </w:p>
    <w:p>
      <w:pPr>
        <w:pStyle w:val="23"/>
        <w:spacing w:line="440" w:lineRule="exact"/>
        <w:ind w:firstLine="484" w:firstLineChars="200"/>
        <w:rPr>
          <w:rFonts w:ascii="Times New Roman" w:hAnsi="Times New Roman"/>
          <w:sz w:val="24"/>
          <w:szCs w:val="24"/>
        </w:rPr>
      </w:pPr>
      <w:r>
        <w:rPr>
          <w:rFonts w:hint="eastAsia" w:ascii="Times New Roman" w:hAnsi="Times New Roman"/>
          <w:sz w:val="24"/>
          <w:szCs w:val="24"/>
        </w:rPr>
        <w:t>附件2-4　具备履行合同所必需的设备和专业技术能力的证明材料</w:t>
      </w:r>
    </w:p>
    <w:p>
      <w:pPr>
        <w:pStyle w:val="87"/>
        <w:spacing w:line="500" w:lineRule="exact"/>
        <w:ind w:firstLine="484" w:firstLineChars="200"/>
        <w:jc w:val="both"/>
        <w:outlineLvl w:val="1"/>
        <w:rPr>
          <w:color w:val="auto"/>
          <w:kern w:val="2"/>
        </w:rPr>
      </w:pPr>
      <w:bookmarkStart w:id="17" w:name="_Toc27448"/>
      <w:bookmarkStart w:id="18" w:name="_Toc1976"/>
      <w:bookmarkStart w:id="19" w:name="_Toc19159"/>
      <w:r>
        <w:rPr>
          <w:rFonts w:hint="eastAsia"/>
          <w:color w:val="auto"/>
          <w:kern w:val="2"/>
        </w:rPr>
        <w:t>七、项目业绩表</w:t>
      </w:r>
      <w:bookmarkEnd w:id="17"/>
      <w:bookmarkEnd w:id="18"/>
      <w:bookmarkEnd w:id="19"/>
    </w:p>
    <w:p>
      <w:pPr>
        <w:pStyle w:val="87"/>
        <w:spacing w:line="500" w:lineRule="exact"/>
        <w:ind w:firstLine="484" w:firstLineChars="200"/>
        <w:jc w:val="both"/>
        <w:outlineLvl w:val="1"/>
        <w:rPr>
          <w:color w:val="auto"/>
          <w:kern w:val="2"/>
        </w:rPr>
      </w:pPr>
      <w:r>
        <w:rPr>
          <w:rFonts w:hint="eastAsia"/>
          <w:color w:val="auto"/>
          <w:kern w:val="2"/>
        </w:rPr>
        <w:t>八、</w:t>
      </w:r>
      <w:r>
        <w:rPr>
          <w:color w:val="auto"/>
          <w:kern w:val="2"/>
        </w:rPr>
        <w:t>企业综合实力相关证明材料</w:t>
      </w:r>
    </w:p>
    <w:p>
      <w:pPr>
        <w:pStyle w:val="23"/>
        <w:spacing w:line="440" w:lineRule="exact"/>
        <w:ind w:firstLine="484" w:firstLineChars="200"/>
        <w:rPr>
          <w:rFonts w:ascii="Times New Roman" w:hAnsi="Times New Roman" w:eastAsia="MingLiU_HKSCS"/>
          <w:sz w:val="24"/>
          <w:szCs w:val="24"/>
        </w:rPr>
      </w:pPr>
      <w:r>
        <w:rPr>
          <w:rFonts w:hint="eastAsia" w:ascii="Times New Roman" w:hAnsi="Times New Roman"/>
          <w:sz w:val="24"/>
          <w:szCs w:val="24"/>
        </w:rPr>
        <w:t>九、提供符合政府采购政策的证明材料</w:t>
      </w:r>
    </w:p>
    <w:p>
      <w:pPr>
        <w:pStyle w:val="23"/>
        <w:spacing w:line="440" w:lineRule="exact"/>
        <w:ind w:firstLine="484" w:firstLineChars="200"/>
        <w:rPr>
          <w:rFonts w:ascii="Times New Roman" w:hAnsi="Times New Roman" w:eastAsia="MingLiU_HKSCS"/>
          <w:sz w:val="24"/>
          <w:szCs w:val="24"/>
        </w:rPr>
      </w:pPr>
      <w:r>
        <w:rPr>
          <w:rFonts w:hint="eastAsia" w:ascii="Times New Roman" w:hAnsi="Times New Roman"/>
          <w:sz w:val="24"/>
          <w:szCs w:val="24"/>
        </w:rPr>
        <w:t>附件3-1　中小企业声明函</w:t>
      </w:r>
      <w:r>
        <w:rPr>
          <w:rFonts w:ascii="Times New Roman" w:hAnsi="Times New Roman"/>
          <w:sz w:val="24"/>
          <w:szCs w:val="24"/>
        </w:rPr>
        <w:t>(</w:t>
      </w:r>
      <w:r>
        <w:rPr>
          <w:rFonts w:hint="eastAsia" w:ascii="Times New Roman" w:hAnsi="Times New Roman"/>
          <w:sz w:val="24"/>
          <w:szCs w:val="24"/>
        </w:rPr>
        <w:t>格式附后</w:t>
      </w:r>
      <w:r>
        <w:rPr>
          <w:rFonts w:ascii="Times New Roman" w:hAnsi="Times New Roman"/>
          <w:sz w:val="24"/>
          <w:szCs w:val="24"/>
        </w:rPr>
        <w:t>)</w:t>
      </w:r>
    </w:p>
    <w:p>
      <w:pPr>
        <w:pStyle w:val="23"/>
        <w:spacing w:line="440" w:lineRule="exact"/>
        <w:ind w:firstLine="484" w:firstLineChars="200"/>
        <w:rPr>
          <w:rFonts w:ascii="Times New Roman" w:hAnsi="Times New Roman" w:eastAsia="MingLiU_HKSCS"/>
          <w:sz w:val="24"/>
          <w:szCs w:val="24"/>
        </w:rPr>
      </w:pPr>
      <w:r>
        <w:rPr>
          <w:rFonts w:hint="eastAsia" w:ascii="Times New Roman" w:hAnsi="Times New Roman"/>
          <w:sz w:val="24"/>
          <w:szCs w:val="24"/>
        </w:rPr>
        <w:t>附件3-1　</w:t>
      </w:r>
      <w:r>
        <w:rPr>
          <w:rFonts w:hint="eastAsia"/>
          <w:sz w:val="24"/>
          <w:szCs w:val="24"/>
        </w:rPr>
        <w:t>“</w:t>
      </w:r>
      <w:r>
        <w:rPr>
          <w:rFonts w:hint="eastAsia" w:ascii="Times New Roman" w:hAnsi="Times New Roman"/>
          <w:sz w:val="24"/>
          <w:szCs w:val="24"/>
        </w:rPr>
        <w:t>节能产品</w:t>
      </w:r>
      <w:r>
        <w:rPr>
          <w:rFonts w:hint="eastAsia"/>
          <w:sz w:val="24"/>
          <w:szCs w:val="24"/>
        </w:rPr>
        <w:t>”“</w:t>
      </w:r>
      <w:r>
        <w:rPr>
          <w:rFonts w:hint="eastAsia" w:ascii="Times New Roman" w:hAnsi="Times New Roman"/>
          <w:sz w:val="24"/>
          <w:szCs w:val="24"/>
        </w:rPr>
        <w:t>环境标志产品</w:t>
      </w:r>
      <w:r>
        <w:rPr>
          <w:rFonts w:hint="eastAsia"/>
          <w:sz w:val="24"/>
          <w:szCs w:val="24"/>
        </w:rPr>
        <w:t>”</w:t>
      </w:r>
      <w:r>
        <w:rPr>
          <w:rFonts w:hint="eastAsia" w:ascii="Times New Roman" w:hAnsi="Times New Roman"/>
          <w:sz w:val="24"/>
          <w:szCs w:val="24"/>
        </w:rPr>
        <w:t>、信息安全认证产品等政府采购法律法规要求的其他证明材料</w:t>
      </w:r>
    </w:p>
    <w:p>
      <w:pPr>
        <w:spacing w:line="500" w:lineRule="exact"/>
        <w:rPr>
          <w:rFonts w:asciiTheme="minorEastAsia" w:hAnsiTheme="minorEastAsia" w:eastAsiaTheme="minorEastAsia" w:cstheme="minorEastAsia"/>
          <w:sz w:val="24"/>
          <w:szCs w:val="24"/>
        </w:rPr>
      </w:pPr>
    </w:p>
    <w:p>
      <w:pPr>
        <w:spacing w:line="500" w:lineRule="exact"/>
        <w:ind w:firstLine="484" w:firstLineChars="200"/>
        <w:rPr>
          <w:rFonts w:ascii="宋体" w:hAnsi="宋体"/>
          <w:b/>
          <w:sz w:val="24"/>
          <w:szCs w:val="24"/>
        </w:rPr>
      </w:pPr>
    </w:p>
    <w:p>
      <w:pPr>
        <w:pStyle w:val="23"/>
        <w:spacing w:line="440" w:lineRule="exact"/>
        <w:ind w:firstLine="484" w:firstLineChars="200"/>
        <w:jc w:val="center"/>
        <w:rPr>
          <w:b/>
          <w:sz w:val="24"/>
          <w:szCs w:val="24"/>
        </w:rPr>
      </w:pPr>
      <w:r>
        <w:rPr>
          <w:rFonts w:ascii="Times New Roman" w:hAnsi="Times New Roman"/>
          <w:sz w:val="24"/>
          <w:szCs w:val="24"/>
        </w:rPr>
        <w:br w:type="page"/>
      </w:r>
    </w:p>
    <w:p>
      <w:pPr>
        <w:pStyle w:val="87"/>
        <w:spacing w:line="500" w:lineRule="exact"/>
        <w:jc w:val="center"/>
        <w:rPr>
          <w:rFonts w:ascii="宋体" w:hAnsi="宋体"/>
          <w:b/>
          <w:color w:val="auto"/>
        </w:rPr>
      </w:pPr>
      <w:r>
        <w:rPr>
          <w:rFonts w:hint="eastAsia" w:ascii="宋体" w:hAnsi="宋体"/>
          <w:b/>
          <w:color w:val="auto"/>
        </w:rPr>
        <w:t>一、投标函</w:t>
      </w:r>
    </w:p>
    <w:p>
      <w:pPr>
        <w:pStyle w:val="87"/>
        <w:spacing w:line="500" w:lineRule="exact"/>
        <w:jc w:val="center"/>
        <w:rPr>
          <w:rFonts w:ascii="宋体" w:hAnsi="宋体"/>
          <w:color w:val="auto"/>
        </w:rPr>
      </w:pPr>
      <w:r>
        <w:rPr>
          <w:rFonts w:hint="eastAsia" w:ascii="宋体" w:hAnsi="宋体"/>
          <w:b/>
          <w:color w:val="auto"/>
        </w:rPr>
        <w:t>投标函</w:t>
      </w:r>
    </w:p>
    <w:p>
      <w:pPr>
        <w:pStyle w:val="87"/>
        <w:spacing w:line="500" w:lineRule="exact"/>
        <w:rPr>
          <w:rFonts w:ascii="宋体" w:hAnsi="宋体"/>
          <w:color w:val="auto"/>
        </w:rPr>
      </w:pPr>
      <w:r>
        <w:rPr>
          <w:rFonts w:hint="eastAsia" w:ascii="宋体" w:hAnsi="宋体"/>
          <w:color w:val="auto"/>
        </w:rPr>
        <w:t>伊宁市住房和城乡建设局：</w:t>
      </w:r>
    </w:p>
    <w:p>
      <w:pPr>
        <w:pStyle w:val="87"/>
        <w:spacing w:line="500" w:lineRule="exact"/>
        <w:ind w:firstLine="567"/>
        <w:jc w:val="both"/>
        <w:rPr>
          <w:rFonts w:ascii="宋体" w:hAnsi="宋体"/>
          <w:color w:val="auto"/>
        </w:rPr>
      </w:pPr>
      <w:r>
        <w:rPr>
          <w:rFonts w:hint="eastAsia" w:ascii="宋体" w:hAnsi="宋体"/>
          <w:color w:val="auto"/>
        </w:rPr>
        <w:t>我们收到你们号招标文件，经认真研究，我们决定参加投标。</w:t>
      </w:r>
    </w:p>
    <w:p>
      <w:pPr>
        <w:pStyle w:val="87"/>
        <w:spacing w:line="500" w:lineRule="exact"/>
        <w:ind w:firstLine="567"/>
        <w:jc w:val="both"/>
        <w:rPr>
          <w:rFonts w:ascii="宋体" w:hAnsi="宋体"/>
          <w:color w:val="auto"/>
        </w:rPr>
      </w:pPr>
      <w:r>
        <w:rPr>
          <w:rFonts w:hint="eastAsia" w:ascii="宋体" w:hAnsi="宋体"/>
          <w:color w:val="auto"/>
        </w:rPr>
        <w:t>⒈按照招标文件中的一切要求，提供招标货物及服务投标总价元（人民币大写）￥：元人民币。</w:t>
      </w:r>
    </w:p>
    <w:p>
      <w:pPr>
        <w:pStyle w:val="87"/>
        <w:spacing w:line="500" w:lineRule="exact"/>
        <w:ind w:firstLine="567"/>
        <w:jc w:val="both"/>
        <w:rPr>
          <w:rFonts w:ascii="宋体" w:hAnsi="宋体"/>
          <w:color w:val="auto"/>
        </w:rPr>
      </w:pPr>
      <w:r>
        <w:rPr>
          <w:rFonts w:hint="eastAsia" w:ascii="宋体" w:hAnsi="宋体"/>
          <w:color w:val="auto"/>
        </w:rPr>
        <w:t>⒉如果我们投标书被接受，我们将履行招标文件中规定的每一项要求，按期、按质、按量完成交货和完工任务。</w:t>
      </w:r>
    </w:p>
    <w:p>
      <w:pPr>
        <w:pStyle w:val="87"/>
        <w:spacing w:line="500" w:lineRule="exact"/>
        <w:ind w:firstLine="567"/>
        <w:jc w:val="both"/>
        <w:rPr>
          <w:rFonts w:ascii="宋体" w:hAnsi="宋体"/>
          <w:color w:val="auto"/>
        </w:rPr>
      </w:pPr>
      <w:r>
        <w:rPr>
          <w:rFonts w:hint="eastAsia" w:ascii="宋体" w:hAnsi="宋体"/>
          <w:color w:val="auto"/>
        </w:rPr>
        <w:t>⒊我们同意按招标文件的规定，本投标书的有效期为开标后</w:t>
      </w:r>
      <w:r>
        <w:rPr>
          <w:rFonts w:hint="eastAsia" w:ascii="宋体" w:hAnsi="宋体"/>
          <w:b/>
          <w:color w:val="auto"/>
          <w:u w:val="single"/>
        </w:rPr>
        <w:t xml:space="preserve">   </w:t>
      </w:r>
      <w:r>
        <w:rPr>
          <w:rFonts w:hint="eastAsia" w:ascii="宋体" w:hAnsi="宋体"/>
          <w:color w:val="auto"/>
        </w:rPr>
        <w:t>天。</w:t>
      </w:r>
    </w:p>
    <w:p>
      <w:pPr>
        <w:pStyle w:val="87"/>
        <w:spacing w:line="500" w:lineRule="exact"/>
        <w:ind w:firstLine="567"/>
        <w:jc w:val="both"/>
        <w:rPr>
          <w:rFonts w:ascii="宋体" w:hAnsi="宋体"/>
          <w:color w:val="auto"/>
        </w:rPr>
      </w:pPr>
      <w:r>
        <w:rPr>
          <w:rFonts w:hint="eastAsia" w:ascii="宋体" w:hAnsi="宋体"/>
          <w:color w:val="auto"/>
        </w:rPr>
        <w:t>⒋我们愿意提供招标人在招标文件中要求的所有资料。</w:t>
      </w:r>
    </w:p>
    <w:p>
      <w:pPr>
        <w:pStyle w:val="87"/>
        <w:spacing w:line="500" w:lineRule="exact"/>
        <w:ind w:firstLine="567"/>
        <w:jc w:val="both"/>
        <w:rPr>
          <w:rFonts w:ascii="宋体" w:hAnsi="宋体"/>
          <w:color w:val="auto"/>
        </w:rPr>
      </w:pPr>
      <w:r>
        <w:rPr>
          <w:rFonts w:hint="eastAsia" w:ascii="宋体" w:hAnsi="宋体"/>
          <w:color w:val="auto"/>
        </w:rPr>
        <w:t>⒌我们认为你们有选择或拒绝任何投标者中标的权力。我们理解，报价不是中标的唯一条件。</w:t>
      </w:r>
    </w:p>
    <w:p>
      <w:pPr>
        <w:pStyle w:val="87"/>
        <w:spacing w:line="500" w:lineRule="exact"/>
        <w:ind w:firstLine="567"/>
        <w:jc w:val="both"/>
        <w:rPr>
          <w:rFonts w:ascii="宋体" w:hAnsi="宋体"/>
          <w:color w:val="auto"/>
        </w:rPr>
      </w:pPr>
      <w:r>
        <w:rPr>
          <w:rFonts w:hint="eastAsia" w:ascii="宋体" w:hAnsi="宋体"/>
          <w:color w:val="auto"/>
        </w:rPr>
        <w:t>⒍我们愿按合同法履行自己的全部责任。</w:t>
      </w:r>
    </w:p>
    <w:p>
      <w:pPr>
        <w:pStyle w:val="87"/>
        <w:spacing w:line="500" w:lineRule="exact"/>
        <w:ind w:firstLine="567"/>
        <w:jc w:val="both"/>
        <w:rPr>
          <w:rFonts w:ascii="宋体" w:hAnsi="宋体"/>
          <w:color w:val="auto"/>
        </w:rPr>
      </w:pPr>
      <w:r>
        <w:rPr>
          <w:rFonts w:hint="eastAsia" w:ascii="宋体" w:hAnsi="宋体"/>
          <w:color w:val="auto"/>
        </w:rPr>
        <w:t>⒎我方愿意遵守国家有关规定及招标文件中规定的收费标准，承付中标服务费。</w:t>
      </w:r>
    </w:p>
    <w:p>
      <w:pPr>
        <w:pStyle w:val="87"/>
        <w:spacing w:line="500" w:lineRule="exact"/>
        <w:ind w:firstLine="567"/>
        <w:jc w:val="both"/>
        <w:rPr>
          <w:rFonts w:ascii="宋体" w:hAnsi="宋体"/>
          <w:color w:val="auto"/>
        </w:rPr>
      </w:pPr>
      <w:r>
        <w:rPr>
          <w:rFonts w:hint="eastAsia" w:ascii="宋体" w:hAnsi="宋体"/>
          <w:color w:val="auto"/>
        </w:rPr>
        <w:t>⒏该项投标在开标后的全过程中保持有效，不作任何更改和变动。</w:t>
      </w:r>
    </w:p>
    <w:p>
      <w:pPr>
        <w:pStyle w:val="87"/>
        <w:spacing w:line="500" w:lineRule="exact"/>
        <w:ind w:firstLine="567"/>
        <w:jc w:val="both"/>
        <w:rPr>
          <w:rFonts w:ascii="宋体" w:hAnsi="宋体"/>
          <w:color w:val="auto"/>
        </w:rPr>
      </w:pPr>
      <w:r>
        <w:rPr>
          <w:rFonts w:hint="eastAsia" w:ascii="宋体" w:hAnsi="宋体"/>
          <w:color w:val="auto"/>
        </w:rPr>
        <w:t>⒐我们同意按招标文件规定，交纳万元的投标保证金。</w:t>
      </w:r>
    </w:p>
    <w:p>
      <w:pPr>
        <w:pStyle w:val="87"/>
        <w:spacing w:line="500" w:lineRule="exact"/>
        <w:ind w:firstLine="567"/>
        <w:jc w:val="both"/>
        <w:rPr>
          <w:rFonts w:ascii="宋体" w:hAnsi="宋体"/>
          <w:color w:val="auto"/>
        </w:rPr>
      </w:pPr>
      <w:r>
        <w:rPr>
          <w:rFonts w:hint="eastAsia" w:ascii="宋体" w:hAnsi="宋体"/>
          <w:color w:val="auto"/>
        </w:rPr>
        <w:t>⒑综合说明：</w:t>
      </w:r>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附件1－1：法定代表人身份证明复印件(法定代表人参加投标)</w:t>
      </w:r>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附件1－2：法定代表人授权书(授权代表参加投标)</w:t>
      </w:r>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附件1－3：授权委托书(自然人提供)</w:t>
      </w:r>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投标人名称：____________投标人公章：____________</w:t>
      </w:r>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投标人地址：____________邮编：____________</w:t>
      </w:r>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电话：____________传真：____________</w:t>
      </w:r>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法定代表人或投标人代表(签字或盖章)：____________</w:t>
      </w:r>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联系电话：____________</w:t>
      </w:r>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日期：____________</w:t>
      </w:r>
    </w:p>
    <w:p>
      <w:pPr>
        <w:pStyle w:val="87"/>
        <w:spacing w:line="500" w:lineRule="exact"/>
        <w:jc w:val="center"/>
        <w:rPr>
          <w:rFonts w:ascii="宋体" w:hAnsi="宋体"/>
          <w:b/>
          <w:bCs/>
          <w:color w:val="auto"/>
        </w:rPr>
      </w:pPr>
    </w:p>
    <w:p>
      <w:pPr>
        <w:pStyle w:val="87"/>
        <w:spacing w:line="500" w:lineRule="exact"/>
        <w:jc w:val="center"/>
        <w:rPr>
          <w:rFonts w:ascii="宋体" w:hAnsi="宋体"/>
          <w:b/>
          <w:bCs/>
          <w:color w:val="auto"/>
        </w:rPr>
      </w:pPr>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附件1－1　法定代表人身份证明复印件(法定代表人参加投标的)</w:t>
      </w:r>
    </w:p>
    <w:p>
      <w:pPr>
        <w:spacing w:line="500" w:lineRule="exact"/>
        <w:rPr>
          <w:rFonts w:asciiTheme="minorEastAsia" w:hAnsiTheme="minorEastAsia" w:eastAsiaTheme="minorEastAsia" w:cstheme="minorEastAsia"/>
          <w:sz w:val="24"/>
          <w:szCs w:val="24"/>
        </w:rPr>
      </w:pPr>
    </w:p>
    <w:tbl>
      <w:tblPr>
        <w:tblStyle w:val="40"/>
        <w:tblW w:w="5118" w:type="dxa"/>
        <w:tblInd w:w="197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0" w:hRule="atLeast"/>
        </w:trPr>
        <w:tc>
          <w:tcPr>
            <w:tcW w:w="5118" w:type="dxa"/>
            <w:tcBorders>
              <w:top w:val="single" w:color="auto" w:sz="4" w:space="0"/>
              <w:bottom w:val="single" w:color="auto" w:sz="4" w:space="0"/>
            </w:tcBorders>
            <w:vAlign w:val="center"/>
          </w:tcPr>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法定代表人身份证明复印件</w:t>
            </w:r>
          </w:p>
        </w:tc>
      </w:tr>
    </w:tbl>
    <w:p>
      <w:pPr>
        <w:spacing w:line="500" w:lineRule="exact"/>
        <w:rPr>
          <w:rFonts w:asciiTheme="minorEastAsia" w:hAnsiTheme="minorEastAsia" w:eastAsiaTheme="minorEastAsia" w:cstheme="minorEastAsia"/>
          <w:sz w:val="24"/>
          <w:szCs w:val="24"/>
        </w:rPr>
      </w:pPr>
    </w:p>
    <w:p>
      <w:pPr>
        <w:widowControl/>
        <w:jc w:val="lef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br w:type="page"/>
      </w:r>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附件1－2　法定代表人授权委托书(授权代表参加投标的)</w:t>
      </w:r>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法定代表人授权委托书(格式一)(适用于法人投标)</w:t>
      </w:r>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____________(投标人名称)的法定代表人________(姓名、职务)授权________(投标人代表姓名、职务)为本公司的投标人代表，就________(项目名称)投标及相关事务代表本公司处理与之有关的一切事务。</w:t>
      </w:r>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委托期限：____________________。</w:t>
      </w:r>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代理人无转委托权。</w:t>
      </w:r>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本授权书于______年____月____日签字生效，特此声明。</w:t>
      </w:r>
    </w:p>
    <w:tbl>
      <w:tblPr>
        <w:tblStyle w:val="40"/>
        <w:tblpPr w:leftFromText="180" w:rightFromText="180" w:vertAnchor="text" w:horzAnchor="page" w:tblpX="6661" w:tblpY="414"/>
        <w:tblOverlap w:val="never"/>
        <w:tblW w:w="40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73" w:hRule="atLeast"/>
        </w:trPr>
        <w:tc>
          <w:tcPr>
            <w:tcW w:w="4020" w:type="dxa"/>
            <w:tcBorders>
              <w:top w:val="single" w:color="auto" w:sz="4" w:space="0"/>
              <w:bottom w:val="single" w:color="auto" w:sz="4" w:space="0"/>
            </w:tcBorders>
            <w:vAlign w:val="center"/>
          </w:tcPr>
          <w:p>
            <w:pPr>
              <w:spacing w:line="5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授权代表身份证明复印件</w:t>
            </w:r>
          </w:p>
          <w:p>
            <w:pPr>
              <w:spacing w:line="5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（正反面）</w:t>
            </w:r>
          </w:p>
        </w:tc>
      </w:tr>
    </w:tbl>
    <w:tbl>
      <w:tblPr>
        <w:tblStyle w:val="40"/>
        <w:tblpPr w:leftFromText="180" w:rightFromText="180" w:vertAnchor="text" w:horzAnchor="page" w:tblpX="1969" w:tblpY="450"/>
        <w:tblOverlap w:val="never"/>
        <w:tblW w:w="41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61" w:hRule="atLeast"/>
        </w:trPr>
        <w:tc>
          <w:tcPr>
            <w:tcW w:w="4100" w:type="dxa"/>
            <w:tcBorders>
              <w:top w:val="single" w:color="auto" w:sz="4" w:space="0"/>
              <w:bottom w:val="single" w:color="auto" w:sz="4" w:space="0"/>
            </w:tcBorders>
            <w:vAlign w:val="center"/>
          </w:tcPr>
          <w:p>
            <w:pPr>
              <w:spacing w:line="5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法定代表人身份证明复印件</w:t>
            </w:r>
          </w:p>
          <w:p>
            <w:pPr>
              <w:spacing w:line="5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（正反面）</w:t>
            </w:r>
          </w:p>
        </w:tc>
      </w:tr>
    </w:tbl>
    <w:p>
      <w:pPr>
        <w:spacing w:line="500" w:lineRule="exact"/>
        <w:rPr>
          <w:rFonts w:asciiTheme="minorEastAsia" w:hAnsiTheme="minorEastAsia" w:eastAsiaTheme="minorEastAsia" w:cstheme="minorEastAsia"/>
          <w:sz w:val="24"/>
          <w:szCs w:val="24"/>
        </w:rPr>
      </w:pPr>
    </w:p>
    <w:p>
      <w:pPr>
        <w:spacing w:line="500" w:lineRule="exact"/>
        <w:rPr>
          <w:rFonts w:asciiTheme="minorEastAsia" w:hAnsiTheme="minorEastAsia" w:eastAsiaTheme="minorEastAsia" w:cstheme="minorEastAsia"/>
          <w:sz w:val="24"/>
          <w:szCs w:val="24"/>
        </w:rPr>
      </w:pPr>
    </w:p>
    <w:p>
      <w:pPr>
        <w:spacing w:line="500" w:lineRule="exact"/>
        <w:rPr>
          <w:rFonts w:asciiTheme="minorEastAsia" w:hAnsiTheme="minorEastAsia" w:eastAsiaTheme="minorEastAsia" w:cstheme="minorEastAsia"/>
          <w:sz w:val="24"/>
          <w:szCs w:val="24"/>
        </w:rPr>
      </w:pPr>
    </w:p>
    <w:p>
      <w:pPr>
        <w:spacing w:line="500" w:lineRule="exact"/>
        <w:rPr>
          <w:rFonts w:asciiTheme="minorEastAsia" w:hAnsiTheme="minorEastAsia" w:eastAsiaTheme="minorEastAsia" w:cstheme="minorEastAsia"/>
          <w:sz w:val="24"/>
          <w:szCs w:val="24"/>
        </w:rPr>
      </w:pPr>
    </w:p>
    <w:p>
      <w:pPr>
        <w:spacing w:line="500" w:lineRule="exact"/>
        <w:rPr>
          <w:rFonts w:asciiTheme="minorEastAsia" w:hAnsiTheme="minorEastAsia" w:eastAsiaTheme="minorEastAsia" w:cstheme="minorEastAsia"/>
          <w:sz w:val="24"/>
          <w:szCs w:val="24"/>
        </w:rPr>
      </w:pPr>
    </w:p>
    <w:p>
      <w:pPr>
        <w:spacing w:line="500" w:lineRule="exact"/>
        <w:rPr>
          <w:rFonts w:asciiTheme="minorEastAsia" w:hAnsiTheme="minorEastAsia" w:eastAsiaTheme="minorEastAsia" w:cstheme="minorEastAsia"/>
          <w:sz w:val="24"/>
          <w:szCs w:val="24"/>
        </w:rPr>
      </w:pPr>
    </w:p>
    <w:p>
      <w:pPr>
        <w:spacing w:line="500" w:lineRule="exact"/>
        <w:rPr>
          <w:rFonts w:asciiTheme="minorEastAsia" w:hAnsiTheme="minorEastAsia" w:eastAsiaTheme="minorEastAsia" w:cstheme="minorEastAsia"/>
          <w:sz w:val="24"/>
          <w:szCs w:val="24"/>
        </w:rPr>
      </w:pPr>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投标人名称(公章)：____________________</w:t>
      </w:r>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法定代表人(签字或盖章)：____________________</w:t>
      </w:r>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授权代表(签字或盖章)：____________________</w:t>
      </w:r>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______年____月____日</w:t>
      </w:r>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说明：授权用投标专用章的，与公章具有相同法律效力。</w:t>
      </w:r>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sz w:val="24"/>
          <w:szCs w:val="24"/>
        </w:rPr>
        <w:t>　　附件1－3</w:t>
      </w:r>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授权委托书(格式二)(适用于自然人投标)</w:t>
      </w:r>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致：____________(采购人或采购代理机构)</w:t>
      </w:r>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我________(姓名)系自然人，现授权委托____________(姓名)以本人名义参加____________(项目名称)的投标活动，并代表本人全权办理针对上述项目的投标、签约等具体事务和签署相关文件。</w:t>
      </w:r>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本人对被授权人的签字事项负全部责任。</w:t>
      </w:r>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授权委托代理期限：从　　　年　　月　　日起至　　　年　　月　　日止。</w:t>
      </w:r>
    </w:p>
    <w:p>
      <w:pPr>
        <w:spacing w:line="500" w:lineRule="exact"/>
        <w:rPr>
          <w:rFonts w:asciiTheme="minorEastAsia" w:hAnsiTheme="minorEastAsia" w:eastAsiaTheme="minorEastAsia" w:cstheme="minorEastAsia"/>
          <w:sz w:val="24"/>
          <w:szCs w:val="24"/>
        </w:rPr>
      </w:pPr>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代理人无转委托权，特此委托。</w:t>
      </w:r>
    </w:p>
    <w:p>
      <w:pPr>
        <w:spacing w:line="500" w:lineRule="exact"/>
        <w:rPr>
          <w:rFonts w:asciiTheme="minorEastAsia" w:hAnsiTheme="minorEastAsia" w:eastAsiaTheme="minorEastAsia" w:cstheme="minorEastAsia"/>
          <w:sz w:val="24"/>
          <w:szCs w:val="24"/>
        </w:rPr>
      </w:pPr>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我已在下面签字，以资证明。</w:t>
      </w:r>
    </w:p>
    <w:p>
      <w:pPr>
        <w:spacing w:line="500" w:lineRule="exact"/>
        <w:rPr>
          <w:rFonts w:asciiTheme="minorEastAsia" w:hAnsiTheme="minorEastAsia" w:eastAsiaTheme="minorEastAsia" w:cstheme="minorEastAsia"/>
          <w:sz w:val="24"/>
          <w:szCs w:val="24"/>
        </w:rPr>
      </w:pPr>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自然人签字并在签名处加盖食指指印：　　　　年　　月　　日</w:t>
      </w:r>
    </w:p>
    <w:p>
      <w:pPr>
        <w:spacing w:line="500" w:lineRule="exact"/>
        <w:rPr>
          <w:rFonts w:ascii="宋体" w:hAnsi="宋体"/>
          <w:sz w:val="24"/>
          <w:szCs w:val="24"/>
        </w:rPr>
      </w:pPr>
    </w:p>
    <w:p>
      <w:pPr>
        <w:spacing w:line="500" w:lineRule="exact"/>
        <w:rPr>
          <w:rFonts w:ascii="宋体" w:hAnsi="宋体"/>
          <w:sz w:val="24"/>
          <w:szCs w:val="24"/>
        </w:rPr>
        <w:sectPr>
          <w:pgSz w:w="11906" w:h="16838"/>
          <w:pgMar w:top="720" w:right="720" w:bottom="720" w:left="720" w:header="851" w:footer="850" w:gutter="0"/>
          <w:cols w:space="0" w:num="1"/>
          <w:docGrid w:type="linesAndChars" w:linePitch="322" w:charSpace="535"/>
        </w:sectPr>
      </w:pPr>
    </w:p>
    <w:p>
      <w:pPr>
        <w:pStyle w:val="144"/>
        <w:spacing w:line="500" w:lineRule="exact"/>
        <w:jc w:val="center"/>
        <w:rPr>
          <w:rFonts w:ascii="宋体" w:hAnsi="宋体"/>
          <w:b/>
          <w:bCs/>
          <w:szCs w:val="24"/>
        </w:rPr>
      </w:pPr>
      <w:r>
        <w:rPr>
          <w:rFonts w:hint="eastAsia" w:ascii="宋体" w:hAnsi="宋体"/>
          <w:b/>
          <w:bCs/>
          <w:szCs w:val="24"/>
        </w:rPr>
        <w:t>二、开标一览表</w:t>
      </w:r>
    </w:p>
    <w:p>
      <w:pPr>
        <w:pStyle w:val="23"/>
        <w:ind w:firstLine="424" w:firstLineChars="200"/>
        <w:jc w:val="center"/>
        <w:rPr>
          <w:rFonts w:ascii="Times New Roman" w:hAnsi="Times New Roman"/>
        </w:rPr>
      </w:pP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2"/>
        <w:gridCol w:w="2165"/>
        <w:gridCol w:w="3218"/>
        <w:gridCol w:w="1237"/>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39" w:type="pct"/>
            <w:vAlign w:val="center"/>
          </w:tcPr>
          <w:p>
            <w:pPr>
              <w:pStyle w:val="23"/>
              <w:jc w:val="center"/>
              <w:rPr>
                <w:rFonts w:ascii="Times New Roman" w:hAnsi="Times New Roman"/>
                <w:sz w:val="24"/>
                <w:szCs w:val="24"/>
              </w:rPr>
            </w:pPr>
            <w:r>
              <w:rPr>
                <w:rFonts w:hint="eastAsia" w:ascii="Times New Roman" w:hAnsi="Times New Roman"/>
                <w:sz w:val="24"/>
                <w:szCs w:val="24"/>
              </w:rPr>
              <w:t>序号</w:t>
            </w:r>
          </w:p>
        </w:tc>
        <w:tc>
          <w:tcPr>
            <w:tcW w:w="1131" w:type="pct"/>
            <w:vAlign w:val="center"/>
          </w:tcPr>
          <w:p>
            <w:pPr>
              <w:pStyle w:val="23"/>
              <w:jc w:val="center"/>
              <w:rPr>
                <w:rFonts w:ascii="Times New Roman" w:hAnsi="Times New Roman"/>
                <w:sz w:val="24"/>
                <w:szCs w:val="24"/>
              </w:rPr>
            </w:pPr>
            <w:r>
              <w:rPr>
                <w:rFonts w:hint="eastAsia" w:ascii="Times New Roman" w:hAnsi="Times New Roman"/>
                <w:sz w:val="24"/>
                <w:szCs w:val="24"/>
              </w:rPr>
              <w:t>项目名称</w:t>
            </w:r>
          </w:p>
        </w:tc>
        <w:tc>
          <w:tcPr>
            <w:tcW w:w="1681" w:type="pct"/>
            <w:vAlign w:val="center"/>
          </w:tcPr>
          <w:p>
            <w:pPr>
              <w:pStyle w:val="23"/>
              <w:jc w:val="center"/>
              <w:rPr>
                <w:rFonts w:ascii="Times New Roman" w:hAnsi="Times New Roman"/>
                <w:sz w:val="24"/>
                <w:szCs w:val="24"/>
              </w:rPr>
            </w:pPr>
          </w:p>
        </w:tc>
        <w:tc>
          <w:tcPr>
            <w:tcW w:w="646" w:type="pct"/>
            <w:vAlign w:val="center"/>
          </w:tcPr>
          <w:p>
            <w:pPr>
              <w:pStyle w:val="23"/>
              <w:jc w:val="center"/>
              <w:rPr>
                <w:rFonts w:ascii="Times New Roman" w:hAnsi="Times New Roman"/>
                <w:sz w:val="24"/>
                <w:szCs w:val="24"/>
              </w:rPr>
            </w:pPr>
            <w:r>
              <w:rPr>
                <w:rFonts w:hint="eastAsia" w:ascii="Times New Roman" w:hAnsi="Times New Roman"/>
                <w:sz w:val="24"/>
                <w:szCs w:val="24"/>
              </w:rPr>
              <w:t>项目编号</w:t>
            </w:r>
          </w:p>
        </w:tc>
        <w:tc>
          <w:tcPr>
            <w:tcW w:w="903" w:type="pct"/>
            <w:vAlign w:val="center"/>
          </w:tcPr>
          <w:p>
            <w:pPr>
              <w:pStyle w:val="23"/>
              <w:jc w:val="center"/>
              <w:rPr>
                <w:rFonts w:ascii="MingLiU_HKSCS" w:hAnsi="MingLiU_HKSCS" w:eastAsia="MingLiU_HKSCS" w:cs="MingLiU_HKS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39" w:type="pct"/>
            <w:vAlign w:val="center"/>
          </w:tcPr>
          <w:p>
            <w:pPr>
              <w:pStyle w:val="23"/>
              <w:jc w:val="center"/>
              <w:rPr>
                <w:rFonts w:ascii="Times New Roman" w:hAnsi="Times New Roman"/>
                <w:sz w:val="24"/>
                <w:szCs w:val="24"/>
              </w:rPr>
            </w:pPr>
            <w:r>
              <w:rPr>
                <w:rFonts w:hint="eastAsia" w:ascii="Times New Roman" w:hAnsi="Times New Roman"/>
                <w:sz w:val="24"/>
                <w:szCs w:val="24"/>
              </w:rPr>
              <w:t>1</w:t>
            </w:r>
          </w:p>
        </w:tc>
        <w:tc>
          <w:tcPr>
            <w:tcW w:w="1131" w:type="pct"/>
            <w:vAlign w:val="center"/>
          </w:tcPr>
          <w:p>
            <w:pPr>
              <w:pStyle w:val="23"/>
              <w:jc w:val="center"/>
              <w:rPr>
                <w:rFonts w:ascii="Times New Roman" w:hAnsi="Times New Roman"/>
                <w:sz w:val="24"/>
                <w:szCs w:val="24"/>
              </w:rPr>
            </w:pPr>
            <w:r>
              <w:rPr>
                <w:rFonts w:hint="eastAsia" w:ascii="Times New Roman" w:hAnsi="Times New Roman"/>
                <w:sz w:val="24"/>
                <w:szCs w:val="24"/>
              </w:rPr>
              <w:t>总报价人民币</w:t>
            </w:r>
          </w:p>
        </w:tc>
        <w:tc>
          <w:tcPr>
            <w:tcW w:w="3230" w:type="pct"/>
            <w:gridSpan w:val="3"/>
            <w:vAlign w:val="center"/>
          </w:tcPr>
          <w:p>
            <w:pPr>
              <w:pStyle w:val="23"/>
              <w:jc w:val="left"/>
              <w:rPr>
                <w:rFonts w:ascii="Times New Roman" w:hAnsi="Times New Roman" w:eastAsia="MingLiU_HKSCS"/>
                <w:sz w:val="24"/>
                <w:szCs w:val="24"/>
              </w:rPr>
            </w:pPr>
            <w:r>
              <w:rPr>
                <w:rFonts w:hint="eastAsia" w:ascii="Times New Roman" w:hAnsi="Times New Roman"/>
                <w:sz w:val="24"/>
                <w:szCs w:val="24"/>
              </w:rPr>
              <w:t>大写：人民币</w:t>
            </w:r>
            <w:r>
              <w:rPr>
                <w:rFonts w:ascii="Times New Roman" w:hAnsi="Times New Roman"/>
                <w:sz w:val="24"/>
                <w:szCs w:val="24"/>
              </w:rPr>
              <w:t>______</w:t>
            </w:r>
            <w:r>
              <w:rPr>
                <w:rFonts w:hint="eastAsia" w:ascii="Times New Roman" w:hAnsi="Times New Roman"/>
                <w:sz w:val="24"/>
                <w:szCs w:val="24"/>
              </w:rPr>
              <w:t>元</w:t>
            </w:r>
          </w:p>
          <w:p>
            <w:pPr>
              <w:pStyle w:val="23"/>
              <w:jc w:val="left"/>
              <w:rPr>
                <w:rFonts w:ascii="Times New Roman" w:hAnsi="Times New Roman" w:eastAsia="MingLiU_HKSCS"/>
                <w:sz w:val="24"/>
                <w:szCs w:val="24"/>
              </w:rPr>
            </w:pPr>
            <w:r>
              <w:rPr>
                <w:rFonts w:hint="eastAsia" w:ascii="Times New Roman" w:hAnsi="Times New Roman"/>
                <w:sz w:val="24"/>
                <w:szCs w:val="24"/>
              </w:rPr>
              <w:t>小写：￥</w:t>
            </w:r>
            <w:r>
              <w:rPr>
                <w:rFonts w:ascii="Times New Roman" w:hAnsi="Times New Roman"/>
                <w:sz w:val="24"/>
                <w:szCs w:val="24"/>
              </w:rPr>
              <w:t>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639" w:type="pct"/>
            <w:vAlign w:val="center"/>
          </w:tcPr>
          <w:p>
            <w:pPr>
              <w:pStyle w:val="23"/>
              <w:jc w:val="center"/>
              <w:rPr>
                <w:rFonts w:ascii="Times New Roman" w:hAnsi="Times New Roman"/>
                <w:sz w:val="24"/>
                <w:szCs w:val="24"/>
              </w:rPr>
            </w:pPr>
            <w:r>
              <w:rPr>
                <w:rFonts w:hint="eastAsia" w:ascii="Times New Roman" w:hAnsi="Times New Roman"/>
                <w:sz w:val="24"/>
                <w:szCs w:val="24"/>
              </w:rPr>
              <w:t>2</w:t>
            </w:r>
          </w:p>
        </w:tc>
        <w:tc>
          <w:tcPr>
            <w:tcW w:w="1131" w:type="pct"/>
            <w:vAlign w:val="center"/>
          </w:tcPr>
          <w:p>
            <w:pPr>
              <w:pStyle w:val="23"/>
              <w:jc w:val="center"/>
              <w:rPr>
                <w:rFonts w:ascii="Times New Roman" w:hAnsi="Times New Roman"/>
                <w:sz w:val="24"/>
                <w:szCs w:val="24"/>
              </w:rPr>
            </w:pPr>
            <w:r>
              <w:rPr>
                <w:rFonts w:hint="eastAsia" w:ascii="Times New Roman" w:hAnsi="Times New Roman"/>
                <w:sz w:val="24"/>
                <w:szCs w:val="24"/>
              </w:rPr>
              <w:t>供货期</w:t>
            </w:r>
          </w:p>
        </w:tc>
        <w:tc>
          <w:tcPr>
            <w:tcW w:w="3230" w:type="pct"/>
            <w:gridSpan w:val="3"/>
            <w:vAlign w:val="center"/>
          </w:tcPr>
          <w:p>
            <w:pPr>
              <w:pStyle w:val="23"/>
              <w:jc w:val="center"/>
              <w:rPr>
                <w:rFonts w:ascii="Times New Roman" w:hAnsi="Times New Roman" w:eastAsia="MingLiU_HKS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39" w:type="pct"/>
            <w:vAlign w:val="center"/>
          </w:tcPr>
          <w:p>
            <w:pPr>
              <w:pStyle w:val="23"/>
              <w:jc w:val="center"/>
              <w:rPr>
                <w:rFonts w:ascii="Times New Roman" w:hAnsi="Times New Roman"/>
                <w:sz w:val="24"/>
                <w:szCs w:val="24"/>
              </w:rPr>
            </w:pPr>
            <w:r>
              <w:rPr>
                <w:rFonts w:hint="eastAsia" w:ascii="Times New Roman" w:hAnsi="Times New Roman"/>
                <w:sz w:val="24"/>
                <w:szCs w:val="24"/>
              </w:rPr>
              <w:t>3</w:t>
            </w:r>
          </w:p>
        </w:tc>
        <w:tc>
          <w:tcPr>
            <w:tcW w:w="1131" w:type="pct"/>
            <w:vAlign w:val="center"/>
          </w:tcPr>
          <w:p>
            <w:pPr>
              <w:pStyle w:val="23"/>
              <w:jc w:val="center"/>
              <w:rPr>
                <w:rFonts w:ascii="Times New Roman" w:hAnsi="Times New Roman"/>
                <w:sz w:val="24"/>
                <w:szCs w:val="24"/>
              </w:rPr>
            </w:pPr>
            <w:r>
              <w:rPr>
                <w:rFonts w:hint="eastAsia" w:ascii="Times New Roman" w:hAnsi="Times New Roman"/>
                <w:sz w:val="24"/>
                <w:szCs w:val="24"/>
              </w:rPr>
              <w:t>质量标准</w:t>
            </w:r>
          </w:p>
        </w:tc>
        <w:tc>
          <w:tcPr>
            <w:tcW w:w="3230" w:type="pct"/>
            <w:gridSpan w:val="3"/>
            <w:vAlign w:val="center"/>
          </w:tcPr>
          <w:p>
            <w:pPr>
              <w:pStyle w:val="23"/>
              <w:jc w:val="center"/>
              <w:rPr>
                <w:rFonts w:ascii="Times New Roman" w:hAnsi="Times New Roman"/>
                <w:sz w:val="24"/>
                <w:szCs w:val="24"/>
              </w:rPr>
            </w:pPr>
            <w:r>
              <w:rPr>
                <w:rFonts w:hint="eastAsia" w:ascii="Times New Roman" w:hAnsi="Times New Roman"/>
                <w:sz w:val="24"/>
                <w:szCs w:val="24"/>
              </w:rPr>
              <w:t>符合最新国家标准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39" w:type="pct"/>
            <w:vAlign w:val="center"/>
          </w:tcPr>
          <w:p>
            <w:pPr>
              <w:pStyle w:val="23"/>
              <w:jc w:val="center"/>
              <w:rPr>
                <w:rFonts w:hint="eastAsia" w:ascii="Times New Roman" w:hAnsi="Times New Roman"/>
                <w:sz w:val="24"/>
                <w:szCs w:val="24"/>
              </w:rPr>
            </w:pPr>
          </w:p>
        </w:tc>
        <w:tc>
          <w:tcPr>
            <w:tcW w:w="1131" w:type="pct"/>
            <w:vAlign w:val="center"/>
          </w:tcPr>
          <w:p>
            <w:pPr>
              <w:pStyle w:val="23"/>
              <w:jc w:val="cente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联系人</w:t>
            </w:r>
          </w:p>
        </w:tc>
        <w:tc>
          <w:tcPr>
            <w:tcW w:w="3230" w:type="pct"/>
            <w:gridSpan w:val="3"/>
            <w:vAlign w:val="center"/>
          </w:tcPr>
          <w:p>
            <w:pPr>
              <w:pStyle w:val="23"/>
              <w:jc w:val="center"/>
              <w:rPr>
                <w:rFonts w:hint="eastAsia"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639" w:type="pct"/>
            <w:vAlign w:val="center"/>
          </w:tcPr>
          <w:p>
            <w:pPr>
              <w:pStyle w:val="23"/>
              <w:jc w:val="center"/>
              <w:rPr>
                <w:rFonts w:ascii="Times New Roman" w:hAnsi="Times New Roman"/>
                <w:sz w:val="24"/>
                <w:szCs w:val="24"/>
              </w:rPr>
            </w:pPr>
          </w:p>
        </w:tc>
        <w:tc>
          <w:tcPr>
            <w:tcW w:w="1131" w:type="pct"/>
            <w:vAlign w:val="center"/>
          </w:tcPr>
          <w:p>
            <w:pPr>
              <w:pStyle w:val="23"/>
              <w:jc w:val="center"/>
              <w:rPr>
                <w:rFonts w:ascii="Times New Roman" w:hAnsi="Times New Roman"/>
                <w:sz w:val="24"/>
                <w:szCs w:val="24"/>
              </w:rPr>
            </w:pPr>
            <w:r>
              <w:rPr>
                <w:rFonts w:hint="eastAsia" w:ascii="Times New Roman" w:hAnsi="Times New Roman"/>
                <w:sz w:val="24"/>
                <w:szCs w:val="24"/>
              </w:rPr>
              <w:t>备注</w:t>
            </w:r>
          </w:p>
        </w:tc>
        <w:tc>
          <w:tcPr>
            <w:tcW w:w="3230" w:type="pct"/>
            <w:gridSpan w:val="3"/>
            <w:vAlign w:val="center"/>
          </w:tcPr>
          <w:p>
            <w:pPr>
              <w:pStyle w:val="23"/>
              <w:jc w:val="center"/>
              <w:rPr>
                <w:rFonts w:ascii="Times New Roman" w:hAnsi="Times New Roman" w:eastAsia="MingLiU_HKSCS"/>
                <w:sz w:val="24"/>
                <w:szCs w:val="24"/>
              </w:rPr>
            </w:pPr>
          </w:p>
        </w:tc>
      </w:tr>
    </w:tbl>
    <w:p>
      <w:pPr>
        <w:pStyle w:val="144"/>
        <w:spacing w:line="500" w:lineRule="exact"/>
        <w:ind w:firstLine="484" w:firstLineChars="200"/>
        <w:rPr>
          <w:rFonts w:ascii="宋体" w:hAnsi="宋体"/>
          <w:b/>
          <w:bCs/>
          <w:szCs w:val="24"/>
        </w:rPr>
      </w:pPr>
      <w:r>
        <w:rPr>
          <w:rFonts w:hint="eastAsia" w:ascii="宋体" w:hAnsi="宋体"/>
          <w:b/>
          <w:bCs/>
          <w:szCs w:val="24"/>
        </w:rPr>
        <w:t>(注： 1、请将本开标一览表单独密封一份)</w:t>
      </w:r>
    </w:p>
    <w:p>
      <w:pPr>
        <w:pStyle w:val="144"/>
        <w:spacing w:line="500" w:lineRule="exact"/>
        <w:ind w:firstLine="484" w:firstLineChars="200"/>
        <w:rPr>
          <w:rFonts w:ascii="宋体" w:hAnsi="宋体"/>
          <w:b/>
          <w:bCs/>
          <w:szCs w:val="24"/>
        </w:rPr>
      </w:pPr>
    </w:p>
    <w:p>
      <w:pPr>
        <w:pStyle w:val="144"/>
        <w:spacing w:line="500" w:lineRule="exact"/>
        <w:ind w:firstLine="484" w:firstLineChars="200"/>
        <w:rPr>
          <w:rFonts w:ascii="宋体" w:hAnsi="宋体"/>
          <w:b/>
          <w:bCs/>
          <w:szCs w:val="24"/>
        </w:rPr>
      </w:pPr>
    </w:p>
    <w:p>
      <w:pPr>
        <w:pStyle w:val="144"/>
        <w:spacing w:line="500" w:lineRule="exact"/>
        <w:ind w:firstLine="484" w:firstLineChars="200"/>
        <w:rPr>
          <w:rFonts w:ascii="宋体" w:hAnsi="宋体"/>
          <w:b/>
          <w:bCs/>
          <w:szCs w:val="24"/>
        </w:rPr>
      </w:pPr>
    </w:p>
    <w:p>
      <w:pPr>
        <w:pStyle w:val="144"/>
        <w:spacing w:line="500" w:lineRule="exact"/>
        <w:ind w:firstLine="484" w:firstLineChars="200"/>
        <w:rPr>
          <w:rFonts w:ascii="宋体" w:hAnsi="宋体"/>
          <w:b/>
          <w:bCs/>
          <w:szCs w:val="24"/>
        </w:rPr>
      </w:pPr>
    </w:p>
    <w:p>
      <w:pPr>
        <w:adjustRightInd w:val="0"/>
        <w:snapToGrid w:val="0"/>
        <w:spacing w:line="360" w:lineRule="auto"/>
        <w:ind w:firstLine="484" w:firstLineChars="200"/>
        <w:rPr>
          <w:rFonts w:ascii="宋体" w:hAnsi="宋体"/>
          <w:sz w:val="24"/>
          <w:szCs w:val="21"/>
        </w:rPr>
      </w:pPr>
      <w:r>
        <w:rPr>
          <w:rFonts w:hint="eastAsia" w:ascii="宋体" w:hAnsi="宋体"/>
          <w:sz w:val="24"/>
          <w:szCs w:val="21"/>
        </w:rPr>
        <w:t>投标人（盖单位章）：</w:t>
      </w:r>
    </w:p>
    <w:p>
      <w:pPr>
        <w:adjustRightInd w:val="0"/>
        <w:snapToGrid w:val="0"/>
        <w:spacing w:line="360" w:lineRule="auto"/>
        <w:ind w:left="483" w:leftChars="228" w:firstLine="9438" w:firstLineChars="3900"/>
        <w:rPr>
          <w:rFonts w:ascii="宋体" w:hAnsi="宋体"/>
          <w:sz w:val="24"/>
          <w:szCs w:val="21"/>
        </w:rPr>
      </w:pPr>
      <w:r>
        <w:rPr>
          <w:rFonts w:hint="eastAsia" w:ascii="宋体" w:hAnsi="宋体"/>
          <w:sz w:val="24"/>
          <w:szCs w:val="21"/>
        </w:rPr>
        <w:t xml:space="preserve"> 法定代表人或其委托代理人签字：</w:t>
      </w:r>
    </w:p>
    <w:p>
      <w:pPr>
        <w:adjustRightInd w:val="0"/>
        <w:snapToGrid w:val="0"/>
        <w:spacing w:line="360" w:lineRule="auto"/>
        <w:ind w:left="483" w:leftChars="228" w:right="24" w:firstLine="9438" w:firstLineChars="3900"/>
        <w:rPr>
          <w:rFonts w:ascii="宋体" w:hAnsi="宋体"/>
          <w:bCs/>
          <w:sz w:val="36"/>
          <w:szCs w:val="28"/>
        </w:rPr>
      </w:pPr>
      <w:r>
        <w:rPr>
          <w:rFonts w:hint="eastAsia" w:ascii="宋体" w:hAnsi="宋体"/>
          <w:sz w:val="24"/>
          <w:szCs w:val="21"/>
        </w:rPr>
        <w:t xml:space="preserve">  日期：年月日</w:t>
      </w:r>
    </w:p>
    <w:p>
      <w:pPr>
        <w:pStyle w:val="144"/>
        <w:spacing w:line="500" w:lineRule="exact"/>
        <w:ind w:firstLine="484" w:firstLineChars="200"/>
        <w:rPr>
          <w:rFonts w:ascii="宋体" w:hAnsi="宋体"/>
          <w:b/>
          <w:bCs/>
          <w:szCs w:val="24"/>
        </w:rPr>
      </w:pPr>
    </w:p>
    <w:p>
      <w:pPr>
        <w:pStyle w:val="144"/>
        <w:spacing w:line="500" w:lineRule="exact"/>
        <w:ind w:firstLine="484" w:firstLineChars="200"/>
        <w:rPr>
          <w:rFonts w:ascii="宋体" w:hAnsi="宋体"/>
          <w:b/>
          <w:bCs/>
          <w:szCs w:val="24"/>
        </w:rPr>
      </w:pPr>
    </w:p>
    <w:p>
      <w:pPr>
        <w:pStyle w:val="144"/>
        <w:spacing w:line="500" w:lineRule="exact"/>
        <w:ind w:firstLine="484" w:firstLineChars="200"/>
        <w:rPr>
          <w:rFonts w:ascii="宋体" w:hAnsi="宋体"/>
          <w:b/>
          <w:bCs/>
          <w:szCs w:val="24"/>
        </w:rPr>
      </w:pPr>
    </w:p>
    <w:p>
      <w:pPr>
        <w:pStyle w:val="144"/>
        <w:spacing w:line="500" w:lineRule="exact"/>
        <w:ind w:firstLine="484" w:firstLineChars="200"/>
        <w:rPr>
          <w:rFonts w:ascii="宋体" w:hAnsi="宋体"/>
          <w:b/>
          <w:bCs/>
          <w:szCs w:val="24"/>
        </w:rPr>
      </w:pPr>
    </w:p>
    <w:p>
      <w:pPr>
        <w:pStyle w:val="144"/>
        <w:spacing w:line="500" w:lineRule="exact"/>
        <w:ind w:firstLine="484" w:firstLineChars="200"/>
        <w:rPr>
          <w:rFonts w:ascii="宋体" w:hAnsi="宋体"/>
          <w:b/>
          <w:bCs/>
          <w:szCs w:val="24"/>
        </w:rPr>
      </w:pPr>
    </w:p>
    <w:p>
      <w:pPr>
        <w:pStyle w:val="144"/>
        <w:spacing w:line="500" w:lineRule="exact"/>
        <w:ind w:firstLine="484" w:firstLineChars="200"/>
        <w:rPr>
          <w:rFonts w:ascii="宋体" w:hAnsi="宋体"/>
          <w:b/>
          <w:bCs/>
          <w:szCs w:val="24"/>
        </w:rPr>
      </w:pPr>
    </w:p>
    <w:p>
      <w:pPr>
        <w:pStyle w:val="144"/>
        <w:spacing w:line="500" w:lineRule="exact"/>
        <w:ind w:firstLine="484" w:firstLineChars="200"/>
        <w:rPr>
          <w:rFonts w:ascii="宋体" w:hAnsi="宋体"/>
          <w:b/>
          <w:bCs/>
          <w:szCs w:val="24"/>
        </w:rPr>
      </w:pPr>
    </w:p>
    <w:tbl>
      <w:tblPr>
        <w:tblStyle w:val="40"/>
        <w:tblpPr w:leftFromText="180" w:rightFromText="180" w:vertAnchor="text" w:horzAnchor="margin" w:tblpY="1194"/>
        <w:tblW w:w="5000" w:type="pct"/>
        <w:tblInd w:w="0" w:type="dxa"/>
        <w:tblLayout w:type="autofit"/>
        <w:tblCellMar>
          <w:top w:w="0" w:type="dxa"/>
          <w:left w:w="108" w:type="dxa"/>
          <w:bottom w:w="0" w:type="dxa"/>
          <w:right w:w="108" w:type="dxa"/>
        </w:tblCellMar>
      </w:tblPr>
      <w:tblGrid>
        <w:gridCol w:w="1030"/>
        <w:gridCol w:w="4052"/>
        <w:gridCol w:w="1093"/>
        <w:gridCol w:w="913"/>
        <w:gridCol w:w="1344"/>
        <w:gridCol w:w="1139"/>
      </w:tblGrid>
      <w:tr>
        <w:trPr>
          <w:cantSplit/>
          <w:trHeight w:val="90" w:hRule="atLeast"/>
        </w:trPr>
        <w:tc>
          <w:tcPr>
            <w:tcW w:w="538" w:type="pct"/>
            <w:tcBorders>
              <w:top w:val="single" w:color="auto" w:sz="4" w:space="0"/>
            </w:tcBorders>
            <w:vAlign w:val="center"/>
          </w:tcPr>
          <w:p>
            <w:pPr>
              <w:pStyle w:val="2"/>
              <w:spacing w:line="120" w:lineRule="auto"/>
              <w:jc w:val="center"/>
              <w:rPr>
                <w:b/>
                <w:bCs/>
                <w:sz w:val="24"/>
                <w:szCs w:val="24"/>
              </w:rPr>
            </w:pPr>
            <w:r>
              <w:rPr>
                <w:rFonts w:hint="eastAsia"/>
                <w:b/>
                <w:bCs/>
                <w:sz w:val="24"/>
                <w:szCs w:val="24"/>
              </w:rPr>
              <w:t>序号</w:t>
            </w:r>
          </w:p>
        </w:tc>
        <w:tc>
          <w:tcPr>
            <w:tcW w:w="2117" w:type="pct"/>
            <w:tcBorders>
              <w:top w:val="single" w:color="auto" w:sz="4" w:space="0"/>
            </w:tcBorders>
            <w:vAlign w:val="center"/>
          </w:tcPr>
          <w:p>
            <w:pPr>
              <w:pStyle w:val="2"/>
              <w:spacing w:line="120" w:lineRule="auto"/>
              <w:jc w:val="center"/>
              <w:rPr>
                <w:b/>
                <w:bCs/>
                <w:sz w:val="24"/>
                <w:szCs w:val="24"/>
              </w:rPr>
            </w:pPr>
            <w:r>
              <w:rPr>
                <w:rFonts w:hint="eastAsia"/>
                <w:b/>
                <w:bCs/>
                <w:sz w:val="24"/>
                <w:szCs w:val="24"/>
              </w:rPr>
              <w:t>规格型号</w:t>
            </w:r>
          </w:p>
        </w:tc>
        <w:tc>
          <w:tcPr>
            <w:tcW w:w="571" w:type="pct"/>
            <w:tcBorders>
              <w:top w:val="single" w:color="auto" w:sz="4" w:space="0"/>
            </w:tcBorders>
            <w:vAlign w:val="center"/>
          </w:tcPr>
          <w:p>
            <w:pPr>
              <w:pStyle w:val="2"/>
              <w:jc w:val="center"/>
              <w:rPr>
                <w:b/>
                <w:bCs/>
              </w:rPr>
            </w:pPr>
            <w:r>
              <w:rPr>
                <w:rFonts w:hint="eastAsia"/>
                <w:b/>
                <w:bCs/>
              </w:rPr>
              <w:t>单位</w:t>
            </w:r>
          </w:p>
        </w:tc>
        <w:tc>
          <w:tcPr>
            <w:tcW w:w="477" w:type="pct"/>
            <w:tcBorders>
              <w:top w:val="single" w:color="auto" w:sz="4" w:space="0"/>
            </w:tcBorders>
            <w:vAlign w:val="center"/>
          </w:tcPr>
          <w:p>
            <w:pPr>
              <w:pStyle w:val="2"/>
              <w:spacing w:line="120" w:lineRule="auto"/>
              <w:jc w:val="center"/>
              <w:rPr>
                <w:b/>
                <w:bCs/>
                <w:sz w:val="24"/>
                <w:szCs w:val="24"/>
              </w:rPr>
            </w:pPr>
            <w:r>
              <w:rPr>
                <w:rFonts w:hint="eastAsia"/>
                <w:b/>
                <w:bCs/>
                <w:sz w:val="24"/>
                <w:szCs w:val="24"/>
              </w:rPr>
              <w:t>数量</w:t>
            </w:r>
          </w:p>
        </w:tc>
        <w:tc>
          <w:tcPr>
            <w:tcW w:w="702" w:type="pct"/>
            <w:tcBorders>
              <w:top w:val="single" w:color="auto" w:sz="4" w:space="0"/>
            </w:tcBorders>
            <w:vAlign w:val="center"/>
          </w:tcPr>
          <w:p>
            <w:pPr>
              <w:pStyle w:val="2"/>
              <w:spacing w:line="120" w:lineRule="auto"/>
              <w:jc w:val="center"/>
              <w:rPr>
                <w:b/>
                <w:bCs/>
                <w:sz w:val="24"/>
                <w:szCs w:val="24"/>
              </w:rPr>
            </w:pPr>
            <w:r>
              <w:rPr>
                <w:rFonts w:hint="eastAsia"/>
                <w:b/>
                <w:bCs/>
                <w:sz w:val="24"/>
                <w:szCs w:val="24"/>
              </w:rPr>
              <w:t>单  价（元）</w:t>
            </w:r>
          </w:p>
        </w:tc>
        <w:tc>
          <w:tcPr>
            <w:tcW w:w="596" w:type="pct"/>
            <w:tcBorders>
              <w:top w:val="single" w:color="auto" w:sz="4" w:space="0"/>
            </w:tcBorders>
          </w:tcPr>
          <w:p>
            <w:pPr>
              <w:pStyle w:val="2"/>
              <w:spacing w:after="0" w:line="120" w:lineRule="auto"/>
              <w:rPr>
                <w:b/>
                <w:bCs/>
                <w:sz w:val="24"/>
                <w:szCs w:val="24"/>
              </w:rPr>
            </w:pPr>
            <w:r>
              <w:rPr>
                <w:rFonts w:hint="eastAsia"/>
                <w:b/>
                <w:bCs/>
                <w:sz w:val="24"/>
                <w:szCs w:val="24"/>
              </w:rPr>
              <w:t>总价（元）</w:t>
            </w:r>
          </w:p>
        </w:tc>
      </w:tr>
      <w:tr>
        <w:tblPrEx>
          <w:tblCellMar>
            <w:top w:w="0" w:type="dxa"/>
            <w:left w:w="108" w:type="dxa"/>
            <w:bottom w:w="0" w:type="dxa"/>
            <w:right w:w="108" w:type="dxa"/>
          </w:tblCellMar>
        </w:tblPrEx>
        <w:trPr>
          <w:cantSplit/>
          <w:trHeight w:val="149" w:hRule="atLeast"/>
        </w:trPr>
        <w:tc>
          <w:tcPr>
            <w:tcW w:w="538" w:type="pct"/>
            <w:vAlign w:val="center"/>
          </w:tcPr>
          <w:p>
            <w:pPr>
              <w:spacing w:line="120" w:lineRule="auto"/>
              <w:jc w:val="center"/>
              <w:rPr>
                <w:b/>
                <w:bCs/>
                <w:szCs w:val="21"/>
              </w:rPr>
            </w:pPr>
            <w:r>
              <w:rPr>
                <w:rFonts w:hint="eastAsia"/>
                <w:b/>
                <w:bCs/>
                <w:szCs w:val="21"/>
              </w:rPr>
              <w:t>1</w:t>
            </w:r>
          </w:p>
        </w:tc>
        <w:tc>
          <w:tcPr>
            <w:tcW w:w="2117" w:type="pct"/>
          </w:tcPr>
          <w:p>
            <w:pPr>
              <w:pStyle w:val="2"/>
              <w:spacing w:line="120" w:lineRule="auto"/>
              <w:rPr>
                <w:szCs w:val="21"/>
              </w:rPr>
            </w:pPr>
          </w:p>
        </w:tc>
        <w:tc>
          <w:tcPr>
            <w:tcW w:w="571" w:type="pct"/>
            <w:vAlign w:val="center"/>
          </w:tcPr>
          <w:p>
            <w:pPr>
              <w:pStyle w:val="2"/>
              <w:jc w:val="center"/>
              <w:rPr>
                <w:szCs w:val="21"/>
              </w:rPr>
            </w:pPr>
          </w:p>
        </w:tc>
        <w:tc>
          <w:tcPr>
            <w:tcW w:w="477" w:type="pct"/>
            <w:vAlign w:val="center"/>
          </w:tcPr>
          <w:p>
            <w:pPr>
              <w:pStyle w:val="2"/>
              <w:spacing w:line="120" w:lineRule="auto"/>
              <w:jc w:val="center"/>
              <w:rPr>
                <w:szCs w:val="21"/>
              </w:rPr>
            </w:pPr>
          </w:p>
        </w:tc>
        <w:tc>
          <w:tcPr>
            <w:tcW w:w="702" w:type="pct"/>
            <w:vAlign w:val="center"/>
          </w:tcPr>
          <w:p>
            <w:pPr>
              <w:pStyle w:val="2"/>
              <w:spacing w:line="120" w:lineRule="auto"/>
              <w:jc w:val="center"/>
              <w:rPr>
                <w:sz w:val="24"/>
                <w:szCs w:val="24"/>
              </w:rPr>
            </w:pPr>
          </w:p>
        </w:tc>
        <w:tc>
          <w:tcPr>
            <w:tcW w:w="596" w:type="pct"/>
            <w:vAlign w:val="center"/>
          </w:tcPr>
          <w:p>
            <w:pPr>
              <w:pStyle w:val="2"/>
              <w:spacing w:line="120" w:lineRule="auto"/>
              <w:jc w:val="center"/>
              <w:rPr>
                <w:sz w:val="24"/>
                <w:szCs w:val="24"/>
              </w:rPr>
            </w:pPr>
          </w:p>
        </w:tc>
      </w:tr>
    </w:tbl>
    <w:p>
      <w:pPr>
        <w:pStyle w:val="144"/>
        <w:spacing w:line="500" w:lineRule="exact"/>
        <w:ind w:firstLine="484" w:firstLineChars="200"/>
        <w:rPr>
          <w:rFonts w:ascii="宋体" w:hAnsi="宋体"/>
          <w:b/>
          <w:bCs/>
          <w:szCs w:val="24"/>
        </w:rPr>
      </w:pPr>
    </w:p>
    <w:p>
      <w:pPr>
        <w:pStyle w:val="144"/>
        <w:spacing w:line="500" w:lineRule="exact"/>
        <w:ind w:firstLine="476" w:firstLineChars="200"/>
        <w:jc w:val="center"/>
        <w:rPr>
          <w:rFonts w:ascii="宋体" w:hAnsi="宋体"/>
          <w:b/>
          <w:bCs/>
          <w:szCs w:val="24"/>
        </w:rPr>
      </w:pPr>
      <w:r>
        <w:rPr>
          <w:rFonts w:hint="eastAsia" w:ascii="宋体" w:hAnsi="宋体"/>
          <w:b/>
          <w:color w:val="000000"/>
          <w:spacing w:val="-2"/>
        </w:rPr>
        <w:t>分项价格表</w:t>
      </w:r>
    </w:p>
    <w:p>
      <w:pPr>
        <w:pStyle w:val="144"/>
        <w:spacing w:line="500" w:lineRule="exact"/>
        <w:ind w:firstLine="484" w:firstLineChars="200"/>
        <w:rPr>
          <w:rFonts w:ascii="宋体" w:hAnsi="宋体"/>
          <w:b/>
          <w:bCs/>
          <w:szCs w:val="24"/>
        </w:rPr>
      </w:pPr>
    </w:p>
    <w:p>
      <w:pPr>
        <w:adjustRightInd w:val="0"/>
        <w:snapToGrid w:val="0"/>
        <w:spacing w:line="360" w:lineRule="auto"/>
      </w:pPr>
      <w:r>
        <w:rPr>
          <w:rFonts w:hint="eastAsia"/>
        </w:rPr>
        <w:t xml:space="preserve">  </w:t>
      </w:r>
    </w:p>
    <w:p>
      <w:pPr>
        <w:adjustRightInd w:val="0"/>
        <w:snapToGrid w:val="0"/>
        <w:spacing w:line="360" w:lineRule="auto"/>
        <w:rPr>
          <w:rFonts w:ascii="宋体" w:hAnsi="宋体"/>
          <w:b/>
          <w:color w:val="000000"/>
          <w:spacing w:val="-2"/>
        </w:rPr>
      </w:pPr>
      <w:r>
        <w:rPr>
          <w:rFonts w:hint="eastAsia" w:ascii="宋体" w:hAnsi="宋体"/>
          <w:b/>
          <w:color w:val="000000"/>
          <w:spacing w:val="-2"/>
        </w:rPr>
        <w:t>注：1、投标人按照</w:t>
      </w:r>
      <w:r>
        <w:rPr>
          <w:rFonts w:hint="eastAsia" w:ascii="宋体" w:hAnsi="宋体"/>
          <w:b/>
          <w:color w:val="000000"/>
          <w:spacing w:val="-2"/>
          <w:lang w:val="en-US" w:eastAsia="zh-CN"/>
        </w:rPr>
        <w:t>招标文件第三章填报</w:t>
      </w:r>
      <w:r>
        <w:rPr>
          <w:rFonts w:hint="eastAsia" w:ascii="宋体" w:hAnsi="宋体"/>
          <w:b/>
          <w:color w:val="000000"/>
          <w:spacing w:val="-2"/>
        </w:rPr>
        <w:t>《分项价格表》。</w:t>
      </w:r>
    </w:p>
    <w:p>
      <w:pPr>
        <w:adjustRightInd w:val="0"/>
        <w:snapToGrid w:val="0"/>
        <w:spacing w:line="360" w:lineRule="auto"/>
        <w:ind w:firstLine="416" w:firstLineChars="200"/>
        <w:rPr>
          <w:rFonts w:ascii="宋体" w:hAnsi="宋体"/>
          <w:b/>
          <w:color w:val="000000"/>
          <w:spacing w:val="-2"/>
        </w:rPr>
      </w:pPr>
      <w:r>
        <w:rPr>
          <w:rFonts w:hint="eastAsia" w:ascii="宋体" w:hAnsi="宋体"/>
          <w:b/>
          <w:color w:val="000000"/>
          <w:spacing w:val="-2"/>
          <w:lang w:val="en-US" w:eastAsia="zh-CN"/>
        </w:rPr>
        <w:t>2</w:t>
      </w:r>
      <w:r>
        <w:rPr>
          <w:rFonts w:hint="eastAsia" w:ascii="宋体" w:hAnsi="宋体"/>
          <w:b/>
          <w:color w:val="000000"/>
          <w:spacing w:val="-2"/>
        </w:rPr>
        <w:t>、投标单价应一次性报定，应包括：外购件、外协件、配套件、检验、油漆、包装、保险、利税、</w:t>
      </w:r>
    </w:p>
    <w:p>
      <w:pPr>
        <w:adjustRightInd w:val="0"/>
        <w:snapToGrid w:val="0"/>
        <w:spacing w:line="360" w:lineRule="auto"/>
        <w:ind w:firstLine="416" w:firstLineChars="200"/>
        <w:rPr>
          <w:rFonts w:ascii="宋体" w:hAnsi="宋体"/>
          <w:sz w:val="24"/>
          <w:szCs w:val="21"/>
        </w:rPr>
      </w:pPr>
      <w:r>
        <w:rPr>
          <w:rFonts w:hint="eastAsia" w:ascii="宋体" w:hAnsi="宋体"/>
          <w:b/>
          <w:color w:val="000000"/>
          <w:spacing w:val="-2"/>
        </w:rPr>
        <w:t>管理、运输、安装调试、报验及招标文件所要求的其它服务事项等全部费用。</w:t>
      </w:r>
    </w:p>
    <w:p>
      <w:pPr>
        <w:adjustRightInd w:val="0"/>
        <w:snapToGrid w:val="0"/>
        <w:spacing w:line="360" w:lineRule="auto"/>
        <w:ind w:firstLine="484" w:firstLineChars="200"/>
        <w:rPr>
          <w:rFonts w:ascii="宋体" w:hAnsi="宋体"/>
          <w:sz w:val="24"/>
          <w:szCs w:val="21"/>
        </w:rPr>
      </w:pPr>
    </w:p>
    <w:p>
      <w:pPr>
        <w:adjustRightInd w:val="0"/>
        <w:snapToGrid w:val="0"/>
        <w:spacing w:line="360" w:lineRule="auto"/>
        <w:ind w:firstLine="484" w:firstLineChars="200"/>
        <w:rPr>
          <w:rFonts w:ascii="宋体" w:hAnsi="宋体"/>
          <w:sz w:val="24"/>
          <w:szCs w:val="21"/>
        </w:rPr>
      </w:pPr>
    </w:p>
    <w:p>
      <w:pPr>
        <w:adjustRightInd w:val="0"/>
        <w:snapToGrid w:val="0"/>
        <w:spacing w:line="360" w:lineRule="auto"/>
        <w:ind w:firstLine="484" w:firstLineChars="200"/>
        <w:rPr>
          <w:rFonts w:ascii="宋体" w:hAnsi="宋体"/>
          <w:sz w:val="24"/>
          <w:szCs w:val="21"/>
        </w:rPr>
      </w:pPr>
    </w:p>
    <w:p>
      <w:pPr>
        <w:adjustRightInd w:val="0"/>
        <w:snapToGrid w:val="0"/>
        <w:spacing w:line="360" w:lineRule="auto"/>
        <w:ind w:firstLine="484" w:firstLineChars="200"/>
        <w:rPr>
          <w:rFonts w:ascii="宋体" w:hAnsi="宋体"/>
          <w:sz w:val="24"/>
          <w:szCs w:val="21"/>
        </w:rPr>
      </w:pPr>
      <w:r>
        <w:rPr>
          <w:rFonts w:hint="eastAsia" w:ascii="宋体" w:hAnsi="宋体"/>
          <w:sz w:val="24"/>
          <w:szCs w:val="21"/>
        </w:rPr>
        <w:t>投标人（盖单位章）：</w:t>
      </w:r>
    </w:p>
    <w:p>
      <w:pPr>
        <w:adjustRightInd w:val="0"/>
        <w:snapToGrid w:val="0"/>
        <w:spacing w:line="360" w:lineRule="auto"/>
        <w:ind w:left="483" w:leftChars="228" w:firstLine="9438" w:firstLineChars="3900"/>
        <w:rPr>
          <w:rFonts w:ascii="宋体" w:hAnsi="宋体"/>
          <w:sz w:val="24"/>
          <w:szCs w:val="21"/>
        </w:rPr>
      </w:pPr>
      <w:r>
        <w:rPr>
          <w:rFonts w:hint="eastAsia" w:ascii="宋体" w:hAnsi="宋体"/>
          <w:sz w:val="24"/>
          <w:szCs w:val="21"/>
        </w:rPr>
        <w:t xml:space="preserve"> 法定代表人或其委托代理人签字：</w:t>
      </w:r>
    </w:p>
    <w:p>
      <w:pPr>
        <w:adjustRightInd w:val="0"/>
        <w:snapToGrid w:val="0"/>
        <w:spacing w:line="360" w:lineRule="auto"/>
        <w:ind w:left="483" w:leftChars="228" w:right="24" w:firstLine="9438" w:firstLineChars="3900"/>
        <w:rPr>
          <w:rFonts w:ascii="宋体" w:hAnsi="宋体"/>
          <w:bCs/>
          <w:sz w:val="36"/>
          <w:szCs w:val="28"/>
        </w:rPr>
      </w:pPr>
      <w:r>
        <w:rPr>
          <w:rFonts w:hint="eastAsia" w:ascii="宋体" w:hAnsi="宋体"/>
          <w:sz w:val="24"/>
          <w:szCs w:val="21"/>
        </w:rPr>
        <w:t xml:space="preserve">  日期：年月日</w:t>
      </w:r>
    </w:p>
    <w:p>
      <w:pPr>
        <w:pStyle w:val="2"/>
      </w:pPr>
    </w:p>
    <w:p>
      <w:pPr>
        <w:pStyle w:val="2"/>
      </w:pPr>
      <w:r>
        <w:br w:type="page"/>
      </w:r>
    </w:p>
    <w:p>
      <w:pPr>
        <w:pStyle w:val="87"/>
        <w:spacing w:line="500" w:lineRule="exact"/>
        <w:jc w:val="center"/>
        <w:rPr>
          <w:rFonts w:ascii="宋体" w:hAnsi="宋体"/>
          <w:b/>
          <w:color w:val="auto"/>
        </w:rPr>
      </w:pPr>
      <w:r>
        <w:rPr>
          <w:rFonts w:hint="eastAsia" w:ascii="宋体" w:hAnsi="宋体"/>
          <w:b/>
          <w:color w:val="auto"/>
        </w:rPr>
        <w:t>四、商务条款偏离表</w:t>
      </w:r>
    </w:p>
    <w:p>
      <w:pPr>
        <w:pStyle w:val="87"/>
        <w:spacing w:line="500" w:lineRule="exact"/>
        <w:jc w:val="center"/>
        <w:rPr>
          <w:rFonts w:ascii="宋体" w:hAnsi="宋体"/>
          <w:color w:val="auto"/>
        </w:rPr>
      </w:pPr>
    </w:p>
    <w:p>
      <w:pPr>
        <w:pStyle w:val="23"/>
        <w:ind w:firstLine="484" w:firstLineChars="200"/>
        <w:rPr>
          <w:rFonts w:ascii="Times New Roman" w:hAnsi="Times New Roman"/>
        </w:rPr>
      </w:pPr>
      <w:r>
        <w:rPr>
          <w:rFonts w:hint="eastAsia" w:ascii="Times New Roman" w:hAnsi="Times New Roman"/>
          <w:sz w:val="24"/>
          <w:szCs w:val="24"/>
        </w:rPr>
        <w:t>项目名称：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hint="eastAsia" w:ascii="Times New Roman" w:hAnsi="Times New Roman"/>
          <w:sz w:val="24"/>
          <w:szCs w:val="24"/>
        </w:rPr>
        <w:t>项目编号：　</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2067"/>
        <w:gridCol w:w="2067"/>
        <w:gridCol w:w="2067"/>
        <w:gridCol w:w="908"/>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13" w:type="pct"/>
            <w:vAlign w:val="center"/>
          </w:tcPr>
          <w:p>
            <w:pPr>
              <w:pStyle w:val="23"/>
              <w:jc w:val="center"/>
              <w:rPr>
                <w:rFonts w:ascii="Times New Roman" w:hAnsi="Times New Roman"/>
                <w:sz w:val="24"/>
                <w:szCs w:val="24"/>
              </w:rPr>
            </w:pPr>
            <w:r>
              <w:rPr>
                <w:rFonts w:hint="eastAsia" w:ascii="Times New Roman" w:hAnsi="Times New Roman"/>
                <w:sz w:val="24"/>
                <w:szCs w:val="24"/>
              </w:rPr>
              <w:t>序号</w:t>
            </w:r>
          </w:p>
        </w:tc>
        <w:tc>
          <w:tcPr>
            <w:tcW w:w="1080" w:type="pct"/>
            <w:vAlign w:val="center"/>
          </w:tcPr>
          <w:p>
            <w:pPr>
              <w:pStyle w:val="23"/>
              <w:jc w:val="center"/>
              <w:rPr>
                <w:rFonts w:ascii="Times New Roman" w:hAnsi="Times New Roman"/>
                <w:sz w:val="24"/>
                <w:szCs w:val="24"/>
              </w:rPr>
            </w:pPr>
            <w:r>
              <w:rPr>
                <w:rFonts w:hint="eastAsia" w:ascii="Times New Roman" w:hAnsi="Times New Roman"/>
                <w:sz w:val="24"/>
                <w:szCs w:val="24"/>
              </w:rPr>
              <w:t>招标文件条目号</w:t>
            </w:r>
          </w:p>
        </w:tc>
        <w:tc>
          <w:tcPr>
            <w:tcW w:w="1080" w:type="pct"/>
            <w:vAlign w:val="center"/>
          </w:tcPr>
          <w:p>
            <w:pPr>
              <w:pStyle w:val="23"/>
              <w:jc w:val="center"/>
              <w:rPr>
                <w:rFonts w:ascii="Times New Roman" w:hAnsi="Times New Roman"/>
                <w:sz w:val="24"/>
                <w:szCs w:val="24"/>
              </w:rPr>
            </w:pPr>
            <w:r>
              <w:rPr>
                <w:rFonts w:hint="eastAsia" w:ascii="Times New Roman" w:hAnsi="Times New Roman"/>
                <w:sz w:val="24"/>
                <w:szCs w:val="24"/>
              </w:rPr>
              <w:t>招标文件的商务条款</w:t>
            </w:r>
          </w:p>
        </w:tc>
        <w:tc>
          <w:tcPr>
            <w:tcW w:w="1080" w:type="pct"/>
            <w:vAlign w:val="center"/>
          </w:tcPr>
          <w:p>
            <w:pPr>
              <w:pStyle w:val="23"/>
              <w:jc w:val="center"/>
              <w:rPr>
                <w:rFonts w:ascii="Times New Roman" w:hAnsi="Times New Roman"/>
                <w:sz w:val="24"/>
                <w:szCs w:val="24"/>
              </w:rPr>
            </w:pPr>
            <w:r>
              <w:rPr>
                <w:rFonts w:hint="eastAsia" w:ascii="Times New Roman" w:hAnsi="Times New Roman"/>
                <w:sz w:val="24"/>
                <w:szCs w:val="24"/>
              </w:rPr>
              <w:t>投标文件的商务条款</w:t>
            </w:r>
          </w:p>
        </w:tc>
        <w:tc>
          <w:tcPr>
            <w:tcW w:w="474" w:type="pct"/>
            <w:vAlign w:val="center"/>
          </w:tcPr>
          <w:p>
            <w:pPr>
              <w:pStyle w:val="23"/>
              <w:jc w:val="center"/>
              <w:rPr>
                <w:rFonts w:ascii="Times New Roman" w:hAnsi="Times New Roman"/>
                <w:sz w:val="24"/>
                <w:szCs w:val="24"/>
              </w:rPr>
            </w:pPr>
            <w:r>
              <w:rPr>
                <w:rFonts w:hint="eastAsia" w:ascii="Times New Roman" w:hAnsi="Times New Roman"/>
                <w:sz w:val="24"/>
                <w:szCs w:val="24"/>
              </w:rPr>
              <w:t>偏离</w:t>
            </w:r>
          </w:p>
        </w:tc>
        <w:tc>
          <w:tcPr>
            <w:tcW w:w="474" w:type="pct"/>
            <w:vAlign w:val="center"/>
          </w:tcPr>
          <w:p>
            <w:pPr>
              <w:pStyle w:val="23"/>
              <w:jc w:val="center"/>
              <w:rPr>
                <w:rFonts w:ascii="Times New Roman" w:hAnsi="Times New Roman" w:eastAsia="MingLiU_HKSCS"/>
                <w:sz w:val="24"/>
                <w:szCs w:val="24"/>
              </w:rPr>
            </w:pPr>
            <w:r>
              <w:rPr>
                <w:rFonts w:hint="eastAsia" w:ascii="Times New Roman" w:hAnsi="Times New Roman"/>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1" w:hRule="atLeast"/>
          <w:jc w:val="center"/>
        </w:trPr>
        <w:tc>
          <w:tcPr>
            <w:tcW w:w="813" w:type="pct"/>
            <w:vAlign w:val="center"/>
          </w:tcPr>
          <w:p>
            <w:pPr>
              <w:pStyle w:val="23"/>
              <w:jc w:val="center"/>
              <w:rPr>
                <w:rFonts w:ascii="Times New Roman" w:hAnsi="Times New Roman"/>
                <w:sz w:val="24"/>
                <w:szCs w:val="24"/>
              </w:rPr>
            </w:pPr>
          </w:p>
        </w:tc>
        <w:tc>
          <w:tcPr>
            <w:tcW w:w="1080" w:type="pct"/>
            <w:vAlign w:val="center"/>
          </w:tcPr>
          <w:p>
            <w:pPr>
              <w:pStyle w:val="23"/>
              <w:jc w:val="center"/>
              <w:rPr>
                <w:rFonts w:ascii="Times New Roman" w:hAnsi="Times New Roman"/>
                <w:sz w:val="24"/>
                <w:szCs w:val="24"/>
              </w:rPr>
            </w:pPr>
          </w:p>
        </w:tc>
        <w:tc>
          <w:tcPr>
            <w:tcW w:w="1080" w:type="pct"/>
            <w:vAlign w:val="center"/>
          </w:tcPr>
          <w:p>
            <w:pPr>
              <w:pStyle w:val="23"/>
              <w:jc w:val="center"/>
              <w:rPr>
                <w:rFonts w:ascii="Times New Roman" w:hAnsi="Times New Roman"/>
                <w:sz w:val="24"/>
                <w:szCs w:val="24"/>
              </w:rPr>
            </w:pPr>
          </w:p>
        </w:tc>
        <w:tc>
          <w:tcPr>
            <w:tcW w:w="1080" w:type="pct"/>
            <w:vAlign w:val="center"/>
          </w:tcPr>
          <w:p>
            <w:pPr>
              <w:pStyle w:val="23"/>
              <w:jc w:val="center"/>
              <w:rPr>
                <w:rFonts w:ascii="Times New Roman" w:hAnsi="Times New Roman"/>
                <w:sz w:val="24"/>
                <w:szCs w:val="24"/>
              </w:rPr>
            </w:pPr>
          </w:p>
        </w:tc>
        <w:tc>
          <w:tcPr>
            <w:tcW w:w="474" w:type="pct"/>
            <w:vAlign w:val="center"/>
          </w:tcPr>
          <w:p>
            <w:pPr>
              <w:pStyle w:val="23"/>
              <w:jc w:val="center"/>
              <w:rPr>
                <w:rFonts w:ascii="Times New Roman" w:hAnsi="Times New Roman"/>
                <w:sz w:val="24"/>
                <w:szCs w:val="24"/>
              </w:rPr>
            </w:pPr>
          </w:p>
        </w:tc>
        <w:tc>
          <w:tcPr>
            <w:tcW w:w="474" w:type="pct"/>
            <w:vAlign w:val="center"/>
          </w:tcPr>
          <w:p>
            <w:pPr>
              <w:pStyle w:val="23"/>
              <w:jc w:val="center"/>
              <w:rPr>
                <w:rFonts w:ascii="Times New Roman" w:hAnsi="Times New Roman" w:eastAsia="MingLiU_HKS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1" w:hRule="atLeast"/>
          <w:jc w:val="center"/>
        </w:trPr>
        <w:tc>
          <w:tcPr>
            <w:tcW w:w="813" w:type="pct"/>
            <w:vAlign w:val="center"/>
          </w:tcPr>
          <w:p>
            <w:pPr>
              <w:pStyle w:val="23"/>
              <w:jc w:val="center"/>
              <w:rPr>
                <w:rFonts w:ascii="Times New Roman" w:hAnsi="Times New Roman"/>
                <w:sz w:val="24"/>
                <w:szCs w:val="24"/>
              </w:rPr>
            </w:pPr>
          </w:p>
        </w:tc>
        <w:tc>
          <w:tcPr>
            <w:tcW w:w="1080" w:type="pct"/>
            <w:vAlign w:val="center"/>
          </w:tcPr>
          <w:p>
            <w:pPr>
              <w:pStyle w:val="23"/>
              <w:jc w:val="center"/>
              <w:rPr>
                <w:rFonts w:ascii="Times New Roman" w:hAnsi="Times New Roman"/>
                <w:sz w:val="24"/>
                <w:szCs w:val="24"/>
              </w:rPr>
            </w:pPr>
          </w:p>
        </w:tc>
        <w:tc>
          <w:tcPr>
            <w:tcW w:w="1080" w:type="pct"/>
            <w:vAlign w:val="center"/>
          </w:tcPr>
          <w:p>
            <w:pPr>
              <w:pStyle w:val="23"/>
              <w:jc w:val="center"/>
              <w:rPr>
                <w:rFonts w:ascii="Times New Roman" w:hAnsi="Times New Roman"/>
                <w:sz w:val="24"/>
                <w:szCs w:val="24"/>
              </w:rPr>
            </w:pPr>
          </w:p>
        </w:tc>
        <w:tc>
          <w:tcPr>
            <w:tcW w:w="1080" w:type="pct"/>
            <w:vAlign w:val="center"/>
          </w:tcPr>
          <w:p>
            <w:pPr>
              <w:pStyle w:val="23"/>
              <w:jc w:val="center"/>
              <w:rPr>
                <w:rFonts w:ascii="Times New Roman" w:hAnsi="Times New Roman"/>
                <w:sz w:val="24"/>
                <w:szCs w:val="24"/>
              </w:rPr>
            </w:pPr>
          </w:p>
        </w:tc>
        <w:tc>
          <w:tcPr>
            <w:tcW w:w="474" w:type="pct"/>
            <w:vAlign w:val="center"/>
          </w:tcPr>
          <w:p>
            <w:pPr>
              <w:pStyle w:val="23"/>
              <w:jc w:val="center"/>
              <w:rPr>
                <w:rFonts w:ascii="Times New Roman" w:hAnsi="Times New Roman"/>
                <w:sz w:val="24"/>
                <w:szCs w:val="24"/>
              </w:rPr>
            </w:pPr>
          </w:p>
        </w:tc>
        <w:tc>
          <w:tcPr>
            <w:tcW w:w="474" w:type="pct"/>
            <w:vAlign w:val="center"/>
          </w:tcPr>
          <w:p>
            <w:pPr>
              <w:pStyle w:val="23"/>
              <w:jc w:val="center"/>
              <w:rPr>
                <w:rFonts w:ascii="Times New Roman" w:hAnsi="Times New Roman" w:eastAsia="MingLiU_HKS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1" w:hRule="atLeast"/>
          <w:jc w:val="center"/>
        </w:trPr>
        <w:tc>
          <w:tcPr>
            <w:tcW w:w="813" w:type="pct"/>
            <w:vAlign w:val="center"/>
          </w:tcPr>
          <w:p>
            <w:pPr>
              <w:pStyle w:val="23"/>
              <w:jc w:val="center"/>
              <w:rPr>
                <w:rFonts w:ascii="Times New Roman" w:hAnsi="Times New Roman"/>
                <w:sz w:val="24"/>
                <w:szCs w:val="24"/>
              </w:rPr>
            </w:pPr>
          </w:p>
        </w:tc>
        <w:tc>
          <w:tcPr>
            <w:tcW w:w="1080" w:type="pct"/>
            <w:vAlign w:val="center"/>
          </w:tcPr>
          <w:p>
            <w:pPr>
              <w:pStyle w:val="23"/>
              <w:jc w:val="center"/>
              <w:rPr>
                <w:rFonts w:ascii="Times New Roman" w:hAnsi="Times New Roman"/>
                <w:sz w:val="24"/>
                <w:szCs w:val="24"/>
              </w:rPr>
            </w:pPr>
          </w:p>
        </w:tc>
        <w:tc>
          <w:tcPr>
            <w:tcW w:w="1080" w:type="pct"/>
            <w:vAlign w:val="center"/>
          </w:tcPr>
          <w:p>
            <w:pPr>
              <w:pStyle w:val="23"/>
              <w:jc w:val="center"/>
              <w:rPr>
                <w:rFonts w:ascii="Times New Roman" w:hAnsi="Times New Roman"/>
                <w:sz w:val="24"/>
                <w:szCs w:val="24"/>
              </w:rPr>
            </w:pPr>
          </w:p>
        </w:tc>
        <w:tc>
          <w:tcPr>
            <w:tcW w:w="1080" w:type="pct"/>
            <w:vAlign w:val="center"/>
          </w:tcPr>
          <w:p>
            <w:pPr>
              <w:pStyle w:val="23"/>
              <w:jc w:val="center"/>
              <w:rPr>
                <w:rFonts w:ascii="Times New Roman" w:hAnsi="Times New Roman"/>
                <w:sz w:val="24"/>
                <w:szCs w:val="24"/>
              </w:rPr>
            </w:pPr>
          </w:p>
        </w:tc>
        <w:tc>
          <w:tcPr>
            <w:tcW w:w="474" w:type="pct"/>
            <w:vAlign w:val="center"/>
          </w:tcPr>
          <w:p>
            <w:pPr>
              <w:pStyle w:val="23"/>
              <w:jc w:val="center"/>
              <w:rPr>
                <w:rFonts w:ascii="Times New Roman" w:hAnsi="Times New Roman"/>
                <w:sz w:val="24"/>
                <w:szCs w:val="24"/>
              </w:rPr>
            </w:pPr>
          </w:p>
        </w:tc>
        <w:tc>
          <w:tcPr>
            <w:tcW w:w="474" w:type="pct"/>
            <w:vAlign w:val="center"/>
          </w:tcPr>
          <w:p>
            <w:pPr>
              <w:pStyle w:val="23"/>
              <w:jc w:val="center"/>
              <w:rPr>
                <w:rFonts w:ascii="Times New Roman" w:hAnsi="Times New Roman" w:eastAsia="MingLiU_HKS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813" w:type="pct"/>
            <w:vAlign w:val="center"/>
          </w:tcPr>
          <w:p>
            <w:pPr>
              <w:pStyle w:val="23"/>
              <w:jc w:val="center"/>
              <w:rPr>
                <w:rFonts w:ascii="Times New Roman" w:hAnsi="Times New Roman"/>
                <w:sz w:val="24"/>
                <w:szCs w:val="24"/>
              </w:rPr>
            </w:pPr>
          </w:p>
        </w:tc>
        <w:tc>
          <w:tcPr>
            <w:tcW w:w="1080" w:type="pct"/>
            <w:vAlign w:val="center"/>
          </w:tcPr>
          <w:p>
            <w:pPr>
              <w:pStyle w:val="23"/>
              <w:jc w:val="center"/>
              <w:rPr>
                <w:rFonts w:ascii="Times New Roman" w:hAnsi="Times New Roman"/>
                <w:sz w:val="24"/>
                <w:szCs w:val="24"/>
              </w:rPr>
            </w:pPr>
          </w:p>
        </w:tc>
        <w:tc>
          <w:tcPr>
            <w:tcW w:w="1080" w:type="pct"/>
            <w:vAlign w:val="center"/>
          </w:tcPr>
          <w:p>
            <w:pPr>
              <w:pStyle w:val="23"/>
              <w:jc w:val="center"/>
              <w:rPr>
                <w:rFonts w:ascii="Times New Roman" w:hAnsi="Times New Roman"/>
                <w:sz w:val="24"/>
                <w:szCs w:val="24"/>
              </w:rPr>
            </w:pPr>
          </w:p>
        </w:tc>
        <w:tc>
          <w:tcPr>
            <w:tcW w:w="1080" w:type="pct"/>
            <w:vAlign w:val="center"/>
          </w:tcPr>
          <w:p>
            <w:pPr>
              <w:pStyle w:val="23"/>
              <w:jc w:val="center"/>
              <w:rPr>
                <w:rFonts w:ascii="Times New Roman" w:hAnsi="Times New Roman"/>
                <w:sz w:val="24"/>
                <w:szCs w:val="24"/>
              </w:rPr>
            </w:pPr>
          </w:p>
        </w:tc>
        <w:tc>
          <w:tcPr>
            <w:tcW w:w="474" w:type="pct"/>
            <w:vAlign w:val="center"/>
          </w:tcPr>
          <w:p>
            <w:pPr>
              <w:pStyle w:val="23"/>
              <w:jc w:val="center"/>
              <w:rPr>
                <w:rFonts w:ascii="Times New Roman" w:hAnsi="Times New Roman"/>
                <w:sz w:val="24"/>
                <w:szCs w:val="24"/>
              </w:rPr>
            </w:pPr>
          </w:p>
        </w:tc>
        <w:tc>
          <w:tcPr>
            <w:tcW w:w="474" w:type="pct"/>
            <w:vAlign w:val="center"/>
          </w:tcPr>
          <w:p>
            <w:pPr>
              <w:pStyle w:val="23"/>
              <w:jc w:val="center"/>
              <w:rPr>
                <w:rFonts w:ascii="Times New Roman" w:hAnsi="Times New Roman" w:eastAsia="MingLiU_HKS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813" w:type="pct"/>
            <w:vAlign w:val="center"/>
          </w:tcPr>
          <w:p>
            <w:pPr>
              <w:pStyle w:val="23"/>
              <w:jc w:val="center"/>
              <w:rPr>
                <w:rFonts w:ascii="Times New Roman" w:hAnsi="Times New Roman"/>
                <w:sz w:val="24"/>
                <w:szCs w:val="24"/>
              </w:rPr>
            </w:pPr>
          </w:p>
        </w:tc>
        <w:tc>
          <w:tcPr>
            <w:tcW w:w="1080" w:type="pct"/>
            <w:vAlign w:val="center"/>
          </w:tcPr>
          <w:p>
            <w:pPr>
              <w:pStyle w:val="23"/>
              <w:jc w:val="center"/>
              <w:rPr>
                <w:rFonts w:ascii="Times New Roman" w:hAnsi="Times New Roman"/>
                <w:sz w:val="24"/>
                <w:szCs w:val="24"/>
              </w:rPr>
            </w:pPr>
          </w:p>
        </w:tc>
        <w:tc>
          <w:tcPr>
            <w:tcW w:w="1080" w:type="pct"/>
            <w:vAlign w:val="center"/>
          </w:tcPr>
          <w:p>
            <w:pPr>
              <w:pStyle w:val="23"/>
              <w:jc w:val="center"/>
              <w:rPr>
                <w:rFonts w:ascii="Times New Roman" w:hAnsi="Times New Roman"/>
                <w:sz w:val="24"/>
                <w:szCs w:val="24"/>
              </w:rPr>
            </w:pPr>
          </w:p>
        </w:tc>
        <w:tc>
          <w:tcPr>
            <w:tcW w:w="1080" w:type="pct"/>
            <w:vAlign w:val="center"/>
          </w:tcPr>
          <w:p>
            <w:pPr>
              <w:pStyle w:val="23"/>
              <w:jc w:val="center"/>
              <w:rPr>
                <w:rFonts w:ascii="Times New Roman" w:hAnsi="Times New Roman"/>
                <w:sz w:val="24"/>
                <w:szCs w:val="24"/>
              </w:rPr>
            </w:pPr>
          </w:p>
        </w:tc>
        <w:tc>
          <w:tcPr>
            <w:tcW w:w="474" w:type="pct"/>
            <w:vAlign w:val="center"/>
          </w:tcPr>
          <w:p>
            <w:pPr>
              <w:pStyle w:val="23"/>
              <w:jc w:val="center"/>
              <w:rPr>
                <w:rFonts w:ascii="Times New Roman" w:hAnsi="Times New Roman"/>
                <w:sz w:val="24"/>
                <w:szCs w:val="24"/>
              </w:rPr>
            </w:pPr>
          </w:p>
        </w:tc>
        <w:tc>
          <w:tcPr>
            <w:tcW w:w="474" w:type="pct"/>
            <w:vAlign w:val="center"/>
          </w:tcPr>
          <w:p>
            <w:pPr>
              <w:pStyle w:val="23"/>
              <w:jc w:val="center"/>
              <w:rPr>
                <w:rFonts w:ascii="Times New Roman" w:hAnsi="Times New Roman" w:eastAsia="MingLiU_HKSCS"/>
                <w:sz w:val="24"/>
                <w:szCs w:val="24"/>
              </w:rPr>
            </w:pPr>
          </w:p>
        </w:tc>
      </w:tr>
    </w:tbl>
    <w:p>
      <w:pPr>
        <w:pStyle w:val="87"/>
        <w:spacing w:line="500" w:lineRule="exact"/>
        <w:jc w:val="center"/>
        <w:rPr>
          <w:rFonts w:ascii="宋体" w:hAnsi="宋体"/>
          <w:color w:val="auto"/>
        </w:rPr>
      </w:pPr>
      <w:r>
        <w:rPr>
          <w:rFonts w:hint="eastAsia" w:ascii="宋体" w:hAnsi="宋体"/>
          <w:color w:val="auto"/>
        </w:rPr>
        <w:t xml:space="preserve">说明：此表格只填写存在偏离的条款，未填写条款部分视为完全响应。                                               </w:t>
      </w:r>
    </w:p>
    <w:p>
      <w:pPr>
        <w:pStyle w:val="87"/>
        <w:spacing w:line="500" w:lineRule="exact"/>
        <w:jc w:val="center"/>
        <w:rPr>
          <w:rFonts w:ascii="宋体" w:hAnsi="宋体"/>
          <w:color w:val="auto"/>
        </w:rPr>
      </w:pPr>
    </w:p>
    <w:p>
      <w:pPr>
        <w:pStyle w:val="87"/>
        <w:spacing w:line="500" w:lineRule="exact"/>
        <w:jc w:val="center"/>
        <w:rPr>
          <w:rFonts w:ascii="宋体" w:hAnsi="宋体"/>
          <w:color w:val="auto"/>
        </w:rPr>
      </w:pPr>
    </w:p>
    <w:p>
      <w:pPr>
        <w:pStyle w:val="87"/>
        <w:spacing w:line="500" w:lineRule="exact"/>
        <w:jc w:val="center"/>
        <w:rPr>
          <w:rFonts w:ascii="宋体" w:hAnsi="宋体"/>
          <w:color w:val="auto"/>
        </w:rPr>
      </w:pPr>
    </w:p>
    <w:p>
      <w:pPr>
        <w:pStyle w:val="87"/>
        <w:spacing w:line="500" w:lineRule="exact"/>
        <w:jc w:val="center"/>
        <w:rPr>
          <w:rFonts w:ascii="宋体" w:hAnsi="宋体"/>
          <w:color w:val="auto"/>
        </w:rPr>
      </w:pPr>
    </w:p>
    <w:p>
      <w:pPr>
        <w:adjustRightInd w:val="0"/>
        <w:snapToGrid w:val="0"/>
        <w:spacing w:line="360" w:lineRule="auto"/>
        <w:ind w:firstLine="484" w:firstLineChars="200"/>
        <w:rPr>
          <w:rFonts w:ascii="宋体" w:hAnsi="宋体"/>
          <w:sz w:val="24"/>
          <w:szCs w:val="21"/>
        </w:rPr>
      </w:pPr>
      <w:r>
        <w:rPr>
          <w:rFonts w:hint="eastAsia" w:ascii="宋体" w:hAnsi="宋体"/>
          <w:sz w:val="24"/>
          <w:szCs w:val="21"/>
        </w:rPr>
        <w:t>投标人（盖单位章）：</w:t>
      </w:r>
    </w:p>
    <w:p>
      <w:pPr>
        <w:adjustRightInd w:val="0"/>
        <w:snapToGrid w:val="0"/>
        <w:spacing w:line="360" w:lineRule="auto"/>
        <w:ind w:left="483" w:leftChars="228" w:firstLine="9438" w:firstLineChars="3900"/>
        <w:rPr>
          <w:rFonts w:ascii="宋体" w:hAnsi="宋体"/>
          <w:sz w:val="24"/>
          <w:szCs w:val="21"/>
        </w:rPr>
      </w:pPr>
      <w:r>
        <w:rPr>
          <w:rFonts w:hint="eastAsia" w:ascii="宋体" w:hAnsi="宋体"/>
          <w:sz w:val="24"/>
          <w:szCs w:val="21"/>
        </w:rPr>
        <w:t xml:space="preserve"> 法定代表人或其委托代理人签字：</w:t>
      </w:r>
    </w:p>
    <w:p>
      <w:pPr>
        <w:adjustRightInd w:val="0"/>
        <w:snapToGrid w:val="0"/>
        <w:spacing w:line="360" w:lineRule="auto"/>
        <w:ind w:left="483" w:leftChars="228" w:right="24" w:firstLine="9438" w:firstLineChars="3900"/>
        <w:rPr>
          <w:rFonts w:ascii="宋体" w:hAnsi="宋体"/>
          <w:sz w:val="24"/>
          <w:szCs w:val="21"/>
        </w:rPr>
      </w:pPr>
      <w:r>
        <w:rPr>
          <w:rFonts w:hint="eastAsia" w:ascii="宋体" w:hAnsi="宋体"/>
          <w:sz w:val="24"/>
          <w:szCs w:val="21"/>
        </w:rPr>
        <w:t xml:space="preserve">  日期：年月日</w:t>
      </w:r>
    </w:p>
    <w:p>
      <w:pPr>
        <w:adjustRightInd w:val="0"/>
        <w:snapToGrid w:val="0"/>
        <w:spacing w:line="360" w:lineRule="auto"/>
        <w:ind w:left="483" w:leftChars="228" w:right="24" w:firstLine="9438" w:firstLineChars="3900"/>
        <w:rPr>
          <w:rFonts w:ascii="宋体" w:hAnsi="宋体"/>
          <w:sz w:val="24"/>
          <w:szCs w:val="21"/>
        </w:rPr>
      </w:pPr>
    </w:p>
    <w:p>
      <w:pPr>
        <w:adjustRightInd w:val="0"/>
        <w:snapToGrid w:val="0"/>
        <w:spacing w:line="360" w:lineRule="auto"/>
        <w:ind w:left="483" w:leftChars="228" w:right="24" w:firstLine="9438" w:firstLineChars="3900"/>
        <w:rPr>
          <w:rFonts w:ascii="宋体" w:hAnsi="宋体"/>
          <w:sz w:val="24"/>
          <w:szCs w:val="21"/>
        </w:rPr>
      </w:pPr>
    </w:p>
    <w:p>
      <w:pPr>
        <w:adjustRightInd w:val="0"/>
        <w:snapToGrid w:val="0"/>
        <w:spacing w:line="360" w:lineRule="auto"/>
        <w:ind w:left="483" w:leftChars="228" w:right="24" w:firstLine="9438" w:firstLineChars="3900"/>
        <w:rPr>
          <w:rFonts w:ascii="宋体" w:hAnsi="宋体"/>
          <w:sz w:val="24"/>
          <w:szCs w:val="21"/>
        </w:rPr>
      </w:pPr>
    </w:p>
    <w:p>
      <w:pPr>
        <w:adjustRightInd w:val="0"/>
        <w:snapToGrid w:val="0"/>
        <w:spacing w:line="360" w:lineRule="auto"/>
        <w:ind w:left="483" w:leftChars="228" w:right="24" w:firstLine="9438" w:firstLineChars="3900"/>
        <w:rPr>
          <w:rFonts w:ascii="宋体" w:hAnsi="宋体"/>
          <w:sz w:val="24"/>
          <w:szCs w:val="21"/>
        </w:rPr>
      </w:pPr>
    </w:p>
    <w:p>
      <w:pPr>
        <w:adjustRightInd w:val="0"/>
        <w:snapToGrid w:val="0"/>
        <w:spacing w:line="360" w:lineRule="auto"/>
        <w:ind w:left="483" w:leftChars="228" w:right="24" w:firstLine="9438" w:firstLineChars="3900"/>
        <w:rPr>
          <w:rFonts w:ascii="宋体" w:hAnsi="宋体"/>
          <w:sz w:val="24"/>
          <w:szCs w:val="21"/>
        </w:rPr>
      </w:pPr>
    </w:p>
    <w:p>
      <w:pPr>
        <w:pStyle w:val="23"/>
        <w:jc w:val="center"/>
        <w:rPr>
          <w:rFonts w:ascii="Times New Roman" w:hAnsi="Times New Roman"/>
          <w:b/>
          <w:bCs/>
          <w:sz w:val="24"/>
          <w:szCs w:val="24"/>
        </w:rPr>
      </w:pPr>
      <w:r>
        <w:rPr>
          <w:rFonts w:hint="eastAsia" w:ascii="Times New Roman" w:hAnsi="Times New Roman"/>
          <w:b/>
          <w:bCs/>
          <w:sz w:val="24"/>
          <w:szCs w:val="24"/>
        </w:rPr>
        <w:t>五、投标保证金</w:t>
      </w:r>
    </w:p>
    <w:p>
      <w:pPr>
        <w:pStyle w:val="23"/>
        <w:rPr>
          <w:rFonts w:ascii="Times New Roman" w:hAnsi="Times New Roman"/>
          <w:b/>
          <w:bCs/>
          <w:sz w:val="24"/>
          <w:szCs w:val="24"/>
        </w:rPr>
      </w:pPr>
    </w:p>
    <w:p>
      <w:pPr>
        <w:tabs>
          <w:tab w:val="left" w:pos="814"/>
        </w:tabs>
        <w:jc w:val="center"/>
        <w:rPr>
          <w:b/>
          <w:sz w:val="24"/>
          <w:szCs w:val="24"/>
        </w:rPr>
      </w:pPr>
      <w:r>
        <w:rPr>
          <w:rFonts w:hint="eastAsia"/>
          <w:b/>
          <w:sz w:val="24"/>
          <w:szCs w:val="24"/>
        </w:rPr>
        <w:t>保证金汇款声明函</w:t>
      </w:r>
      <w:r>
        <w:rPr>
          <w:b/>
          <w:sz w:val="24"/>
          <w:szCs w:val="24"/>
        </w:rPr>
        <w:t>(</w:t>
      </w:r>
      <w:r>
        <w:rPr>
          <w:rFonts w:hint="eastAsia"/>
          <w:b/>
          <w:sz w:val="24"/>
          <w:szCs w:val="24"/>
        </w:rPr>
        <w:t>适用银行转账</w:t>
      </w:r>
      <w:r>
        <w:rPr>
          <w:b/>
          <w:sz w:val="24"/>
          <w:szCs w:val="24"/>
        </w:rPr>
        <w:t>)</w:t>
      </w:r>
    </w:p>
    <w:p>
      <w:pPr>
        <w:pStyle w:val="23"/>
        <w:spacing w:line="500" w:lineRule="exact"/>
        <w:rPr>
          <w:rFonts w:ascii="Times New Roman" w:hAnsi="Times New Roman" w:eastAsia="MingLiU_HKSCS"/>
          <w:sz w:val="24"/>
          <w:szCs w:val="24"/>
        </w:rPr>
      </w:pPr>
      <w:r>
        <w:rPr>
          <w:rFonts w:hint="eastAsia" w:ascii="Times New Roman" w:hAnsi="Times New Roman"/>
          <w:sz w:val="24"/>
          <w:szCs w:val="24"/>
        </w:rPr>
        <w:t>致：</w:t>
      </w:r>
      <w:r>
        <w:rPr>
          <w:rFonts w:ascii="Times New Roman" w:hAnsi="Times New Roman"/>
          <w:sz w:val="24"/>
          <w:szCs w:val="24"/>
        </w:rPr>
        <w:t>____________(</w:t>
      </w:r>
      <w:r>
        <w:rPr>
          <w:rFonts w:hint="eastAsia" w:ascii="Times New Roman" w:hAnsi="Times New Roman"/>
          <w:sz w:val="24"/>
          <w:szCs w:val="24"/>
        </w:rPr>
        <w:t>采购人或采购代理机构</w:t>
      </w:r>
      <w:r>
        <w:rPr>
          <w:rFonts w:ascii="Times New Roman" w:hAnsi="Times New Roman"/>
          <w:sz w:val="24"/>
          <w:szCs w:val="24"/>
        </w:rPr>
        <w:t>)</w:t>
      </w:r>
    </w:p>
    <w:p>
      <w:pPr>
        <w:pStyle w:val="23"/>
        <w:spacing w:line="500" w:lineRule="exact"/>
        <w:ind w:firstLine="484" w:firstLineChars="200"/>
        <w:rPr>
          <w:rFonts w:ascii="Times New Roman" w:hAnsi="Times New Roman" w:eastAsia="MingLiU_HKSCS"/>
          <w:sz w:val="24"/>
          <w:szCs w:val="24"/>
        </w:rPr>
      </w:pPr>
      <w:r>
        <w:rPr>
          <w:rFonts w:hint="eastAsia" w:ascii="Times New Roman" w:hAnsi="Times New Roman"/>
          <w:sz w:val="24"/>
          <w:szCs w:val="24"/>
        </w:rPr>
        <w:t>我方为</w:t>
      </w:r>
      <w:r>
        <w:rPr>
          <w:rFonts w:ascii="Times New Roman" w:hAnsi="Times New Roman"/>
          <w:sz w:val="24"/>
          <w:szCs w:val="24"/>
        </w:rPr>
        <w:t>____________(</w:t>
      </w:r>
      <w:r>
        <w:rPr>
          <w:rFonts w:hint="eastAsia" w:ascii="Times New Roman" w:hAnsi="Times New Roman"/>
          <w:sz w:val="24"/>
          <w:szCs w:val="24"/>
        </w:rPr>
        <w:t>项目名称</w:t>
      </w:r>
      <w:r>
        <w:rPr>
          <w:rFonts w:ascii="Times New Roman" w:hAnsi="Times New Roman"/>
          <w:sz w:val="24"/>
          <w:szCs w:val="24"/>
        </w:rPr>
        <w:t>)(</w:t>
      </w:r>
      <w:r>
        <w:rPr>
          <w:rFonts w:hint="eastAsia" w:ascii="Times New Roman" w:hAnsi="Times New Roman"/>
          <w:sz w:val="24"/>
          <w:szCs w:val="24"/>
        </w:rPr>
        <w:t>项目编号：</w:t>
      </w:r>
      <w:r>
        <w:rPr>
          <w:rFonts w:ascii="Times New Roman" w:hAnsi="Times New Roman"/>
          <w:sz w:val="24"/>
          <w:szCs w:val="24"/>
        </w:rPr>
        <w:t>________)</w:t>
      </w:r>
      <w:r>
        <w:rPr>
          <w:rFonts w:hint="eastAsia" w:ascii="Times New Roman" w:hAnsi="Times New Roman"/>
          <w:sz w:val="24"/>
          <w:szCs w:val="24"/>
        </w:rPr>
        <w:t>递交保证金人民币</w:t>
      </w:r>
      <w:r>
        <w:rPr>
          <w:rFonts w:ascii="Times New Roman" w:hAnsi="Times New Roman"/>
          <w:sz w:val="24"/>
          <w:szCs w:val="24"/>
        </w:rPr>
        <w:t>________</w:t>
      </w:r>
      <w:r>
        <w:rPr>
          <w:rFonts w:hint="eastAsia" w:ascii="Times New Roman" w:hAnsi="Times New Roman"/>
          <w:sz w:val="24"/>
          <w:szCs w:val="24"/>
        </w:rPr>
        <w:t>元</w:t>
      </w:r>
      <w:r>
        <w:rPr>
          <w:rFonts w:ascii="Times New Roman" w:hAnsi="Times New Roman"/>
          <w:sz w:val="24"/>
          <w:szCs w:val="24"/>
        </w:rPr>
        <w:t>(</w:t>
      </w:r>
      <w:r>
        <w:rPr>
          <w:rFonts w:hint="eastAsia" w:ascii="Times New Roman" w:hAnsi="Times New Roman"/>
          <w:sz w:val="24"/>
          <w:szCs w:val="24"/>
        </w:rPr>
        <w:t>大写</w:t>
      </w:r>
      <w:r>
        <w:rPr>
          <w:rFonts w:ascii="Times New Roman" w:hAnsi="Times New Roman"/>
          <w:sz w:val="24"/>
          <w:szCs w:val="24"/>
        </w:rPr>
        <w:t>(</w:t>
      </w:r>
      <w:r>
        <w:rPr>
          <w:rFonts w:hint="eastAsia" w:ascii="Times New Roman" w:hAnsi="Times New Roman"/>
          <w:sz w:val="24"/>
          <w:szCs w:val="24"/>
        </w:rPr>
        <w:t>人民币　　元</w:t>
      </w:r>
      <w:r>
        <w:rPr>
          <w:rFonts w:ascii="Times New Roman" w:hAnsi="Times New Roman"/>
          <w:sz w:val="24"/>
          <w:szCs w:val="24"/>
        </w:rPr>
        <w:t>)</w:t>
      </w:r>
      <w:r>
        <w:rPr>
          <w:rFonts w:hint="eastAsia" w:ascii="Times New Roman" w:hAnsi="Times New Roman"/>
          <w:sz w:val="24"/>
          <w:szCs w:val="24"/>
        </w:rPr>
        <w:t>已于</w:t>
      </w:r>
      <w:r>
        <w:rPr>
          <w:rFonts w:ascii="Times New Roman" w:hAnsi="Times New Roman"/>
          <w:sz w:val="24"/>
          <w:szCs w:val="24"/>
        </w:rPr>
        <w:t>______</w:t>
      </w:r>
      <w:r>
        <w:rPr>
          <w:rFonts w:hint="eastAsia" w:ascii="Times New Roman" w:hAnsi="Times New Roman"/>
          <w:sz w:val="24"/>
          <w:szCs w:val="24"/>
        </w:rPr>
        <w:t>年</w:t>
      </w:r>
      <w:r>
        <w:rPr>
          <w:rFonts w:ascii="Times New Roman" w:hAnsi="Times New Roman"/>
          <w:sz w:val="24"/>
          <w:szCs w:val="24"/>
        </w:rPr>
        <w:t>____</w:t>
      </w:r>
      <w:r>
        <w:rPr>
          <w:rFonts w:hint="eastAsia" w:ascii="Times New Roman" w:hAnsi="Times New Roman"/>
          <w:sz w:val="24"/>
          <w:szCs w:val="24"/>
        </w:rPr>
        <w:t>月</w:t>
      </w:r>
      <w:r>
        <w:rPr>
          <w:rFonts w:ascii="Times New Roman" w:hAnsi="Times New Roman"/>
          <w:sz w:val="24"/>
          <w:szCs w:val="24"/>
        </w:rPr>
        <w:t>____</w:t>
      </w:r>
      <w:r>
        <w:rPr>
          <w:rFonts w:hint="eastAsia" w:ascii="Times New Roman" w:hAnsi="Times New Roman"/>
          <w:sz w:val="24"/>
          <w:szCs w:val="24"/>
        </w:rPr>
        <w:t>日以银行主动划账方式划入你方账户。</w:t>
      </w:r>
    </w:p>
    <w:p>
      <w:pPr>
        <w:pStyle w:val="23"/>
        <w:spacing w:line="500" w:lineRule="exact"/>
        <w:ind w:firstLine="484" w:firstLineChars="200"/>
        <w:rPr>
          <w:rFonts w:ascii="Times New Roman" w:hAnsi="Times New Roman" w:eastAsia="MingLiU_HKSCS"/>
          <w:sz w:val="24"/>
          <w:szCs w:val="24"/>
        </w:rPr>
      </w:pPr>
      <w:r>
        <w:rPr>
          <w:rFonts w:hint="eastAsia" w:ascii="Times New Roman" w:hAnsi="Times New Roman"/>
          <w:sz w:val="24"/>
          <w:szCs w:val="24"/>
        </w:rPr>
        <w:t>详见附件：银行出具的汇款单或转账凭证复印件。</w:t>
      </w:r>
    </w:p>
    <w:p>
      <w:pPr>
        <w:pStyle w:val="23"/>
        <w:spacing w:line="500" w:lineRule="exact"/>
        <w:ind w:firstLine="484" w:firstLineChars="200"/>
        <w:rPr>
          <w:rFonts w:ascii="Times New Roman" w:hAnsi="Times New Roman" w:eastAsia="MingLiU_HKSCS"/>
          <w:sz w:val="24"/>
          <w:szCs w:val="24"/>
        </w:rPr>
      </w:pPr>
      <w:r>
        <w:rPr>
          <w:rFonts w:hint="eastAsia" w:ascii="Times New Roman" w:hAnsi="Times New Roman"/>
          <w:sz w:val="24"/>
          <w:szCs w:val="24"/>
        </w:rPr>
        <w:t>退还保证金时请按以下内容划入我方账户。若因内容不全、错误、字迹潦草模糊导致该项目保证金未能及时退还或退还过程中发生错误</w:t>
      </w:r>
      <w:r>
        <w:rPr>
          <w:rFonts w:hint="eastAsia" w:ascii="Times New Roman" w:hAnsi="Times New Roman" w:eastAsia="MingLiU_HKSCS"/>
          <w:sz w:val="24"/>
          <w:szCs w:val="24"/>
        </w:rPr>
        <w:t>，</w:t>
      </w:r>
      <w:r>
        <w:rPr>
          <w:rFonts w:hint="eastAsia" w:ascii="Times New Roman" w:hAnsi="Times New Roman"/>
          <w:sz w:val="24"/>
          <w:szCs w:val="24"/>
        </w:rPr>
        <w:t>我方将承担全部责任和损失。</w:t>
      </w:r>
    </w:p>
    <w:p>
      <w:pPr>
        <w:pStyle w:val="23"/>
        <w:spacing w:line="500" w:lineRule="exact"/>
        <w:ind w:firstLine="484" w:firstLineChars="200"/>
        <w:rPr>
          <w:rFonts w:ascii="Times New Roman" w:hAnsi="Times New Roman" w:eastAsia="MingLiU_HKSCS"/>
          <w:sz w:val="24"/>
          <w:szCs w:val="24"/>
        </w:rPr>
      </w:pPr>
      <w:r>
        <w:rPr>
          <w:rFonts w:hint="eastAsia" w:ascii="Times New Roman" w:hAnsi="Times New Roman"/>
          <w:sz w:val="24"/>
          <w:szCs w:val="24"/>
        </w:rPr>
        <w:t>单位全称：</w:t>
      </w:r>
    </w:p>
    <w:p>
      <w:pPr>
        <w:pStyle w:val="23"/>
        <w:spacing w:line="500" w:lineRule="exact"/>
        <w:ind w:firstLine="484" w:firstLineChars="200"/>
        <w:rPr>
          <w:rFonts w:ascii="Times New Roman" w:hAnsi="Times New Roman" w:eastAsia="MingLiU_HKSCS"/>
          <w:sz w:val="24"/>
          <w:szCs w:val="24"/>
        </w:rPr>
      </w:pPr>
      <w:r>
        <w:rPr>
          <w:rFonts w:hint="eastAsia" w:ascii="Times New Roman" w:hAnsi="Times New Roman"/>
          <w:sz w:val="24"/>
          <w:szCs w:val="24"/>
        </w:rPr>
        <w:t>开户银行：</w:t>
      </w:r>
    </w:p>
    <w:p>
      <w:pPr>
        <w:pStyle w:val="23"/>
        <w:spacing w:line="500" w:lineRule="exact"/>
        <w:ind w:firstLine="484" w:firstLineChars="200"/>
        <w:rPr>
          <w:rFonts w:ascii="Times New Roman" w:hAnsi="Times New Roman"/>
          <w:sz w:val="24"/>
          <w:szCs w:val="24"/>
        </w:rPr>
      </w:pPr>
      <w:r>
        <w:rPr>
          <w:rFonts w:hint="eastAsia" w:ascii="Times New Roman" w:hAnsi="Times New Roman"/>
          <w:sz w:val="24"/>
          <w:szCs w:val="24"/>
        </w:rPr>
        <w:t>开户账号：</w:t>
      </w:r>
    </w:p>
    <w:p>
      <w:pPr>
        <w:pStyle w:val="23"/>
        <w:spacing w:line="500" w:lineRule="exact"/>
        <w:ind w:firstLine="484" w:firstLineChars="200"/>
        <w:rPr>
          <w:rFonts w:ascii="Times New Roman" w:hAnsi="Times New Roman"/>
          <w:sz w:val="24"/>
          <w:szCs w:val="24"/>
        </w:rPr>
      </w:pPr>
    </w:p>
    <w:p>
      <w:pPr>
        <w:pStyle w:val="23"/>
        <w:spacing w:line="500" w:lineRule="exact"/>
        <w:ind w:firstLine="484" w:firstLineChars="200"/>
        <w:rPr>
          <w:rFonts w:ascii="Times New Roman" w:hAnsi="Times New Roman"/>
          <w:sz w:val="24"/>
          <w:szCs w:val="24"/>
        </w:rPr>
      </w:pPr>
    </w:p>
    <w:p>
      <w:pPr>
        <w:pStyle w:val="23"/>
        <w:spacing w:line="500" w:lineRule="exact"/>
        <w:ind w:firstLine="968" w:firstLineChars="400"/>
        <w:rPr>
          <w:rFonts w:ascii="Times New Roman" w:hAnsi="Times New Roman" w:eastAsia="MingLiU_HKSCS"/>
          <w:sz w:val="24"/>
          <w:szCs w:val="24"/>
        </w:rPr>
      </w:pPr>
      <w:r>
        <w:rPr>
          <w:rFonts w:hint="eastAsia" w:ascii="Times New Roman" w:hAnsi="Times New Roman"/>
          <w:sz w:val="24"/>
          <w:szCs w:val="24"/>
        </w:rPr>
        <w:t>投标人</w:t>
      </w:r>
      <w:r>
        <w:rPr>
          <w:rFonts w:ascii="Times New Roman" w:hAnsi="Times New Roman"/>
          <w:sz w:val="24"/>
          <w:szCs w:val="24"/>
        </w:rPr>
        <w:t>(</w:t>
      </w:r>
      <w:r>
        <w:rPr>
          <w:rFonts w:hint="eastAsia" w:ascii="Times New Roman" w:hAnsi="Times New Roman"/>
          <w:sz w:val="24"/>
          <w:szCs w:val="24"/>
        </w:rPr>
        <w:t>公章</w:t>
      </w:r>
      <w:r>
        <w:rPr>
          <w:rFonts w:ascii="Times New Roman" w:hAnsi="Times New Roman"/>
          <w:sz w:val="24"/>
          <w:szCs w:val="24"/>
        </w:rPr>
        <w:t>)</w:t>
      </w:r>
      <w:r>
        <w:rPr>
          <w:rFonts w:hint="eastAsia" w:ascii="Times New Roman" w:hAnsi="Times New Roman"/>
          <w:sz w:val="24"/>
          <w:szCs w:val="24"/>
        </w:rPr>
        <w:t>：　</w:t>
      </w:r>
      <w:r>
        <w:rPr>
          <w:rFonts w:ascii="Times New Roman" w:hAnsi="Times New Roman"/>
          <w:sz w:val="24"/>
          <w:szCs w:val="24"/>
        </w:rPr>
        <w:tab/>
      </w:r>
      <w:r>
        <w:rPr>
          <w:rFonts w:ascii="Times New Roman" w:hAnsi="Times New Roman"/>
          <w:sz w:val="24"/>
          <w:szCs w:val="24"/>
        </w:rPr>
        <w:tab/>
      </w:r>
      <w:r>
        <w:rPr>
          <w:rFonts w:hint="eastAsia" w:ascii="Times New Roman" w:hAnsi="Times New Roman"/>
          <w:sz w:val="24"/>
          <w:szCs w:val="24"/>
        </w:rPr>
        <w:t>　</w:t>
      </w:r>
    </w:p>
    <w:p>
      <w:pPr>
        <w:pStyle w:val="23"/>
        <w:spacing w:line="500" w:lineRule="exact"/>
        <w:ind w:firstLine="968" w:firstLineChars="400"/>
        <w:rPr>
          <w:rFonts w:ascii="Times New Roman" w:hAnsi="Times New Roman" w:eastAsia="MingLiU_HKSCS"/>
          <w:sz w:val="24"/>
          <w:szCs w:val="24"/>
        </w:rPr>
      </w:pPr>
      <w:r>
        <w:rPr>
          <w:rFonts w:hint="eastAsia" w:ascii="Times New Roman" w:hAnsi="Times New Roman"/>
          <w:sz w:val="24"/>
          <w:szCs w:val="24"/>
        </w:rPr>
        <w:t>地址：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hint="eastAsia" w:ascii="Times New Roman" w:hAnsi="Times New Roman"/>
          <w:sz w:val="24"/>
          <w:szCs w:val="24"/>
        </w:rPr>
        <w:t>　</w:t>
      </w:r>
    </w:p>
    <w:p>
      <w:pPr>
        <w:pStyle w:val="23"/>
        <w:spacing w:line="500" w:lineRule="exact"/>
        <w:ind w:firstLine="968" w:firstLineChars="400"/>
        <w:rPr>
          <w:rFonts w:ascii="Times New Roman" w:hAnsi="Times New Roman" w:eastAsia="MingLiU_HKSCS"/>
          <w:sz w:val="24"/>
          <w:szCs w:val="24"/>
        </w:rPr>
      </w:pPr>
      <w:r>
        <w:rPr>
          <w:rFonts w:hint="eastAsia" w:ascii="Times New Roman" w:hAnsi="Times New Roman"/>
          <w:sz w:val="24"/>
          <w:szCs w:val="24"/>
        </w:rPr>
        <w:t>项目联系人：</w:t>
      </w:r>
      <w:r>
        <w:rPr>
          <w:rFonts w:ascii="Times New Roman" w:hAnsi="Times New Roman"/>
          <w:sz w:val="24"/>
          <w:szCs w:val="24"/>
        </w:rPr>
        <w:tab/>
      </w:r>
      <w:r>
        <w:rPr>
          <w:rFonts w:ascii="Times New Roman" w:hAnsi="Times New Roman"/>
          <w:sz w:val="24"/>
          <w:szCs w:val="24"/>
        </w:rPr>
        <w:tab/>
      </w:r>
      <w:r>
        <w:rPr>
          <w:rFonts w:hint="eastAsia" w:ascii="Times New Roman" w:hAnsi="Times New Roman"/>
          <w:sz w:val="24"/>
          <w:szCs w:val="24"/>
        </w:rPr>
        <w:t>　　</w:t>
      </w:r>
    </w:p>
    <w:p>
      <w:pPr>
        <w:pStyle w:val="23"/>
        <w:spacing w:line="500" w:lineRule="exact"/>
        <w:ind w:firstLine="968" w:firstLineChars="400"/>
        <w:rPr>
          <w:rFonts w:ascii="Times New Roman" w:hAnsi="Times New Roman" w:eastAsia="MingLiU_HKSCS"/>
          <w:sz w:val="24"/>
          <w:szCs w:val="24"/>
        </w:rPr>
      </w:pPr>
      <w:r>
        <w:rPr>
          <w:rFonts w:hint="eastAsia" w:ascii="Times New Roman" w:hAnsi="Times New Roman"/>
          <w:sz w:val="24"/>
          <w:szCs w:val="24"/>
        </w:rPr>
        <w:t>联系方式：　　</w:t>
      </w:r>
      <w:r>
        <w:rPr>
          <w:rFonts w:ascii="Times New Roman" w:hAnsi="Times New Roman"/>
          <w:sz w:val="24"/>
          <w:szCs w:val="24"/>
        </w:rPr>
        <w:tab/>
      </w:r>
      <w:r>
        <w:rPr>
          <w:rFonts w:ascii="Times New Roman" w:hAnsi="Times New Roman"/>
          <w:sz w:val="24"/>
          <w:szCs w:val="24"/>
        </w:rPr>
        <w:tab/>
      </w:r>
    </w:p>
    <w:p>
      <w:pPr>
        <w:pStyle w:val="23"/>
        <w:spacing w:line="500" w:lineRule="exact"/>
        <w:ind w:firstLine="484" w:firstLineChars="200"/>
        <w:rPr>
          <w:rFonts w:ascii="Times New Roman" w:hAnsi="Times New Roman" w:eastAsia="MingLiU_HKSCS"/>
          <w:sz w:val="24"/>
          <w:szCs w:val="24"/>
        </w:rPr>
      </w:pPr>
    </w:p>
    <w:tbl>
      <w:tblPr>
        <w:tblStyle w:val="40"/>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1" w:hRule="atLeast"/>
          <w:jc w:val="center"/>
        </w:trPr>
        <w:tc>
          <w:tcPr>
            <w:tcW w:w="5000" w:type="pct"/>
            <w:tcBorders>
              <w:top w:val="single" w:color="auto" w:sz="4" w:space="0"/>
              <w:bottom w:val="single" w:color="auto" w:sz="4" w:space="0"/>
            </w:tcBorders>
            <w:vAlign w:val="center"/>
          </w:tcPr>
          <w:p>
            <w:pPr>
              <w:pStyle w:val="23"/>
              <w:spacing w:line="500" w:lineRule="exact"/>
              <w:jc w:val="center"/>
              <w:rPr>
                <w:rFonts w:ascii="Times New Roman" w:hAnsi="Times New Roman" w:eastAsia="MingLiU_HKSCS"/>
                <w:sz w:val="24"/>
                <w:szCs w:val="24"/>
              </w:rPr>
            </w:pPr>
            <w:r>
              <w:rPr>
                <w:rFonts w:hint="eastAsia" w:ascii="Times New Roman" w:hAnsi="Times New Roman"/>
                <w:sz w:val="24"/>
                <w:szCs w:val="24"/>
              </w:rPr>
              <w:t>汇款单或转账凭证复印件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1" w:hRule="atLeast"/>
          <w:jc w:val="center"/>
        </w:trPr>
        <w:tc>
          <w:tcPr>
            <w:tcW w:w="5000" w:type="pct"/>
            <w:tcBorders>
              <w:top w:val="single" w:color="auto" w:sz="4" w:space="0"/>
              <w:bottom w:val="single" w:color="auto" w:sz="4" w:space="0"/>
            </w:tcBorders>
            <w:vAlign w:val="center"/>
          </w:tcPr>
          <w:p>
            <w:pPr>
              <w:pStyle w:val="23"/>
              <w:spacing w:line="500" w:lineRule="exact"/>
              <w:jc w:val="center"/>
              <w:rPr>
                <w:rFonts w:ascii="Times New Roman" w:hAnsi="Times New Roman"/>
                <w:sz w:val="24"/>
                <w:szCs w:val="24"/>
              </w:rPr>
            </w:pPr>
            <w:r>
              <w:rPr>
                <w:rFonts w:hint="eastAsia" w:ascii="Times New Roman" w:hAnsi="Times New Roman"/>
                <w:sz w:val="24"/>
                <w:szCs w:val="24"/>
              </w:rPr>
              <w:t>开户行许可证复印件</w:t>
            </w:r>
          </w:p>
        </w:tc>
      </w:tr>
    </w:tbl>
    <w:p>
      <w:pPr>
        <w:adjustRightInd w:val="0"/>
        <w:snapToGrid w:val="0"/>
        <w:spacing w:line="360" w:lineRule="auto"/>
        <w:ind w:right="24"/>
        <w:rPr>
          <w:rFonts w:ascii="宋体" w:hAnsi="宋体"/>
          <w:sz w:val="24"/>
          <w:szCs w:val="21"/>
        </w:rPr>
      </w:pPr>
    </w:p>
    <w:p>
      <w:pPr>
        <w:pStyle w:val="87"/>
        <w:spacing w:line="500" w:lineRule="exact"/>
        <w:jc w:val="center"/>
        <w:rPr>
          <w:rFonts w:ascii="宋体" w:hAnsi="宋体"/>
          <w:b/>
          <w:color w:val="auto"/>
        </w:rPr>
      </w:pPr>
    </w:p>
    <w:p>
      <w:pPr>
        <w:pStyle w:val="23"/>
        <w:ind w:firstLine="484" w:firstLineChars="200"/>
        <w:jc w:val="center"/>
        <w:rPr>
          <w:b/>
          <w:sz w:val="24"/>
          <w:szCs w:val="24"/>
        </w:rPr>
      </w:pPr>
    </w:p>
    <w:p>
      <w:pPr>
        <w:pStyle w:val="23"/>
        <w:ind w:firstLine="484" w:firstLineChars="200"/>
        <w:jc w:val="center"/>
        <w:rPr>
          <w:b/>
          <w:sz w:val="24"/>
          <w:szCs w:val="24"/>
        </w:rPr>
      </w:pPr>
      <w:r>
        <w:rPr>
          <w:rFonts w:hint="eastAsia"/>
          <w:b/>
          <w:sz w:val="24"/>
          <w:szCs w:val="24"/>
        </w:rPr>
        <w:t>六、投标人具备投标资格的证明文件</w:t>
      </w:r>
    </w:p>
    <w:p>
      <w:pPr>
        <w:pStyle w:val="23"/>
        <w:ind w:firstLine="484" w:firstLineChars="200"/>
        <w:jc w:val="center"/>
        <w:rPr>
          <w:b/>
          <w:sz w:val="24"/>
          <w:szCs w:val="24"/>
        </w:rPr>
      </w:pPr>
      <w:r>
        <w:rPr>
          <w:rFonts w:hint="eastAsia"/>
          <w:b/>
          <w:sz w:val="24"/>
          <w:szCs w:val="24"/>
        </w:rPr>
        <w:t>（一）供应商基本情况表</w:t>
      </w:r>
    </w:p>
    <w:p>
      <w:pPr>
        <w:pStyle w:val="23"/>
        <w:spacing w:line="440" w:lineRule="exact"/>
        <w:ind w:firstLine="424" w:firstLineChars="200"/>
        <w:rPr>
          <w:rFonts w:asciiTheme="minorEastAsia" w:hAnsiTheme="minorEastAsia" w:eastAsiaTheme="minorEastAsia" w:cstheme="minorEastAsia"/>
          <w:sz w:val="24"/>
          <w:szCs w:val="24"/>
        </w:rPr>
      </w:pPr>
      <w:r>
        <w:rPr>
          <w:rFonts w:hint="eastAsia" w:ascii="Times New Roman" w:hAnsi="Times New Roman"/>
        </w:rPr>
        <w:t>　</w:t>
      </w:r>
      <w:r>
        <w:rPr>
          <w:rFonts w:hint="eastAsia" w:asciiTheme="minorEastAsia" w:hAnsiTheme="minorEastAsia" w:eastAsiaTheme="minorEastAsia" w:cstheme="minorEastAsia"/>
          <w:sz w:val="24"/>
          <w:szCs w:val="24"/>
        </w:rPr>
        <w:t>投标人：(公章)</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9"/>
        <w:gridCol w:w="2211"/>
        <w:gridCol w:w="2393"/>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0" w:hRule="atLeast"/>
          <w:jc w:val="center"/>
        </w:trPr>
        <w:tc>
          <w:tcPr>
            <w:tcW w:w="1708" w:type="pct"/>
            <w:vAlign w:val="center"/>
          </w:tcPr>
          <w:p>
            <w:pPr>
              <w:pStyle w:val="23"/>
              <w:spacing w:line="4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w:t>
            </w:r>
          </w:p>
        </w:tc>
        <w:tc>
          <w:tcPr>
            <w:tcW w:w="1155" w:type="pct"/>
            <w:vAlign w:val="center"/>
          </w:tcPr>
          <w:p>
            <w:pPr>
              <w:pStyle w:val="23"/>
              <w:spacing w:line="440" w:lineRule="exact"/>
              <w:jc w:val="center"/>
              <w:rPr>
                <w:rFonts w:asciiTheme="minorEastAsia" w:hAnsiTheme="minorEastAsia" w:eastAsiaTheme="minorEastAsia" w:cstheme="minorEastAsia"/>
                <w:sz w:val="24"/>
                <w:szCs w:val="24"/>
              </w:rPr>
            </w:pPr>
          </w:p>
        </w:tc>
        <w:tc>
          <w:tcPr>
            <w:tcW w:w="1250" w:type="pct"/>
            <w:vAlign w:val="center"/>
          </w:tcPr>
          <w:p>
            <w:pPr>
              <w:pStyle w:val="23"/>
              <w:spacing w:line="4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p>
        </w:tc>
        <w:tc>
          <w:tcPr>
            <w:tcW w:w="887" w:type="pct"/>
            <w:vAlign w:val="center"/>
          </w:tcPr>
          <w:p>
            <w:pPr>
              <w:pStyle w:val="23"/>
              <w:spacing w:line="440" w:lineRule="exact"/>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08" w:type="pct"/>
            <w:vAlign w:val="center"/>
          </w:tcPr>
          <w:p>
            <w:pPr>
              <w:pStyle w:val="23"/>
              <w:spacing w:line="4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统一社会信用代码</w:t>
            </w:r>
          </w:p>
        </w:tc>
        <w:tc>
          <w:tcPr>
            <w:tcW w:w="1155" w:type="pct"/>
            <w:vAlign w:val="center"/>
          </w:tcPr>
          <w:p>
            <w:pPr>
              <w:pStyle w:val="23"/>
              <w:spacing w:line="440" w:lineRule="exact"/>
              <w:jc w:val="center"/>
              <w:rPr>
                <w:rFonts w:asciiTheme="minorEastAsia" w:hAnsiTheme="minorEastAsia" w:eastAsiaTheme="minorEastAsia" w:cstheme="minorEastAsia"/>
                <w:sz w:val="24"/>
                <w:szCs w:val="24"/>
              </w:rPr>
            </w:pPr>
          </w:p>
        </w:tc>
        <w:tc>
          <w:tcPr>
            <w:tcW w:w="1250" w:type="pct"/>
            <w:vAlign w:val="center"/>
          </w:tcPr>
          <w:p>
            <w:pPr>
              <w:pStyle w:val="23"/>
              <w:spacing w:line="4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tc>
        <w:tc>
          <w:tcPr>
            <w:tcW w:w="887" w:type="pct"/>
            <w:vAlign w:val="center"/>
          </w:tcPr>
          <w:p>
            <w:pPr>
              <w:pStyle w:val="23"/>
              <w:spacing w:line="440" w:lineRule="exact"/>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5" w:hRule="atLeast"/>
          <w:jc w:val="center"/>
        </w:trPr>
        <w:tc>
          <w:tcPr>
            <w:tcW w:w="1708" w:type="pct"/>
            <w:vAlign w:val="center"/>
          </w:tcPr>
          <w:p>
            <w:pPr>
              <w:pStyle w:val="23"/>
              <w:spacing w:line="4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w:t>
            </w:r>
          </w:p>
        </w:tc>
        <w:tc>
          <w:tcPr>
            <w:tcW w:w="1155" w:type="pct"/>
            <w:vAlign w:val="center"/>
          </w:tcPr>
          <w:p>
            <w:pPr>
              <w:pStyle w:val="23"/>
              <w:spacing w:line="440" w:lineRule="exact"/>
              <w:jc w:val="center"/>
              <w:rPr>
                <w:rFonts w:asciiTheme="minorEastAsia" w:hAnsiTheme="minorEastAsia" w:eastAsiaTheme="minorEastAsia" w:cstheme="minorEastAsia"/>
                <w:sz w:val="24"/>
                <w:szCs w:val="24"/>
              </w:rPr>
            </w:pPr>
          </w:p>
        </w:tc>
        <w:tc>
          <w:tcPr>
            <w:tcW w:w="1250" w:type="pct"/>
            <w:vAlign w:val="center"/>
          </w:tcPr>
          <w:p>
            <w:pPr>
              <w:pStyle w:val="23"/>
              <w:spacing w:line="4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c>
          <w:tcPr>
            <w:tcW w:w="887" w:type="pct"/>
            <w:vAlign w:val="center"/>
          </w:tcPr>
          <w:p>
            <w:pPr>
              <w:pStyle w:val="23"/>
              <w:spacing w:line="440" w:lineRule="exact"/>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5" w:hRule="atLeast"/>
          <w:jc w:val="center"/>
        </w:trPr>
        <w:tc>
          <w:tcPr>
            <w:tcW w:w="1708" w:type="pct"/>
            <w:vAlign w:val="center"/>
          </w:tcPr>
          <w:p>
            <w:pPr>
              <w:pStyle w:val="23"/>
              <w:spacing w:line="4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w:t>
            </w:r>
          </w:p>
        </w:tc>
        <w:tc>
          <w:tcPr>
            <w:tcW w:w="1155" w:type="pct"/>
            <w:vAlign w:val="center"/>
          </w:tcPr>
          <w:p>
            <w:pPr>
              <w:pStyle w:val="23"/>
              <w:spacing w:line="440" w:lineRule="exact"/>
              <w:jc w:val="center"/>
              <w:rPr>
                <w:rFonts w:asciiTheme="minorEastAsia" w:hAnsiTheme="minorEastAsia" w:eastAsiaTheme="minorEastAsia" w:cstheme="minorEastAsia"/>
                <w:sz w:val="24"/>
                <w:szCs w:val="24"/>
              </w:rPr>
            </w:pPr>
          </w:p>
        </w:tc>
        <w:tc>
          <w:tcPr>
            <w:tcW w:w="1250" w:type="pct"/>
            <w:vAlign w:val="center"/>
          </w:tcPr>
          <w:p>
            <w:pPr>
              <w:pStyle w:val="23"/>
              <w:spacing w:line="4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传真</w:t>
            </w:r>
          </w:p>
        </w:tc>
        <w:tc>
          <w:tcPr>
            <w:tcW w:w="887" w:type="pct"/>
            <w:vAlign w:val="center"/>
          </w:tcPr>
          <w:p>
            <w:pPr>
              <w:pStyle w:val="23"/>
              <w:spacing w:line="440" w:lineRule="exact"/>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708" w:type="pct"/>
            <w:vAlign w:val="center"/>
          </w:tcPr>
          <w:p>
            <w:pPr>
              <w:pStyle w:val="23"/>
              <w:spacing w:line="4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上年营业收入</w:t>
            </w:r>
          </w:p>
        </w:tc>
        <w:tc>
          <w:tcPr>
            <w:tcW w:w="1155" w:type="pct"/>
            <w:vAlign w:val="center"/>
          </w:tcPr>
          <w:p>
            <w:pPr>
              <w:pStyle w:val="23"/>
              <w:spacing w:line="440" w:lineRule="exact"/>
              <w:jc w:val="center"/>
              <w:rPr>
                <w:rFonts w:asciiTheme="minorEastAsia" w:hAnsiTheme="minorEastAsia" w:eastAsiaTheme="minorEastAsia" w:cstheme="minorEastAsia"/>
                <w:sz w:val="24"/>
                <w:szCs w:val="24"/>
              </w:rPr>
            </w:pPr>
          </w:p>
        </w:tc>
        <w:tc>
          <w:tcPr>
            <w:tcW w:w="1250" w:type="pct"/>
            <w:vAlign w:val="center"/>
          </w:tcPr>
          <w:p>
            <w:pPr>
              <w:pStyle w:val="23"/>
              <w:spacing w:line="4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员工总人数</w:t>
            </w:r>
          </w:p>
        </w:tc>
        <w:tc>
          <w:tcPr>
            <w:tcW w:w="887" w:type="pct"/>
            <w:vAlign w:val="center"/>
          </w:tcPr>
          <w:p>
            <w:pPr>
              <w:pStyle w:val="23"/>
              <w:spacing w:line="440" w:lineRule="exact"/>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708" w:type="pct"/>
            <w:vAlign w:val="center"/>
          </w:tcPr>
          <w:p>
            <w:pPr>
              <w:pStyle w:val="23"/>
              <w:spacing w:line="4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基本账户开户行及账号</w:t>
            </w:r>
          </w:p>
        </w:tc>
        <w:tc>
          <w:tcPr>
            <w:tcW w:w="1155" w:type="pct"/>
            <w:vAlign w:val="center"/>
          </w:tcPr>
          <w:p>
            <w:pPr>
              <w:pStyle w:val="23"/>
              <w:spacing w:line="440" w:lineRule="exact"/>
              <w:jc w:val="center"/>
              <w:rPr>
                <w:rFonts w:asciiTheme="minorEastAsia" w:hAnsiTheme="minorEastAsia" w:eastAsiaTheme="minorEastAsia" w:cstheme="minorEastAsia"/>
                <w:sz w:val="24"/>
                <w:szCs w:val="24"/>
              </w:rPr>
            </w:pPr>
          </w:p>
        </w:tc>
        <w:tc>
          <w:tcPr>
            <w:tcW w:w="1250" w:type="pct"/>
            <w:vAlign w:val="center"/>
          </w:tcPr>
          <w:p>
            <w:pPr>
              <w:pStyle w:val="23"/>
              <w:spacing w:line="440" w:lineRule="exact"/>
              <w:jc w:val="center"/>
              <w:rPr>
                <w:rFonts w:asciiTheme="minorEastAsia" w:hAnsiTheme="minorEastAsia" w:eastAsiaTheme="minorEastAsia" w:cstheme="minorEastAsia"/>
                <w:sz w:val="24"/>
                <w:szCs w:val="24"/>
              </w:rPr>
            </w:pPr>
          </w:p>
        </w:tc>
        <w:tc>
          <w:tcPr>
            <w:tcW w:w="887" w:type="pct"/>
            <w:vAlign w:val="center"/>
          </w:tcPr>
          <w:p>
            <w:pPr>
              <w:pStyle w:val="23"/>
              <w:spacing w:line="440" w:lineRule="exact"/>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708" w:type="pct"/>
            <w:vAlign w:val="center"/>
          </w:tcPr>
          <w:p>
            <w:pPr>
              <w:pStyle w:val="23"/>
              <w:spacing w:line="4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税务登记机关</w:t>
            </w:r>
          </w:p>
        </w:tc>
        <w:tc>
          <w:tcPr>
            <w:tcW w:w="1155" w:type="pct"/>
            <w:vAlign w:val="center"/>
          </w:tcPr>
          <w:p>
            <w:pPr>
              <w:pStyle w:val="23"/>
              <w:spacing w:line="440" w:lineRule="exact"/>
              <w:jc w:val="center"/>
              <w:rPr>
                <w:rFonts w:asciiTheme="minorEastAsia" w:hAnsiTheme="minorEastAsia" w:eastAsiaTheme="minorEastAsia" w:cstheme="minorEastAsia"/>
                <w:sz w:val="24"/>
                <w:szCs w:val="24"/>
              </w:rPr>
            </w:pPr>
          </w:p>
        </w:tc>
        <w:tc>
          <w:tcPr>
            <w:tcW w:w="1250" w:type="pct"/>
            <w:vAlign w:val="center"/>
          </w:tcPr>
          <w:p>
            <w:pPr>
              <w:pStyle w:val="23"/>
              <w:spacing w:line="440" w:lineRule="exact"/>
              <w:jc w:val="center"/>
              <w:rPr>
                <w:rFonts w:asciiTheme="minorEastAsia" w:hAnsiTheme="minorEastAsia" w:eastAsiaTheme="minorEastAsia" w:cstheme="minorEastAsia"/>
                <w:sz w:val="24"/>
                <w:szCs w:val="24"/>
              </w:rPr>
            </w:pPr>
          </w:p>
        </w:tc>
        <w:tc>
          <w:tcPr>
            <w:tcW w:w="887" w:type="pct"/>
            <w:vAlign w:val="center"/>
          </w:tcPr>
          <w:p>
            <w:pPr>
              <w:pStyle w:val="23"/>
              <w:spacing w:line="440" w:lineRule="exact"/>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708" w:type="pct"/>
            <w:vAlign w:val="center"/>
          </w:tcPr>
          <w:p>
            <w:pPr>
              <w:pStyle w:val="23"/>
              <w:spacing w:line="4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资质名称</w:t>
            </w:r>
          </w:p>
        </w:tc>
        <w:tc>
          <w:tcPr>
            <w:tcW w:w="1155" w:type="pct"/>
            <w:vAlign w:val="center"/>
          </w:tcPr>
          <w:p>
            <w:pPr>
              <w:pStyle w:val="23"/>
              <w:spacing w:line="4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等级</w:t>
            </w:r>
          </w:p>
        </w:tc>
        <w:tc>
          <w:tcPr>
            <w:tcW w:w="1250" w:type="pct"/>
            <w:vAlign w:val="center"/>
          </w:tcPr>
          <w:p>
            <w:pPr>
              <w:pStyle w:val="23"/>
              <w:spacing w:line="4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发证机关</w:t>
            </w:r>
          </w:p>
        </w:tc>
        <w:tc>
          <w:tcPr>
            <w:tcW w:w="887" w:type="pct"/>
            <w:vAlign w:val="center"/>
          </w:tcPr>
          <w:p>
            <w:pPr>
              <w:pStyle w:val="23"/>
              <w:spacing w:line="4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5" w:hRule="atLeast"/>
          <w:jc w:val="center"/>
        </w:trPr>
        <w:tc>
          <w:tcPr>
            <w:tcW w:w="1708" w:type="pct"/>
            <w:vAlign w:val="center"/>
          </w:tcPr>
          <w:p>
            <w:pPr>
              <w:pStyle w:val="23"/>
              <w:spacing w:line="440" w:lineRule="exact"/>
              <w:jc w:val="center"/>
              <w:rPr>
                <w:rFonts w:asciiTheme="minorEastAsia" w:hAnsiTheme="minorEastAsia" w:eastAsiaTheme="minorEastAsia" w:cstheme="minorEastAsia"/>
                <w:sz w:val="24"/>
                <w:szCs w:val="24"/>
              </w:rPr>
            </w:pPr>
          </w:p>
        </w:tc>
        <w:tc>
          <w:tcPr>
            <w:tcW w:w="1155" w:type="pct"/>
            <w:vAlign w:val="center"/>
          </w:tcPr>
          <w:p>
            <w:pPr>
              <w:pStyle w:val="23"/>
              <w:spacing w:line="440" w:lineRule="exact"/>
              <w:jc w:val="center"/>
              <w:rPr>
                <w:rFonts w:asciiTheme="minorEastAsia" w:hAnsiTheme="minorEastAsia" w:eastAsiaTheme="minorEastAsia" w:cstheme="minorEastAsia"/>
                <w:sz w:val="24"/>
                <w:szCs w:val="24"/>
              </w:rPr>
            </w:pPr>
          </w:p>
        </w:tc>
        <w:tc>
          <w:tcPr>
            <w:tcW w:w="1250" w:type="pct"/>
            <w:vAlign w:val="center"/>
          </w:tcPr>
          <w:p>
            <w:pPr>
              <w:pStyle w:val="23"/>
              <w:spacing w:line="440" w:lineRule="exact"/>
              <w:jc w:val="center"/>
              <w:rPr>
                <w:rFonts w:asciiTheme="minorEastAsia" w:hAnsiTheme="minorEastAsia" w:eastAsiaTheme="minorEastAsia" w:cstheme="minorEastAsia"/>
                <w:sz w:val="24"/>
                <w:szCs w:val="24"/>
              </w:rPr>
            </w:pPr>
          </w:p>
        </w:tc>
        <w:tc>
          <w:tcPr>
            <w:tcW w:w="887" w:type="pct"/>
            <w:vAlign w:val="center"/>
          </w:tcPr>
          <w:p>
            <w:pPr>
              <w:pStyle w:val="23"/>
              <w:spacing w:line="440" w:lineRule="exact"/>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708" w:type="pct"/>
            <w:vAlign w:val="center"/>
          </w:tcPr>
          <w:p>
            <w:pPr>
              <w:pStyle w:val="23"/>
              <w:spacing w:line="440" w:lineRule="exact"/>
              <w:jc w:val="center"/>
              <w:rPr>
                <w:rFonts w:asciiTheme="minorEastAsia" w:hAnsiTheme="minorEastAsia" w:eastAsiaTheme="minorEastAsia" w:cstheme="minorEastAsia"/>
                <w:sz w:val="24"/>
                <w:szCs w:val="24"/>
              </w:rPr>
            </w:pPr>
          </w:p>
        </w:tc>
        <w:tc>
          <w:tcPr>
            <w:tcW w:w="1155" w:type="pct"/>
            <w:vAlign w:val="center"/>
          </w:tcPr>
          <w:p>
            <w:pPr>
              <w:pStyle w:val="23"/>
              <w:spacing w:line="440" w:lineRule="exact"/>
              <w:jc w:val="center"/>
              <w:rPr>
                <w:rFonts w:asciiTheme="minorEastAsia" w:hAnsiTheme="minorEastAsia" w:eastAsiaTheme="minorEastAsia" w:cstheme="minorEastAsia"/>
                <w:sz w:val="24"/>
                <w:szCs w:val="24"/>
              </w:rPr>
            </w:pPr>
          </w:p>
        </w:tc>
        <w:tc>
          <w:tcPr>
            <w:tcW w:w="1250" w:type="pct"/>
            <w:vAlign w:val="center"/>
          </w:tcPr>
          <w:p>
            <w:pPr>
              <w:pStyle w:val="23"/>
              <w:spacing w:line="440" w:lineRule="exact"/>
              <w:jc w:val="center"/>
              <w:rPr>
                <w:rFonts w:asciiTheme="minorEastAsia" w:hAnsiTheme="minorEastAsia" w:eastAsiaTheme="minorEastAsia" w:cstheme="minorEastAsia"/>
                <w:sz w:val="24"/>
                <w:szCs w:val="24"/>
              </w:rPr>
            </w:pPr>
          </w:p>
        </w:tc>
        <w:tc>
          <w:tcPr>
            <w:tcW w:w="887" w:type="pct"/>
            <w:vAlign w:val="center"/>
          </w:tcPr>
          <w:p>
            <w:pPr>
              <w:pStyle w:val="23"/>
              <w:spacing w:line="440" w:lineRule="exact"/>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708" w:type="pct"/>
            <w:vAlign w:val="center"/>
          </w:tcPr>
          <w:p>
            <w:pPr>
              <w:pStyle w:val="23"/>
              <w:spacing w:line="4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c>
          <w:tcPr>
            <w:tcW w:w="1155" w:type="pct"/>
            <w:vAlign w:val="center"/>
          </w:tcPr>
          <w:p>
            <w:pPr>
              <w:pStyle w:val="23"/>
              <w:spacing w:line="440" w:lineRule="exact"/>
              <w:jc w:val="center"/>
              <w:rPr>
                <w:rFonts w:asciiTheme="minorEastAsia" w:hAnsiTheme="minorEastAsia" w:eastAsiaTheme="minorEastAsia" w:cstheme="minorEastAsia"/>
                <w:sz w:val="24"/>
                <w:szCs w:val="24"/>
              </w:rPr>
            </w:pPr>
          </w:p>
        </w:tc>
        <w:tc>
          <w:tcPr>
            <w:tcW w:w="1250" w:type="pct"/>
            <w:vAlign w:val="center"/>
          </w:tcPr>
          <w:p>
            <w:pPr>
              <w:pStyle w:val="23"/>
              <w:spacing w:line="440" w:lineRule="exact"/>
              <w:jc w:val="center"/>
              <w:rPr>
                <w:rFonts w:asciiTheme="minorEastAsia" w:hAnsiTheme="minorEastAsia" w:eastAsiaTheme="minorEastAsia" w:cstheme="minorEastAsia"/>
                <w:sz w:val="24"/>
                <w:szCs w:val="24"/>
              </w:rPr>
            </w:pPr>
          </w:p>
        </w:tc>
        <w:tc>
          <w:tcPr>
            <w:tcW w:w="887" w:type="pct"/>
            <w:vAlign w:val="center"/>
          </w:tcPr>
          <w:p>
            <w:pPr>
              <w:pStyle w:val="23"/>
              <w:spacing w:line="440" w:lineRule="exact"/>
              <w:jc w:val="center"/>
              <w:rPr>
                <w:rFonts w:asciiTheme="minorEastAsia" w:hAnsiTheme="minorEastAsia" w:eastAsiaTheme="minorEastAsia" w:cstheme="minorEastAsia"/>
                <w:sz w:val="24"/>
                <w:szCs w:val="24"/>
              </w:rPr>
            </w:pPr>
          </w:p>
        </w:tc>
      </w:tr>
    </w:tbl>
    <w:p>
      <w:pPr>
        <w:pStyle w:val="23"/>
        <w:spacing w:line="440" w:lineRule="exact"/>
        <w:ind w:firstLine="484" w:firstLineChars="200"/>
        <w:rPr>
          <w:rFonts w:asciiTheme="minorEastAsia" w:hAnsiTheme="minorEastAsia" w:eastAsiaTheme="minorEastAsia" w:cstheme="minorEastAsia"/>
          <w:sz w:val="24"/>
          <w:szCs w:val="24"/>
        </w:rPr>
      </w:pPr>
    </w:p>
    <w:p>
      <w:pPr>
        <w:pStyle w:val="23"/>
        <w:spacing w:line="440" w:lineRule="exact"/>
        <w:ind w:firstLine="484"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附件2-1　法人或者其他组织的营业执照副本复印件或自然人的身份证明复印件</w:t>
      </w:r>
    </w:p>
    <w:p>
      <w:pPr>
        <w:pStyle w:val="23"/>
        <w:spacing w:line="440" w:lineRule="exact"/>
        <w:ind w:firstLine="484"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(示例略)</w:t>
      </w:r>
    </w:p>
    <w:p>
      <w:pPr>
        <w:pStyle w:val="23"/>
        <w:spacing w:line="440" w:lineRule="exact"/>
        <w:ind w:firstLine="484" w:firstLineChars="200"/>
        <w:rPr>
          <w:rFonts w:asciiTheme="minorEastAsia" w:hAnsiTheme="minorEastAsia" w:eastAsiaTheme="minorEastAsia" w:cstheme="minorEastAsia"/>
          <w:sz w:val="24"/>
          <w:szCs w:val="24"/>
        </w:rPr>
      </w:pPr>
    </w:p>
    <w:p>
      <w:pPr>
        <w:pStyle w:val="23"/>
        <w:spacing w:line="440" w:lineRule="exact"/>
        <w:ind w:firstLine="484"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附件2-2　法人或者其他组织的税务登记证副本复印件(按规定可不进行税务登记的不提供)</w:t>
      </w:r>
    </w:p>
    <w:p>
      <w:pPr>
        <w:pStyle w:val="23"/>
        <w:spacing w:line="440" w:lineRule="exact"/>
        <w:ind w:firstLine="484"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(示例略)</w:t>
      </w:r>
    </w:p>
    <w:p>
      <w:pPr>
        <w:pStyle w:val="23"/>
        <w:spacing w:line="440" w:lineRule="exact"/>
        <w:ind w:firstLine="484"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附件2-3 “信用中国”（www.creditchina.gov.cn）和中国政府采购网（www.ccgp.gov.cn）网站上未被列入失信被执行人、重大税收违法案件当事人名单以及政府采购严重违法失信行为记录名单的网页打印件（网页打印件须自招标文件发布之日起至投标截止时间从上述网站中打印）</w:t>
      </w:r>
    </w:p>
    <w:p>
      <w:pPr>
        <w:pStyle w:val="23"/>
        <w:spacing w:line="440" w:lineRule="exact"/>
        <w:ind w:firstLine="484"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(示例略)</w:t>
      </w:r>
    </w:p>
    <w:p>
      <w:pPr>
        <w:pStyle w:val="23"/>
        <w:spacing w:line="440" w:lineRule="exact"/>
        <w:ind w:firstLine="484" w:firstLineChars="200"/>
        <w:rPr>
          <w:rFonts w:asciiTheme="minorEastAsia" w:hAnsiTheme="minorEastAsia" w:eastAsiaTheme="minorEastAsia" w:cstheme="minorEastAsia"/>
          <w:sz w:val="24"/>
          <w:szCs w:val="24"/>
        </w:rPr>
      </w:pPr>
    </w:p>
    <w:p>
      <w:pPr>
        <w:pStyle w:val="23"/>
        <w:spacing w:line="440" w:lineRule="exact"/>
        <w:ind w:firstLine="484"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附件2-4　具备履行合同所必需的设备和专业技术能力的证明材料</w:t>
      </w:r>
    </w:p>
    <w:p>
      <w:pPr>
        <w:pStyle w:val="23"/>
        <w:spacing w:line="440" w:lineRule="exact"/>
        <w:ind w:firstLine="484"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(示例略)</w:t>
      </w:r>
    </w:p>
    <w:p>
      <w:pPr>
        <w:pStyle w:val="87"/>
        <w:spacing w:line="500" w:lineRule="exact"/>
        <w:jc w:val="center"/>
        <w:rPr>
          <w:rFonts w:ascii="宋体" w:hAnsi="宋体"/>
          <w:b/>
          <w:color w:val="auto"/>
        </w:rPr>
      </w:pPr>
      <w:r>
        <w:rPr>
          <w:color w:val="auto"/>
        </w:rPr>
        <w:br w:type="page"/>
      </w:r>
    </w:p>
    <w:p>
      <w:pPr>
        <w:pStyle w:val="87"/>
        <w:spacing w:line="500" w:lineRule="exact"/>
        <w:jc w:val="center"/>
        <w:rPr>
          <w:rFonts w:ascii="宋体" w:hAnsi="宋体"/>
          <w:b/>
          <w:color w:val="auto"/>
          <w:kern w:val="2"/>
        </w:rPr>
      </w:pPr>
      <w:r>
        <w:rPr>
          <w:rFonts w:hint="eastAsia" w:ascii="宋体" w:hAnsi="宋体"/>
          <w:b/>
          <w:color w:val="auto"/>
          <w:kern w:val="2"/>
        </w:rPr>
        <w:t>七、项目业绩表（2020年1月至今）</w:t>
      </w:r>
    </w:p>
    <w:p>
      <w:pPr>
        <w:pStyle w:val="87"/>
        <w:spacing w:line="500" w:lineRule="exact"/>
        <w:jc w:val="center"/>
        <w:rPr>
          <w:rFonts w:ascii="宋体" w:hAnsi="宋体"/>
          <w:color w:val="auto"/>
        </w:rPr>
      </w:pPr>
    </w:p>
    <w:p>
      <w:pPr>
        <w:pStyle w:val="87"/>
        <w:spacing w:line="500" w:lineRule="exact"/>
        <w:ind w:hanging="23"/>
        <w:rPr>
          <w:rFonts w:ascii="宋体" w:hAnsi="宋体"/>
          <w:color w:val="auto"/>
        </w:rPr>
      </w:pPr>
      <w:r>
        <w:rPr>
          <w:rFonts w:hint="eastAsia"/>
          <w:color w:val="auto"/>
        </w:rPr>
        <w:t>项目名称：</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rFonts w:hint="eastAsia"/>
          <w:color w:val="auto"/>
        </w:rPr>
        <w:t>项目编号：　</w:t>
      </w:r>
    </w:p>
    <w:tbl>
      <w:tblPr>
        <w:tblStyle w:val="40"/>
        <w:tblW w:w="93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565"/>
        <w:gridCol w:w="1305"/>
        <w:gridCol w:w="1515"/>
        <w:gridCol w:w="1635"/>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72" w:type="dxa"/>
            <w:vAlign w:val="center"/>
          </w:tcPr>
          <w:p>
            <w:pPr>
              <w:pStyle w:val="87"/>
              <w:spacing w:line="360" w:lineRule="exact"/>
              <w:jc w:val="center"/>
              <w:rPr>
                <w:rFonts w:ascii="宋体" w:hAnsi="宋体"/>
                <w:color w:val="auto"/>
              </w:rPr>
            </w:pPr>
            <w:r>
              <w:rPr>
                <w:rFonts w:hint="eastAsia" w:ascii="宋体" w:hAnsi="宋体"/>
                <w:color w:val="auto"/>
              </w:rPr>
              <w:t>序号</w:t>
            </w:r>
          </w:p>
        </w:tc>
        <w:tc>
          <w:tcPr>
            <w:tcW w:w="2565" w:type="dxa"/>
            <w:vAlign w:val="center"/>
          </w:tcPr>
          <w:p>
            <w:pPr>
              <w:pStyle w:val="87"/>
              <w:spacing w:line="360" w:lineRule="exact"/>
              <w:jc w:val="center"/>
              <w:rPr>
                <w:rFonts w:ascii="宋体" w:hAnsi="宋体"/>
                <w:color w:val="auto"/>
              </w:rPr>
            </w:pPr>
            <w:r>
              <w:rPr>
                <w:rFonts w:hint="eastAsia" w:ascii="宋体" w:hAnsi="宋体"/>
                <w:color w:val="auto"/>
              </w:rPr>
              <w:t>项目名称</w:t>
            </w:r>
          </w:p>
        </w:tc>
        <w:tc>
          <w:tcPr>
            <w:tcW w:w="1305" w:type="dxa"/>
            <w:vAlign w:val="center"/>
          </w:tcPr>
          <w:p>
            <w:pPr>
              <w:pStyle w:val="87"/>
              <w:spacing w:line="360" w:lineRule="exact"/>
              <w:jc w:val="center"/>
              <w:rPr>
                <w:rFonts w:ascii="宋体" w:hAnsi="宋体"/>
                <w:color w:val="auto"/>
              </w:rPr>
            </w:pPr>
            <w:r>
              <w:rPr>
                <w:rFonts w:hint="eastAsia" w:ascii="宋体" w:hAnsi="宋体"/>
                <w:color w:val="auto"/>
              </w:rPr>
              <w:t>签订合同时间</w:t>
            </w:r>
          </w:p>
        </w:tc>
        <w:tc>
          <w:tcPr>
            <w:tcW w:w="1515" w:type="dxa"/>
            <w:vAlign w:val="center"/>
          </w:tcPr>
          <w:p>
            <w:pPr>
              <w:pStyle w:val="87"/>
              <w:spacing w:line="360" w:lineRule="exact"/>
              <w:jc w:val="center"/>
              <w:rPr>
                <w:rFonts w:ascii="宋体" w:hAnsi="宋体"/>
                <w:color w:val="auto"/>
              </w:rPr>
            </w:pPr>
            <w:r>
              <w:rPr>
                <w:rFonts w:hint="eastAsia" w:ascii="宋体" w:hAnsi="宋体"/>
                <w:color w:val="auto"/>
              </w:rPr>
              <w:t>合同金额（万元）</w:t>
            </w:r>
          </w:p>
        </w:tc>
        <w:tc>
          <w:tcPr>
            <w:tcW w:w="1635" w:type="dxa"/>
            <w:vAlign w:val="center"/>
          </w:tcPr>
          <w:p>
            <w:pPr>
              <w:pStyle w:val="87"/>
              <w:spacing w:line="360" w:lineRule="exact"/>
              <w:jc w:val="center"/>
              <w:rPr>
                <w:rFonts w:ascii="宋体" w:hAnsi="宋体"/>
                <w:color w:val="auto"/>
              </w:rPr>
            </w:pPr>
            <w:r>
              <w:rPr>
                <w:rFonts w:hint="eastAsia" w:ascii="宋体" w:hAnsi="宋体"/>
                <w:color w:val="auto"/>
              </w:rPr>
              <w:t>业绩证明材料所在页码</w:t>
            </w:r>
          </w:p>
        </w:tc>
        <w:tc>
          <w:tcPr>
            <w:tcW w:w="1590" w:type="dxa"/>
            <w:vAlign w:val="center"/>
          </w:tcPr>
          <w:p>
            <w:pPr>
              <w:pStyle w:val="87"/>
              <w:spacing w:line="360" w:lineRule="exact"/>
              <w:jc w:val="center"/>
              <w:rPr>
                <w:rFonts w:ascii="宋体" w:hAnsi="宋体"/>
                <w:color w:val="auto"/>
              </w:rPr>
            </w:pPr>
            <w:r>
              <w:rPr>
                <w:rFonts w:hint="eastAsia" w:ascii="宋体" w:hAnsi="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72" w:type="dxa"/>
          </w:tcPr>
          <w:p>
            <w:pPr>
              <w:pStyle w:val="87"/>
              <w:spacing w:line="500" w:lineRule="exact"/>
              <w:rPr>
                <w:rFonts w:ascii="宋体" w:hAnsi="宋体"/>
                <w:color w:val="auto"/>
              </w:rPr>
            </w:pPr>
          </w:p>
        </w:tc>
        <w:tc>
          <w:tcPr>
            <w:tcW w:w="2565" w:type="dxa"/>
          </w:tcPr>
          <w:p>
            <w:pPr>
              <w:pStyle w:val="87"/>
              <w:spacing w:line="500" w:lineRule="exact"/>
              <w:rPr>
                <w:rFonts w:ascii="宋体" w:hAnsi="宋体"/>
                <w:color w:val="auto"/>
              </w:rPr>
            </w:pPr>
          </w:p>
        </w:tc>
        <w:tc>
          <w:tcPr>
            <w:tcW w:w="1305" w:type="dxa"/>
          </w:tcPr>
          <w:p>
            <w:pPr>
              <w:pStyle w:val="87"/>
              <w:spacing w:line="500" w:lineRule="exact"/>
              <w:rPr>
                <w:rFonts w:ascii="宋体" w:hAnsi="宋体"/>
                <w:color w:val="auto"/>
              </w:rPr>
            </w:pPr>
          </w:p>
        </w:tc>
        <w:tc>
          <w:tcPr>
            <w:tcW w:w="1515" w:type="dxa"/>
          </w:tcPr>
          <w:p>
            <w:pPr>
              <w:pStyle w:val="87"/>
              <w:spacing w:line="500" w:lineRule="exact"/>
              <w:rPr>
                <w:rFonts w:ascii="宋体" w:hAnsi="宋体"/>
                <w:color w:val="auto"/>
              </w:rPr>
            </w:pPr>
          </w:p>
        </w:tc>
        <w:tc>
          <w:tcPr>
            <w:tcW w:w="1635" w:type="dxa"/>
          </w:tcPr>
          <w:p>
            <w:pPr>
              <w:pStyle w:val="87"/>
              <w:spacing w:line="500" w:lineRule="exact"/>
              <w:rPr>
                <w:rFonts w:ascii="宋体" w:hAnsi="宋体"/>
                <w:color w:val="auto"/>
              </w:rPr>
            </w:pPr>
          </w:p>
        </w:tc>
        <w:tc>
          <w:tcPr>
            <w:tcW w:w="1590" w:type="dxa"/>
          </w:tcPr>
          <w:p>
            <w:pPr>
              <w:pStyle w:val="87"/>
              <w:spacing w:line="50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72" w:type="dxa"/>
          </w:tcPr>
          <w:p>
            <w:pPr>
              <w:pStyle w:val="87"/>
              <w:spacing w:line="500" w:lineRule="exact"/>
              <w:rPr>
                <w:rFonts w:ascii="宋体" w:hAnsi="宋体"/>
                <w:color w:val="auto"/>
              </w:rPr>
            </w:pPr>
          </w:p>
        </w:tc>
        <w:tc>
          <w:tcPr>
            <w:tcW w:w="2565" w:type="dxa"/>
          </w:tcPr>
          <w:p>
            <w:pPr>
              <w:pStyle w:val="87"/>
              <w:spacing w:line="500" w:lineRule="exact"/>
              <w:rPr>
                <w:rFonts w:ascii="宋体" w:hAnsi="宋体"/>
                <w:color w:val="auto"/>
              </w:rPr>
            </w:pPr>
          </w:p>
        </w:tc>
        <w:tc>
          <w:tcPr>
            <w:tcW w:w="1305" w:type="dxa"/>
          </w:tcPr>
          <w:p>
            <w:pPr>
              <w:pStyle w:val="87"/>
              <w:spacing w:line="500" w:lineRule="exact"/>
              <w:rPr>
                <w:rFonts w:ascii="宋体" w:hAnsi="宋体"/>
                <w:color w:val="auto"/>
              </w:rPr>
            </w:pPr>
          </w:p>
        </w:tc>
        <w:tc>
          <w:tcPr>
            <w:tcW w:w="1515" w:type="dxa"/>
          </w:tcPr>
          <w:p>
            <w:pPr>
              <w:pStyle w:val="87"/>
              <w:spacing w:line="500" w:lineRule="exact"/>
              <w:rPr>
                <w:rFonts w:ascii="宋体" w:hAnsi="宋体"/>
                <w:color w:val="auto"/>
              </w:rPr>
            </w:pPr>
          </w:p>
        </w:tc>
        <w:tc>
          <w:tcPr>
            <w:tcW w:w="1635" w:type="dxa"/>
          </w:tcPr>
          <w:p>
            <w:pPr>
              <w:pStyle w:val="87"/>
              <w:spacing w:line="500" w:lineRule="exact"/>
              <w:rPr>
                <w:rFonts w:ascii="宋体" w:hAnsi="宋体"/>
                <w:color w:val="auto"/>
              </w:rPr>
            </w:pPr>
          </w:p>
        </w:tc>
        <w:tc>
          <w:tcPr>
            <w:tcW w:w="1590" w:type="dxa"/>
          </w:tcPr>
          <w:p>
            <w:pPr>
              <w:pStyle w:val="87"/>
              <w:spacing w:line="50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72" w:type="dxa"/>
          </w:tcPr>
          <w:p>
            <w:pPr>
              <w:pStyle w:val="87"/>
              <w:spacing w:line="500" w:lineRule="exact"/>
              <w:rPr>
                <w:rFonts w:ascii="宋体" w:hAnsi="宋体"/>
                <w:color w:val="auto"/>
              </w:rPr>
            </w:pPr>
          </w:p>
        </w:tc>
        <w:tc>
          <w:tcPr>
            <w:tcW w:w="2565" w:type="dxa"/>
          </w:tcPr>
          <w:p>
            <w:pPr>
              <w:pStyle w:val="87"/>
              <w:spacing w:line="500" w:lineRule="exact"/>
              <w:rPr>
                <w:rFonts w:ascii="宋体" w:hAnsi="宋体"/>
                <w:color w:val="auto"/>
              </w:rPr>
            </w:pPr>
          </w:p>
        </w:tc>
        <w:tc>
          <w:tcPr>
            <w:tcW w:w="1305" w:type="dxa"/>
          </w:tcPr>
          <w:p>
            <w:pPr>
              <w:pStyle w:val="87"/>
              <w:spacing w:line="500" w:lineRule="exact"/>
              <w:rPr>
                <w:rFonts w:ascii="宋体" w:hAnsi="宋体"/>
                <w:color w:val="auto"/>
              </w:rPr>
            </w:pPr>
          </w:p>
        </w:tc>
        <w:tc>
          <w:tcPr>
            <w:tcW w:w="1515" w:type="dxa"/>
          </w:tcPr>
          <w:p>
            <w:pPr>
              <w:pStyle w:val="87"/>
              <w:spacing w:line="500" w:lineRule="exact"/>
              <w:rPr>
                <w:rFonts w:ascii="宋体" w:hAnsi="宋体"/>
                <w:color w:val="auto"/>
              </w:rPr>
            </w:pPr>
          </w:p>
        </w:tc>
        <w:tc>
          <w:tcPr>
            <w:tcW w:w="1635" w:type="dxa"/>
          </w:tcPr>
          <w:p>
            <w:pPr>
              <w:pStyle w:val="87"/>
              <w:spacing w:line="500" w:lineRule="exact"/>
              <w:rPr>
                <w:rFonts w:ascii="宋体" w:hAnsi="宋体"/>
                <w:color w:val="auto"/>
              </w:rPr>
            </w:pPr>
          </w:p>
        </w:tc>
        <w:tc>
          <w:tcPr>
            <w:tcW w:w="1590" w:type="dxa"/>
          </w:tcPr>
          <w:p>
            <w:pPr>
              <w:pStyle w:val="87"/>
              <w:spacing w:line="50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72" w:type="dxa"/>
          </w:tcPr>
          <w:p>
            <w:pPr>
              <w:pStyle w:val="87"/>
              <w:spacing w:line="500" w:lineRule="exact"/>
              <w:rPr>
                <w:rFonts w:ascii="宋体" w:hAnsi="宋体"/>
                <w:color w:val="auto"/>
              </w:rPr>
            </w:pPr>
          </w:p>
        </w:tc>
        <w:tc>
          <w:tcPr>
            <w:tcW w:w="2565" w:type="dxa"/>
          </w:tcPr>
          <w:p>
            <w:pPr>
              <w:pStyle w:val="87"/>
              <w:spacing w:line="500" w:lineRule="exact"/>
              <w:rPr>
                <w:rFonts w:ascii="宋体" w:hAnsi="宋体"/>
                <w:color w:val="auto"/>
              </w:rPr>
            </w:pPr>
          </w:p>
        </w:tc>
        <w:tc>
          <w:tcPr>
            <w:tcW w:w="1305" w:type="dxa"/>
          </w:tcPr>
          <w:p>
            <w:pPr>
              <w:pStyle w:val="87"/>
              <w:spacing w:line="500" w:lineRule="exact"/>
              <w:rPr>
                <w:rFonts w:ascii="宋体" w:hAnsi="宋体"/>
                <w:color w:val="auto"/>
              </w:rPr>
            </w:pPr>
          </w:p>
        </w:tc>
        <w:tc>
          <w:tcPr>
            <w:tcW w:w="1515" w:type="dxa"/>
          </w:tcPr>
          <w:p>
            <w:pPr>
              <w:pStyle w:val="87"/>
              <w:spacing w:line="500" w:lineRule="exact"/>
              <w:rPr>
                <w:rFonts w:ascii="宋体" w:hAnsi="宋体"/>
                <w:color w:val="auto"/>
              </w:rPr>
            </w:pPr>
          </w:p>
        </w:tc>
        <w:tc>
          <w:tcPr>
            <w:tcW w:w="1635" w:type="dxa"/>
          </w:tcPr>
          <w:p>
            <w:pPr>
              <w:pStyle w:val="87"/>
              <w:spacing w:line="500" w:lineRule="exact"/>
              <w:rPr>
                <w:rFonts w:ascii="宋体" w:hAnsi="宋体"/>
                <w:color w:val="auto"/>
              </w:rPr>
            </w:pPr>
          </w:p>
        </w:tc>
        <w:tc>
          <w:tcPr>
            <w:tcW w:w="1590" w:type="dxa"/>
          </w:tcPr>
          <w:p>
            <w:pPr>
              <w:pStyle w:val="87"/>
              <w:spacing w:line="50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72" w:type="dxa"/>
          </w:tcPr>
          <w:p>
            <w:pPr>
              <w:pStyle w:val="87"/>
              <w:spacing w:line="500" w:lineRule="exact"/>
              <w:rPr>
                <w:rFonts w:ascii="宋体" w:hAnsi="宋体"/>
                <w:color w:val="auto"/>
              </w:rPr>
            </w:pPr>
          </w:p>
        </w:tc>
        <w:tc>
          <w:tcPr>
            <w:tcW w:w="2565" w:type="dxa"/>
          </w:tcPr>
          <w:p>
            <w:pPr>
              <w:pStyle w:val="87"/>
              <w:spacing w:line="500" w:lineRule="exact"/>
              <w:rPr>
                <w:rFonts w:ascii="宋体" w:hAnsi="宋体"/>
                <w:color w:val="auto"/>
              </w:rPr>
            </w:pPr>
          </w:p>
        </w:tc>
        <w:tc>
          <w:tcPr>
            <w:tcW w:w="1305" w:type="dxa"/>
          </w:tcPr>
          <w:p>
            <w:pPr>
              <w:pStyle w:val="87"/>
              <w:spacing w:line="500" w:lineRule="exact"/>
              <w:rPr>
                <w:rFonts w:ascii="宋体" w:hAnsi="宋体"/>
                <w:color w:val="auto"/>
              </w:rPr>
            </w:pPr>
          </w:p>
        </w:tc>
        <w:tc>
          <w:tcPr>
            <w:tcW w:w="1515" w:type="dxa"/>
          </w:tcPr>
          <w:p>
            <w:pPr>
              <w:pStyle w:val="87"/>
              <w:spacing w:line="500" w:lineRule="exact"/>
              <w:rPr>
                <w:rFonts w:ascii="宋体" w:hAnsi="宋体"/>
                <w:color w:val="auto"/>
              </w:rPr>
            </w:pPr>
          </w:p>
        </w:tc>
        <w:tc>
          <w:tcPr>
            <w:tcW w:w="1635" w:type="dxa"/>
          </w:tcPr>
          <w:p>
            <w:pPr>
              <w:pStyle w:val="87"/>
              <w:spacing w:line="500" w:lineRule="exact"/>
              <w:rPr>
                <w:rFonts w:ascii="宋体" w:hAnsi="宋体"/>
                <w:color w:val="auto"/>
              </w:rPr>
            </w:pPr>
          </w:p>
        </w:tc>
        <w:tc>
          <w:tcPr>
            <w:tcW w:w="1590" w:type="dxa"/>
          </w:tcPr>
          <w:p>
            <w:pPr>
              <w:pStyle w:val="87"/>
              <w:spacing w:line="50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72" w:type="dxa"/>
          </w:tcPr>
          <w:p>
            <w:pPr>
              <w:pStyle w:val="87"/>
              <w:spacing w:line="500" w:lineRule="exact"/>
              <w:rPr>
                <w:rFonts w:ascii="宋体" w:hAnsi="宋体"/>
                <w:color w:val="auto"/>
              </w:rPr>
            </w:pPr>
          </w:p>
        </w:tc>
        <w:tc>
          <w:tcPr>
            <w:tcW w:w="2565" w:type="dxa"/>
          </w:tcPr>
          <w:p>
            <w:pPr>
              <w:pStyle w:val="87"/>
              <w:spacing w:line="500" w:lineRule="exact"/>
              <w:rPr>
                <w:rFonts w:ascii="宋体" w:hAnsi="宋体"/>
                <w:color w:val="auto"/>
              </w:rPr>
            </w:pPr>
          </w:p>
        </w:tc>
        <w:tc>
          <w:tcPr>
            <w:tcW w:w="1305" w:type="dxa"/>
          </w:tcPr>
          <w:p>
            <w:pPr>
              <w:pStyle w:val="87"/>
              <w:spacing w:line="500" w:lineRule="exact"/>
              <w:rPr>
                <w:rFonts w:ascii="宋体" w:hAnsi="宋体"/>
                <w:color w:val="auto"/>
              </w:rPr>
            </w:pPr>
          </w:p>
        </w:tc>
        <w:tc>
          <w:tcPr>
            <w:tcW w:w="1515" w:type="dxa"/>
          </w:tcPr>
          <w:p>
            <w:pPr>
              <w:pStyle w:val="87"/>
              <w:spacing w:line="500" w:lineRule="exact"/>
              <w:rPr>
                <w:rFonts w:ascii="宋体" w:hAnsi="宋体"/>
                <w:color w:val="auto"/>
              </w:rPr>
            </w:pPr>
          </w:p>
        </w:tc>
        <w:tc>
          <w:tcPr>
            <w:tcW w:w="1635" w:type="dxa"/>
          </w:tcPr>
          <w:p>
            <w:pPr>
              <w:pStyle w:val="87"/>
              <w:spacing w:line="500" w:lineRule="exact"/>
              <w:rPr>
                <w:rFonts w:ascii="宋体" w:hAnsi="宋体"/>
                <w:color w:val="auto"/>
              </w:rPr>
            </w:pPr>
          </w:p>
        </w:tc>
        <w:tc>
          <w:tcPr>
            <w:tcW w:w="1590" w:type="dxa"/>
          </w:tcPr>
          <w:p>
            <w:pPr>
              <w:pStyle w:val="87"/>
              <w:spacing w:line="50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72" w:type="dxa"/>
          </w:tcPr>
          <w:p>
            <w:pPr>
              <w:pStyle w:val="87"/>
              <w:spacing w:line="500" w:lineRule="exact"/>
              <w:rPr>
                <w:rFonts w:ascii="宋体" w:hAnsi="宋体"/>
                <w:color w:val="auto"/>
              </w:rPr>
            </w:pPr>
          </w:p>
        </w:tc>
        <w:tc>
          <w:tcPr>
            <w:tcW w:w="2565" w:type="dxa"/>
          </w:tcPr>
          <w:p>
            <w:pPr>
              <w:pStyle w:val="87"/>
              <w:spacing w:line="500" w:lineRule="exact"/>
              <w:rPr>
                <w:rFonts w:ascii="宋体" w:hAnsi="宋体"/>
                <w:color w:val="auto"/>
              </w:rPr>
            </w:pPr>
          </w:p>
        </w:tc>
        <w:tc>
          <w:tcPr>
            <w:tcW w:w="1305" w:type="dxa"/>
          </w:tcPr>
          <w:p>
            <w:pPr>
              <w:pStyle w:val="87"/>
              <w:spacing w:line="500" w:lineRule="exact"/>
              <w:rPr>
                <w:rFonts w:ascii="宋体" w:hAnsi="宋体"/>
                <w:color w:val="auto"/>
              </w:rPr>
            </w:pPr>
          </w:p>
        </w:tc>
        <w:tc>
          <w:tcPr>
            <w:tcW w:w="1515" w:type="dxa"/>
          </w:tcPr>
          <w:p>
            <w:pPr>
              <w:pStyle w:val="87"/>
              <w:spacing w:line="500" w:lineRule="exact"/>
              <w:rPr>
                <w:rFonts w:ascii="宋体" w:hAnsi="宋体"/>
                <w:color w:val="auto"/>
              </w:rPr>
            </w:pPr>
          </w:p>
        </w:tc>
        <w:tc>
          <w:tcPr>
            <w:tcW w:w="1635" w:type="dxa"/>
          </w:tcPr>
          <w:p>
            <w:pPr>
              <w:pStyle w:val="87"/>
              <w:spacing w:line="500" w:lineRule="exact"/>
              <w:rPr>
                <w:rFonts w:ascii="宋体" w:hAnsi="宋体"/>
                <w:color w:val="auto"/>
              </w:rPr>
            </w:pPr>
          </w:p>
        </w:tc>
        <w:tc>
          <w:tcPr>
            <w:tcW w:w="1590" w:type="dxa"/>
          </w:tcPr>
          <w:p>
            <w:pPr>
              <w:pStyle w:val="87"/>
              <w:spacing w:line="50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72" w:type="dxa"/>
          </w:tcPr>
          <w:p>
            <w:pPr>
              <w:pStyle w:val="87"/>
              <w:spacing w:line="500" w:lineRule="exact"/>
              <w:rPr>
                <w:rFonts w:ascii="宋体" w:hAnsi="宋体"/>
                <w:color w:val="auto"/>
              </w:rPr>
            </w:pPr>
          </w:p>
        </w:tc>
        <w:tc>
          <w:tcPr>
            <w:tcW w:w="2565" w:type="dxa"/>
          </w:tcPr>
          <w:p>
            <w:pPr>
              <w:pStyle w:val="87"/>
              <w:spacing w:line="500" w:lineRule="exact"/>
              <w:rPr>
                <w:rFonts w:ascii="宋体" w:hAnsi="宋体"/>
                <w:color w:val="auto"/>
              </w:rPr>
            </w:pPr>
          </w:p>
        </w:tc>
        <w:tc>
          <w:tcPr>
            <w:tcW w:w="1305" w:type="dxa"/>
          </w:tcPr>
          <w:p>
            <w:pPr>
              <w:pStyle w:val="87"/>
              <w:spacing w:line="500" w:lineRule="exact"/>
              <w:rPr>
                <w:rFonts w:ascii="宋体" w:hAnsi="宋体"/>
                <w:color w:val="auto"/>
              </w:rPr>
            </w:pPr>
          </w:p>
        </w:tc>
        <w:tc>
          <w:tcPr>
            <w:tcW w:w="1515" w:type="dxa"/>
          </w:tcPr>
          <w:p>
            <w:pPr>
              <w:pStyle w:val="87"/>
              <w:spacing w:line="500" w:lineRule="exact"/>
              <w:rPr>
                <w:rFonts w:ascii="宋体" w:hAnsi="宋体"/>
                <w:color w:val="auto"/>
              </w:rPr>
            </w:pPr>
          </w:p>
        </w:tc>
        <w:tc>
          <w:tcPr>
            <w:tcW w:w="1635" w:type="dxa"/>
          </w:tcPr>
          <w:p>
            <w:pPr>
              <w:pStyle w:val="87"/>
              <w:spacing w:line="500" w:lineRule="exact"/>
              <w:rPr>
                <w:rFonts w:ascii="宋体" w:hAnsi="宋体"/>
                <w:color w:val="auto"/>
              </w:rPr>
            </w:pPr>
          </w:p>
        </w:tc>
        <w:tc>
          <w:tcPr>
            <w:tcW w:w="1590" w:type="dxa"/>
          </w:tcPr>
          <w:p>
            <w:pPr>
              <w:pStyle w:val="87"/>
              <w:spacing w:line="500" w:lineRule="exact"/>
              <w:rPr>
                <w:rFonts w:ascii="宋体" w:hAnsi="宋体"/>
                <w:color w:val="auto"/>
              </w:rPr>
            </w:pPr>
          </w:p>
        </w:tc>
      </w:tr>
    </w:tbl>
    <w:p>
      <w:pPr>
        <w:spacing w:line="500" w:lineRule="exact"/>
        <w:ind w:firstLine="484" w:firstLineChars="200"/>
        <w:rPr>
          <w:rFonts w:ascii="宋体" w:hAnsi="宋体"/>
          <w:sz w:val="24"/>
          <w:szCs w:val="24"/>
        </w:rPr>
      </w:pPr>
      <w:r>
        <w:rPr>
          <w:rFonts w:hint="eastAsia" w:ascii="宋体" w:hAnsi="宋体" w:cs="仿宋_GB2312"/>
          <w:sz w:val="24"/>
          <w:szCs w:val="24"/>
        </w:rPr>
        <w:t>注：</w:t>
      </w:r>
      <w:r>
        <w:rPr>
          <w:rFonts w:hint="eastAsia" w:ascii="宋体" w:hAnsi="宋体" w:cs="仿宋_GB2312"/>
          <w:b/>
          <w:bCs/>
          <w:sz w:val="24"/>
          <w:szCs w:val="24"/>
        </w:rPr>
        <w:t>近三年（2020年1月至今）类似项目（附中标通知书或合同协议书）。</w:t>
      </w:r>
    </w:p>
    <w:p>
      <w:pPr>
        <w:adjustRightInd w:val="0"/>
        <w:snapToGrid w:val="0"/>
        <w:spacing w:line="360" w:lineRule="auto"/>
        <w:ind w:firstLine="484" w:firstLineChars="200"/>
        <w:rPr>
          <w:rFonts w:ascii="宋体" w:hAnsi="宋体"/>
          <w:sz w:val="24"/>
          <w:szCs w:val="21"/>
        </w:rPr>
      </w:pPr>
    </w:p>
    <w:p>
      <w:pPr>
        <w:adjustRightInd w:val="0"/>
        <w:snapToGrid w:val="0"/>
        <w:spacing w:line="360" w:lineRule="auto"/>
        <w:ind w:firstLine="484" w:firstLineChars="200"/>
        <w:rPr>
          <w:rFonts w:ascii="宋体" w:hAnsi="宋体"/>
          <w:sz w:val="24"/>
          <w:szCs w:val="21"/>
        </w:rPr>
      </w:pPr>
    </w:p>
    <w:p>
      <w:pPr>
        <w:adjustRightInd w:val="0"/>
        <w:snapToGrid w:val="0"/>
        <w:spacing w:line="360" w:lineRule="auto"/>
        <w:ind w:firstLine="484" w:firstLineChars="200"/>
        <w:rPr>
          <w:rFonts w:ascii="宋体" w:hAnsi="宋体"/>
          <w:sz w:val="24"/>
          <w:szCs w:val="21"/>
        </w:rPr>
      </w:pPr>
    </w:p>
    <w:p>
      <w:pPr>
        <w:adjustRightInd w:val="0"/>
        <w:snapToGrid w:val="0"/>
        <w:spacing w:line="360" w:lineRule="auto"/>
        <w:ind w:firstLine="484" w:firstLineChars="200"/>
        <w:rPr>
          <w:rFonts w:ascii="宋体" w:hAnsi="宋体"/>
          <w:sz w:val="24"/>
          <w:szCs w:val="21"/>
        </w:rPr>
      </w:pPr>
    </w:p>
    <w:p>
      <w:pPr>
        <w:adjustRightInd w:val="0"/>
        <w:snapToGrid w:val="0"/>
        <w:spacing w:line="360" w:lineRule="auto"/>
        <w:ind w:firstLine="484" w:firstLineChars="200"/>
        <w:rPr>
          <w:rFonts w:ascii="宋体" w:hAnsi="宋体"/>
          <w:sz w:val="24"/>
          <w:szCs w:val="21"/>
        </w:rPr>
      </w:pPr>
      <w:r>
        <w:rPr>
          <w:rFonts w:hint="eastAsia" w:ascii="宋体" w:hAnsi="宋体"/>
          <w:sz w:val="24"/>
          <w:szCs w:val="21"/>
        </w:rPr>
        <w:t>投标人（盖单位章）：</w:t>
      </w:r>
    </w:p>
    <w:p>
      <w:pPr>
        <w:adjustRightInd w:val="0"/>
        <w:snapToGrid w:val="0"/>
        <w:spacing w:line="360" w:lineRule="auto"/>
        <w:ind w:left="483" w:leftChars="228" w:firstLine="9438" w:firstLineChars="3900"/>
        <w:rPr>
          <w:rFonts w:ascii="宋体" w:hAnsi="宋体"/>
          <w:sz w:val="24"/>
          <w:szCs w:val="21"/>
        </w:rPr>
      </w:pPr>
      <w:r>
        <w:rPr>
          <w:rFonts w:hint="eastAsia" w:ascii="宋体" w:hAnsi="宋体"/>
          <w:sz w:val="24"/>
          <w:szCs w:val="21"/>
        </w:rPr>
        <w:t xml:space="preserve"> 法定代表人或其委托代理人签字：</w:t>
      </w:r>
    </w:p>
    <w:p>
      <w:pPr>
        <w:adjustRightInd w:val="0"/>
        <w:snapToGrid w:val="0"/>
        <w:spacing w:line="360" w:lineRule="auto"/>
        <w:ind w:left="483" w:leftChars="228" w:right="24" w:firstLine="9438" w:firstLineChars="3900"/>
        <w:rPr>
          <w:rFonts w:ascii="宋体" w:hAnsi="宋体"/>
          <w:sz w:val="24"/>
          <w:szCs w:val="21"/>
        </w:rPr>
      </w:pPr>
      <w:r>
        <w:rPr>
          <w:rFonts w:hint="eastAsia" w:ascii="宋体" w:hAnsi="宋体"/>
          <w:sz w:val="24"/>
          <w:szCs w:val="21"/>
        </w:rPr>
        <w:t xml:space="preserve">  日期：年月日</w:t>
      </w:r>
    </w:p>
    <w:p>
      <w:pPr>
        <w:pStyle w:val="2"/>
      </w:pPr>
      <w:r>
        <w:br w:type="page"/>
      </w:r>
    </w:p>
    <w:p>
      <w:pPr>
        <w:pStyle w:val="23"/>
        <w:jc w:val="center"/>
        <w:rPr>
          <w:rFonts w:ascii="Times New Roman" w:hAnsi="Times New Roman"/>
          <w:b/>
          <w:bCs/>
          <w:sz w:val="24"/>
          <w:szCs w:val="24"/>
        </w:rPr>
      </w:pPr>
      <w:r>
        <w:rPr>
          <w:rFonts w:hint="eastAsia" w:ascii="Times New Roman" w:hAnsi="Times New Roman"/>
          <w:b/>
          <w:bCs/>
          <w:sz w:val="24"/>
          <w:szCs w:val="24"/>
        </w:rPr>
        <w:t>八、</w:t>
      </w:r>
      <w:r>
        <w:rPr>
          <w:rFonts w:ascii="Times New Roman" w:hAnsi="Times New Roman"/>
          <w:b/>
          <w:bCs/>
          <w:sz w:val="24"/>
          <w:szCs w:val="24"/>
        </w:rPr>
        <w:t>企业综合实力相关证明材料</w:t>
      </w:r>
    </w:p>
    <w:p>
      <w:pPr>
        <w:pStyle w:val="23"/>
        <w:ind w:firstLine="424" w:firstLineChars="200"/>
        <w:rPr>
          <w:szCs w:val="24"/>
        </w:rPr>
      </w:pPr>
    </w:p>
    <w:p>
      <w:pPr>
        <w:widowControl/>
        <w:jc w:val="left"/>
        <w:rPr>
          <w:b/>
          <w:bCs/>
          <w:sz w:val="24"/>
          <w:szCs w:val="24"/>
        </w:rPr>
      </w:pPr>
      <w:r>
        <w:rPr>
          <w:b/>
          <w:bCs/>
          <w:sz w:val="24"/>
          <w:szCs w:val="24"/>
        </w:rPr>
        <w:br w:type="page"/>
      </w:r>
    </w:p>
    <w:p>
      <w:pPr>
        <w:pStyle w:val="23"/>
        <w:jc w:val="center"/>
        <w:rPr>
          <w:rFonts w:ascii="Times New Roman" w:hAnsi="Times New Roman" w:eastAsia="MingLiU_HKSCS"/>
          <w:b/>
          <w:bCs/>
          <w:sz w:val="24"/>
          <w:szCs w:val="24"/>
        </w:rPr>
      </w:pPr>
      <w:r>
        <w:rPr>
          <w:rFonts w:hint="eastAsia" w:ascii="Times New Roman" w:hAnsi="Times New Roman"/>
          <w:b/>
          <w:bCs/>
          <w:sz w:val="24"/>
          <w:szCs w:val="24"/>
        </w:rPr>
        <w:t>九、提供符合政府采购政策的证明材料</w:t>
      </w:r>
    </w:p>
    <w:p>
      <w:pPr>
        <w:pStyle w:val="23"/>
        <w:spacing w:line="440" w:lineRule="exact"/>
        <w:ind w:firstLine="484" w:firstLineChars="200"/>
        <w:rPr>
          <w:rFonts w:ascii="Times New Roman" w:hAnsi="Times New Roman"/>
          <w:sz w:val="24"/>
          <w:szCs w:val="24"/>
        </w:rPr>
      </w:pPr>
      <w:r>
        <w:rPr>
          <w:rFonts w:hint="eastAsia" w:ascii="Times New Roman" w:hAnsi="Times New Roman"/>
          <w:sz w:val="24"/>
          <w:szCs w:val="24"/>
        </w:rPr>
        <w:t>附件3-1</w:t>
      </w:r>
    </w:p>
    <w:p>
      <w:pPr>
        <w:tabs>
          <w:tab w:val="left" w:pos="814"/>
        </w:tabs>
        <w:spacing w:line="440" w:lineRule="exact"/>
        <w:jc w:val="center"/>
        <w:rPr>
          <w:sz w:val="24"/>
          <w:szCs w:val="24"/>
        </w:rPr>
      </w:pPr>
      <w:r>
        <w:rPr>
          <w:rFonts w:hint="eastAsia"/>
          <w:sz w:val="24"/>
          <w:szCs w:val="24"/>
        </w:rPr>
        <w:t>中小企业声明函</w:t>
      </w:r>
    </w:p>
    <w:p>
      <w:pPr>
        <w:pStyle w:val="23"/>
        <w:spacing w:line="440" w:lineRule="exact"/>
        <w:ind w:firstLine="484" w:firstLineChars="200"/>
        <w:rPr>
          <w:rFonts w:ascii="Times New Roman" w:hAnsi="Times New Roman" w:eastAsia="MingLiU_HKSCS"/>
          <w:sz w:val="24"/>
          <w:szCs w:val="24"/>
        </w:rPr>
      </w:pPr>
      <w:r>
        <w:rPr>
          <w:rFonts w:hint="eastAsia" w:ascii="Times New Roman" w:hAnsi="Times New Roman"/>
          <w:sz w:val="24"/>
          <w:szCs w:val="24"/>
        </w:rPr>
        <w:t>本单位郑重声明</w:t>
      </w:r>
      <w:r>
        <w:rPr>
          <w:rFonts w:hint="eastAsia" w:ascii="Times New Roman" w:hAnsi="Times New Roman" w:eastAsia="MingLiU_HKSCS"/>
          <w:sz w:val="24"/>
          <w:szCs w:val="24"/>
        </w:rPr>
        <w:t>，</w:t>
      </w:r>
      <w:r>
        <w:rPr>
          <w:rFonts w:hint="eastAsia" w:ascii="Times New Roman" w:hAnsi="Times New Roman"/>
          <w:sz w:val="24"/>
          <w:szCs w:val="24"/>
        </w:rPr>
        <w:t>根据《政府采购促进中小企业发展暂行办法》</w:t>
      </w:r>
      <w:r>
        <w:rPr>
          <w:rFonts w:ascii="Times New Roman" w:hAnsi="Times New Roman"/>
          <w:sz w:val="24"/>
          <w:szCs w:val="24"/>
        </w:rPr>
        <w:t>(</w:t>
      </w:r>
      <w:r>
        <w:rPr>
          <w:rFonts w:hint="eastAsia" w:ascii="Times New Roman" w:hAnsi="Times New Roman"/>
          <w:sz w:val="24"/>
          <w:szCs w:val="24"/>
        </w:rPr>
        <w:t>财库〔</w:t>
      </w:r>
      <w:r>
        <w:rPr>
          <w:rFonts w:ascii="Times New Roman" w:hAnsi="Times New Roman"/>
          <w:sz w:val="24"/>
          <w:szCs w:val="24"/>
        </w:rPr>
        <w:t>2011</w:t>
      </w:r>
      <w:r>
        <w:rPr>
          <w:rFonts w:hint="eastAsia" w:ascii="Times New Roman" w:hAnsi="Times New Roman"/>
          <w:sz w:val="24"/>
          <w:szCs w:val="24"/>
        </w:rPr>
        <w:t>〕</w:t>
      </w:r>
      <w:r>
        <w:rPr>
          <w:rFonts w:ascii="Times New Roman" w:hAnsi="Times New Roman"/>
          <w:sz w:val="24"/>
          <w:szCs w:val="24"/>
        </w:rPr>
        <w:t>181</w:t>
      </w:r>
      <w:r>
        <w:rPr>
          <w:rFonts w:hint="eastAsia" w:ascii="Times New Roman" w:hAnsi="Times New Roman"/>
          <w:sz w:val="24"/>
          <w:szCs w:val="24"/>
        </w:rPr>
        <w:t>号</w:t>
      </w:r>
      <w:r>
        <w:rPr>
          <w:rFonts w:ascii="Times New Roman" w:hAnsi="Times New Roman"/>
          <w:sz w:val="24"/>
          <w:szCs w:val="24"/>
        </w:rPr>
        <w:t>)</w:t>
      </w:r>
      <w:r>
        <w:rPr>
          <w:rFonts w:hint="eastAsia" w:ascii="Times New Roman" w:hAnsi="Times New Roman"/>
          <w:sz w:val="24"/>
          <w:szCs w:val="24"/>
        </w:rPr>
        <w:t>的规定</w:t>
      </w:r>
      <w:r>
        <w:rPr>
          <w:rFonts w:hint="eastAsia" w:ascii="Times New Roman" w:hAnsi="Times New Roman" w:eastAsia="MingLiU_HKSCS"/>
          <w:sz w:val="24"/>
          <w:szCs w:val="24"/>
        </w:rPr>
        <w:t>，</w:t>
      </w:r>
      <w:r>
        <w:rPr>
          <w:rFonts w:hint="eastAsia" w:ascii="Times New Roman" w:hAnsi="Times New Roman"/>
          <w:sz w:val="24"/>
          <w:szCs w:val="24"/>
        </w:rPr>
        <w:t>本单位为</w:t>
      </w:r>
      <w:r>
        <w:rPr>
          <w:rFonts w:ascii="Times New Roman" w:hAnsi="Times New Roman"/>
          <w:sz w:val="24"/>
          <w:szCs w:val="24"/>
        </w:rPr>
        <w:t>____________(</w:t>
      </w:r>
      <w:r>
        <w:rPr>
          <w:rFonts w:hint="eastAsia" w:ascii="Times New Roman" w:hAnsi="Times New Roman"/>
          <w:sz w:val="24"/>
          <w:szCs w:val="24"/>
        </w:rPr>
        <w:t>请填写：中型、小型、微型</w:t>
      </w:r>
      <w:r>
        <w:rPr>
          <w:rFonts w:ascii="Times New Roman" w:hAnsi="Times New Roman"/>
          <w:sz w:val="24"/>
          <w:szCs w:val="24"/>
        </w:rPr>
        <w:t>)</w:t>
      </w:r>
      <w:r>
        <w:rPr>
          <w:rFonts w:hint="eastAsia" w:ascii="Times New Roman" w:hAnsi="Times New Roman"/>
          <w:sz w:val="24"/>
          <w:szCs w:val="24"/>
        </w:rPr>
        <w:t>企业。即</w:t>
      </w:r>
      <w:r>
        <w:rPr>
          <w:rFonts w:hint="eastAsia" w:ascii="Times New Roman" w:hAnsi="Times New Roman" w:eastAsia="MingLiU_HKSCS"/>
          <w:sz w:val="24"/>
          <w:szCs w:val="24"/>
        </w:rPr>
        <w:t>，</w:t>
      </w:r>
      <w:r>
        <w:rPr>
          <w:rFonts w:hint="eastAsia" w:ascii="Times New Roman" w:hAnsi="Times New Roman"/>
          <w:sz w:val="24"/>
          <w:szCs w:val="24"/>
        </w:rPr>
        <w:t>本单位同时满足以下条件：</w:t>
      </w:r>
    </w:p>
    <w:p>
      <w:pPr>
        <w:pStyle w:val="23"/>
        <w:spacing w:line="440" w:lineRule="exact"/>
        <w:ind w:firstLine="484" w:firstLineChars="200"/>
        <w:rPr>
          <w:rFonts w:ascii="Times New Roman" w:hAnsi="Times New Roman" w:eastAsia="MingLiU_HKSCS"/>
          <w:sz w:val="24"/>
          <w:szCs w:val="24"/>
        </w:rPr>
      </w:pPr>
      <w:r>
        <w:rPr>
          <w:rFonts w:ascii="Times New Roman" w:hAnsi="Times New Roman"/>
          <w:sz w:val="24"/>
          <w:szCs w:val="24"/>
        </w:rPr>
        <w:t>1.</w:t>
      </w:r>
      <w:r>
        <w:rPr>
          <w:rFonts w:hint="eastAsia" w:ascii="Times New Roman" w:hAnsi="Times New Roman"/>
          <w:sz w:val="24"/>
          <w:szCs w:val="24"/>
        </w:rPr>
        <w:t>根据《工业和信息化部　国家统计局　国家发展和改革委员会　财政部关于印发中小企业划型标准规定的通知》</w:t>
      </w:r>
      <w:r>
        <w:rPr>
          <w:rFonts w:ascii="Times New Roman" w:hAnsi="Times New Roman"/>
          <w:sz w:val="24"/>
          <w:szCs w:val="24"/>
        </w:rPr>
        <w:t>(</w:t>
      </w:r>
      <w:r>
        <w:rPr>
          <w:rFonts w:hint="eastAsia" w:ascii="Times New Roman" w:hAnsi="Times New Roman"/>
          <w:sz w:val="24"/>
          <w:szCs w:val="24"/>
        </w:rPr>
        <w:t>工信部联企业〔</w:t>
      </w:r>
      <w:r>
        <w:rPr>
          <w:rFonts w:ascii="Times New Roman" w:hAnsi="Times New Roman"/>
          <w:sz w:val="24"/>
          <w:szCs w:val="24"/>
        </w:rPr>
        <w:t>2011</w:t>
      </w:r>
      <w:r>
        <w:rPr>
          <w:rFonts w:hint="eastAsia" w:ascii="Times New Roman" w:hAnsi="Times New Roman"/>
          <w:sz w:val="24"/>
          <w:szCs w:val="24"/>
        </w:rPr>
        <w:t>〕</w:t>
      </w:r>
      <w:r>
        <w:rPr>
          <w:rFonts w:ascii="Times New Roman" w:hAnsi="Times New Roman"/>
          <w:sz w:val="24"/>
          <w:szCs w:val="24"/>
        </w:rPr>
        <w:t>300</w:t>
      </w:r>
      <w:r>
        <w:rPr>
          <w:rFonts w:hint="eastAsia" w:ascii="Times New Roman" w:hAnsi="Times New Roman"/>
          <w:sz w:val="24"/>
          <w:szCs w:val="24"/>
        </w:rPr>
        <w:t>号</w:t>
      </w:r>
      <w:r>
        <w:rPr>
          <w:rFonts w:ascii="Times New Roman" w:hAnsi="Times New Roman"/>
          <w:sz w:val="24"/>
          <w:szCs w:val="24"/>
        </w:rPr>
        <w:t>)</w:t>
      </w:r>
      <w:r>
        <w:rPr>
          <w:rFonts w:hint="eastAsia" w:ascii="Times New Roman" w:hAnsi="Times New Roman"/>
          <w:sz w:val="24"/>
          <w:szCs w:val="24"/>
        </w:rPr>
        <w:t>规定的划分标准</w:t>
      </w:r>
      <w:r>
        <w:rPr>
          <w:rFonts w:hint="eastAsia" w:ascii="Times New Roman" w:hAnsi="Times New Roman" w:eastAsia="MingLiU_HKSCS"/>
          <w:sz w:val="24"/>
          <w:szCs w:val="24"/>
        </w:rPr>
        <w:t>，</w:t>
      </w:r>
      <w:r>
        <w:rPr>
          <w:rFonts w:hint="eastAsia" w:ascii="Times New Roman" w:hAnsi="Times New Roman"/>
          <w:sz w:val="24"/>
          <w:szCs w:val="24"/>
        </w:rPr>
        <w:t>本单位为</w:t>
      </w:r>
      <w:r>
        <w:rPr>
          <w:rFonts w:ascii="Times New Roman" w:hAnsi="Times New Roman"/>
          <w:sz w:val="24"/>
          <w:szCs w:val="24"/>
        </w:rPr>
        <w:t>______(</w:t>
      </w:r>
      <w:r>
        <w:rPr>
          <w:rFonts w:hint="eastAsia" w:ascii="Times New Roman" w:hAnsi="Times New Roman"/>
          <w:sz w:val="24"/>
          <w:szCs w:val="24"/>
        </w:rPr>
        <w:t>请填写：中型、小型、微型</w:t>
      </w:r>
      <w:r>
        <w:rPr>
          <w:rFonts w:ascii="Times New Roman" w:hAnsi="Times New Roman"/>
          <w:sz w:val="24"/>
          <w:szCs w:val="24"/>
        </w:rPr>
        <w:t>)</w:t>
      </w:r>
      <w:r>
        <w:rPr>
          <w:rFonts w:hint="eastAsia" w:ascii="Times New Roman" w:hAnsi="Times New Roman"/>
          <w:sz w:val="24"/>
          <w:szCs w:val="24"/>
        </w:rPr>
        <w:t>企业。</w:t>
      </w:r>
    </w:p>
    <w:p>
      <w:pPr>
        <w:pStyle w:val="23"/>
        <w:spacing w:line="440" w:lineRule="exact"/>
        <w:ind w:firstLine="484" w:firstLineChars="200"/>
        <w:rPr>
          <w:rFonts w:ascii="Times New Roman" w:hAnsi="Times New Roman" w:eastAsia="MingLiU_HKSCS"/>
          <w:sz w:val="24"/>
          <w:szCs w:val="24"/>
        </w:rPr>
      </w:pPr>
      <w:r>
        <w:rPr>
          <w:rFonts w:ascii="Times New Roman" w:hAnsi="Times New Roman"/>
          <w:sz w:val="24"/>
          <w:szCs w:val="24"/>
        </w:rPr>
        <w:t>2.</w:t>
      </w:r>
      <w:r>
        <w:rPr>
          <w:rFonts w:hint="eastAsia" w:ascii="Times New Roman" w:hAnsi="Times New Roman"/>
          <w:sz w:val="24"/>
          <w:szCs w:val="24"/>
        </w:rPr>
        <w:t>本单位参加</w:t>
      </w:r>
      <w:r>
        <w:rPr>
          <w:rFonts w:ascii="Times New Roman" w:hAnsi="Times New Roman"/>
          <w:sz w:val="24"/>
          <w:szCs w:val="24"/>
        </w:rPr>
        <w:t>____________</w:t>
      </w:r>
      <w:r>
        <w:rPr>
          <w:rFonts w:hint="eastAsia" w:ascii="Times New Roman" w:hAnsi="Times New Roman"/>
          <w:sz w:val="24"/>
          <w:szCs w:val="24"/>
        </w:rPr>
        <w:t>单位的</w:t>
      </w:r>
      <w:r>
        <w:rPr>
          <w:rFonts w:ascii="Times New Roman" w:hAnsi="Times New Roman"/>
          <w:sz w:val="24"/>
          <w:szCs w:val="24"/>
        </w:rPr>
        <w:t>____________</w:t>
      </w:r>
      <w:r>
        <w:rPr>
          <w:rFonts w:hint="eastAsia" w:ascii="Times New Roman" w:hAnsi="Times New Roman"/>
          <w:sz w:val="24"/>
          <w:szCs w:val="24"/>
        </w:rPr>
        <w:t>项目采购活动提供本企业制造的货物</w:t>
      </w:r>
      <w:r>
        <w:rPr>
          <w:rFonts w:hint="eastAsia" w:ascii="Times New Roman" w:hAnsi="Times New Roman" w:eastAsia="MingLiU_HKSCS"/>
          <w:sz w:val="24"/>
          <w:szCs w:val="24"/>
        </w:rPr>
        <w:t>，</w:t>
      </w:r>
      <w:r>
        <w:rPr>
          <w:rFonts w:hint="eastAsia" w:ascii="Times New Roman" w:hAnsi="Times New Roman"/>
          <w:sz w:val="24"/>
          <w:szCs w:val="24"/>
        </w:rPr>
        <w:t>由本企业提供服务</w:t>
      </w:r>
      <w:r>
        <w:rPr>
          <w:rFonts w:hint="eastAsia" w:ascii="Times New Roman" w:hAnsi="Times New Roman" w:eastAsia="MingLiU_HKSCS"/>
          <w:sz w:val="24"/>
          <w:szCs w:val="24"/>
        </w:rPr>
        <w:t>，</w:t>
      </w:r>
      <w:r>
        <w:rPr>
          <w:rFonts w:hint="eastAsia" w:ascii="Times New Roman" w:hAnsi="Times New Roman"/>
          <w:sz w:val="24"/>
          <w:szCs w:val="24"/>
        </w:rPr>
        <w:t>或者提供其他</w:t>
      </w:r>
      <w:r>
        <w:rPr>
          <w:rFonts w:ascii="Times New Roman" w:hAnsi="Times New Roman"/>
          <w:sz w:val="24"/>
          <w:szCs w:val="24"/>
        </w:rPr>
        <w:t>____________(</w:t>
      </w:r>
      <w:r>
        <w:rPr>
          <w:rFonts w:hint="eastAsia" w:ascii="Times New Roman" w:hAnsi="Times New Roman"/>
          <w:sz w:val="24"/>
          <w:szCs w:val="24"/>
        </w:rPr>
        <w:t>请填写：中型、小型、微型</w:t>
      </w:r>
      <w:r>
        <w:rPr>
          <w:rFonts w:ascii="Times New Roman" w:hAnsi="Times New Roman"/>
          <w:sz w:val="24"/>
          <w:szCs w:val="24"/>
        </w:rPr>
        <w:t>)</w:t>
      </w:r>
      <w:r>
        <w:rPr>
          <w:rFonts w:hint="eastAsia" w:ascii="Times New Roman" w:hAnsi="Times New Roman"/>
          <w:sz w:val="24"/>
          <w:szCs w:val="24"/>
        </w:rPr>
        <w:t>企业制造的货物。本条所称货物不包括使用大型企业注册商标的货物。</w:t>
      </w:r>
    </w:p>
    <w:p>
      <w:pPr>
        <w:pStyle w:val="23"/>
        <w:spacing w:line="440" w:lineRule="exact"/>
        <w:ind w:firstLine="484" w:firstLineChars="200"/>
        <w:rPr>
          <w:rFonts w:ascii="Times New Roman" w:hAnsi="Times New Roman" w:eastAsia="MingLiU_HKSCS"/>
          <w:sz w:val="24"/>
          <w:szCs w:val="24"/>
        </w:rPr>
      </w:pPr>
      <w:r>
        <w:rPr>
          <w:rFonts w:hint="eastAsia" w:ascii="Times New Roman" w:hAnsi="Times New Roman"/>
          <w:sz w:val="24"/>
          <w:szCs w:val="24"/>
        </w:rPr>
        <w:t>本单位对上述声明的真实性负责。如有虚假</w:t>
      </w:r>
      <w:r>
        <w:rPr>
          <w:rFonts w:hint="eastAsia" w:ascii="Times New Roman" w:hAnsi="Times New Roman" w:eastAsia="MingLiU_HKSCS"/>
          <w:sz w:val="24"/>
          <w:szCs w:val="24"/>
        </w:rPr>
        <w:t>，</w:t>
      </w:r>
      <w:r>
        <w:rPr>
          <w:rFonts w:hint="eastAsia" w:ascii="Times New Roman" w:hAnsi="Times New Roman"/>
          <w:sz w:val="24"/>
          <w:szCs w:val="24"/>
        </w:rPr>
        <w:t>将依法承担相应责任。</w:t>
      </w:r>
    </w:p>
    <w:p>
      <w:pPr>
        <w:pStyle w:val="23"/>
        <w:spacing w:line="440" w:lineRule="exact"/>
        <w:ind w:firstLine="484" w:firstLineChars="200"/>
        <w:rPr>
          <w:rFonts w:ascii="Times New Roman" w:hAnsi="Times New Roman" w:eastAsia="MingLiU_HKSCS"/>
          <w:sz w:val="24"/>
          <w:szCs w:val="24"/>
        </w:rPr>
      </w:pPr>
    </w:p>
    <w:p>
      <w:pPr>
        <w:pStyle w:val="23"/>
        <w:spacing w:line="440" w:lineRule="exact"/>
        <w:ind w:firstLine="484" w:firstLineChars="200"/>
        <w:jc w:val="right"/>
        <w:rPr>
          <w:rFonts w:ascii="Times New Roman" w:hAnsi="Times New Roman" w:eastAsia="MingLiU_HKSCS"/>
          <w:sz w:val="24"/>
          <w:szCs w:val="24"/>
        </w:rPr>
      </w:pPr>
      <w:r>
        <w:rPr>
          <w:rFonts w:hint="eastAsia" w:ascii="Times New Roman" w:hAnsi="Times New Roman"/>
          <w:sz w:val="24"/>
          <w:szCs w:val="24"/>
        </w:rPr>
        <w:t>企业名称</w:t>
      </w:r>
      <w:r>
        <w:rPr>
          <w:rFonts w:ascii="Times New Roman" w:hAnsi="Times New Roman"/>
          <w:sz w:val="24"/>
          <w:szCs w:val="24"/>
        </w:rPr>
        <w:t>(</w:t>
      </w:r>
      <w:r>
        <w:rPr>
          <w:rFonts w:hint="eastAsia" w:ascii="Times New Roman" w:hAnsi="Times New Roman"/>
          <w:sz w:val="24"/>
          <w:szCs w:val="24"/>
        </w:rPr>
        <w:t>公章</w:t>
      </w:r>
      <w:r>
        <w:rPr>
          <w:rFonts w:ascii="Times New Roman" w:hAnsi="Times New Roman"/>
          <w:sz w:val="24"/>
          <w:szCs w:val="24"/>
        </w:rPr>
        <w:t>)</w:t>
      </w:r>
      <w:r>
        <w:rPr>
          <w:rFonts w:hint="eastAsia" w:ascii="Times New Roman" w:hAnsi="Times New Roman"/>
          <w:sz w:val="24"/>
          <w:szCs w:val="24"/>
        </w:rPr>
        <w:t>：</w:t>
      </w:r>
      <w:r>
        <w:rPr>
          <w:rFonts w:ascii="Times New Roman" w:hAnsi="Times New Roman"/>
          <w:sz w:val="24"/>
          <w:szCs w:val="24"/>
        </w:rPr>
        <w:t>____________</w:t>
      </w:r>
      <w:r>
        <w:rPr>
          <w:rFonts w:ascii="Times New Roman" w:hAnsi="Times New Roman"/>
          <w:sz w:val="24"/>
          <w:szCs w:val="24"/>
        </w:rPr>
        <w:tab/>
      </w:r>
      <w:r>
        <w:rPr>
          <w:rFonts w:ascii="Times New Roman" w:hAnsi="Times New Roman"/>
          <w:sz w:val="24"/>
          <w:szCs w:val="24"/>
        </w:rPr>
        <w:tab/>
      </w:r>
    </w:p>
    <w:p>
      <w:pPr>
        <w:pStyle w:val="23"/>
        <w:spacing w:line="440" w:lineRule="exact"/>
        <w:ind w:firstLine="484" w:firstLineChars="200"/>
        <w:jc w:val="center"/>
        <w:rPr>
          <w:rFonts w:ascii="Times New Roman" w:hAnsi="Times New Roman" w:eastAsia="MingLiU_HKSCS"/>
          <w:sz w:val="24"/>
          <w:szCs w:val="24"/>
        </w:rPr>
      </w:pPr>
      <w:r>
        <w:rPr>
          <w:rFonts w:hint="eastAsia" w:ascii="Times New Roman" w:hAnsi="Times New Roman"/>
          <w:sz w:val="24"/>
          <w:szCs w:val="24"/>
        </w:rPr>
        <w:t xml:space="preserve">                                      日  期：</w:t>
      </w:r>
      <w:r>
        <w:rPr>
          <w:rFonts w:ascii="Times New Roman" w:hAnsi="Times New Roman"/>
          <w:sz w:val="24"/>
          <w:szCs w:val="24"/>
        </w:rPr>
        <w:t>________________________</w:t>
      </w:r>
      <w:r>
        <w:rPr>
          <w:rFonts w:ascii="Times New Roman" w:hAnsi="Times New Roman"/>
          <w:sz w:val="24"/>
          <w:szCs w:val="24"/>
        </w:rPr>
        <w:tab/>
      </w:r>
    </w:p>
    <w:p>
      <w:pPr>
        <w:pStyle w:val="23"/>
        <w:spacing w:line="440" w:lineRule="exact"/>
        <w:ind w:firstLine="484" w:firstLineChars="200"/>
        <w:rPr>
          <w:rFonts w:ascii="Times New Roman" w:hAnsi="Times New Roman" w:eastAsia="MingLiU_HKSCS"/>
          <w:sz w:val="24"/>
          <w:szCs w:val="24"/>
        </w:rPr>
      </w:pPr>
    </w:p>
    <w:p>
      <w:pPr>
        <w:pStyle w:val="23"/>
        <w:spacing w:line="440" w:lineRule="exact"/>
        <w:ind w:firstLine="484" w:firstLineChars="200"/>
        <w:rPr>
          <w:rFonts w:ascii="Times New Roman" w:hAnsi="Times New Roman" w:eastAsia="MingLiU_HKSCS"/>
          <w:sz w:val="24"/>
          <w:szCs w:val="24"/>
        </w:rPr>
      </w:pPr>
      <w:r>
        <w:rPr>
          <w:rFonts w:hint="eastAsia" w:ascii="Times New Roman" w:hAnsi="Times New Roman"/>
          <w:sz w:val="24"/>
          <w:szCs w:val="24"/>
        </w:rPr>
        <w:t>备注：</w:t>
      </w:r>
      <w:r>
        <w:rPr>
          <w:rFonts w:ascii="Times New Roman" w:hAnsi="Times New Roman"/>
          <w:sz w:val="24"/>
          <w:szCs w:val="24"/>
        </w:rPr>
        <w:t>1.</w:t>
      </w:r>
      <w:r>
        <w:rPr>
          <w:rFonts w:hint="eastAsia" w:ascii="Times New Roman" w:hAnsi="Times New Roman"/>
          <w:sz w:val="24"/>
          <w:szCs w:val="24"/>
        </w:rPr>
        <w:t>填写前请认真阅读《工业和信息化部　国家统计局　国家发展和改革委员会　财政部关于印发中小企业划型标准规定的通知》</w:t>
      </w:r>
      <w:r>
        <w:rPr>
          <w:rFonts w:ascii="Times New Roman" w:hAnsi="Times New Roman"/>
          <w:sz w:val="24"/>
          <w:szCs w:val="24"/>
        </w:rPr>
        <w:t>(</w:t>
      </w:r>
      <w:r>
        <w:rPr>
          <w:rFonts w:hint="eastAsia" w:ascii="Times New Roman" w:hAnsi="Times New Roman"/>
          <w:sz w:val="24"/>
          <w:szCs w:val="24"/>
        </w:rPr>
        <w:t>工信部联企业〔</w:t>
      </w:r>
      <w:r>
        <w:rPr>
          <w:rFonts w:ascii="Times New Roman" w:hAnsi="Times New Roman"/>
          <w:sz w:val="24"/>
          <w:szCs w:val="24"/>
        </w:rPr>
        <w:t>2011</w:t>
      </w:r>
      <w:r>
        <w:rPr>
          <w:rFonts w:hint="eastAsia" w:ascii="Times New Roman" w:hAnsi="Times New Roman"/>
          <w:sz w:val="24"/>
          <w:szCs w:val="24"/>
        </w:rPr>
        <w:t>〕</w:t>
      </w:r>
      <w:r>
        <w:rPr>
          <w:rFonts w:ascii="Times New Roman" w:hAnsi="Times New Roman"/>
          <w:sz w:val="24"/>
          <w:szCs w:val="24"/>
        </w:rPr>
        <w:t>300</w:t>
      </w:r>
      <w:r>
        <w:rPr>
          <w:rFonts w:hint="eastAsia" w:ascii="Times New Roman" w:hAnsi="Times New Roman"/>
          <w:sz w:val="24"/>
          <w:szCs w:val="24"/>
        </w:rPr>
        <w:t>号</w:t>
      </w:r>
      <w:r>
        <w:rPr>
          <w:rFonts w:ascii="Times New Roman" w:hAnsi="Times New Roman"/>
          <w:sz w:val="24"/>
          <w:szCs w:val="24"/>
        </w:rPr>
        <w:t>)</w:t>
      </w:r>
      <w:r>
        <w:rPr>
          <w:rFonts w:hint="eastAsia" w:ascii="Times New Roman" w:hAnsi="Times New Roman"/>
          <w:sz w:val="24"/>
          <w:szCs w:val="24"/>
        </w:rPr>
        <w:t>和《财政部　工业和信息化部关于印发〈政府采购促进中小企业发展暂行办法〉的通知》</w:t>
      </w:r>
      <w:r>
        <w:rPr>
          <w:rFonts w:ascii="Times New Roman" w:hAnsi="Times New Roman"/>
          <w:sz w:val="24"/>
          <w:szCs w:val="24"/>
        </w:rPr>
        <w:t>(</w:t>
      </w:r>
      <w:r>
        <w:rPr>
          <w:rFonts w:hint="eastAsia" w:ascii="Times New Roman" w:hAnsi="Times New Roman"/>
          <w:sz w:val="24"/>
          <w:szCs w:val="24"/>
        </w:rPr>
        <w:t>财库〔</w:t>
      </w:r>
      <w:r>
        <w:rPr>
          <w:rFonts w:ascii="Times New Roman" w:hAnsi="Times New Roman"/>
          <w:sz w:val="24"/>
          <w:szCs w:val="24"/>
        </w:rPr>
        <w:t>2011</w:t>
      </w:r>
      <w:r>
        <w:rPr>
          <w:rFonts w:hint="eastAsia" w:ascii="Times New Roman" w:hAnsi="Times New Roman"/>
          <w:sz w:val="24"/>
          <w:szCs w:val="24"/>
        </w:rPr>
        <w:t>〕</w:t>
      </w:r>
      <w:r>
        <w:rPr>
          <w:rFonts w:ascii="Times New Roman" w:hAnsi="Times New Roman"/>
          <w:sz w:val="24"/>
          <w:szCs w:val="24"/>
        </w:rPr>
        <w:t>181</w:t>
      </w:r>
      <w:r>
        <w:rPr>
          <w:rFonts w:hint="eastAsia" w:ascii="Times New Roman" w:hAnsi="Times New Roman"/>
          <w:sz w:val="24"/>
          <w:szCs w:val="24"/>
        </w:rPr>
        <w:t>号</w:t>
      </w:r>
      <w:r>
        <w:rPr>
          <w:rFonts w:ascii="Times New Roman" w:hAnsi="Times New Roman"/>
          <w:sz w:val="24"/>
          <w:szCs w:val="24"/>
        </w:rPr>
        <w:t>)</w:t>
      </w:r>
      <w:r>
        <w:rPr>
          <w:rFonts w:hint="eastAsia" w:ascii="Times New Roman" w:hAnsi="Times New Roman"/>
          <w:sz w:val="24"/>
          <w:szCs w:val="24"/>
        </w:rPr>
        <w:t>相关规定。</w:t>
      </w:r>
      <w:r>
        <w:rPr>
          <w:rFonts w:ascii="Times New Roman" w:hAnsi="Times New Roman"/>
          <w:sz w:val="24"/>
          <w:szCs w:val="24"/>
        </w:rPr>
        <w:br w:type="page"/>
      </w:r>
      <w:r>
        <w:rPr>
          <w:rFonts w:hint="eastAsia" w:ascii="Times New Roman" w:hAnsi="Times New Roman"/>
          <w:sz w:val="24"/>
          <w:szCs w:val="24"/>
        </w:rPr>
        <w:t>附件3-</w:t>
      </w:r>
      <w:r>
        <w:rPr>
          <w:rFonts w:ascii="Times New Roman" w:hAnsi="Times New Roman"/>
          <w:sz w:val="24"/>
          <w:szCs w:val="24"/>
        </w:rPr>
        <w:t>2</w:t>
      </w:r>
      <w:r>
        <w:rPr>
          <w:rFonts w:hint="eastAsia" w:ascii="Times New Roman" w:hAnsi="Times New Roman"/>
          <w:sz w:val="24"/>
          <w:szCs w:val="24"/>
        </w:rPr>
        <w:t>　</w:t>
      </w:r>
      <w:r>
        <w:rPr>
          <w:rFonts w:hint="eastAsia"/>
          <w:sz w:val="24"/>
          <w:szCs w:val="24"/>
        </w:rPr>
        <w:t>“</w:t>
      </w:r>
      <w:r>
        <w:rPr>
          <w:rFonts w:hint="eastAsia" w:ascii="Times New Roman" w:hAnsi="Times New Roman"/>
          <w:sz w:val="24"/>
          <w:szCs w:val="24"/>
        </w:rPr>
        <w:t>节能产品</w:t>
      </w:r>
      <w:r>
        <w:rPr>
          <w:rFonts w:hint="eastAsia"/>
          <w:sz w:val="24"/>
          <w:szCs w:val="24"/>
        </w:rPr>
        <w:t>”“</w:t>
      </w:r>
      <w:r>
        <w:rPr>
          <w:rFonts w:hint="eastAsia" w:ascii="Times New Roman" w:hAnsi="Times New Roman"/>
          <w:sz w:val="24"/>
          <w:szCs w:val="24"/>
        </w:rPr>
        <w:t>环境标志产品</w:t>
      </w:r>
      <w:r>
        <w:rPr>
          <w:rFonts w:hint="eastAsia"/>
          <w:sz w:val="24"/>
          <w:szCs w:val="24"/>
        </w:rPr>
        <w:t>”</w:t>
      </w:r>
      <w:r>
        <w:rPr>
          <w:rFonts w:hint="eastAsia" w:ascii="Times New Roman" w:hAnsi="Times New Roman"/>
          <w:sz w:val="24"/>
          <w:szCs w:val="24"/>
        </w:rPr>
        <w:t>、信息安全认证产品等政府采购法律法规规定的其他证明材料文件</w:t>
      </w:r>
    </w:p>
    <w:p>
      <w:pPr>
        <w:pStyle w:val="23"/>
        <w:spacing w:line="440" w:lineRule="exact"/>
        <w:ind w:firstLine="484" w:firstLineChars="200"/>
        <w:rPr>
          <w:rFonts w:ascii="Times New Roman" w:hAnsi="Times New Roman" w:eastAsia="MingLiU_HKSCS"/>
          <w:sz w:val="24"/>
          <w:szCs w:val="24"/>
        </w:rPr>
      </w:pPr>
      <w:r>
        <w:rPr>
          <w:rFonts w:hint="eastAsia" w:ascii="Times New Roman" w:hAnsi="Times New Roman"/>
          <w:sz w:val="24"/>
          <w:szCs w:val="24"/>
        </w:rPr>
        <w:t>说明：</w:t>
      </w:r>
    </w:p>
    <w:p>
      <w:pPr>
        <w:pStyle w:val="23"/>
        <w:spacing w:line="440" w:lineRule="exact"/>
        <w:ind w:firstLine="484" w:firstLineChars="200"/>
        <w:rPr>
          <w:rFonts w:ascii="Times New Roman" w:hAnsi="Times New Roman" w:eastAsia="MingLiU_HKSCS"/>
          <w:sz w:val="24"/>
          <w:szCs w:val="24"/>
        </w:rPr>
      </w:pPr>
      <w:r>
        <w:rPr>
          <w:rFonts w:ascii="Times New Roman" w:hAnsi="Times New Roman"/>
          <w:sz w:val="24"/>
          <w:szCs w:val="24"/>
        </w:rPr>
        <w:t>1.</w:t>
      </w:r>
      <w:r>
        <w:rPr>
          <w:rFonts w:hint="eastAsia" w:ascii="Times New Roman" w:hAnsi="Times New Roman"/>
          <w:sz w:val="24"/>
          <w:szCs w:val="24"/>
        </w:rPr>
        <w:t>供应商提供的产品属于《节能产品政府采购清单》内产品</w:t>
      </w:r>
      <w:r>
        <w:rPr>
          <w:rFonts w:hint="eastAsia" w:ascii="Times New Roman" w:hAnsi="Times New Roman" w:eastAsia="MingLiU_HKSCS"/>
          <w:sz w:val="24"/>
          <w:szCs w:val="24"/>
        </w:rPr>
        <w:t>，</w:t>
      </w:r>
      <w:r>
        <w:rPr>
          <w:rFonts w:hint="eastAsia" w:ascii="Times New Roman" w:hAnsi="Times New Roman"/>
          <w:sz w:val="24"/>
          <w:szCs w:val="24"/>
        </w:rPr>
        <w:t>应同时提供有效期内的节能产品证书及最新一期的节能产品政府采购清单首页及产品所在页的复印件</w:t>
      </w:r>
      <w:r>
        <w:rPr>
          <w:rFonts w:ascii="Times New Roman" w:hAnsi="Times New Roman"/>
          <w:sz w:val="24"/>
          <w:szCs w:val="24"/>
        </w:rPr>
        <w:t>(</w:t>
      </w:r>
      <w:r>
        <w:rPr>
          <w:rFonts w:hint="eastAsia" w:ascii="Times New Roman" w:hAnsi="Times New Roman"/>
          <w:sz w:val="24"/>
          <w:szCs w:val="24"/>
        </w:rPr>
        <w:t>均需要加盖供应商公章</w:t>
      </w:r>
      <w:r>
        <w:rPr>
          <w:rFonts w:ascii="Times New Roman" w:hAnsi="Times New Roman"/>
          <w:sz w:val="24"/>
          <w:szCs w:val="24"/>
        </w:rPr>
        <w:t>)</w:t>
      </w:r>
      <w:r>
        <w:rPr>
          <w:rFonts w:hint="eastAsia" w:ascii="Times New Roman" w:hAnsi="Times New Roman"/>
          <w:sz w:val="24"/>
          <w:szCs w:val="24"/>
        </w:rPr>
        <w:t>；</w:t>
      </w:r>
    </w:p>
    <w:p>
      <w:pPr>
        <w:pStyle w:val="23"/>
        <w:spacing w:line="440" w:lineRule="exact"/>
        <w:ind w:firstLine="484" w:firstLineChars="200"/>
        <w:rPr>
          <w:rFonts w:ascii="Times New Roman" w:hAnsi="Times New Roman" w:eastAsia="MingLiU_HKSCS"/>
          <w:sz w:val="24"/>
          <w:szCs w:val="24"/>
        </w:rPr>
      </w:pPr>
      <w:r>
        <w:rPr>
          <w:rFonts w:ascii="Times New Roman" w:hAnsi="Times New Roman"/>
          <w:sz w:val="24"/>
          <w:szCs w:val="24"/>
        </w:rPr>
        <w:t>2.</w:t>
      </w:r>
      <w:r>
        <w:rPr>
          <w:rFonts w:hint="eastAsia" w:ascii="Times New Roman" w:hAnsi="Times New Roman"/>
          <w:sz w:val="24"/>
          <w:szCs w:val="24"/>
        </w:rPr>
        <w:t>供应商提供的产品属于《环境标志产品政府采购清单》内产品</w:t>
      </w:r>
      <w:r>
        <w:rPr>
          <w:rFonts w:hint="eastAsia" w:ascii="Times New Roman" w:hAnsi="Times New Roman" w:eastAsia="MingLiU_HKSCS"/>
          <w:sz w:val="24"/>
          <w:szCs w:val="24"/>
        </w:rPr>
        <w:t>，</w:t>
      </w:r>
      <w:r>
        <w:rPr>
          <w:rFonts w:hint="eastAsia" w:ascii="Times New Roman" w:hAnsi="Times New Roman"/>
          <w:sz w:val="24"/>
          <w:szCs w:val="24"/>
        </w:rPr>
        <w:t>应同时提供有效期内的环境标志产品证书及最新一期的环境标志产品政府采购清单首页及产品所在页的复印件</w:t>
      </w:r>
      <w:r>
        <w:rPr>
          <w:rFonts w:ascii="Times New Roman" w:hAnsi="Times New Roman"/>
          <w:sz w:val="24"/>
          <w:szCs w:val="24"/>
        </w:rPr>
        <w:t>(</w:t>
      </w:r>
      <w:r>
        <w:rPr>
          <w:rFonts w:hint="eastAsia" w:ascii="Times New Roman" w:hAnsi="Times New Roman"/>
          <w:sz w:val="24"/>
          <w:szCs w:val="24"/>
        </w:rPr>
        <w:t>均需要加盖供应商公章</w:t>
      </w:r>
      <w:r>
        <w:rPr>
          <w:rFonts w:ascii="Times New Roman" w:hAnsi="Times New Roman"/>
          <w:sz w:val="24"/>
          <w:szCs w:val="24"/>
        </w:rPr>
        <w:t>)</w:t>
      </w:r>
      <w:r>
        <w:rPr>
          <w:rFonts w:hint="eastAsia" w:ascii="Times New Roman" w:hAnsi="Times New Roman"/>
          <w:sz w:val="24"/>
          <w:szCs w:val="24"/>
        </w:rPr>
        <w:t>；</w:t>
      </w:r>
    </w:p>
    <w:p>
      <w:pPr>
        <w:pStyle w:val="23"/>
        <w:spacing w:line="440" w:lineRule="exact"/>
        <w:ind w:firstLine="484" w:firstLineChars="200"/>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供应商提供的产品属于信息安全认证产品的</w:t>
      </w:r>
      <w:r>
        <w:rPr>
          <w:rFonts w:hint="eastAsia" w:ascii="Times New Roman" w:hAnsi="Times New Roman" w:eastAsia="MingLiU_HKSCS"/>
          <w:sz w:val="24"/>
          <w:szCs w:val="24"/>
        </w:rPr>
        <w:t>，</w:t>
      </w:r>
      <w:r>
        <w:rPr>
          <w:rFonts w:hint="eastAsia" w:ascii="Times New Roman" w:hAnsi="Times New Roman"/>
          <w:sz w:val="24"/>
          <w:szCs w:val="24"/>
        </w:rPr>
        <w:t>应提供相关证明；</w:t>
      </w:r>
    </w:p>
    <w:p>
      <w:pPr>
        <w:pStyle w:val="23"/>
        <w:spacing w:line="440" w:lineRule="exact"/>
        <w:ind w:firstLine="484" w:firstLineChars="200"/>
        <w:rPr>
          <w:rFonts w:ascii="Times New Roman" w:hAnsi="Times New Roman" w:eastAsia="MingLiU_HKSCS"/>
          <w:sz w:val="24"/>
          <w:szCs w:val="24"/>
        </w:rPr>
      </w:pPr>
      <w:r>
        <w:rPr>
          <w:rFonts w:ascii="Times New Roman" w:hAnsi="Times New Roman"/>
          <w:sz w:val="24"/>
          <w:szCs w:val="24"/>
        </w:rPr>
        <w:t>4.</w:t>
      </w:r>
      <w:r>
        <w:rPr>
          <w:rFonts w:hint="eastAsia" w:ascii="Times New Roman" w:hAnsi="Times New Roman"/>
          <w:sz w:val="24"/>
          <w:szCs w:val="24"/>
        </w:rPr>
        <w:t>未按上述要求提供、填写的</w:t>
      </w:r>
      <w:r>
        <w:rPr>
          <w:rFonts w:hint="eastAsia" w:ascii="Times New Roman" w:hAnsi="Times New Roman" w:eastAsia="MingLiU_HKSCS"/>
          <w:sz w:val="24"/>
          <w:szCs w:val="24"/>
        </w:rPr>
        <w:t>，</w:t>
      </w:r>
      <w:r>
        <w:rPr>
          <w:rFonts w:hint="eastAsia" w:ascii="Times New Roman" w:hAnsi="Times New Roman"/>
          <w:sz w:val="24"/>
          <w:szCs w:val="24"/>
        </w:rPr>
        <w:t>评标时不予以考虑。</w:t>
      </w:r>
    </w:p>
    <w:p>
      <w:pPr>
        <w:pStyle w:val="23"/>
        <w:spacing w:line="440" w:lineRule="exact"/>
        <w:ind w:firstLine="484" w:firstLineChars="200"/>
        <w:rPr>
          <w:rFonts w:ascii="Times New Roman" w:hAnsi="Times New Roman" w:eastAsia="MingLiU_HKSCS"/>
          <w:sz w:val="24"/>
          <w:szCs w:val="24"/>
        </w:rPr>
      </w:pPr>
      <w:r>
        <w:rPr>
          <w:rFonts w:ascii="Times New Roman" w:hAnsi="Times New Roman"/>
          <w:sz w:val="24"/>
          <w:szCs w:val="24"/>
        </w:rPr>
        <w:t>(</w:t>
      </w:r>
      <w:r>
        <w:rPr>
          <w:rFonts w:hint="eastAsia" w:ascii="Times New Roman" w:hAnsi="Times New Roman"/>
          <w:sz w:val="24"/>
          <w:szCs w:val="24"/>
        </w:rPr>
        <w:t>示例略</w:t>
      </w:r>
      <w:r>
        <w:rPr>
          <w:rFonts w:ascii="Times New Roman" w:hAnsi="Times New Roman"/>
          <w:sz w:val="24"/>
          <w:szCs w:val="24"/>
        </w:rPr>
        <w:t>)</w:t>
      </w:r>
    </w:p>
    <w:p>
      <w:pPr>
        <w:pStyle w:val="144"/>
        <w:spacing w:line="500" w:lineRule="exact"/>
        <w:rPr>
          <w:rFonts w:ascii="宋体" w:hAnsi="宋体"/>
          <w:szCs w:val="24"/>
        </w:rPr>
      </w:pPr>
    </w:p>
    <w:p>
      <w:pPr>
        <w:spacing w:line="500" w:lineRule="exact"/>
        <w:rPr>
          <w:rFonts w:ascii="宋体" w:hAnsi="宋体"/>
          <w:sz w:val="24"/>
          <w:szCs w:val="24"/>
        </w:rPr>
      </w:pPr>
    </w:p>
    <w:p>
      <w:pPr>
        <w:pStyle w:val="87"/>
        <w:spacing w:line="500" w:lineRule="exact"/>
        <w:jc w:val="both"/>
        <w:rPr>
          <w:rFonts w:ascii="宋体" w:hAnsi="宋体"/>
          <w:b/>
          <w:color w:val="auto"/>
        </w:rPr>
      </w:pPr>
    </w:p>
    <w:p>
      <w:pPr>
        <w:pStyle w:val="87"/>
        <w:spacing w:line="500" w:lineRule="exact"/>
        <w:jc w:val="both"/>
        <w:rPr>
          <w:rFonts w:ascii="宋体" w:hAnsi="宋体"/>
          <w:b/>
          <w:color w:val="auto"/>
        </w:rPr>
      </w:pPr>
    </w:p>
    <w:p>
      <w:pPr>
        <w:pStyle w:val="87"/>
        <w:spacing w:line="500" w:lineRule="exact"/>
        <w:jc w:val="center"/>
        <w:rPr>
          <w:rFonts w:ascii="宋体" w:hAnsi="宋体"/>
          <w:b/>
          <w:color w:val="auto"/>
        </w:rPr>
      </w:pPr>
    </w:p>
    <w:p>
      <w:pPr>
        <w:pStyle w:val="87"/>
        <w:spacing w:line="500" w:lineRule="exact"/>
        <w:jc w:val="center"/>
        <w:rPr>
          <w:rFonts w:ascii="宋体" w:hAnsi="宋体"/>
          <w:b/>
          <w:color w:val="auto"/>
        </w:rPr>
      </w:pPr>
    </w:p>
    <w:p>
      <w:pPr>
        <w:pStyle w:val="87"/>
        <w:spacing w:line="500" w:lineRule="exact"/>
        <w:jc w:val="center"/>
        <w:rPr>
          <w:rFonts w:ascii="宋体" w:hAnsi="宋体"/>
          <w:b/>
          <w:color w:val="auto"/>
        </w:rPr>
      </w:pPr>
    </w:p>
    <w:p>
      <w:pPr>
        <w:pStyle w:val="87"/>
        <w:spacing w:line="500" w:lineRule="exact"/>
        <w:jc w:val="center"/>
        <w:rPr>
          <w:rFonts w:ascii="宋体" w:hAnsi="宋体"/>
          <w:b/>
          <w:color w:val="auto"/>
        </w:rPr>
      </w:pPr>
    </w:p>
    <w:p>
      <w:pPr>
        <w:pStyle w:val="87"/>
        <w:spacing w:line="500" w:lineRule="exact"/>
        <w:jc w:val="center"/>
        <w:rPr>
          <w:rFonts w:ascii="宋体" w:hAnsi="宋体"/>
          <w:b/>
          <w:color w:val="auto"/>
        </w:rPr>
      </w:pPr>
    </w:p>
    <w:p>
      <w:pPr>
        <w:pStyle w:val="87"/>
        <w:spacing w:line="500" w:lineRule="exact"/>
        <w:jc w:val="center"/>
        <w:rPr>
          <w:rFonts w:ascii="宋体" w:hAnsi="宋体"/>
          <w:b/>
          <w:color w:val="auto"/>
        </w:rPr>
      </w:pPr>
    </w:p>
    <w:p>
      <w:pPr>
        <w:pStyle w:val="87"/>
        <w:spacing w:line="500" w:lineRule="exact"/>
        <w:jc w:val="center"/>
        <w:rPr>
          <w:rFonts w:ascii="宋体" w:hAnsi="宋体"/>
          <w:b/>
          <w:color w:val="auto"/>
        </w:rPr>
      </w:pPr>
    </w:p>
    <w:p>
      <w:pPr>
        <w:pStyle w:val="87"/>
        <w:spacing w:line="500" w:lineRule="exact"/>
        <w:jc w:val="center"/>
        <w:rPr>
          <w:rFonts w:ascii="宋体" w:hAnsi="宋体"/>
          <w:b/>
          <w:color w:val="auto"/>
        </w:rPr>
      </w:pPr>
    </w:p>
    <w:p>
      <w:pPr>
        <w:pStyle w:val="87"/>
        <w:spacing w:line="500" w:lineRule="exact"/>
        <w:jc w:val="center"/>
        <w:rPr>
          <w:rFonts w:ascii="宋体" w:hAnsi="宋体"/>
          <w:b/>
          <w:color w:val="auto"/>
        </w:rPr>
      </w:pPr>
    </w:p>
    <w:p>
      <w:pPr>
        <w:pStyle w:val="87"/>
        <w:spacing w:line="500" w:lineRule="exact"/>
        <w:jc w:val="center"/>
        <w:rPr>
          <w:rFonts w:ascii="宋体" w:hAnsi="宋体"/>
          <w:b/>
          <w:color w:val="auto"/>
        </w:rPr>
      </w:pPr>
    </w:p>
    <w:p>
      <w:pPr>
        <w:pStyle w:val="87"/>
        <w:spacing w:line="500" w:lineRule="exact"/>
        <w:jc w:val="center"/>
        <w:rPr>
          <w:rFonts w:ascii="宋体" w:hAnsi="宋体"/>
          <w:b/>
          <w:color w:val="auto"/>
        </w:rPr>
      </w:pPr>
    </w:p>
    <w:p>
      <w:pPr>
        <w:pStyle w:val="87"/>
        <w:spacing w:line="500" w:lineRule="exact"/>
        <w:jc w:val="center"/>
        <w:rPr>
          <w:rFonts w:ascii="宋体" w:hAnsi="宋体"/>
          <w:b/>
          <w:color w:val="auto"/>
        </w:rPr>
      </w:pPr>
    </w:p>
    <w:p>
      <w:pPr>
        <w:pStyle w:val="87"/>
        <w:spacing w:line="500" w:lineRule="exact"/>
        <w:jc w:val="center"/>
        <w:rPr>
          <w:rFonts w:ascii="宋体" w:hAnsi="宋体"/>
          <w:b/>
          <w:color w:val="auto"/>
        </w:rPr>
      </w:pPr>
    </w:p>
    <w:p>
      <w:pPr>
        <w:spacing w:line="500" w:lineRule="exact"/>
        <w:jc w:val="center"/>
        <w:rPr>
          <w:rFonts w:ascii="宋体" w:hAnsi="宋体"/>
          <w:b/>
          <w:sz w:val="24"/>
          <w:szCs w:val="24"/>
        </w:rPr>
      </w:pPr>
      <w:r>
        <w:rPr>
          <w:rFonts w:hint="eastAsia"/>
          <w:sz w:val="24"/>
          <w:szCs w:val="24"/>
        </w:rPr>
        <w:t>第二部分　技术部分</w:t>
      </w:r>
    </w:p>
    <w:p>
      <w:pPr>
        <w:spacing w:line="500" w:lineRule="exact"/>
        <w:ind w:firstLine="484" w:firstLineChars="200"/>
        <w:rPr>
          <w:rFonts w:hint="eastAsia" w:ascii="宋体" w:hAnsi="宋体" w:eastAsia="宋体"/>
          <w:sz w:val="24"/>
          <w:szCs w:val="24"/>
          <w:lang w:val="en-US" w:eastAsia="zh-CN"/>
        </w:rPr>
      </w:pPr>
      <w:r>
        <w:rPr>
          <w:rFonts w:hint="eastAsia" w:ascii="宋体" w:hAnsi="宋体"/>
          <w:sz w:val="24"/>
          <w:szCs w:val="24"/>
        </w:rPr>
        <w:t>一、</w:t>
      </w:r>
      <w:r>
        <w:rPr>
          <w:rFonts w:hint="eastAsia" w:ascii="宋体" w:hAnsi="宋体"/>
          <w:sz w:val="24"/>
          <w:szCs w:val="24"/>
          <w:lang w:val="en-US" w:eastAsia="zh-CN"/>
        </w:rPr>
        <w:t>技术方案</w:t>
      </w:r>
    </w:p>
    <w:p>
      <w:pPr>
        <w:spacing w:line="500" w:lineRule="exact"/>
        <w:ind w:firstLine="484" w:firstLineChars="200"/>
        <w:rPr>
          <w:rFonts w:ascii="宋体" w:hAnsi="宋体"/>
          <w:sz w:val="24"/>
          <w:szCs w:val="24"/>
        </w:rPr>
      </w:pPr>
      <w:r>
        <w:rPr>
          <w:rFonts w:hint="eastAsia" w:ascii="宋体" w:hAnsi="宋体"/>
          <w:sz w:val="24"/>
          <w:szCs w:val="24"/>
          <w:lang w:val="en-US" w:eastAsia="zh-CN"/>
        </w:rPr>
        <w:t>二、</w:t>
      </w:r>
      <w:r>
        <w:rPr>
          <w:rFonts w:hint="eastAsia" w:ascii="宋体" w:hAnsi="宋体"/>
          <w:sz w:val="24"/>
          <w:szCs w:val="24"/>
        </w:rPr>
        <w:t>运输方案；</w:t>
      </w:r>
    </w:p>
    <w:p>
      <w:pPr>
        <w:spacing w:line="500" w:lineRule="exact"/>
        <w:ind w:firstLine="484" w:firstLineChars="200"/>
        <w:rPr>
          <w:rFonts w:ascii="宋体" w:hAnsi="宋体"/>
          <w:sz w:val="24"/>
          <w:szCs w:val="24"/>
        </w:rPr>
      </w:pPr>
      <w:r>
        <w:rPr>
          <w:rFonts w:hint="eastAsia" w:ascii="宋体" w:hAnsi="宋体"/>
          <w:sz w:val="24"/>
          <w:szCs w:val="24"/>
          <w:lang w:val="en-US" w:eastAsia="zh-CN"/>
        </w:rPr>
        <w:t>三</w:t>
      </w:r>
      <w:r>
        <w:rPr>
          <w:rFonts w:hint="eastAsia" w:ascii="宋体" w:hAnsi="宋体"/>
          <w:sz w:val="24"/>
          <w:szCs w:val="24"/>
        </w:rPr>
        <w:t>、质量保证措施；</w:t>
      </w:r>
    </w:p>
    <w:p>
      <w:pPr>
        <w:spacing w:line="500" w:lineRule="exact"/>
        <w:ind w:firstLine="484" w:firstLineChars="200"/>
        <w:rPr>
          <w:rFonts w:ascii="宋体" w:hAnsi="宋体"/>
          <w:sz w:val="24"/>
          <w:szCs w:val="24"/>
        </w:rPr>
      </w:pPr>
      <w:r>
        <w:rPr>
          <w:rFonts w:hint="eastAsia" w:ascii="宋体" w:hAnsi="宋体"/>
          <w:sz w:val="24"/>
          <w:szCs w:val="24"/>
          <w:lang w:val="en-US" w:eastAsia="zh-CN"/>
        </w:rPr>
        <w:t>四</w:t>
      </w:r>
      <w:r>
        <w:rPr>
          <w:rFonts w:hint="eastAsia" w:ascii="宋体" w:hAnsi="宋体"/>
          <w:sz w:val="24"/>
          <w:szCs w:val="24"/>
        </w:rPr>
        <w:t>、应急措施；</w:t>
      </w:r>
    </w:p>
    <w:p>
      <w:pPr>
        <w:spacing w:line="500" w:lineRule="exact"/>
        <w:ind w:firstLine="484" w:firstLineChars="200"/>
        <w:rPr>
          <w:rFonts w:ascii="宋体" w:hAnsi="宋体"/>
          <w:sz w:val="24"/>
          <w:szCs w:val="24"/>
        </w:rPr>
      </w:pPr>
      <w:r>
        <w:rPr>
          <w:rFonts w:hint="eastAsia" w:ascii="宋体" w:hAnsi="宋体"/>
          <w:sz w:val="24"/>
          <w:szCs w:val="24"/>
          <w:lang w:val="en-US" w:eastAsia="zh-CN"/>
        </w:rPr>
        <w:t>五</w:t>
      </w:r>
      <w:r>
        <w:rPr>
          <w:rFonts w:hint="eastAsia" w:ascii="宋体" w:hAnsi="宋体"/>
          <w:sz w:val="24"/>
          <w:szCs w:val="24"/>
        </w:rPr>
        <w:t>、投标供应商认为有必要提供的声明及文件资料</w:t>
      </w:r>
    </w:p>
    <w:p>
      <w:pPr>
        <w:pStyle w:val="87"/>
        <w:spacing w:line="500" w:lineRule="exact"/>
        <w:jc w:val="center"/>
        <w:rPr>
          <w:rFonts w:ascii="宋体" w:hAnsi="宋体"/>
        </w:rPr>
      </w:pPr>
    </w:p>
    <w:sectPr>
      <w:headerReference r:id="rId7" w:type="first"/>
      <w:footerReference r:id="rId9" w:type="first"/>
      <w:footerReference r:id="rId8" w:type="default"/>
      <w:pgSz w:w="11906" w:h="16838"/>
      <w:pgMar w:top="1417" w:right="1134" w:bottom="1417" w:left="1417" w:header="851" w:footer="850" w:gutter="0"/>
      <w:cols w:space="0" w:num="1"/>
      <w:docGrid w:type="linesAndChars" w:linePitch="322" w:charSpace="5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EU-F1">
    <w:altName w:val="黑体"/>
    <w:panose1 w:val="00000000000000000000"/>
    <w:charset w:val="86"/>
    <w:family w:val="script"/>
    <w:pitch w:val="default"/>
    <w:sig w:usb0="00000000" w:usb1="00000000" w:usb2="00000010" w:usb3="00000000" w:csb0="00040000" w:csb1="00000000"/>
  </w:font>
  <w:font w:name="font-weight : 400">
    <w:altName w:val="Courier New"/>
    <w:panose1 w:val="00000000000000000000"/>
    <w:charset w:val="00"/>
    <w:family w:val="auto"/>
    <w:pitch w:val="default"/>
    <w:sig w:usb0="00000000" w:usb1="00000000" w:usb2="00000000" w:usb3="00000000" w:csb0="00040001" w:csb1="00000000"/>
  </w:font>
  <w:font w:name="Arial Black">
    <w:panose1 w:val="020B0A04020102020204"/>
    <w:charset w:val="00"/>
    <w:family w:val="swiss"/>
    <w:pitch w:val="default"/>
    <w:sig w:usb0="A00002AF" w:usb1="400078FB" w:usb2="00000000" w:usb3="00000000" w:csb0="6000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Wingdings 2">
    <w:panose1 w:val="05020102010507070707"/>
    <w:charset w:val="02"/>
    <w:family w:val="roman"/>
    <w:pitch w:val="default"/>
    <w:sig w:usb0="00000000" w:usb1="00000000" w:usb2="00000000" w:usb3="00000000" w:csb0="80000000" w:csb1="00000000"/>
  </w:font>
  <w:font w:name="MingLiU_HKSCS">
    <w:altName w:val="PMingLiU-ExtB"/>
    <w:panose1 w:val="000000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21</w:t>
                          </w:r>
                          <w:r>
                            <w:rPr>
                              <w:rFonts w:hint="eastAsia"/>
                              <w:sz w:val="18"/>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JinJNXXAQAAsQMAAA4AAAAAAAAAAQAgAAAA&#10;HgEAAGRycy9lMm9Eb2MueG1sUEsFBgAAAAAGAAYAWQEAAGc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top w:val="dashDotStroked" w:color="auto" w:sz="24" w:space="1"/>
      </w:pBdr>
      <w:tabs>
        <w:tab w:val="left" w:pos="2528"/>
        <w:tab w:val="center" w:pos="4737"/>
      </w:tabs>
      <w:rPr>
        <w:b/>
        <w:i/>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7"/>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aCrCwxAgAAZA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WgqwsMQIAAGQEAAAOAAAAAAAAAAEAIAAAAB8BAABkcnMvZTJvRG9jLnhtbFBLBQYA&#10;AAAABgAGAFkBAADCBQ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65</w:t>
                    </w:r>
                    <w:r>
                      <w:fldChar w:fldCharType="end"/>
                    </w:r>
                  </w:p>
                </w:txbxContent>
              </v:textbox>
            </v:shape>
          </w:pict>
        </mc:Fallback>
      </mc:AlternateContent>
    </w:r>
    <w:r>
      <w:rPr>
        <w:rFonts w:hint="eastAsia"/>
      </w:rPr>
      <w:t xml:space="preserve">新疆远驰工程咨询有限公司编制 </w:t>
    </w:r>
    <w:r>
      <w:rPr>
        <w:rFonts w:hint="eastAsia"/>
        <w:b/>
        <w:i/>
      </w:rPr>
      <w:tab/>
    </w:r>
    <w:r>
      <w:rPr>
        <w:rFonts w:hint="eastAsia"/>
        <w:b/>
        <w:i/>
      </w:rPr>
      <w:tab/>
    </w:r>
    <w:r>
      <w:rPr>
        <w:b/>
        <w:i/>
      </w:rPr>
      <w:t xml:space="preserve">                                   </w:t>
    </w:r>
    <w:r>
      <w:rPr>
        <w:rFonts w:hint="eastAsia"/>
      </w:rPr>
      <w:t>联系电话：</w:t>
    </w:r>
    <w:r>
      <w:t>18119202682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top w:val="dashDotStroked" w:color="auto" w:sz="24" w:space="0"/>
      </w:pBdr>
    </w:pPr>
    <w:r>
      <w:rPr>
        <w:rFonts w:hint="eastAsia"/>
        <w:b/>
        <w:i/>
      </w:rPr>
      <w:t>电话：0991-8884291传真：0991-8865994新疆生产建设兵团招标有限公司编制</w:t>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jc w:val="both"/>
      <w:rPr>
        <w:b/>
        <w:bCs/>
        <w:i/>
        <w:iCs/>
        <w:spacing w:val="6"/>
        <w:w w:val="9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dashDotStroked" w:color="auto" w:sz="24" w:space="1"/>
      </w:pBdr>
      <w:jc w:val="both"/>
    </w:pPr>
    <w:r>
      <w:rPr>
        <w:rFonts w:hint="eastAsia"/>
        <w:b/>
        <w:bCs/>
        <w:i/>
        <w:iCs/>
      </w:rPr>
      <w:t>新疆冠农天府果蔬食品有限责任公司饮料前处理设备招标文件                                                                                    编号0689-xtgj0412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7E9046"/>
    <w:multiLevelType w:val="singleLevel"/>
    <w:tmpl w:val="557E9046"/>
    <w:lvl w:ilvl="0" w:tentative="0">
      <w:start w:val="4"/>
      <w:numFmt w:val="decimal"/>
      <w:suff w:val="space"/>
      <w:lvlText w:val="%1."/>
      <w:lvlJc w:val="left"/>
    </w:lvl>
  </w:abstractNum>
  <w:abstractNum w:abstractNumId="1">
    <w:nsid w:val="56C54F3E"/>
    <w:multiLevelType w:val="singleLevel"/>
    <w:tmpl w:val="56C54F3E"/>
    <w:lvl w:ilvl="0" w:tentative="0">
      <w:start w:val="35"/>
      <w:numFmt w:val="decimal"/>
      <w:suff w:val="space"/>
      <w:lvlText w:val="%1."/>
      <w:lvlJc w:val="left"/>
    </w:lvl>
  </w:abstractNum>
  <w:abstractNum w:abstractNumId="2">
    <w:nsid w:val="75CC0A7A"/>
    <w:multiLevelType w:val="singleLevel"/>
    <w:tmpl w:val="75CC0A7A"/>
    <w:lvl w:ilvl="0" w:tentative="0">
      <w:start w:val="1"/>
      <w:numFmt w:val="chineseCounting"/>
      <w:suff w:val="nothing"/>
      <w:lvlText w:val="第%1部分　"/>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13"/>
  <w:drawingGridVerticalSpacing w:val="161"/>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172A27"/>
    <w:rsid w:val="00002958"/>
    <w:rsid w:val="0000410D"/>
    <w:rsid w:val="000042F6"/>
    <w:rsid w:val="0000585C"/>
    <w:rsid w:val="00007CE3"/>
    <w:rsid w:val="00007D52"/>
    <w:rsid w:val="000118CC"/>
    <w:rsid w:val="00011962"/>
    <w:rsid w:val="0001428B"/>
    <w:rsid w:val="0001523B"/>
    <w:rsid w:val="0001575D"/>
    <w:rsid w:val="00017701"/>
    <w:rsid w:val="00021149"/>
    <w:rsid w:val="00023198"/>
    <w:rsid w:val="000245DA"/>
    <w:rsid w:val="00025131"/>
    <w:rsid w:val="00032067"/>
    <w:rsid w:val="000320FE"/>
    <w:rsid w:val="0003438C"/>
    <w:rsid w:val="00034E91"/>
    <w:rsid w:val="00035F9C"/>
    <w:rsid w:val="00036D18"/>
    <w:rsid w:val="000405FA"/>
    <w:rsid w:val="00046156"/>
    <w:rsid w:val="000465DD"/>
    <w:rsid w:val="000471D9"/>
    <w:rsid w:val="0006071E"/>
    <w:rsid w:val="000608F0"/>
    <w:rsid w:val="00061477"/>
    <w:rsid w:val="00063AA6"/>
    <w:rsid w:val="00063DDC"/>
    <w:rsid w:val="00073CE3"/>
    <w:rsid w:val="000749FB"/>
    <w:rsid w:val="00076449"/>
    <w:rsid w:val="0008027B"/>
    <w:rsid w:val="00080555"/>
    <w:rsid w:val="00081C31"/>
    <w:rsid w:val="00082085"/>
    <w:rsid w:val="0008603D"/>
    <w:rsid w:val="0008632D"/>
    <w:rsid w:val="000863B7"/>
    <w:rsid w:val="000920A6"/>
    <w:rsid w:val="00092A0D"/>
    <w:rsid w:val="00094AF7"/>
    <w:rsid w:val="00095934"/>
    <w:rsid w:val="000A0CAB"/>
    <w:rsid w:val="000A1846"/>
    <w:rsid w:val="000A300B"/>
    <w:rsid w:val="000A32DB"/>
    <w:rsid w:val="000A61BA"/>
    <w:rsid w:val="000A64A5"/>
    <w:rsid w:val="000A6A6A"/>
    <w:rsid w:val="000A72BD"/>
    <w:rsid w:val="000A7A13"/>
    <w:rsid w:val="000B302C"/>
    <w:rsid w:val="000B3525"/>
    <w:rsid w:val="000B466B"/>
    <w:rsid w:val="000B5D99"/>
    <w:rsid w:val="000B772E"/>
    <w:rsid w:val="000B7FE5"/>
    <w:rsid w:val="000C0E24"/>
    <w:rsid w:val="000C24E3"/>
    <w:rsid w:val="000C2EAA"/>
    <w:rsid w:val="000C48BF"/>
    <w:rsid w:val="000C730D"/>
    <w:rsid w:val="000C78C3"/>
    <w:rsid w:val="000D0119"/>
    <w:rsid w:val="000D29C5"/>
    <w:rsid w:val="000D32E4"/>
    <w:rsid w:val="000D509E"/>
    <w:rsid w:val="000D537D"/>
    <w:rsid w:val="000D54D7"/>
    <w:rsid w:val="000D61B9"/>
    <w:rsid w:val="000E0910"/>
    <w:rsid w:val="000E0AFE"/>
    <w:rsid w:val="000F19E7"/>
    <w:rsid w:val="000F29A1"/>
    <w:rsid w:val="000F50B5"/>
    <w:rsid w:val="000F68CB"/>
    <w:rsid w:val="000F6FBF"/>
    <w:rsid w:val="001005F4"/>
    <w:rsid w:val="001027AB"/>
    <w:rsid w:val="00103B90"/>
    <w:rsid w:val="0010562A"/>
    <w:rsid w:val="00105EA4"/>
    <w:rsid w:val="001108EC"/>
    <w:rsid w:val="001120FA"/>
    <w:rsid w:val="00113306"/>
    <w:rsid w:val="00113E5B"/>
    <w:rsid w:val="001141AC"/>
    <w:rsid w:val="001158C3"/>
    <w:rsid w:val="00117AED"/>
    <w:rsid w:val="00120412"/>
    <w:rsid w:val="00124834"/>
    <w:rsid w:val="001251FF"/>
    <w:rsid w:val="00127434"/>
    <w:rsid w:val="0013377B"/>
    <w:rsid w:val="00135948"/>
    <w:rsid w:val="001402B6"/>
    <w:rsid w:val="00140C3B"/>
    <w:rsid w:val="00142AF8"/>
    <w:rsid w:val="00142E3A"/>
    <w:rsid w:val="001451DB"/>
    <w:rsid w:val="00145F67"/>
    <w:rsid w:val="0015628F"/>
    <w:rsid w:val="001568AA"/>
    <w:rsid w:val="001577AB"/>
    <w:rsid w:val="00160456"/>
    <w:rsid w:val="00162456"/>
    <w:rsid w:val="00164095"/>
    <w:rsid w:val="0016549F"/>
    <w:rsid w:val="00165FAF"/>
    <w:rsid w:val="0016700B"/>
    <w:rsid w:val="00167DED"/>
    <w:rsid w:val="00171237"/>
    <w:rsid w:val="001724E7"/>
    <w:rsid w:val="001728E0"/>
    <w:rsid w:val="00172A27"/>
    <w:rsid w:val="00181781"/>
    <w:rsid w:val="001819E4"/>
    <w:rsid w:val="00181C36"/>
    <w:rsid w:val="00182D78"/>
    <w:rsid w:val="00185787"/>
    <w:rsid w:val="0018666A"/>
    <w:rsid w:val="00192296"/>
    <w:rsid w:val="001928DD"/>
    <w:rsid w:val="00192E25"/>
    <w:rsid w:val="00193425"/>
    <w:rsid w:val="00193C1B"/>
    <w:rsid w:val="001A05A3"/>
    <w:rsid w:val="001B0F09"/>
    <w:rsid w:val="001B1C83"/>
    <w:rsid w:val="001B20C1"/>
    <w:rsid w:val="001B3671"/>
    <w:rsid w:val="001B519C"/>
    <w:rsid w:val="001C1BAE"/>
    <w:rsid w:val="001C2A56"/>
    <w:rsid w:val="001C6975"/>
    <w:rsid w:val="001C69B7"/>
    <w:rsid w:val="001D2306"/>
    <w:rsid w:val="001D7DC7"/>
    <w:rsid w:val="001E02B1"/>
    <w:rsid w:val="001E3A4A"/>
    <w:rsid w:val="001E3B6A"/>
    <w:rsid w:val="001E4C3B"/>
    <w:rsid w:val="001E7225"/>
    <w:rsid w:val="001E7300"/>
    <w:rsid w:val="001F05C3"/>
    <w:rsid w:val="001F2E69"/>
    <w:rsid w:val="001F3DC6"/>
    <w:rsid w:val="001F5BFF"/>
    <w:rsid w:val="001F6FD8"/>
    <w:rsid w:val="001F75B5"/>
    <w:rsid w:val="002006EA"/>
    <w:rsid w:val="002020EE"/>
    <w:rsid w:val="00206A0F"/>
    <w:rsid w:val="00207843"/>
    <w:rsid w:val="00213E21"/>
    <w:rsid w:val="00214900"/>
    <w:rsid w:val="0021591D"/>
    <w:rsid w:val="002166FD"/>
    <w:rsid w:val="00216D7B"/>
    <w:rsid w:val="0022016C"/>
    <w:rsid w:val="00221A9C"/>
    <w:rsid w:val="00223013"/>
    <w:rsid w:val="00224344"/>
    <w:rsid w:val="002244CA"/>
    <w:rsid w:val="00232FC0"/>
    <w:rsid w:val="00236C1C"/>
    <w:rsid w:val="002373C4"/>
    <w:rsid w:val="0024082E"/>
    <w:rsid w:val="002411A6"/>
    <w:rsid w:val="002465AD"/>
    <w:rsid w:val="00247BE3"/>
    <w:rsid w:val="00250352"/>
    <w:rsid w:val="002528CF"/>
    <w:rsid w:val="00253DC4"/>
    <w:rsid w:val="00255673"/>
    <w:rsid w:val="00260007"/>
    <w:rsid w:val="00263777"/>
    <w:rsid w:val="00265247"/>
    <w:rsid w:val="0026551E"/>
    <w:rsid w:val="00266FA8"/>
    <w:rsid w:val="0027115D"/>
    <w:rsid w:val="002715DA"/>
    <w:rsid w:val="00271660"/>
    <w:rsid w:val="00272033"/>
    <w:rsid w:val="002732AE"/>
    <w:rsid w:val="00277DE0"/>
    <w:rsid w:val="002838A3"/>
    <w:rsid w:val="00284B15"/>
    <w:rsid w:val="00285D91"/>
    <w:rsid w:val="00290C67"/>
    <w:rsid w:val="002918EA"/>
    <w:rsid w:val="00292DAF"/>
    <w:rsid w:val="00295F8C"/>
    <w:rsid w:val="002A0DA4"/>
    <w:rsid w:val="002A1BAB"/>
    <w:rsid w:val="002A205D"/>
    <w:rsid w:val="002A2898"/>
    <w:rsid w:val="002A3B32"/>
    <w:rsid w:val="002A7458"/>
    <w:rsid w:val="002A7A07"/>
    <w:rsid w:val="002A7EE3"/>
    <w:rsid w:val="002B1BB1"/>
    <w:rsid w:val="002B4689"/>
    <w:rsid w:val="002B4824"/>
    <w:rsid w:val="002C4C5C"/>
    <w:rsid w:val="002C7F21"/>
    <w:rsid w:val="002D07D0"/>
    <w:rsid w:val="002D1A61"/>
    <w:rsid w:val="002D20F2"/>
    <w:rsid w:val="002D443F"/>
    <w:rsid w:val="002D5E93"/>
    <w:rsid w:val="002D6424"/>
    <w:rsid w:val="002D6705"/>
    <w:rsid w:val="002E0100"/>
    <w:rsid w:val="002E3019"/>
    <w:rsid w:val="002E3721"/>
    <w:rsid w:val="002E6DB0"/>
    <w:rsid w:val="002E6E30"/>
    <w:rsid w:val="002E70C2"/>
    <w:rsid w:val="002F3FE4"/>
    <w:rsid w:val="002F410B"/>
    <w:rsid w:val="002F4AA0"/>
    <w:rsid w:val="002F60D5"/>
    <w:rsid w:val="00301266"/>
    <w:rsid w:val="003015FF"/>
    <w:rsid w:val="00303671"/>
    <w:rsid w:val="00303946"/>
    <w:rsid w:val="00304B12"/>
    <w:rsid w:val="00314AAF"/>
    <w:rsid w:val="00314C51"/>
    <w:rsid w:val="0031574C"/>
    <w:rsid w:val="00315823"/>
    <w:rsid w:val="00316FEF"/>
    <w:rsid w:val="00317284"/>
    <w:rsid w:val="003202EE"/>
    <w:rsid w:val="00320BB5"/>
    <w:rsid w:val="00321199"/>
    <w:rsid w:val="0032349B"/>
    <w:rsid w:val="003246E7"/>
    <w:rsid w:val="00324BDC"/>
    <w:rsid w:val="00333671"/>
    <w:rsid w:val="0033573D"/>
    <w:rsid w:val="00337C17"/>
    <w:rsid w:val="00340702"/>
    <w:rsid w:val="00353BD6"/>
    <w:rsid w:val="00355A49"/>
    <w:rsid w:val="00360DDF"/>
    <w:rsid w:val="00363538"/>
    <w:rsid w:val="00364DF6"/>
    <w:rsid w:val="00364FCA"/>
    <w:rsid w:val="00365D2A"/>
    <w:rsid w:val="003660CC"/>
    <w:rsid w:val="003662BF"/>
    <w:rsid w:val="00376E99"/>
    <w:rsid w:val="00377FD1"/>
    <w:rsid w:val="00380C6C"/>
    <w:rsid w:val="00385302"/>
    <w:rsid w:val="00385F32"/>
    <w:rsid w:val="003973BE"/>
    <w:rsid w:val="003976FC"/>
    <w:rsid w:val="003A1318"/>
    <w:rsid w:val="003A2818"/>
    <w:rsid w:val="003A5F34"/>
    <w:rsid w:val="003A6325"/>
    <w:rsid w:val="003A65C6"/>
    <w:rsid w:val="003B0365"/>
    <w:rsid w:val="003B4CCF"/>
    <w:rsid w:val="003B73FB"/>
    <w:rsid w:val="003C10C4"/>
    <w:rsid w:val="003C19A1"/>
    <w:rsid w:val="003C573C"/>
    <w:rsid w:val="003C7A13"/>
    <w:rsid w:val="003D09A9"/>
    <w:rsid w:val="003D372E"/>
    <w:rsid w:val="003D37EF"/>
    <w:rsid w:val="003D482A"/>
    <w:rsid w:val="003D4ACB"/>
    <w:rsid w:val="003D7856"/>
    <w:rsid w:val="003D7C10"/>
    <w:rsid w:val="003D7D91"/>
    <w:rsid w:val="003E3345"/>
    <w:rsid w:val="003E68FB"/>
    <w:rsid w:val="003E6CAB"/>
    <w:rsid w:val="003F13BB"/>
    <w:rsid w:val="003F174E"/>
    <w:rsid w:val="003F6C62"/>
    <w:rsid w:val="003F6F71"/>
    <w:rsid w:val="003F76E7"/>
    <w:rsid w:val="00402216"/>
    <w:rsid w:val="00402E92"/>
    <w:rsid w:val="004036F5"/>
    <w:rsid w:val="004043CD"/>
    <w:rsid w:val="00405E6E"/>
    <w:rsid w:val="00405F7E"/>
    <w:rsid w:val="0040697E"/>
    <w:rsid w:val="00411E33"/>
    <w:rsid w:val="00413B0E"/>
    <w:rsid w:val="004162E8"/>
    <w:rsid w:val="004170D4"/>
    <w:rsid w:val="0042256D"/>
    <w:rsid w:val="00423AD4"/>
    <w:rsid w:val="00424084"/>
    <w:rsid w:val="0042426C"/>
    <w:rsid w:val="004244CF"/>
    <w:rsid w:val="0042591D"/>
    <w:rsid w:val="00425ACC"/>
    <w:rsid w:val="00425B1A"/>
    <w:rsid w:val="004262EE"/>
    <w:rsid w:val="004266A7"/>
    <w:rsid w:val="00430BC9"/>
    <w:rsid w:val="00430C59"/>
    <w:rsid w:val="00431F2A"/>
    <w:rsid w:val="0043225A"/>
    <w:rsid w:val="00432721"/>
    <w:rsid w:val="004328FE"/>
    <w:rsid w:val="004333F4"/>
    <w:rsid w:val="0043439A"/>
    <w:rsid w:val="00435A0E"/>
    <w:rsid w:val="0043788E"/>
    <w:rsid w:val="00441D83"/>
    <w:rsid w:val="00445107"/>
    <w:rsid w:val="0044662E"/>
    <w:rsid w:val="00446D16"/>
    <w:rsid w:val="0045001C"/>
    <w:rsid w:val="004513BB"/>
    <w:rsid w:val="004514AD"/>
    <w:rsid w:val="00453CB1"/>
    <w:rsid w:val="00454388"/>
    <w:rsid w:val="004544FC"/>
    <w:rsid w:val="004565A9"/>
    <w:rsid w:val="00460440"/>
    <w:rsid w:val="004640AC"/>
    <w:rsid w:val="00467897"/>
    <w:rsid w:val="00467D66"/>
    <w:rsid w:val="00471055"/>
    <w:rsid w:val="00472863"/>
    <w:rsid w:val="00475608"/>
    <w:rsid w:val="004816CB"/>
    <w:rsid w:val="00482C3C"/>
    <w:rsid w:val="00483A2D"/>
    <w:rsid w:val="00483B56"/>
    <w:rsid w:val="0049203E"/>
    <w:rsid w:val="004927A0"/>
    <w:rsid w:val="00496805"/>
    <w:rsid w:val="004A002E"/>
    <w:rsid w:val="004A21DE"/>
    <w:rsid w:val="004A489F"/>
    <w:rsid w:val="004A49FD"/>
    <w:rsid w:val="004A7FBF"/>
    <w:rsid w:val="004B3A67"/>
    <w:rsid w:val="004B3D28"/>
    <w:rsid w:val="004B72D8"/>
    <w:rsid w:val="004C2026"/>
    <w:rsid w:val="004C25E3"/>
    <w:rsid w:val="004C2B0C"/>
    <w:rsid w:val="004C35EA"/>
    <w:rsid w:val="004C514E"/>
    <w:rsid w:val="004D102B"/>
    <w:rsid w:val="004D11C8"/>
    <w:rsid w:val="004D18A4"/>
    <w:rsid w:val="004D1EE8"/>
    <w:rsid w:val="004D47A9"/>
    <w:rsid w:val="004D5A53"/>
    <w:rsid w:val="004D5CDE"/>
    <w:rsid w:val="004D7F4C"/>
    <w:rsid w:val="004E0305"/>
    <w:rsid w:val="004E411A"/>
    <w:rsid w:val="004E6034"/>
    <w:rsid w:val="004F1A8B"/>
    <w:rsid w:val="004F1DFD"/>
    <w:rsid w:val="004F4263"/>
    <w:rsid w:val="004F4A65"/>
    <w:rsid w:val="004F4F57"/>
    <w:rsid w:val="004F64B9"/>
    <w:rsid w:val="004F7B04"/>
    <w:rsid w:val="005006FD"/>
    <w:rsid w:val="00505211"/>
    <w:rsid w:val="0050785B"/>
    <w:rsid w:val="00513FF1"/>
    <w:rsid w:val="0052039E"/>
    <w:rsid w:val="005204A4"/>
    <w:rsid w:val="0052140B"/>
    <w:rsid w:val="00522AD3"/>
    <w:rsid w:val="00523D98"/>
    <w:rsid w:val="00523DE6"/>
    <w:rsid w:val="0052484C"/>
    <w:rsid w:val="0052732F"/>
    <w:rsid w:val="005277C0"/>
    <w:rsid w:val="005307F0"/>
    <w:rsid w:val="0053134E"/>
    <w:rsid w:val="005326D9"/>
    <w:rsid w:val="00534712"/>
    <w:rsid w:val="005378BF"/>
    <w:rsid w:val="005443E8"/>
    <w:rsid w:val="00544C0F"/>
    <w:rsid w:val="00547576"/>
    <w:rsid w:val="00550855"/>
    <w:rsid w:val="00550CFF"/>
    <w:rsid w:val="00554F42"/>
    <w:rsid w:val="0055623C"/>
    <w:rsid w:val="00560388"/>
    <w:rsid w:val="00560EA2"/>
    <w:rsid w:val="0056297C"/>
    <w:rsid w:val="005641A0"/>
    <w:rsid w:val="00570279"/>
    <w:rsid w:val="005715CB"/>
    <w:rsid w:val="005723C3"/>
    <w:rsid w:val="00573B23"/>
    <w:rsid w:val="00576024"/>
    <w:rsid w:val="005765D9"/>
    <w:rsid w:val="0058207D"/>
    <w:rsid w:val="005827C3"/>
    <w:rsid w:val="0059060E"/>
    <w:rsid w:val="0059062E"/>
    <w:rsid w:val="005907DC"/>
    <w:rsid w:val="00592088"/>
    <w:rsid w:val="0059456F"/>
    <w:rsid w:val="00594A92"/>
    <w:rsid w:val="0059584A"/>
    <w:rsid w:val="005963C3"/>
    <w:rsid w:val="00596A2C"/>
    <w:rsid w:val="005A2423"/>
    <w:rsid w:val="005A384C"/>
    <w:rsid w:val="005A4A72"/>
    <w:rsid w:val="005A5861"/>
    <w:rsid w:val="005A5B6C"/>
    <w:rsid w:val="005A6783"/>
    <w:rsid w:val="005A7248"/>
    <w:rsid w:val="005A7679"/>
    <w:rsid w:val="005B0A35"/>
    <w:rsid w:val="005B1104"/>
    <w:rsid w:val="005B2616"/>
    <w:rsid w:val="005C2070"/>
    <w:rsid w:val="005C5615"/>
    <w:rsid w:val="005C7F97"/>
    <w:rsid w:val="005D5667"/>
    <w:rsid w:val="005D6DD0"/>
    <w:rsid w:val="005E613D"/>
    <w:rsid w:val="005E6E4F"/>
    <w:rsid w:val="005F420E"/>
    <w:rsid w:val="005F6D56"/>
    <w:rsid w:val="00600F89"/>
    <w:rsid w:val="00601596"/>
    <w:rsid w:val="00603CEF"/>
    <w:rsid w:val="00604351"/>
    <w:rsid w:val="00607102"/>
    <w:rsid w:val="0060784B"/>
    <w:rsid w:val="00610B73"/>
    <w:rsid w:val="00613443"/>
    <w:rsid w:val="00620A37"/>
    <w:rsid w:val="00620B6E"/>
    <w:rsid w:val="00623135"/>
    <w:rsid w:val="006257E8"/>
    <w:rsid w:val="00625CD0"/>
    <w:rsid w:val="00635843"/>
    <w:rsid w:val="00636AE0"/>
    <w:rsid w:val="0063706C"/>
    <w:rsid w:val="00641AF0"/>
    <w:rsid w:val="00643E91"/>
    <w:rsid w:val="00644372"/>
    <w:rsid w:val="00644792"/>
    <w:rsid w:val="00645946"/>
    <w:rsid w:val="00647377"/>
    <w:rsid w:val="0064752B"/>
    <w:rsid w:val="00647948"/>
    <w:rsid w:val="006513E1"/>
    <w:rsid w:val="00651E00"/>
    <w:rsid w:val="00655C12"/>
    <w:rsid w:val="006665E5"/>
    <w:rsid w:val="00666936"/>
    <w:rsid w:val="00666EB8"/>
    <w:rsid w:val="00670293"/>
    <w:rsid w:val="00671396"/>
    <w:rsid w:val="00671D45"/>
    <w:rsid w:val="00674784"/>
    <w:rsid w:val="00680408"/>
    <w:rsid w:val="006841B0"/>
    <w:rsid w:val="00684C13"/>
    <w:rsid w:val="00684D7B"/>
    <w:rsid w:val="00685B64"/>
    <w:rsid w:val="006865DC"/>
    <w:rsid w:val="006866CC"/>
    <w:rsid w:val="0069201A"/>
    <w:rsid w:val="00693EBF"/>
    <w:rsid w:val="00694F8C"/>
    <w:rsid w:val="006975E4"/>
    <w:rsid w:val="006A13AF"/>
    <w:rsid w:val="006A2266"/>
    <w:rsid w:val="006A32C0"/>
    <w:rsid w:val="006A4628"/>
    <w:rsid w:val="006B0392"/>
    <w:rsid w:val="006B13FD"/>
    <w:rsid w:val="006B259F"/>
    <w:rsid w:val="006B4184"/>
    <w:rsid w:val="006B498A"/>
    <w:rsid w:val="006B6090"/>
    <w:rsid w:val="006B6B2F"/>
    <w:rsid w:val="006B7AC9"/>
    <w:rsid w:val="006B7FC7"/>
    <w:rsid w:val="006C11AD"/>
    <w:rsid w:val="006C3EF3"/>
    <w:rsid w:val="006C44D7"/>
    <w:rsid w:val="006C4F5D"/>
    <w:rsid w:val="006C5B29"/>
    <w:rsid w:val="006C5BAC"/>
    <w:rsid w:val="006C66C0"/>
    <w:rsid w:val="006C767A"/>
    <w:rsid w:val="006D37E3"/>
    <w:rsid w:val="006D4382"/>
    <w:rsid w:val="006D5FCC"/>
    <w:rsid w:val="006E235E"/>
    <w:rsid w:val="006E7052"/>
    <w:rsid w:val="006F107C"/>
    <w:rsid w:val="006F139B"/>
    <w:rsid w:val="006F2BF1"/>
    <w:rsid w:val="006F534D"/>
    <w:rsid w:val="006F7C2A"/>
    <w:rsid w:val="006F7C4A"/>
    <w:rsid w:val="00702924"/>
    <w:rsid w:val="00703552"/>
    <w:rsid w:val="00704BE4"/>
    <w:rsid w:val="00705ACB"/>
    <w:rsid w:val="00705D75"/>
    <w:rsid w:val="007066CE"/>
    <w:rsid w:val="00707342"/>
    <w:rsid w:val="00707C19"/>
    <w:rsid w:val="0071057E"/>
    <w:rsid w:val="00713E92"/>
    <w:rsid w:val="007200F1"/>
    <w:rsid w:val="0072458B"/>
    <w:rsid w:val="007262AA"/>
    <w:rsid w:val="007265B7"/>
    <w:rsid w:val="007453AE"/>
    <w:rsid w:val="00745C76"/>
    <w:rsid w:val="007467D2"/>
    <w:rsid w:val="007500BE"/>
    <w:rsid w:val="0075154E"/>
    <w:rsid w:val="00752E69"/>
    <w:rsid w:val="007542C6"/>
    <w:rsid w:val="00755EAD"/>
    <w:rsid w:val="007560F5"/>
    <w:rsid w:val="00757496"/>
    <w:rsid w:val="007618E6"/>
    <w:rsid w:val="00767B9E"/>
    <w:rsid w:val="00770CEE"/>
    <w:rsid w:val="00775714"/>
    <w:rsid w:val="007809D6"/>
    <w:rsid w:val="0078380A"/>
    <w:rsid w:val="00784F30"/>
    <w:rsid w:val="00787D2D"/>
    <w:rsid w:val="00790F39"/>
    <w:rsid w:val="0079392E"/>
    <w:rsid w:val="00797FF8"/>
    <w:rsid w:val="007A05B0"/>
    <w:rsid w:val="007A1E9F"/>
    <w:rsid w:val="007A28F8"/>
    <w:rsid w:val="007A2DE2"/>
    <w:rsid w:val="007A3939"/>
    <w:rsid w:val="007A394A"/>
    <w:rsid w:val="007A759D"/>
    <w:rsid w:val="007B39F6"/>
    <w:rsid w:val="007B4204"/>
    <w:rsid w:val="007B4F7F"/>
    <w:rsid w:val="007B5E38"/>
    <w:rsid w:val="007C0375"/>
    <w:rsid w:val="007C0610"/>
    <w:rsid w:val="007C28DA"/>
    <w:rsid w:val="007C2DD5"/>
    <w:rsid w:val="007C46B2"/>
    <w:rsid w:val="007C58F0"/>
    <w:rsid w:val="007C63C9"/>
    <w:rsid w:val="007D2289"/>
    <w:rsid w:val="007D2619"/>
    <w:rsid w:val="007D27C4"/>
    <w:rsid w:val="007D5520"/>
    <w:rsid w:val="007E03EE"/>
    <w:rsid w:val="007E1640"/>
    <w:rsid w:val="007E16D9"/>
    <w:rsid w:val="007E2949"/>
    <w:rsid w:val="007F13E1"/>
    <w:rsid w:val="007F3C30"/>
    <w:rsid w:val="007F4062"/>
    <w:rsid w:val="007F4C31"/>
    <w:rsid w:val="007F4CE4"/>
    <w:rsid w:val="007F777F"/>
    <w:rsid w:val="00800E15"/>
    <w:rsid w:val="00801B9D"/>
    <w:rsid w:val="00804759"/>
    <w:rsid w:val="00810865"/>
    <w:rsid w:val="00814A80"/>
    <w:rsid w:val="008156BF"/>
    <w:rsid w:val="00816826"/>
    <w:rsid w:val="008170CE"/>
    <w:rsid w:val="0082092B"/>
    <w:rsid w:val="00820EEF"/>
    <w:rsid w:val="00821877"/>
    <w:rsid w:val="00824912"/>
    <w:rsid w:val="00824D2A"/>
    <w:rsid w:val="008254B5"/>
    <w:rsid w:val="00826876"/>
    <w:rsid w:val="00830501"/>
    <w:rsid w:val="00830668"/>
    <w:rsid w:val="008343AA"/>
    <w:rsid w:val="00837837"/>
    <w:rsid w:val="00841800"/>
    <w:rsid w:val="00843716"/>
    <w:rsid w:val="00843E22"/>
    <w:rsid w:val="00845B6B"/>
    <w:rsid w:val="00846D08"/>
    <w:rsid w:val="00855E5B"/>
    <w:rsid w:val="00857006"/>
    <w:rsid w:val="00857B79"/>
    <w:rsid w:val="008664CF"/>
    <w:rsid w:val="0086694A"/>
    <w:rsid w:val="0086787A"/>
    <w:rsid w:val="00871C6F"/>
    <w:rsid w:val="008723FF"/>
    <w:rsid w:val="00872EFC"/>
    <w:rsid w:val="0087691D"/>
    <w:rsid w:val="00877FA3"/>
    <w:rsid w:val="00880DC0"/>
    <w:rsid w:val="00882D6C"/>
    <w:rsid w:val="00885D84"/>
    <w:rsid w:val="00886341"/>
    <w:rsid w:val="008875FA"/>
    <w:rsid w:val="00893F50"/>
    <w:rsid w:val="0089530C"/>
    <w:rsid w:val="008A1699"/>
    <w:rsid w:val="008A357E"/>
    <w:rsid w:val="008A76AE"/>
    <w:rsid w:val="008A7B56"/>
    <w:rsid w:val="008B0615"/>
    <w:rsid w:val="008B22AA"/>
    <w:rsid w:val="008B2D9E"/>
    <w:rsid w:val="008B67BC"/>
    <w:rsid w:val="008B7399"/>
    <w:rsid w:val="008B78AF"/>
    <w:rsid w:val="008B7BE1"/>
    <w:rsid w:val="008C01D7"/>
    <w:rsid w:val="008C24B4"/>
    <w:rsid w:val="008C4292"/>
    <w:rsid w:val="008C5E4A"/>
    <w:rsid w:val="008C784F"/>
    <w:rsid w:val="008D0491"/>
    <w:rsid w:val="008D06DC"/>
    <w:rsid w:val="008D474F"/>
    <w:rsid w:val="008D7750"/>
    <w:rsid w:val="008E19CB"/>
    <w:rsid w:val="008E21D8"/>
    <w:rsid w:val="008E228B"/>
    <w:rsid w:val="008E5185"/>
    <w:rsid w:val="008E62DF"/>
    <w:rsid w:val="008E7C39"/>
    <w:rsid w:val="008F1E89"/>
    <w:rsid w:val="008F4299"/>
    <w:rsid w:val="008F458F"/>
    <w:rsid w:val="008F5E1E"/>
    <w:rsid w:val="008F61E4"/>
    <w:rsid w:val="008F724A"/>
    <w:rsid w:val="009000FE"/>
    <w:rsid w:val="00901138"/>
    <w:rsid w:val="0090145A"/>
    <w:rsid w:val="009030CD"/>
    <w:rsid w:val="00903F1F"/>
    <w:rsid w:val="00904AE0"/>
    <w:rsid w:val="00906130"/>
    <w:rsid w:val="00916377"/>
    <w:rsid w:val="0092248D"/>
    <w:rsid w:val="009236B1"/>
    <w:rsid w:val="0092582A"/>
    <w:rsid w:val="0092586B"/>
    <w:rsid w:val="009266CF"/>
    <w:rsid w:val="00930B24"/>
    <w:rsid w:val="009326B0"/>
    <w:rsid w:val="009357A3"/>
    <w:rsid w:val="00937D91"/>
    <w:rsid w:val="009463D8"/>
    <w:rsid w:val="00947EF3"/>
    <w:rsid w:val="00947FFE"/>
    <w:rsid w:val="00950292"/>
    <w:rsid w:val="00951E2C"/>
    <w:rsid w:val="00954F43"/>
    <w:rsid w:val="009550EA"/>
    <w:rsid w:val="009566F7"/>
    <w:rsid w:val="009602DB"/>
    <w:rsid w:val="00960AE7"/>
    <w:rsid w:val="00961267"/>
    <w:rsid w:val="009619F3"/>
    <w:rsid w:val="009621E9"/>
    <w:rsid w:val="009625F3"/>
    <w:rsid w:val="009643D2"/>
    <w:rsid w:val="0096456B"/>
    <w:rsid w:val="00966329"/>
    <w:rsid w:val="00967280"/>
    <w:rsid w:val="00972303"/>
    <w:rsid w:val="0097352D"/>
    <w:rsid w:val="00974E7C"/>
    <w:rsid w:val="00974EBD"/>
    <w:rsid w:val="00976084"/>
    <w:rsid w:val="0097697E"/>
    <w:rsid w:val="00984238"/>
    <w:rsid w:val="00987521"/>
    <w:rsid w:val="00992F46"/>
    <w:rsid w:val="00994532"/>
    <w:rsid w:val="00994CDA"/>
    <w:rsid w:val="00994E0A"/>
    <w:rsid w:val="00996C68"/>
    <w:rsid w:val="009A014B"/>
    <w:rsid w:val="009A0C38"/>
    <w:rsid w:val="009A17AC"/>
    <w:rsid w:val="009A1B98"/>
    <w:rsid w:val="009A2243"/>
    <w:rsid w:val="009A2296"/>
    <w:rsid w:val="009A2A5A"/>
    <w:rsid w:val="009A2D92"/>
    <w:rsid w:val="009A432A"/>
    <w:rsid w:val="009A48B8"/>
    <w:rsid w:val="009A4C21"/>
    <w:rsid w:val="009A66E4"/>
    <w:rsid w:val="009B1A25"/>
    <w:rsid w:val="009B4FE6"/>
    <w:rsid w:val="009B5C8C"/>
    <w:rsid w:val="009B646D"/>
    <w:rsid w:val="009B64C4"/>
    <w:rsid w:val="009B6711"/>
    <w:rsid w:val="009B6999"/>
    <w:rsid w:val="009B7877"/>
    <w:rsid w:val="009B7FEC"/>
    <w:rsid w:val="009C1730"/>
    <w:rsid w:val="009C1D6F"/>
    <w:rsid w:val="009C78C4"/>
    <w:rsid w:val="009D2A4B"/>
    <w:rsid w:val="009D2C85"/>
    <w:rsid w:val="009D4669"/>
    <w:rsid w:val="009D57F3"/>
    <w:rsid w:val="009D64D2"/>
    <w:rsid w:val="009D76E1"/>
    <w:rsid w:val="009E0421"/>
    <w:rsid w:val="009E2088"/>
    <w:rsid w:val="009E32FD"/>
    <w:rsid w:val="009E339C"/>
    <w:rsid w:val="009E49AD"/>
    <w:rsid w:val="009E774D"/>
    <w:rsid w:val="009F1BA4"/>
    <w:rsid w:val="009F5310"/>
    <w:rsid w:val="00A02774"/>
    <w:rsid w:val="00A030FB"/>
    <w:rsid w:val="00A05023"/>
    <w:rsid w:val="00A064F0"/>
    <w:rsid w:val="00A10928"/>
    <w:rsid w:val="00A127F4"/>
    <w:rsid w:val="00A128EB"/>
    <w:rsid w:val="00A13285"/>
    <w:rsid w:val="00A162EA"/>
    <w:rsid w:val="00A22374"/>
    <w:rsid w:val="00A250B0"/>
    <w:rsid w:val="00A26671"/>
    <w:rsid w:val="00A313E3"/>
    <w:rsid w:val="00A323F0"/>
    <w:rsid w:val="00A33B95"/>
    <w:rsid w:val="00A41E85"/>
    <w:rsid w:val="00A454F0"/>
    <w:rsid w:val="00A45DD8"/>
    <w:rsid w:val="00A470F3"/>
    <w:rsid w:val="00A518EA"/>
    <w:rsid w:val="00A51E70"/>
    <w:rsid w:val="00A52079"/>
    <w:rsid w:val="00A52799"/>
    <w:rsid w:val="00A55B2D"/>
    <w:rsid w:val="00A622EA"/>
    <w:rsid w:val="00A63D48"/>
    <w:rsid w:val="00A65E42"/>
    <w:rsid w:val="00A660C9"/>
    <w:rsid w:val="00A66378"/>
    <w:rsid w:val="00A71415"/>
    <w:rsid w:val="00A75328"/>
    <w:rsid w:val="00A771A9"/>
    <w:rsid w:val="00A83B57"/>
    <w:rsid w:val="00A84D99"/>
    <w:rsid w:val="00A9061C"/>
    <w:rsid w:val="00A91EDA"/>
    <w:rsid w:val="00A937B3"/>
    <w:rsid w:val="00A9651C"/>
    <w:rsid w:val="00A979EF"/>
    <w:rsid w:val="00A97C1C"/>
    <w:rsid w:val="00AA29E2"/>
    <w:rsid w:val="00AB016F"/>
    <w:rsid w:val="00AB1AB9"/>
    <w:rsid w:val="00AB3429"/>
    <w:rsid w:val="00AB4410"/>
    <w:rsid w:val="00AB53EB"/>
    <w:rsid w:val="00AB5C80"/>
    <w:rsid w:val="00AB7A8A"/>
    <w:rsid w:val="00AC0190"/>
    <w:rsid w:val="00AC1036"/>
    <w:rsid w:val="00AC3FE6"/>
    <w:rsid w:val="00AC444A"/>
    <w:rsid w:val="00AC47DB"/>
    <w:rsid w:val="00AD1838"/>
    <w:rsid w:val="00AD21F5"/>
    <w:rsid w:val="00AD3FF5"/>
    <w:rsid w:val="00AE05CB"/>
    <w:rsid w:val="00AE7A95"/>
    <w:rsid w:val="00AF0962"/>
    <w:rsid w:val="00AF1032"/>
    <w:rsid w:val="00AF2053"/>
    <w:rsid w:val="00AF2FB4"/>
    <w:rsid w:val="00AF729E"/>
    <w:rsid w:val="00B002BF"/>
    <w:rsid w:val="00B059AB"/>
    <w:rsid w:val="00B062A9"/>
    <w:rsid w:val="00B075DE"/>
    <w:rsid w:val="00B101C8"/>
    <w:rsid w:val="00B1079D"/>
    <w:rsid w:val="00B10B89"/>
    <w:rsid w:val="00B10C73"/>
    <w:rsid w:val="00B14BC7"/>
    <w:rsid w:val="00B1598F"/>
    <w:rsid w:val="00B1616E"/>
    <w:rsid w:val="00B170A5"/>
    <w:rsid w:val="00B17D91"/>
    <w:rsid w:val="00B219B8"/>
    <w:rsid w:val="00B23191"/>
    <w:rsid w:val="00B232BA"/>
    <w:rsid w:val="00B26686"/>
    <w:rsid w:val="00B26808"/>
    <w:rsid w:val="00B26947"/>
    <w:rsid w:val="00B305DF"/>
    <w:rsid w:val="00B3525C"/>
    <w:rsid w:val="00B356AD"/>
    <w:rsid w:val="00B36B0D"/>
    <w:rsid w:val="00B42D20"/>
    <w:rsid w:val="00B45990"/>
    <w:rsid w:val="00B55FE0"/>
    <w:rsid w:val="00B574B7"/>
    <w:rsid w:val="00B60B6A"/>
    <w:rsid w:val="00B62900"/>
    <w:rsid w:val="00B63F35"/>
    <w:rsid w:val="00B650F1"/>
    <w:rsid w:val="00B651A7"/>
    <w:rsid w:val="00B709DD"/>
    <w:rsid w:val="00B72157"/>
    <w:rsid w:val="00B76693"/>
    <w:rsid w:val="00B811BE"/>
    <w:rsid w:val="00B81AF4"/>
    <w:rsid w:val="00B831CB"/>
    <w:rsid w:val="00B844A7"/>
    <w:rsid w:val="00B84A27"/>
    <w:rsid w:val="00B90B7A"/>
    <w:rsid w:val="00B92F53"/>
    <w:rsid w:val="00B9516C"/>
    <w:rsid w:val="00B9542C"/>
    <w:rsid w:val="00B9636D"/>
    <w:rsid w:val="00B96641"/>
    <w:rsid w:val="00B9706C"/>
    <w:rsid w:val="00BA4351"/>
    <w:rsid w:val="00BB0C10"/>
    <w:rsid w:val="00BB1888"/>
    <w:rsid w:val="00BB1A3A"/>
    <w:rsid w:val="00BB4D14"/>
    <w:rsid w:val="00BB54E4"/>
    <w:rsid w:val="00BC3BC1"/>
    <w:rsid w:val="00BC51D7"/>
    <w:rsid w:val="00BC5B7D"/>
    <w:rsid w:val="00BD121E"/>
    <w:rsid w:val="00BD256A"/>
    <w:rsid w:val="00BD2AD6"/>
    <w:rsid w:val="00BD2F3F"/>
    <w:rsid w:val="00BD358F"/>
    <w:rsid w:val="00BE030A"/>
    <w:rsid w:val="00BE0B3E"/>
    <w:rsid w:val="00BE258E"/>
    <w:rsid w:val="00BE48C9"/>
    <w:rsid w:val="00BE55D0"/>
    <w:rsid w:val="00BF06BC"/>
    <w:rsid w:val="00BF13E9"/>
    <w:rsid w:val="00BF3447"/>
    <w:rsid w:val="00C016DF"/>
    <w:rsid w:val="00C031F1"/>
    <w:rsid w:val="00C037CC"/>
    <w:rsid w:val="00C03D15"/>
    <w:rsid w:val="00C05514"/>
    <w:rsid w:val="00C05A1F"/>
    <w:rsid w:val="00C1141F"/>
    <w:rsid w:val="00C151E7"/>
    <w:rsid w:val="00C15559"/>
    <w:rsid w:val="00C16720"/>
    <w:rsid w:val="00C17051"/>
    <w:rsid w:val="00C204CA"/>
    <w:rsid w:val="00C217FF"/>
    <w:rsid w:val="00C218B4"/>
    <w:rsid w:val="00C2217A"/>
    <w:rsid w:val="00C22903"/>
    <w:rsid w:val="00C22A2C"/>
    <w:rsid w:val="00C26D42"/>
    <w:rsid w:val="00C26E72"/>
    <w:rsid w:val="00C3192B"/>
    <w:rsid w:val="00C34E87"/>
    <w:rsid w:val="00C36114"/>
    <w:rsid w:val="00C40AFC"/>
    <w:rsid w:val="00C42111"/>
    <w:rsid w:val="00C42D7D"/>
    <w:rsid w:val="00C42E1F"/>
    <w:rsid w:val="00C4464D"/>
    <w:rsid w:val="00C45366"/>
    <w:rsid w:val="00C50699"/>
    <w:rsid w:val="00C52B03"/>
    <w:rsid w:val="00C53276"/>
    <w:rsid w:val="00C53D3C"/>
    <w:rsid w:val="00C54DE6"/>
    <w:rsid w:val="00C61AD0"/>
    <w:rsid w:val="00C620DD"/>
    <w:rsid w:val="00C624A4"/>
    <w:rsid w:val="00C62743"/>
    <w:rsid w:val="00C62F75"/>
    <w:rsid w:val="00C6360A"/>
    <w:rsid w:val="00C66896"/>
    <w:rsid w:val="00C7058F"/>
    <w:rsid w:val="00C71DBF"/>
    <w:rsid w:val="00C742C8"/>
    <w:rsid w:val="00C77551"/>
    <w:rsid w:val="00C82252"/>
    <w:rsid w:val="00C825BB"/>
    <w:rsid w:val="00C85CAB"/>
    <w:rsid w:val="00C91880"/>
    <w:rsid w:val="00C91892"/>
    <w:rsid w:val="00C93307"/>
    <w:rsid w:val="00C969F4"/>
    <w:rsid w:val="00C97A7F"/>
    <w:rsid w:val="00C97EAE"/>
    <w:rsid w:val="00CA092F"/>
    <w:rsid w:val="00CA1892"/>
    <w:rsid w:val="00CA2E37"/>
    <w:rsid w:val="00CA4AAC"/>
    <w:rsid w:val="00CA5A88"/>
    <w:rsid w:val="00CA5E18"/>
    <w:rsid w:val="00CA6D10"/>
    <w:rsid w:val="00CB0474"/>
    <w:rsid w:val="00CB6BD0"/>
    <w:rsid w:val="00CC2206"/>
    <w:rsid w:val="00CC3012"/>
    <w:rsid w:val="00CC62AA"/>
    <w:rsid w:val="00CD053C"/>
    <w:rsid w:val="00CD4B17"/>
    <w:rsid w:val="00CE3149"/>
    <w:rsid w:val="00CE5B54"/>
    <w:rsid w:val="00CE6CCA"/>
    <w:rsid w:val="00CE6D4B"/>
    <w:rsid w:val="00CE7F9D"/>
    <w:rsid w:val="00CF22A8"/>
    <w:rsid w:val="00CF253D"/>
    <w:rsid w:val="00CF3912"/>
    <w:rsid w:val="00CF4D62"/>
    <w:rsid w:val="00D01B1B"/>
    <w:rsid w:val="00D02E5C"/>
    <w:rsid w:val="00D03205"/>
    <w:rsid w:val="00D038AB"/>
    <w:rsid w:val="00D12260"/>
    <w:rsid w:val="00D13E5E"/>
    <w:rsid w:val="00D14689"/>
    <w:rsid w:val="00D15425"/>
    <w:rsid w:val="00D15747"/>
    <w:rsid w:val="00D16E24"/>
    <w:rsid w:val="00D22F1F"/>
    <w:rsid w:val="00D2332F"/>
    <w:rsid w:val="00D23C82"/>
    <w:rsid w:val="00D261C7"/>
    <w:rsid w:val="00D26A95"/>
    <w:rsid w:val="00D3082C"/>
    <w:rsid w:val="00D31030"/>
    <w:rsid w:val="00D31123"/>
    <w:rsid w:val="00D34A82"/>
    <w:rsid w:val="00D34B78"/>
    <w:rsid w:val="00D36ED7"/>
    <w:rsid w:val="00D37333"/>
    <w:rsid w:val="00D37A6B"/>
    <w:rsid w:val="00D407D8"/>
    <w:rsid w:val="00D45E3D"/>
    <w:rsid w:val="00D46D22"/>
    <w:rsid w:val="00D46F47"/>
    <w:rsid w:val="00D64594"/>
    <w:rsid w:val="00D64A1F"/>
    <w:rsid w:val="00D660F0"/>
    <w:rsid w:val="00D7089C"/>
    <w:rsid w:val="00D72D75"/>
    <w:rsid w:val="00D74045"/>
    <w:rsid w:val="00D74D13"/>
    <w:rsid w:val="00D77537"/>
    <w:rsid w:val="00D814C6"/>
    <w:rsid w:val="00D82311"/>
    <w:rsid w:val="00D82468"/>
    <w:rsid w:val="00D82809"/>
    <w:rsid w:val="00D848E6"/>
    <w:rsid w:val="00D93559"/>
    <w:rsid w:val="00D94AFC"/>
    <w:rsid w:val="00D9589C"/>
    <w:rsid w:val="00D969D2"/>
    <w:rsid w:val="00D979FC"/>
    <w:rsid w:val="00DA311C"/>
    <w:rsid w:val="00DA50DC"/>
    <w:rsid w:val="00DA5F4A"/>
    <w:rsid w:val="00DA666D"/>
    <w:rsid w:val="00DB2B67"/>
    <w:rsid w:val="00DB2D00"/>
    <w:rsid w:val="00DB41E4"/>
    <w:rsid w:val="00DB530C"/>
    <w:rsid w:val="00DB779C"/>
    <w:rsid w:val="00DC0156"/>
    <w:rsid w:val="00DC105F"/>
    <w:rsid w:val="00DC3F18"/>
    <w:rsid w:val="00DC40CF"/>
    <w:rsid w:val="00DC4657"/>
    <w:rsid w:val="00DC4B25"/>
    <w:rsid w:val="00DC4C5D"/>
    <w:rsid w:val="00DC62E9"/>
    <w:rsid w:val="00DC6894"/>
    <w:rsid w:val="00DC7E9E"/>
    <w:rsid w:val="00DD10A3"/>
    <w:rsid w:val="00DD15C6"/>
    <w:rsid w:val="00DD2C7B"/>
    <w:rsid w:val="00DE015E"/>
    <w:rsid w:val="00DE1429"/>
    <w:rsid w:val="00DE6A14"/>
    <w:rsid w:val="00DE79C1"/>
    <w:rsid w:val="00DF2020"/>
    <w:rsid w:val="00DF399A"/>
    <w:rsid w:val="00DF4689"/>
    <w:rsid w:val="00DF52AF"/>
    <w:rsid w:val="00DF79E9"/>
    <w:rsid w:val="00E01AF6"/>
    <w:rsid w:val="00E02D0B"/>
    <w:rsid w:val="00E03F42"/>
    <w:rsid w:val="00E1115C"/>
    <w:rsid w:val="00E1307A"/>
    <w:rsid w:val="00E13249"/>
    <w:rsid w:val="00E171B9"/>
    <w:rsid w:val="00E17BA8"/>
    <w:rsid w:val="00E17F92"/>
    <w:rsid w:val="00E2006E"/>
    <w:rsid w:val="00E201EA"/>
    <w:rsid w:val="00E20C09"/>
    <w:rsid w:val="00E21CF1"/>
    <w:rsid w:val="00E31564"/>
    <w:rsid w:val="00E31CD0"/>
    <w:rsid w:val="00E33BA4"/>
    <w:rsid w:val="00E33DD1"/>
    <w:rsid w:val="00E37E8E"/>
    <w:rsid w:val="00E4200D"/>
    <w:rsid w:val="00E4260B"/>
    <w:rsid w:val="00E5316B"/>
    <w:rsid w:val="00E555EC"/>
    <w:rsid w:val="00E55BA0"/>
    <w:rsid w:val="00E62296"/>
    <w:rsid w:val="00E62992"/>
    <w:rsid w:val="00E653A9"/>
    <w:rsid w:val="00E67DA4"/>
    <w:rsid w:val="00E73AE3"/>
    <w:rsid w:val="00E74EA2"/>
    <w:rsid w:val="00E762A4"/>
    <w:rsid w:val="00E76CEA"/>
    <w:rsid w:val="00E803D3"/>
    <w:rsid w:val="00E8062C"/>
    <w:rsid w:val="00E80792"/>
    <w:rsid w:val="00E81167"/>
    <w:rsid w:val="00E83AA7"/>
    <w:rsid w:val="00E843C1"/>
    <w:rsid w:val="00E852EE"/>
    <w:rsid w:val="00E8542C"/>
    <w:rsid w:val="00E865A3"/>
    <w:rsid w:val="00E868EA"/>
    <w:rsid w:val="00E90099"/>
    <w:rsid w:val="00E9092C"/>
    <w:rsid w:val="00E913E0"/>
    <w:rsid w:val="00E926D4"/>
    <w:rsid w:val="00E93A53"/>
    <w:rsid w:val="00E94095"/>
    <w:rsid w:val="00E95F4E"/>
    <w:rsid w:val="00E969D3"/>
    <w:rsid w:val="00EA0D02"/>
    <w:rsid w:val="00EA16FC"/>
    <w:rsid w:val="00EA204F"/>
    <w:rsid w:val="00EA3AD5"/>
    <w:rsid w:val="00EA6051"/>
    <w:rsid w:val="00EB19D9"/>
    <w:rsid w:val="00EB5840"/>
    <w:rsid w:val="00EC07C9"/>
    <w:rsid w:val="00EC2C6C"/>
    <w:rsid w:val="00EC39E4"/>
    <w:rsid w:val="00EC43A4"/>
    <w:rsid w:val="00EC4455"/>
    <w:rsid w:val="00EC5999"/>
    <w:rsid w:val="00EC739F"/>
    <w:rsid w:val="00EC7BF8"/>
    <w:rsid w:val="00ED0359"/>
    <w:rsid w:val="00ED09F2"/>
    <w:rsid w:val="00ED1B79"/>
    <w:rsid w:val="00ED309D"/>
    <w:rsid w:val="00ED3431"/>
    <w:rsid w:val="00ED4085"/>
    <w:rsid w:val="00ED426B"/>
    <w:rsid w:val="00EE02AA"/>
    <w:rsid w:val="00EE0685"/>
    <w:rsid w:val="00EE06AC"/>
    <w:rsid w:val="00EE0728"/>
    <w:rsid w:val="00EE4110"/>
    <w:rsid w:val="00EE49E2"/>
    <w:rsid w:val="00EE57DB"/>
    <w:rsid w:val="00EE71FF"/>
    <w:rsid w:val="00EE7A00"/>
    <w:rsid w:val="00EF035C"/>
    <w:rsid w:val="00EF11C7"/>
    <w:rsid w:val="00EF248F"/>
    <w:rsid w:val="00EF2D58"/>
    <w:rsid w:val="00EF333B"/>
    <w:rsid w:val="00EF5A4C"/>
    <w:rsid w:val="00EF75EA"/>
    <w:rsid w:val="00F00085"/>
    <w:rsid w:val="00F01330"/>
    <w:rsid w:val="00F02295"/>
    <w:rsid w:val="00F07EF5"/>
    <w:rsid w:val="00F12A03"/>
    <w:rsid w:val="00F12DFE"/>
    <w:rsid w:val="00F1558E"/>
    <w:rsid w:val="00F212DE"/>
    <w:rsid w:val="00F21E04"/>
    <w:rsid w:val="00F23BC2"/>
    <w:rsid w:val="00F23E92"/>
    <w:rsid w:val="00F27D15"/>
    <w:rsid w:val="00F305C1"/>
    <w:rsid w:val="00F3604B"/>
    <w:rsid w:val="00F36174"/>
    <w:rsid w:val="00F421EC"/>
    <w:rsid w:val="00F42F44"/>
    <w:rsid w:val="00F4564A"/>
    <w:rsid w:val="00F4566B"/>
    <w:rsid w:val="00F46B06"/>
    <w:rsid w:val="00F50100"/>
    <w:rsid w:val="00F51EEA"/>
    <w:rsid w:val="00F5388E"/>
    <w:rsid w:val="00F624FC"/>
    <w:rsid w:val="00F65767"/>
    <w:rsid w:val="00F71EC8"/>
    <w:rsid w:val="00F721D2"/>
    <w:rsid w:val="00F766A5"/>
    <w:rsid w:val="00F77C25"/>
    <w:rsid w:val="00F80144"/>
    <w:rsid w:val="00F91688"/>
    <w:rsid w:val="00FA109B"/>
    <w:rsid w:val="00FA5F06"/>
    <w:rsid w:val="00FA7F09"/>
    <w:rsid w:val="00FB4A85"/>
    <w:rsid w:val="00FB656E"/>
    <w:rsid w:val="00FB7BFB"/>
    <w:rsid w:val="00FC0936"/>
    <w:rsid w:val="00FC1740"/>
    <w:rsid w:val="00FC18C9"/>
    <w:rsid w:val="00FC4285"/>
    <w:rsid w:val="00FC4677"/>
    <w:rsid w:val="00FC4837"/>
    <w:rsid w:val="00FC4DD2"/>
    <w:rsid w:val="00FC5050"/>
    <w:rsid w:val="00FC59F8"/>
    <w:rsid w:val="00FD03E4"/>
    <w:rsid w:val="00FD164F"/>
    <w:rsid w:val="00FD27EA"/>
    <w:rsid w:val="00FD2899"/>
    <w:rsid w:val="00FD7903"/>
    <w:rsid w:val="00FE05B3"/>
    <w:rsid w:val="00FE288C"/>
    <w:rsid w:val="00FE2CFB"/>
    <w:rsid w:val="00FE4201"/>
    <w:rsid w:val="00FF253D"/>
    <w:rsid w:val="00FF3B09"/>
    <w:rsid w:val="00FF4DA6"/>
    <w:rsid w:val="010116DB"/>
    <w:rsid w:val="01205FF5"/>
    <w:rsid w:val="012F0349"/>
    <w:rsid w:val="0134426E"/>
    <w:rsid w:val="015271C4"/>
    <w:rsid w:val="018777BD"/>
    <w:rsid w:val="01A650A9"/>
    <w:rsid w:val="01A83578"/>
    <w:rsid w:val="01CA6801"/>
    <w:rsid w:val="0200505A"/>
    <w:rsid w:val="026C441F"/>
    <w:rsid w:val="02704714"/>
    <w:rsid w:val="02AB1DCE"/>
    <w:rsid w:val="02AD6AB8"/>
    <w:rsid w:val="02DD1A3D"/>
    <w:rsid w:val="02E6582A"/>
    <w:rsid w:val="02F510C4"/>
    <w:rsid w:val="02F763B4"/>
    <w:rsid w:val="02FF41F8"/>
    <w:rsid w:val="036115D7"/>
    <w:rsid w:val="038F5DDA"/>
    <w:rsid w:val="03B049F9"/>
    <w:rsid w:val="03B20DE8"/>
    <w:rsid w:val="040D0A86"/>
    <w:rsid w:val="0410628C"/>
    <w:rsid w:val="04132705"/>
    <w:rsid w:val="042E6C5C"/>
    <w:rsid w:val="04307EBA"/>
    <w:rsid w:val="04676C57"/>
    <w:rsid w:val="046E585D"/>
    <w:rsid w:val="04E62562"/>
    <w:rsid w:val="05033D51"/>
    <w:rsid w:val="05097AD0"/>
    <w:rsid w:val="05857E4A"/>
    <w:rsid w:val="058E18F0"/>
    <w:rsid w:val="05A011A3"/>
    <w:rsid w:val="05C32A8A"/>
    <w:rsid w:val="05CC560F"/>
    <w:rsid w:val="05F60745"/>
    <w:rsid w:val="05FD161B"/>
    <w:rsid w:val="062D43AF"/>
    <w:rsid w:val="06BB2D1A"/>
    <w:rsid w:val="06E04994"/>
    <w:rsid w:val="07467179"/>
    <w:rsid w:val="07631FA1"/>
    <w:rsid w:val="07AB2B93"/>
    <w:rsid w:val="07E95BF8"/>
    <w:rsid w:val="07EF3D0B"/>
    <w:rsid w:val="08110EF9"/>
    <w:rsid w:val="084F7A85"/>
    <w:rsid w:val="085F3A9E"/>
    <w:rsid w:val="089B3E33"/>
    <w:rsid w:val="08A3063C"/>
    <w:rsid w:val="08B84D5E"/>
    <w:rsid w:val="08E07FEE"/>
    <w:rsid w:val="090573DB"/>
    <w:rsid w:val="095B4567"/>
    <w:rsid w:val="09882AB7"/>
    <w:rsid w:val="09906522"/>
    <w:rsid w:val="09CC7A7D"/>
    <w:rsid w:val="09E92ED1"/>
    <w:rsid w:val="09F91244"/>
    <w:rsid w:val="0A1F15FB"/>
    <w:rsid w:val="0AA471DC"/>
    <w:rsid w:val="0AB60BF7"/>
    <w:rsid w:val="0AFE78EE"/>
    <w:rsid w:val="0B0D77B0"/>
    <w:rsid w:val="0B7061D0"/>
    <w:rsid w:val="0B9B02AE"/>
    <w:rsid w:val="0C03155E"/>
    <w:rsid w:val="0C8A23DC"/>
    <w:rsid w:val="0CA65117"/>
    <w:rsid w:val="0CCB01B3"/>
    <w:rsid w:val="0CD856A2"/>
    <w:rsid w:val="0CE46D08"/>
    <w:rsid w:val="0CF008DF"/>
    <w:rsid w:val="0D176F5D"/>
    <w:rsid w:val="0D237AF5"/>
    <w:rsid w:val="0D453CD6"/>
    <w:rsid w:val="0D4E1C5B"/>
    <w:rsid w:val="0D5C09C6"/>
    <w:rsid w:val="0D7B08D7"/>
    <w:rsid w:val="0D842EA4"/>
    <w:rsid w:val="0D9966DD"/>
    <w:rsid w:val="0D9F765C"/>
    <w:rsid w:val="0DBB3DEE"/>
    <w:rsid w:val="0DC40C23"/>
    <w:rsid w:val="0DF310F1"/>
    <w:rsid w:val="0DFC08E3"/>
    <w:rsid w:val="0E277C23"/>
    <w:rsid w:val="0E470BCF"/>
    <w:rsid w:val="0E5347D9"/>
    <w:rsid w:val="0EB3632D"/>
    <w:rsid w:val="0F0912BA"/>
    <w:rsid w:val="0F143830"/>
    <w:rsid w:val="0F43050A"/>
    <w:rsid w:val="0F4E46B2"/>
    <w:rsid w:val="0F69654D"/>
    <w:rsid w:val="0FEB270F"/>
    <w:rsid w:val="10013B1C"/>
    <w:rsid w:val="102213FD"/>
    <w:rsid w:val="10374114"/>
    <w:rsid w:val="108452F1"/>
    <w:rsid w:val="10A31257"/>
    <w:rsid w:val="10C60B0F"/>
    <w:rsid w:val="10F72687"/>
    <w:rsid w:val="10F954EA"/>
    <w:rsid w:val="110212AA"/>
    <w:rsid w:val="11524F35"/>
    <w:rsid w:val="118F505C"/>
    <w:rsid w:val="11AB6319"/>
    <w:rsid w:val="11C33CAB"/>
    <w:rsid w:val="11E25779"/>
    <w:rsid w:val="120D4A8F"/>
    <w:rsid w:val="12347BAF"/>
    <w:rsid w:val="12974270"/>
    <w:rsid w:val="12F476D5"/>
    <w:rsid w:val="12FE6D40"/>
    <w:rsid w:val="1327213E"/>
    <w:rsid w:val="137A4175"/>
    <w:rsid w:val="13DD40E1"/>
    <w:rsid w:val="13F45CBA"/>
    <w:rsid w:val="13FF4EF2"/>
    <w:rsid w:val="14A515D8"/>
    <w:rsid w:val="14A53B9A"/>
    <w:rsid w:val="14D61CA1"/>
    <w:rsid w:val="153956D8"/>
    <w:rsid w:val="15517106"/>
    <w:rsid w:val="15537F35"/>
    <w:rsid w:val="15566B23"/>
    <w:rsid w:val="155B0D1A"/>
    <w:rsid w:val="156132B5"/>
    <w:rsid w:val="15AD307D"/>
    <w:rsid w:val="15C26136"/>
    <w:rsid w:val="16D536AD"/>
    <w:rsid w:val="16F61079"/>
    <w:rsid w:val="16FC40CC"/>
    <w:rsid w:val="175A5E16"/>
    <w:rsid w:val="17DC55DB"/>
    <w:rsid w:val="18381106"/>
    <w:rsid w:val="184753C0"/>
    <w:rsid w:val="184A2FE7"/>
    <w:rsid w:val="184D2E9A"/>
    <w:rsid w:val="18506409"/>
    <w:rsid w:val="18750889"/>
    <w:rsid w:val="190662EB"/>
    <w:rsid w:val="19111349"/>
    <w:rsid w:val="19170735"/>
    <w:rsid w:val="19287D1F"/>
    <w:rsid w:val="197E07F4"/>
    <w:rsid w:val="199A6F37"/>
    <w:rsid w:val="19CC156A"/>
    <w:rsid w:val="19D92823"/>
    <w:rsid w:val="1A2D5F17"/>
    <w:rsid w:val="1A3E7E25"/>
    <w:rsid w:val="1A4557A6"/>
    <w:rsid w:val="1A697B62"/>
    <w:rsid w:val="1A932CD8"/>
    <w:rsid w:val="1A976890"/>
    <w:rsid w:val="1AB632B9"/>
    <w:rsid w:val="1ABB3C04"/>
    <w:rsid w:val="1AC34FA6"/>
    <w:rsid w:val="1AE0041A"/>
    <w:rsid w:val="1B0D66A2"/>
    <w:rsid w:val="1B1B03EC"/>
    <w:rsid w:val="1B4C4EAE"/>
    <w:rsid w:val="1B6F68D0"/>
    <w:rsid w:val="1B91455A"/>
    <w:rsid w:val="1BA54641"/>
    <w:rsid w:val="1BAF1FC9"/>
    <w:rsid w:val="1BC0081E"/>
    <w:rsid w:val="1BDB12A2"/>
    <w:rsid w:val="1BE41607"/>
    <w:rsid w:val="1C080D97"/>
    <w:rsid w:val="1C4E226E"/>
    <w:rsid w:val="1C5E726F"/>
    <w:rsid w:val="1CB112A1"/>
    <w:rsid w:val="1CDE053E"/>
    <w:rsid w:val="1CF665ED"/>
    <w:rsid w:val="1D4410B0"/>
    <w:rsid w:val="1DB530CD"/>
    <w:rsid w:val="1DBD7A75"/>
    <w:rsid w:val="1DCB6348"/>
    <w:rsid w:val="1DCC7ACC"/>
    <w:rsid w:val="1DE4047F"/>
    <w:rsid w:val="1E85569E"/>
    <w:rsid w:val="1E9E28E6"/>
    <w:rsid w:val="1EB95209"/>
    <w:rsid w:val="1EC304A0"/>
    <w:rsid w:val="1EC5769F"/>
    <w:rsid w:val="1F21772E"/>
    <w:rsid w:val="1F254512"/>
    <w:rsid w:val="1F4C5BF7"/>
    <w:rsid w:val="1F5B28CE"/>
    <w:rsid w:val="201C43CA"/>
    <w:rsid w:val="20366690"/>
    <w:rsid w:val="20556B97"/>
    <w:rsid w:val="205763CF"/>
    <w:rsid w:val="206025A9"/>
    <w:rsid w:val="20847F7B"/>
    <w:rsid w:val="20AD543D"/>
    <w:rsid w:val="20F2289B"/>
    <w:rsid w:val="20FF0F4A"/>
    <w:rsid w:val="2125067A"/>
    <w:rsid w:val="215E5F39"/>
    <w:rsid w:val="218B5D70"/>
    <w:rsid w:val="218E706D"/>
    <w:rsid w:val="21AB685E"/>
    <w:rsid w:val="21BD140E"/>
    <w:rsid w:val="21D62E26"/>
    <w:rsid w:val="21FE77C8"/>
    <w:rsid w:val="220B31DB"/>
    <w:rsid w:val="22EB58EA"/>
    <w:rsid w:val="22F0247D"/>
    <w:rsid w:val="22F84022"/>
    <w:rsid w:val="233678D8"/>
    <w:rsid w:val="23407AD6"/>
    <w:rsid w:val="23443535"/>
    <w:rsid w:val="23624275"/>
    <w:rsid w:val="237A2F3D"/>
    <w:rsid w:val="23D24643"/>
    <w:rsid w:val="23D510C2"/>
    <w:rsid w:val="24591836"/>
    <w:rsid w:val="245D69F0"/>
    <w:rsid w:val="24687A47"/>
    <w:rsid w:val="247F782C"/>
    <w:rsid w:val="249E2CA0"/>
    <w:rsid w:val="25051304"/>
    <w:rsid w:val="251C0ED7"/>
    <w:rsid w:val="256E2074"/>
    <w:rsid w:val="25A15062"/>
    <w:rsid w:val="25B3099B"/>
    <w:rsid w:val="25D43324"/>
    <w:rsid w:val="25DB6356"/>
    <w:rsid w:val="262026BE"/>
    <w:rsid w:val="26305B4A"/>
    <w:rsid w:val="26A26BA6"/>
    <w:rsid w:val="26FD18FF"/>
    <w:rsid w:val="27890553"/>
    <w:rsid w:val="27A8071A"/>
    <w:rsid w:val="27D50E18"/>
    <w:rsid w:val="2806428D"/>
    <w:rsid w:val="28587717"/>
    <w:rsid w:val="28962ABE"/>
    <w:rsid w:val="289D4161"/>
    <w:rsid w:val="28AC2FF0"/>
    <w:rsid w:val="28BC0562"/>
    <w:rsid w:val="28C0170D"/>
    <w:rsid w:val="28D95C23"/>
    <w:rsid w:val="295172E8"/>
    <w:rsid w:val="296B37FE"/>
    <w:rsid w:val="298B171B"/>
    <w:rsid w:val="29C43843"/>
    <w:rsid w:val="2A1C138C"/>
    <w:rsid w:val="2A2B7E43"/>
    <w:rsid w:val="2A5E36F7"/>
    <w:rsid w:val="2A6A41DB"/>
    <w:rsid w:val="2A7C5E0E"/>
    <w:rsid w:val="2A7E6566"/>
    <w:rsid w:val="2A916E63"/>
    <w:rsid w:val="2AC732AC"/>
    <w:rsid w:val="2AEB1B17"/>
    <w:rsid w:val="2B67052B"/>
    <w:rsid w:val="2B6E0FCB"/>
    <w:rsid w:val="2B85377B"/>
    <w:rsid w:val="2BB16B38"/>
    <w:rsid w:val="2BE81FA6"/>
    <w:rsid w:val="2C1A2B1C"/>
    <w:rsid w:val="2C963CF7"/>
    <w:rsid w:val="2CD619DC"/>
    <w:rsid w:val="2CF26270"/>
    <w:rsid w:val="2D3A4BC3"/>
    <w:rsid w:val="2D4D429A"/>
    <w:rsid w:val="2D527980"/>
    <w:rsid w:val="2D78322C"/>
    <w:rsid w:val="2DB24E94"/>
    <w:rsid w:val="2DD1437F"/>
    <w:rsid w:val="2DD72A4E"/>
    <w:rsid w:val="2E2575E7"/>
    <w:rsid w:val="2E2A1879"/>
    <w:rsid w:val="2E410403"/>
    <w:rsid w:val="2E953974"/>
    <w:rsid w:val="2F2A5380"/>
    <w:rsid w:val="2F2D4FF3"/>
    <w:rsid w:val="2F3C1EE0"/>
    <w:rsid w:val="2F8256D1"/>
    <w:rsid w:val="2F9F0496"/>
    <w:rsid w:val="2FA01E86"/>
    <w:rsid w:val="2FBE4498"/>
    <w:rsid w:val="2FE43FDD"/>
    <w:rsid w:val="2FE645D5"/>
    <w:rsid w:val="300B0D6B"/>
    <w:rsid w:val="303E7862"/>
    <w:rsid w:val="30C742BB"/>
    <w:rsid w:val="30D62E95"/>
    <w:rsid w:val="30E023AB"/>
    <w:rsid w:val="310D5AD7"/>
    <w:rsid w:val="31CC585F"/>
    <w:rsid w:val="31E91BBE"/>
    <w:rsid w:val="320368D0"/>
    <w:rsid w:val="32D1329C"/>
    <w:rsid w:val="33520138"/>
    <w:rsid w:val="337D5A15"/>
    <w:rsid w:val="338031C3"/>
    <w:rsid w:val="33AD188D"/>
    <w:rsid w:val="33CD64EB"/>
    <w:rsid w:val="33EE2079"/>
    <w:rsid w:val="33F6279E"/>
    <w:rsid w:val="34004AE8"/>
    <w:rsid w:val="3417167E"/>
    <w:rsid w:val="345E115C"/>
    <w:rsid w:val="34615E02"/>
    <w:rsid w:val="349E5729"/>
    <w:rsid w:val="352A1FD0"/>
    <w:rsid w:val="352D06BF"/>
    <w:rsid w:val="354906C9"/>
    <w:rsid w:val="35594D77"/>
    <w:rsid w:val="357E44D0"/>
    <w:rsid w:val="35A126EE"/>
    <w:rsid w:val="35DD572A"/>
    <w:rsid w:val="36172F12"/>
    <w:rsid w:val="3636216A"/>
    <w:rsid w:val="36523428"/>
    <w:rsid w:val="366759D5"/>
    <w:rsid w:val="36773E7B"/>
    <w:rsid w:val="36A62292"/>
    <w:rsid w:val="36A70563"/>
    <w:rsid w:val="36A840E5"/>
    <w:rsid w:val="36EA21BD"/>
    <w:rsid w:val="371B2276"/>
    <w:rsid w:val="373C022C"/>
    <w:rsid w:val="37453A07"/>
    <w:rsid w:val="37717D56"/>
    <w:rsid w:val="377E5D1B"/>
    <w:rsid w:val="37AE070F"/>
    <w:rsid w:val="37C91D2F"/>
    <w:rsid w:val="38517CB2"/>
    <w:rsid w:val="38697492"/>
    <w:rsid w:val="386E2225"/>
    <w:rsid w:val="38746667"/>
    <w:rsid w:val="388115DF"/>
    <w:rsid w:val="38816A9C"/>
    <w:rsid w:val="388F2DD6"/>
    <w:rsid w:val="38C12BCB"/>
    <w:rsid w:val="39284D56"/>
    <w:rsid w:val="39C422B0"/>
    <w:rsid w:val="39CA79D0"/>
    <w:rsid w:val="3A1056BB"/>
    <w:rsid w:val="3A5D0472"/>
    <w:rsid w:val="3A6B440F"/>
    <w:rsid w:val="3AA0417A"/>
    <w:rsid w:val="3AA128CC"/>
    <w:rsid w:val="3B5E4F1C"/>
    <w:rsid w:val="3B8A2526"/>
    <w:rsid w:val="3BE36A67"/>
    <w:rsid w:val="3C407DDF"/>
    <w:rsid w:val="3C58291C"/>
    <w:rsid w:val="3C936F7D"/>
    <w:rsid w:val="3CD028AA"/>
    <w:rsid w:val="3CEF2D79"/>
    <w:rsid w:val="3D270F91"/>
    <w:rsid w:val="3D645021"/>
    <w:rsid w:val="3DAF2BA2"/>
    <w:rsid w:val="3DF312F2"/>
    <w:rsid w:val="3DF84ED1"/>
    <w:rsid w:val="3E17695C"/>
    <w:rsid w:val="3E464C98"/>
    <w:rsid w:val="3E490938"/>
    <w:rsid w:val="3E726EC0"/>
    <w:rsid w:val="3E9E2A71"/>
    <w:rsid w:val="3EDF02CD"/>
    <w:rsid w:val="3EE64AFB"/>
    <w:rsid w:val="3EFE1423"/>
    <w:rsid w:val="3F3071B2"/>
    <w:rsid w:val="3F4A4DFF"/>
    <w:rsid w:val="3F9E47AC"/>
    <w:rsid w:val="406A46F1"/>
    <w:rsid w:val="40CD53CC"/>
    <w:rsid w:val="410F3DEB"/>
    <w:rsid w:val="419B1C9E"/>
    <w:rsid w:val="41EB4547"/>
    <w:rsid w:val="41F622EB"/>
    <w:rsid w:val="42035B30"/>
    <w:rsid w:val="425B38D2"/>
    <w:rsid w:val="426465A5"/>
    <w:rsid w:val="42C40F95"/>
    <w:rsid w:val="42D56BB0"/>
    <w:rsid w:val="434A0332"/>
    <w:rsid w:val="4363434A"/>
    <w:rsid w:val="437E461B"/>
    <w:rsid w:val="43A06CB8"/>
    <w:rsid w:val="43A875FE"/>
    <w:rsid w:val="43B4386E"/>
    <w:rsid w:val="440E2CE7"/>
    <w:rsid w:val="443A0C85"/>
    <w:rsid w:val="44746D67"/>
    <w:rsid w:val="4491650B"/>
    <w:rsid w:val="44AB3055"/>
    <w:rsid w:val="44AE2568"/>
    <w:rsid w:val="44F638C4"/>
    <w:rsid w:val="452C28F2"/>
    <w:rsid w:val="458C6959"/>
    <w:rsid w:val="45B33DF3"/>
    <w:rsid w:val="45E745BD"/>
    <w:rsid w:val="46435D66"/>
    <w:rsid w:val="465369FE"/>
    <w:rsid w:val="469221D1"/>
    <w:rsid w:val="469559DB"/>
    <w:rsid w:val="46BE4FF5"/>
    <w:rsid w:val="46E147D5"/>
    <w:rsid w:val="470D5EEE"/>
    <w:rsid w:val="47317C79"/>
    <w:rsid w:val="473612F2"/>
    <w:rsid w:val="4746693C"/>
    <w:rsid w:val="474B2F8B"/>
    <w:rsid w:val="48114756"/>
    <w:rsid w:val="4826706B"/>
    <w:rsid w:val="486130FE"/>
    <w:rsid w:val="48847671"/>
    <w:rsid w:val="48D6001B"/>
    <w:rsid w:val="48E1519A"/>
    <w:rsid w:val="48FD5679"/>
    <w:rsid w:val="49CD7F59"/>
    <w:rsid w:val="49D50502"/>
    <w:rsid w:val="4AE85E21"/>
    <w:rsid w:val="4B1012E5"/>
    <w:rsid w:val="4B93488B"/>
    <w:rsid w:val="4C012D91"/>
    <w:rsid w:val="4C1C0832"/>
    <w:rsid w:val="4C226976"/>
    <w:rsid w:val="4C565A0A"/>
    <w:rsid w:val="4C596AD0"/>
    <w:rsid w:val="4CA842D0"/>
    <w:rsid w:val="4CB8649E"/>
    <w:rsid w:val="4D7351B8"/>
    <w:rsid w:val="4D853CCC"/>
    <w:rsid w:val="4DA83D11"/>
    <w:rsid w:val="4DEE6B39"/>
    <w:rsid w:val="4E1260AC"/>
    <w:rsid w:val="4E194B83"/>
    <w:rsid w:val="4E1B1CC2"/>
    <w:rsid w:val="4E291D0A"/>
    <w:rsid w:val="4E3340E7"/>
    <w:rsid w:val="4E450A8C"/>
    <w:rsid w:val="4E727A8C"/>
    <w:rsid w:val="4E806478"/>
    <w:rsid w:val="4E8D1622"/>
    <w:rsid w:val="4EC100A0"/>
    <w:rsid w:val="4ED80C5C"/>
    <w:rsid w:val="4F1C68CE"/>
    <w:rsid w:val="4F2A77DD"/>
    <w:rsid w:val="4FAB5B0B"/>
    <w:rsid w:val="4FB05447"/>
    <w:rsid w:val="4FCF6FD8"/>
    <w:rsid w:val="4FD632E7"/>
    <w:rsid w:val="5024559D"/>
    <w:rsid w:val="50280277"/>
    <w:rsid w:val="507A5B57"/>
    <w:rsid w:val="508F329C"/>
    <w:rsid w:val="509C5355"/>
    <w:rsid w:val="50A775DC"/>
    <w:rsid w:val="50B15DFA"/>
    <w:rsid w:val="50F637D0"/>
    <w:rsid w:val="51152321"/>
    <w:rsid w:val="51274651"/>
    <w:rsid w:val="516131F7"/>
    <w:rsid w:val="5179382C"/>
    <w:rsid w:val="51E425CE"/>
    <w:rsid w:val="52065FC8"/>
    <w:rsid w:val="52175127"/>
    <w:rsid w:val="52B60A7E"/>
    <w:rsid w:val="52F83115"/>
    <w:rsid w:val="52FB3CB3"/>
    <w:rsid w:val="53867116"/>
    <w:rsid w:val="539207E2"/>
    <w:rsid w:val="53D83752"/>
    <w:rsid w:val="54076F3B"/>
    <w:rsid w:val="542413B8"/>
    <w:rsid w:val="54436D78"/>
    <w:rsid w:val="545C6276"/>
    <w:rsid w:val="546D155F"/>
    <w:rsid w:val="548F36E9"/>
    <w:rsid w:val="54A808F4"/>
    <w:rsid w:val="54AF5485"/>
    <w:rsid w:val="54D35E3C"/>
    <w:rsid w:val="550D4E9A"/>
    <w:rsid w:val="55507827"/>
    <w:rsid w:val="556D0B9B"/>
    <w:rsid w:val="55986358"/>
    <w:rsid w:val="55E34DF9"/>
    <w:rsid w:val="55EB344B"/>
    <w:rsid w:val="55FE0EC6"/>
    <w:rsid w:val="560733E4"/>
    <w:rsid w:val="56353C8B"/>
    <w:rsid w:val="56617572"/>
    <w:rsid w:val="567C1327"/>
    <w:rsid w:val="56802F8F"/>
    <w:rsid w:val="568B6676"/>
    <w:rsid w:val="56DC5010"/>
    <w:rsid w:val="56FE6AC3"/>
    <w:rsid w:val="57120451"/>
    <w:rsid w:val="5718137B"/>
    <w:rsid w:val="571A4679"/>
    <w:rsid w:val="57697EE1"/>
    <w:rsid w:val="576B6B45"/>
    <w:rsid w:val="578376AE"/>
    <w:rsid w:val="57DC32FC"/>
    <w:rsid w:val="57E11FA7"/>
    <w:rsid w:val="57F03190"/>
    <w:rsid w:val="57F4390D"/>
    <w:rsid w:val="581B563E"/>
    <w:rsid w:val="583627A6"/>
    <w:rsid w:val="58400123"/>
    <w:rsid w:val="58682DC1"/>
    <w:rsid w:val="58B60814"/>
    <w:rsid w:val="58C66447"/>
    <w:rsid w:val="58E65065"/>
    <w:rsid w:val="59322AC8"/>
    <w:rsid w:val="59400C17"/>
    <w:rsid w:val="59512E2D"/>
    <w:rsid w:val="59845273"/>
    <w:rsid w:val="598900F2"/>
    <w:rsid w:val="599B0260"/>
    <w:rsid w:val="599E0097"/>
    <w:rsid w:val="59D96759"/>
    <w:rsid w:val="59FB1452"/>
    <w:rsid w:val="5A06604E"/>
    <w:rsid w:val="5A180D76"/>
    <w:rsid w:val="5A3F032C"/>
    <w:rsid w:val="5A3F29EA"/>
    <w:rsid w:val="5A7F18BE"/>
    <w:rsid w:val="5A82030A"/>
    <w:rsid w:val="5AAB5E7A"/>
    <w:rsid w:val="5ADF31F6"/>
    <w:rsid w:val="5AF43A2B"/>
    <w:rsid w:val="5AFA0840"/>
    <w:rsid w:val="5B467D20"/>
    <w:rsid w:val="5B495952"/>
    <w:rsid w:val="5B4F3B90"/>
    <w:rsid w:val="5B60722C"/>
    <w:rsid w:val="5B7F5FA0"/>
    <w:rsid w:val="5BC55CE4"/>
    <w:rsid w:val="5C241814"/>
    <w:rsid w:val="5C4573D4"/>
    <w:rsid w:val="5C8859E5"/>
    <w:rsid w:val="5C885B7B"/>
    <w:rsid w:val="5D013CB0"/>
    <w:rsid w:val="5D156C17"/>
    <w:rsid w:val="5D554F4A"/>
    <w:rsid w:val="5D9A411F"/>
    <w:rsid w:val="5E5F334D"/>
    <w:rsid w:val="5E791FD3"/>
    <w:rsid w:val="5ECE2404"/>
    <w:rsid w:val="5EE00A01"/>
    <w:rsid w:val="5F1E5DA4"/>
    <w:rsid w:val="5F455A70"/>
    <w:rsid w:val="5F880892"/>
    <w:rsid w:val="5FA353FC"/>
    <w:rsid w:val="5FA726B3"/>
    <w:rsid w:val="5FE74671"/>
    <w:rsid w:val="5FEA44E3"/>
    <w:rsid w:val="5FF82095"/>
    <w:rsid w:val="6031207D"/>
    <w:rsid w:val="6043231B"/>
    <w:rsid w:val="60467201"/>
    <w:rsid w:val="60474EF1"/>
    <w:rsid w:val="60495361"/>
    <w:rsid w:val="60B66ECA"/>
    <w:rsid w:val="60C33AFD"/>
    <w:rsid w:val="60CC1ED2"/>
    <w:rsid w:val="61046FEF"/>
    <w:rsid w:val="613970EB"/>
    <w:rsid w:val="613D672A"/>
    <w:rsid w:val="61A135DE"/>
    <w:rsid w:val="61E35841"/>
    <w:rsid w:val="621903AA"/>
    <w:rsid w:val="621B5D6E"/>
    <w:rsid w:val="6291082A"/>
    <w:rsid w:val="62B852E2"/>
    <w:rsid w:val="62FB45FC"/>
    <w:rsid w:val="63412FE5"/>
    <w:rsid w:val="6343256F"/>
    <w:rsid w:val="634A2CF1"/>
    <w:rsid w:val="634E2C8F"/>
    <w:rsid w:val="642D3A80"/>
    <w:rsid w:val="64375A8A"/>
    <w:rsid w:val="64542A70"/>
    <w:rsid w:val="64AC5249"/>
    <w:rsid w:val="64AE35E2"/>
    <w:rsid w:val="652E0317"/>
    <w:rsid w:val="655022BA"/>
    <w:rsid w:val="6567306B"/>
    <w:rsid w:val="656E79B0"/>
    <w:rsid w:val="658D425B"/>
    <w:rsid w:val="65D72C8E"/>
    <w:rsid w:val="66156E52"/>
    <w:rsid w:val="663D15FE"/>
    <w:rsid w:val="66623D90"/>
    <w:rsid w:val="66763229"/>
    <w:rsid w:val="667E1DBF"/>
    <w:rsid w:val="66A0022E"/>
    <w:rsid w:val="66FC36BD"/>
    <w:rsid w:val="66FD5911"/>
    <w:rsid w:val="67002889"/>
    <w:rsid w:val="67046310"/>
    <w:rsid w:val="674044B0"/>
    <w:rsid w:val="674B5238"/>
    <w:rsid w:val="676416E8"/>
    <w:rsid w:val="67675928"/>
    <w:rsid w:val="677515A1"/>
    <w:rsid w:val="67956BF5"/>
    <w:rsid w:val="67A23FF6"/>
    <w:rsid w:val="67D10DFC"/>
    <w:rsid w:val="67D5513B"/>
    <w:rsid w:val="67E72EAB"/>
    <w:rsid w:val="68111B0F"/>
    <w:rsid w:val="68243A89"/>
    <w:rsid w:val="683A660B"/>
    <w:rsid w:val="684D3DAF"/>
    <w:rsid w:val="686C5A38"/>
    <w:rsid w:val="68A85850"/>
    <w:rsid w:val="68B40AA2"/>
    <w:rsid w:val="68CD2AE6"/>
    <w:rsid w:val="68D14E37"/>
    <w:rsid w:val="691468AD"/>
    <w:rsid w:val="692742E3"/>
    <w:rsid w:val="69771EA1"/>
    <w:rsid w:val="69F05A5E"/>
    <w:rsid w:val="6A154F1F"/>
    <w:rsid w:val="6A3015CC"/>
    <w:rsid w:val="6A542BEC"/>
    <w:rsid w:val="6AD4597E"/>
    <w:rsid w:val="6AE67B12"/>
    <w:rsid w:val="6AE8196C"/>
    <w:rsid w:val="6B1B08D9"/>
    <w:rsid w:val="6BC02D3E"/>
    <w:rsid w:val="6BC33FB9"/>
    <w:rsid w:val="6BDC311E"/>
    <w:rsid w:val="6BE11C51"/>
    <w:rsid w:val="6BEA0D3C"/>
    <w:rsid w:val="6C0F7FD7"/>
    <w:rsid w:val="6CCF2CBB"/>
    <w:rsid w:val="6CD1755F"/>
    <w:rsid w:val="6CD309ED"/>
    <w:rsid w:val="6D001D88"/>
    <w:rsid w:val="6D0E6B23"/>
    <w:rsid w:val="6D4B0E5B"/>
    <w:rsid w:val="6D525775"/>
    <w:rsid w:val="6D766033"/>
    <w:rsid w:val="6D786F18"/>
    <w:rsid w:val="6DDF7D57"/>
    <w:rsid w:val="6E09322F"/>
    <w:rsid w:val="6E0A2BFA"/>
    <w:rsid w:val="6E393DE4"/>
    <w:rsid w:val="6E4D5CD6"/>
    <w:rsid w:val="6E730702"/>
    <w:rsid w:val="6EBE6107"/>
    <w:rsid w:val="6ED2525C"/>
    <w:rsid w:val="6EE921F2"/>
    <w:rsid w:val="6EFD371E"/>
    <w:rsid w:val="6F324441"/>
    <w:rsid w:val="6FCF7F5C"/>
    <w:rsid w:val="700233CF"/>
    <w:rsid w:val="70372A3F"/>
    <w:rsid w:val="70450AB3"/>
    <w:rsid w:val="70D27460"/>
    <w:rsid w:val="712C5EEB"/>
    <w:rsid w:val="71C27838"/>
    <w:rsid w:val="71D6615E"/>
    <w:rsid w:val="71ED4BF6"/>
    <w:rsid w:val="71F35DB6"/>
    <w:rsid w:val="721128B4"/>
    <w:rsid w:val="721647A1"/>
    <w:rsid w:val="72F90EAF"/>
    <w:rsid w:val="73313D56"/>
    <w:rsid w:val="73616461"/>
    <w:rsid w:val="737230F7"/>
    <w:rsid w:val="73AC2E89"/>
    <w:rsid w:val="73DD49A4"/>
    <w:rsid w:val="73DF450F"/>
    <w:rsid w:val="73E82D35"/>
    <w:rsid w:val="74426A96"/>
    <w:rsid w:val="74925949"/>
    <w:rsid w:val="74C04B3D"/>
    <w:rsid w:val="75005DD6"/>
    <w:rsid w:val="75427AEF"/>
    <w:rsid w:val="755768E7"/>
    <w:rsid w:val="757C2B66"/>
    <w:rsid w:val="75BA246A"/>
    <w:rsid w:val="75C04D16"/>
    <w:rsid w:val="75C660AC"/>
    <w:rsid w:val="75CF09D8"/>
    <w:rsid w:val="75D33467"/>
    <w:rsid w:val="75E64D79"/>
    <w:rsid w:val="75F60623"/>
    <w:rsid w:val="75FD6180"/>
    <w:rsid w:val="760F4027"/>
    <w:rsid w:val="7618004F"/>
    <w:rsid w:val="763978B9"/>
    <w:rsid w:val="764C2C22"/>
    <w:rsid w:val="76564B7F"/>
    <w:rsid w:val="768F1385"/>
    <w:rsid w:val="76CE41ED"/>
    <w:rsid w:val="772D379C"/>
    <w:rsid w:val="777C730B"/>
    <w:rsid w:val="778D039E"/>
    <w:rsid w:val="779E10A6"/>
    <w:rsid w:val="77A57EFA"/>
    <w:rsid w:val="77AE073A"/>
    <w:rsid w:val="77B92812"/>
    <w:rsid w:val="780C2125"/>
    <w:rsid w:val="78193547"/>
    <w:rsid w:val="781F48AE"/>
    <w:rsid w:val="7847676A"/>
    <w:rsid w:val="78A8025B"/>
    <w:rsid w:val="78B21BC1"/>
    <w:rsid w:val="78FA5D9B"/>
    <w:rsid w:val="79190BED"/>
    <w:rsid w:val="792D106F"/>
    <w:rsid w:val="79740110"/>
    <w:rsid w:val="79777654"/>
    <w:rsid w:val="79A643BB"/>
    <w:rsid w:val="79C07A84"/>
    <w:rsid w:val="79F46411"/>
    <w:rsid w:val="7A052323"/>
    <w:rsid w:val="7A691660"/>
    <w:rsid w:val="7A741211"/>
    <w:rsid w:val="7A8239C6"/>
    <w:rsid w:val="7AB16F98"/>
    <w:rsid w:val="7AC33222"/>
    <w:rsid w:val="7B1C4492"/>
    <w:rsid w:val="7B4A6717"/>
    <w:rsid w:val="7B781A47"/>
    <w:rsid w:val="7B9928F4"/>
    <w:rsid w:val="7BBB5869"/>
    <w:rsid w:val="7BC549A1"/>
    <w:rsid w:val="7BD67FB8"/>
    <w:rsid w:val="7C2475EE"/>
    <w:rsid w:val="7C4F7C90"/>
    <w:rsid w:val="7C785D61"/>
    <w:rsid w:val="7CDB284A"/>
    <w:rsid w:val="7D1F288D"/>
    <w:rsid w:val="7D3C5E52"/>
    <w:rsid w:val="7D84528D"/>
    <w:rsid w:val="7D966272"/>
    <w:rsid w:val="7DDE2DFC"/>
    <w:rsid w:val="7E255954"/>
    <w:rsid w:val="7E2A2A0B"/>
    <w:rsid w:val="7E8D7B65"/>
    <w:rsid w:val="7E922693"/>
    <w:rsid w:val="7EF132B5"/>
    <w:rsid w:val="7EFE084F"/>
    <w:rsid w:val="7F2D6654"/>
    <w:rsid w:val="7F590EFE"/>
    <w:rsid w:val="7F62655B"/>
    <w:rsid w:val="7F7470C9"/>
    <w:rsid w:val="7FB0031C"/>
    <w:rsid w:val="7FF301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iPriority="99"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0"/>
    <w:qFormat/>
    <w:uiPriority w:val="0"/>
    <w:pPr>
      <w:keepNext/>
      <w:jc w:val="center"/>
      <w:outlineLvl w:val="0"/>
    </w:pPr>
    <w:rPr>
      <w:rFonts w:ascii="仿宋_GB2312" w:eastAsia="仿宋_GB2312"/>
      <w:sz w:val="28"/>
    </w:rPr>
  </w:style>
  <w:style w:type="paragraph" w:styleId="5">
    <w:name w:val="heading 2"/>
    <w:basedOn w:val="1"/>
    <w:next w:val="1"/>
    <w:link w:val="51"/>
    <w:qFormat/>
    <w:uiPriority w:val="0"/>
    <w:pPr>
      <w:keepNext/>
      <w:tabs>
        <w:tab w:val="left" w:pos="420"/>
      </w:tabs>
      <w:spacing w:line="360" w:lineRule="auto"/>
      <w:ind w:left="420" w:hanging="330"/>
      <w:outlineLvl w:val="1"/>
    </w:pPr>
    <w:rPr>
      <w:b/>
      <w:sz w:val="24"/>
      <w:szCs w:val="24"/>
    </w:rPr>
  </w:style>
  <w:style w:type="paragraph" w:styleId="6">
    <w:name w:val="heading 3"/>
    <w:basedOn w:val="1"/>
    <w:next w:val="1"/>
    <w:link w:val="52"/>
    <w:qFormat/>
    <w:uiPriority w:val="0"/>
    <w:pPr>
      <w:keepNext/>
      <w:tabs>
        <w:tab w:val="left" w:pos="468"/>
      </w:tabs>
      <w:ind w:left="468" w:hanging="468"/>
      <w:outlineLvl w:val="2"/>
    </w:pPr>
    <w:rPr>
      <w:b/>
      <w:bCs/>
      <w:sz w:val="28"/>
      <w:szCs w:val="24"/>
    </w:rPr>
  </w:style>
  <w:style w:type="paragraph" w:styleId="7">
    <w:name w:val="heading 4"/>
    <w:basedOn w:val="1"/>
    <w:next w:val="1"/>
    <w:link w:val="53"/>
    <w:qFormat/>
    <w:uiPriority w:val="0"/>
    <w:pPr>
      <w:keepNext/>
      <w:tabs>
        <w:tab w:val="left" w:pos="435"/>
      </w:tabs>
      <w:ind w:left="435" w:hanging="435"/>
      <w:outlineLvl w:val="3"/>
    </w:pPr>
    <w:rPr>
      <w:b/>
      <w:color w:val="000000"/>
      <w:sz w:val="28"/>
      <w:szCs w:val="24"/>
      <w:u w:val="single"/>
    </w:rPr>
  </w:style>
  <w:style w:type="paragraph" w:styleId="8">
    <w:name w:val="heading 5"/>
    <w:basedOn w:val="1"/>
    <w:next w:val="9"/>
    <w:link w:val="54"/>
    <w:qFormat/>
    <w:uiPriority w:val="0"/>
    <w:pPr>
      <w:keepNext/>
      <w:adjustRightInd w:val="0"/>
      <w:spacing w:line="360" w:lineRule="auto"/>
      <w:jc w:val="left"/>
      <w:textAlignment w:val="baseline"/>
      <w:outlineLvl w:val="4"/>
    </w:pPr>
    <w:rPr>
      <w:rFonts w:ascii="宋体"/>
      <w:b/>
      <w:kern w:val="0"/>
      <w:sz w:val="28"/>
    </w:rPr>
  </w:style>
  <w:style w:type="paragraph" w:styleId="10">
    <w:name w:val="heading 6"/>
    <w:basedOn w:val="1"/>
    <w:next w:val="1"/>
    <w:link w:val="55"/>
    <w:qFormat/>
    <w:uiPriority w:val="0"/>
    <w:pPr>
      <w:tabs>
        <w:tab w:val="left" w:pos="814"/>
      </w:tabs>
      <w:spacing w:before="240" w:after="64" w:line="317" w:lineRule="auto"/>
      <w:ind w:left="454" w:firstLine="200" w:firstLineChars="200"/>
      <w:outlineLvl w:val="5"/>
    </w:pPr>
    <w:rPr>
      <w:bCs/>
      <w:sz w:val="28"/>
    </w:rPr>
  </w:style>
  <w:style w:type="paragraph" w:styleId="11">
    <w:name w:val="heading 7"/>
    <w:basedOn w:val="1"/>
    <w:next w:val="1"/>
    <w:link w:val="56"/>
    <w:qFormat/>
    <w:uiPriority w:val="0"/>
    <w:pPr>
      <w:keepNext/>
      <w:tabs>
        <w:tab w:val="left" w:pos="900"/>
      </w:tabs>
      <w:ind w:left="900" w:hanging="300"/>
      <w:outlineLvl w:val="6"/>
    </w:pPr>
    <w:rPr>
      <w:rFonts w:ascii="宋体" w:hAnsi="宋体"/>
      <w:b/>
      <w:sz w:val="28"/>
      <w:szCs w:val="24"/>
    </w:rPr>
  </w:style>
  <w:style w:type="paragraph" w:styleId="12">
    <w:name w:val="heading 8"/>
    <w:basedOn w:val="1"/>
    <w:next w:val="1"/>
    <w:link w:val="57"/>
    <w:qFormat/>
    <w:uiPriority w:val="0"/>
    <w:pPr>
      <w:keepNext/>
      <w:widowControl/>
      <w:tabs>
        <w:tab w:val="left" w:pos="1260"/>
        <w:tab w:val="left" w:pos="1995"/>
        <w:tab w:val="left" w:pos="2520"/>
        <w:tab w:val="left" w:pos="2730"/>
      </w:tabs>
      <w:spacing w:before="100" w:after="100" w:line="400" w:lineRule="exact"/>
      <w:ind w:left="600" w:hanging="600"/>
      <w:jc w:val="left"/>
      <w:outlineLvl w:val="7"/>
    </w:pPr>
    <w:rPr>
      <w:b/>
      <w:sz w:val="28"/>
      <w:szCs w:val="24"/>
      <w:u w:val="single"/>
    </w:rPr>
  </w:style>
  <w:style w:type="paragraph" w:styleId="13">
    <w:name w:val="heading 9"/>
    <w:basedOn w:val="1"/>
    <w:next w:val="1"/>
    <w:link w:val="58"/>
    <w:qFormat/>
    <w:uiPriority w:val="0"/>
    <w:pPr>
      <w:keepNext/>
      <w:keepLines/>
      <w:tabs>
        <w:tab w:val="left" w:pos="1584"/>
      </w:tabs>
      <w:spacing w:before="240" w:after="64" w:line="317" w:lineRule="auto"/>
      <w:ind w:left="1584" w:hanging="1584" w:firstLineChars="200"/>
      <w:outlineLvl w:val="8"/>
    </w:pPr>
    <w:rPr>
      <w:rFonts w:ascii="Arial" w:hAnsi="Arial" w:eastAsia="黑体"/>
      <w:sz w:val="24"/>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9"/>
    <w:qFormat/>
    <w:uiPriority w:val="0"/>
    <w:pPr>
      <w:spacing w:after="120"/>
    </w:pPr>
  </w:style>
  <w:style w:type="paragraph" w:styleId="3">
    <w:name w:val="Date"/>
    <w:basedOn w:val="1"/>
    <w:next w:val="1"/>
    <w:link w:val="48"/>
    <w:qFormat/>
    <w:uiPriority w:val="0"/>
    <w:rPr>
      <w:color w:val="000000"/>
      <w:kern w:val="0"/>
      <w:sz w:val="30"/>
    </w:rPr>
  </w:style>
  <w:style w:type="paragraph" w:styleId="9">
    <w:name w:val="Normal Indent"/>
    <w:basedOn w:val="1"/>
    <w:qFormat/>
    <w:uiPriority w:val="0"/>
    <w:pPr>
      <w:ind w:firstLine="420" w:firstLineChars="200"/>
    </w:pPr>
    <w:rPr>
      <w:szCs w:val="24"/>
    </w:rPr>
  </w:style>
  <w:style w:type="paragraph" w:styleId="14">
    <w:name w:val="toc 7"/>
    <w:basedOn w:val="1"/>
    <w:next w:val="1"/>
    <w:semiHidden/>
    <w:qFormat/>
    <w:uiPriority w:val="0"/>
    <w:pPr>
      <w:ind w:left="1260"/>
      <w:jc w:val="left"/>
    </w:pPr>
    <w:rPr>
      <w:sz w:val="18"/>
      <w:szCs w:val="18"/>
    </w:rPr>
  </w:style>
  <w:style w:type="paragraph" w:styleId="15">
    <w:name w:val="List Number"/>
    <w:basedOn w:val="1"/>
    <w:qFormat/>
    <w:uiPriority w:val="0"/>
    <w:pPr>
      <w:tabs>
        <w:tab w:val="left" w:pos="1890"/>
      </w:tabs>
      <w:ind w:hanging="420"/>
    </w:pPr>
    <w:rPr>
      <w:szCs w:val="24"/>
    </w:rPr>
  </w:style>
  <w:style w:type="paragraph" w:styleId="16">
    <w:name w:val="Document Map"/>
    <w:basedOn w:val="1"/>
    <w:semiHidden/>
    <w:qFormat/>
    <w:uiPriority w:val="0"/>
    <w:pPr>
      <w:shd w:val="clear" w:color="auto" w:fill="000080"/>
    </w:pPr>
  </w:style>
  <w:style w:type="paragraph" w:styleId="17">
    <w:name w:val="annotation text"/>
    <w:basedOn w:val="1"/>
    <w:link w:val="59"/>
    <w:qFormat/>
    <w:uiPriority w:val="0"/>
    <w:pPr>
      <w:jc w:val="left"/>
    </w:pPr>
    <w:rPr>
      <w:szCs w:val="24"/>
    </w:rPr>
  </w:style>
  <w:style w:type="paragraph" w:styleId="18">
    <w:name w:val="Body Text 3"/>
    <w:basedOn w:val="1"/>
    <w:qFormat/>
    <w:uiPriority w:val="0"/>
    <w:pPr>
      <w:spacing w:after="120"/>
    </w:pPr>
    <w:rPr>
      <w:sz w:val="16"/>
      <w:szCs w:val="16"/>
    </w:rPr>
  </w:style>
  <w:style w:type="paragraph" w:styleId="19">
    <w:name w:val="Body Text Indent"/>
    <w:basedOn w:val="1"/>
    <w:link w:val="60"/>
    <w:qFormat/>
    <w:uiPriority w:val="0"/>
    <w:pPr>
      <w:spacing w:line="800" w:lineRule="exact"/>
      <w:ind w:left="315" w:leftChars="150" w:firstLine="664" w:firstLineChars="237"/>
    </w:pPr>
    <w:rPr>
      <w:rFonts w:ascii="仿宋_GB2312" w:eastAsia="仿宋_GB2312"/>
      <w:sz w:val="28"/>
    </w:rPr>
  </w:style>
  <w:style w:type="paragraph" w:styleId="20">
    <w:name w:val="HTML Address"/>
    <w:basedOn w:val="1"/>
    <w:link w:val="61"/>
    <w:qFormat/>
    <w:uiPriority w:val="0"/>
    <w:rPr>
      <w:i/>
      <w:iCs/>
      <w:szCs w:val="24"/>
    </w:rPr>
  </w:style>
  <w:style w:type="paragraph" w:styleId="21">
    <w:name w:val="toc 5"/>
    <w:basedOn w:val="1"/>
    <w:next w:val="1"/>
    <w:semiHidden/>
    <w:qFormat/>
    <w:uiPriority w:val="0"/>
    <w:pPr>
      <w:ind w:left="840"/>
      <w:jc w:val="left"/>
    </w:pPr>
    <w:rPr>
      <w:sz w:val="18"/>
      <w:szCs w:val="18"/>
    </w:rPr>
  </w:style>
  <w:style w:type="paragraph" w:styleId="22">
    <w:name w:val="toc 3"/>
    <w:basedOn w:val="1"/>
    <w:next w:val="1"/>
    <w:qFormat/>
    <w:uiPriority w:val="0"/>
    <w:pPr>
      <w:ind w:left="420"/>
      <w:jc w:val="left"/>
    </w:pPr>
    <w:rPr>
      <w:i/>
      <w:iCs/>
      <w:sz w:val="20"/>
    </w:rPr>
  </w:style>
  <w:style w:type="paragraph" w:styleId="23">
    <w:name w:val="Plain Text"/>
    <w:basedOn w:val="1"/>
    <w:link w:val="62"/>
    <w:qFormat/>
    <w:uiPriority w:val="0"/>
    <w:rPr>
      <w:rFonts w:ascii="宋体" w:hAnsi="宋体"/>
    </w:rPr>
  </w:style>
  <w:style w:type="paragraph" w:styleId="24">
    <w:name w:val="toc 8"/>
    <w:basedOn w:val="1"/>
    <w:next w:val="1"/>
    <w:semiHidden/>
    <w:qFormat/>
    <w:uiPriority w:val="0"/>
    <w:pPr>
      <w:ind w:left="1470"/>
      <w:jc w:val="left"/>
    </w:pPr>
    <w:rPr>
      <w:sz w:val="18"/>
      <w:szCs w:val="18"/>
    </w:rPr>
  </w:style>
  <w:style w:type="paragraph" w:styleId="25">
    <w:name w:val="Body Text Indent 2"/>
    <w:basedOn w:val="1"/>
    <w:link w:val="63"/>
    <w:qFormat/>
    <w:uiPriority w:val="0"/>
    <w:pPr>
      <w:spacing w:line="360" w:lineRule="auto"/>
      <w:ind w:firstLine="555"/>
    </w:pPr>
    <w:rPr>
      <w:rFonts w:ascii="仿宋_GB2312" w:eastAsia="仿宋_GB2312"/>
      <w:sz w:val="28"/>
    </w:rPr>
  </w:style>
  <w:style w:type="paragraph" w:styleId="26">
    <w:name w:val="Balloon Text"/>
    <w:basedOn w:val="1"/>
    <w:link w:val="64"/>
    <w:qFormat/>
    <w:uiPriority w:val="0"/>
    <w:rPr>
      <w:sz w:val="18"/>
      <w:szCs w:val="18"/>
    </w:rPr>
  </w:style>
  <w:style w:type="paragraph" w:styleId="27">
    <w:name w:val="footer"/>
    <w:basedOn w:val="1"/>
    <w:link w:val="65"/>
    <w:qFormat/>
    <w:uiPriority w:val="0"/>
    <w:pPr>
      <w:tabs>
        <w:tab w:val="center" w:pos="4153"/>
        <w:tab w:val="right" w:pos="8306"/>
      </w:tabs>
      <w:snapToGrid w:val="0"/>
      <w:jc w:val="left"/>
    </w:pPr>
    <w:rPr>
      <w:sz w:val="18"/>
      <w:szCs w:val="18"/>
    </w:rPr>
  </w:style>
  <w:style w:type="paragraph" w:styleId="28">
    <w:name w:val="header"/>
    <w:basedOn w:val="1"/>
    <w:link w:val="66"/>
    <w:qFormat/>
    <w:uiPriority w:val="0"/>
    <w:pPr>
      <w:pBdr>
        <w:bottom w:val="single" w:color="auto" w:sz="6" w:space="1"/>
      </w:pBdr>
      <w:tabs>
        <w:tab w:val="center" w:pos="4153"/>
        <w:tab w:val="right" w:pos="8306"/>
      </w:tabs>
      <w:snapToGrid w:val="0"/>
      <w:jc w:val="center"/>
    </w:pPr>
    <w:rPr>
      <w:sz w:val="18"/>
    </w:rPr>
  </w:style>
  <w:style w:type="paragraph" w:styleId="29">
    <w:name w:val="toc 1"/>
    <w:basedOn w:val="1"/>
    <w:next w:val="1"/>
    <w:qFormat/>
    <w:uiPriority w:val="39"/>
    <w:pPr>
      <w:spacing w:before="120" w:after="120"/>
      <w:jc w:val="left"/>
    </w:pPr>
    <w:rPr>
      <w:b/>
      <w:bCs/>
      <w:caps/>
      <w:sz w:val="20"/>
    </w:rPr>
  </w:style>
  <w:style w:type="paragraph" w:styleId="30">
    <w:name w:val="toc 4"/>
    <w:basedOn w:val="1"/>
    <w:next w:val="1"/>
    <w:semiHidden/>
    <w:qFormat/>
    <w:uiPriority w:val="0"/>
    <w:pPr>
      <w:ind w:left="630"/>
      <w:jc w:val="left"/>
    </w:pPr>
    <w:rPr>
      <w:sz w:val="18"/>
      <w:szCs w:val="18"/>
    </w:rPr>
  </w:style>
  <w:style w:type="paragraph" w:styleId="31">
    <w:name w:val="toc 6"/>
    <w:basedOn w:val="1"/>
    <w:next w:val="1"/>
    <w:semiHidden/>
    <w:qFormat/>
    <w:uiPriority w:val="0"/>
    <w:pPr>
      <w:ind w:left="1050"/>
      <w:jc w:val="left"/>
    </w:pPr>
    <w:rPr>
      <w:sz w:val="18"/>
      <w:szCs w:val="18"/>
    </w:rPr>
  </w:style>
  <w:style w:type="paragraph" w:styleId="32">
    <w:name w:val="Body Text Indent 3"/>
    <w:basedOn w:val="1"/>
    <w:link w:val="67"/>
    <w:qFormat/>
    <w:uiPriority w:val="0"/>
    <w:pPr>
      <w:spacing w:line="360" w:lineRule="auto"/>
      <w:ind w:firstLine="480" w:firstLineChars="200"/>
    </w:pPr>
    <w:rPr>
      <w:rFonts w:ascii="宋体"/>
      <w:sz w:val="24"/>
      <w:szCs w:val="24"/>
    </w:rPr>
  </w:style>
  <w:style w:type="paragraph" w:styleId="33">
    <w:name w:val="toc 2"/>
    <w:basedOn w:val="1"/>
    <w:next w:val="1"/>
    <w:qFormat/>
    <w:uiPriority w:val="39"/>
    <w:pPr>
      <w:ind w:left="210"/>
      <w:jc w:val="left"/>
    </w:pPr>
    <w:rPr>
      <w:smallCaps/>
      <w:sz w:val="20"/>
    </w:rPr>
  </w:style>
  <w:style w:type="paragraph" w:styleId="34">
    <w:name w:val="toc 9"/>
    <w:basedOn w:val="1"/>
    <w:next w:val="1"/>
    <w:semiHidden/>
    <w:qFormat/>
    <w:uiPriority w:val="0"/>
    <w:pPr>
      <w:ind w:left="1680"/>
      <w:jc w:val="left"/>
    </w:pPr>
    <w:rPr>
      <w:sz w:val="18"/>
      <w:szCs w:val="18"/>
    </w:rPr>
  </w:style>
  <w:style w:type="paragraph" w:styleId="35">
    <w:name w:val="Body Text 2"/>
    <w:basedOn w:val="1"/>
    <w:link w:val="68"/>
    <w:qFormat/>
    <w:uiPriority w:val="0"/>
    <w:pPr>
      <w:spacing w:after="120" w:line="480" w:lineRule="auto"/>
    </w:pPr>
    <w:rPr>
      <w:szCs w:val="24"/>
    </w:rPr>
  </w:style>
  <w:style w:type="paragraph" w:styleId="36">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37">
    <w:name w:val="annotation subject"/>
    <w:basedOn w:val="17"/>
    <w:next w:val="17"/>
    <w:link w:val="69"/>
    <w:qFormat/>
    <w:uiPriority w:val="0"/>
    <w:rPr>
      <w:b/>
      <w:bCs/>
    </w:rPr>
  </w:style>
  <w:style w:type="paragraph" w:styleId="38">
    <w:name w:val="Body Text First Indent"/>
    <w:basedOn w:val="1"/>
    <w:link w:val="70"/>
    <w:qFormat/>
    <w:uiPriority w:val="0"/>
    <w:pPr>
      <w:autoSpaceDE w:val="0"/>
      <w:autoSpaceDN w:val="0"/>
      <w:adjustRightInd w:val="0"/>
      <w:spacing w:after="120" w:line="312" w:lineRule="atLeast"/>
      <w:ind w:firstLine="420"/>
    </w:pPr>
    <w:rPr>
      <w:rFonts w:ascii="宋体"/>
      <w:kern w:val="0"/>
    </w:rPr>
  </w:style>
  <w:style w:type="paragraph" w:styleId="39">
    <w:name w:val="Body Text First Indent 2"/>
    <w:basedOn w:val="19"/>
    <w:link w:val="71"/>
    <w:qFormat/>
    <w:uiPriority w:val="0"/>
    <w:pPr>
      <w:spacing w:after="120" w:line="240" w:lineRule="auto"/>
      <w:ind w:left="420" w:leftChars="200" w:firstLine="420" w:firstLineChars="200"/>
    </w:pPr>
    <w:rPr>
      <w:rFonts w:eastAsia="宋体"/>
      <w:sz w:val="21"/>
      <w:szCs w:val="24"/>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basedOn w:val="42"/>
    <w:qFormat/>
    <w:uiPriority w:val="22"/>
    <w:rPr>
      <w:b/>
      <w:bCs/>
    </w:rPr>
  </w:style>
  <w:style w:type="character" w:styleId="44">
    <w:name w:val="page number"/>
    <w:basedOn w:val="42"/>
    <w:qFormat/>
    <w:uiPriority w:val="0"/>
  </w:style>
  <w:style w:type="character" w:styleId="45">
    <w:name w:val="Hyperlink"/>
    <w:basedOn w:val="42"/>
    <w:qFormat/>
    <w:uiPriority w:val="99"/>
    <w:rPr>
      <w:color w:val="333333"/>
      <w:u w:val="none"/>
    </w:rPr>
  </w:style>
  <w:style w:type="character" w:styleId="46">
    <w:name w:val="annotation reference"/>
    <w:qFormat/>
    <w:uiPriority w:val="0"/>
    <w:rPr>
      <w:sz w:val="21"/>
      <w:szCs w:val="21"/>
    </w:rPr>
  </w:style>
  <w:style w:type="character" w:styleId="47">
    <w:name w:val="HTML Sample"/>
    <w:basedOn w:val="42"/>
    <w:unhideWhenUsed/>
    <w:qFormat/>
    <w:uiPriority w:val="99"/>
    <w:rPr>
      <w:rFonts w:ascii="宋体" w:hAnsi="宋体" w:eastAsia="宋体" w:cs="宋体"/>
    </w:rPr>
  </w:style>
  <w:style w:type="character" w:customStyle="1" w:styleId="48">
    <w:name w:val="日期 字符"/>
    <w:link w:val="3"/>
    <w:qFormat/>
    <w:uiPriority w:val="0"/>
    <w:rPr>
      <w:rFonts w:eastAsia="宋体"/>
      <w:color w:val="000000"/>
      <w:sz w:val="30"/>
      <w:lang w:val="en-US" w:eastAsia="zh-CN" w:bidi="ar-SA"/>
    </w:rPr>
  </w:style>
  <w:style w:type="character" w:customStyle="1" w:styleId="49">
    <w:name w:val="正文文本 字符"/>
    <w:link w:val="2"/>
    <w:qFormat/>
    <w:uiPriority w:val="0"/>
    <w:rPr>
      <w:rFonts w:eastAsia="宋体"/>
      <w:kern w:val="2"/>
      <w:sz w:val="21"/>
      <w:lang w:val="en-US" w:eastAsia="zh-CN" w:bidi="ar-SA"/>
    </w:rPr>
  </w:style>
  <w:style w:type="character" w:customStyle="1" w:styleId="50">
    <w:name w:val="标题 1 字符"/>
    <w:link w:val="4"/>
    <w:qFormat/>
    <w:uiPriority w:val="0"/>
    <w:rPr>
      <w:rFonts w:ascii="仿宋_GB2312" w:eastAsia="仿宋_GB2312"/>
      <w:kern w:val="2"/>
      <w:sz w:val="28"/>
      <w:lang w:val="en-US" w:eastAsia="zh-CN" w:bidi="ar-SA"/>
    </w:rPr>
  </w:style>
  <w:style w:type="character" w:customStyle="1" w:styleId="51">
    <w:name w:val="标题 2 字符"/>
    <w:link w:val="5"/>
    <w:qFormat/>
    <w:uiPriority w:val="0"/>
    <w:rPr>
      <w:b/>
      <w:kern w:val="2"/>
      <w:sz w:val="24"/>
      <w:szCs w:val="24"/>
    </w:rPr>
  </w:style>
  <w:style w:type="character" w:customStyle="1" w:styleId="52">
    <w:name w:val="标题 3 字符"/>
    <w:link w:val="6"/>
    <w:qFormat/>
    <w:uiPriority w:val="0"/>
    <w:rPr>
      <w:b/>
      <w:bCs/>
      <w:kern w:val="2"/>
      <w:sz w:val="28"/>
      <w:szCs w:val="24"/>
    </w:rPr>
  </w:style>
  <w:style w:type="character" w:customStyle="1" w:styleId="53">
    <w:name w:val="标题 4 字符"/>
    <w:link w:val="7"/>
    <w:qFormat/>
    <w:uiPriority w:val="0"/>
    <w:rPr>
      <w:b/>
      <w:color w:val="000000"/>
      <w:kern w:val="2"/>
      <w:sz w:val="28"/>
      <w:szCs w:val="24"/>
      <w:u w:val="single"/>
    </w:rPr>
  </w:style>
  <w:style w:type="character" w:customStyle="1" w:styleId="54">
    <w:name w:val="标题 5 字符"/>
    <w:link w:val="8"/>
    <w:qFormat/>
    <w:uiPriority w:val="0"/>
    <w:rPr>
      <w:rFonts w:ascii="宋体" w:eastAsia="宋体"/>
      <w:b/>
      <w:sz w:val="28"/>
      <w:lang w:val="en-US" w:eastAsia="zh-CN" w:bidi="ar-SA"/>
    </w:rPr>
  </w:style>
  <w:style w:type="character" w:customStyle="1" w:styleId="55">
    <w:name w:val="标题 6 字符"/>
    <w:link w:val="10"/>
    <w:qFormat/>
    <w:uiPriority w:val="0"/>
    <w:rPr>
      <w:rFonts w:eastAsia="宋体"/>
      <w:bCs/>
      <w:kern w:val="2"/>
      <w:sz w:val="28"/>
      <w:lang w:val="en-US" w:eastAsia="zh-CN" w:bidi="ar-SA"/>
    </w:rPr>
  </w:style>
  <w:style w:type="character" w:customStyle="1" w:styleId="56">
    <w:name w:val="标题 7 字符"/>
    <w:link w:val="11"/>
    <w:qFormat/>
    <w:uiPriority w:val="0"/>
    <w:rPr>
      <w:rFonts w:ascii="宋体" w:hAnsi="宋体"/>
      <w:b/>
      <w:kern w:val="2"/>
      <w:sz w:val="28"/>
      <w:szCs w:val="24"/>
    </w:rPr>
  </w:style>
  <w:style w:type="character" w:customStyle="1" w:styleId="57">
    <w:name w:val="标题 8 字符"/>
    <w:link w:val="12"/>
    <w:qFormat/>
    <w:uiPriority w:val="0"/>
    <w:rPr>
      <w:b/>
      <w:kern w:val="2"/>
      <w:sz w:val="28"/>
      <w:szCs w:val="24"/>
      <w:u w:val="single"/>
    </w:rPr>
  </w:style>
  <w:style w:type="character" w:customStyle="1" w:styleId="58">
    <w:name w:val="标题 9 字符"/>
    <w:link w:val="13"/>
    <w:qFormat/>
    <w:uiPriority w:val="0"/>
    <w:rPr>
      <w:rFonts w:ascii="Arial" w:hAnsi="Arial" w:eastAsia="黑体"/>
      <w:kern w:val="2"/>
      <w:sz w:val="24"/>
      <w:szCs w:val="21"/>
      <w:lang w:val="en-US" w:eastAsia="zh-CN" w:bidi="ar-SA"/>
    </w:rPr>
  </w:style>
  <w:style w:type="character" w:customStyle="1" w:styleId="59">
    <w:name w:val="批注文字 字符"/>
    <w:link w:val="17"/>
    <w:qFormat/>
    <w:uiPriority w:val="0"/>
    <w:rPr>
      <w:rFonts w:eastAsia="宋体"/>
      <w:kern w:val="2"/>
      <w:sz w:val="21"/>
      <w:szCs w:val="24"/>
      <w:lang w:val="en-US" w:eastAsia="zh-CN" w:bidi="ar-SA"/>
    </w:rPr>
  </w:style>
  <w:style w:type="character" w:customStyle="1" w:styleId="60">
    <w:name w:val="正文文本缩进 字符"/>
    <w:link w:val="19"/>
    <w:qFormat/>
    <w:uiPriority w:val="0"/>
    <w:rPr>
      <w:rFonts w:ascii="仿宋_GB2312" w:eastAsia="仿宋_GB2312"/>
      <w:kern w:val="2"/>
      <w:sz w:val="28"/>
      <w:lang w:val="en-US" w:eastAsia="zh-CN" w:bidi="ar-SA"/>
    </w:rPr>
  </w:style>
  <w:style w:type="character" w:customStyle="1" w:styleId="61">
    <w:name w:val="HTML 地址 字符"/>
    <w:link w:val="20"/>
    <w:qFormat/>
    <w:uiPriority w:val="0"/>
    <w:rPr>
      <w:rFonts w:eastAsia="宋体"/>
      <w:i/>
      <w:iCs/>
      <w:kern w:val="2"/>
      <w:sz w:val="21"/>
      <w:szCs w:val="24"/>
      <w:lang w:val="en-US" w:eastAsia="zh-CN" w:bidi="ar-SA"/>
    </w:rPr>
  </w:style>
  <w:style w:type="character" w:customStyle="1" w:styleId="62">
    <w:name w:val="纯文本 字符"/>
    <w:link w:val="23"/>
    <w:qFormat/>
    <w:uiPriority w:val="0"/>
    <w:rPr>
      <w:rFonts w:ascii="宋体" w:hAnsi="宋体" w:eastAsia="宋体"/>
      <w:kern w:val="2"/>
      <w:sz w:val="21"/>
      <w:lang w:val="en-US" w:eastAsia="zh-CN" w:bidi="ar-SA"/>
    </w:rPr>
  </w:style>
  <w:style w:type="character" w:customStyle="1" w:styleId="63">
    <w:name w:val="正文文本缩进 2 字符"/>
    <w:link w:val="25"/>
    <w:qFormat/>
    <w:uiPriority w:val="0"/>
    <w:rPr>
      <w:rFonts w:ascii="仿宋_GB2312" w:eastAsia="仿宋_GB2312"/>
      <w:kern w:val="2"/>
      <w:sz w:val="28"/>
      <w:lang w:val="en-US" w:eastAsia="zh-CN" w:bidi="ar-SA"/>
    </w:rPr>
  </w:style>
  <w:style w:type="character" w:customStyle="1" w:styleId="64">
    <w:name w:val="批注框文本 字符"/>
    <w:link w:val="26"/>
    <w:qFormat/>
    <w:uiPriority w:val="0"/>
    <w:rPr>
      <w:rFonts w:eastAsia="宋体"/>
      <w:kern w:val="2"/>
      <w:sz w:val="18"/>
      <w:szCs w:val="18"/>
      <w:lang w:val="en-US" w:eastAsia="zh-CN" w:bidi="ar-SA"/>
    </w:rPr>
  </w:style>
  <w:style w:type="character" w:customStyle="1" w:styleId="65">
    <w:name w:val="页脚 字符"/>
    <w:link w:val="27"/>
    <w:qFormat/>
    <w:uiPriority w:val="0"/>
    <w:rPr>
      <w:rFonts w:eastAsia="宋体"/>
      <w:kern w:val="2"/>
      <w:sz w:val="18"/>
      <w:szCs w:val="18"/>
      <w:lang w:val="en-US" w:eastAsia="zh-CN" w:bidi="ar-SA"/>
    </w:rPr>
  </w:style>
  <w:style w:type="character" w:customStyle="1" w:styleId="66">
    <w:name w:val="页眉 字符"/>
    <w:link w:val="28"/>
    <w:qFormat/>
    <w:uiPriority w:val="0"/>
    <w:rPr>
      <w:rFonts w:eastAsia="宋体"/>
      <w:kern w:val="2"/>
      <w:sz w:val="18"/>
      <w:lang w:val="en-US" w:eastAsia="zh-CN" w:bidi="ar-SA"/>
    </w:rPr>
  </w:style>
  <w:style w:type="character" w:customStyle="1" w:styleId="67">
    <w:name w:val="正文文本缩进 3 字符"/>
    <w:link w:val="32"/>
    <w:qFormat/>
    <w:uiPriority w:val="0"/>
    <w:rPr>
      <w:rFonts w:ascii="宋体" w:eastAsia="宋体"/>
      <w:kern w:val="2"/>
      <w:sz w:val="24"/>
      <w:szCs w:val="24"/>
      <w:lang w:val="en-US" w:eastAsia="zh-CN" w:bidi="ar-SA"/>
    </w:rPr>
  </w:style>
  <w:style w:type="character" w:customStyle="1" w:styleId="68">
    <w:name w:val="正文文本 2 字符"/>
    <w:link w:val="35"/>
    <w:qFormat/>
    <w:uiPriority w:val="0"/>
    <w:rPr>
      <w:rFonts w:eastAsia="宋体"/>
      <w:kern w:val="2"/>
      <w:sz w:val="21"/>
      <w:szCs w:val="24"/>
      <w:lang w:val="en-US" w:eastAsia="zh-CN" w:bidi="ar-SA"/>
    </w:rPr>
  </w:style>
  <w:style w:type="character" w:customStyle="1" w:styleId="69">
    <w:name w:val="批注主题 字符"/>
    <w:link w:val="37"/>
    <w:qFormat/>
    <w:uiPriority w:val="0"/>
    <w:rPr>
      <w:rFonts w:eastAsia="宋体"/>
      <w:b/>
      <w:bCs/>
      <w:kern w:val="2"/>
      <w:sz w:val="21"/>
      <w:szCs w:val="24"/>
      <w:lang w:val="en-US" w:eastAsia="zh-CN" w:bidi="ar-SA"/>
    </w:rPr>
  </w:style>
  <w:style w:type="character" w:customStyle="1" w:styleId="70">
    <w:name w:val="正文首行缩进 字符"/>
    <w:link w:val="38"/>
    <w:qFormat/>
    <w:uiPriority w:val="0"/>
    <w:rPr>
      <w:rFonts w:ascii="宋体" w:eastAsia="宋体"/>
      <w:sz w:val="21"/>
      <w:lang w:val="en-US" w:eastAsia="zh-CN" w:bidi="ar-SA"/>
    </w:rPr>
  </w:style>
  <w:style w:type="character" w:customStyle="1" w:styleId="71">
    <w:name w:val="正文首行缩进 2 字符"/>
    <w:link w:val="39"/>
    <w:qFormat/>
    <w:uiPriority w:val="0"/>
    <w:rPr>
      <w:rFonts w:ascii="仿宋_GB2312" w:eastAsia="宋体"/>
      <w:kern w:val="2"/>
      <w:sz w:val="21"/>
      <w:szCs w:val="24"/>
      <w:lang w:val="en-US" w:eastAsia="zh-CN" w:bidi="ar-SA"/>
    </w:rPr>
  </w:style>
  <w:style w:type="character" w:customStyle="1" w:styleId="72">
    <w:name w:val="正文 + Arial Char"/>
    <w:qFormat/>
    <w:uiPriority w:val="0"/>
    <w:rPr>
      <w:rFonts w:ascii="Arial" w:hAnsi="Arial" w:eastAsia="宋体" w:cs="Arial"/>
      <w:kern w:val="2"/>
      <w:sz w:val="21"/>
      <w:szCs w:val="21"/>
      <w:lang w:val="en-US" w:eastAsia="zh-CN" w:bidi="ar-SA"/>
    </w:rPr>
  </w:style>
  <w:style w:type="character" w:customStyle="1" w:styleId="73">
    <w:name w:val="font51"/>
    <w:qFormat/>
    <w:uiPriority w:val="0"/>
    <w:rPr>
      <w:rFonts w:hint="eastAsia" w:ascii="宋体" w:hAnsi="宋体" w:eastAsia="宋体" w:cs="宋体"/>
      <w:color w:val="000000"/>
      <w:sz w:val="44"/>
      <w:szCs w:val="44"/>
      <w:u w:val="none"/>
    </w:rPr>
  </w:style>
  <w:style w:type="character" w:customStyle="1" w:styleId="74">
    <w:name w:val="标题 3 Char Char"/>
    <w:qFormat/>
    <w:uiPriority w:val="0"/>
    <w:rPr>
      <w:b/>
      <w:bCs/>
      <w:sz w:val="32"/>
      <w:szCs w:val="32"/>
    </w:rPr>
  </w:style>
  <w:style w:type="character" w:customStyle="1" w:styleId="75">
    <w:name w:val="apple-converted-space"/>
    <w:qFormat/>
    <w:uiPriority w:val="0"/>
  </w:style>
  <w:style w:type="character" w:customStyle="1" w:styleId="76">
    <w:name w:val="访问过的超链接1"/>
    <w:qFormat/>
    <w:uiPriority w:val="0"/>
    <w:rPr>
      <w:color w:val="333333"/>
      <w:u w:val="none"/>
    </w:rPr>
  </w:style>
  <w:style w:type="character" w:customStyle="1" w:styleId="77">
    <w:name w:val="链接"/>
    <w:qFormat/>
    <w:uiPriority w:val="0"/>
    <w:rPr>
      <w:rFonts w:ascii="Times New Roman" w:eastAsia="宋体"/>
      <w:color w:val="0000FF"/>
      <w:sz w:val="21"/>
      <w:u w:val="single" w:color="0000FF"/>
      <w:vertAlign w:val="baseline"/>
      <w:lang w:val="en-US" w:eastAsia="zh-CN"/>
    </w:rPr>
  </w:style>
  <w:style w:type="character" w:customStyle="1" w:styleId="78">
    <w:name w:val="b Char"/>
    <w:link w:val="79"/>
    <w:qFormat/>
    <w:uiPriority w:val="0"/>
    <w:rPr>
      <w:rFonts w:ascii="EU-F1" w:eastAsia="黑体"/>
      <w:sz w:val="21"/>
      <w:szCs w:val="21"/>
      <w:lang w:val="en-US" w:eastAsia="zh-CN" w:bidi="ar-SA"/>
    </w:rPr>
  </w:style>
  <w:style w:type="paragraph" w:customStyle="1" w:styleId="79">
    <w:name w:val="b"/>
    <w:basedOn w:val="1"/>
    <w:link w:val="78"/>
    <w:qFormat/>
    <w:uiPriority w:val="0"/>
    <w:pPr>
      <w:tabs>
        <w:tab w:val="center" w:pos="4706"/>
        <w:tab w:val="right" w:pos="9044"/>
      </w:tabs>
      <w:topLinePunct/>
      <w:spacing w:before="160" w:after="60" w:line="312" w:lineRule="exact"/>
      <w:jc w:val="center"/>
    </w:pPr>
    <w:rPr>
      <w:rFonts w:ascii="EU-F1" w:eastAsia="黑体"/>
      <w:kern w:val="0"/>
      <w:szCs w:val="21"/>
    </w:rPr>
  </w:style>
  <w:style w:type="character" w:customStyle="1" w:styleId="80">
    <w:name w:val="纯文本 Char Char"/>
    <w:qFormat/>
    <w:uiPriority w:val="0"/>
    <w:rPr>
      <w:rFonts w:ascii="宋体" w:hAnsi="Courier New" w:eastAsia="宋体" w:cs="Courier New"/>
      <w:szCs w:val="21"/>
    </w:rPr>
  </w:style>
  <w:style w:type="character" w:customStyle="1" w:styleId="81">
    <w:name w:val="font21"/>
    <w:qFormat/>
    <w:uiPriority w:val="0"/>
    <w:rPr>
      <w:rFonts w:ascii="font-weight : 400" w:hAnsi="font-weight : 400" w:eastAsia="font-weight : 400" w:cs="font-weight : 400"/>
      <w:color w:val="000000"/>
      <w:sz w:val="22"/>
      <w:szCs w:val="22"/>
      <w:u w:val="none"/>
    </w:rPr>
  </w:style>
  <w:style w:type="character" w:customStyle="1" w:styleId="82">
    <w:name w:val="Char Char Char"/>
    <w:qFormat/>
    <w:uiPriority w:val="0"/>
    <w:rPr>
      <w:rFonts w:ascii="Arial Black" w:hAnsi="Arial Black" w:eastAsia="黑体"/>
      <w:b/>
      <w:bCs/>
      <w:kern w:val="2"/>
      <w:sz w:val="32"/>
      <w:szCs w:val="32"/>
      <w:lang w:val="en-US" w:eastAsia="zh-CN" w:bidi="ar-SA"/>
    </w:rPr>
  </w:style>
  <w:style w:type="character" w:customStyle="1" w:styleId="83">
    <w:name w:val="default1"/>
    <w:qFormat/>
    <w:uiPriority w:val="0"/>
    <w:rPr>
      <w:rFonts w:hint="default" w:ascii="Arial" w:hAnsi="Arial" w:cs="Arial"/>
      <w:sz w:val="20"/>
      <w:szCs w:val="20"/>
    </w:rPr>
  </w:style>
  <w:style w:type="character" w:customStyle="1" w:styleId="84">
    <w:name w:val="正文 + 行距: 1.5 倍行距 Char"/>
    <w:qFormat/>
    <w:uiPriority w:val="0"/>
    <w:rPr>
      <w:rFonts w:ascii="Arial" w:hAnsi="Arial" w:eastAsia="宋体" w:cs="Arial"/>
      <w:kern w:val="2"/>
      <w:sz w:val="21"/>
      <w:szCs w:val="21"/>
      <w:lang w:val="en-US" w:eastAsia="zh-CN" w:bidi="ar-SA"/>
    </w:rPr>
  </w:style>
  <w:style w:type="character" w:customStyle="1" w:styleId="85">
    <w:name w:val="Char Char6"/>
    <w:qFormat/>
    <w:uiPriority w:val="0"/>
    <w:rPr>
      <w:rFonts w:ascii="Times New Roman" w:hAnsi="Times New Roman"/>
      <w:b/>
      <w:bCs/>
      <w:kern w:val="2"/>
      <w:sz w:val="28"/>
      <w:szCs w:val="28"/>
    </w:rPr>
  </w:style>
  <w:style w:type="character" w:customStyle="1" w:styleId="86">
    <w:name w:val="Default Text Char"/>
    <w:link w:val="87"/>
    <w:qFormat/>
    <w:locked/>
    <w:uiPriority w:val="0"/>
    <w:rPr>
      <w:color w:val="000000"/>
      <w:sz w:val="24"/>
      <w:szCs w:val="24"/>
      <w:lang w:val="en-US" w:eastAsia="zh-CN" w:bidi="ar-SA"/>
    </w:rPr>
  </w:style>
  <w:style w:type="paragraph" w:customStyle="1" w:styleId="87">
    <w:name w:val="Default Text"/>
    <w:link w:val="86"/>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88">
    <w:name w:val="font01"/>
    <w:qFormat/>
    <w:uiPriority w:val="0"/>
    <w:rPr>
      <w:rFonts w:hint="eastAsia" w:ascii="宋体" w:hAnsi="宋体" w:eastAsia="宋体" w:cs="宋体"/>
      <w:color w:val="000000"/>
      <w:sz w:val="24"/>
      <w:szCs w:val="24"/>
      <w:u w:val="none"/>
    </w:rPr>
  </w:style>
  <w:style w:type="character" w:customStyle="1" w:styleId="89">
    <w:name w:val="p21"/>
    <w:qFormat/>
    <w:uiPriority w:val="0"/>
    <w:rPr>
      <w:rFonts w:hint="default" w:ascii="Arial" w:hAnsi="Arial" w:cs="Arial"/>
      <w:color w:val="333333"/>
      <w:sz w:val="18"/>
      <w:szCs w:val="18"/>
      <w:u w:val="none"/>
    </w:rPr>
  </w:style>
  <w:style w:type="character" w:customStyle="1" w:styleId="90">
    <w:name w:val="H2 Char"/>
    <w:qFormat/>
    <w:uiPriority w:val="0"/>
    <w:rPr>
      <w:rFonts w:ascii="Arial" w:hAnsi="Arial" w:eastAsia="黑体" w:cs="Times New Roman"/>
      <w:b/>
      <w:bCs/>
      <w:kern w:val="0"/>
      <w:sz w:val="32"/>
      <w:szCs w:val="32"/>
    </w:rPr>
  </w:style>
  <w:style w:type="character" w:customStyle="1" w:styleId="91">
    <w:name w:val="Char Char4"/>
    <w:qFormat/>
    <w:uiPriority w:val="0"/>
    <w:rPr>
      <w:rFonts w:eastAsia="宋体"/>
      <w:kern w:val="2"/>
      <w:sz w:val="18"/>
      <w:szCs w:val="18"/>
      <w:lang w:val="en-US" w:eastAsia="zh-CN" w:bidi="ar-SA"/>
    </w:rPr>
  </w:style>
  <w:style w:type="character" w:customStyle="1" w:styleId="92">
    <w:name w:val="small1"/>
    <w:qFormat/>
    <w:uiPriority w:val="0"/>
    <w:rPr>
      <w:rFonts w:hint="default" w:ascii="Arial" w:hAnsi="Arial" w:cs="Arial"/>
      <w:sz w:val="16"/>
      <w:szCs w:val="16"/>
    </w:rPr>
  </w:style>
  <w:style w:type="paragraph" w:customStyle="1" w:styleId="9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94">
    <w:name w:val="xl51"/>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9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color w:val="0000FF"/>
      <w:kern w:val="0"/>
      <w:sz w:val="20"/>
    </w:rPr>
  </w:style>
  <w:style w:type="paragraph" w:customStyle="1" w:styleId="96">
    <w:name w:val="xl50"/>
    <w:basedOn w:val="1"/>
    <w:qFormat/>
    <w:uiPriority w:val="0"/>
    <w:pPr>
      <w:widowControl/>
      <w:spacing w:before="100" w:beforeAutospacing="1" w:after="100" w:afterAutospacing="1"/>
      <w:jc w:val="left"/>
      <w:textAlignment w:val="center"/>
    </w:pPr>
    <w:rPr>
      <w:rFonts w:ascii="宋体" w:hAnsi="宋体"/>
      <w:b/>
      <w:bCs/>
      <w:color w:val="0000FF"/>
      <w:kern w:val="0"/>
      <w:sz w:val="32"/>
      <w:szCs w:val="32"/>
    </w:rPr>
  </w:style>
  <w:style w:type="paragraph" w:customStyle="1" w:styleId="97">
    <w:name w:val="font7"/>
    <w:basedOn w:val="1"/>
    <w:qFormat/>
    <w:uiPriority w:val="0"/>
    <w:pPr>
      <w:widowControl/>
      <w:spacing w:before="100" w:beforeAutospacing="1" w:after="100" w:afterAutospacing="1"/>
      <w:jc w:val="left"/>
    </w:pPr>
    <w:rPr>
      <w:rFonts w:hint="eastAsia" w:ascii="宋体" w:hAnsi="宋体"/>
      <w:color w:val="000000"/>
      <w:kern w:val="0"/>
      <w:sz w:val="20"/>
    </w:rPr>
  </w:style>
  <w:style w:type="paragraph" w:customStyle="1" w:styleId="98">
    <w:name w:val="List Paragraph1"/>
    <w:basedOn w:val="1"/>
    <w:qFormat/>
    <w:uiPriority w:val="0"/>
    <w:pPr>
      <w:ind w:firstLine="420" w:firstLineChars="200"/>
    </w:pPr>
    <w:rPr>
      <w:rFonts w:ascii="Calibri" w:hAnsi="Calibri" w:cs="Calibri"/>
      <w:szCs w:val="21"/>
    </w:rPr>
  </w:style>
  <w:style w:type="paragraph" w:customStyle="1" w:styleId="99">
    <w:name w:val="正文文本样式 加粗"/>
    <w:basedOn w:val="1"/>
    <w:qFormat/>
    <w:uiPriority w:val="0"/>
    <w:pPr>
      <w:spacing w:line="360" w:lineRule="auto"/>
      <w:ind w:firstLine="482"/>
    </w:pPr>
    <w:rPr>
      <w:b/>
      <w:kern w:val="0"/>
      <w:sz w:val="24"/>
    </w:rPr>
  </w:style>
  <w:style w:type="paragraph" w:customStyle="1" w:styleId="10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列表－视讯"/>
    <w:basedOn w:val="15"/>
    <w:qFormat/>
    <w:uiPriority w:val="0"/>
    <w:pPr>
      <w:tabs>
        <w:tab w:val="left" w:pos="360"/>
      </w:tabs>
      <w:adjustRightInd w:val="0"/>
      <w:spacing w:line="360" w:lineRule="atLeast"/>
      <w:ind w:left="360" w:hanging="360" w:hangingChars="200"/>
      <w:textAlignment w:val="baseline"/>
    </w:pPr>
    <w:rPr>
      <w:sz w:val="24"/>
    </w:rPr>
  </w:style>
  <w:style w:type="paragraph" w:customStyle="1" w:styleId="102">
    <w:name w:val="注明要点 Char Char"/>
    <w:basedOn w:val="1"/>
    <w:qFormat/>
    <w:uiPriority w:val="0"/>
    <w:pPr>
      <w:adjustRightInd w:val="0"/>
      <w:spacing w:beforeLines="50" w:afterLines="50" w:line="400" w:lineRule="exact"/>
      <w:textAlignment w:val="baseline"/>
    </w:pPr>
    <w:rPr>
      <w:b/>
      <w:sz w:val="24"/>
      <w:szCs w:val="24"/>
    </w:rPr>
  </w:style>
  <w:style w:type="paragraph" w:customStyle="1" w:styleId="103">
    <w:name w:val="默认段落字体 Para Char Char Char Char Char Char Char Char Char Char"/>
    <w:basedOn w:val="1"/>
    <w:qFormat/>
    <w:uiPriority w:val="0"/>
    <w:rPr>
      <w:rFonts w:ascii="Tahoma" w:hAnsi="Tahoma"/>
      <w:sz w:val="24"/>
    </w:rPr>
  </w:style>
  <w:style w:type="paragraph" w:customStyle="1" w:styleId="104">
    <w:name w:val="xl44"/>
    <w:basedOn w:val="1"/>
    <w:qFormat/>
    <w:uiPriority w:val="0"/>
    <w:pPr>
      <w:widowControl/>
      <w:spacing w:before="100" w:beforeAutospacing="1" w:after="100" w:afterAutospacing="1"/>
      <w:jc w:val="center"/>
      <w:textAlignment w:val="center"/>
    </w:pPr>
    <w:rPr>
      <w:rFonts w:ascii="宋体" w:hAnsi="宋体"/>
      <w:b/>
      <w:bCs/>
      <w:color w:val="0000FF"/>
      <w:kern w:val="0"/>
      <w:sz w:val="20"/>
    </w:rPr>
  </w:style>
  <w:style w:type="paragraph" w:customStyle="1" w:styleId="105">
    <w:name w:val="Default Text:1"/>
    <w:basedOn w:val="1"/>
    <w:qFormat/>
    <w:uiPriority w:val="0"/>
    <w:pPr>
      <w:widowControl/>
      <w:overflowPunct w:val="0"/>
      <w:autoSpaceDE w:val="0"/>
      <w:autoSpaceDN w:val="0"/>
      <w:adjustRightInd w:val="0"/>
      <w:jc w:val="left"/>
      <w:textAlignment w:val="baseline"/>
    </w:pPr>
    <w:rPr>
      <w:kern w:val="0"/>
      <w:sz w:val="24"/>
    </w:rPr>
  </w:style>
  <w:style w:type="paragraph" w:customStyle="1" w:styleId="106">
    <w:name w:val="文档正文"/>
    <w:basedOn w:val="1"/>
    <w:qFormat/>
    <w:uiPriority w:val="0"/>
    <w:pPr>
      <w:adjustRightInd w:val="0"/>
      <w:spacing w:line="480" w:lineRule="atLeast"/>
      <w:ind w:firstLine="567"/>
      <w:textAlignment w:val="baseline"/>
    </w:pPr>
    <w:rPr>
      <w:rFonts w:eastAsia="楷体_GB2312"/>
      <w:kern w:val="0"/>
      <w:sz w:val="28"/>
    </w:rPr>
  </w:style>
  <w:style w:type="paragraph" w:customStyle="1" w:styleId="10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08">
    <w:name w:val="tableheading"/>
    <w:basedOn w:val="1"/>
    <w:qFormat/>
    <w:uiPriority w:val="0"/>
    <w:pPr>
      <w:widowControl/>
      <w:spacing w:before="100" w:beforeAutospacing="1" w:after="100" w:afterAutospacing="1" w:line="240" w:lineRule="atLeast"/>
      <w:jc w:val="left"/>
    </w:pPr>
    <w:rPr>
      <w:rFonts w:ascii="宋体" w:hAnsi="宋体" w:cs="宋体"/>
      <w:kern w:val="0"/>
      <w:sz w:val="18"/>
      <w:szCs w:val="18"/>
    </w:rPr>
  </w:style>
  <w:style w:type="paragraph" w:customStyle="1" w:styleId="10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rPr>
  </w:style>
  <w:style w:type="paragraph" w:customStyle="1" w:styleId="110">
    <w:name w:val="图"/>
    <w:basedOn w:val="1"/>
    <w:qFormat/>
    <w:uiPriority w:val="0"/>
    <w:pPr>
      <w:keepNext/>
      <w:adjustRightInd w:val="0"/>
      <w:snapToGrid w:val="0"/>
      <w:spacing w:before="60" w:after="60" w:line="300" w:lineRule="auto"/>
      <w:jc w:val="center"/>
    </w:pPr>
    <w:rPr>
      <w:spacing w:val="20"/>
      <w:kern w:val="0"/>
      <w:sz w:val="24"/>
    </w:rPr>
  </w:style>
  <w:style w:type="paragraph" w:customStyle="1" w:styleId="11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rPr>
  </w:style>
  <w:style w:type="paragraph" w:customStyle="1" w:styleId="11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rPr>
  </w:style>
  <w:style w:type="paragraph" w:customStyle="1" w:styleId="113">
    <w:name w:val="tabletext"/>
    <w:basedOn w:val="1"/>
    <w:qFormat/>
    <w:uiPriority w:val="0"/>
    <w:pPr>
      <w:widowControl/>
      <w:spacing w:before="100" w:beforeAutospacing="1" w:after="100" w:afterAutospacing="1" w:line="240" w:lineRule="atLeast"/>
      <w:jc w:val="left"/>
    </w:pPr>
    <w:rPr>
      <w:rFonts w:ascii="宋体" w:hAnsi="宋体" w:cs="宋体"/>
      <w:kern w:val="0"/>
      <w:sz w:val="18"/>
      <w:szCs w:val="18"/>
    </w:rPr>
  </w:style>
  <w:style w:type="paragraph" w:customStyle="1" w:styleId="114">
    <w:name w:val="标题 2.1"/>
    <w:basedOn w:val="5"/>
    <w:qFormat/>
    <w:uiPriority w:val="0"/>
    <w:pPr>
      <w:keepNext w:val="0"/>
      <w:autoSpaceDE w:val="0"/>
      <w:autoSpaceDN w:val="0"/>
      <w:adjustRightInd w:val="0"/>
      <w:spacing w:before="240" w:line="240" w:lineRule="auto"/>
      <w:ind w:left="0" w:firstLine="0"/>
      <w:jc w:val="center"/>
    </w:pPr>
    <w:rPr>
      <w:rFonts w:ascii="黑体" w:eastAsia="黑体"/>
      <w:b w:val="0"/>
      <w:kern w:val="0"/>
      <w:sz w:val="30"/>
      <w:szCs w:val="30"/>
    </w:rPr>
  </w:style>
  <w:style w:type="paragraph" w:customStyle="1" w:styleId="115">
    <w:name w:val="标题3。1"/>
    <w:basedOn w:val="107"/>
    <w:qFormat/>
    <w:uiPriority w:val="0"/>
    <w:rPr>
      <w:b/>
      <w:bCs/>
      <w:kern w:val="2"/>
      <w:sz w:val="28"/>
      <w:szCs w:val="24"/>
    </w:rPr>
  </w:style>
  <w:style w:type="paragraph" w:customStyle="1" w:styleId="116">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FF"/>
      <w:kern w:val="0"/>
      <w:sz w:val="20"/>
    </w:rPr>
  </w:style>
  <w:style w:type="paragraph" w:customStyle="1" w:styleId="117">
    <w:name w:val="Char1 Char Char Char"/>
    <w:basedOn w:val="1"/>
    <w:qFormat/>
    <w:uiPriority w:val="0"/>
    <w:rPr>
      <w:rFonts w:ascii="Tahoma" w:hAnsi="Tahoma"/>
      <w:sz w:val="24"/>
    </w:rPr>
  </w:style>
  <w:style w:type="paragraph" w:customStyle="1" w:styleId="118">
    <w:name w:val="xl43"/>
    <w:basedOn w:val="1"/>
    <w:qFormat/>
    <w:uiPriority w:val="0"/>
    <w:pPr>
      <w:widowControl/>
      <w:spacing w:before="100" w:beforeAutospacing="1" w:after="100" w:afterAutospacing="1"/>
      <w:jc w:val="left"/>
    </w:pPr>
    <w:rPr>
      <w:rFonts w:ascii="宋体" w:hAnsi="宋体"/>
      <w:kern w:val="0"/>
      <w:sz w:val="20"/>
    </w:rPr>
  </w:style>
  <w:style w:type="paragraph" w:customStyle="1" w:styleId="119">
    <w:name w:val="xl111"/>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12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color w:val="800000"/>
      <w:kern w:val="0"/>
      <w:sz w:val="20"/>
    </w:rPr>
  </w:style>
  <w:style w:type="paragraph" w:customStyle="1" w:styleId="122">
    <w:name w:val="font9"/>
    <w:basedOn w:val="1"/>
    <w:qFormat/>
    <w:uiPriority w:val="0"/>
    <w:pPr>
      <w:widowControl/>
      <w:spacing w:before="100" w:beforeAutospacing="1" w:after="100" w:afterAutospacing="1"/>
      <w:jc w:val="left"/>
    </w:pPr>
    <w:rPr>
      <w:rFonts w:hint="eastAsia" w:ascii="宋体" w:hAnsi="宋体"/>
      <w:b/>
      <w:bCs/>
      <w:color w:val="FF0000"/>
      <w:kern w:val="0"/>
      <w:sz w:val="20"/>
    </w:rPr>
  </w:style>
  <w:style w:type="paragraph" w:customStyle="1" w:styleId="123">
    <w:name w:val="xl45"/>
    <w:basedOn w:val="1"/>
    <w:qFormat/>
    <w:uiPriority w:val="0"/>
    <w:pPr>
      <w:widowControl/>
      <w:spacing w:before="100" w:beforeAutospacing="1" w:after="100" w:afterAutospacing="1"/>
      <w:jc w:val="left"/>
      <w:textAlignment w:val="center"/>
    </w:pPr>
    <w:rPr>
      <w:rFonts w:ascii="宋体" w:hAnsi="宋体"/>
      <w:kern w:val="0"/>
      <w:sz w:val="20"/>
    </w:rPr>
  </w:style>
  <w:style w:type="paragraph" w:customStyle="1" w:styleId="12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rPr>
  </w:style>
  <w:style w:type="paragraph" w:customStyle="1" w:styleId="12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12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127">
    <w:name w:val="Item List in Table"/>
    <w:basedOn w:val="1"/>
    <w:qFormat/>
    <w:uiPriority w:val="0"/>
    <w:pPr>
      <w:widowControl/>
      <w:tabs>
        <w:tab w:val="left" w:pos="284"/>
      </w:tabs>
      <w:topLinePunct/>
      <w:adjustRightInd w:val="0"/>
      <w:snapToGrid w:val="0"/>
      <w:spacing w:before="80" w:after="80" w:line="240" w:lineRule="atLeast"/>
      <w:jc w:val="left"/>
    </w:pPr>
    <w:rPr>
      <w:rFonts w:cs="Arial"/>
      <w:kern w:val="0"/>
      <w:szCs w:val="21"/>
    </w:rPr>
  </w:style>
  <w:style w:type="paragraph" w:customStyle="1" w:styleId="128">
    <w:name w:val="标题 4。1"/>
    <w:basedOn w:val="7"/>
    <w:qFormat/>
    <w:uiPriority w:val="0"/>
    <w:pPr>
      <w:keepLines/>
      <w:tabs>
        <w:tab w:val="left" w:pos="864"/>
      </w:tabs>
      <w:spacing w:before="280" w:after="290" w:line="372" w:lineRule="auto"/>
      <w:ind w:left="567" w:hanging="567"/>
    </w:pPr>
    <w:rPr>
      <w:rFonts w:ascii="Arial" w:hAnsi="Arial" w:eastAsia="黑体"/>
      <w:bCs/>
      <w:color w:val="auto"/>
      <w:szCs w:val="28"/>
      <w:u w:val="none"/>
    </w:rPr>
  </w:style>
  <w:style w:type="paragraph" w:customStyle="1" w:styleId="129">
    <w:name w:val="font6"/>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13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color w:val="0000FF"/>
      <w:kern w:val="0"/>
      <w:sz w:val="20"/>
    </w:rPr>
  </w:style>
  <w:style w:type="paragraph" w:customStyle="1" w:styleId="13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olor w:val="000000"/>
      <w:kern w:val="0"/>
      <w:sz w:val="20"/>
    </w:rPr>
  </w:style>
  <w:style w:type="paragraph" w:customStyle="1" w:styleId="13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3">
    <w:name w:val="Char"/>
    <w:basedOn w:val="1"/>
    <w:qFormat/>
    <w:uiPriority w:val="0"/>
    <w:pPr>
      <w:widowControl/>
      <w:spacing w:after="160" w:line="240" w:lineRule="exact"/>
      <w:jc w:val="left"/>
    </w:pPr>
    <w:rPr>
      <w:rFonts w:ascii="Verdana" w:hAnsi="Verdana"/>
      <w:kern w:val="0"/>
      <w:sz w:val="20"/>
      <w:lang w:eastAsia="en-US"/>
    </w:rPr>
  </w:style>
  <w:style w:type="paragraph" w:customStyle="1" w:styleId="13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color w:val="0000FF"/>
      <w:kern w:val="0"/>
      <w:sz w:val="20"/>
    </w:rPr>
  </w:style>
  <w:style w:type="paragraph" w:customStyle="1" w:styleId="135">
    <w:name w:val="默认段落字体 Para Char Char Char Char Char Char Char"/>
    <w:basedOn w:val="1"/>
    <w:qFormat/>
    <w:uiPriority w:val="0"/>
    <w:rPr>
      <w:rFonts w:ascii="Tahoma" w:hAnsi="Tahoma"/>
      <w:sz w:val="24"/>
    </w:rPr>
  </w:style>
  <w:style w:type="paragraph" w:customStyle="1" w:styleId="136">
    <w:name w:val="H-TextFormat"/>
    <w:qFormat/>
    <w:uiPriority w:val="0"/>
    <w:pPr>
      <w:autoSpaceDE w:val="0"/>
      <w:autoSpaceDN w:val="0"/>
      <w:adjustRightInd w:val="0"/>
    </w:pPr>
    <w:rPr>
      <w:rFonts w:ascii="Arial" w:hAnsi="Arial" w:eastAsia="宋体" w:cs="Arial"/>
      <w:sz w:val="22"/>
      <w:szCs w:val="22"/>
      <w:lang w:val="en-US" w:eastAsia="zh-CN" w:bidi="ar-SA"/>
    </w:rPr>
  </w:style>
  <w:style w:type="paragraph" w:customStyle="1" w:styleId="13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color w:val="800000"/>
      <w:kern w:val="0"/>
      <w:sz w:val="20"/>
    </w:rPr>
  </w:style>
  <w:style w:type="paragraph" w:customStyle="1" w:styleId="138">
    <w:name w:val="文档正文 Char"/>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139">
    <w:name w:val="表格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0">
    <w:name w:val="_Style 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1">
    <w:name w:val="Char Char Char1"/>
    <w:basedOn w:val="1"/>
    <w:qFormat/>
    <w:uiPriority w:val="0"/>
    <w:rPr>
      <w:rFonts w:ascii="Tahoma" w:hAnsi="Tahoma"/>
      <w:sz w:val="24"/>
    </w:rPr>
  </w:style>
  <w:style w:type="paragraph" w:customStyle="1" w:styleId="14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rPr>
  </w:style>
  <w:style w:type="paragraph" w:customStyle="1" w:styleId="143">
    <w:name w:val="font10"/>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144">
    <w:name w:val="È±Ê¡ÎÄ±¾"/>
    <w:basedOn w:val="1"/>
    <w:qFormat/>
    <w:uiPriority w:val="0"/>
    <w:pPr>
      <w:widowControl/>
      <w:overflowPunct w:val="0"/>
      <w:autoSpaceDE w:val="0"/>
      <w:autoSpaceDN w:val="0"/>
      <w:adjustRightInd w:val="0"/>
      <w:jc w:val="left"/>
    </w:pPr>
    <w:rPr>
      <w:kern w:val="0"/>
      <w:sz w:val="24"/>
    </w:rPr>
  </w:style>
  <w:style w:type="paragraph" w:customStyle="1" w:styleId="14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color w:val="008000"/>
      <w:kern w:val="0"/>
      <w:sz w:val="20"/>
    </w:rPr>
  </w:style>
  <w:style w:type="paragraph" w:customStyle="1" w:styleId="14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147">
    <w:name w:val="项目编号3"/>
    <w:basedOn w:val="1"/>
    <w:qFormat/>
    <w:uiPriority w:val="0"/>
    <w:pPr>
      <w:spacing w:line="360" w:lineRule="auto"/>
    </w:pPr>
    <w:rPr>
      <w:rFonts w:cs="宋体"/>
      <w:sz w:val="24"/>
    </w:rPr>
  </w:style>
  <w:style w:type="paragraph" w:customStyle="1" w:styleId="14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rPr>
  </w:style>
  <w:style w:type="paragraph" w:customStyle="1" w:styleId="149">
    <w:name w:val="font8"/>
    <w:basedOn w:val="1"/>
    <w:qFormat/>
    <w:uiPriority w:val="0"/>
    <w:pPr>
      <w:widowControl/>
      <w:spacing w:before="100" w:beforeAutospacing="1" w:after="100" w:afterAutospacing="1"/>
      <w:jc w:val="left"/>
    </w:pPr>
    <w:rPr>
      <w:rFonts w:hint="eastAsia" w:ascii="宋体" w:hAnsi="宋体"/>
      <w:b/>
      <w:bCs/>
      <w:color w:val="0000FF"/>
      <w:kern w:val="0"/>
      <w:sz w:val="20"/>
    </w:rPr>
  </w:style>
  <w:style w:type="paragraph" w:customStyle="1" w:styleId="15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color w:val="800000"/>
      <w:kern w:val="0"/>
      <w:sz w:val="20"/>
    </w:rPr>
  </w:style>
  <w:style w:type="paragraph" w:customStyle="1" w:styleId="151">
    <w:name w:val="font12"/>
    <w:basedOn w:val="1"/>
    <w:qFormat/>
    <w:uiPriority w:val="0"/>
    <w:pPr>
      <w:widowControl/>
      <w:spacing w:before="100" w:beforeAutospacing="1" w:after="100" w:afterAutospacing="1"/>
      <w:jc w:val="left"/>
    </w:pPr>
    <w:rPr>
      <w:rFonts w:hint="eastAsia" w:ascii="楷体_GB2312" w:hAnsi="宋体" w:eastAsia="楷体_GB2312"/>
      <w:b/>
      <w:bCs/>
      <w:color w:val="FF0000"/>
      <w:kern w:val="0"/>
      <w:sz w:val="22"/>
      <w:szCs w:val="22"/>
    </w:rPr>
  </w:style>
  <w:style w:type="paragraph" w:customStyle="1" w:styleId="152">
    <w:name w:val="font13"/>
    <w:basedOn w:val="1"/>
    <w:qFormat/>
    <w:uiPriority w:val="0"/>
    <w:pPr>
      <w:widowControl/>
      <w:spacing w:before="100" w:beforeAutospacing="1" w:after="100" w:afterAutospacing="1"/>
      <w:jc w:val="left"/>
    </w:pPr>
    <w:rPr>
      <w:b/>
      <w:bCs/>
      <w:color w:val="FF0000"/>
      <w:kern w:val="0"/>
      <w:sz w:val="22"/>
      <w:szCs w:val="22"/>
    </w:rPr>
  </w:style>
  <w:style w:type="paragraph" w:customStyle="1" w:styleId="15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color w:val="0000FF"/>
      <w:kern w:val="0"/>
      <w:sz w:val="20"/>
    </w:rPr>
  </w:style>
  <w:style w:type="paragraph" w:customStyle="1" w:styleId="154">
    <w:name w:val="列出段落1"/>
    <w:basedOn w:val="1"/>
    <w:qFormat/>
    <w:uiPriority w:val="34"/>
    <w:pPr>
      <w:ind w:firstLine="420" w:firstLineChars="200"/>
    </w:pPr>
    <w:rPr>
      <w:szCs w:val="24"/>
    </w:rPr>
  </w:style>
  <w:style w:type="paragraph" w:customStyle="1" w:styleId="155">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156">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rPr>
  </w:style>
  <w:style w:type="paragraph" w:customStyle="1" w:styleId="157">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5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color w:val="0000FF"/>
      <w:kern w:val="0"/>
      <w:sz w:val="20"/>
    </w:rPr>
  </w:style>
  <w:style w:type="paragraph" w:customStyle="1" w:styleId="159">
    <w:name w:val="font11"/>
    <w:basedOn w:val="1"/>
    <w:qFormat/>
    <w:uiPriority w:val="0"/>
    <w:pPr>
      <w:widowControl/>
      <w:spacing w:before="100" w:beforeAutospacing="1" w:after="100" w:afterAutospacing="1"/>
      <w:jc w:val="left"/>
    </w:pPr>
    <w:rPr>
      <w:kern w:val="0"/>
      <w:sz w:val="22"/>
      <w:szCs w:val="22"/>
    </w:rPr>
  </w:style>
  <w:style w:type="character" w:customStyle="1" w:styleId="160">
    <w:name w:val="font71"/>
    <w:basedOn w:val="42"/>
    <w:qFormat/>
    <w:uiPriority w:val="0"/>
    <w:rPr>
      <w:rFonts w:hint="eastAsia" w:ascii="仿宋" w:hAnsi="仿宋" w:eastAsia="仿宋" w:cs="仿宋"/>
      <w:color w:val="000000"/>
      <w:sz w:val="20"/>
      <w:szCs w:val="20"/>
      <w:u w:val="none"/>
    </w:rPr>
  </w:style>
  <w:style w:type="character" w:customStyle="1" w:styleId="161">
    <w:name w:val="font31"/>
    <w:basedOn w:val="42"/>
    <w:qFormat/>
    <w:uiPriority w:val="0"/>
    <w:rPr>
      <w:rFonts w:hint="eastAsia" w:ascii="仿宋" w:hAnsi="仿宋" w:eastAsia="仿宋" w:cs="仿宋"/>
      <w:color w:val="FF0000"/>
      <w:sz w:val="20"/>
      <w:szCs w:val="20"/>
      <w:u w:val="none"/>
    </w:rPr>
  </w:style>
  <w:style w:type="character" w:customStyle="1" w:styleId="162">
    <w:name w:val="font61"/>
    <w:basedOn w:val="42"/>
    <w:qFormat/>
    <w:uiPriority w:val="0"/>
    <w:rPr>
      <w:rFonts w:hint="eastAsia" w:ascii="宋体" w:hAnsi="宋体" w:eastAsia="宋体" w:cs="宋体"/>
      <w:color w:val="000000"/>
      <w:sz w:val="22"/>
      <w:szCs w:val="22"/>
      <w:u w:val="none"/>
    </w:rPr>
  </w:style>
  <w:style w:type="character" w:customStyle="1" w:styleId="163">
    <w:name w:val="font41"/>
    <w:basedOn w:val="42"/>
    <w:qFormat/>
    <w:uiPriority w:val="0"/>
    <w:rPr>
      <w:rFonts w:hint="default" w:ascii="仿宋_GB2312" w:eastAsia="仿宋_GB2312" w:cs="仿宋_GB2312"/>
      <w:color w:val="FF0000"/>
      <w:sz w:val="24"/>
      <w:szCs w:val="24"/>
      <w:u w:val="none"/>
    </w:rPr>
  </w:style>
  <w:style w:type="paragraph" w:styleId="164">
    <w:name w:val="List Paragraph"/>
    <w:basedOn w:val="1"/>
    <w:qFormat/>
    <w:uiPriority w:val="34"/>
    <w:pPr>
      <w:ind w:firstLine="420" w:firstLineChars="200"/>
    </w:pPr>
    <w:rPr>
      <w:rFonts w:ascii="Calibri" w:hAnsi="Calibri"/>
      <w:szCs w:val="22"/>
    </w:rPr>
  </w:style>
  <w:style w:type="paragraph" w:customStyle="1" w:styleId="165">
    <w:name w:val="ql-align-cent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66">
    <w:name w:val="bookmark-item"/>
    <w:basedOn w:val="42"/>
    <w:qFormat/>
    <w:uiPriority w:val="0"/>
  </w:style>
  <w:style w:type="character" w:customStyle="1" w:styleId="167">
    <w:name w:val="zcy-panel-header-title"/>
    <w:basedOn w:val="42"/>
    <w:qFormat/>
    <w:uiPriority w:val="0"/>
  </w:style>
  <w:style w:type="table" w:customStyle="1" w:styleId="168">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169">
    <w:name w:val="Table Paragraph"/>
    <w:basedOn w:val="1"/>
    <w:qFormat/>
    <w:uiPriority w:val="1"/>
    <w:pPr>
      <w:autoSpaceDE w:val="0"/>
      <w:autoSpaceDN w:val="0"/>
      <w:jc w:val="left"/>
    </w:pPr>
    <w:rPr>
      <w:rFonts w:eastAsia="Times New Roman"/>
      <w:kern w:val="0"/>
      <w:sz w:val="22"/>
      <w:szCs w:val="22"/>
      <w:lang w:val="zh-CN" w:bidi="zh-CN"/>
    </w:rPr>
  </w:style>
  <w:style w:type="paragraph" w:customStyle="1" w:styleId="170">
    <w:name w:val="标题 41"/>
    <w:basedOn w:val="1"/>
    <w:qFormat/>
    <w:uiPriority w:val="1"/>
    <w:pPr>
      <w:autoSpaceDE w:val="0"/>
      <w:autoSpaceDN w:val="0"/>
      <w:spacing w:before="2"/>
      <w:ind w:left="1342"/>
      <w:jc w:val="left"/>
      <w:outlineLvl w:val="4"/>
    </w:pPr>
    <w:rPr>
      <w:rFonts w:ascii="宋体" w:hAnsi="宋体" w:cs="宋体"/>
      <w:b/>
      <w:bCs/>
      <w:kern w:val="0"/>
      <w:sz w:val="28"/>
      <w:szCs w:val="28"/>
      <w:lang w:val="zh-CN" w:bidi="zh-CN"/>
    </w:rPr>
  </w:style>
  <w:style w:type="paragraph" w:customStyle="1" w:styleId="171">
    <w:name w:val="detail-info"/>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2">
    <w:name w:val="su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3">
    <w:name w:val="标题 21"/>
    <w:basedOn w:val="1"/>
    <w:qFormat/>
    <w:uiPriority w:val="1"/>
    <w:pPr>
      <w:autoSpaceDE w:val="0"/>
      <w:autoSpaceDN w:val="0"/>
      <w:ind w:left="1255"/>
      <w:jc w:val="left"/>
      <w:outlineLvl w:val="2"/>
    </w:pPr>
    <w:rPr>
      <w:rFonts w:ascii="宋体" w:hAnsi="宋体" w:cs="宋体"/>
      <w:kern w:val="0"/>
      <w:sz w:val="24"/>
      <w:lang w:eastAsia="en-US" w:bidi="en-US"/>
    </w:rPr>
  </w:style>
  <w:style w:type="paragraph" w:customStyle="1" w:styleId="174">
    <w:name w:val="标题 11"/>
    <w:basedOn w:val="1"/>
    <w:qFormat/>
    <w:uiPriority w:val="1"/>
    <w:pPr>
      <w:autoSpaceDE w:val="0"/>
      <w:autoSpaceDN w:val="0"/>
      <w:ind w:left="120"/>
      <w:jc w:val="left"/>
      <w:outlineLvl w:val="1"/>
    </w:pPr>
    <w:rPr>
      <w:rFonts w:ascii="Microsoft JhengHei" w:hAnsi="Microsoft JhengHei" w:eastAsia="Microsoft JhengHei" w:cs="Microsoft JhengHei"/>
      <w:b/>
      <w:bCs/>
      <w:kern w:val="0"/>
      <w:sz w:val="24"/>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46590C-F615-4B83-A90D-4981A8F3313F}">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63</Pages>
  <Words>19939</Words>
  <Characters>22608</Characters>
  <Lines>204</Lines>
  <Paragraphs>57</Paragraphs>
  <TotalTime>6</TotalTime>
  <ScaleCrop>false</ScaleCrop>
  <LinksUpToDate>false</LinksUpToDate>
  <CharactersWithSpaces>23672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2023-02-02T03:16:00Z</dcterms:created>
  <dc:creator>User</dc:creator>
  <cp:lastModifiedBy>*</cp:lastModifiedBy>
  <cp:lastPrinted>2020-10-14T10:33:00Z</cp:lastPrinted>
  <dcterms:modified xsi:type="dcterms:W3CDTF">2023-02-27T10:45:32Z</dcterms:modified>
  <dc:title>目    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BC220BD4F5424D9D9A09A3A81F114F7C</vt:lpwstr>
  </property>
</Properties>
</file>