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left" w:pos="2220"/>
        </w:tabs>
        <w:jc w:val="both"/>
        <w:rPr>
          <w:rFonts w:ascii="黑体" w:hAnsi="宋体" w:eastAsia="黑体"/>
          <w:b/>
          <w:sz w:val="48"/>
          <w:szCs w:val="48"/>
        </w:rPr>
      </w:pPr>
    </w:p>
    <w:p>
      <w:pPr>
        <w:pStyle w:val="28"/>
        <w:jc w:val="center"/>
        <w:rPr>
          <w:rFonts w:ascii="黑体" w:hAnsi="宋体" w:eastAsia="黑体"/>
          <w:b/>
          <w:sz w:val="48"/>
          <w:szCs w:val="48"/>
        </w:rPr>
      </w:pPr>
    </w:p>
    <w:p>
      <w:pPr>
        <w:pStyle w:val="28"/>
        <w:jc w:val="center"/>
        <w:rPr>
          <w:rFonts w:ascii="黑体" w:hAnsi="宋体" w:eastAsia="黑体"/>
          <w:b/>
          <w:color w:val="auto"/>
          <w:sz w:val="48"/>
          <w:szCs w:val="48"/>
        </w:rPr>
      </w:pPr>
    </w:p>
    <w:p>
      <w:pPr>
        <w:pStyle w:val="28"/>
        <w:jc w:val="center"/>
        <w:rPr>
          <w:rFonts w:hint="eastAsia" w:ascii="黑体" w:hAnsi="黑体" w:eastAsia="黑体" w:cs="黑体"/>
          <w:b/>
          <w:bCs/>
          <w:color w:val="FF0000"/>
          <w:kern w:val="2"/>
          <w:sz w:val="48"/>
          <w:szCs w:val="48"/>
          <w:lang w:val="en-US" w:eastAsia="zh-CN" w:bidi="ar-SA"/>
        </w:rPr>
      </w:pPr>
      <w:r>
        <w:rPr>
          <w:rFonts w:hint="eastAsia" w:ascii="黑体" w:hAnsi="黑体" w:eastAsia="黑体" w:cs="黑体"/>
          <w:b/>
          <w:bCs/>
          <w:color w:val="FF0000"/>
          <w:kern w:val="2"/>
          <w:sz w:val="48"/>
          <w:szCs w:val="48"/>
          <w:lang w:val="en-US" w:eastAsia="zh-CN" w:bidi="ar-SA"/>
        </w:rPr>
        <w:t>2020年伊犁哈萨克自治州友谊医院采购第五批</w:t>
      </w:r>
    </w:p>
    <w:p>
      <w:pPr>
        <w:pStyle w:val="28"/>
        <w:jc w:val="center"/>
        <w:rPr>
          <w:rFonts w:hint="default" w:ascii="黑体" w:hAnsi="黑体" w:eastAsia="黑体" w:cs="黑体"/>
          <w:b/>
          <w:bCs/>
          <w:color w:val="FF0000"/>
          <w:sz w:val="48"/>
          <w:szCs w:val="48"/>
          <w:lang w:val="en-US"/>
        </w:rPr>
      </w:pPr>
      <w:r>
        <w:rPr>
          <w:rFonts w:hint="eastAsia" w:ascii="黑体" w:hAnsi="黑体" w:eastAsia="黑体" w:cs="黑体"/>
          <w:b/>
          <w:bCs/>
          <w:color w:val="FF0000"/>
          <w:kern w:val="2"/>
          <w:sz w:val="48"/>
          <w:szCs w:val="48"/>
          <w:lang w:val="en-US" w:eastAsia="zh-CN" w:bidi="ar-SA"/>
        </w:rPr>
        <w:t>医疗设备</w:t>
      </w:r>
    </w:p>
    <w:p>
      <w:pPr>
        <w:pStyle w:val="28"/>
        <w:rPr>
          <w:rFonts w:ascii="宋体" w:hAnsi="宋体"/>
          <w:color w:val="auto"/>
          <w:sz w:val="32"/>
        </w:rPr>
      </w:pPr>
    </w:p>
    <w:p>
      <w:pPr>
        <w:pStyle w:val="28"/>
        <w:rPr>
          <w:rFonts w:ascii="宋体" w:hAnsi="宋体"/>
          <w:color w:val="auto"/>
          <w:sz w:val="32"/>
        </w:rPr>
      </w:pPr>
    </w:p>
    <w:p>
      <w:pPr>
        <w:pStyle w:val="28"/>
        <w:jc w:val="center"/>
        <w:rPr>
          <w:rFonts w:ascii="黑体" w:hAnsi="华文中宋" w:eastAsia="黑体"/>
          <w:color w:val="auto"/>
          <w:sz w:val="96"/>
        </w:rPr>
      </w:pPr>
      <w:r>
        <w:rPr>
          <w:rFonts w:hint="eastAsia" w:ascii="黑体" w:hAnsi="华文中宋" w:eastAsia="黑体"/>
          <w:color w:val="auto"/>
          <w:sz w:val="96"/>
          <w:szCs w:val="112"/>
        </w:rPr>
        <w:t>公开招标文件</w:t>
      </w:r>
    </w:p>
    <w:p>
      <w:pPr>
        <w:pStyle w:val="28"/>
        <w:ind w:firstLine="1920" w:firstLineChars="600"/>
        <w:rPr>
          <w:rFonts w:ascii="黑体" w:hAnsi="宋体" w:eastAsia="黑体"/>
          <w:color w:val="auto"/>
          <w:sz w:val="32"/>
        </w:rPr>
      </w:pPr>
    </w:p>
    <w:p>
      <w:pPr>
        <w:pStyle w:val="28"/>
        <w:ind w:firstLine="1920" w:firstLineChars="600"/>
        <w:rPr>
          <w:rFonts w:ascii="黑体" w:hAnsi="宋体" w:eastAsia="黑体"/>
          <w:color w:val="auto"/>
          <w:sz w:val="32"/>
        </w:rPr>
      </w:pPr>
    </w:p>
    <w:p>
      <w:pPr>
        <w:pStyle w:val="28"/>
        <w:ind w:firstLine="1920" w:firstLineChars="600"/>
        <w:rPr>
          <w:rFonts w:ascii="黑体" w:hAnsi="宋体" w:eastAsia="黑体"/>
          <w:color w:val="auto"/>
          <w:sz w:val="32"/>
        </w:rPr>
      </w:pPr>
    </w:p>
    <w:p>
      <w:pPr>
        <w:pStyle w:val="28"/>
        <w:ind w:firstLine="1928" w:firstLineChars="600"/>
        <w:jc w:val="both"/>
        <w:rPr>
          <w:rFonts w:ascii="仿宋_GB2312" w:hAnsi="宋体" w:eastAsia="仿宋_GB2312"/>
          <w:b/>
          <w:color w:val="auto"/>
          <w:sz w:val="32"/>
          <w:szCs w:val="31"/>
        </w:rPr>
      </w:pPr>
    </w:p>
    <w:p>
      <w:pPr>
        <w:pStyle w:val="28"/>
        <w:ind w:firstLine="1928" w:firstLineChars="600"/>
        <w:jc w:val="both"/>
        <w:rPr>
          <w:rFonts w:ascii="仿宋_GB2312" w:hAnsi="宋体" w:eastAsia="仿宋_GB2312"/>
          <w:b/>
          <w:color w:val="auto"/>
          <w:sz w:val="32"/>
          <w:szCs w:val="31"/>
        </w:rPr>
      </w:pPr>
    </w:p>
    <w:p>
      <w:pPr>
        <w:pStyle w:val="28"/>
        <w:ind w:firstLine="1928" w:firstLineChars="600"/>
        <w:jc w:val="both"/>
        <w:rPr>
          <w:rFonts w:ascii="仿宋_GB2312" w:hAnsi="宋体" w:eastAsia="仿宋_GB2312"/>
          <w:b/>
          <w:color w:val="auto"/>
          <w:sz w:val="32"/>
          <w:szCs w:val="31"/>
        </w:rPr>
      </w:pPr>
      <w:r>
        <w:rPr>
          <w:rFonts w:hint="eastAsia" w:ascii="仿宋_GB2312" w:hAnsi="宋体" w:eastAsia="仿宋_GB2312"/>
          <w:b/>
          <w:color w:val="auto"/>
          <w:sz w:val="32"/>
          <w:szCs w:val="31"/>
        </w:rPr>
        <w:t>文件编号：</w:t>
      </w:r>
      <w:r>
        <w:rPr>
          <w:rFonts w:hint="eastAsia" w:ascii="楷体_GB2312" w:hAnsi="宋体" w:eastAsia="楷体_GB2312"/>
          <w:b/>
          <w:color w:val="auto"/>
          <w:sz w:val="32"/>
          <w:szCs w:val="31"/>
          <w:u w:val="single"/>
        </w:rPr>
        <w:t>XJDB-2020GK-</w:t>
      </w:r>
      <w:r>
        <w:rPr>
          <w:rFonts w:hint="eastAsia" w:ascii="楷体_GB2312" w:hAnsi="宋体" w:eastAsia="楷体_GB2312"/>
          <w:b/>
          <w:color w:val="auto"/>
          <w:sz w:val="32"/>
          <w:szCs w:val="31"/>
          <w:u w:val="single"/>
          <w:lang w:val="en-US" w:eastAsia="zh-CN"/>
        </w:rPr>
        <w:t>130</w:t>
      </w:r>
      <w:r>
        <w:rPr>
          <w:rFonts w:hint="eastAsia" w:ascii="楷体_GB2312" w:hAnsi="宋体" w:eastAsia="楷体_GB2312"/>
          <w:b/>
          <w:color w:val="auto"/>
          <w:sz w:val="32"/>
          <w:szCs w:val="31"/>
          <w:u w:val="single"/>
        </w:rPr>
        <w:t>号</w:t>
      </w:r>
    </w:p>
    <w:p>
      <w:pPr>
        <w:pStyle w:val="28"/>
        <w:ind w:firstLine="1928" w:firstLineChars="600"/>
        <w:jc w:val="both"/>
        <w:rPr>
          <w:rFonts w:hint="eastAsia" w:ascii="楷体_GB2312" w:hAnsi="宋体" w:eastAsia="楷体_GB2312"/>
          <w:b/>
          <w:color w:val="auto"/>
          <w:sz w:val="32"/>
          <w:szCs w:val="31"/>
          <w:u w:val="single"/>
          <w:lang w:eastAsia="zh-CN"/>
        </w:rPr>
      </w:pPr>
      <w:r>
        <w:rPr>
          <w:rFonts w:hint="eastAsia" w:ascii="仿宋_GB2312" w:hAnsi="宋体" w:eastAsia="仿宋_GB2312"/>
          <w:b/>
          <w:color w:val="auto"/>
          <w:sz w:val="32"/>
          <w:szCs w:val="31"/>
        </w:rPr>
        <w:t>采购人</w:t>
      </w:r>
      <w:r>
        <w:rPr>
          <w:rFonts w:hint="eastAsia" w:ascii="黑体" w:hAnsi="宋体" w:eastAsia="黑体"/>
          <w:b/>
          <w:color w:val="auto"/>
          <w:sz w:val="32"/>
          <w:szCs w:val="31"/>
        </w:rPr>
        <w:t>：</w:t>
      </w:r>
      <w:r>
        <w:rPr>
          <w:rFonts w:hint="eastAsia" w:ascii="楷体_GB2312" w:hAnsi="宋体" w:eastAsia="楷体_GB2312"/>
          <w:b/>
          <w:color w:val="auto"/>
          <w:sz w:val="32"/>
          <w:szCs w:val="31"/>
          <w:u w:val="single"/>
        </w:rPr>
        <w:t>伊犁</w:t>
      </w:r>
      <w:r>
        <w:rPr>
          <w:rFonts w:hint="eastAsia" w:ascii="楷体_GB2312" w:hAnsi="宋体" w:eastAsia="楷体_GB2312"/>
          <w:b/>
          <w:color w:val="auto"/>
          <w:sz w:val="32"/>
          <w:szCs w:val="31"/>
          <w:u w:val="single"/>
          <w:lang w:val="en-US" w:eastAsia="zh-CN"/>
        </w:rPr>
        <w:t>哈萨克自治州友谊医院</w:t>
      </w:r>
    </w:p>
    <w:p>
      <w:pPr>
        <w:pStyle w:val="28"/>
        <w:ind w:firstLine="1928" w:firstLineChars="600"/>
        <w:jc w:val="both"/>
        <w:rPr>
          <w:rFonts w:ascii="楷体_GB2312" w:hAnsi="宋体" w:eastAsia="楷体_GB2312"/>
          <w:b/>
          <w:color w:val="auto"/>
          <w:sz w:val="32"/>
          <w:szCs w:val="31"/>
        </w:rPr>
      </w:pPr>
      <w:r>
        <w:rPr>
          <w:rFonts w:hint="eastAsia" w:ascii="楷体_GB2312" w:hAnsi="宋体" w:eastAsia="楷体_GB2312"/>
          <w:b/>
          <w:color w:val="auto"/>
          <w:sz w:val="32"/>
          <w:szCs w:val="31"/>
        </w:rPr>
        <w:t>采购代理机构：</w:t>
      </w:r>
      <w:r>
        <w:rPr>
          <w:rFonts w:hint="eastAsia" w:ascii="楷体_GB2312" w:hAnsi="宋体" w:eastAsia="楷体_GB2312"/>
          <w:b/>
          <w:color w:val="auto"/>
          <w:sz w:val="32"/>
          <w:szCs w:val="31"/>
          <w:u w:val="single"/>
        </w:rPr>
        <w:t>新疆鼎标招投标代理有限公司</w:t>
      </w:r>
    </w:p>
    <w:p>
      <w:pPr>
        <w:pStyle w:val="28"/>
        <w:ind w:firstLine="1928" w:firstLineChars="600"/>
        <w:jc w:val="both"/>
        <w:rPr>
          <w:rFonts w:ascii="楷体_GB2312" w:hAnsi="宋体" w:eastAsia="楷体_GB2312"/>
          <w:b/>
          <w:color w:val="auto"/>
          <w:sz w:val="32"/>
          <w:u w:val="single"/>
        </w:rPr>
      </w:pPr>
      <w:r>
        <w:rPr>
          <w:rFonts w:hint="eastAsia" w:ascii="楷体_GB2312" w:hAnsi="宋体" w:eastAsia="楷体_GB2312"/>
          <w:b/>
          <w:color w:val="auto"/>
          <w:sz w:val="32"/>
          <w:szCs w:val="31"/>
        </w:rPr>
        <w:t>编制日期：</w:t>
      </w:r>
      <w:r>
        <w:rPr>
          <w:rFonts w:hint="eastAsia" w:ascii="楷体_GB2312" w:hAnsi="宋体" w:eastAsia="楷体_GB2312"/>
          <w:b/>
          <w:color w:val="auto"/>
          <w:sz w:val="32"/>
          <w:szCs w:val="31"/>
          <w:u w:val="single"/>
        </w:rPr>
        <w:t>2020年</w:t>
      </w:r>
      <w:r>
        <w:rPr>
          <w:rFonts w:hint="eastAsia" w:ascii="楷体_GB2312" w:hAnsi="宋体" w:eastAsia="楷体_GB2312"/>
          <w:b/>
          <w:color w:val="auto"/>
          <w:sz w:val="32"/>
          <w:szCs w:val="31"/>
          <w:u w:val="single"/>
          <w:lang w:val="en-US" w:eastAsia="zh-CN"/>
        </w:rPr>
        <w:t>12</w:t>
      </w:r>
      <w:r>
        <w:rPr>
          <w:rFonts w:hint="eastAsia" w:ascii="楷体_GB2312" w:hAnsi="宋体" w:eastAsia="楷体_GB2312"/>
          <w:b/>
          <w:color w:val="auto"/>
          <w:sz w:val="32"/>
          <w:szCs w:val="31"/>
          <w:u w:val="single"/>
        </w:rPr>
        <w:t>月</w:t>
      </w:r>
      <w:r>
        <w:rPr>
          <w:rFonts w:hint="eastAsia" w:ascii="楷体_GB2312" w:hAnsi="宋体" w:eastAsia="楷体_GB2312"/>
          <w:b/>
          <w:color w:val="auto"/>
          <w:sz w:val="32"/>
          <w:szCs w:val="31"/>
          <w:u w:val="single"/>
          <w:lang w:val="en-US" w:eastAsia="zh-CN"/>
        </w:rPr>
        <w:t>11</w:t>
      </w:r>
      <w:r>
        <w:rPr>
          <w:rFonts w:hint="eastAsia" w:ascii="楷体_GB2312" w:hAnsi="宋体" w:eastAsia="楷体_GB2312"/>
          <w:b/>
          <w:color w:val="auto"/>
          <w:sz w:val="32"/>
          <w:szCs w:val="31"/>
          <w:u w:val="single"/>
        </w:rPr>
        <w:t>日</w:t>
      </w:r>
    </w:p>
    <w:p>
      <w:pPr>
        <w:pStyle w:val="28"/>
        <w:rPr>
          <w:rFonts w:ascii="黑体" w:hAnsi="宋体" w:eastAsia="黑体"/>
          <w:color w:val="auto"/>
          <w:sz w:val="30"/>
        </w:rPr>
      </w:pPr>
    </w:p>
    <w:p/>
    <w:p>
      <w:pPr>
        <w:adjustRightInd w:val="0"/>
        <w:snapToGrid w:val="0"/>
        <w:spacing w:line="360" w:lineRule="auto"/>
        <w:jc w:val="center"/>
        <w:rPr>
          <w:rFonts w:ascii="宋体" w:hAnsi="宋体" w:eastAsia="宋体" w:cs="宋体"/>
          <w:b/>
          <w:sz w:val="44"/>
          <w:szCs w:val="44"/>
        </w:rPr>
      </w:pPr>
    </w:p>
    <w:p>
      <w:pPr>
        <w:adjustRightInd w:val="0"/>
        <w:snapToGrid w:val="0"/>
        <w:spacing w:line="360" w:lineRule="auto"/>
        <w:rPr>
          <w:rFonts w:ascii="宋体" w:hAnsi="宋体" w:eastAsia="宋体" w:cs="宋体"/>
          <w:b/>
          <w:sz w:val="44"/>
          <w:szCs w:val="44"/>
        </w:rPr>
      </w:pPr>
    </w:p>
    <w:p>
      <w:pPr>
        <w:adjustRightInd w:val="0"/>
        <w:snapToGrid w:val="0"/>
        <w:spacing w:line="360" w:lineRule="auto"/>
        <w:rPr>
          <w:rFonts w:ascii="宋体" w:hAnsi="宋体" w:eastAsia="宋体" w:cs="宋体"/>
          <w:b/>
          <w:sz w:val="44"/>
          <w:szCs w:val="44"/>
        </w:rPr>
      </w:pPr>
    </w:p>
    <w:p>
      <w:pPr>
        <w:adjustRightInd w:val="0"/>
        <w:snapToGrid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目录</w:t>
      </w:r>
      <w:bookmarkStart w:id="0" w:name="OLE_LINK1"/>
      <w:bookmarkStart w:id="1" w:name="OLE_LINK4"/>
      <w:bookmarkStart w:id="2" w:name="OLE_LINK3"/>
      <w:bookmarkStart w:id="3" w:name="OLE_LINK2"/>
    </w:p>
    <w:p>
      <w:pPr>
        <w:adjustRightInd w:val="0"/>
        <w:snapToGrid w:val="0"/>
        <w:spacing w:line="360" w:lineRule="auto"/>
        <w:jc w:val="center"/>
        <w:rPr>
          <w:rFonts w:ascii="宋体" w:hAnsi="宋体" w:eastAsia="宋体" w:cs="宋体"/>
          <w:b/>
          <w:sz w:val="44"/>
          <w:szCs w:val="44"/>
        </w:rPr>
      </w:pPr>
      <w:r>
        <w:rPr>
          <w:rFonts w:hint="eastAsia" w:ascii="宋体" w:hAnsi="宋体" w:cs="宋体"/>
          <w:caps/>
          <w:sz w:val="24"/>
          <w:szCs w:val="24"/>
        </w:rPr>
        <w:fldChar w:fldCharType="begin"/>
      </w:r>
      <w:r>
        <w:rPr>
          <w:rFonts w:hint="eastAsia" w:ascii="宋体" w:hAnsi="宋体" w:cs="宋体"/>
          <w:caps/>
          <w:sz w:val="24"/>
          <w:szCs w:val="24"/>
        </w:rPr>
        <w:instrText xml:space="preserve"> TOC \o "1-3" \h \z \u </w:instrText>
      </w:r>
      <w:r>
        <w:rPr>
          <w:rFonts w:hint="eastAsia" w:ascii="宋体" w:hAnsi="宋体" w:cs="宋体"/>
          <w:caps/>
          <w:sz w:val="24"/>
          <w:szCs w:val="24"/>
        </w:rPr>
        <w:fldChar w:fldCharType="separate"/>
      </w:r>
    </w:p>
    <w:p>
      <w:pPr>
        <w:widowControl/>
        <w:tabs>
          <w:tab w:val="right" w:leader="dot" w:pos="9354"/>
        </w:tabs>
        <w:spacing w:line="400" w:lineRule="exact"/>
        <w:jc w:val="left"/>
        <w:rPr>
          <w:rFonts w:ascii="宋体" w:hAnsi="宋体" w:eastAsia="宋体" w:cs="Times New Roman"/>
          <w:b/>
          <w:bCs/>
          <w:kern w:val="0"/>
          <w:sz w:val="24"/>
          <w:szCs w:val="24"/>
        </w:rPr>
      </w:pPr>
      <w:r>
        <w:fldChar w:fldCharType="begin"/>
      </w:r>
      <w:r>
        <w:instrText xml:space="preserve"> HYPERLINK \l "_Toc7897_WPSOffice_Level1" </w:instrText>
      </w:r>
      <w:r>
        <w:fldChar w:fldCharType="separate"/>
      </w:r>
      <w:r>
        <w:rPr>
          <w:rFonts w:hint="eastAsia" w:ascii="宋体" w:hAnsi="宋体" w:eastAsia="宋体" w:cs="Times New Roman"/>
          <w:b/>
          <w:bCs/>
          <w:kern w:val="0"/>
          <w:sz w:val="24"/>
          <w:szCs w:val="24"/>
        </w:rPr>
        <w:t>第一部分  投标邀请</w:t>
      </w:r>
      <w:r>
        <w:rPr>
          <w:rFonts w:ascii="宋体" w:hAnsi="宋体" w:eastAsia="宋体" w:cs="Times New Roman"/>
          <w:b/>
          <w:bCs/>
          <w:kern w:val="0"/>
          <w:sz w:val="24"/>
          <w:szCs w:val="24"/>
        </w:rPr>
        <w:tab/>
      </w:r>
      <w:r>
        <w:rPr>
          <w:rFonts w:hint="eastAsia" w:ascii="宋体" w:hAnsi="宋体" w:eastAsia="宋体" w:cs="Times New Roman"/>
          <w:b/>
          <w:bCs/>
          <w:kern w:val="0"/>
          <w:sz w:val="24"/>
          <w:szCs w:val="24"/>
        </w:rPr>
        <w:t>2</w:t>
      </w:r>
      <w:r>
        <w:rPr>
          <w:rFonts w:hint="eastAsia" w:ascii="宋体" w:hAnsi="宋体" w:eastAsia="宋体" w:cs="Times New Roman"/>
          <w:b/>
          <w:bCs/>
          <w:kern w:val="0"/>
          <w:sz w:val="24"/>
          <w:szCs w:val="24"/>
        </w:rPr>
        <w:fldChar w:fldCharType="end"/>
      </w:r>
    </w:p>
    <w:p>
      <w:pPr>
        <w:widowControl/>
        <w:tabs>
          <w:tab w:val="right" w:leader="dot" w:pos="9354"/>
        </w:tabs>
        <w:spacing w:line="400" w:lineRule="exact"/>
        <w:jc w:val="left"/>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4"/>
          <w:szCs w:val="24"/>
        </w:rPr>
        <w:t>第二部分  投标人须知</w:t>
      </w:r>
      <w:r>
        <w:rPr>
          <w:rFonts w:ascii="宋体" w:hAnsi="宋体" w:eastAsia="宋体" w:cs="Times New Roman"/>
          <w:b/>
          <w:bCs/>
          <w:kern w:val="0"/>
          <w:sz w:val="24"/>
          <w:szCs w:val="24"/>
        </w:rPr>
        <w:tab/>
      </w:r>
      <w:r>
        <w:rPr>
          <w:rFonts w:hint="eastAsia" w:ascii="宋体" w:hAnsi="宋体" w:eastAsia="宋体" w:cs="Times New Roman"/>
          <w:b/>
          <w:bCs/>
          <w:kern w:val="0"/>
          <w:sz w:val="24"/>
          <w:szCs w:val="24"/>
          <w:lang w:val="en-US" w:eastAsia="zh-CN"/>
        </w:rPr>
        <w:t>3</w:t>
      </w:r>
    </w:p>
    <w:p>
      <w:pPr>
        <w:widowControl/>
        <w:tabs>
          <w:tab w:val="right" w:leader="dot" w:pos="9354"/>
        </w:tabs>
        <w:spacing w:line="400" w:lineRule="exact"/>
        <w:ind w:firstLine="411" w:firstLineChars="196"/>
        <w:jc w:val="left"/>
        <w:rPr>
          <w:rFonts w:ascii="宋体" w:hAnsi="宋体" w:eastAsia="宋体" w:cs="Times New Roman"/>
          <w:kern w:val="0"/>
          <w:sz w:val="24"/>
          <w:szCs w:val="24"/>
        </w:rPr>
      </w:pPr>
      <w:r>
        <w:fldChar w:fldCharType="begin"/>
      </w:r>
      <w:r>
        <w:instrText xml:space="preserve"> HYPERLINK \l "_Toc30699_WPSOffice_Level2" </w:instrText>
      </w:r>
      <w:r>
        <w:fldChar w:fldCharType="separate"/>
      </w:r>
      <w:r>
        <w:rPr>
          <w:rFonts w:hint="eastAsia" w:ascii="宋体" w:hAnsi="宋体" w:eastAsia="宋体" w:cs="Times New Roman"/>
          <w:kern w:val="0"/>
          <w:sz w:val="24"/>
          <w:szCs w:val="24"/>
        </w:rPr>
        <w:t>第一章 招标说明</w:t>
      </w:r>
      <w:r>
        <w:rPr>
          <w:rFonts w:ascii="宋体" w:hAnsi="宋体" w:eastAsia="宋体" w:cs="Times New Roman"/>
          <w:kern w:val="0"/>
          <w:sz w:val="24"/>
          <w:szCs w:val="24"/>
        </w:rPr>
        <w:tab/>
      </w:r>
      <w:r>
        <w:rPr>
          <w:rFonts w:hint="eastAsia" w:ascii="宋体" w:hAnsi="宋体" w:cs="Times New Roman"/>
          <w:kern w:val="0"/>
          <w:sz w:val="24"/>
          <w:szCs w:val="24"/>
          <w:lang w:val="en-US" w:eastAsia="zh-CN"/>
        </w:rPr>
        <w:t>3</w:t>
      </w:r>
      <w:r>
        <w:rPr>
          <w:rFonts w:hint="eastAsia" w:ascii="宋体" w:hAnsi="宋体" w:eastAsia="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kern w:val="0"/>
          <w:sz w:val="24"/>
          <w:szCs w:val="24"/>
        </w:rPr>
      </w:pPr>
      <w:r>
        <w:fldChar w:fldCharType="begin"/>
      </w:r>
      <w:r>
        <w:instrText xml:space="preserve"> HYPERLINK \l "_Toc27879_WPSOffice_Level2" </w:instrText>
      </w:r>
      <w:r>
        <w:fldChar w:fldCharType="separate"/>
      </w:r>
      <w:r>
        <w:rPr>
          <w:rFonts w:hint="eastAsia" w:ascii="宋体" w:hAnsi="宋体" w:eastAsia="宋体" w:cs="Times New Roman"/>
          <w:kern w:val="0"/>
          <w:sz w:val="24"/>
          <w:szCs w:val="24"/>
        </w:rPr>
        <w:t xml:space="preserve">第二章 </w:t>
      </w:r>
      <w:r>
        <w:rPr>
          <w:rFonts w:hint="eastAsia" w:ascii="宋体" w:hAnsi="宋体" w:eastAsia="宋体" w:cs="仿宋"/>
          <w:kern w:val="0"/>
          <w:sz w:val="24"/>
          <w:szCs w:val="24"/>
        </w:rPr>
        <w:t>对投标人的资质要求</w:t>
      </w:r>
      <w:r>
        <w:rPr>
          <w:rFonts w:ascii="宋体" w:hAnsi="宋体" w:eastAsia="宋体" w:cs="Times New Roman"/>
          <w:kern w:val="0"/>
          <w:sz w:val="24"/>
          <w:szCs w:val="24"/>
        </w:rPr>
        <w:tab/>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kern w:val="0"/>
          <w:sz w:val="24"/>
          <w:szCs w:val="24"/>
        </w:rPr>
      </w:pPr>
      <w:r>
        <w:fldChar w:fldCharType="begin"/>
      </w:r>
      <w:r>
        <w:instrText xml:space="preserve"> HYPERLINK \l "_Toc11149_WPSOffice_Level2" </w:instrText>
      </w:r>
      <w:r>
        <w:fldChar w:fldCharType="separate"/>
      </w:r>
      <w:r>
        <w:rPr>
          <w:rFonts w:hint="eastAsia" w:ascii="宋体" w:hAnsi="宋体" w:eastAsia="宋体" w:cs="Times New Roman"/>
          <w:kern w:val="0"/>
          <w:sz w:val="24"/>
          <w:szCs w:val="24"/>
        </w:rPr>
        <w:t>第三章 投标文件的编写</w:t>
      </w:r>
      <w:r>
        <w:rPr>
          <w:rFonts w:ascii="宋体" w:hAnsi="宋体" w:eastAsia="宋体" w:cs="Times New Roman"/>
          <w:kern w:val="0"/>
          <w:sz w:val="24"/>
          <w:szCs w:val="24"/>
        </w:rPr>
        <w:tab/>
      </w:r>
      <w:r>
        <w:rPr>
          <w:rFonts w:hint="eastAsia" w:ascii="宋体" w:hAnsi="宋体" w:cs="Times New Roman"/>
          <w:kern w:val="0"/>
          <w:sz w:val="24"/>
          <w:szCs w:val="24"/>
          <w:lang w:val="en-US" w:eastAsia="zh-CN"/>
        </w:rPr>
        <w:t>5</w:t>
      </w:r>
      <w:r>
        <w:rPr>
          <w:rFonts w:hint="eastAsia" w:ascii="宋体" w:hAnsi="宋体" w:eastAsia="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kern w:val="0"/>
          <w:sz w:val="24"/>
          <w:szCs w:val="24"/>
        </w:rPr>
      </w:pPr>
      <w:r>
        <w:fldChar w:fldCharType="begin"/>
      </w:r>
      <w:r>
        <w:instrText xml:space="preserve"> HYPERLINK \l "_Toc31802_WPSOffice_Level2" </w:instrText>
      </w:r>
      <w:r>
        <w:fldChar w:fldCharType="separate"/>
      </w:r>
      <w:r>
        <w:rPr>
          <w:rFonts w:hint="eastAsia" w:ascii="宋体" w:hAnsi="宋体" w:eastAsia="宋体" w:cs="Times New Roman"/>
          <w:kern w:val="0"/>
          <w:sz w:val="24"/>
          <w:szCs w:val="24"/>
        </w:rPr>
        <w:t>第四章 投标文件的装订及递交</w:t>
      </w:r>
      <w:r>
        <w:rPr>
          <w:rFonts w:ascii="宋体" w:hAnsi="宋体" w:eastAsia="宋体" w:cs="Times New Roman"/>
          <w:kern w:val="0"/>
          <w:sz w:val="24"/>
          <w:szCs w:val="24"/>
        </w:rPr>
        <w:tab/>
      </w:r>
      <w:r>
        <w:rPr>
          <w:rFonts w:hint="eastAsia" w:ascii="宋体" w:hAnsi="宋体" w:cs="Times New Roman"/>
          <w:kern w:val="0"/>
          <w:sz w:val="24"/>
          <w:szCs w:val="24"/>
          <w:lang w:val="en-US" w:eastAsia="zh-CN"/>
        </w:rPr>
        <w:t>6</w:t>
      </w:r>
      <w:r>
        <w:rPr>
          <w:rFonts w:hint="eastAsia" w:ascii="宋体" w:hAnsi="宋体" w:eastAsia="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kern w:val="0"/>
          <w:sz w:val="24"/>
          <w:szCs w:val="24"/>
        </w:rPr>
      </w:pPr>
      <w:r>
        <w:fldChar w:fldCharType="begin"/>
      </w:r>
      <w:r>
        <w:instrText xml:space="preserve"> HYPERLINK \l "_Toc29699_WPSOffice_Level2" </w:instrText>
      </w:r>
      <w:r>
        <w:fldChar w:fldCharType="separate"/>
      </w:r>
      <w:r>
        <w:rPr>
          <w:rFonts w:hint="eastAsia" w:ascii="宋体" w:hAnsi="宋体" w:eastAsia="宋体" w:cs="Times New Roman"/>
          <w:kern w:val="0"/>
          <w:sz w:val="24"/>
          <w:szCs w:val="24"/>
        </w:rPr>
        <w:t>第五章 投标报价及保证金</w:t>
      </w:r>
      <w:r>
        <w:rPr>
          <w:rFonts w:ascii="宋体" w:hAnsi="宋体" w:eastAsia="宋体" w:cs="Times New Roman"/>
          <w:kern w:val="0"/>
          <w:sz w:val="24"/>
          <w:szCs w:val="24"/>
        </w:rPr>
        <w:tab/>
      </w:r>
      <w:r>
        <w:rPr>
          <w:rFonts w:hint="eastAsia" w:ascii="宋体" w:hAnsi="宋体" w:cs="Times New Roman"/>
          <w:kern w:val="0"/>
          <w:sz w:val="24"/>
          <w:szCs w:val="24"/>
          <w:lang w:val="en-US" w:eastAsia="zh-CN"/>
        </w:rPr>
        <w:t>7</w:t>
      </w:r>
      <w:r>
        <w:rPr>
          <w:rFonts w:hint="eastAsia" w:ascii="宋体" w:hAnsi="宋体" w:eastAsia="宋体" w:cs="Times New Roman"/>
          <w:kern w:val="0"/>
          <w:sz w:val="24"/>
          <w:szCs w:val="24"/>
        </w:rPr>
        <w:fldChar w:fldCharType="end"/>
      </w:r>
    </w:p>
    <w:p>
      <w:pPr>
        <w:widowControl/>
        <w:tabs>
          <w:tab w:val="right" w:leader="dot" w:pos="9354"/>
        </w:tabs>
        <w:spacing w:line="400" w:lineRule="exact"/>
        <w:jc w:val="left"/>
        <w:rPr>
          <w:rFonts w:hint="eastAsia" w:ascii="宋体" w:hAnsi="宋体" w:eastAsia="宋体" w:cs="Times New Roman"/>
          <w:kern w:val="0"/>
          <w:sz w:val="24"/>
          <w:szCs w:val="24"/>
          <w:lang w:val="en-US" w:eastAsia="zh-CN"/>
        </w:rPr>
      </w:pPr>
      <w:r>
        <w:fldChar w:fldCharType="begin"/>
      </w:r>
      <w:r>
        <w:instrText xml:space="preserve"> HYPERLINK \l "_Toc24618_WPSOffice_Level1" </w:instrText>
      </w:r>
      <w:r>
        <w:fldChar w:fldCharType="separate"/>
      </w:r>
      <w:r>
        <w:rPr>
          <w:rFonts w:hint="eastAsia" w:ascii="宋体" w:hAnsi="宋体" w:eastAsia="宋体" w:cs="Times New Roman"/>
          <w:b/>
          <w:bCs/>
          <w:kern w:val="0"/>
          <w:sz w:val="24"/>
          <w:szCs w:val="24"/>
        </w:rPr>
        <w:t>第三部分  采购需求及技术说明</w:t>
      </w:r>
      <w:r>
        <w:rPr>
          <w:rFonts w:ascii="宋体" w:hAnsi="宋体" w:eastAsia="宋体" w:cs="Times New Roman"/>
          <w:b/>
          <w:bCs/>
          <w:kern w:val="0"/>
          <w:sz w:val="24"/>
          <w:szCs w:val="24"/>
        </w:rPr>
        <w:tab/>
      </w:r>
      <w:r>
        <w:rPr>
          <w:rFonts w:hint="eastAsia" w:ascii="宋体" w:hAnsi="宋体" w:cs="Times New Roman"/>
          <w:b/>
          <w:bCs/>
          <w:kern w:val="0"/>
          <w:sz w:val="24"/>
          <w:szCs w:val="24"/>
          <w:lang w:val="en-US" w:eastAsia="zh-CN"/>
        </w:rPr>
        <w:t>9</w:t>
      </w:r>
      <w:r>
        <w:rPr>
          <w:rFonts w:hint="eastAsia" w:ascii="宋体" w:hAnsi="宋体" w:eastAsia="宋体" w:cs="Times New Roman"/>
          <w:b/>
          <w:bCs/>
          <w:kern w:val="0"/>
          <w:sz w:val="24"/>
          <w:szCs w:val="24"/>
        </w:rPr>
        <w:fldChar w:fldCharType="end"/>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val="en-US" w:eastAsia="zh-CN"/>
        </w:rPr>
      </w:pPr>
      <w:r>
        <w:fldChar w:fldCharType="begin"/>
      </w:r>
      <w:r>
        <w:instrText xml:space="preserve"> HYPERLINK \l "_Toc11873_WPSOffice_Level2" </w:instrText>
      </w:r>
      <w:r>
        <w:fldChar w:fldCharType="separate"/>
      </w:r>
      <w:r>
        <w:rPr>
          <w:rFonts w:hint="eastAsia" w:ascii="宋体" w:hAnsi="宋体" w:eastAsia="宋体" w:cs="Times New Roman"/>
          <w:kern w:val="0"/>
          <w:sz w:val="24"/>
          <w:szCs w:val="24"/>
        </w:rPr>
        <w:t>第一章 采购项目内容及要求</w:t>
      </w:r>
      <w:r>
        <w:rPr>
          <w:rFonts w:ascii="宋体" w:hAnsi="宋体" w:eastAsia="宋体" w:cs="Times New Roman"/>
          <w:kern w:val="0"/>
          <w:sz w:val="24"/>
          <w:szCs w:val="24"/>
        </w:rPr>
        <w:tab/>
      </w:r>
      <w:r>
        <w:rPr>
          <w:rFonts w:hint="eastAsia" w:ascii="宋体" w:hAnsi="宋体" w:cs="Times New Roman"/>
          <w:kern w:val="0"/>
          <w:sz w:val="24"/>
          <w:szCs w:val="24"/>
          <w:lang w:val="en-US" w:eastAsia="zh-CN"/>
        </w:rPr>
        <w:t>9</w:t>
      </w:r>
      <w:r>
        <w:rPr>
          <w:rFonts w:hint="eastAsia" w:ascii="宋体" w:hAnsi="宋体" w:eastAsia="宋体" w:cs="Times New Roman"/>
          <w:kern w:val="0"/>
          <w:sz w:val="24"/>
          <w:szCs w:val="24"/>
        </w:rPr>
        <w:fldChar w:fldCharType="end"/>
      </w:r>
    </w:p>
    <w:p>
      <w:pPr>
        <w:widowControl/>
        <w:tabs>
          <w:tab w:val="right" w:leader="dot" w:pos="9354"/>
        </w:tabs>
        <w:spacing w:line="400" w:lineRule="exact"/>
        <w:jc w:val="left"/>
        <w:rPr>
          <w:rFonts w:hint="default" w:ascii="宋体" w:hAnsi="宋体" w:eastAsia="宋体" w:cs="Times New Roman"/>
          <w:kern w:val="0"/>
          <w:sz w:val="24"/>
          <w:szCs w:val="24"/>
          <w:lang w:val="en-US" w:eastAsia="zh-CN"/>
        </w:rPr>
      </w:pPr>
      <w:r>
        <w:fldChar w:fldCharType="begin"/>
      </w:r>
      <w:r>
        <w:instrText xml:space="preserve"> HYPERLINK \l "_Toc6085_WPSOffice_Level1" </w:instrText>
      </w:r>
      <w:r>
        <w:fldChar w:fldCharType="separate"/>
      </w:r>
      <w:r>
        <w:rPr>
          <w:rFonts w:hint="eastAsia" w:ascii="宋体" w:hAnsi="宋体" w:eastAsia="宋体" w:cs="Times New Roman"/>
          <w:b/>
          <w:bCs/>
          <w:kern w:val="0"/>
          <w:sz w:val="24"/>
          <w:szCs w:val="24"/>
        </w:rPr>
        <w:t>第四部分  商务部分</w:t>
      </w:r>
      <w:r>
        <w:rPr>
          <w:rFonts w:ascii="宋体" w:hAnsi="宋体" w:eastAsia="宋体" w:cs="Times New Roman"/>
          <w:b/>
          <w:bCs/>
          <w:kern w:val="0"/>
          <w:sz w:val="24"/>
          <w:szCs w:val="24"/>
        </w:rPr>
        <w:tab/>
      </w:r>
      <w:r>
        <w:rPr>
          <w:rFonts w:ascii="宋体" w:hAnsi="宋体" w:eastAsia="宋体" w:cs="Times New Roman"/>
          <w:b/>
          <w:bCs/>
          <w:kern w:val="0"/>
          <w:sz w:val="24"/>
          <w:szCs w:val="24"/>
        </w:rPr>
        <w:fldChar w:fldCharType="end"/>
      </w:r>
      <w:r>
        <w:rPr>
          <w:rFonts w:hint="eastAsia" w:ascii="宋体" w:hAnsi="宋体" w:cs="Times New Roman"/>
          <w:b/>
          <w:bCs/>
          <w:kern w:val="0"/>
          <w:sz w:val="24"/>
          <w:szCs w:val="24"/>
          <w:lang w:val="en-US" w:eastAsia="zh-CN"/>
        </w:rPr>
        <w:t>10</w:t>
      </w:r>
    </w:p>
    <w:p>
      <w:pPr>
        <w:widowControl/>
        <w:tabs>
          <w:tab w:val="right" w:leader="dot" w:pos="9354"/>
        </w:tabs>
        <w:spacing w:line="400" w:lineRule="exact"/>
        <w:ind w:left="420" w:leftChars="200"/>
        <w:jc w:val="left"/>
        <w:rPr>
          <w:rFonts w:hint="eastAsia" w:ascii="宋体" w:hAnsi="宋体" w:cs="Times New Roman"/>
          <w:kern w:val="0"/>
          <w:sz w:val="24"/>
          <w:szCs w:val="24"/>
          <w:lang w:val="en-US" w:eastAsia="zh-CN"/>
        </w:rPr>
      </w:pPr>
      <w:r>
        <w:fldChar w:fldCharType="begin"/>
      </w:r>
      <w:r>
        <w:instrText xml:space="preserve"> HYPERLINK \l "_Toc9257_WPSOffice_Level2" </w:instrText>
      </w:r>
      <w:r>
        <w:fldChar w:fldCharType="separate"/>
      </w:r>
      <w:r>
        <w:rPr>
          <w:rFonts w:hint="eastAsia" w:ascii="宋体" w:hAnsi="宋体" w:eastAsia="宋体" w:cs="Times New Roman"/>
          <w:kern w:val="0"/>
          <w:sz w:val="24"/>
          <w:szCs w:val="24"/>
        </w:rPr>
        <w:t>第一章 付款方式及程序</w:t>
      </w:r>
      <w:r>
        <w:rPr>
          <w:rFonts w:ascii="宋体" w:hAnsi="宋体" w:eastAsia="宋体" w:cs="Times New Roman"/>
          <w:kern w:val="0"/>
          <w:sz w:val="24"/>
          <w:szCs w:val="24"/>
        </w:rPr>
        <w:tab/>
      </w:r>
      <w:r>
        <w:rPr>
          <w:rFonts w:ascii="宋体" w:hAnsi="宋体" w:eastAsia="宋体" w:cs="Times New Roman"/>
          <w:kern w:val="0"/>
          <w:sz w:val="24"/>
          <w:szCs w:val="24"/>
        </w:rPr>
        <w:fldChar w:fldCharType="end"/>
      </w:r>
      <w:r>
        <w:rPr>
          <w:rFonts w:hint="eastAsia" w:ascii="宋体" w:hAnsi="宋体" w:cs="Times New Roman"/>
          <w:kern w:val="0"/>
          <w:sz w:val="24"/>
          <w:szCs w:val="24"/>
          <w:lang w:val="en-US" w:eastAsia="zh-CN"/>
        </w:rPr>
        <w:t>10</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"_Toc9257_WPSOffice_Level2" </w:instrText>
      </w:r>
      <w:r>
        <w:fldChar w:fldCharType="separate"/>
      </w:r>
      <w:r>
        <w:rPr>
          <w:rFonts w:hint="eastAsia" w:ascii="宋体" w:hAnsi="宋体" w:eastAsia="宋体" w:cs="Times New Roman"/>
          <w:kern w:val="0"/>
          <w:sz w:val="24"/>
          <w:szCs w:val="24"/>
        </w:rPr>
        <w:t>第二章 售后服务要求</w:t>
      </w:r>
      <w:r>
        <w:rPr>
          <w:rFonts w:ascii="宋体" w:hAnsi="宋体" w:eastAsia="宋体" w:cs="Times New Roman"/>
          <w:kern w:val="0"/>
          <w:sz w:val="24"/>
          <w:szCs w:val="24"/>
        </w:rPr>
        <w:tab/>
      </w:r>
      <w:r>
        <w:rPr>
          <w:rFonts w:ascii="宋体" w:hAnsi="宋体" w:eastAsia="宋体" w:cs="Times New Roman"/>
          <w:kern w:val="0"/>
          <w:sz w:val="24"/>
          <w:szCs w:val="24"/>
        </w:rPr>
        <w:fldChar w:fldCharType="end"/>
      </w:r>
      <w:r>
        <w:rPr>
          <w:rFonts w:hint="eastAsia" w:ascii="宋体" w:hAnsi="宋体" w:cs="Times New Roman"/>
          <w:kern w:val="0"/>
          <w:sz w:val="24"/>
          <w:szCs w:val="24"/>
          <w:lang w:val="en-US" w:eastAsia="zh-CN"/>
        </w:rPr>
        <w:t>10</w:t>
      </w:r>
    </w:p>
    <w:p>
      <w:pPr>
        <w:widowControl/>
        <w:tabs>
          <w:tab w:val="right" w:leader="dot" w:pos="9354"/>
        </w:tabs>
        <w:spacing w:line="400" w:lineRule="exact"/>
        <w:jc w:val="left"/>
        <w:rPr>
          <w:rFonts w:hint="default" w:ascii="宋体" w:hAnsi="宋体" w:eastAsia="宋体" w:cs="Times New Roman"/>
          <w:kern w:val="0"/>
          <w:sz w:val="24"/>
          <w:szCs w:val="24"/>
          <w:lang w:val="en-US" w:eastAsia="zh-CN"/>
        </w:rPr>
      </w:pPr>
      <w:r>
        <w:fldChar w:fldCharType="begin"/>
      </w:r>
      <w:r>
        <w:instrText xml:space="preserve"> HYPERLINK \l "_Toc6085_WPSOffice_Level1" </w:instrText>
      </w:r>
      <w:r>
        <w:fldChar w:fldCharType="separate"/>
      </w:r>
      <w:r>
        <w:rPr>
          <w:rFonts w:hint="eastAsia" w:ascii="宋体" w:hAnsi="宋体" w:eastAsia="宋体" w:cs="Times New Roman"/>
          <w:b/>
          <w:bCs/>
          <w:kern w:val="0"/>
          <w:sz w:val="24"/>
          <w:szCs w:val="24"/>
        </w:rPr>
        <w:t>第五部分  招标组织程序</w:t>
      </w:r>
      <w:r>
        <w:rPr>
          <w:rFonts w:ascii="宋体" w:hAnsi="宋体" w:eastAsia="宋体" w:cs="Times New Roman"/>
          <w:b/>
          <w:bCs/>
          <w:kern w:val="0"/>
          <w:sz w:val="24"/>
          <w:szCs w:val="24"/>
        </w:rPr>
        <w:tab/>
      </w:r>
      <w:r>
        <w:rPr>
          <w:rFonts w:ascii="宋体" w:hAnsi="宋体" w:eastAsia="宋体" w:cs="Times New Roman"/>
          <w:b/>
          <w:bCs/>
          <w:kern w:val="0"/>
          <w:sz w:val="24"/>
          <w:szCs w:val="24"/>
        </w:rPr>
        <w:fldChar w:fldCharType="end"/>
      </w:r>
      <w:r>
        <w:rPr>
          <w:rFonts w:hint="eastAsia" w:ascii="宋体" w:hAnsi="宋体" w:cs="Times New Roman"/>
          <w:b/>
          <w:bCs/>
          <w:kern w:val="0"/>
          <w:sz w:val="24"/>
          <w:szCs w:val="24"/>
          <w:lang w:val="en-US" w:eastAsia="zh-CN"/>
        </w:rPr>
        <w:t>11</w:t>
      </w:r>
    </w:p>
    <w:p>
      <w:pPr>
        <w:widowControl/>
        <w:tabs>
          <w:tab w:val="right" w:leader="dot" w:pos="9354"/>
        </w:tabs>
        <w:spacing w:line="400" w:lineRule="exact"/>
        <w:ind w:left="420" w:leftChars="200"/>
        <w:jc w:val="left"/>
        <w:rPr>
          <w:rFonts w:hint="eastAsia" w:ascii="宋体" w:hAnsi="宋体" w:cs="Times New Roman"/>
          <w:kern w:val="0"/>
          <w:sz w:val="24"/>
          <w:szCs w:val="24"/>
          <w:lang w:val="en-US" w:eastAsia="zh-CN"/>
        </w:rPr>
      </w:pPr>
      <w:r>
        <w:fldChar w:fldCharType="begin"/>
      </w:r>
      <w:r>
        <w:instrText xml:space="preserve"> HYPERLINK \l "_Toc12824_WPSOffice_Level2" </w:instrText>
      </w:r>
      <w:r>
        <w:fldChar w:fldCharType="separate"/>
      </w:r>
      <w:r>
        <w:rPr>
          <w:rFonts w:hint="eastAsia" w:ascii="宋体" w:hAnsi="宋体" w:eastAsia="宋体" w:cs="Times New Roman"/>
          <w:kern w:val="0"/>
          <w:sz w:val="24"/>
          <w:szCs w:val="24"/>
        </w:rPr>
        <w:t>第一章 评标委员会</w:t>
      </w:r>
      <w:r>
        <w:rPr>
          <w:rFonts w:ascii="宋体" w:hAnsi="宋体" w:eastAsia="宋体" w:cs="Times New Roman"/>
          <w:kern w:val="0"/>
          <w:sz w:val="24"/>
          <w:szCs w:val="24"/>
        </w:rPr>
        <w:tab/>
      </w:r>
      <w:r>
        <w:rPr>
          <w:rFonts w:ascii="宋体" w:hAnsi="宋体" w:eastAsia="宋体" w:cs="Times New Roman"/>
          <w:kern w:val="0"/>
          <w:sz w:val="24"/>
          <w:szCs w:val="24"/>
        </w:rPr>
        <w:fldChar w:fldCharType="end"/>
      </w:r>
      <w:r>
        <w:rPr>
          <w:rFonts w:hint="eastAsia" w:ascii="宋体" w:hAnsi="宋体" w:eastAsia="宋体" w:cs="Times New Roman"/>
          <w:kern w:val="0"/>
          <w:sz w:val="24"/>
          <w:szCs w:val="24"/>
          <w:lang w:val="en-US" w:eastAsia="zh-CN"/>
        </w:rPr>
        <w:t>1</w:t>
      </w:r>
      <w:r>
        <w:rPr>
          <w:rFonts w:hint="eastAsia" w:ascii="宋体" w:hAnsi="宋体" w:cs="Times New Roman"/>
          <w:kern w:val="0"/>
          <w:sz w:val="24"/>
          <w:szCs w:val="24"/>
          <w:lang w:val="en-US" w:eastAsia="zh-CN"/>
        </w:rPr>
        <w:t>1</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val="en-US" w:eastAsia="zh-CN"/>
        </w:rPr>
      </w:pPr>
      <w:r>
        <w:fldChar w:fldCharType="begin"/>
      </w:r>
      <w:r>
        <w:instrText xml:space="preserve"> HYPERLINK \l "_Toc21414_WPSOffice_Level2" </w:instrText>
      </w:r>
      <w:r>
        <w:fldChar w:fldCharType="separate"/>
      </w:r>
      <w:r>
        <w:rPr>
          <w:rFonts w:hint="eastAsia" w:ascii="宋体" w:hAnsi="宋体" w:eastAsia="宋体" w:cs="Times New Roman"/>
          <w:kern w:val="0"/>
          <w:sz w:val="24"/>
          <w:szCs w:val="24"/>
        </w:rPr>
        <w:t>第二章 开标 评标和中标</w:t>
      </w:r>
      <w:r>
        <w:rPr>
          <w:rFonts w:ascii="宋体" w:hAnsi="宋体" w:eastAsia="宋体" w:cs="Times New Roman"/>
          <w:kern w:val="0"/>
          <w:sz w:val="24"/>
          <w:szCs w:val="24"/>
        </w:rPr>
        <w:tab/>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fldChar w:fldCharType="end"/>
      </w:r>
      <w:r>
        <w:rPr>
          <w:rFonts w:hint="eastAsia" w:ascii="宋体" w:hAnsi="宋体" w:cs="Times New Roman"/>
          <w:kern w:val="0"/>
          <w:sz w:val="24"/>
          <w:szCs w:val="24"/>
          <w:lang w:val="en-US" w:eastAsia="zh-CN"/>
        </w:rPr>
        <w:t>1</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"_Toc11030_WPSOffice_Level2" </w:instrText>
      </w:r>
      <w:r>
        <w:fldChar w:fldCharType="separate"/>
      </w:r>
      <w:r>
        <w:rPr>
          <w:rFonts w:hint="eastAsia" w:ascii="宋体" w:hAnsi="宋体" w:eastAsia="宋体" w:cs="Times New Roman"/>
          <w:kern w:val="0"/>
          <w:sz w:val="24"/>
          <w:szCs w:val="24"/>
        </w:rPr>
        <w:t>第三章 无效投标及废标</w:t>
      </w:r>
      <w:r>
        <w:rPr>
          <w:rFonts w:ascii="宋体" w:hAnsi="宋体" w:eastAsia="宋体" w:cs="Times New Roman"/>
          <w:kern w:val="0"/>
          <w:sz w:val="24"/>
          <w:szCs w:val="24"/>
        </w:rPr>
        <w:tab/>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fldChar w:fldCharType="end"/>
      </w:r>
      <w:r>
        <w:rPr>
          <w:rFonts w:hint="eastAsia" w:ascii="宋体" w:hAnsi="宋体" w:cs="Times New Roman"/>
          <w:kern w:val="0"/>
          <w:sz w:val="24"/>
          <w:szCs w:val="24"/>
          <w:lang w:val="en-US" w:eastAsia="zh-CN"/>
        </w:rPr>
        <w:t>5</w:t>
      </w:r>
    </w:p>
    <w:p>
      <w:pPr>
        <w:widowControl/>
        <w:tabs>
          <w:tab w:val="right" w:leader="dot" w:pos="9354"/>
        </w:tabs>
        <w:spacing w:line="400" w:lineRule="exact"/>
        <w:jc w:val="left"/>
        <w:rPr>
          <w:rFonts w:hint="eastAsia" w:ascii="宋体" w:hAnsi="宋体" w:eastAsia="宋体" w:cs="Times New Roman"/>
          <w:kern w:val="0"/>
          <w:sz w:val="24"/>
          <w:szCs w:val="24"/>
          <w:lang w:val="en-US" w:eastAsia="zh-CN"/>
        </w:rPr>
      </w:pPr>
      <w:r>
        <w:fldChar w:fldCharType="begin"/>
      </w:r>
      <w:r>
        <w:instrText xml:space="preserve"> HYPERLINK \l "_Toc1900_WPSOffice_Level1" </w:instrText>
      </w:r>
      <w:r>
        <w:fldChar w:fldCharType="separate"/>
      </w:r>
      <w:r>
        <w:rPr>
          <w:rFonts w:hint="eastAsia" w:ascii="宋体" w:hAnsi="宋体" w:eastAsia="宋体" w:cs="Times New Roman"/>
          <w:b/>
          <w:bCs/>
          <w:kern w:val="0"/>
          <w:sz w:val="24"/>
          <w:szCs w:val="24"/>
        </w:rPr>
        <w:t>第六部分  招标结束后注意事项</w:t>
      </w:r>
      <w:r>
        <w:rPr>
          <w:rFonts w:ascii="宋体" w:hAnsi="宋体" w:eastAsia="宋体" w:cs="Times New Roman"/>
          <w:b/>
          <w:bCs/>
          <w:kern w:val="0"/>
          <w:sz w:val="24"/>
          <w:szCs w:val="24"/>
        </w:rPr>
        <w:tab/>
      </w:r>
      <w:r>
        <w:rPr>
          <w:rFonts w:hint="eastAsia" w:ascii="宋体" w:hAnsi="宋体" w:eastAsia="宋体" w:cs="Times New Roman"/>
          <w:b/>
          <w:bCs/>
          <w:kern w:val="0"/>
          <w:sz w:val="24"/>
          <w:szCs w:val="24"/>
          <w:lang w:val="en-US" w:eastAsia="zh-CN"/>
        </w:rPr>
        <w:t>1</w:t>
      </w:r>
      <w:r>
        <w:rPr>
          <w:rFonts w:hint="eastAsia" w:ascii="宋体" w:hAnsi="宋体" w:eastAsia="宋体" w:cs="Times New Roman"/>
          <w:b/>
          <w:bCs/>
          <w:kern w:val="0"/>
          <w:sz w:val="24"/>
          <w:szCs w:val="24"/>
        </w:rPr>
        <w:fldChar w:fldCharType="end"/>
      </w:r>
      <w:r>
        <w:rPr>
          <w:rFonts w:hint="eastAsia" w:ascii="宋体" w:hAnsi="宋体" w:cs="Times New Roman"/>
          <w:b/>
          <w:bCs/>
          <w:kern w:val="0"/>
          <w:sz w:val="24"/>
          <w:szCs w:val="24"/>
          <w:lang w:val="en-US" w:eastAsia="zh-CN"/>
        </w:rPr>
        <w:t>5</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val="en-US" w:eastAsia="zh-CN"/>
        </w:rPr>
      </w:pPr>
      <w:r>
        <w:fldChar w:fldCharType="begin"/>
      </w:r>
      <w:r>
        <w:instrText xml:space="preserve"> HYPERLINK \l "_Toc17833_WPSOffice_Level2" </w:instrText>
      </w:r>
      <w:r>
        <w:fldChar w:fldCharType="separate"/>
      </w:r>
      <w:r>
        <w:rPr>
          <w:rFonts w:hint="eastAsia" w:ascii="宋体" w:hAnsi="宋体" w:eastAsia="宋体" w:cs="Times New Roman"/>
          <w:kern w:val="0"/>
          <w:sz w:val="24"/>
          <w:szCs w:val="24"/>
        </w:rPr>
        <w:t>第一章 质疑处理</w:t>
      </w:r>
      <w:r>
        <w:rPr>
          <w:rFonts w:ascii="宋体" w:hAnsi="宋体" w:eastAsia="宋体" w:cs="Times New Roman"/>
          <w:kern w:val="0"/>
          <w:sz w:val="24"/>
          <w:szCs w:val="24"/>
        </w:rPr>
        <w:tab/>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fldChar w:fldCharType="end"/>
      </w:r>
      <w:r>
        <w:rPr>
          <w:rFonts w:hint="eastAsia" w:ascii="宋体" w:hAnsi="宋体" w:cs="Times New Roman"/>
          <w:kern w:val="0"/>
          <w:sz w:val="24"/>
          <w:szCs w:val="24"/>
          <w:lang w:val="en-US" w:eastAsia="zh-CN"/>
        </w:rPr>
        <w:t>5</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val="en-US" w:eastAsia="zh-CN"/>
        </w:rPr>
      </w:pPr>
      <w:r>
        <w:fldChar w:fldCharType="begin"/>
      </w:r>
      <w:r>
        <w:instrText xml:space="preserve"> HYPERLINK \l "_Toc24481_WPSOffice_Level2" </w:instrText>
      </w:r>
      <w:r>
        <w:fldChar w:fldCharType="separate"/>
      </w:r>
      <w:r>
        <w:rPr>
          <w:rFonts w:hint="eastAsia" w:ascii="宋体" w:hAnsi="宋体" w:eastAsia="宋体" w:cs="Times New Roman"/>
          <w:kern w:val="0"/>
          <w:sz w:val="24"/>
          <w:szCs w:val="24"/>
        </w:rPr>
        <w:t>第二章 签订合同</w:t>
      </w:r>
      <w:r>
        <w:rPr>
          <w:rFonts w:ascii="宋体" w:hAnsi="宋体" w:eastAsia="宋体" w:cs="Times New Roman"/>
          <w:kern w:val="0"/>
          <w:sz w:val="24"/>
          <w:szCs w:val="24"/>
        </w:rPr>
        <w:tab/>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fldChar w:fldCharType="end"/>
      </w:r>
      <w:r>
        <w:rPr>
          <w:rFonts w:hint="eastAsia" w:ascii="宋体" w:hAnsi="宋体" w:cs="Times New Roman"/>
          <w:kern w:val="0"/>
          <w:sz w:val="24"/>
          <w:szCs w:val="24"/>
          <w:lang w:val="en-US" w:eastAsia="zh-CN"/>
        </w:rPr>
        <w:t>5</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val="en-US" w:eastAsia="zh-CN"/>
        </w:rPr>
      </w:pPr>
      <w:r>
        <w:fldChar w:fldCharType="begin"/>
      </w:r>
      <w:r>
        <w:instrText xml:space="preserve"> HYPERLINK \l "_Toc26721_WPSOffice_Level2" </w:instrText>
      </w:r>
      <w:r>
        <w:fldChar w:fldCharType="separate"/>
      </w:r>
      <w:r>
        <w:rPr>
          <w:rFonts w:hint="eastAsia" w:ascii="宋体" w:hAnsi="宋体" w:eastAsia="宋体" w:cs="Times New Roman"/>
          <w:kern w:val="0"/>
          <w:sz w:val="24"/>
          <w:szCs w:val="24"/>
        </w:rPr>
        <w:t>第三章 项目验收</w:t>
      </w:r>
      <w:r>
        <w:rPr>
          <w:rFonts w:ascii="宋体" w:hAnsi="宋体" w:eastAsia="宋体" w:cs="Times New Roman"/>
          <w:kern w:val="0"/>
          <w:sz w:val="24"/>
          <w:szCs w:val="24"/>
        </w:rPr>
        <w:tab/>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fldChar w:fldCharType="end"/>
      </w:r>
      <w:r>
        <w:rPr>
          <w:rFonts w:hint="eastAsia" w:ascii="宋体" w:hAnsi="宋体" w:cs="Times New Roman"/>
          <w:kern w:val="0"/>
          <w:sz w:val="24"/>
          <w:szCs w:val="24"/>
          <w:lang w:val="en-US" w:eastAsia="zh-CN"/>
        </w:rPr>
        <w:t>5</w:t>
      </w:r>
    </w:p>
    <w:p>
      <w:pPr>
        <w:widowControl/>
        <w:tabs>
          <w:tab w:val="right" w:leader="dot" w:pos="9354"/>
        </w:tabs>
        <w:spacing w:line="400" w:lineRule="exact"/>
        <w:jc w:val="left"/>
        <w:rPr>
          <w:rFonts w:hint="eastAsia" w:ascii="宋体" w:hAnsi="宋体" w:eastAsia="宋体" w:cs="Times New Roman"/>
          <w:kern w:val="0"/>
          <w:sz w:val="24"/>
          <w:szCs w:val="24"/>
          <w:lang w:val="en-US" w:eastAsia="zh-CN"/>
        </w:rPr>
      </w:pPr>
      <w:r>
        <w:fldChar w:fldCharType="begin"/>
      </w:r>
      <w:r>
        <w:instrText xml:space="preserve"> HYPERLINK \l "_Toc3096_WPSOffice_Level1" </w:instrText>
      </w:r>
      <w:r>
        <w:fldChar w:fldCharType="separate"/>
      </w:r>
      <w:r>
        <w:rPr>
          <w:rFonts w:hint="eastAsia" w:ascii="宋体" w:hAnsi="宋体" w:eastAsia="宋体" w:cs="Times New Roman"/>
          <w:b/>
          <w:bCs/>
          <w:kern w:val="0"/>
          <w:sz w:val="24"/>
          <w:szCs w:val="24"/>
        </w:rPr>
        <w:t>第七部分 投标文件格式范本</w:t>
      </w:r>
      <w:r>
        <w:rPr>
          <w:rFonts w:ascii="宋体" w:hAnsi="宋体" w:eastAsia="宋体" w:cs="Times New Roman"/>
          <w:b/>
          <w:bCs/>
          <w:kern w:val="0"/>
          <w:sz w:val="24"/>
          <w:szCs w:val="24"/>
        </w:rPr>
        <w:tab/>
      </w:r>
      <w:r>
        <w:rPr>
          <w:rFonts w:hint="eastAsia" w:ascii="宋体" w:hAnsi="宋体" w:cs="Times New Roman"/>
          <w:b/>
          <w:bCs/>
          <w:kern w:val="0"/>
          <w:sz w:val="24"/>
          <w:szCs w:val="24"/>
          <w:lang w:val="en-US" w:eastAsia="zh-CN"/>
        </w:rPr>
        <w:t>1</w:t>
      </w:r>
      <w:r>
        <w:rPr>
          <w:rFonts w:hint="eastAsia" w:ascii="宋体" w:hAnsi="宋体" w:eastAsia="宋体" w:cs="Times New Roman"/>
          <w:b/>
          <w:bCs/>
          <w:kern w:val="0"/>
          <w:sz w:val="24"/>
          <w:szCs w:val="24"/>
        </w:rPr>
        <w:fldChar w:fldCharType="end"/>
      </w:r>
      <w:r>
        <w:rPr>
          <w:rFonts w:hint="eastAsia" w:ascii="宋体" w:hAnsi="宋体" w:cs="Times New Roman"/>
          <w:b/>
          <w:bCs/>
          <w:kern w:val="0"/>
          <w:sz w:val="24"/>
          <w:szCs w:val="24"/>
          <w:lang w:val="en-US" w:eastAsia="zh-CN"/>
        </w:rPr>
        <w:t>7</w:t>
      </w:r>
    </w:p>
    <w:p>
      <w:pPr>
        <w:rPr>
          <w:rFonts w:ascii="宋体" w:hAnsi="宋体" w:eastAsia="宋体" w:cs="宋体"/>
          <w:szCs w:val="24"/>
        </w:rPr>
      </w:pPr>
      <w:r>
        <w:rPr>
          <w:rFonts w:hint="eastAsia" w:ascii="宋体" w:hAnsi="宋体" w:eastAsia="宋体" w:cs="宋体"/>
          <w:szCs w:val="24"/>
        </w:rPr>
        <w:fldChar w:fldCharType="end"/>
      </w:r>
    </w:p>
    <w:p>
      <w:pPr>
        <w:rPr>
          <w:rFonts w:ascii="Times New Roman" w:hAnsi="Times New Roman" w:eastAsia="宋体" w:cs="Times New Roman"/>
          <w:szCs w:val="24"/>
        </w:rPr>
      </w:pPr>
    </w:p>
    <w:p>
      <w:pPr>
        <w:pStyle w:val="26"/>
      </w:pPr>
    </w:p>
    <w:p>
      <w:pPr>
        <w:rPr>
          <w:rFonts w:ascii="Times New Roman" w:hAnsi="Times New Roman" w:eastAsia="宋体" w:cs="Times New Roman"/>
          <w:szCs w:val="24"/>
          <w:shd w:val="clear" w:color="FFFFFF" w:fill="D9D9D9"/>
        </w:rPr>
      </w:pPr>
    </w:p>
    <w:bookmarkEnd w:id="0"/>
    <w:bookmarkEnd w:id="1"/>
    <w:bookmarkEnd w:id="2"/>
    <w:bookmarkEnd w:id="3"/>
    <w:p>
      <w:pPr>
        <w:spacing w:line="360" w:lineRule="exact"/>
        <w:jc w:val="center"/>
        <w:outlineLvl w:val="0"/>
        <w:rPr>
          <w:rFonts w:ascii="宋体" w:hAnsi="宋体" w:eastAsia="宋体" w:cs="Times New Roman"/>
          <w:b/>
          <w:sz w:val="32"/>
          <w:szCs w:val="32"/>
          <w:shd w:val="clear" w:color="FFFFFF" w:fill="D9D9D9"/>
        </w:rPr>
      </w:pPr>
      <w:bookmarkStart w:id="4" w:name="_Toc21251_WPSOffice_Level1"/>
    </w:p>
    <w:p>
      <w:pPr>
        <w:spacing w:line="360" w:lineRule="exact"/>
        <w:jc w:val="center"/>
        <w:outlineLvl w:val="0"/>
        <w:rPr>
          <w:rFonts w:ascii="宋体" w:hAnsi="宋体" w:eastAsia="宋体" w:cs="Times New Roman"/>
          <w:b/>
          <w:sz w:val="32"/>
          <w:szCs w:val="32"/>
          <w:shd w:val="clear" w:color="FFFFFF" w:fill="D9D9D9"/>
        </w:rPr>
      </w:pPr>
    </w:p>
    <w:p>
      <w:pPr>
        <w:spacing w:line="360" w:lineRule="exact"/>
        <w:outlineLvl w:val="0"/>
        <w:rPr>
          <w:rFonts w:ascii="宋体" w:hAnsi="宋体" w:eastAsia="宋体" w:cs="Times New Roman"/>
          <w:b/>
          <w:sz w:val="32"/>
          <w:szCs w:val="32"/>
          <w:shd w:val="clear" w:color="FFFFFF" w:fill="D9D9D9"/>
        </w:rPr>
      </w:pPr>
    </w:p>
    <w:p>
      <w:pPr>
        <w:spacing w:line="360" w:lineRule="exact"/>
        <w:outlineLvl w:val="0"/>
        <w:rPr>
          <w:rFonts w:ascii="宋体" w:hAnsi="宋体" w:eastAsia="宋体" w:cs="Times New Roman"/>
          <w:b/>
          <w:sz w:val="32"/>
          <w:szCs w:val="32"/>
          <w:shd w:val="clear" w:color="FFFFFF" w:fill="D9D9D9"/>
        </w:rPr>
      </w:pPr>
    </w:p>
    <w:p>
      <w:pPr>
        <w:spacing w:line="360" w:lineRule="exact"/>
        <w:outlineLvl w:val="0"/>
        <w:rPr>
          <w:rFonts w:ascii="宋体" w:hAnsi="宋体" w:eastAsia="宋体" w:cs="Times New Roman"/>
          <w:b/>
          <w:sz w:val="32"/>
          <w:szCs w:val="32"/>
          <w:shd w:val="clear" w:color="FFFFFF" w:fill="D9D9D9"/>
        </w:rPr>
        <w:sectPr>
          <w:footerReference r:id="rId4" w:type="first"/>
          <w:footerReference r:id="rId3" w:type="default"/>
          <w:pgSz w:w="11906" w:h="16838"/>
          <w:pgMar w:top="851" w:right="851" w:bottom="851" w:left="851" w:header="851" w:footer="992" w:gutter="0"/>
          <w:pgNumType w:fmt="numberInDash" w:start="0"/>
          <w:cols w:space="720" w:num="1"/>
          <w:docGrid w:type="lines" w:linePitch="312" w:charSpace="0"/>
        </w:sectPr>
      </w:pPr>
    </w:p>
    <w:p>
      <w:pPr>
        <w:spacing w:line="360" w:lineRule="exact"/>
        <w:jc w:val="center"/>
        <w:outlineLvl w:val="0"/>
        <w:rPr>
          <w:rFonts w:ascii="宋体" w:hAnsi="宋体" w:eastAsia="宋体" w:cs="Times New Roman"/>
          <w:b/>
          <w:sz w:val="32"/>
          <w:szCs w:val="32"/>
        </w:rPr>
      </w:pPr>
      <w:bookmarkStart w:id="5" w:name="_Toc9486"/>
      <w:r>
        <w:rPr>
          <w:rFonts w:hint="eastAsia" w:ascii="宋体" w:hAnsi="宋体" w:eastAsia="宋体" w:cs="Times New Roman"/>
          <w:b/>
          <w:sz w:val="32"/>
          <w:szCs w:val="32"/>
        </w:rPr>
        <w:t>第一部分</w:t>
      </w: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rPr>
        <w:t>投标邀请</w:t>
      </w:r>
      <w:bookmarkEnd w:id="4"/>
      <w:bookmarkEnd w:id="5"/>
    </w:p>
    <w:p>
      <w:pPr>
        <w:spacing w:line="360" w:lineRule="exact"/>
        <w:jc w:val="center"/>
        <w:outlineLvl w:val="0"/>
        <w:rPr>
          <w:rFonts w:ascii="宋体" w:hAnsi="宋体" w:eastAsia="宋体" w:cs="Times New Roman"/>
          <w:b/>
          <w:szCs w:val="21"/>
        </w:rPr>
      </w:pPr>
      <w:bookmarkStart w:id="6" w:name="_Toc10559"/>
      <w:r>
        <w:rPr>
          <w:rFonts w:hint="eastAsia" w:ascii="宋体" w:hAnsi="宋体" w:eastAsia="宋体" w:cs="宋体"/>
          <w:b/>
          <w:bCs/>
          <w:szCs w:val="21"/>
        </w:rPr>
        <w:t>新疆鼎标招投标代理有限公司拟对以下项目进行</w:t>
      </w:r>
      <w:r>
        <w:rPr>
          <w:rFonts w:hint="eastAsia" w:ascii="宋体" w:hAnsi="宋体" w:cs="宋体"/>
          <w:b/>
          <w:bCs/>
          <w:szCs w:val="21"/>
          <w:lang w:val="en-US" w:eastAsia="zh-CN"/>
        </w:rPr>
        <w:t>政府</w:t>
      </w:r>
      <w:r>
        <w:rPr>
          <w:rFonts w:hint="eastAsia" w:ascii="宋体" w:hAnsi="宋体" w:eastAsia="宋体" w:cs="宋体"/>
          <w:b/>
          <w:bCs/>
          <w:szCs w:val="21"/>
        </w:rPr>
        <w:t>采购，欢迎符合条件的供应商前来投标</w:t>
      </w:r>
      <w:r>
        <w:rPr>
          <w:rFonts w:hint="eastAsia" w:ascii="方正仿宋_GBK" w:hAnsi="宋体" w:eastAsia="方正仿宋_GBK" w:cs="Times New Roman"/>
          <w:b/>
          <w:szCs w:val="21"/>
        </w:rPr>
        <w:t>。</w:t>
      </w:r>
      <w:bookmarkEnd w:id="6"/>
    </w:p>
    <w:tbl>
      <w:tblPr>
        <w:tblStyle w:val="20"/>
        <w:tblW w:w="10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
        <w:gridCol w:w="1827"/>
        <w:gridCol w:w="471"/>
        <w:gridCol w:w="650"/>
        <w:gridCol w:w="3856"/>
        <w:gridCol w:w="1387"/>
        <w:gridCol w:w="1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27" w:type="dxa"/>
            <w:vMerge w:val="restart"/>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招标项目</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pStyle w:val="28"/>
              <w:jc w:val="both"/>
              <w:rPr>
                <w:rFonts w:hint="default" w:ascii="仿宋" w:hAnsi="仿宋" w:eastAsia="仿宋" w:cs="仿宋"/>
                <w:color w:val="000000"/>
                <w:sz w:val="24"/>
                <w:szCs w:val="24"/>
                <w:lang w:val="en-US"/>
              </w:rPr>
            </w:pPr>
            <w:r>
              <w:rPr>
                <w:rFonts w:hint="eastAsia" w:ascii="仿宋" w:hAnsi="仿宋" w:eastAsia="仿宋" w:cs="仿宋"/>
                <w:color w:val="FF0000"/>
                <w:kern w:val="2"/>
                <w:sz w:val="24"/>
                <w:szCs w:val="24"/>
                <w:lang w:val="en-US" w:eastAsia="zh-CN" w:bidi="ar-SA"/>
              </w:rPr>
              <w:t>2020年伊犁哈萨克自治州友谊医院采购第五批医疗设备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编  号</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sz w:val="24"/>
                <w:szCs w:val="24"/>
              </w:rPr>
              <w:t xml:space="preserve">XJDB-2020GK- </w:t>
            </w:r>
            <w:r>
              <w:rPr>
                <w:rFonts w:hint="eastAsia" w:ascii="仿宋" w:hAnsi="仿宋" w:eastAsia="仿宋" w:cs="仿宋"/>
                <w:sz w:val="24"/>
                <w:szCs w:val="24"/>
                <w:lang w:val="en-US" w:eastAsia="zh-CN"/>
              </w:rPr>
              <w:t>130</w:t>
            </w:r>
            <w:r>
              <w:rPr>
                <w:rFonts w:hint="eastAsia" w:ascii="仿宋" w:hAnsi="仿宋" w:eastAsia="仿宋" w:cs="仿宋"/>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27"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b/>
                <w:sz w:val="24"/>
                <w:szCs w:val="24"/>
              </w:rPr>
            </w:pPr>
            <w:r>
              <w:rPr>
                <w:rFonts w:hint="eastAsia" w:ascii="仿宋" w:hAnsi="仿宋" w:eastAsia="仿宋" w:cs="仿宋"/>
                <w:b/>
                <w:sz w:val="24"/>
                <w:szCs w:val="24"/>
              </w:rPr>
              <w:t xml:space="preserve">采 购 人                                   </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szCs w:val="24"/>
              </w:rPr>
            </w:pPr>
            <w:r>
              <w:rPr>
                <w:rFonts w:hint="eastAsia" w:ascii="仿宋" w:hAnsi="仿宋" w:eastAsia="仿宋" w:cs="仿宋"/>
                <w:b/>
                <w:bCs/>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bCs/>
                <w:sz w:val="24"/>
                <w:szCs w:val="24"/>
                <w:lang w:eastAsia="zh-CN"/>
              </w:rPr>
            </w:pPr>
            <w:r>
              <w:rPr>
                <w:rFonts w:hint="eastAsia" w:ascii="仿宋" w:hAnsi="仿宋" w:eastAsia="仿宋" w:cs="仿宋"/>
                <w:color w:val="auto"/>
                <w:kern w:val="2"/>
                <w:sz w:val="24"/>
                <w:szCs w:val="24"/>
                <w:lang w:val="en-US" w:eastAsia="zh-CN" w:bidi="ar-SA"/>
              </w:rPr>
              <w:t>伊犁哈萨克自治州友谊医院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szCs w:val="24"/>
              </w:rPr>
            </w:pPr>
            <w:r>
              <w:rPr>
                <w:rFonts w:hint="eastAsia" w:ascii="仿宋" w:hAnsi="仿宋" w:eastAsia="仿宋" w:cs="仿宋"/>
                <w:b/>
                <w:sz w:val="24"/>
                <w:szCs w:val="24"/>
              </w:rPr>
              <w:t>联系人</w:t>
            </w:r>
          </w:p>
        </w:tc>
        <w:tc>
          <w:tcPr>
            <w:tcW w:w="38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李新芳</w:t>
            </w:r>
          </w:p>
        </w:tc>
        <w:tc>
          <w:tcPr>
            <w:tcW w:w="13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sz w:val="24"/>
                <w:szCs w:val="24"/>
              </w:rPr>
            </w:pPr>
            <w:r>
              <w:rPr>
                <w:rFonts w:hint="eastAsia" w:ascii="仿宋" w:hAnsi="仿宋" w:eastAsia="仿宋" w:cs="仿宋"/>
                <w:b/>
                <w:sz w:val="24"/>
                <w:szCs w:val="24"/>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15292776767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29"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27" w:type="dxa"/>
            <w:vMerge w:val="restart"/>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采购代理机构</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bCs/>
                <w:color w:val="000000"/>
                <w:sz w:val="24"/>
                <w:szCs w:val="24"/>
              </w:rPr>
              <w:t>新疆鼎标招投标代理有限公司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地  址</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rPr>
            </w:pPr>
            <w:r>
              <w:rPr>
                <w:rFonts w:hint="eastAsia" w:ascii="仿宋" w:hAnsi="仿宋" w:eastAsia="仿宋" w:cs="仿宋"/>
                <w:bCs/>
                <w:sz w:val="24"/>
                <w:szCs w:val="24"/>
              </w:rPr>
              <w:t>新疆</w:t>
            </w:r>
            <w:r>
              <w:rPr>
                <w:rFonts w:hint="eastAsia" w:ascii="仿宋" w:hAnsi="仿宋" w:eastAsia="仿宋" w:cs="仿宋"/>
                <w:sz w:val="24"/>
                <w:szCs w:val="24"/>
              </w:rPr>
              <w:t>伊宁市新华西路705号融合大厦B座</w:t>
            </w:r>
            <w:r>
              <w:rPr>
                <w:rFonts w:hint="eastAsia" w:ascii="仿宋" w:hAnsi="仿宋" w:eastAsia="仿宋" w:cs="仿宋"/>
                <w:sz w:val="24"/>
                <w:szCs w:val="24"/>
                <w:lang w:val="en-US" w:eastAsia="zh-CN"/>
              </w:rPr>
              <w:t>1633</w:t>
            </w:r>
            <w:r>
              <w:rPr>
                <w:rFonts w:hint="eastAsia" w:ascii="仿宋" w:hAnsi="仿宋" w:eastAsia="仿宋" w:cs="仿宋"/>
                <w:sz w:val="24"/>
                <w:szCs w:val="24"/>
              </w:rPr>
              <w:t>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4" w:hRule="atLeast"/>
        </w:trPr>
        <w:tc>
          <w:tcPr>
            <w:tcW w:w="529"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827" w:type="dxa"/>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sz w:val="24"/>
                <w:szCs w:val="24"/>
                <w:lang w:val="en-US" w:eastAsia="zh-CN"/>
              </w:rPr>
            </w:pPr>
            <w:r>
              <w:rPr>
                <w:rFonts w:hint="eastAsia" w:ascii="仿宋" w:hAnsi="仿宋" w:eastAsia="仿宋" w:cs="仿宋"/>
                <w:b/>
                <w:sz w:val="24"/>
                <w:szCs w:val="24"/>
              </w:rPr>
              <w:t>招标内容</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400" w:lineRule="exact"/>
              <w:rPr>
                <w:rFonts w:hint="default" w:ascii="仿宋" w:hAnsi="仿宋" w:eastAsia="宋体" w:cs="仿宋"/>
                <w:sz w:val="24"/>
                <w:szCs w:val="24"/>
                <w:lang w:val="en-US" w:eastAsia="zh-CN"/>
              </w:rPr>
            </w:pPr>
            <w:r>
              <w:rPr>
                <w:rFonts w:hint="eastAsia" w:ascii="仿宋" w:hAnsi="仿宋" w:eastAsia="仿宋" w:cs="仿宋"/>
                <w:sz w:val="24"/>
                <w:szCs w:val="24"/>
                <w:lang w:val="en-US" w:eastAsia="zh-CN"/>
              </w:rPr>
              <w:t>CRRT机1台（进口）、2.</w:t>
            </w:r>
            <w:r>
              <w:rPr>
                <w:rFonts w:hint="eastAsia" w:ascii="仿宋" w:hAnsi="仿宋" w:eastAsia="仿宋" w:cs="仿宋"/>
                <w:sz w:val="24"/>
                <w:szCs w:val="24"/>
                <w:lang w:eastAsia="zh-CN"/>
              </w:rPr>
              <w:t>腹膜透析机</w:t>
            </w:r>
            <w:r>
              <w:rPr>
                <w:rFonts w:hint="eastAsia" w:ascii="仿宋" w:hAnsi="仿宋" w:eastAsia="仿宋" w:cs="仿宋"/>
                <w:sz w:val="24"/>
                <w:szCs w:val="24"/>
                <w:lang w:val="en-US" w:eastAsia="zh-CN"/>
              </w:rPr>
              <w:t>2台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3.隔水恒温箱1台（国产）4.</w:t>
            </w:r>
            <w:r>
              <w:rPr>
                <w:rFonts w:hint="eastAsia" w:ascii="仿宋" w:hAnsi="仿宋" w:eastAsia="仿宋" w:cs="仿宋"/>
                <w:sz w:val="24"/>
                <w:szCs w:val="24"/>
              </w:rPr>
              <w:t>红外治疗仪</w:t>
            </w:r>
            <w:r>
              <w:rPr>
                <w:rFonts w:hint="eastAsia" w:ascii="仿宋" w:hAnsi="仿宋" w:eastAsia="仿宋" w:cs="仿宋"/>
                <w:sz w:val="24"/>
                <w:szCs w:val="24"/>
                <w:lang w:val="en-US" w:eastAsia="zh-CN"/>
              </w:rPr>
              <w:t>6台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国产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5.集中供液1套（进口）、6.</w:t>
            </w:r>
            <w:r>
              <w:rPr>
                <w:rFonts w:hint="eastAsia" w:ascii="仿宋" w:hAnsi="仿宋" w:eastAsia="仿宋" w:cs="仿宋"/>
                <w:sz w:val="24"/>
                <w:szCs w:val="24"/>
              </w:rPr>
              <w:t>空气消毒机</w:t>
            </w:r>
            <w:r>
              <w:rPr>
                <w:rFonts w:hint="eastAsia" w:ascii="仿宋" w:hAnsi="仿宋" w:eastAsia="仿宋" w:cs="仿宋"/>
                <w:sz w:val="24"/>
                <w:szCs w:val="24"/>
                <w:lang w:val="en-US" w:eastAsia="zh-CN"/>
              </w:rPr>
              <w:t>10台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国产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人体成分分析仪</w:t>
            </w:r>
            <w:r>
              <w:rPr>
                <w:rFonts w:hint="eastAsia" w:ascii="仿宋" w:hAnsi="仿宋" w:eastAsia="仿宋" w:cs="仿宋"/>
                <w:sz w:val="24"/>
                <w:szCs w:val="24"/>
                <w:lang w:val="en-US" w:eastAsia="zh-CN"/>
              </w:rPr>
              <w:t>1台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8.输液泵2台（国产）、9.水处理1套（进口）、10.</w:t>
            </w:r>
            <w:r>
              <w:rPr>
                <w:rFonts w:hint="eastAsia" w:ascii="仿宋" w:hAnsi="仿宋" w:eastAsia="仿宋" w:cs="仿宋"/>
                <w:sz w:val="24"/>
                <w:szCs w:val="24"/>
                <w:lang w:eastAsia="zh-CN"/>
              </w:rPr>
              <w:t>心电</w:t>
            </w:r>
            <w:r>
              <w:rPr>
                <w:rFonts w:hint="eastAsia" w:ascii="仿宋" w:hAnsi="仿宋" w:eastAsia="仿宋" w:cs="仿宋"/>
                <w:sz w:val="24"/>
                <w:szCs w:val="24"/>
              </w:rPr>
              <w:t>监护仪</w:t>
            </w:r>
            <w:r>
              <w:rPr>
                <w:rFonts w:hint="eastAsia" w:ascii="仿宋" w:hAnsi="仿宋" w:eastAsia="仿宋" w:cs="仿宋"/>
                <w:sz w:val="24"/>
                <w:szCs w:val="24"/>
                <w:lang w:val="en-US" w:eastAsia="zh-CN"/>
              </w:rPr>
              <w:t>5台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国产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sz w:val="24"/>
                <w:szCs w:val="24"/>
              </w:rPr>
              <w:t>血滤机</w:t>
            </w:r>
            <w:r>
              <w:rPr>
                <w:rFonts w:hint="eastAsia" w:ascii="仿宋" w:hAnsi="仿宋" w:eastAsia="仿宋" w:cs="仿宋"/>
                <w:sz w:val="24"/>
                <w:szCs w:val="24"/>
                <w:lang w:val="en-US" w:eastAsia="zh-CN"/>
              </w:rPr>
              <w:t>10台（进口）、12.</w:t>
            </w:r>
            <w:r>
              <w:rPr>
                <w:rFonts w:hint="eastAsia" w:ascii="仿宋" w:hAnsi="仿宋" w:eastAsia="仿宋" w:cs="仿宋"/>
                <w:sz w:val="24"/>
                <w:szCs w:val="24"/>
              </w:rPr>
              <w:t>血透机</w:t>
            </w:r>
            <w:r>
              <w:rPr>
                <w:rFonts w:hint="eastAsia" w:ascii="仿宋" w:hAnsi="仿宋" w:eastAsia="仿宋" w:cs="仿宋"/>
                <w:sz w:val="24"/>
                <w:szCs w:val="24"/>
                <w:lang w:val="en-US" w:eastAsia="zh-CN"/>
              </w:rPr>
              <w:t>20台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国产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w:t>
            </w:r>
            <w:r>
              <w:rPr>
                <w:rFonts w:hint="eastAsia" w:ascii="仿宋" w:hAnsi="仿宋" w:eastAsia="仿宋" w:cs="仿宋"/>
                <w:sz w:val="24"/>
                <w:szCs w:val="24"/>
              </w:rPr>
              <w:t>血液净化装置</w:t>
            </w:r>
            <w:r>
              <w:rPr>
                <w:rFonts w:hint="eastAsia" w:ascii="仿宋" w:hAnsi="仿宋" w:eastAsia="仿宋" w:cs="仿宋"/>
                <w:sz w:val="24"/>
                <w:szCs w:val="24"/>
                <w:lang w:val="en-US" w:eastAsia="zh-CN"/>
              </w:rPr>
              <w:t>1台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医用体重秤</w:t>
            </w:r>
            <w:r>
              <w:rPr>
                <w:rFonts w:hint="eastAsia" w:ascii="仿宋" w:hAnsi="仿宋" w:eastAsia="仿宋" w:cs="仿宋"/>
                <w:sz w:val="24"/>
                <w:szCs w:val="24"/>
                <w:lang w:val="en-US" w:eastAsia="zh-CN"/>
              </w:rPr>
              <w:t>1台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国产</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29"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lang w:val="en-US" w:eastAsia="zh-CN"/>
              </w:rPr>
              <w:t>5</w:t>
            </w:r>
          </w:p>
        </w:tc>
        <w:tc>
          <w:tcPr>
            <w:tcW w:w="1827" w:type="dxa"/>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sz w:val="24"/>
                <w:szCs w:val="24"/>
                <w:lang w:eastAsia="zh-CN"/>
              </w:rPr>
            </w:pPr>
            <w:r>
              <w:rPr>
                <w:rFonts w:hint="eastAsia" w:ascii="仿宋" w:hAnsi="仿宋" w:eastAsia="仿宋" w:cs="仿宋"/>
                <w:b/>
                <w:color w:val="000000"/>
                <w:sz w:val="24"/>
                <w:szCs w:val="24"/>
                <w:lang w:val="en-US" w:eastAsia="zh-CN"/>
              </w:rPr>
              <w:t>质保期限</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sz w:val="24"/>
                <w:szCs w:val="24"/>
                <w:lang w:val="en-US" w:eastAsia="zh-CN"/>
              </w:rPr>
              <w:t>自货物验收合格之日起质保2年（含2年）以上。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29"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6</w:t>
            </w:r>
          </w:p>
        </w:tc>
        <w:tc>
          <w:tcPr>
            <w:tcW w:w="1827" w:type="dxa"/>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质量标准</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FF0000"/>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rPr>
              <w:t>合    格（并通过</w:t>
            </w:r>
            <w:r>
              <w:rPr>
                <w:rFonts w:hint="eastAsia" w:ascii="仿宋" w:hAnsi="仿宋" w:eastAsia="仿宋" w:cs="仿宋"/>
                <w:sz w:val="24"/>
                <w:szCs w:val="24"/>
                <w:highlight w:val="none"/>
                <w:shd w:val="clear" w:color="auto" w:fill="auto"/>
                <w:lang w:val="en-US" w:eastAsia="zh-CN"/>
              </w:rPr>
              <w:t>采购人</w:t>
            </w:r>
            <w:r>
              <w:rPr>
                <w:rFonts w:hint="eastAsia" w:ascii="仿宋" w:hAnsi="仿宋" w:eastAsia="仿宋" w:cs="仿宋"/>
                <w:sz w:val="24"/>
                <w:szCs w:val="24"/>
                <w:highlight w:val="none"/>
                <w:shd w:val="clear" w:color="auto" w:fill="auto"/>
              </w:rPr>
              <w:t>组织的项目验收）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29"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lang w:val="en-US" w:eastAsia="zh-CN"/>
              </w:rPr>
              <w:t>7</w:t>
            </w:r>
          </w:p>
        </w:tc>
        <w:tc>
          <w:tcPr>
            <w:tcW w:w="1827" w:type="dxa"/>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采购预算</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highlight w:val="none"/>
                <w:shd w:val="clear" w:color="auto" w:fill="auto"/>
                <w:lang w:val="en-US" w:eastAsia="zh-CN"/>
              </w:rPr>
              <w:t>人民币（大写）：壹仟叁佰贰拾柒万玖仟捌佰元整 ¥：13279800.00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lang w:val="en-US" w:eastAsia="zh-CN"/>
              </w:rPr>
              <w:t>8</w:t>
            </w:r>
          </w:p>
        </w:tc>
        <w:tc>
          <w:tcPr>
            <w:tcW w:w="1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highlight w:val="none"/>
                <w:shd w:val="clear" w:color="auto" w:fill="auto"/>
              </w:rPr>
            </w:pPr>
            <w:r>
              <w:rPr>
                <w:rFonts w:hint="eastAsia" w:ascii="仿宋" w:hAnsi="仿宋" w:eastAsia="仿宋" w:cs="仿宋"/>
                <w:b/>
                <w:color w:val="000000"/>
                <w:sz w:val="24"/>
                <w:szCs w:val="24"/>
                <w:highlight w:val="none"/>
                <w:shd w:val="clear" w:color="auto" w:fill="auto"/>
              </w:rPr>
              <w:t>资金来源</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sz w:val="24"/>
                <w:szCs w:val="24"/>
                <w:highlight w:val="none"/>
                <w:shd w:val="clear" w:color="FFFFFF" w:fill="D9D9D9"/>
              </w:rPr>
            </w:pPr>
            <w:r>
              <w:rPr>
                <w:rFonts w:hint="eastAsia" w:ascii="仿宋" w:hAnsi="仿宋" w:eastAsia="仿宋" w:cs="仿宋"/>
                <w:color w:val="000000"/>
                <w:sz w:val="24"/>
                <w:szCs w:val="24"/>
                <w:highlight w:val="none"/>
                <w:shd w:val="clear" w:color="auto" w:fill="auto"/>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lang w:val="en-US" w:eastAsia="zh-CN"/>
              </w:rPr>
              <w:t>9</w:t>
            </w:r>
          </w:p>
        </w:tc>
        <w:tc>
          <w:tcPr>
            <w:tcW w:w="1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highlight w:val="none"/>
                <w:shd w:val="clear" w:color="auto" w:fill="auto"/>
              </w:rPr>
            </w:pPr>
            <w:r>
              <w:rPr>
                <w:rFonts w:hint="eastAsia" w:ascii="仿宋" w:hAnsi="仿宋" w:eastAsia="仿宋" w:cs="仿宋"/>
                <w:b/>
                <w:color w:val="000000"/>
                <w:sz w:val="24"/>
                <w:szCs w:val="24"/>
                <w:highlight w:val="none"/>
                <w:shd w:val="clear" w:color="auto" w:fill="auto"/>
              </w:rPr>
              <w:t>招标方式</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lang w:val="en-US" w:eastAsia="zh-CN"/>
              </w:rPr>
              <w:t>10</w:t>
            </w:r>
          </w:p>
        </w:tc>
        <w:tc>
          <w:tcPr>
            <w:tcW w:w="1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sz w:val="24"/>
                <w:szCs w:val="24"/>
                <w:highlight w:val="none"/>
                <w:shd w:val="clear" w:color="auto" w:fill="auto"/>
              </w:rPr>
            </w:pPr>
            <w:r>
              <w:rPr>
                <w:rFonts w:hint="eastAsia" w:ascii="仿宋" w:hAnsi="仿宋" w:eastAsia="仿宋" w:cs="仿宋"/>
                <w:b/>
                <w:color w:val="000000"/>
                <w:sz w:val="24"/>
                <w:szCs w:val="24"/>
                <w:highlight w:val="none"/>
                <w:shd w:val="clear" w:color="auto" w:fill="auto"/>
              </w:rPr>
              <w:t>评标办法</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rPr>
              <w:t>综合评分法（其中技术和商务分70分，报价分30分）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29"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rPr>
              <w:t>1</w:t>
            </w:r>
            <w:r>
              <w:rPr>
                <w:rFonts w:hint="eastAsia" w:ascii="仿宋" w:hAnsi="仿宋" w:eastAsia="仿宋" w:cs="仿宋"/>
                <w:color w:val="000000"/>
                <w:sz w:val="24"/>
                <w:szCs w:val="24"/>
                <w:highlight w:val="none"/>
                <w:shd w:val="clear" w:color="auto" w:fill="auto"/>
                <w:lang w:val="en-US" w:eastAsia="zh-CN"/>
              </w:rPr>
              <w:t>1</w:t>
            </w:r>
          </w:p>
        </w:tc>
        <w:tc>
          <w:tcPr>
            <w:tcW w:w="1827" w:type="dxa"/>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color w:val="000000"/>
                <w:sz w:val="24"/>
                <w:szCs w:val="24"/>
                <w:highlight w:val="none"/>
                <w:shd w:val="clear" w:color="auto" w:fill="auto"/>
              </w:rPr>
            </w:pPr>
            <w:r>
              <w:rPr>
                <w:rFonts w:hint="eastAsia" w:ascii="仿宋" w:hAnsi="仿宋" w:eastAsia="仿宋" w:cs="仿宋"/>
                <w:b/>
                <w:color w:val="000000"/>
                <w:sz w:val="24"/>
                <w:szCs w:val="24"/>
                <w:highlight w:val="none"/>
                <w:shd w:val="clear" w:color="auto" w:fill="auto"/>
              </w:rPr>
              <w:t>投标保证金</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color w:val="000000"/>
                <w:kern w:val="2"/>
                <w:sz w:val="24"/>
                <w:szCs w:val="24"/>
                <w:highlight w:val="none"/>
                <w:shd w:val="clear" w:color="auto" w:fill="auto"/>
                <w:lang w:val="en-US" w:eastAsia="zh-CN" w:bidi="ar-SA"/>
              </w:rPr>
            </w:pPr>
            <w:r>
              <w:rPr>
                <w:rFonts w:hint="eastAsia" w:ascii="仿宋" w:hAnsi="仿宋" w:eastAsia="仿宋" w:cs="仿宋"/>
                <w:sz w:val="24"/>
                <w:szCs w:val="24"/>
                <w:highlight w:val="none"/>
                <w:shd w:val="clear" w:color="auto" w:fill="auto"/>
                <w:lang w:val="en-US" w:eastAsia="zh-CN"/>
              </w:rPr>
              <w:t>人民币（大写）：贰拾伍万元整 ¥：250000.00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lang w:val="en-US" w:eastAsia="zh-CN"/>
              </w:rPr>
              <w:t>12</w:t>
            </w:r>
          </w:p>
        </w:tc>
        <w:tc>
          <w:tcPr>
            <w:tcW w:w="1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sz w:val="24"/>
                <w:szCs w:val="24"/>
                <w:highlight w:val="none"/>
                <w:shd w:val="clear" w:color="auto" w:fill="auto"/>
              </w:rPr>
            </w:pPr>
            <w:r>
              <w:rPr>
                <w:rFonts w:hint="eastAsia" w:ascii="仿宋" w:hAnsi="仿宋" w:eastAsia="仿宋" w:cs="仿宋"/>
                <w:b/>
                <w:color w:val="000000"/>
                <w:sz w:val="24"/>
                <w:szCs w:val="24"/>
                <w:highlight w:val="none"/>
                <w:shd w:val="clear" w:color="auto" w:fill="auto"/>
              </w:rPr>
              <w:t>投标文件组成</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exact"/>
              <w:textAlignment w:val="auto"/>
              <w:rPr>
                <w:rFonts w:hint="eastAsia" w:ascii="仿宋" w:hAnsi="仿宋" w:eastAsia="仿宋" w:cs="仿宋"/>
                <w:b/>
                <w:color w:val="000000"/>
                <w:sz w:val="24"/>
                <w:szCs w:val="24"/>
                <w:highlight w:val="none"/>
                <w:shd w:val="clear" w:color="auto" w:fill="auto"/>
              </w:rPr>
            </w:pPr>
            <w:r>
              <w:rPr>
                <w:rFonts w:hint="eastAsia" w:ascii="仿宋" w:hAnsi="仿宋" w:eastAsia="仿宋" w:cs="仿宋"/>
                <w:sz w:val="24"/>
                <w:szCs w:val="24"/>
                <w:highlight w:val="none"/>
                <w:shd w:val="clear" w:color="auto" w:fill="auto"/>
              </w:rPr>
              <w:t xml:space="preserve">《开标一览表》1份、正本 </w:t>
            </w:r>
            <w:r>
              <w:rPr>
                <w:rFonts w:hint="eastAsia" w:ascii="仿宋" w:hAnsi="仿宋" w:eastAsia="仿宋" w:cs="仿宋"/>
                <w:sz w:val="24"/>
                <w:szCs w:val="24"/>
                <w:highlight w:val="none"/>
                <w:shd w:val="clear" w:color="auto" w:fill="auto"/>
                <w:lang w:val="en-US" w:eastAsia="zh-CN"/>
              </w:rPr>
              <w:t>1</w:t>
            </w:r>
            <w:r>
              <w:rPr>
                <w:rFonts w:hint="eastAsia" w:ascii="仿宋" w:hAnsi="仿宋" w:eastAsia="仿宋" w:cs="仿宋"/>
                <w:sz w:val="24"/>
                <w:szCs w:val="24"/>
                <w:highlight w:val="none"/>
                <w:shd w:val="clear" w:color="auto" w:fill="auto"/>
              </w:rPr>
              <w:t>份、副本</w:t>
            </w:r>
            <w:r>
              <w:rPr>
                <w:rFonts w:hint="eastAsia" w:ascii="仿宋" w:hAnsi="仿宋" w:eastAsia="仿宋" w:cs="仿宋"/>
                <w:sz w:val="24"/>
                <w:szCs w:val="24"/>
                <w:highlight w:val="none"/>
                <w:shd w:val="clear" w:color="auto" w:fill="auto"/>
                <w:lang w:val="en-US" w:eastAsia="zh-CN"/>
              </w:rPr>
              <w:t>6</w:t>
            </w:r>
            <w:r>
              <w:rPr>
                <w:rFonts w:hint="eastAsia" w:ascii="仿宋" w:hAnsi="仿宋" w:eastAsia="仿宋" w:cs="仿宋"/>
                <w:sz w:val="24"/>
                <w:szCs w:val="24"/>
                <w:highlight w:val="none"/>
                <w:shd w:val="clear" w:color="auto" w:fill="auto"/>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rPr>
              <w:t>1</w:t>
            </w:r>
            <w:r>
              <w:rPr>
                <w:rFonts w:hint="eastAsia" w:ascii="仿宋" w:hAnsi="仿宋" w:eastAsia="仿宋" w:cs="仿宋"/>
                <w:color w:val="000000"/>
                <w:sz w:val="24"/>
                <w:szCs w:val="24"/>
                <w:highlight w:val="none"/>
                <w:shd w:val="clear" w:color="auto" w:fill="auto"/>
                <w:lang w:val="en-US" w:eastAsia="zh-CN"/>
              </w:rPr>
              <w:t>3</w:t>
            </w:r>
          </w:p>
        </w:tc>
        <w:tc>
          <w:tcPr>
            <w:tcW w:w="2948" w:type="dxa"/>
            <w:gridSpan w:val="3"/>
            <w:tcBorders>
              <w:top w:val="single" w:color="auto" w:sz="4" w:space="0"/>
              <w:left w:val="single" w:color="auto" w:sz="4" w:space="0"/>
              <w:bottom w:val="single" w:color="auto" w:sz="4" w:space="0"/>
              <w:right w:val="single" w:color="auto" w:sz="4" w:space="0"/>
            </w:tcBorders>
            <w:vAlign w:val="top"/>
          </w:tcPr>
          <w:p>
            <w:pPr>
              <w:snapToGrid w:val="0"/>
              <w:spacing w:line="400" w:lineRule="exact"/>
              <w:jc w:val="left"/>
              <w:rPr>
                <w:rFonts w:hint="eastAsia" w:ascii="仿宋" w:hAnsi="仿宋" w:eastAsia="仿宋" w:cs="仿宋"/>
                <w:b/>
                <w:color w:val="000000"/>
                <w:sz w:val="24"/>
                <w:szCs w:val="24"/>
                <w:highlight w:val="none"/>
                <w:shd w:val="clear" w:color="auto" w:fill="auto"/>
              </w:rPr>
            </w:pPr>
            <w:r>
              <w:rPr>
                <w:rFonts w:hint="eastAsia" w:ascii="仿宋" w:hAnsi="仿宋" w:eastAsia="仿宋" w:cs="仿宋"/>
                <w:b/>
                <w:color w:val="000000"/>
                <w:sz w:val="24"/>
                <w:szCs w:val="24"/>
                <w:highlight w:val="none"/>
                <w:shd w:val="clear" w:color="auto" w:fill="auto"/>
              </w:rPr>
              <w:t>投标文件有效期</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rPr>
              <w:t>自开标之日起</w:t>
            </w:r>
            <w:r>
              <w:rPr>
                <w:rFonts w:hint="eastAsia" w:ascii="仿宋" w:hAnsi="仿宋" w:eastAsia="仿宋" w:cs="仿宋"/>
                <w:color w:val="000000"/>
                <w:sz w:val="24"/>
                <w:szCs w:val="24"/>
                <w:highlight w:val="none"/>
                <w:shd w:val="clear" w:color="auto" w:fill="auto"/>
                <w:lang w:val="en-US" w:eastAsia="zh-CN"/>
              </w:rPr>
              <w:t>90</w:t>
            </w:r>
            <w:r>
              <w:rPr>
                <w:rFonts w:hint="eastAsia" w:ascii="仿宋" w:hAnsi="仿宋" w:eastAsia="仿宋" w:cs="仿宋"/>
                <w:color w:val="000000"/>
                <w:sz w:val="24"/>
                <w:szCs w:val="24"/>
                <w:highlight w:val="none"/>
                <w:shd w:val="clear" w:color="auto" w:fill="auto"/>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rPr>
              <w:t>1</w:t>
            </w:r>
            <w:r>
              <w:rPr>
                <w:rFonts w:hint="eastAsia" w:ascii="仿宋" w:hAnsi="仿宋" w:eastAsia="仿宋" w:cs="仿宋"/>
                <w:color w:val="000000"/>
                <w:sz w:val="24"/>
                <w:szCs w:val="24"/>
                <w:highlight w:val="none"/>
                <w:shd w:val="clear" w:color="auto" w:fill="auto"/>
                <w:lang w:val="en-US" w:eastAsia="zh-CN"/>
              </w:rPr>
              <w:t>4</w:t>
            </w:r>
          </w:p>
        </w:tc>
        <w:tc>
          <w:tcPr>
            <w:tcW w:w="29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color w:val="000000"/>
                <w:sz w:val="24"/>
                <w:szCs w:val="24"/>
                <w:highlight w:val="none"/>
                <w:shd w:val="clear" w:color="auto" w:fill="auto"/>
              </w:rPr>
            </w:pPr>
            <w:r>
              <w:rPr>
                <w:rFonts w:hint="eastAsia" w:ascii="仿宋" w:hAnsi="仿宋" w:eastAsia="仿宋" w:cs="仿宋"/>
                <w:b/>
                <w:bCs/>
                <w:color w:val="000000"/>
                <w:spacing w:val="-17"/>
                <w:sz w:val="24"/>
                <w:szCs w:val="24"/>
                <w:highlight w:val="none"/>
                <w:shd w:val="clear" w:color="auto" w:fill="auto"/>
              </w:rPr>
              <w:t>招标文件发放日期</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exact"/>
              <w:textAlignment w:val="auto"/>
              <w:rPr>
                <w:rFonts w:hint="eastAsia"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rPr>
              <w:t>2020年</w:t>
            </w:r>
            <w:r>
              <w:rPr>
                <w:rFonts w:hint="eastAsia" w:ascii="仿宋" w:hAnsi="仿宋" w:eastAsia="仿宋" w:cs="仿宋"/>
                <w:sz w:val="24"/>
                <w:szCs w:val="24"/>
                <w:highlight w:val="none"/>
                <w:shd w:val="clear" w:color="auto" w:fill="auto"/>
                <w:lang w:val="en-US" w:eastAsia="zh-CN"/>
              </w:rPr>
              <w:t>12</w:t>
            </w:r>
            <w:r>
              <w:rPr>
                <w:rFonts w:hint="eastAsia" w:ascii="仿宋" w:hAnsi="仿宋" w:eastAsia="仿宋" w:cs="仿宋"/>
                <w:sz w:val="24"/>
                <w:szCs w:val="24"/>
                <w:highlight w:val="none"/>
                <w:shd w:val="clear" w:color="auto" w:fill="auto"/>
              </w:rPr>
              <w:t>月</w:t>
            </w:r>
            <w:r>
              <w:rPr>
                <w:rFonts w:hint="eastAsia" w:ascii="仿宋" w:hAnsi="仿宋" w:eastAsia="仿宋" w:cs="仿宋"/>
                <w:sz w:val="24"/>
                <w:szCs w:val="24"/>
                <w:highlight w:val="none"/>
                <w:shd w:val="clear" w:color="auto" w:fill="auto"/>
                <w:lang w:val="en-US" w:eastAsia="zh-CN"/>
              </w:rPr>
              <w:t>18</w:t>
            </w:r>
            <w:r>
              <w:rPr>
                <w:rFonts w:hint="eastAsia" w:ascii="仿宋" w:hAnsi="仿宋" w:eastAsia="仿宋" w:cs="仿宋"/>
                <w:sz w:val="24"/>
                <w:szCs w:val="24"/>
                <w:highlight w:val="none"/>
                <w:shd w:val="clear" w:color="auto" w:fill="auto"/>
              </w:rPr>
              <w:t>日至2020年</w:t>
            </w:r>
            <w:r>
              <w:rPr>
                <w:rFonts w:hint="eastAsia" w:ascii="仿宋" w:hAnsi="仿宋" w:eastAsia="仿宋" w:cs="仿宋"/>
                <w:sz w:val="24"/>
                <w:szCs w:val="24"/>
                <w:highlight w:val="none"/>
                <w:shd w:val="clear" w:color="auto" w:fill="auto"/>
                <w:lang w:val="en-US" w:eastAsia="zh-CN"/>
              </w:rPr>
              <w:t>12</w:t>
            </w:r>
            <w:r>
              <w:rPr>
                <w:rFonts w:hint="eastAsia" w:ascii="仿宋" w:hAnsi="仿宋" w:eastAsia="仿宋" w:cs="仿宋"/>
                <w:sz w:val="24"/>
                <w:szCs w:val="24"/>
                <w:highlight w:val="none"/>
                <w:shd w:val="clear" w:color="auto" w:fill="auto"/>
              </w:rPr>
              <w:t>月</w:t>
            </w:r>
            <w:r>
              <w:rPr>
                <w:rFonts w:hint="eastAsia" w:ascii="仿宋" w:hAnsi="仿宋" w:eastAsia="仿宋" w:cs="仿宋"/>
                <w:sz w:val="24"/>
                <w:szCs w:val="24"/>
                <w:highlight w:val="none"/>
                <w:shd w:val="clear" w:color="auto" w:fill="auto"/>
                <w:lang w:val="en-US" w:eastAsia="zh-CN"/>
              </w:rPr>
              <w:t>24</w:t>
            </w:r>
            <w:r>
              <w:rPr>
                <w:rFonts w:hint="eastAsia" w:ascii="仿宋" w:hAnsi="仿宋" w:eastAsia="仿宋" w:cs="仿宋"/>
                <w:sz w:val="24"/>
                <w:szCs w:val="24"/>
                <w:highlight w:val="none"/>
                <w:shd w:val="clear" w:color="auto" w:fill="auto"/>
              </w:rPr>
              <w:t>日下午京时19点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1</w:t>
            </w:r>
            <w:r>
              <w:rPr>
                <w:rFonts w:hint="eastAsia" w:ascii="宋体" w:hAnsi="宋体" w:eastAsia="宋体" w:cs="Times New Roman"/>
                <w:sz w:val="24"/>
                <w:szCs w:val="20"/>
                <w:lang w:val="en-US" w:eastAsia="zh-CN"/>
              </w:rPr>
              <w:t>5</w:t>
            </w:r>
          </w:p>
        </w:tc>
        <w:tc>
          <w:tcPr>
            <w:tcW w:w="2948" w:type="dxa"/>
            <w:gridSpan w:val="3"/>
            <w:tcBorders>
              <w:top w:val="single" w:color="auto" w:sz="4" w:space="0"/>
              <w:left w:val="single" w:color="auto" w:sz="4" w:space="0"/>
              <w:right w:val="single" w:color="auto" w:sz="4" w:space="0"/>
            </w:tcBorders>
            <w:vAlign w:val="center"/>
          </w:tcPr>
          <w:p>
            <w:pPr>
              <w:spacing w:line="400" w:lineRule="exact"/>
              <w:rPr>
                <w:rFonts w:ascii="仿宋_GB2312" w:hAnsi="宋体" w:eastAsia="仿宋_GB2312" w:cs="Times New Roman"/>
                <w:b/>
                <w:color w:val="000000"/>
                <w:sz w:val="24"/>
                <w:szCs w:val="24"/>
                <w:highlight w:val="none"/>
                <w:shd w:val="clear" w:color="auto" w:fill="auto"/>
              </w:rPr>
            </w:pPr>
            <w:r>
              <w:rPr>
                <w:rFonts w:hint="eastAsia" w:ascii="仿宋_GB2312" w:hAnsi="宋体" w:eastAsia="仿宋_GB2312" w:cs="Times New Roman"/>
                <w:b/>
                <w:color w:val="000000"/>
                <w:spacing w:val="-20"/>
                <w:sz w:val="24"/>
                <w:szCs w:val="24"/>
                <w:highlight w:val="none"/>
                <w:shd w:val="clear" w:color="auto" w:fill="auto"/>
              </w:rPr>
              <w:t>投标截止及开标时间</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exact"/>
              <w:textAlignment w:val="auto"/>
              <w:rPr>
                <w:rFonts w:hint="default" w:ascii="仿宋" w:hAnsi="仿宋" w:eastAsia="仿宋" w:cs="仿宋"/>
                <w:sz w:val="24"/>
                <w:szCs w:val="24"/>
                <w:highlight w:val="none"/>
                <w:shd w:val="clear" w:color="auto" w:fill="auto"/>
                <w:lang w:val="en-US" w:eastAsia="zh-CN"/>
              </w:rPr>
            </w:pPr>
            <w:r>
              <w:rPr>
                <w:rFonts w:hint="eastAsia" w:ascii="仿宋" w:hAnsi="仿宋" w:eastAsia="仿宋" w:cs="仿宋"/>
                <w:sz w:val="24"/>
                <w:szCs w:val="24"/>
                <w:highlight w:val="none"/>
                <w:shd w:val="clear" w:color="auto" w:fill="auto"/>
                <w:lang w:val="en-US" w:eastAsia="zh-CN"/>
              </w:rPr>
              <w:t>2020年1月7日北京时间11点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1</w:t>
            </w:r>
            <w:r>
              <w:rPr>
                <w:rFonts w:hint="eastAsia" w:ascii="宋体" w:hAnsi="宋体" w:eastAsia="宋体" w:cs="Times New Roman"/>
                <w:sz w:val="24"/>
                <w:szCs w:val="20"/>
                <w:lang w:val="en-US" w:eastAsia="zh-CN"/>
              </w:rPr>
              <w:t>6</w:t>
            </w:r>
          </w:p>
        </w:tc>
        <w:tc>
          <w:tcPr>
            <w:tcW w:w="2948" w:type="dxa"/>
            <w:gridSpan w:val="3"/>
            <w:tcBorders>
              <w:top w:val="single" w:color="auto" w:sz="4" w:space="0"/>
              <w:left w:val="single" w:color="auto" w:sz="4" w:space="0"/>
              <w:right w:val="single" w:color="auto" w:sz="4" w:space="0"/>
            </w:tcBorders>
            <w:vAlign w:val="center"/>
          </w:tcPr>
          <w:p>
            <w:pPr>
              <w:spacing w:line="400" w:lineRule="exact"/>
              <w:rPr>
                <w:rFonts w:ascii="仿宋_GB2312" w:hAnsi="Courier New" w:eastAsia="仿宋_GB2312" w:cs="Times New Roman"/>
                <w:color w:val="000000"/>
                <w:sz w:val="24"/>
                <w:szCs w:val="24"/>
                <w:highlight w:val="none"/>
                <w:shd w:val="clear" w:color="auto" w:fill="auto"/>
              </w:rPr>
            </w:pPr>
            <w:r>
              <w:rPr>
                <w:rFonts w:hint="eastAsia" w:ascii="仿宋_GB2312" w:hAnsi="宋体" w:eastAsia="仿宋_GB2312" w:cs="Times New Roman"/>
                <w:b/>
                <w:color w:val="000000"/>
                <w:spacing w:val="-20"/>
                <w:sz w:val="24"/>
                <w:szCs w:val="24"/>
                <w:highlight w:val="none"/>
                <w:shd w:val="clear" w:color="auto" w:fill="auto"/>
              </w:rPr>
              <w:t>投标人资质审查时间</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exact"/>
              <w:textAlignment w:val="auto"/>
              <w:rPr>
                <w:rFonts w:hint="eastAsia"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lang w:val="en-US" w:eastAsia="zh-CN"/>
              </w:rPr>
              <w:t>2020年1月7日北京时间11点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1</w:t>
            </w:r>
            <w:r>
              <w:rPr>
                <w:rFonts w:hint="eastAsia" w:ascii="宋体" w:hAnsi="宋体" w:eastAsia="宋体" w:cs="Times New Roman"/>
                <w:sz w:val="24"/>
                <w:szCs w:val="20"/>
                <w:lang w:val="en-US" w:eastAsia="zh-CN"/>
              </w:rPr>
              <w:t>7</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宋体" w:eastAsia="仿宋_GB2312" w:cs="Times New Roman"/>
                <w:b/>
                <w:color w:val="000000"/>
                <w:sz w:val="24"/>
                <w:szCs w:val="24"/>
                <w:highlight w:val="none"/>
                <w:shd w:val="clear" w:color="auto" w:fill="auto"/>
              </w:rPr>
            </w:pPr>
            <w:r>
              <w:rPr>
                <w:rFonts w:hint="eastAsia" w:ascii="仿宋_GB2312" w:hAnsi="宋体" w:eastAsia="仿宋_GB2312" w:cs="Times New Roman"/>
                <w:b/>
                <w:color w:val="000000"/>
                <w:sz w:val="24"/>
                <w:szCs w:val="24"/>
                <w:highlight w:val="none"/>
                <w:shd w:val="clear" w:color="auto" w:fill="auto"/>
              </w:rPr>
              <w:t>开 标 地 点</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宋体" w:eastAsia="仿宋_GB2312" w:cs="Times New Roman"/>
                <w:b/>
                <w:color w:val="000000"/>
                <w:sz w:val="24"/>
                <w:szCs w:val="24"/>
                <w:highlight w:val="none"/>
                <w:shd w:val="clear" w:color="auto" w:fill="auto"/>
              </w:rPr>
            </w:pPr>
            <w:r>
              <w:rPr>
                <w:rFonts w:ascii="仿宋_GB2312" w:hAnsi="Calibri" w:eastAsia="仿宋_GB2312" w:cs="Times New Roman"/>
                <w:color w:val="000000"/>
                <w:sz w:val="24"/>
                <w:szCs w:val="24"/>
                <w:highlight w:val="none"/>
                <w:shd w:val="clear" w:color="auto" w:fill="auto"/>
              </w:rPr>
              <w:t>新疆伊宁市海棠路3号州财政局办公楼1层开标室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lang w:val="en-US" w:eastAsia="zh-CN"/>
              </w:rPr>
              <w:t>18</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_GB2312" w:hAnsi="宋体" w:eastAsia="仿宋_GB2312" w:cs="Times New Roman"/>
                <w:color w:val="000000"/>
                <w:sz w:val="24"/>
                <w:szCs w:val="24"/>
                <w:highlight w:val="none"/>
                <w:shd w:val="clear" w:color="auto" w:fill="auto"/>
              </w:rPr>
            </w:pPr>
            <w:r>
              <w:rPr>
                <w:rFonts w:hint="eastAsia" w:ascii="仿宋_GB2312" w:hAnsi="宋体" w:eastAsia="仿宋_GB2312" w:cs="Times New Roman"/>
                <w:b/>
                <w:color w:val="000000"/>
                <w:sz w:val="24"/>
                <w:szCs w:val="24"/>
                <w:highlight w:val="none"/>
                <w:shd w:val="clear" w:color="auto" w:fill="auto"/>
              </w:rPr>
              <w:t>公告发布媒体</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_GB2312" w:hAnsi="宋体" w:eastAsia="仿宋_GB2312" w:cs="Times New Roman"/>
                <w:b/>
                <w:color w:val="000000"/>
                <w:sz w:val="24"/>
                <w:szCs w:val="24"/>
                <w:highlight w:val="none"/>
                <w:shd w:val="clear" w:color="auto" w:fill="auto"/>
              </w:rPr>
            </w:pPr>
            <w:r>
              <w:rPr>
                <w:rFonts w:hint="eastAsia" w:ascii="仿宋_GB2312" w:hAnsi="宋体" w:eastAsia="仿宋_GB2312" w:cs="Times New Roman"/>
                <w:color w:val="000000"/>
                <w:sz w:val="24"/>
                <w:szCs w:val="24"/>
                <w:highlight w:val="none"/>
                <w:shd w:val="clear" w:color="auto" w:fill="auto"/>
              </w:rPr>
              <w:t>《</w:t>
            </w:r>
            <w:r>
              <w:rPr>
                <w:rFonts w:hint="eastAsia" w:ascii="仿宋_GB2312" w:hAnsi="宋体" w:eastAsia="仿宋_GB2312" w:cs="Arial"/>
                <w:color w:val="000000"/>
                <w:sz w:val="24"/>
                <w:szCs w:val="24"/>
                <w:highlight w:val="none"/>
                <w:shd w:val="clear" w:color="auto" w:fill="auto"/>
              </w:rPr>
              <w:t>新疆政府采购网》(</w:t>
            </w:r>
            <w:r>
              <w:rPr>
                <w:rFonts w:hint="eastAsia" w:ascii="仿宋_GB2312" w:hAnsi="宋体" w:eastAsia="仿宋_GB2312" w:cs="Arial"/>
                <w:color w:val="000000"/>
                <w:sz w:val="24"/>
                <w:szCs w:val="24"/>
                <w:highlight w:val="none"/>
                <w:u w:val="single"/>
                <w:shd w:val="clear" w:color="auto" w:fill="auto"/>
              </w:rPr>
              <w:t>http://www.ccgp-xinjiang.gov.cn/</w:t>
            </w:r>
            <w:r>
              <w:rPr>
                <w:rFonts w:hint="eastAsia" w:ascii="仿宋_GB2312" w:hAnsi="宋体" w:eastAsia="仿宋_GB2312" w:cs="Arial"/>
                <w:color w:val="000000"/>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cs="Times New Roman"/>
                <w:kern w:val="2"/>
                <w:sz w:val="24"/>
                <w:szCs w:val="20"/>
                <w:lang w:val="en-US" w:eastAsia="zh-CN" w:bidi="ar-SA"/>
              </w:rPr>
            </w:pPr>
            <w:r>
              <w:rPr>
                <w:rFonts w:hint="eastAsia" w:ascii="宋体" w:hAnsi="宋体" w:eastAsia="宋体" w:cs="Times New Roman"/>
                <w:sz w:val="24"/>
                <w:szCs w:val="20"/>
                <w:lang w:val="en-US" w:eastAsia="zh-CN"/>
              </w:rPr>
              <w:t>19</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_GB2312" w:hAnsi="宋体" w:eastAsia="仿宋_GB2312" w:cs="Times New Roman"/>
                <w:color w:val="000000"/>
                <w:sz w:val="24"/>
                <w:szCs w:val="24"/>
                <w:highlight w:val="none"/>
                <w:shd w:val="clear" w:color="auto" w:fill="auto"/>
              </w:rPr>
            </w:pPr>
            <w:r>
              <w:rPr>
                <w:rFonts w:hint="eastAsia" w:ascii="仿宋_GB2312" w:hAnsi="宋体" w:eastAsia="仿宋_GB2312" w:cs="Times New Roman"/>
                <w:b/>
                <w:color w:val="000000"/>
                <w:spacing w:val="20"/>
                <w:sz w:val="24"/>
                <w:szCs w:val="24"/>
                <w:highlight w:val="none"/>
                <w:shd w:val="clear" w:color="auto" w:fill="auto"/>
              </w:rPr>
              <w:t>中标通知书</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_GB2312" w:hAnsi="宋体" w:eastAsia="仿宋_GB2312" w:cs="Times New Roman"/>
                <w:b/>
                <w:color w:val="000000"/>
                <w:sz w:val="24"/>
                <w:szCs w:val="24"/>
                <w:highlight w:val="none"/>
                <w:shd w:val="clear" w:color="auto" w:fill="auto"/>
              </w:rPr>
            </w:pPr>
            <w:r>
              <w:rPr>
                <w:rFonts w:hint="eastAsia" w:ascii="仿宋_GB2312" w:hAnsi="宋体" w:eastAsia="仿宋_GB2312" w:cs="Times New Roman"/>
                <w:color w:val="000000"/>
                <w:sz w:val="24"/>
                <w:szCs w:val="24"/>
                <w:highlight w:val="none"/>
                <w:shd w:val="clear" w:color="auto" w:fill="auto"/>
              </w:rPr>
              <w:t>中标公告发布后发放。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cs="Times New Roman"/>
                <w:kern w:val="2"/>
                <w:sz w:val="24"/>
                <w:szCs w:val="20"/>
                <w:lang w:val="en-US" w:eastAsia="zh-CN" w:bidi="ar-SA"/>
              </w:rPr>
            </w:pPr>
            <w:r>
              <w:rPr>
                <w:rFonts w:hint="eastAsia" w:ascii="宋体" w:hAnsi="宋体" w:eastAsia="宋体" w:cs="Times New Roman"/>
                <w:sz w:val="24"/>
                <w:szCs w:val="20"/>
                <w:lang w:val="en-US" w:eastAsia="zh-CN"/>
              </w:rPr>
              <w:t>22</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_GB2312" w:hAnsi="宋体" w:eastAsia="仿宋_GB2312" w:cs="Times New Roman"/>
                <w:sz w:val="24"/>
                <w:szCs w:val="24"/>
              </w:rPr>
            </w:pPr>
            <w:r>
              <w:rPr>
                <w:rFonts w:hint="eastAsia" w:ascii="仿宋_GB2312" w:hAnsi="宋体" w:eastAsia="仿宋_GB2312" w:cs="Times New Roman"/>
                <w:b/>
                <w:sz w:val="24"/>
                <w:szCs w:val="24"/>
              </w:rPr>
              <w:t>签订合同时间</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_GB2312" w:hAnsi="宋体" w:eastAsia="仿宋_GB2312" w:cs="Times New Roman"/>
                <w:b/>
                <w:color w:val="000000"/>
                <w:sz w:val="24"/>
                <w:szCs w:val="24"/>
              </w:rPr>
            </w:pPr>
            <w:r>
              <w:rPr>
                <w:rFonts w:hint="eastAsia" w:ascii="仿宋_GB2312" w:hAnsi="宋体" w:eastAsia="仿宋_GB2312" w:cs="Times New Roman"/>
                <w:color w:val="000000"/>
                <w:sz w:val="24"/>
                <w:szCs w:val="24"/>
              </w:rPr>
              <w:t>中标通知书发出之</w:t>
            </w:r>
            <w:r>
              <w:rPr>
                <w:rFonts w:hint="eastAsia" w:ascii="仿宋_GB2312" w:hAnsi="宋体" w:eastAsia="仿宋_GB2312" w:cs="Times New Roman"/>
                <w:color w:val="0C0C0C"/>
                <w:sz w:val="24"/>
                <w:szCs w:val="24"/>
              </w:rPr>
              <w:t>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cs="Times New Roman"/>
                <w:kern w:val="2"/>
                <w:sz w:val="24"/>
                <w:szCs w:val="20"/>
                <w:lang w:val="en-US" w:eastAsia="zh-CN" w:bidi="ar-SA"/>
              </w:rPr>
            </w:pPr>
            <w:r>
              <w:rPr>
                <w:rFonts w:hint="eastAsia" w:ascii="宋体" w:hAnsi="宋体" w:eastAsia="宋体" w:cs="Times New Roman"/>
                <w:sz w:val="24"/>
                <w:szCs w:val="20"/>
                <w:lang w:val="en-US" w:eastAsia="zh-CN"/>
              </w:rPr>
              <w:t>21</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交货期限</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default" w:ascii="仿宋_GB2312" w:hAnsi="宋体" w:eastAsia="仿宋_GB2312" w:cs="Times New Roman"/>
                <w:color w:val="000000"/>
                <w:sz w:val="24"/>
                <w:szCs w:val="24"/>
                <w:lang w:val="en-US" w:eastAsia="zh-CN"/>
              </w:rPr>
            </w:pPr>
            <w:r>
              <w:rPr>
                <w:rFonts w:hint="eastAsia" w:ascii="仿宋" w:hAnsi="仿宋" w:eastAsia="仿宋" w:cs="Times New Roman"/>
                <w:sz w:val="24"/>
                <w:szCs w:val="20"/>
                <w:highlight w:val="none"/>
                <w:shd w:val="clear" w:color="auto" w:fill="auto"/>
              </w:rPr>
              <w:t>合同签订后</w:t>
            </w:r>
            <w:r>
              <w:rPr>
                <w:rFonts w:hint="eastAsia" w:ascii="仿宋" w:hAnsi="仿宋" w:eastAsia="仿宋" w:cs="Times New Roman"/>
                <w:sz w:val="24"/>
                <w:szCs w:val="20"/>
                <w:highlight w:val="none"/>
                <w:shd w:val="clear" w:color="auto" w:fill="auto"/>
                <w:lang w:val="en-US" w:eastAsia="zh-CN"/>
              </w:rPr>
              <w:t>国产设备30</w:t>
            </w:r>
            <w:r>
              <w:rPr>
                <w:rFonts w:hint="eastAsia" w:ascii="仿宋" w:hAnsi="仿宋" w:eastAsia="仿宋" w:cs="Times New Roman"/>
                <w:sz w:val="24"/>
                <w:szCs w:val="20"/>
                <w:highlight w:val="none"/>
                <w:shd w:val="clear" w:color="auto" w:fill="auto"/>
              </w:rPr>
              <w:t>日内交货，并安装调试完毕</w:t>
            </w:r>
            <w:r>
              <w:rPr>
                <w:rFonts w:hint="eastAsia" w:ascii="仿宋" w:hAnsi="仿宋" w:eastAsia="仿宋" w:cs="Times New Roman"/>
                <w:sz w:val="24"/>
                <w:szCs w:val="20"/>
                <w:highlight w:val="none"/>
                <w:shd w:val="clear" w:color="auto" w:fill="auto"/>
                <w:lang w:eastAsia="zh-CN"/>
              </w:rPr>
              <w:t>；</w:t>
            </w:r>
            <w:r>
              <w:rPr>
                <w:rFonts w:hint="eastAsia" w:ascii="仿宋" w:hAnsi="仿宋" w:eastAsia="仿宋" w:cs="Times New Roman"/>
                <w:sz w:val="24"/>
                <w:szCs w:val="20"/>
                <w:highlight w:val="none"/>
                <w:shd w:val="clear" w:color="auto" w:fill="auto"/>
                <w:lang w:val="en-US" w:eastAsia="zh-CN"/>
              </w:rPr>
              <w:t>进口设备90</w:t>
            </w:r>
            <w:r>
              <w:rPr>
                <w:rFonts w:hint="eastAsia" w:ascii="仿宋" w:hAnsi="仿宋" w:eastAsia="仿宋" w:cs="Times New Roman"/>
                <w:sz w:val="24"/>
                <w:szCs w:val="20"/>
                <w:highlight w:val="none"/>
                <w:shd w:val="clear" w:color="auto" w:fill="auto"/>
              </w:rPr>
              <w:t>日内交货，并安装调试完毕</w:t>
            </w:r>
            <w:r>
              <w:rPr>
                <w:rFonts w:hint="eastAsia" w:ascii="仿宋" w:hAnsi="仿宋" w:eastAsia="仿宋" w:cs="Times New Roman"/>
                <w:sz w:val="24"/>
                <w:szCs w:val="20"/>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22</w:t>
            </w:r>
          </w:p>
        </w:tc>
        <w:tc>
          <w:tcPr>
            <w:tcW w:w="182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交货安装地点</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default" w:ascii="仿宋_GB2312" w:hAnsi="宋体" w:eastAsia="仿宋_GB2312" w:cs="Times New Roman"/>
                <w:color w:val="000000"/>
                <w:sz w:val="24"/>
                <w:szCs w:val="24"/>
                <w:lang w:val="en-US" w:eastAsia="zh-CN"/>
              </w:rPr>
            </w:pPr>
            <w:r>
              <w:rPr>
                <w:rFonts w:hint="eastAsia" w:ascii="仿宋_GB2312" w:hAnsi="Calibri" w:eastAsia="仿宋_GB2312" w:cs="Times New Roman"/>
                <w:color w:val="auto"/>
                <w:kern w:val="2"/>
                <w:sz w:val="24"/>
                <w:szCs w:val="24"/>
                <w:lang w:val="en-US" w:eastAsia="zh-CN" w:bidi="ar-SA"/>
              </w:rPr>
              <w:t>伊犁哈萨克自治州友谊医院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23</w:t>
            </w:r>
          </w:p>
        </w:tc>
        <w:tc>
          <w:tcPr>
            <w:tcW w:w="182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招标文件售价</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rPr>
              <w:t>招标文件售价200元/</w:t>
            </w:r>
            <w:r>
              <w:rPr>
                <w:rFonts w:hint="eastAsia" w:ascii="仿宋_GB2312" w:hAnsi="宋体" w:eastAsia="仿宋_GB2312" w:cs="Times New Roman"/>
                <w:color w:val="000000"/>
                <w:sz w:val="24"/>
                <w:szCs w:val="24"/>
                <w:lang w:val="en-US" w:eastAsia="zh-CN"/>
              </w:rPr>
              <w:t>份</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lang w:val="en-US" w:eastAsia="zh-CN"/>
              </w:rPr>
              <w:t>售后不退</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24</w:t>
            </w:r>
          </w:p>
        </w:tc>
        <w:tc>
          <w:tcPr>
            <w:tcW w:w="182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现场勘察</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黑体" w:hAnsi="黑体" w:cs="黑体"/>
                <w:color w:val="auto"/>
                <w:szCs w:val="21"/>
                <w:highlight w:val="none"/>
              </w:rPr>
            </w:pPr>
            <w:r>
              <w:rPr>
                <w:rFonts w:hint="eastAsia" w:ascii="仿宋" w:hAnsi="仿宋" w:eastAsia="仿宋" w:cs="Times New Roman"/>
                <w:sz w:val="24"/>
                <w:szCs w:val="20"/>
                <w:highlight w:val="none"/>
                <w:shd w:val="clear" w:color="auto" w:fill="auto"/>
                <w:lang w:val="en-US" w:eastAsia="zh-CN"/>
              </w:rPr>
              <w:t>本项目</w:t>
            </w:r>
            <w:r>
              <w:rPr>
                <w:rFonts w:hint="eastAsia" w:ascii="仿宋" w:hAnsi="仿宋" w:eastAsia="仿宋" w:cs="Times New Roman"/>
                <w:sz w:val="24"/>
                <w:szCs w:val="20"/>
                <w:highlight w:val="none"/>
                <w:shd w:val="clear" w:color="auto" w:fill="auto"/>
              </w:rPr>
              <w:t>不组织投标人进行现场考察，投标人可自行对项目现场和周围环境进行勘察，以获取须投标人自己负责的有关编制投标文件和签署合同所需的所有资料。勘察现场所发生的风险和费用由投标人自行承担。</w:t>
            </w:r>
          </w:p>
        </w:tc>
      </w:tr>
    </w:tbl>
    <w:p>
      <w:pPr>
        <w:pStyle w:val="26"/>
        <w:ind w:left="0" w:leftChars="0" w:firstLine="0" w:firstLineChars="0"/>
        <w:rPr>
          <w:rFonts w:hint="eastAsia"/>
        </w:rPr>
      </w:pPr>
    </w:p>
    <w:p>
      <w:pPr>
        <w:spacing w:line="420" w:lineRule="exact"/>
        <w:jc w:val="center"/>
        <w:rPr>
          <w:b/>
          <w:sz w:val="32"/>
          <w:szCs w:val="32"/>
          <w:highlight w:val="none"/>
          <w:shd w:val="clear" w:color="auto" w:fill="auto"/>
        </w:rPr>
      </w:pPr>
      <w:r>
        <w:rPr>
          <w:rFonts w:hint="eastAsia"/>
          <w:b/>
          <w:sz w:val="32"/>
          <w:szCs w:val="32"/>
          <w:highlight w:val="none"/>
          <w:shd w:val="clear" w:color="auto" w:fill="auto"/>
        </w:rPr>
        <w:t>第二部分投标须知</w:t>
      </w:r>
    </w:p>
    <w:p>
      <w:pPr>
        <w:autoSpaceDE w:val="0"/>
        <w:autoSpaceDN w:val="0"/>
        <w:adjustRightInd w:val="0"/>
        <w:jc w:val="center"/>
        <w:outlineLvl w:val="1"/>
        <w:rPr>
          <w:rFonts w:ascii="仿宋_GB2312" w:hAnsi="宋体" w:eastAsia="仿宋_GB2312" w:cs="Times New Roman"/>
          <w:b/>
          <w:sz w:val="32"/>
          <w:szCs w:val="32"/>
          <w:highlight w:val="none"/>
          <w:shd w:val="clear" w:color="auto" w:fill="auto"/>
        </w:rPr>
      </w:pPr>
      <w:bookmarkStart w:id="7" w:name="_Toc18253"/>
      <w:bookmarkStart w:id="8" w:name="_Toc32082"/>
      <w:bookmarkStart w:id="9" w:name="_Toc12713"/>
      <w:bookmarkStart w:id="10" w:name="_Toc4609"/>
      <w:bookmarkStart w:id="11" w:name="_Toc22129"/>
      <w:bookmarkStart w:id="12" w:name="_Toc1790"/>
      <w:bookmarkStart w:id="13" w:name="_Toc13562"/>
      <w:bookmarkStart w:id="14" w:name="_Toc2340"/>
      <w:bookmarkStart w:id="15" w:name="_Toc30588"/>
      <w:bookmarkStart w:id="16" w:name="_Toc25060"/>
      <w:bookmarkStart w:id="17" w:name="_Toc2122"/>
      <w:bookmarkStart w:id="18" w:name="_Toc10828"/>
      <w:bookmarkStart w:id="19" w:name="_Toc31446"/>
      <w:bookmarkStart w:id="20" w:name="_Toc7066"/>
      <w:bookmarkStart w:id="21" w:name="_Toc3376"/>
      <w:bookmarkStart w:id="22" w:name="_Toc19821"/>
      <w:r>
        <w:rPr>
          <w:rFonts w:hint="eastAsia" w:ascii="仿宋_GB2312" w:hAnsi="Arial" w:eastAsia="仿宋_GB2312" w:cs="Times New Roman"/>
          <w:b/>
          <w:color w:val="000000"/>
          <w:kern w:val="0"/>
          <w:sz w:val="32"/>
          <w:szCs w:val="24"/>
          <w:highlight w:val="none"/>
          <w:shd w:val="clear" w:color="auto" w:fill="auto"/>
        </w:rPr>
        <w:t xml:space="preserve">第一章 </w:t>
      </w:r>
      <w:r>
        <w:rPr>
          <w:rFonts w:hint="eastAsia" w:ascii="仿宋_GB2312" w:hAnsi="宋体" w:eastAsia="仿宋_GB2312" w:cs="Times New Roman"/>
          <w:b/>
          <w:sz w:val="32"/>
          <w:szCs w:val="32"/>
          <w:highlight w:val="none"/>
          <w:shd w:val="clear" w:color="auto" w:fill="auto"/>
        </w:rPr>
        <w:t>招标说明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ind w:firstLine="482" w:firstLineChars="200"/>
        <w:rPr>
          <w:rFonts w:ascii="宋体" w:hAnsi="宋体" w:eastAsia="宋体" w:cs="宋体"/>
          <w:b/>
          <w:sz w:val="24"/>
          <w:szCs w:val="20"/>
          <w:highlight w:val="none"/>
          <w:shd w:val="clear" w:color="auto" w:fill="auto"/>
        </w:rPr>
      </w:pPr>
      <w:r>
        <w:rPr>
          <w:rFonts w:hint="eastAsia" w:ascii="宋体" w:hAnsi="宋体" w:eastAsia="宋体" w:cs="宋体"/>
          <w:b/>
          <w:sz w:val="24"/>
          <w:szCs w:val="20"/>
          <w:highlight w:val="none"/>
          <w:shd w:val="clear" w:color="auto" w:fill="auto"/>
        </w:rPr>
        <w:t>1、 适用范围</w:t>
      </w:r>
    </w:p>
    <w:p>
      <w:pPr>
        <w:ind w:firstLine="480" w:firstLineChars="200"/>
        <w:rPr>
          <w:rFonts w:ascii="仿宋" w:hAnsi="仿宋" w:eastAsia="仿宋" w:cs="仿宋"/>
          <w:sz w:val="24"/>
          <w:szCs w:val="20"/>
          <w:highlight w:val="none"/>
          <w:shd w:val="clear" w:color="auto" w:fill="auto"/>
        </w:rPr>
      </w:pPr>
      <w:r>
        <w:rPr>
          <w:rFonts w:hint="eastAsia" w:ascii="仿宋" w:hAnsi="仿宋" w:eastAsia="仿宋" w:cs="仿宋"/>
          <w:sz w:val="24"/>
          <w:szCs w:val="20"/>
          <w:highlight w:val="none"/>
          <w:shd w:val="clear" w:color="auto" w:fill="auto"/>
        </w:rPr>
        <w:t>本招标文件仅适用于参加</w:t>
      </w:r>
      <w:r>
        <w:rPr>
          <w:rFonts w:hint="eastAsia" w:ascii="仿宋_GB2312" w:hAnsi="Calibri" w:eastAsia="仿宋_GB2312" w:cs="Times New Roman"/>
          <w:b/>
          <w:bCs/>
          <w:color w:val="FF0000"/>
          <w:kern w:val="2"/>
          <w:sz w:val="24"/>
          <w:szCs w:val="24"/>
          <w:u w:val="single"/>
          <w:lang w:val="en-US" w:eastAsia="zh-CN" w:bidi="ar-SA"/>
        </w:rPr>
        <w:t>2020年伊犁哈萨克自治州友谊医院采购第五批医疗设备</w:t>
      </w:r>
      <w:r>
        <w:rPr>
          <w:rFonts w:hint="eastAsia" w:ascii="仿宋" w:hAnsi="仿宋" w:eastAsia="仿宋" w:cs="仿宋"/>
          <w:sz w:val="24"/>
          <w:szCs w:val="20"/>
          <w:highlight w:val="none"/>
          <w:shd w:val="clear" w:color="auto" w:fill="auto"/>
        </w:rPr>
        <w:t>的合格投标人。</w:t>
      </w:r>
    </w:p>
    <w:p>
      <w:pPr>
        <w:tabs>
          <w:tab w:val="left" w:pos="1185"/>
        </w:tabs>
        <w:ind w:firstLine="482" w:firstLineChars="200"/>
        <w:rPr>
          <w:rFonts w:ascii="宋体" w:hAnsi="宋体" w:eastAsia="宋体" w:cs="宋体"/>
          <w:b/>
          <w:sz w:val="24"/>
          <w:szCs w:val="20"/>
          <w:highlight w:val="none"/>
          <w:shd w:val="clear" w:color="auto" w:fill="auto"/>
        </w:rPr>
      </w:pPr>
      <w:r>
        <w:rPr>
          <w:rFonts w:hint="eastAsia" w:ascii="宋体" w:hAnsi="宋体" w:eastAsia="宋体" w:cs="宋体"/>
          <w:b/>
          <w:sz w:val="24"/>
          <w:szCs w:val="20"/>
          <w:highlight w:val="none"/>
          <w:shd w:val="clear" w:color="auto" w:fill="auto"/>
        </w:rPr>
        <w:t>2、名词定义</w:t>
      </w:r>
    </w:p>
    <w:p>
      <w:pPr>
        <w:ind w:firstLine="482"/>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 xml:space="preserve">下列术语和缩写的定义为： </w:t>
      </w:r>
    </w:p>
    <w:p>
      <w:pPr>
        <w:ind w:firstLine="482"/>
        <w:rPr>
          <w:rFonts w:hint="eastAsia" w:ascii="仿宋_GB2312" w:eastAsia="仿宋_GB2312" w:cs="Times New Roman"/>
          <w:b/>
          <w:bCs/>
          <w:color w:val="auto"/>
          <w:kern w:val="2"/>
          <w:sz w:val="24"/>
          <w:szCs w:val="24"/>
          <w:u w:val="single"/>
          <w:lang w:val="en-US" w:eastAsia="zh-CN" w:bidi="ar-SA"/>
        </w:rPr>
      </w:pPr>
      <w:r>
        <w:rPr>
          <w:rFonts w:hint="eastAsia" w:ascii="仿宋" w:hAnsi="仿宋" w:eastAsia="仿宋" w:cs="Times New Roman"/>
          <w:sz w:val="24"/>
          <w:szCs w:val="20"/>
          <w:highlight w:val="none"/>
          <w:shd w:val="clear" w:color="auto" w:fill="auto"/>
        </w:rPr>
        <w:t>2.1 “采购人”是指依法进行政府采购的国家机关、</w:t>
      </w:r>
      <w:r>
        <w:rPr>
          <w:rFonts w:hint="eastAsia" w:ascii="仿宋" w:hAnsi="仿宋" w:eastAsia="仿宋" w:cs="宋体"/>
          <w:sz w:val="24"/>
          <w:szCs w:val="20"/>
          <w:highlight w:val="none"/>
          <w:shd w:val="clear" w:color="auto" w:fill="auto"/>
        </w:rPr>
        <w:t>事业单位和社会团体组织。即</w:t>
      </w:r>
      <w:r>
        <w:rPr>
          <w:rFonts w:hint="eastAsia" w:ascii="仿宋_GB2312" w:hAnsi="Calibri" w:eastAsia="仿宋_GB2312" w:cs="Times New Roman"/>
          <w:b/>
          <w:bCs/>
          <w:color w:val="auto"/>
          <w:kern w:val="2"/>
          <w:sz w:val="24"/>
          <w:szCs w:val="24"/>
          <w:u w:val="single"/>
          <w:lang w:val="en-US" w:eastAsia="zh-CN" w:bidi="ar-SA"/>
        </w:rPr>
        <w:t>伊犁哈萨克自治州友谊医院</w:t>
      </w:r>
      <w:r>
        <w:rPr>
          <w:rFonts w:hint="eastAsia" w:ascii="仿宋_GB2312" w:eastAsia="仿宋_GB2312" w:cs="Times New Roman"/>
          <w:b/>
          <w:bCs/>
          <w:color w:val="auto"/>
          <w:kern w:val="2"/>
          <w:sz w:val="24"/>
          <w:szCs w:val="24"/>
          <w:u w:val="single"/>
          <w:lang w:val="en-US" w:eastAsia="zh-CN" w:bidi="ar-SA"/>
        </w:rPr>
        <w:t>。</w:t>
      </w:r>
    </w:p>
    <w:p>
      <w:pPr>
        <w:ind w:firstLine="482"/>
        <w:rPr>
          <w:rFonts w:ascii="仿宋" w:hAnsi="仿宋" w:eastAsia="仿宋" w:cs="宋体"/>
          <w:sz w:val="24"/>
          <w:szCs w:val="20"/>
          <w:highlight w:val="none"/>
          <w:shd w:val="clear" w:color="auto" w:fill="auto"/>
        </w:rPr>
      </w:pPr>
      <w:r>
        <w:rPr>
          <w:rFonts w:hint="eastAsia" w:ascii="仿宋" w:hAnsi="仿宋" w:eastAsia="仿宋" w:cs="宋体"/>
          <w:sz w:val="24"/>
          <w:szCs w:val="20"/>
          <w:highlight w:val="none"/>
          <w:shd w:val="clear" w:color="auto" w:fill="auto"/>
        </w:rPr>
        <w:t>2.2 “采购代理机构”是指依法成立的独立组织招标的机构。即</w:t>
      </w:r>
      <w:r>
        <w:rPr>
          <w:rFonts w:hint="eastAsia" w:ascii="仿宋" w:hAnsi="仿宋" w:eastAsia="仿宋" w:cs="宋体"/>
          <w:b/>
          <w:bCs/>
          <w:sz w:val="24"/>
          <w:szCs w:val="20"/>
          <w:highlight w:val="none"/>
          <w:u w:val="single"/>
          <w:shd w:val="clear" w:color="auto" w:fill="auto"/>
        </w:rPr>
        <w:t>新疆鼎标招投标代理有限公司</w:t>
      </w:r>
      <w:r>
        <w:rPr>
          <w:rFonts w:hint="eastAsia" w:ascii="仿宋" w:hAnsi="仿宋" w:eastAsia="仿宋" w:cs="宋体"/>
          <w:sz w:val="24"/>
          <w:szCs w:val="20"/>
          <w:highlight w:val="none"/>
          <w:shd w:val="clear" w:color="auto" w:fill="auto"/>
        </w:rPr>
        <w:t>。</w:t>
      </w:r>
    </w:p>
    <w:p>
      <w:pPr>
        <w:tabs>
          <w:tab w:val="left" w:pos="1185"/>
        </w:tabs>
        <w:ind w:firstLine="480" w:firstLineChars="2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2.3 “投标人”系指有资格的供应商（制造商或代理商）及投标表现人。</w:t>
      </w:r>
    </w:p>
    <w:p>
      <w:pPr>
        <w:tabs>
          <w:tab w:val="left" w:pos="1185"/>
        </w:tabs>
        <w:ind w:firstLine="480" w:firstLineChars="2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2.4 “货物”系指招标文件规定的，投标人须向</w:t>
      </w:r>
      <w:r>
        <w:rPr>
          <w:rFonts w:hint="eastAsia" w:ascii="仿宋" w:hAnsi="仿宋" w:eastAsia="仿宋" w:cs="Times New Roman"/>
          <w:bCs/>
          <w:sz w:val="24"/>
          <w:szCs w:val="20"/>
          <w:highlight w:val="none"/>
          <w:shd w:val="clear" w:color="auto" w:fill="auto"/>
        </w:rPr>
        <w:t>采购代理机构</w:t>
      </w:r>
      <w:r>
        <w:rPr>
          <w:rFonts w:hint="eastAsia" w:ascii="仿宋" w:hAnsi="仿宋" w:eastAsia="仿宋" w:cs="Times New Roman"/>
          <w:sz w:val="24"/>
          <w:szCs w:val="20"/>
          <w:highlight w:val="none"/>
          <w:shd w:val="clear" w:color="auto" w:fill="auto"/>
        </w:rPr>
        <w:t>提供的一切设备、附件、备品备件、工具、手册及其它有关资料和材料。</w:t>
      </w:r>
    </w:p>
    <w:p>
      <w:pPr>
        <w:ind w:firstLine="480" w:firstLineChars="2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2.5 “服务”系指招标文件规定投标人必须承担的保修、技术协助、培训及其他类似的责任。</w:t>
      </w:r>
    </w:p>
    <w:p>
      <w:pPr>
        <w:ind w:firstLine="482" w:firstLineChars="200"/>
        <w:rPr>
          <w:rFonts w:ascii="宋体" w:hAnsi="宋体" w:eastAsia="宋体" w:cs="宋体"/>
          <w:b/>
          <w:sz w:val="24"/>
          <w:szCs w:val="20"/>
          <w:highlight w:val="none"/>
          <w:shd w:val="clear" w:color="auto" w:fill="auto"/>
        </w:rPr>
      </w:pPr>
      <w:r>
        <w:rPr>
          <w:rFonts w:hint="eastAsia" w:ascii="宋体" w:hAnsi="宋体" w:eastAsia="宋体" w:cs="宋体"/>
          <w:b/>
          <w:sz w:val="24"/>
          <w:szCs w:val="20"/>
          <w:highlight w:val="none"/>
          <w:shd w:val="clear" w:color="auto" w:fill="auto"/>
        </w:rPr>
        <w:t>3.投标费用</w:t>
      </w:r>
    </w:p>
    <w:p>
      <w:pPr>
        <w:ind w:firstLine="482"/>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3.1　无论投标结果如何，凡参与招标、投标活动有关的所有费用将由投标人自行承担。</w:t>
      </w:r>
    </w:p>
    <w:p>
      <w:pPr>
        <w:ind w:firstLine="480" w:firstLineChars="2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3.2　投标人被视为熟悉本招标项目的各种情况以及与履行合同有关的一切情况。</w:t>
      </w:r>
    </w:p>
    <w:p>
      <w:pPr>
        <w:tabs>
          <w:tab w:val="left" w:pos="1185"/>
        </w:tabs>
        <w:ind w:firstLine="482" w:firstLineChars="200"/>
        <w:rPr>
          <w:rFonts w:ascii="仿宋" w:hAnsi="仿宋" w:eastAsia="仿宋" w:cs="Times New Roman"/>
          <w:sz w:val="24"/>
          <w:szCs w:val="20"/>
          <w:highlight w:val="none"/>
          <w:shd w:val="clear" w:color="auto" w:fill="auto"/>
        </w:rPr>
      </w:pPr>
      <w:r>
        <w:rPr>
          <w:rFonts w:hint="eastAsia" w:ascii="宋体" w:hAnsi="宋体" w:eastAsia="宋体" w:cs="宋体"/>
          <w:b/>
          <w:sz w:val="24"/>
          <w:szCs w:val="20"/>
          <w:highlight w:val="none"/>
          <w:shd w:val="clear" w:color="auto" w:fill="auto"/>
        </w:rPr>
        <w:t>4. 招标文件的构成</w:t>
      </w:r>
    </w:p>
    <w:p>
      <w:pPr>
        <w:ind w:firstLine="720" w:firstLineChars="3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第一部分 投标邀请</w:t>
      </w:r>
    </w:p>
    <w:p>
      <w:pPr>
        <w:ind w:firstLine="720" w:firstLineChars="3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第二部分 投标人须知</w:t>
      </w:r>
    </w:p>
    <w:p>
      <w:pPr>
        <w:ind w:firstLine="720" w:firstLineChars="3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第三部分 技术需求及商务要求</w:t>
      </w:r>
    </w:p>
    <w:p>
      <w:pPr>
        <w:ind w:firstLine="720" w:firstLineChars="300"/>
        <w:rPr>
          <w:rFonts w:hint="eastAsia"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第四部分</w:t>
      </w:r>
      <w:r>
        <w:rPr>
          <w:rFonts w:hint="eastAsia" w:ascii="仿宋" w:hAnsi="仿宋" w:eastAsia="仿宋" w:cs="Times New Roman"/>
          <w:sz w:val="24"/>
          <w:szCs w:val="20"/>
          <w:highlight w:val="none"/>
          <w:shd w:val="clear" w:color="auto" w:fill="auto"/>
          <w:lang w:val="en-US" w:eastAsia="zh-CN"/>
        </w:rPr>
        <w:t xml:space="preserve"> 商务部分</w:t>
      </w:r>
      <w:r>
        <w:rPr>
          <w:rFonts w:hint="eastAsia" w:ascii="仿宋" w:hAnsi="仿宋" w:eastAsia="仿宋" w:cs="Times New Roman"/>
          <w:sz w:val="24"/>
          <w:szCs w:val="20"/>
          <w:highlight w:val="none"/>
          <w:shd w:val="clear" w:color="auto" w:fill="auto"/>
        </w:rPr>
        <w:t xml:space="preserve"> </w:t>
      </w:r>
    </w:p>
    <w:p>
      <w:pPr>
        <w:ind w:firstLine="720" w:firstLineChars="3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lang w:val="en-US" w:eastAsia="zh-CN"/>
        </w:rPr>
        <w:t xml:space="preserve">第五部分 </w:t>
      </w:r>
      <w:r>
        <w:rPr>
          <w:rFonts w:hint="eastAsia" w:ascii="仿宋" w:hAnsi="仿宋" w:eastAsia="仿宋" w:cs="Times New Roman"/>
          <w:sz w:val="24"/>
          <w:szCs w:val="20"/>
          <w:highlight w:val="none"/>
          <w:shd w:val="clear" w:color="auto" w:fill="auto"/>
        </w:rPr>
        <w:t>招标组织程序</w:t>
      </w:r>
    </w:p>
    <w:p>
      <w:pPr>
        <w:ind w:firstLine="720" w:firstLineChars="3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第</w:t>
      </w:r>
      <w:r>
        <w:rPr>
          <w:rFonts w:hint="eastAsia" w:ascii="仿宋" w:hAnsi="仿宋" w:eastAsia="仿宋" w:cs="Times New Roman"/>
          <w:sz w:val="24"/>
          <w:szCs w:val="20"/>
          <w:highlight w:val="none"/>
          <w:shd w:val="clear" w:color="auto" w:fill="auto"/>
          <w:lang w:val="en-US" w:eastAsia="zh-CN"/>
        </w:rPr>
        <w:t>六</w:t>
      </w:r>
      <w:r>
        <w:rPr>
          <w:rFonts w:hint="eastAsia" w:ascii="仿宋" w:hAnsi="仿宋" w:eastAsia="仿宋" w:cs="Times New Roman"/>
          <w:sz w:val="24"/>
          <w:szCs w:val="20"/>
          <w:highlight w:val="none"/>
          <w:shd w:val="clear" w:color="auto" w:fill="auto"/>
        </w:rPr>
        <w:t>部分 招标结束后注意事项</w:t>
      </w:r>
    </w:p>
    <w:p>
      <w:pPr>
        <w:ind w:firstLine="720" w:firstLineChars="3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第</w:t>
      </w:r>
      <w:r>
        <w:rPr>
          <w:rFonts w:hint="eastAsia" w:ascii="仿宋" w:hAnsi="仿宋" w:eastAsia="仿宋" w:cs="Times New Roman"/>
          <w:sz w:val="24"/>
          <w:szCs w:val="20"/>
          <w:highlight w:val="none"/>
          <w:shd w:val="clear" w:color="auto" w:fill="auto"/>
          <w:lang w:val="en-US" w:eastAsia="zh-CN"/>
        </w:rPr>
        <w:t>七</w:t>
      </w:r>
      <w:r>
        <w:rPr>
          <w:rFonts w:hint="eastAsia" w:ascii="仿宋" w:hAnsi="仿宋" w:eastAsia="仿宋" w:cs="Times New Roman"/>
          <w:sz w:val="24"/>
          <w:szCs w:val="20"/>
          <w:highlight w:val="none"/>
          <w:shd w:val="clear" w:color="auto" w:fill="auto"/>
        </w:rPr>
        <w:t>部分 投标范本格式</w:t>
      </w:r>
    </w:p>
    <w:p>
      <w:pPr>
        <w:ind w:firstLine="482" w:firstLineChars="200"/>
        <w:jc w:val="left"/>
        <w:rPr>
          <w:rFonts w:ascii="宋体" w:hAnsi="宋体" w:eastAsia="宋体" w:cs="宋体"/>
          <w:b/>
          <w:color w:val="000000"/>
          <w:sz w:val="24"/>
          <w:szCs w:val="24"/>
          <w:highlight w:val="none"/>
          <w:shd w:val="clear" w:color="auto" w:fill="auto"/>
        </w:rPr>
      </w:pPr>
      <w:r>
        <w:rPr>
          <w:rFonts w:hint="eastAsia" w:ascii="宋体" w:hAnsi="宋体" w:eastAsia="宋体" w:cs="宋体"/>
          <w:b/>
          <w:sz w:val="24"/>
          <w:szCs w:val="20"/>
          <w:highlight w:val="none"/>
          <w:shd w:val="clear" w:color="auto" w:fill="auto"/>
        </w:rPr>
        <w:t>5.</w:t>
      </w:r>
      <w:r>
        <w:rPr>
          <w:rFonts w:hint="eastAsia" w:ascii="宋体" w:hAnsi="宋体" w:eastAsia="宋体" w:cs="宋体"/>
          <w:b/>
          <w:color w:val="000000"/>
          <w:sz w:val="24"/>
          <w:szCs w:val="24"/>
          <w:highlight w:val="none"/>
          <w:shd w:val="clear" w:color="auto" w:fill="auto"/>
        </w:rPr>
        <w:t>对招标文件质疑与答复</w:t>
      </w:r>
    </w:p>
    <w:p>
      <w:pPr>
        <w:spacing w:line="360" w:lineRule="exact"/>
        <w:ind w:firstLine="480" w:firstLineChars="200"/>
        <w:rPr>
          <w:rFonts w:ascii="仿宋" w:hAnsi="仿宋" w:eastAsia="仿宋" w:cs="Times New Roman"/>
          <w:b w:val="0"/>
          <w:bCs/>
          <w:sz w:val="24"/>
          <w:szCs w:val="20"/>
          <w:highlight w:val="none"/>
          <w:shd w:val="clear" w:color="auto" w:fill="auto"/>
        </w:rPr>
      </w:pPr>
      <w:r>
        <w:rPr>
          <w:rFonts w:hint="eastAsia" w:ascii="仿宋_GB2312" w:hAnsi="宋体" w:eastAsia="仿宋_GB2312" w:cs="Times New Roman"/>
          <w:b w:val="0"/>
          <w:bCs/>
          <w:color w:val="000000"/>
          <w:sz w:val="24"/>
          <w:szCs w:val="24"/>
          <w:highlight w:val="none"/>
          <w:shd w:val="clear" w:color="auto" w:fill="auto"/>
        </w:rPr>
        <w:t>5.1供应商</w:t>
      </w:r>
      <w:r>
        <w:rPr>
          <w:rFonts w:hint="eastAsia" w:ascii="仿宋" w:hAnsi="仿宋" w:eastAsia="仿宋" w:cs="Times New Roman"/>
          <w:b w:val="0"/>
          <w:bCs/>
          <w:sz w:val="24"/>
          <w:szCs w:val="20"/>
          <w:highlight w:val="none"/>
          <w:shd w:val="clear" w:color="auto" w:fill="auto"/>
        </w:rPr>
        <w:t>对招标文件中的采购需求（资质要求、采购技术参数、付款方式、交货期限、售后服务和质保期）有异议的，应当自合法渠道获取招标文件之日起7个工作日内，以书面方式向采购人或采购代理机构提出。</w:t>
      </w:r>
    </w:p>
    <w:p>
      <w:pPr>
        <w:spacing w:line="360" w:lineRule="exact"/>
        <w:ind w:firstLine="480" w:firstLineChars="200"/>
        <w:rPr>
          <w:rFonts w:ascii="仿宋" w:hAnsi="仿宋" w:eastAsia="仿宋" w:cs="Times New Roman"/>
          <w:bCs/>
          <w:sz w:val="24"/>
          <w:szCs w:val="20"/>
          <w:highlight w:val="none"/>
          <w:shd w:val="clear" w:color="auto" w:fill="auto"/>
        </w:rPr>
      </w:pPr>
      <w:r>
        <w:rPr>
          <w:rFonts w:hint="eastAsia" w:ascii="仿宋" w:hAnsi="仿宋" w:eastAsia="仿宋" w:cs="Times New Roman"/>
          <w:bCs/>
          <w:sz w:val="24"/>
          <w:szCs w:val="20"/>
          <w:highlight w:val="none"/>
          <w:shd w:val="clear" w:color="auto" w:fill="auto"/>
        </w:rPr>
        <w:t>5.2采购人或采购代理机构在收到供应商的质疑函后7个工作日内予以答复，并以书面形式通知质疑供应商。</w:t>
      </w:r>
    </w:p>
    <w:p>
      <w:pPr>
        <w:ind w:firstLine="480" w:firstLineChars="200"/>
        <w:jc w:val="left"/>
        <w:rPr>
          <w:rFonts w:ascii="仿宋" w:hAnsi="仿宋" w:eastAsia="仿宋" w:cs="Times New Roman"/>
          <w:bCs/>
          <w:sz w:val="24"/>
          <w:szCs w:val="20"/>
          <w:highlight w:val="none"/>
          <w:shd w:val="clear" w:color="auto" w:fill="auto"/>
        </w:rPr>
      </w:pPr>
      <w:r>
        <w:rPr>
          <w:rFonts w:hint="eastAsia" w:ascii="仿宋" w:hAnsi="仿宋" w:eastAsia="仿宋" w:cs="Times New Roman"/>
          <w:bCs/>
          <w:sz w:val="24"/>
          <w:szCs w:val="20"/>
          <w:highlight w:val="none"/>
          <w:shd w:val="clear" w:color="auto" w:fill="auto"/>
        </w:rPr>
        <w:t>5.3供应商在法定质疑期内针对招标文件的质疑必须一次性提出，投标人在规定时间内，未对招标文件提出质疑的，则视为投标人完全同意招标文件的所有内容。</w:t>
      </w:r>
    </w:p>
    <w:p>
      <w:pPr>
        <w:ind w:firstLine="480" w:firstLineChars="200"/>
        <w:jc w:val="left"/>
        <w:rPr>
          <w:rFonts w:ascii="仿宋" w:hAnsi="仿宋" w:eastAsia="仿宋" w:cs="Times New Roman"/>
          <w:bCs/>
          <w:sz w:val="24"/>
          <w:szCs w:val="20"/>
          <w:highlight w:val="none"/>
          <w:shd w:val="clear" w:color="auto" w:fill="auto"/>
        </w:rPr>
      </w:pPr>
      <w:r>
        <w:rPr>
          <w:rFonts w:hint="eastAsia" w:ascii="仿宋" w:hAnsi="仿宋" w:eastAsia="仿宋" w:cs="Times New Roman"/>
          <w:bCs/>
          <w:sz w:val="24"/>
          <w:szCs w:val="20"/>
          <w:highlight w:val="none"/>
          <w:shd w:val="clear" w:color="auto" w:fill="auto"/>
        </w:rPr>
        <w:t>5.4提出质疑的供应商应当是参与所质疑项目采购活动的供应商。</w:t>
      </w:r>
    </w:p>
    <w:p>
      <w:pPr>
        <w:ind w:firstLine="482" w:firstLineChars="200"/>
        <w:jc w:val="left"/>
        <w:rPr>
          <w:rFonts w:ascii="宋体" w:hAnsi="宋体" w:eastAsia="宋体" w:cs="宋体"/>
          <w:b/>
          <w:sz w:val="24"/>
          <w:szCs w:val="20"/>
          <w:highlight w:val="none"/>
          <w:shd w:val="clear" w:color="auto" w:fill="auto"/>
        </w:rPr>
      </w:pPr>
      <w:r>
        <w:rPr>
          <w:rFonts w:hint="eastAsia" w:ascii="宋体" w:hAnsi="宋体" w:eastAsia="宋体" w:cs="宋体"/>
          <w:b/>
          <w:sz w:val="24"/>
          <w:szCs w:val="20"/>
          <w:highlight w:val="none"/>
          <w:shd w:val="clear" w:color="auto" w:fill="auto"/>
        </w:rPr>
        <w:t>6.招标文件的澄清或修改</w:t>
      </w:r>
    </w:p>
    <w:p>
      <w:pPr>
        <w:spacing w:line="360" w:lineRule="exact"/>
        <w:ind w:firstLine="480" w:firstLineChars="200"/>
        <w:rPr>
          <w:rFonts w:hint="eastAsia" w:ascii="仿宋" w:hAnsi="仿宋" w:eastAsia="仿宋" w:cs="Times New Roman"/>
          <w:bCs/>
          <w:sz w:val="24"/>
          <w:szCs w:val="20"/>
          <w:highlight w:val="none"/>
          <w:shd w:val="clear" w:color="auto" w:fill="auto"/>
        </w:rPr>
      </w:pPr>
      <w:r>
        <w:rPr>
          <w:rFonts w:hint="eastAsia" w:ascii="仿宋" w:hAnsi="仿宋" w:eastAsia="仿宋" w:cs="Times New Roman"/>
          <w:bCs/>
          <w:sz w:val="24"/>
          <w:szCs w:val="20"/>
          <w:highlight w:val="none"/>
          <w:shd w:val="clear" w:color="auto" w:fill="auto"/>
        </w:rPr>
        <w:t>6.1采购人或者采购代理机构可以对已发出的招标文件进行必要的澄清或者修改。澄清或者修改的内容可能影响投标文件编制的，采购人或者采购代理机构应当在投标截止时间至少15日前，以公告形式通知所有获取招标文件的潜在投标人；不足15日的，采购人或者采购代理机构应当顺延提交投标文件的截止时间。投标人在收到该通知后应立即以电报或传真的形式予以确认。</w:t>
      </w:r>
    </w:p>
    <w:p>
      <w:pPr>
        <w:ind w:firstLine="480" w:firstLineChars="200"/>
        <w:rPr>
          <w:rFonts w:ascii="仿宋" w:hAnsi="仿宋" w:eastAsia="仿宋" w:cs="Times New Roman"/>
          <w:sz w:val="24"/>
          <w:szCs w:val="24"/>
          <w:highlight w:val="none"/>
          <w:shd w:val="clear" w:color="auto" w:fill="auto"/>
        </w:rPr>
      </w:pPr>
      <w:r>
        <w:rPr>
          <w:rFonts w:hint="eastAsia" w:ascii="仿宋" w:hAnsi="仿宋" w:eastAsia="仿宋" w:cs="Times New Roman"/>
          <w:sz w:val="24"/>
          <w:szCs w:val="20"/>
          <w:highlight w:val="none"/>
          <w:shd w:val="clear" w:color="auto" w:fill="auto"/>
        </w:rPr>
        <w:t>6</w:t>
      </w:r>
      <w:r>
        <w:rPr>
          <w:rFonts w:ascii="仿宋" w:hAnsi="仿宋" w:eastAsia="仿宋" w:cs="Times New Roman"/>
          <w:sz w:val="24"/>
          <w:szCs w:val="20"/>
          <w:highlight w:val="none"/>
          <w:shd w:val="clear" w:color="auto" w:fill="auto"/>
        </w:rPr>
        <w:t>.</w:t>
      </w:r>
      <w:r>
        <w:rPr>
          <w:rFonts w:hint="eastAsia" w:ascii="仿宋" w:hAnsi="仿宋" w:eastAsia="仿宋" w:cs="Times New Roman"/>
          <w:sz w:val="24"/>
          <w:szCs w:val="20"/>
          <w:highlight w:val="none"/>
          <w:shd w:val="clear" w:color="auto" w:fill="auto"/>
        </w:rPr>
        <w:t>2　</w:t>
      </w:r>
      <w:r>
        <w:rPr>
          <w:rFonts w:hint="eastAsia" w:ascii="仿宋" w:hAnsi="仿宋" w:eastAsia="仿宋" w:cs="Times New Roman"/>
          <w:sz w:val="24"/>
          <w:szCs w:val="24"/>
          <w:highlight w:val="none"/>
          <w:shd w:val="clear" w:color="auto" w:fill="auto"/>
        </w:rPr>
        <w:t>招标文件的修改和补充文件将构成招标文件的一部分，并且对投标人具有优先约束力。</w:t>
      </w:r>
    </w:p>
    <w:p>
      <w:pPr>
        <w:ind w:firstLine="482" w:firstLineChars="200"/>
        <w:rPr>
          <w:rFonts w:ascii="宋体" w:hAnsi="宋体" w:eastAsia="宋体" w:cs="宋体"/>
          <w:b/>
          <w:bCs/>
          <w:sz w:val="24"/>
          <w:szCs w:val="20"/>
          <w:highlight w:val="none"/>
          <w:shd w:val="clear" w:color="auto" w:fill="auto"/>
        </w:rPr>
      </w:pPr>
      <w:r>
        <w:rPr>
          <w:rFonts w:hint="eastAsia" w:ascii="宋体" w:hAnsi="宋体" w:eastAsia="宋体" w:cs="宋体"/>
          <w:b/>
          <w:bCs/>
          <w:sz w:val="24"/>
          <w:szCs w:val="20"/>
          <w:highlight w:val="none"/>
          <w:shd w:val="clear" w:color="auto" w:fill="auto"/>
        </w:rPr>
        <w:t>7. 招标文件的解释权</w:t>
      </w:r>
    </w:p>
    <w:p>
      <w:pPr>
        <w:ind w:firstLine="480" w:firstLineChars="200"/>
        <w:rPr>
          <w:rFonts w:ascii="仿宋" w:hAnsi="仿宋" w:eastAsia="仿宋" w:cs="Times New Roman"/>
          <w:sz w:val="24"/>
          <w:szCs w:val="20"/>
          <w:highlight w:val="none"/>
          <w:shd w:val="clear" w:color="auto" w:fill="auto"/>
        </w:rPr>
      </w:pPr>
      <w:r>
        <w:rPr>
          <w:rFonts w:hint="eastAsia" w:ascii="仿宋" w:hAnsi="仿宋" w:eastAsia="仿宋" w:cs="Times New Roman"/>
          <w:sz w:val="24"/>
          <w:szCs w:val="20"/>
          <w:highlight w:val="none"/>
          <w:shd w:val="clear" w:color="auto" w:fill="auto"/>
        </w:rPr>
        <w:t>7.1本招标文件的解释权归</w:t>
      </w:r>
      <w:r>
        <w:rPr>
          <w:rFonts w:hint="eastAsia" w:ascii="仿宋" w:hAnsi="仿宋" w:eastAsia="仿宋" w:cs="Times New Roman"/>
          <w:bCs/>
          <w:sz w:val="24"/>
          <w:szCs w:val="20"/>
          <w:highlight w:val="none"/>
          <w:shd w:val="clear" w:color="auto" w:fill="auto"/>
        </w:rPr>
        <w:t>采购代理机构</w:t>
      </w:r>
      <w:r>
        <w:rPr>
          <w:rFonts w:hint="eastAsia" w:ascii="仿宋" w:hAnsi="仿宋" w:eastAsia="仿宋" w:cs="Times New Roman"/>
          <w:sz w:val="24"/>
          <w:szCs w:val="20"/>
          <w:highlight w:val="none"/>
          <w:shd w:val="clear" w:color="auto" w:fill="auto"/>
        </w:rPr>
        <w:t>新疆鼎标招投标代理有限公司。</w:t>
      </w:r>
      <w:bookmarkStart w:id="23" w:name="_Toc23877"/>
      <w:bookmarkStart w:id="24" w:name="_Toc21110"/>
      <w:bookmarkStart w:id="25" w:name="_Toc1839"/>
      <w:bookmarkStart w:id="26" w:name="_Toc9247"/>
      <w:bookmarkStart w:id="27" w:name="_Toc4244"/>
      <w:bookmarkStart w:id="28" w:name="_Toc25732"/>
      <w:bookmarkStart w:id="29" w:name="_Toc8278"/>
      <w:bookmarkStart w:id="30" w:name="_Toc30637"/>
      <w:bookmarkStart w:id="31" w:name="_Toc15920"/>
      <w:bookmarkStart w:id="32" w:name="_Toc2594"/>
      <w:bookmarkStart w:id="33" w:name="_Toc22600"/>
      <w:bookmarkStart w:id="34" w:name="_Toc25097"/>
      <w:bookmarkStart w:id="35" w:name="_Toc22946"/>
      <w:bookmarkStart w:id="36" w:name="_Toc17436"/>
      <w:bookmarkStart w:id="37" w:name="_Toc14958"/>
    </w:p>
    <w:p>
      <w:pPr>
        <w:jc w:val="both"/>
        <w:outlineLvl w:val="1"/>
        <w:rPr>
          <w:rFonts w:ascii="仿宋_GB2312" w:hAnsi="宋体" w:eastAsia="仿宋_GB2312" w:cs="Times New Roman"/>
          <w:b/>
          <w:sz w:val="32"/>
          <w:szCs w:val="32"/>
          <w:highlight w:val="yellow"/>
        </w:rPr>
      </w:pPr>
    </w:p>
    <w:p>
      <w:pPr>
        <w:jc w:val="center"/>
        <w:outlineLvl w:val="1"/>
        <w:rPr>
          <w:rFonts w:ascii="仿宋" w:hAnsi="仿宋" w:eastAsia="仿宋" w:cs="仿宋"/>
          <w:szCs w:val="20"/>
          <w:highlight w:val="none"/>
        </w:rPr>
      </w:pPr>
      <w:bookmarkStart w:id="38" w:name="_Toc27476"/>
      <w:r>
        <w:rPr>
          <w:rFonts w:hint="eastAsia" w:ascii="仿宋_GB2312" w:hAnsi="宋体" w:eastAsia="仿宋_GB2312" w:cs="Times New Roman"/>
          <w:b/>
          <w:sz w:val="32"/>
          <w:szCs w:val="32"/>
          <w:highlight w:val="none"/>
        </w:rPr>
        <w:t xml:space="preserve">第二章 </w:t>
      </w:r>
      <w:r>
        <w:rPr>
          <w:rFonts w:hint="eastAsia" w:ascii="仿宋" w:hAnsi="仿宋" w:eastAsia="仿宋" w:cs="仿宋"/>
          <w:b/>
          <w:bCs/>
          <w:sz w:val="32"/>
          <w:szCs w:val="32"/>
          <w:highlight w:val="none"/>
        </w:rPr>
        <w:t>对投标人的资质要求</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ind w:firstLine="482" w:firstLineChars="200"/>
        <w:rPr>
          <w:rFonts w:ascii="宋体" w:hAnsi="宋体" w:eastAsia="宋体" w:cs="宋体"/>
          <w:b/>
          <w:sz w:val="24"/>
          <w:szCs w:val="20"/>
          <w:highlight w:val="none"/>
        </w:rPr>
      </w:pPr>
      <w:r>
        <w:rPr>
          <w:rFonts w:hint="eastAsia" w:ascii="宋体" w:hAnsi="宋体" w:eastAsia="宋体" w:cs="宋体"/>
          <w:b/>
          <w:sz w:val="24"/>
          <w:szCs w:val="20"/>
          <w:highlight w:val="none"/>
        </w:rPr>
        <w:t>1、投标资质要求</w:t>
      </w:r>
    </w:p>
    <w:p>
      <w:pPr>
        <w:ind w:firstLine="480" w:firstLineChars="200"/>
        <w:rPr>
          <w:rFonts w:ascii="仿宋" w:hAnsi="仿宋" w:eastAsia="仿宋" w:cs="Times New Roman"/>
          <w:sz w:val="24"/>
          <w:szCs w:val="20"/>
          <w:highlight w:val="none"/>
        </w:rPr>
      </w:pPr>
      <w:r>
        <w:rPr>
          <w:rFonts w:hint="eastAsia" w:ascii="仿宋" w:hAnsi="仿宋" w:eastAsia="仿宋" w:cs="Times New Roman"/>
          <w:sz w:val="24"/>
          <w:szCs w:val="20"/>
          <w:highlight w:val="none"/>
        </w:rPr>
        <w:t>符合《中华人民共和国政府采购法》第二十二条的相关规定； </w:t>
      </w:r>
    </w:p>
    <w:p>
      <w:pPr>
        <w:ind w:firstLine="480" w:firstLineChars="200"/>
        <w:rPr>
          <w:rFonts w:ascii="仿宋" w:hAnsi="仿宋" w:eastAsia="仿宋" w:cs="Times New Roman"/>
          <w:b/>
          <w:bCs/>
          <w:color w:val="FF0000"/>
          <w:sz w:val="24"/>
          <w:szCs w:val="20"/>
          <w:highlight w:val="none"/>
          <w:u w:val="single"/>
        </w:rPr>
      </w:pPr>
      <w:r>
        <w:rPr>
          <w:rFonts w:hint="eastAsia" w:ascii="仿宋" w:hAnsi="仿宋" w:eastAsia="仿宋" w:cs="Times New Roman"/>
          <w:sz w:val="24"/>
          <w:szCs w:val="20"/>
          <w:highlight w:val="none"/>
        </w:rPr>
        <w:t>1.1　供应商必须提交能够证明其具有履行本采购项目合同能力的资质证明文件，作为投标文件的一部分，所有非中文资质证明文件必须提供译文证明文件。</w:t>
      </w:r>
    </w:p>
    <w:p>
      <w:pPr>
        <w:ind w:firstLine="480" w:firstLineChars="200"/>
        <w:rPr>
          <w:rFonts w:hint="eastAsia" w:ascii="仿宋" w:hAnsi="仿宋" w:eastAsia="仿宋" w:cs="Times New Roman"/>
          <w:sz w:val="24"/>
          <w:szCs w:val="20"/>
          <w:highlight w:val="none"/>
        </w:rPr>
      </w:pPr>
      <w:r>
        <w:rPr>
          <w:rFonts w:hint="eastAsia" w:ascii="仿宋" w:hAnsi="仿宋" w:eastAsia="仿宋" w:cs="Times New Roman"/>
          <w:sz w:val="24"/>
          <w:szCs w:val="20"/>
          <w:highlight w:val="none"/>
          <w:lang w:eastAsia="zh-CN"/>
        </w:rPr>
        <w:t>（</w:t>
      </w:r>
      <w:r>
        <w:rPr>
          <w:rFonts w:hint="eastAsia" w:ascii="仿宋" w:hAnsi="仿宋" w:eastAsia="仿宋" w:cs="Times New Roman"/>
          <w:sz w:val="24"/>
          <w:szCs w:val="20"/>
          <w:highlight w:val="none"/>
          <w:lang w:val="en-US" w:eastAsia="zh-CN"/>
        </w:rPr>
        <w:t>1</w:t>
      </w:r>
      <w:r>
        <w:rPr>
          <w:rFonts w:hint="eastAsia" w:ascii="仿宋" w:hAnsi="仿宋" w:eastAsia="仿宋" w:cs="Times New Roman"/>
          <w:sz w:val="24"/>
          <w:szCs w:val="20"/>
          <w:highlight w:val="none"/>
          <w:lang w:eastAsia="zh-CN"/>
        </w:rPr>
        <w:t>）</w:t>
      </w:r>
      <w:r>
        <w:rPr>
          <w:rFonts w:hint="eastAsia" w:ascii="仿宋" w:hAnsi="仿宋" w:eastAsia="仿宋" w:cs="Times New Roman"/>
          <w:sz w:val="24"/>
          <w:szCs w:val="20"/>
          <w:highlight w:val="none"/>
        </w:rPr>
        <w:t>法</w:t>
      </w:r>
      <w:r>
        <w:rPr>
          <w:rFonts w:hint="eastAsia" w:ascii="仿宋" w:hAnsi="仿宋" w:eastAsia="仿宋" w:cs="Times New Roman"/>
          <w:sz w:val="24"/>
          <w:szCs w:val="20"/>
          <w:highlight w:val="none"/>
          <w:lang w:val="en-US" w:eastAsia="zh-CN"/>
        </w:rPr>
        <w:t>定</w:t>
      </w:r>
      <w:r>
        <w:rPr>
          <w:rFonts w:hint="eastAsia" w:ascii="仿宋" w:hAnsi="仿宋" w:eastAsia="仿宋" w:cs="Times New Roman"/>
          <w:sz w:val="24"/>
          <w:szCs w:val="20"/>
          <w:highlight w:val="none"/>
        </w:rPr>
        <w:t xml:space="preserve">代表人授权委托书原件【法定代表人参加提供法定代表人身份证明书】。 </w:t>
      </w:r>
    </w:p>
    <w:p>
      <w:pPr>
        <w:ind w:firstLine="480" w:firstLineChars="200"/>
        <w:rPr>
          <w:rFonts w:hint="eastAsia" w:ascii="仿宋" w:hAnsi="仿宋" w:eastAsia="仿宋" w:cs="Times New Roman"/>
          <w:sz w:val="24"/>
          <w:szCs w:val="20"/>
          <w:highlight w:val="none"/>
        </w:rPr>
      </w:pPr>
      <w:r>
        <w:rPr>
          <w:rFonts w:hint="eastAsia" w:ascii="仿宋" w:hAnsi="仿宋" w:eastAsia="仿宋" w:cs="Times New Roman"/>
          <w:sz w:val="24"/>
          <w:szCs w:val="20"/>
          <w:highlight w:val="none"/>
        </w:rPr>
        <w:t>（2）被授权人《居民身份证》原件；【法定代表人参加提供本人《居民身份证》原件】。</w:t>
      </w:r>
    </w:p>
    <w:p>
      <w:pPr>
        <w:ind w:firstLine="480" w:firstLineChars="200"/>
        <w:rPr>
          <w:rFonts w:hint="eastAsia"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rPr>
        <w:t>（3）</w:t>
      </w:r>
      <w:r>
        <w:rPr>
          <w:rFonts w:hint="eastAsia" w:ascii="仿宋" w:hAnsi="仿宋" w:eastAsia="仿宋" w:cs="Times New Roman"/>
          <w:sz w:val="24"/>
          <w:szCs w:val="20"/>
          <w:highlight w:val="none"/>
          <w:lang w:val="en-US" w:eastAsia="zh-CN"/>
        </w:rPr>
        <w:t>投标人有效期内三证合一工商营业执照副本原件或复印件加盖公章。</w:t>
      </w:r>
    </w:p>
    <w:p>
      <w:pPr>
        <w:ind w:firstLine="480" w:firstLineChars="200"/>
        <w:rPr>
          <w:rFonts w:hint="eastAsia"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en-US" w:eastAsia="zh-CN"/>
        </w:rPr>
        <w:t>（4）新疆鼎标招投标代理有限公司开具的投标保证金收据原件。</w:t>
      </w:r>
    </w:p>
    <w:p>
      <w:pPr>
        <w:ind w:firstLine="480" w:firstLineChars="200"/>
        <w:rPr>
          <w:rFonts w:hint="eastAsia"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en-US" w:eastAsia="zh-CN"/>
        </w:rPr>
        <w:t>（5）社保机构出具的投标企业缴纳被授权人参加本次采购活动前3个月的社会保障资金证明原件（法定代表人参加也须提供此项）。</w:t>
      </w:r>
    </w:p>
    <w:p>
      <w:pPr>
        <w:ind w:firstLine="480" w:firstLineChars="200"/>
        <w:rPr>
          <w:rFonts w:hint="eastAsia"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en-US" w:eastAsia="zh-CN"/>
        </w:rPr>
        <w:t>（6）税务机关出具的参加本次采购活动前3个月报价人依法纳税凭证原件或有电子专用章的完税证明。 </w:t>
      </w:r>
    </w:p>
    <w:p>
      <w:pPr>
        <w:ind w:firstLine="480" w:firstLineChars="200"/>
        <w:rPr>
          <w:rFonts w:hint="eastAsia"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en-US" w:eastAsia="zh-CN"/>
        </w:rPr>
        <w:t>（7）会计师事务所出具的2019年度财务审计报告原件（或复印件加盖公章）或银行出具的资信证明原件。</w:t>
      </w:r>
    </w:p>
    <w:p>
      <w:pPr>
        <w:ind w:firstLine="480" w:firstLineChars="200"/>
        <w:rPr>
          <w:rFonts w:hint="default"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en-US" w:eastAsia="zh-CN"/>
        </w:rPr>
        <w:t>（8）</w:t>
      </w:r>
      <w:r>
        <w:rPr>
          <w:rFonts w:hint="default" w:ascii="仿宋" w:hAnsi="仿宋" w:eastAsia="仿宋" w:cs="Times New Roman"/>
          <w:sz w:val="24"/>
          <w:szCs w:val="20"/>
          <w:highlight w:val="none"/>
          <w:lang w:val="en-US" w:eastAsia="zh-CN"/>
        </w:rPr>
        <w:t>投标人为制造商的须提供《医疗器械生产许可证》</w:t>
      </w:r>
      <w:r>
        <w:rPr>
          <w:rFonts w:hint="eastAsia" w:ascii="仿宋" w:hAnsi="仿宋" w:eastAsia="仿宋" w:cs="Times New Roman"/>
          <w:sz w:val="24"/>
          <w:szCs w:val="20"/>
          <w:highlight w:val="none"/>
          <w:lang w:val="en-US" w:eastAsia="zh-CN"/>
        </w:rPr>
        <w:t>原件（或复印件加盖公章）</w:t>
      </w:r>
      <w:r>
        <w:rPr>
          <w:rFonts w:hint="default" w:ascii="仿宋" w:hAnsi="仿宋" w:eastAsia="仿宋" w:cs="Times New Roman"/>
          <w:sz w:val="24"/>
          <w:szCs w:val="20"/>
          <w:highlight w:val="none"/>
          <w:lang w:val="en-US" w:eastAsia="zh-CN"/>
        </w:rPr>
        <w:t>；投标人为经销商的须提供《医疗器械经营许可证》</w:t>
      </w:r>
      <w:r>
        <w:rPr>
          <w:rFonts w:hint="eastAsia" w:ascii="仿宋" w:hAnsi="仿宋" w:eastAsia="仿宋" w:cs="Times New Roman"/>
          <w:sz w:val="24"/>
          <w:szCs w:val="20"/>
          <w:highlight w:val="none"/>
          <w:lang w:val="en-US" w:eastAsia="zh-CN"/>
        </w:rPr>
        <w:t>原件（或复印件加盖公章）</w:t>
      </w:r>
      <w:r>
        <w:rPr>
          <w:rFonts w:hint="default" w:ascii="仿宋" w:hAnsi="仿宋" w:eastAsia="仿宋" w:cs="Times New Roman"/>
          <w:sz w:val="24"/>
          <w:szCs w:val="20"/>
          <w:highlight w:val="none"/>
          <w:lang w:val="en-US" w:eastAsia="zh-CN"/>
        </w:rPr>
        <w:t>或者《医疗器械经营备案凭证》</w:t>
      </w:r>
      <w:r>
        <w:rPr>
          <w:rFonts w:hint="eastAsia" w:ascii="仿宋" w:hAnsi="仿宋" w:eastAsia="仿宋" w:cs="Times New Roman"/>
          <w:sz w:val="24"/>
          <w:szCs w:val="20"/>
          <w:highlight w:val="none"/>
          <w:lang w:val="en-US" w:eastAsia="zh-CN"/>
        </w:rPr>
        <w:t>原件（或复印件加盖公章）【投国产产品提供】</w:t>
      </w:r>
    </w:p>
    <w:p>
      <w:pPr>
        <w:ind w:firstLine="480" w:firstLineChars="200"/>
        <w:rPr>
          <w:rFonts w:hint="default"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en-US" w:eastAsia="zh-CN"/>
        </w:rPr>
        <w:t>（9）进口产品国外生产企业给中国区总代理的授权书复印件（加盖中国区总代理的公章）、进口产品中国区代理给投标人授权证明原件（或复印件加盖公章）【投进口产品提供】</w:t>
      </w:r>
    </w:p>
    <w:p>
      <w:pPr>
        <w:ind w:firstLine="480" w:firstLineChars="200"/>
        <w:rPr>
          <w:rFonts w:hint="eastAsia"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en-US" w:eastAsia="zh-CN"/>
        </w:rPr>
        <w:t>（10）</w:t>
      </w:r>
      <w:r>
        <w:rPr>
          <w:rFonts w:hint="default" w:ascii="仿宋" w:hAnsi="仿宋" w:eastAsia="仿宋" w:cs="Times New Roman"/>
          <w:sz w:val="24"/>
          <w:szCs w:val="20"/>
          <w:highlight w:val="none"/>
          <w:lang w:val="en-US" w:eastAsia="zh-CN"/>
        </w:rPr>
        <w:t>投标人需提供所投产品的《医疗器械注册证》(</w:t>
      </w:r>
      <w:r>
        <w:rPr>
          <w:rFonts w:hint="eastAsia" w:ascii="仿宋" w:hAnsi="仿宋" w:eastAsia="仿宋" w:cs="Times New Roman"/>
          <w:sz w:val="24"/>
          <w:szCs w:val="20"/>
          <w:highlight w:val="none"/>
          <w:lang w:val="en-US" w:eastAsia="zh-CN"/>
        </w:rPr>
        <w:t>含</w:t>
      </w:r>
      <w:r>
        <w:rPr>
          <w:rFonts w:hint="default" w:ascii="仿宋" w:hAnsi="仿宋" w:eastAsia="仿宋" w:cs="Times New Roman"/>
          <w:sz w:val="24"/>
          <w:szCs w:val="20"/>
          <w:highlight w:val="none"/>
          <w:lang w:val="en-US" w:eastAsia="zh-CN"/>
        </w:rPr>
        <w:t>注册登记表)，所有证件均应在有效期内</w:t>
      </w:r>
      <w:r>
        <w:rPr>
          <w:rFonts w:hint="eastAsia" w:ascii="仿宋" w:hAnsi="仿宋" w:eastAsia="仿宋" w:cs="Times New Roman"/>
          <w:sz w:val="24"/>
          <w:szCs w:val="20"/>
          <w:highlight w:val="none"/>
          <w:lang w:val="en-US" w:eastAsia="zh-CN"/>
        </w:rPr>
        <w:t>。</w:t>
      </w:r>
    </w:p>
    <w:p>
      <w:pPr>
        <w:ind w:firstLine="480" w:firstLineChars="200"/>
        <w:rPr>
          <w:rFonts w:hint="eastAsia"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zh-CN" w:eastAsia="zh-CN"/>
        </w:rPr>
        <w:t>（</w:t>
      </w:r>
      <w:r>
        <w:rPr>
          <w:rFonts w:hint="eastAsia" w:ascii="仿宋" w:hAnsi="仿宋" w:eastAsia="仿宋" w:cs="Times New Roman"/>
          <w:sz w:val="24"/>
          <w:szCs w:val="20"/>
          <w:highlight w:val="none"/>
          <w:lang w:val="en-US" w:eastAsia="zh-CN"/>
        </w:rPr>
        <w:t>11</w:t>
      </w:r>
      <w:r>
        <w:rPr>
          <w:rFonts w:hint="eastAsia" w:ascii="仿宋" w:hAnsi="仿宋" w:eastAsia="仿宋" w:cs="Times New Roman"/>
          <w:sz w:val="24"/>
          <w:szCs w:val="20"/>
          <w:highlight w:val="none"/>
          <w:lang w:val="zh-CN" w:eastAsia="zh-CN"/>
        </w:rPr>
        <w:t>）投标人为外地企业</w:t>
      </w:r>
      <w:r>
        <w:rPr>
          <w:rFonts w:hint="eastAsia" w:ascii="仿宋" w:hAnsi="仿宋" w:eastAsia="仿宋" w:cs="Times New Roman"/>
          <w:sz w:val="24"/>
          <w:szCs w:val="20"/>
          <w:highlight w:val="none"/>
          <w:lang w:val="en-US" w:eastAsia="zh-CN"/>
        </w:rPr>
        <w:t>须</w:t>
      </w:r>
      <w:r>
        <w:rPr>
          <w:rFonts w:hint="eastAsia" w:ascii="仿宋" w:hAnsi="仿宋" w:eastAsia="仿宋" w:cs="Times New Roman"/>
          <w:sz w:val="24"/>
          <w:szCs w:val="20"/>
          <w:highlight w:val="none"/>
          <w:lang w:val="zh-CN" w:eastAsia="zh-CN"/>
        </w:rPr>
        <w:t>提供与</w:t>
      </w:r>
      <w:r>
        <w:rPr>
          <w:rFonts w:hint="eastAsia" w:ascii="仿宋" w:hAnsi="仿宋" w:eastAsia="仿宋" w:cs="Times New Roman"/>
          <w:sz w:val="24"/>
          <w:szCs w:val="20"/>
          <w:highlight w:val="none"/>
          <w:lang w:val="en-US" w:eastAsia="zh-CN"/>
        </w:rPr>
        <w:t>新疆范围内</w:t>
      </w:r>
      <w:r>
        <w:rPr>
          <w:rFonts w:hint="eastAsia" w:ascii="仿宋" w:hAnsi="仿宋" w:eastAsia="仿宋" w:cs="Times New Roman"/>
          <w:sz w:val="24"/>
          <w:szCs w:val="20"/>
          <w:highlight w:val="none"/>
          <w:lang w:val="zh-CN" w:eastAsia="zh-CN"/>
        </w:rPr>
        <w:t>售后服务机构协议书原件及</w:t>
      </w:r>
      <w:r>
        <w:rPr>
          <w:rFonts w:hint="eastAsia" w:ascii="仿宋" w:hAnsi="仿宋" w:eastAsia="仿宋" w:cs="Times New Roman"/>
          <w:sz w:val="24"/>
          <w:szCs w:val="20"/>
          <w:highlight w:val="none"/>
          <w:lang w:val="en-US" w:eastAsia="zh-CN"/>
        </w:rPr>
        <w:t>新疆</w:t>
      </w:r>
      <w:r>
        <w:rPr>
          <w:rFonts w:hint="eastAsia" w:ascii="仿宋" w:hAnsi="仿宋" w:eastAsia="仿宋" w:cs="Times New Roman"/>
          <w:sz w:val="24"/>
          <w:szCs w:val="20"/>
          <w:highlight w:val="none"/>
          <w:lang w:val="zh-CN" w:eastAsia="zh-CN"/>
        </w:rPr>
        <w:t>企业售后服务机构营业执照</w:t>
      </w:r>
      <w:r>
        <w:rPr>
          <w:rFonts w:hint="eastAsia" w:ascii="仿宋" w:hAnsi="仿宋" w:eastAsia="仿宋" w:cs="Times New Roman"/>
          <w:sz w:val="24"/>
          <w:szCs w:val="20"/>
          <w:highlight w:val="none"/>
          <w:lang w:val="en-US" w:eastAsia="zh-CN"/>
        </w:rPr>
        <w:t>副本原件</w:t>
      </w:r>
      <w:r>
        <w:rPr>
          <w:rFonts w:hint="eastAsia" w:ascii="仿宋" w:hAnsi="仿宋" w:eastAsia="仿宋" w:cs="Times New Roman"/>
          <w:sz w:val="24"/>
          <w:szCs w:val="20"/>
          <w:highlight w:val="none"/>
          <w:lang w:val="zh-CN" w:eastAsia="zh-CN"/>
        </w:rPr>
        <w:t>和售后服务人员清单；投标人为</w:t>
      </w:r>
      <w:r>
        <w:rPr>
          <w:rFonts w:hint="eastAsia" w:ascii="仿宋" w:hAnsi="仿宋" w:eastAsia="仿宋" w:cs="Times New Roman"/>
          <w:sz w:val="24"/>
          <w:szCs w:val="20"/>
          <w:highlight w:val="none"/>
          <w:lang w:val="en-US" w:eastAsia="zh-CN"/>
        </w:rPr>
        <w:t>新疆</w:t>
      </w:r>
      <w:r>
        <w:rPr>
          <w:rFonts w:hint="eastAsia" w:ascii="仿宋" w:hAnsi="仿宋" w:eastAsia="仿宋" w:cs="Times New Roman"/>
          <w:sz w:val="24"/>
          <w:szCs w:val="20"/>
          <w:highlight w:val="none"/>
          <w:lang w:val="zh-CN" w:eastAsia="zh-CN"/>
        </w:rPr>
        <w:t>企业提供售后服务承诺书原件。</w:t>
      </w:r>
    </w:p>
    <w:p>
      <w:pPr>
        <w:ind w:firstLine="480" w:firstLineChars="200"/>
        <w:rPr>
          <w:rFonts w:hint="eastAsia" w:ascii="仿宋" w:hAnsi="仿宋" w:eastAsia="仿宋" w:cs="Times New Roman"/>
          <w:sz w:val="24"/>
          <w:szCs w:val="20"/>
          <w:highlight w:val="none"/>
          <w:lang w:val="en-US" w:eastAsia="zh-CN"/>
        </w:rPr>
      </w:pPr>
      <w:r>
        <w:rPr>
          <w:rFonts w:hint="eastAsia" w:ascii="仿宋" w:hAnsi="仿宋" w:eastAsia="仿宋" w:cs="Times New Roman"/>
          <w:sz w:val="24"/>
          <w:szCs w:val="20"/>
          <w:highlight w:val="none"/>
          <w:lang w:val="en-US" w:eastAsia="zh-CN"/>
        </w:rPr>
        <w:t>（12）投标人需提供参加采购活动前三年内，在经营活动中没有重大违法记录(受行政主管部门的处罚不能参加投标)，供应商不得为“信用中国”网站（网址：www.creditchina.gov.cn ）中列入失信被执行人和重大税收违法案件当事人名单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网页打印件须自采购公告发布之日起至首次提交投标文件截止时间内从上述网站中打印加盖企业公章）。</w:t>
      </w:r>
    </w:p>
    <w:p>
      <w:pPr>
        <w:ind w:firstLine="480" w:firstLineChars="200"/>
        <w:rPr>
          <w:rFonts w:ascii="仿宋" w:hAnsi="仿宋" w:eastAsia="仿宋" w:cs="Times New Roman"/>
          <w:b/>
          <w:color w:val="7030A0"/>
          <w:sz w:val="24"/>
          <w:szCs w:val="24"/>
          <w:highlight w:val="none"/>
        </w:rPr>
      </w:pPr>
      <w:r>
        <w:rPr>
          <w:rFonts w:hint="eastAsia" w:ascii="仿宋" w:hAnsi="仿宋" w:eastAsia="仿宋" w:cs="Times New Roman"/>
          <w:sz w:val="24"/>
          <w:szCs w:val="20"/>
          <w:highlight w:val="none"/>
          <w:lang w:val="en-US" w:eastAsia="zh-CN"/>
        </w:rPr>
        <w:t>说明</w:t>
      </w:r>
      <w:r>
        <w:rPr>
          <w:rFonts w:hint="eastAsia" w:ascii="仿宋" w:hAnsi="仿宋" w:eastAsia="仿宋" w:cs="Times New Roman"/>
          <w:sz w:val="24"/>
          <w:szCs w:val="20"/>
          <w:highlight w:val="none"/>
        </w:rPr>
        <w:t>：本项目不接受联合体投标，单位负责人为同一人或者存在控股、管理关系的不同单位，不得同时参加本项目的投标；为本项目提供整体设计、规范编制或者项目管理、监理、检测等服务的服务商，不得再参加本项目投标。其中（1）-（1</w:t>
      </w:r>
      <w:r>
        <w:rPr>
          <w:rFonts w:hint="eastAsia" w:ascii="仿宋" w:hAnsi="仿宋" w:eastAsia="仿宋" w:cs="Times New Roman"/>
          <w:sz w:val="24"/>
          <w:szCs w:val="20"/>
          <w:highlight w:val="none"/>
          <w:lang w:val="en-US" w:eastAsia="zh-CN"/>
        </w:rPr>
        <w:t>2</w:t>
      </w:r>
      <w:r>
        <w:rPr>
          <w:rFonts w:hint="eastAsia" w:ascii="仿宋" w:hAnsi="仿宋" w:eastAsia="仿宋" w:cs="Times New Roman"/>
          <w:sz w:val="24"/>
          <w:szCs w:val="20"/>
          <w:highlight w:val="none"/>
        </w:rPr>
        <w:t>）为资格审查时的必备条件，投标人必须按要求现场单独提供，如果提供不全（或密封在投标文件中）则视为对招标文件资格审查内容的不响应，投标将被拒绝（不接受二次提供）。</w:t>
      </w:r>
    </w:p>
    <w:p>
      <w:pPr>
        <w:jc w:val="both"/>
        <w:outlineLvl w:val="1"/>
        <w:rPr>
          <w:rFonts w:ascii="仿宋_GB2312" w:hAnsi="Arial" w:eastAsia="仿宋_GB2312" w:cs="Times New Roman"/>
          <w:b/>
          <w:sz w:val="32"/>
          <w:szCs w:val="32"/>
          <w:highlight w:val="yellow"/>
        </w:rPr>
      </w:pPr>
      <w:bookmarkStart w:id="39" w:name="_Toc7999"/>
      <w:bookmarkStart w:id="40" w:name="_Toc19309"/>
      <w:bookmarkStart w:id="41" w:name="_Toc21696"/>
      <w:bookmarkStart w:id="42" w:name="_Toc19997"/>
      <w:bookmarkStart w:id="43" w:name="_Toc31206"/>
      <w:bookmarkStart w:id="44" w:name="_Toc2056"/>
      <w:bookmarkStart w:id="45" w:name="_Toc11677"/>
      <w:bookmarkStart w:id="46" w:name="_Toc7896"/>
      <w:bookmarkStart w:id="47" w:name="_Toc16095"/>
      <w:bookmarkStart w:id="48" w:name="_Toc25475"/>
      <w:bookmarkStart w:id="49" w:name="_Toc15431"/>
      <w:bookmarkStart w:id="50" w:name="_Toc16339"/>
      <w:bookmarkStart w:id="51" w:name="_Toc29361"/>
      <w:bookmarkStart w:id="52" w:name="_Toc3882"/>
      <w:bookmarkStart w:id="53" w:name="_Toc28050"/>
    </w:p>
    <w:p>
      <w:pPr>
        <w:jc w:val="center"/>
        <w:outlineLvl w:val="1"/>
        <w:rPr>
          <w:rFonts w:ascii="仿宋_GB2312" w:hAnsi="Arial" w:eastAsia="仿宋_GB2312" w:cs="Times New Roman"/>
          <w:b/>
          <w:sz w:val="32"/>
          <w:szCs w:val="32"/>
          <w:highlight w:val="none"/>
          <w:shd w:val="clear" w:color="auto" w:fill="auto"/>
        </w:rPr>
      </w:pPr>
      <w:bookmarkStart w:id="54" w:name="_Toc23609"/>
      <w:r>
        <w:rPr>
          <w:rFonts w:hint="eastAsia" w:ascii="仿宋_GB2312" w:hAnsi="Arial" w:eastAsia="仿宋_GB2312" w:cs="Times New Roman"/>
          <w:b/>
          <w:sz w:val="32"/>
          <w:szCs w:val="32"/>
          <w:highlight w:val="none"/>
          <w:shd w:val="clear" w:color="auto" w:fill="auto"/>
        </w:rPr>
        <w:t>第三章 投标文件的编写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ind w:firstLine="482" w:firstLineChars="200"/>
        <w:rPr>
          <w:rFonts w:hint="eastAsia" w:ascii="仿宋" w:hAnsi="仿宋" w:eastAsia="仿宋" w:cs="仿宋"/>
          <w:b/>
          <w:sz w:val="24"/>
          <w:szCs w:val="24"/>
          <w:highlight w:val="none"/>
          <w:shd w:val="clear" w:color="auto" w:fill="auto"/>
        </w:rPr>
      </w:pPr>
      <w:r>
        <w:rPr>
          <w:rFonts w:hint="eastAsia" w:ascii="仿宋" w:hAnsi="仿宋" w:eastAsia="仿宋" w:cs="仿宋"/>
          <w:b/>
          <w:sz w:val="24"/>
          <w:szCs w:val="24"/>
          <w:highlight w:val="none"/>
          <w:shd w:val="clear" w:color="auto" w:fill="auto"/>
        </w:rPr>
        <w:t>1、  投标文件要求</w:t>
      </w:r>
    </w:p>
    <w:p>
      <w:pPr>
        <w:ind w:firstLine="480" w:firstLineChars="200"/>
        <w:rPr>
          <w:rFonts w:hint="eastAsia"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rPr>
        <w:t>1.1 投标文件以及投标人和采购人或</w:t>
      </w:r>
      <w:r>
        <w:rPr>
          <w:rFonts w:hint="eastAsia" w:ascii="仿宋" w:hAnsi="仿宋" w:eastAsia="仿宋" w:cs="仿宋"/>
          <w:bCs/>
          <w:sz w:val="24"/>
          <w:szCs w:val="24"/>
          <w:highlight w:val="none"/>
          <w:shd w:val="clear" w:color="auto" w:fill="auto"/>
        </w:rPr>
        <w:t>采购代理机构</w:t>
      </w:r>
      <w:r>
        <w:rPr>
          <w:rFonts w:hint="eastAsia" w:ascii="仿宋" w:hAnsi="仿宋" w:eastAsia="仿宋" w:cs="仿宋"/>
          <w:sz w:val="24"/>
          <w:szCs w:val="24"/>
          <w:highlight w:val="none"/>
          <w:shd w:val="clear" w:color="auto" w:fill="auto"/>
        </w:rPr>
        <w:t>就招标、投标交换的文件和往来信件，须以中文书写。</w:t>
      </w:r>
    </w:p>
    <w:p>
      <w:pPr>
        <w:ind w:firstLine="480" w:firstLineChars="200"/>
        <w:rPr>
          <w:rFonts w:hint="eastAsia"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rPr>
        <w:t>1.2 除在招标书的技术规格中另有规定外，计量单位应使用中华人民共和国法定计量单位。</w:t>
      </w:r>
    </w:p>
    <w:p>
      <w:pPr>
        <w:ind w:firstLine="480" w:firstLineChars="200"/>
        <w:rPr>
          <w:rFonts w:hint="eastAsia"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rPr>
        <w:t>1.3投标人应详细阅读招标文件中的条款、规范、表示、条件和格式等所有内容，按招标文件的要求份数提供投标文件，并保证所提供全部材料的真实性，以使其投标对招标文件做出实质性响应。</w:t>
      </w:r>
    </w:p>
    <w:p>
      <w:pPr>
        <w:ind w:firstLine="480" w:firstLineChars="200"/>
        <w:rPr>
          <w:rFonts w:hint="eastAsia"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rPr>
        <w:t>1.4投标人应按招标文件的范本格式中提供的投标文件格式认真填写投标书、开标一览表等。</w:t>
      </w:r>
      <w:r>
        <w:rPr>
          <w:rFonts w:hint="eastAsia" w:ascii="仿宋" w:hAnsi="仿宋" w:eastAsia="仿宋" w:cs="仿宋"/>
          <w:b/>
          <w:sz w:val="24"/>
          <w:szCs w:val="24"/>
          <w:highlight w:val="none"/>
          <w:u w:val="single"/>
          <w:shd w:val="clear" w:color="auto" w:fill="auto"/>
        </w:rPr>
        <w:t>为便于评委审阅，投标文件必须编写目录和页码</w:t>
      </w:r>
      <w:r>
        <w:rPr>
          <w:rFonts w:hint="eastAsia" w:ascii="仿宋" w:hAnsi="仿宋" w:eastAsia="仿宋" w:cs="仿宋"/>
          <w:b/>
          <w:sz w:val="24"/>
          <w:szCs w:val="24"/>
          <w:highlight w:val="none"/>
          <w:shd w:val="clear" w:color="auto" w:fill="auto"/>
        </w:rPr>
        <w:t>。</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2、投标文件的组成和编制顺序</w:t>
      </w:r>
    </w:p>
    <w:p>
      <w:pP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（请各投标人严格按照以下顺序编制投标文件，如未按要求编制投标无效）</w:t>
      </w:r>
    </w:p>
    <w:p>
      <w:pPr>
        <w:ind w:firstLine="480" w:firstLineChars="200"/>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2.1  投标函</w:t>
      </w:r>
      <w:r>
        <w:rPr>
          <w:rFonts w:hint="eastAsia" w:ascii="仿宋" w:hAnsi="仿宋" w:eastAsia="仿宋" w:cs="仿宋"/>
          <w:b w:val="0"/>
          <w:bCs w:val="0"/>
          <w:sz w:val="24"/>
          <w:szCs w:val="24"/>
          <w:highlight w:val="none"/>
        </w:rPr>
        <w:t>【格式详见本招标文件第七部分】</w:t>
      </w:r>
    </w:p>
    <w:p>
      <w:pPr>
        <w:ind w:firstLine="480" w:firstLineChars="200"/>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2.2  投标声明函【</w:t>
      </w:r>
      <w:r>
        <w:rPr>
          <w:rFonts w:hint="eastAsia" w:ascii="仿宋" w:hAnsi="仿宋" w:eastAsia="仿宋" w:cs="仿宋"/>
          <w:b w:val="0"/>
          <w:bCs w:val="0"/>
          <w:sz w:val="24"/>
          <w:szCs w:val="24"/>
          <w:highlight w:val="none"/>
        </w:rPr>
        <w:t>格式详见本招标文件第七部分】</w:t>
      </w:r>
    </w:p>
    <w:p>
      <w:pPr>
        <w:ind w:firstLine="480" w:firstLineChars="200"/>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2.3  法人代表授权委托书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法定代表人参加提供法定代表人身份证明书</w:t>
      </w:r>
      <w:r>
        <w:rPr>
          <w:rFonts w:hint="eastAsia" w:ascii="仿宋" w:hAnsi="仿宋" w:eastAsia="仿宋" w:cs="仿宋"/>
          <w:sz w:val="24"/>
          <w:szCs w:val="24"/>
          <w:highlight w:val="none"/>
          <w:lang w:eastAsia="zh-CN"/>
        </w:rPr>
        <w:t>）</w:t>
      </w:r>
      <w:r>
        <w:rPr>
          <w:rFonts w:hint="eastAsia" w:ascii="仿宋" w:hAnsi="仿宋" w:eastAsia="仿宋" w:cs="仿宋"/>
          <w:b w:val="0"/>
          <w:bCs w:val="0"/>
          <w:sz w:val="24"/>
          <w:szCs w:val="24"/>
          <w:highlight w:val="none"/>
        </w:rPr>
        <w:t>【格式详见本招标文件第七部分】</w:t>
      </w:r>
    </w:p>
    <w:p>
      <w:pPr>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2.4  开标一览表【</w:t>
      </w:r>
      <w:r>
        <w:rPr>
          <w:rFonts w:hint="eastAsia" w:ascii="仿宋" w:hAnsi="仿宋" w:eastAsia="仿宋" w:cs="仿宋"/>
          <w:b/>
          <w:bCs/>
          <w:sz w:val="24"/>
          <w:szCs w:val="24"/>
          <w:highlight w:val="none"/>
        </w:rPr>
        <w:t>一式两份，一份小信封单独密封供唱标时用，另一份装订于标书中，格式详见本招标文件第七部分</w:t>
      </w:r>
      <w:r>
        <w:rPr>
          <w:rFonts w:hint="eastAsia" w:ascii="仿宋" w:hAnsi="仿宋" w:eastAsia="仿宋" w:cs="仿宋"/>
          <w:sz w:val="24"/>
          <w:szCs w:val="24"/>
          <w:highlight w:val="none"/>
        </w:rPr>
        <w:t>】</w:t>
      </w:r>
    </w:p>
    <w:p>
      <w:pPr>
        <w:ind w:left="479" w:leftChars="228" w:firstLine="0" w:firstLineChars="0"/>
        <w:rPr>
          <w:rFonts w:hint="eastAsia" w:ascii="仿宋" w:hAnsi="仿宋" w:eastAsia="仿宋" w:cs="仿宋"/>
          <w:sz w:val="24"/>
          <w:szCs w:val="24"/>
          <w:highlight w:val="none"/>
        </w:rPr>
      </w:pPr>
      <w:r>
        <w:rPr>
          <w:rFonts w:hint="eastAsia" w:ascii="仿宋" w:hAnsi="仿宋" w:eastAsia="仿宋" w:cs="仿宋"/>
          <w:b w:val="0"/>
          <w:bCs w:val="0"/>
          <w:kern w:val="2"/>
          <w:sz w:val="24"/>
          <w:szCs w:val="24"/>
          <w:highlight w:val="none"/>
          <w:lang w:val="en-US" w:eastAsia="zh-CN" w:bidi="ar-SA"/>
        </w:rPr>
        <w:t>2.5投标报价明细表（设备、材料、系统费用及其他费用）</w:t>
      </w:r>
      <w:r>
        <w:rPr>
          <w:rFonts w:hint="eastAsia" w:ascii="仿宋" w:hAnsi="仿宋" w:eastAsia="仿宋" w:cs="仿宋"/>
          <w:sz w:val="24"/>
          <w:szCs w:val="24"/>
          <w:highlight w:val="none"/>
        </w:rPr>
        <w:t>【格式详见本招标文件第七部分】</w:t>
      </w:r>
    </w:p>
    <w:p>
      <w:pPr>
        <w:ind w:left="479" w:leftChars="228" w:firstLine="0" w:firstLineChars="0"/>
        <w:rPr>
          <w:rFonts w:hint="eastAsia" w:ascii="仿宋" w:hAnsi="仿宋" w:eastAsia="仿宋" w:cs="仿宋"/>
          <w:sz w:val="24"/>
          <w:szCs w:val="24"/>
          <w:highlight w:val="none"/>
        </w:rPr>
      </w:pPr>
      <w:r>
        <w:rPr>
          <w:rFonts w:hint="eastAsia" w:ascii="仿宋" w:hAnsi="仿宋" w:eastAsia="仿宋" w:cs="仿宋"/>
          <w:b w:val="0"/>
          <w:bCs w:val="0"/>
          <w:kern w:val="2"/>
          <w:sz w:val="24"/>
          <w:szCs w:val="24"/>
          <w:highlight w:val="none"/>
          <w:lang w:val="en-US" w:eastAsia="zh-CN" w:bidi="ar-SA"/>
        </w:rPr>
        <w:t>2.6备品、备件清单及维保期期满后相关维修配件清单一览表</w:t>
      </w:r>
      <w:r>
        <w:rPr>
          <w:rFonts w:hint="eastAsia" w:ascii="仿宋" w:hAnsi="仿宋" w:eastAsia="仿宋" w:cs="仿宋"/>
          <w:sz w:val="24"/>
          <w:szCs w:val="24"/>
          <w:highlight w:val="none"/>
        </w:rPr>
        <w:t>【格式详见本招标文件第七部分】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技术参数、功能偏离表【格式详见本招标文件第七部分】</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所供产品官方宣传彩页和产品说明书等；</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2.9项目负责人简历表及拟投入本项目主要成员表</w:t>
      </w:r>
      <w:r>
        <w:rPr>
          <w:rFonts w:hint="eastAsia" w:ascii="仿宋" w:hAnsi="仿宋" w:eastAsia="仿宋" w:cs="仿宋"/>
          <w:sz w:val="24"/>
          <w:szCs w:val="24"/>
          <w:highlight w:val="none"/>
        </w:rPr>
        <w:t>【格式详见本招标文件第七部分】</w:t>
      </w:r>
    </w:p>
    <w:p>
      <w:pPr>
        <w:ind w:firstLine="48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u w:val="none"/>
          <w:lang w:val="en-US" w:eastAsia="zh-CN"/>
        </w:rPr>
        <w:t>2.10本次项目所投产品的有效的检测报告、质量管理 体系认证（国家法定检测部门出具有效）</w:t>
      </w:r>
      <w:r>
        <w:rPr>
          <w:rFonts w:hint="eastAsia" w:ascii="仿宋" w:hAnsi="仿宋" w:eastAsia="仿宋" w:cs="仿宋"/>
          <w:color w:val="FF0000"/>
          <w:sz w:val="24"/>
          <w:szCs w:val="24"/>
          <w:highlight w:val="none"/>
          <w:lang w:val="en-US" w:eastAsia="zh-CN"/>
        </w:rPr>
        <w:t xml:space="preserve"> </w:t>
      </w:r>
    </w:p>
    <w:p>
      <w:pPr>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2.11本次项目售后服务详述、维修、培训以及售后服务联系人、联系方式等详述方案和售后服务承诺书。</w:t>
      </w:r>
    </w:p>
    <w:p>
      <w:pPr>
        <w:ind w:firstLine="480" w:firstLineChars="200"/>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近三年的类似业绩（必须附中标通知书或合同复印件加盖企业公章）。</w:t>
      </w:r>
      <w:r>
        <w:rPr>
          <w:rFonts w:hint="eastAsia" w:ascii="仿宋" w:hAnsi="仿宋" w:eastAsia="仿宋" w:cs="仿宋"/>
          <w:b w:val="0"/>
          <w:bCs w:val="0"/>
          <w:sz w:val="24"/>
          <w:szCs w:val="24"/>
          <w:highlight w:val="none"/>
        </w:rPr>
        <w:t>【格式详见本招标文件第七部分】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投标资质</w:t>
      </w:r>
      <w:r>
        <w:rPr>
          <w:rFonts w:hint="eastAsia" w:ascii="仿宋" w:hAnsi="仿宋" w:eastAsia="仿宋" w:cs="仿宋"/>
          <w:color w:val="7030A0"/>
          <w:sz w:val="24"/>
          <w:szCs w:val="24"/>
          <w:highlight w:val="none"/>
        </w:rPr>
        <w:t>(3)-(1</w:t>
      </w:r>
      <w:r>
        <w:rPr>
          <w:rFonts w:hint="eastAsia" w:ascii="仿宋" w:hAnsi="仿宋" w:eastAsia="仿宋" w:cs="仿宋"/>
          <w:color w:val="7030A0"/>
          <w:sz w:val="24"/>
          <w:szCs w:val="24"/>
          <w:highlight w:val="none"/>
          <w:lang w:val="en-US" w:eastAsia="zh-CN"/>
        </w:rPr>
        <w:t>2)</w:t>
      </w:r>
      <w:r>
        <w:rPr>
          <w:rFonts w:hint="eastAsia" w:ascii="仿宋" w:hAnsi="仿宋" w:eastAsia="仿宋" w:cs="仿宋"/>
          <w:sz w:val="24"/>
          <w:szCs w:val="24"/>
          <w:highlight w:val="none"/>
        </w:rPr>
        <w:t>项资料复印件加盖公章</w:t>
      </w:r>
    </w:p>
    <w:p>
      <w:pPr>
        <w:ind w:firstLine="480" w:firstLineChars="200"/>
        <w:rPr>
          <w:rFonts w:hint="eastAsia" w:ascii="仿宋" w:hAnsi="仿宋" w:eastAsia="仿宋" w:cs="仿宋"/>
          <w:b w:val="0"/>
          <w:bCs w:val="0"/>
          <w:color w:val="auto"/>
          <w:sz w:val="24"/>
          <w:szCs w:val="24"/>
          <w:highlight w:val="none"/>
          <w:u w:val="none"/>
        </w:rPr>
      </w:pPr>
      <w:r>
        <w:rPr>
          <w:rFonts w:hint="eastAsia" w:ascii="仿宋" w:hAnsi="仿宋" w:eastAsia="仿宋" w:cs="仿宋"/>
          <w:color w:val="auto"/>
          <w:sz w:val="24"/>
          <w:szCs w:val="24"/>
          <w:highlight w:val="none"/>
          <w:u w:val="none"/>
        </w:rPr>
        <w:t>2.</w:t>
      </w:r>
      <w:r>
        <w:rPr>
          <w:rFonts w:hint="eastAsia" w:ascii="仿宋" w:hAnsi="仿宋" w:eastAsia="仿宋" w:cs="仿宋"/>
          <w:color w:val="auto"/>
          <w:sz w:val="24"/>
          <w:szCs w:val="24"/>
          <w:highlight w:val="none"/>
          <w:u w:val="none"/>
          <w:lang w:val="en-US" w:eastAsia="zh-CN"/>
        </w:rPr>
        <w:t>14</w:t>
      </w:r>
      <w:r>
        <w:rPr>
          <w:rFonts w:hint="eastAsia" w:ascii="仿宋" w:hAnsi="仿宋" w:eastAsia="仿宋" w:cs="仿宋"/>
          <w:color w:val="auto"/>
          <w:sz w:val="24"/>
          <w:szCs w:val="24"/>
          <w:highlight w:val="none"/>
          <w:u w:val="none"/>
        </w:rPr>
        <w:t>投标人企业（单位）类型声明函</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若有请如实填写</w:t>
      </w:r>
      <w:r>
        <w:rPr>
          <w:rFonts w:hint="eastAsia" w:ascii="仿宋" w:hAnsi="仿宋" w:eastAsia="仿宋" w:cs="仿宋"/>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【格式详见本招标文件第七部分（】</w:t>
      </w:r>
    </w:p>
    <w:p>
      <w:pPr>
        <w:ind w:firstLine="480" w:firstLineChars="200"/>
        <w:rPr>
          <w:rFonts w:hint="eastAsia" w:ascii="仿宋" w:hAnsi="仿宋" w:eastAsia="仿宋" w:cs="仿宋"/>
          <w:b w:val="0"/>
          <w:bCs w:val="0"/>
          <w:color w:val="auto"/>
          <w:sz w:val="24"/>
          <w:szCs w:val="24"/>
          <w:highlight w:val="none"/>
          <w:u w:val="none"/>
        </w:rPr>
      </w:pPr>
      <w:r>
        <w:rPr>
          <w:rFonts w:hint="eastAsia" w:ascii="仿宋" w:hAnsi="仿宋" w:eastAsia="仿宋" w:cs="仿宋"/>
          <w:color w:val="auto"/>
          <w:sz w:val="24"/>
          <w:szCs w:val="24"/>
          <w:highlight w:val="none"/>
          <w:u w:val="none"/>
        </w:rPr>
        <w:t>2.1</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制造商企业（单位）类型声明函</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若有请如实填写</w:t>
      </w:r>
      <w:r>
        <w:rPr>
          <w:rFonts w:hint="eastAsia" w:ascii="仿宋" w:hAnsi="仿宋" w:eastAsia="仿宋" w:cs="仿宋"/>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【格式详见本招标文件第七部分】</w:t>
      </w:r>
    </w:p>
    <w:p>
      <w:pPr>
        <w:ind w:firstLine="480" w:firstLineChars="200"/>
        <w:rPr>
          <w:rFonts w:hint="eastAsia" w:ascii="仿宋" w:hAnsi="仿宋" w:eastAsia="仿宋" w:cs="仿宋"/>
          <w:b w:val="0"/>
          <w:bCs w:val="0"/>
          <w:color w:val="auto"/>
          <w:sz w:val="24"/>
          <w:szCs w:val="24"/>
          <w:highlight w:val="none"/>
          <w:u w:val="none"/>
        </w:rPr>
      </w:pPr>
      <w:r>
        <w:rPr>
          <w:rFonts w:hint="eastAsia" w:ascii="仿宋" w:hAnsi="仿宋" w:eastAsia="仿宋" w:cs="仿宋"/>
          <w:color w:val="auto"/>
          <w:sz w:val="24"/>
          <w:szCs w:val="24"/>
          <w:highlight w:val="none"/>
          <w:u w:val="none"/>
        </w:rPr>
        <w:t>2.</w:t>
      </w:r>
      <w:r>
        <w:rPr>
          <w:rFonts w:hint="eastAsia" w:ascii="仿宋" w:hAnsi="仿宋" w:eastAsia="仿宋" w:cs="仿宋"/>
          <w:color w:val="auto"/>
          <w:sz w:val="24"/>
          <w:szCs w:val="24"/>
          <w:highlight w:val="none"/>
          <w:u w:val="none"/>
          <w:lang w:val="en-US" w:eastAsia="zh-CN"/>
        </w:rPr>
        <w:t>16</w:t>
      </w:r>
      <w:r>
        <w:rPr>
          <w:rFonts w:hint="eastAsia" w:ascii="仿宋" w:hAnsi="仿宋" w:eastAsia="仿宋" w:cs="仿宋"/>
          <w:color w:val="auto"/>
          <w:sz w:val="24"/>
          <w:szCs w:val="24"/>
          <w:highlight w:val="none"/>
          <w:u w:val="none"/>
        </w:rPr>
        <w:t>残疾人福利性单位声明函</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若有如实填写</w:t>
      </w:r>
      <w:r>
        <w:rPr>
          <w:rFonts w:hint="eastAsia" w:ascii="仿宋" w:hAnsi="仿宋" w:eastAsia="仿宋" w:cs="仿宋"/>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【格式详见本招标文件第七部分】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其它有利于投标的资料</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3、投标有效期</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　投标文件从开标之日起，投标有效期为</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0天（如不满足将被确定为无效投标）。</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　在特殊情况下，</w:t>
      </w:r>
      <w:r>
        <w:rPr>
          <w:rFonts w:hint="eastAsia" w:ascii="仿宋" w:hAnsi="仿宋" w:eastAsia="仿宋" w:cs="仿宋"/>
          <w:bCs/>
          <w:sz w:val="24"/>
          <w:szCs w:val="24"/>
          <w:highlight w:val="none"/>
        </w:rPr>
        <w:t>采购代理机构</w:t>
      </w:r>
      <w:r>
        <w:rPr>
          <w:rFonts w:hint="eastAsia" w:ascii="仿宋" w:hAnsi="仿宋" w:eastAsia="仿宋" w:cs="仿宋"/>
          <w:sz w:val="24"/>
          <w:szCs w:val="24"/>
          <w:highlight w:val="none"/>
        </w:rPr>
        <w:t>可与投标人协商延长投标文件的有效期。</w:t>
      </w:r>
    </w:p>
    <w:p>
      <w:pPr>
        <w:outlineLvl w:val="1"/>
        <w:rPr>
          <w:rFonts w:hint="eastAsia" w:ascii="仿宋" w:hAnsi="仿宋" w:eastAsia="仿宋" w:cs="仿宋"/>
          <w:sz w:val="24"/>
          <w:szCs w:val="24"/>
          <w:highlight w:val="yellow"/>
        </w:rPr>
      </w:pPr>
    </w:p>
    <w:p>
      <w:pPr>
        <w:jc w:val="center"/>
        <w:outlineLvl w:val="1"/>
        <w:rPr>
          <w:rFonts w:ascii="仿宋_GB2312" w:hAnsi="Arial" w:eastAsia="仿宋_GB2312" w:cs="Times New Roman"/>
          <w:b/>
          <w:sz w:val="32"/>
          <w:szCs w:val="32"/>
          <w:highlight w:val="none"/>
        </w:rPr>
      </w:pPr>
      <w:bookmarkStart w:id="55" w:name="_Toc10249"/>
      <w:bookmarkStart w:id="56" w:name="_Toc32591"/>
      <w:bookmarkStart w:id="57" w:name="_Toc20622"/>
      <w:bookmarkStart w:id="58" w:name="_Toc6422"/>
      <w:bookmarkStart w:id="59" w:name="_Toc25337"/>
      <w:bookmarkStart w:id="60" w:name="_Toc22942"/>
      <w:bookmarkStart w:id="61" w:name="_Toc7952"/>
      <w:bookmarkStart w:id="62" w:name="_Toc2902"/>
      <w:bookmarkStart w:id="63" w:name="_Toc13247"/>
      <w:bookmarkStart w:id="64" w:name="_Toc11243"/>
      <w:bookmarkStart w:id="65" w:name="_Toc31157"/>
      <w:bookmarkStart w:id="66" w:name="_Toc20956"/>
      <w:bookmarkStart w:id="67" w:name="_Toc2819"/>
      <w:bookmarkStart w:id="68" w:name="_Toc24384"/>
      <w:bookmarkStart w:id="69" w:name="_Toc9207"/>
      <w:bookmarkStart w:id="70" w:name="_Toc28868"/>
      <w:bookmarkStart w:id="71" w:name="_Toc3845"/>
      <w:bookmarkStart w:id="72" w:name="_Toc29272"/>
      <w:bookmarkStart w:id="73" w:name="_Toc24445"/>
      <w:bookmarkStart w:id="74" w:name="_Toc906"/>
      <w:bookmarkStart w:id="75" w:name="_Toc31108"/>
      <w:bookmarkStart w:id="76" w:name="_Toc19011"/>
      <w:bookmarkStart w:id="77" w:name="_Toc10911"/>
      <w:bookmarkStart w:id="78" w:name="_Toc6330"/>
      <w:bookmarkStart w:id="79" w:name="_Toc7949"/>
      <w:bookmarkStart w:id="80" w:name="_Toc12570"/>
      <w:bookmarkStart w:id="81" w:name="_Toc16595"/>
      <w:bookmarkStart w:id="82" w:name="_Toc15827"/>
      <w:r>
        <w:rPr>
          <w:rFonts w:hint="eastAsia" w:ascii="仿宋_GB2312" w:hAnsi="Arial" w:eastAsia="仿宋_GB2312" w:cs="Times New Roman"/>
          <w:b/>
          <w:sz w:val="32"/>
          <w:szCs w:val="32"/>
          <w:highlight w:val="none"/>
        </w:rPr>
        <w:t>第四章 投标文件的装订及递交</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ind w:firstLine="472" w:firstLineChars="196"/>
        <w:rPr>
          <w:rFonts w:hint="eastAsia" w:ascii="仿宋" w:hAnsi="仿宋" w:eastAsia="仿宋" w:cs="仿宋"/>
          <w:b/>
          <w:sz w:val="24"/>
          <w:szCs w:val="20"/>
          <w:highlight w:val="none"/>
        </w:rPr>
      </w:pPr>
      <w:r>
        <w:rPr>
          <w:rFonts w:hint="eastAsia" w:ascii="仿宋" w:hAnsi="仿宋" w:eastAsia="仿宋" w:cs="仿宋"/>
          <w:b/>
          <w:sz w:val="24"/>
          <w:szCs w:val="20"/>
          <w:highlight w:val="none"/>
        </w:rPr>
        <w:t>1、投标文件的装订与签署</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1.1　投标文件的页面必须用</w:t>
      </w:r>
      <w:r>
        <w:rPr>
          <w:rFonts w:hint="eastAsia" w:ascii="仿宋" w:hAnsi="仿宋" w:eastAsia="仿宋" w:cs="仿宋"/>
          <w:b/>
          <w:bCs/>
          <w:sz w:val="24"/>
          <w:szCs w:val="20"/>
          <w:highlight w:val="none"/>
          <w:u w:val="single"/>
        </w:rPr>
        <w:t>A4纸印刷体双面打印，胶粘装订</w:t>
      </w:r>
      <w:r>
        <w:rPr>
          <w:rFonts w:hint="eastAsia" w:ascii="仿宋" w:hAnsi="仿宋" w:eastAsia="仿宋" w:cs="仿宋"/>
          <w:sz w:val="24"/>
          <w:szCs w:val="20"/>
          <w:highlight w:val="none"/>
        </w:rPr>
        <w:t>。</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1.2  投标文件应清楚工整，一般不准修改。个别非实质性修改之处应由投标人的被授权人或法人代表签章。</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1.3　投标文件应由法人代表或法人授权代表在规定签章处逐一签署并加盖单位公章。</w:t>
      </w:r>
      <w:r>
        <w:rPr>
          <w:rFonts w:hint="eastAsia" w:ascii="仿宋" w:hAnsi="仿宋" w:eastAsia="仿宋" w:cs="仿宋"/>
          <w:bCs/>
          <w:sz w:val="24"/>
          <w:szCs w:val="20"/>
          <w:highlight w:val="none"/>
        </w:rPr>
        <w:t>所有投标人签字、法人代表签字、法人代表授权人签字和其它签字处必须加盖具有法律效力的投标人的印章后，投标文件方为有效。</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1.4　所有投标文件必须提交</w:t>
      </w:r>
      <w:r>
        <w:rPr>
          <w:rFonts w:hint="eastAsia" w:ascii="仿宋" w:hAnsi="仿宋" w:eastAsia="仿宋" w:cs="仿宋"/>
          <w:b/>
          <w:sz w:val="24"/>
          <w:szCs w:val="20"/>
          <w:highlight w:val="none"/>
          <w:u w:val="single"/>
          <w:lang w:val="en-US" w:eastAsia="zh-CN"/>
        </w:rPr>
        <w:t>开标一览表1份、</w:t>
      </w:r>
      <w:r>
        <w:rPr>
          <w:rFonts w:hint="eastAsia" w:ascii="仿宋" w:hAnsi="仿宋" w:eastAsia="仿宋" w:cs="仿宋"/>
          <w:b/>
          <w:sz w:val="24"/>
          <w:szCs w:val="20"/>
          <w:highlight w:val="none"/>
          <w:u w:val="single"/>
        </w:rPr>
        <w:t>正本1套和副本</w:t>
      </w:r>
      <w:r>
        <w:rPr>
          <w:rFonts w:hint="eastAsia" w:ascii="仿宋" w:hAnsi="仿宋" w:eastAsia="仿宋" w:cs="仿宋"/>
          <w:b/>
          <w:sz w:val="24"/>
          <w:szCs w:val="20"/>
          <w:highlight w:val="none"/>
          <w:u w:val="single"/>
          <w:lang w:val="en-US" w:eastAsia="zh-CN"/>
        </w:rPr>
        <w:t>6</w:t>
      </w:r>
      <w:r>
        <w:rPr>
          <w:rFonts w:hint="eastAsia" w:ascii="仿宋" w:hAnsi="仿宋" w:eastAsia="仿宋" w:cs="仿宋"/>
          <w:b/>
          <w:sz w:val="24"/>
          <w:szCs w:val="20"/>
          <w:highlight w:val="none"/>
          <w:u w:val="single"/>
        </w:rPr>
        <w:t>套，</w:t>
      </w:r>
      <w:r>
        <w:rPr>
          <w:rFonts w:hint="eastAsia" w:ascii="仿宋" w:hAnsi="仿宋" w:eastAsia="仿宋" w:cs="仿宋"/>
          <w:sz w:val="24"/>
          <w:szCs w:val="20"/>
          <w:highlight w:val="none"/>
        </w:rPr>
        <w:t>并在封面上标记“正本”和“副本”。投标文件正本一律不退。</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1.5  投标文件的正本与副本应当完全一致。当正本和副本之间出现差异时，以正本为准。</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1.6  电报、电话、传真、电子邮件等形式的投标概不接受。</w:t>
      </w:r>
    </w:p>
    <w:p>
      <w:pPr>
        <w:ind w:firstLine="482" w:firstLineChars="200"/>
        <w:rPr>
          <w:rFonts w:hint="eastAsia" w:ascii="仿宋" w:hAnsi="仿宋" w:eastAsia="仿宋" w:cs="仿宋"/>
          <w:b/>
          <w:sz w:val="24"/>
          <w:szCs w:val="20"/>
          <w:highlight w:val="none"/>
        </w:rPr>
      </w:pPr>
      <w:r>
        <w:rPr>
          <w:rFonts w:hint="eastAsia" w:ascii="仿宋" w:hAnsi="仿宋" w:eastAsia="仿宋" w:cs="仿宋"/>
          <w:b/>
          <w:sz w:val="24"/>
          <w:szCs w:val="20"/>
          <w:highlight w:val="none"/>
        </w:rPr>
        <w:t>2、投标文件的密封与标记</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2.1　投标人应</w:t>
      </w:r>
      <w:r>
        <w:rPr>
          <w:rFonts w:hint="eastAsia" w:ascii="仿宋" w:hAnsi="仿宋" w:eastAsia="仿宋" w:cs="仿宋"/>
          <w:b/>
          <w:color w:val="000000"/>
          <w:sz w:val="24"/>
          <w:szCs w:val="20"/>
          <w:highlight w:val="none"/>
        </w:rPr>
        <w:t>将投标文件的正本和副本分别密封</w:t>
      </w:r>
      <w:r>
        <w:rPr>
          <w:rFonts w:hint="eastAsia" w:ascii="仿宋" w:hAnsi="仿宋" w:eastAsia="仿宋" w:cs="仿宋"/>
          <w:sz w:val="24"/>
          <w:szCs w:val="20"/>
          <w:highlight w:val="none"/>
        </w:rPr>
        <w:t>，在每个密封件的封面上标明招标编号、投标人名称、法定代表人、单位公章、“正本”或“副本”字样、投标人地址、联系电话。</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2.2 　投标文件袋上应写明：</w:t>
      </w:r>
    </w:p>
    <w:p>
      <w:pPr>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项目名称：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u w:val="single"/>
          <w:lang w:eastAsia="zh-CN"/>
        </w:rPr>
        <w:t>（</w:t>
      </w:r>
      <w:r>
        <w:rPr>
          <w:rFonts w:hint="eastAsia" w:ascii="仿宋" w:hAnsi="仿宋" w:eastAsia="仿宋" w:cs="仿宋"/>
          <w:sz w:val="24"/>
          <w:szCs w:val="20"/>
          <w:highlight w:val="none"/>
          <w:u w:val="single"/>
          <w:lang w:val="en-US" w:eastAsia="zh-CN"/>
        </w:rPr>
        <w:t>标段：</w:t>
      </w:r>
      <w:r>
        <w:rPr>
          <w:rFonts w:hint="eastAsia" w:ascii="仿宋" w:hAnsi="仿宋" w:eastAsia="仿宋" w:cs="仿宋"/>
          <w:sz w:val="24"/>
          <w:szCs w:val="20"/>
          <w:highlight w:val="none"/>
          <w:u w:val="single"/>
          <w:lang w:eastAsia="zh-CN"/>
        </w:rPr>
        <w:t>）</w:t>
      </w:r>
      <w:r>
        <w:rPr>
          <w:rFonts w:hint="eastAsia" w:ascii="仿宋" w:hAnsi="仿宋" w:eastAsia="仿宋" w:cs="仿宋"/>
          <w:sz w:val="24"/>
          <w:szCs w:val="20"/>
          <w:highlight w:val="none"/>
          <w:u w:val="single"/>
        </w:rPr>
        <w:t xml:space="preserve"> </w:t>
      </w:r>
    </w:p>
    <w:p>
      <w:pPr>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项目编号：</w:t>
      </w:r>
      <w:r>
        <w:rPr>
          <w:rFonts w:hint="eastAsia" w:ascii="仿宋" w:hAnsi="仿宋" w:eastAsia="仿宋" w:cs="仿宋"/>
          <w:sz w:val="24"/>
          <w:szCs w:val="20"/>
          <w:highlight w:val="none"/>
          <w:u w:val="single"/>
        </w:rPr>
        <w:t xml:space="preserve">      　　           </w:t>
      </w:r>
    </w:p>
    <w:p>
      <w:pPr>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采购人：</w:t>
      </w:r>
    </w:p>
    <w:p>
      <w:pPr>
        <w:ind w:firstLine="480" w:firstLineChars="200"/>
        <w:rPr>
          <w:rFonts w:hint="eastAsia" w:ascii="仿宋" w:hAnsi="仿宋" w:eastAsia="仿宋" w:cs="仿宋"/>
          <w:sz w:val="24"/>
          <w:szCs w:val="20"/>
          <w:highlight w:val="none"/>
        </w:rPr>
      </w:pPr>
      <w:r>
        <w:rPr>
          <w:rFonts w:hint="eastAsia" w:ascii="仿宋" w:hAnsi="仿宋" w:eastAsia="仿宋" w:cs="仿宋"/>
          <w:bCs/>
          <w:sz w:val="24"/>
          <w:szCs w:val="20"/>
          <w:highlight w:val="none"/>
        </w:rPr>
        <w:t>采购代理机构</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新疆鼎标招投标代理有限公司</w:t>
      </w:r>
    </w:p>
    <w:p>
      <w:pPr>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投标人名称：</w:t>
      </w:r>
      <w:r>
        <w:rPr>
          <w:rFonts w:hint="eastAsia" w:ascii="仿宋" w:hAnsi="仿宋" w:eastAsia="仿宋" w:cs="仿宋"/>
          <w:sz w:val="24"/>
          <w:szCs w:val="20"/>
          <w:highlight w:val="none"/>
          <w:u w:val="single"/>
        </w:rPr>
        <w:t xml:space="preserve">       　　　      </w:t>
      </w:r>
    </w:p>
    <w:p>
      <w:pPr>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联系人</w:t>
      </w:r>
      <w:r>
        <w:rPr>
          <w:rFonts w:hint="eastAsia" w:ascii="仿宋" w:hAnsi="仿宋" w:eastAsia="仿宋" w:cs="仿宋"/>
          <w:sz w:val="24"/>
          <w:szCs w:val="20"/>
          <w:highlight w:val="none"/>
          <w:u w:val="single"/>
        </w:rPr>
        <w:t xml:space="preserve">：                       </w:t>
      </w:r>
    </w:p>
    <w:p>
      <w:pPr>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地址：</w:t>
      </w:r>
    </w:p>
    <w:p>
      <w:pPr>
        <w:ind w:firstLine="480" w:firstLineChars="200"/>
        <w:rPr>
          <w:rFonts w:hint="eastAsia" w:ascii="仿宋" w:hAnsi="仿宋" w:eastAsia="仿宋" w:cs="仿宋"/>
          <w:sz w:val="24"/>
          <w:szCs w:val="20"/>
          <w:highlight w:val="none"/>
          <w:u w:val="single"/>
        </w:rPr>
      </w:pPr>
      <w:r>
        <w:rPr>
          <w:rFonts w:hint="eastAsia" w:ascii="仿宋" w:hAnsi="仿宋" w:eastAsia="仿宋" w:cs="仿宋"/>
          <w:sz w:val="24"/>
          <w:szCs w:val="20"/>
          <w:highlight w:val="none"/>
        </w:rPr>
        <w:t>电话：</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注明“开标时才能启封”字样等</w:t>
      </w:r>
    </w:p>
    <w:p>
      <w:pPr>
        <w:ind w:firstLine="480" w:firstLineChars="200"/>
        <w:rPr>
          <w:rFonts w:hint="eastAsia" w:ascii="仿宋" w:hAnsi="仿宋" w:eastAsia="仿宋" w:cs="仿宋"/>
          <w:b/>
          <w:bCs/>
          <w:sz w:val="24"/>
          <w:szCs w:val="20"/>
          <w:highlight w:val="none"/>
        </w:rPr>
      </w:pPr>
      <w:r>
        <w:rPr>
          <w:rFonts w:hint="eastAsia" w:ascii="仿宋" w:hAnsi="仿宋" w:eastAsia="仿宋" w:cs="仿宋"/>
          <w:sz w:val="24"/>
          <w:szCs w:val="20"/>
          <w:highlight w:val="none"/>
        </w:rPr>
        <w:t>2.3　</w:t>
      </w:r>
      <w:r>
        <w:rPr>
          <w:rFonts w:hint="eastAsia" w:ascii="仿宋" w:hAnsi="仿宋" w:eastAsia="仿宋" w:cs="仿宋"/>
          <w:b/>
          <w:bCs/>
          <w:sz w:val="24"/>
          <w:szCs w:val="20"/>
          <w:highlight w:val="none"/>
        </w:rPr>
        <w:t>投标人必须提供《开标一览表》将其单独用小信封密封</w:t>
      </w:r>
      <w:r>
        <w:rPr>
          <w:rFonts w:hint="eastAsia" w:ascii="仿宋" w:hAnsi="仿宋" w:eastAsia="仿宋" w:cs="仿宋"/>
          <w:sz w:val="24"/>
          <w:szCs w:val="20"/>
          <w:highlight w:val="none"/>
        </w:rPr>
        <w:t>，</w:t>
      </w:r>
      <w:r>
        <w:rPr>
          <w:rFonts w:hint="eastAsia" w:ascii="仿宋" w:hAnsi="仿宋" w:eastAsia="仿宋" w:cs="仿宋"/>
          <w:b/>
          <w:bCs/>
          <w:sz w:val="24"/>
          <w:szCs w:val="20"/>
          <w:highlight w:val="none"/>
        </w:rPr>
        <w:t>并在信封上标明“开标一览表”字样。</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2.4　任何不完整或不满足招标文件要求的投标书将被拒绝。</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2.5由于不可抗拒原因或无法控制的事件而导致的丢失或损坏投标包装体内的投标书时，</w:t>
      </w:r>
      <w:r>
        <w:rPr>
          <w:rFonts w:hint="eastAsia" w:ascii="仿宋" w:hAnsi="仿宋" w:eastAsia="仿宋" w:cs="仿宋"/>
          <w:bCs/>
          <w:sz w:val="24"/>
          <w:szCs w:val="20"/>
          <w:highlight w:val="none"/>
        </w:rPr>
        <w:t>采购代理机构</w:t>
      </w:r>
      <w:r>
        <w:rPr>
          <w:rFonts w:hint="eastAsia" w:ascii="仿宋" w:hAnsi="仿宋" w:eastAsia="仿宋" w:cs="仿宋"/>
          <w:sz w:val="24"/>
          <w:szCs w:val="20"/>
          <w:highlight w:val="none"/>
        </w:rPr>
        <w:t>将不负责任。</w:t>
      </w:r>
    </w:p>
    <w:p>
      <w:pPr>
        <w:ind w:firstLine="482" w:firstLineChars="200"/>
        <w:rPr>
          <w:rFonts w:hint="eastAsia" w:ascii="仿宋" w:hAnsi="仿宋" w:eastAsia="仿宋" w:cs="仿宋"/>
          <w:b/>
          <w:sz w:val="24"/>
          <w:szCs w:val="20"/>
          <w:highlight w:val="none"/>
        </w:rPr>
      </w:pPr>
      <w:r>
        <w:rPr>
          <w:rFonts w:hint="eastAsia" w:ascii="仿宋" w:hAnsi="仿宋" w:eastAsia="仿宋" w:cs="仿宋"/>
          <w:b/>
          <w:sz w:val="24"/>
          <w:szCs w:val="20"/>
          <w:highlight w:val="none"/>
        </w:rPr>
        <w:t>3、投标截止时间</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3.1 </w:t>
      </w:r>
      <w:r>
        <w:rPr>
          <w:rFonts w:hint="eastAsia" w:ascii="仿宋" w:hAnsi="仿宋" w:eastAsia="仿宋" w:cs="仿宋"/>
          <w:color w:val="000000"/>
          <w:sz w:val="24"/>
          <w:szCs w:val="20"/>
          <w:highlight w:val="none"/>
        </w:rPr>
        <w:t>投标文件</w:t>
      </w:r>
      <w:r>
        <w:rPr>
          <w:rFonts w:hint="eastAsia" w:ascii="仿宋" w:hAnsi="仿宋" w:eastAsia="仿宋" w:cs="仿宋"/>
          <w:color w:val="000000"/>
          <w:sz w:val="24"/>
          <w:szCs w:val="20"/>
          <w:highlight w:val="none"/>
          <w:lang w:val="en-US" w:eastAsia="zh-CN"/>
        </w:rPr>
        <w:t>标</w:t>
      </w:r>
      <w:r>
        <w:rPr>
          <w:rFonts w:hint="eastAsia" w:ascii="仿宋" w:hAnsi="仿宋" w:eastAsia="仿宋" w:cs="仿宋"/>
          <w:color w:val="000000"/>
          <w:sz w:val="24"/>
          <w:szCs w:val="20"/>
          <w:highlight w:val="none"/>
        </w:rPr>
        <w:t>应在</w:t>
      </w:r>
      <w:r>
        <w:rPr>
          <w:rFonts w:hint="eastAsia" w:ascii="仿宋" w:hAnsi="仿宋" w:eastAsia="仿宋" w:cs="仿宋"/>
          <w:color w:val="000000" w:themeColor="text1"/>
          <w:sz w:val="24"/>
          <w:szCs w:val="20"/>
          <w:highlight w:val="none"/>
          <w:u w:val="single"/>
          <w14:textFill>
            <w14:solidFill>
              <w14:schemeClr w14:val="tx1"/>
            </w14:solidFill>
          </w14:textFill>
        </w:rPr>
        <w:t>2020年</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1</w:t>
      </w:r>
      <w:r>
        <w:rPr>
          <w:rFonts w:hint="eastAsia" w:ascii="仿宋" w:hAnsi="仿宋" w:eastAsia="仿宋" w:cs="仿宋"/>
          <w:color w:val="000000" w:themeColor="text1"/>
          <w:sz w:val="24"/>
          <w:szCs w:val="20"/>
          <w:highlight w:val="none"/>
          <w:u w:val="single"/>
          <w14:textFill>
            <w14:solidFill>
              <w14:schemeClr w14:val="tx1"/>
            </w14:solidFill>
          </w14:textFill>
        </w:rPr>
        <w:t>月</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szCs w:val="20"/>
          <w:highlight w:val="none"/>
          <w:u w:val="single"/>
          <w14:textFill>
            <w14:solidFill>
              <w14:schemeClr w14:val="tx1"/>
            </w14:solidFill>
          </w14:textFill>
        </w:rPr>
        <w:t>日</w:t>
      </w:r>
      <w:r>
        <w:rPr>
          <w:rFonts w:hint="eastAsia" w:ascii="仿宋" w:hAnsi="仿宋" w:eastAsia="仿宋" w:cs="仿宋"/>
          <w:color w:val="000000" w:themeColor="text1"/>
          <w:sz w:val="24"/>
          <w:szCs w:val="20"/>
          <w:highlight w:val="none"/>
          <w:u w:val="single"/>
          <w:lang w:val="en-US" w:eastAsia="zh-CN"/>
          <w14:textFill>
            <w14:solidFill>
              <w14:schemeClr w14:val="tx1"/>
            </w14:solidFill>
          </w14:textFill>
        </w:rPr>
        <w:t xml:space="preserve">11:00 </w:t>
      </w:r>
      <w:r>
        <w:rPr>
          <w:rFonts w:hint="eastAsia" w:ascii="仿宋" w:hAnsi="仿宋" w:eastAsia="仿宋" w:cs="仿宋"/>
          <w:color w:val="000000"/>
          <w:sz w:val="24"/>
          <w:szCs w:val="20"/>
          <w:highlight w:val="none"/>
        </w:rPr>
        <w:t>（北京时间）</w:t>
      </w:r>
      <w:r>
        <w:rPr>
          <w:rFonts w:hint="eastAsia" w:ascii="仿宋" w:hAnsi="仿宋" w:eastAsia="仿宋" w:cs="仿宋"/>
          <w:sz w:val="24"/>
          <w:szCs w:val="20"/>
          <w:highlight w:val="none"/>
        </w:rPr>
        <w:t>之前递交。投标文件以密封形式递交至</w:t>
      </w:r>
      <w:r>
        <w:rPr>
          <w:rFonts w:hint="eastAsia" w:ascii="仿宋" w:hAnsi="仿宋" w:eastAsia="仿宋" w:cs="仿宋"/>
          <w:bCs/>
          <w:sz w:val="24"/>
          <w:szCs w:val="20"/>
          <w:highlight w:val="none"/>
        </w:rPr>
        <w:t>采购代理机构</w:t>
      </w:r>
      <w:r>
        <w:rPr>
          <w:rFonts w:hint="eastAsia" w:ascii="仿宋" w:hAnsi="仿宋" w:eastAsia="仿宋" w:cs="仿宋"/>
          <w:sz w:val="24"/>
          <w:szCs w:val="20"/>
          <w:highlight w:val="none"/>
        </w:rPr>
        <w:t>指定开标地点。并在《投标供应商登记表》上进行登记，在开标时间之前不做登记的，视为自动放弃投标。</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3.2 所有投标文件都必须在</w:t>
      </w:r>
      <w:r>
        <w:rPr>
          <w:rFonts w:hint="eastAsia" w:ascii="仿宋" w:hAnsi="仿宋" w:eastAsia="仿宋" w:cs="仿宋"/>
          <w:bCs/>
          <w:sz w:val="24"/>
          <w:szCs w:val="20"/>
          <w:highlight w:val="none"/>
        </w:rPr>
        <w:t>采购代理机构</w:t>
      </w:r>
      <w:r>
        <w:rPr>
          <w:rFonts w:hint="eastAsia" w:ascii="仿宋" w:hAnsi="仿宋" w:eastAsia="仿宋" w:cs="仿宋"/>
          <w:sz w:val="24"/>
          <w:szCs w:val="20"/>
          <w:highlight w:val="none"/>
        </w:rPr>
        <w:t>规定的投标截止时间之前送达招标文件指定的地点。</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3.3 出现因招标文件的修改而推迟投标截止时间的情况时，投标人则须按</w:t>
      </w:r>
      <w:r>
        <w:rPr>
          <w:rFonts w:hint="eastAsia" w:ascii="仿宋" w:hAnsi="仿宋" w:eastAsia="仿宋" w:cs="仿宋"/>
          <w:bCs/>
          <w:sz w:val="24"/>
          <w:szCs w:val="20"/>
          <w:highlight w:val="none"/>
        </w:rPr>
        <w:t>采购代理机构</w:t>
      </w:r>
      <w:r>
        <w:rPr>
          <w:rFonts w:hint="eastAsia" w:ascii="仿宋" w:hAnsi="仿宋" w:eastAsia="仿宋" w:cs="仿宋"/>
          <w:sz w:val="24"/>
          <w:szCs w:val="20"/>
          <w:highlight w:val="none"/>
        </w:rPr>
        <w:t>的书面修改通知重新规定的投标截止时间之前递交。</w:t>
      </w:r>
    </w:p>
    <w:p>
      <w:pPr>
        <w:ind w:firstLine="482" w:firstLineChars="200"/>
        <w:rPr>
          <w:rFonts w:hint="eastAsia" w:ascii="仿宋" w:hAnsi="仿宋" w:eastAsia="仿宋" w:cs="仿宋"/>
          <w:b/>
          <w:sz w:val="24"/>
          <w:szCs w:val="20"/>
          <w:highlight w:val="none"/>
        </w:rPr>
      </w:pPr>
      <w:r>
        <w:rPr>
          <w:rFonts w:hint="eastAsia" w:ascii="仿宋" w:hAnsi="仿宋" w:eastAsia="仿宋" w:cs="仿宋"/>
          <w:b/>
          <w:sz w:val="24"/>
          <w:szCs w:val="20"/>
          <w:highlight w:val="none"/>
        </w:rPr>
        <w:t>4、投标文件的修改和撤销</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4.1投标人在递交投标文件后，可在规定的投标截止时间之前，对其投标文件以书面通知的形式进行修改或</w:t>
      </w:r>
      <w:r>
        <w:rPr>
          <w:rFonts w:hint="eastAsia" w:ascii="仿宋" w:hAnsi="仿宋" w:eastAsia="仿宋" w:cs="仿宋"/>
          <w:sz w:val="24"/>
          <w:szCs w:val="20"/>
          <w:highlight w:val="none"/>
          <w:lang w:val="en-US" w:eastAsia="zh-CN"/>
        </w:rPr>
        <w:t>撤销</w:t>
      </w:r>
      <w:r>
        <w:rPr>
          <w:rFonts w:hint="eastAsia" w:ascii="仿宋" w:hAnsi="仿宋" w:eastAsia="仿宋" w:cs="仿宋"/>
          <w:sz w:val="24"/>
          <w:szCs w:val="20"/>
          <w:highlight w:val="none"/>
        </w:rPr>
        <w:t>。该通知须有投标代理人的签字，并得到</w:t>
      </w:r>
      <w:r>
        <w:rPr>
          <w:rFonts w:hint="eastAsia" w:ascii="仿宋" w:hAnsi="仿宋" w:eastAsia="仿宋" w:cs="仿宋"/>
          <w:bCs/>
          <w:sz w:val="24"/>
          <w:szCs w:val="20"/>
          <w:highlight w:val="none"/>
        </w:rPr>
        <w:t>采购代理机构</w:t>
      </w:r>
      <w:r>
        <w:rPr>
          <w:rFonts w:hint="eastAsia" w:ascii="仿宋" w:hAnsi="仿宋" w:eastAsia="仿宋" w:cs="仿宋"/>
          <w:sz w:val="24"/>
          <w:szCs w:val="20"/>
          <w:highlight w:val="none"/>
        </w:rPr>
        <w:t>的确认。</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4.2投标人对投标文件修改的书面材料或</w:t>
      </w:r>
      <w:r>
        <w:rPr>
          <w:rFonts w:hint="eastAsia" w:ascii="仿宋" w:hAnsi="仿宋" w:eastAsia="仿宋" w:cs="仿宋"/>
          <w:sz w:val="24"/>
          <w:szCs w:val="20"/>
          <w:highlight w:val="none"/>
          <w:lang w:val="en-US" w:eastAsia="zh-CN"/>
        </w:rPr>
        <w:t>撤销</w:t>
      </w:r>
      <w:r>
        <w:rPr>
          <w:rFonts w:hint="eastAsia" w:ascii="仿宋" w:hAnsi="仿宋" w:eastAsia="仿宋" w:cs="仿宋"/>
          <w:sz w:val="24"/>
          <w:szCs w:val="20"/>
          <w:highlight w:val="none"/>
        </w:rPr>
        <w:t>通知应按招标文件要求进行密封、标注和递交，并注明“修改投标文件”或“</w:t>
      </w:r>
      <w:r>
        <w:rPr>
          <w:rFonts w:hint="eastAsia" w:ascii="仿宋" w:hAnsi="仿宋" w:eastAsia="仿宋" w:cs="仿宋"/>
          <w:sz w:val="24"/>
          <w:szCs w:val="20"/>
          <w:highlight w:val="none"/>
          <w:lang w:val="en-US" w:eastAsia="zh-CN"/>
        </w:rPr>
        <w:t>撤销</w:t>
      </w:r>
      <w:r>
        <w:rPr>
          <w:rFonts w:hint="eastAsia" w:ascii="仿宋" w:hAnsi="仿宋" w:eastAsia="仿宋" w:cs="仿宋"/>
          <w:sz w:val="24"/>
          <w:szCs w:val="20"/>
          <w:highlight w:val="none"/>
        </w:rPr>
        <w:t>投标”字样，修改或撤销的内容须按招标文件的要求签署、盖章，并作为投标文件的组成部分。</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4.3对投标文件修改的书面材料应于投标截止日前送达</w:t>
      </w:r>
      <w:r>
        <w:rPr>
          <w:rFonts w:hint="eastAsia" w:ascii="仿宋" w:hAnsi="仿宋" w:eastAsia="仿宋" w:cs="仿宋"/>
          <w:bCs/>
          <w:sz w:val="24"/>
          <w:szCs w:val="20"/>
          <w:highlight w:val="none"/>
        </w:rPr>
        <w:t>采购代理机构</w:t>
      </w:r>
      <w:r>
        <w:rPr>
          <w:rFonts w:hint="eastAsia" w:ascii="仿宋" w:hAnsi="仿宋" w:eastAsia="仿宋" w:cs="仿宋"/>
          <w:sz w:val="24"/>
          <w:szCs w:val="20"/>
          <w:highlight w:val="none"/>
        </w:rPr>
        <w:t>，投标截止时间以后不得修改投标文件。</w:t>
      </w:r>
    </w:p>
    <w:p>
      <w:pPr>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4.4 投标人不得在开标后至投标有效期期满前撤销投标文件。</w:t>
      </w:r>
    </w:p>
    <w:p>
      <w:pPr>
        <w:ind w:firstLine="3534" w:firstLineChars="1100"/>
        <w:jc w:val="both"/>
        <w:rPr>
          <w:rFonts w:ascii="仿宋_GB2312" w:hAnsi="Arial" w:eastAsia="仿宋_GB2312" w:cs="Times New Roman"/>
          <w:b/>
          <w:sz w:val="32"/>
          <w:szCs w:val="32"/>
          <w:highlight w:val="none"/>
        </w:rPr>
      </w:pPr>
      <w:bookmarkStart w:id="83" w:name="_Toc11645"/>
      <w:bookmarkStart w:id="84" w:name="_Toc17190"/>
      <w:bookmarkStart w:id="85" w:name="_Toc4955"/>
      <w:r>
        <w:rPr>
          <w:rFonts w:hint="eastAsia" w:ascii="仿宋_GB2312" w:hAnsi="Arial" w:eastAsia="仿宋_GB2312" w:cs="Times New Roman"/>
          <w:b/>
          <w:sz w:val="32"/>
          <w:szCs w:val="32"/>
          <w:highlight w:val="none"/>
        </w:rPr>
        <w:t>第五章 投标报价及保证金</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2" w:firstLineChars="200"/>
        <w:rPr>
          <w:rFonts w:ascii="宋体" w:hAnsi="宋体" w:eastAsia="宋体" w:cs="Times New Roman"/>
          <w:b/>
          <w:sz w:val="24"/>
          <w:szCs w:val="24"/>
          <w:highlight w:val="none"/>
        </w:rPr>
      </w:pPr>
      <w:r>
        <w:rPr>
          <w:rFonts w:hint="eastAsia" w:ascii="宋体" w:hAnsi="宋体" w:eastAsia="宋体" w:cs="Times New Roman"/>
          <w:b/>
          <w:sz w:val="24"/>
          <w:szCs w:val="24"/>
          <w:highlight w:val="none"/>
        </w:rPr>
        <w:t>1、投标报价</w:t>
      </w:r>
    </w:p>
    <w:p>
      <w:pPr>
        <w:ind w:firstLine="480" w:firstLineChars="200"/>
        <w:rPr>
          <w:rFonts w:ascii="仿宋" w:hAnsi="仿宋" w:eastAsia="仿宋" w:cs="Times New Roman"/>
          <w:b w:val="0"/>
          <w:bCs w:val="0"/>
          <w:color w:val="auto"/>
          <w:sz w:val="24"/>
          <w:szCs w:val="20"/>
          <w:highlight w:val="none"/>
        </w:rPr>
      </w:pPr>
      <w:r>
        <w:rPr>
          <w:rFonts w:hint="eastAsia" w:ascii="仿宋" w:hAnsi="仿宋" w:eastAsia="仿宋" w:cs="Times New Roman"/>
          <w:b w:val="0"/>
          <w:bCs w:val="0"/>
          <w:color w:val="auto"/>
          <w:sz w:val="24"/>
          <w:szCs w:val="20"/>
          <w:highlight w:val="none"/>
        </w:rPr>
        <w:t>1.1应包括制造</w:t>
      </w:r>
      <w:r>
        <w:rPr>
          <w:rFonts w:hint="eastAsia" w:ascii="仿宋" w:hAnsi="仿宋" w:eastAsia="仿宋" w:cs="Times New Roman"/>
          <w:b w:val="0"/>
          <w:bCs w:val="0"/>
          <w:color w:val="auto"/>
          <w:sz w:val="24"/>
          <w:szCs w:val="20"/>
          <w:highlight w:val="none"/>
          <w:lang w:val="en-US" w:eastAsia="zh-CN"/>
        </w:rPr>
        <w:t>本项目所需</w:t>
      </w:r>
      <w:r>
        <w:rPr>
          <w:rFonts w:hint="eastAsia" w:ascii="仿宋" w:hAnsi="仿宋" w:eastAsia="仿宋" w:cs="Times New Roman"/>
          <w:b w:val="0"/>
          <w:bCs w:val="0"/>
          <w:color w:val="auto"/>
          <w:sz w:val="24"/>
          <w:szCs w:val="20"/>
          <w:highlight w:val="none"/>
        </w:rPr>
        <w:t>货物所使用的加工费及原材料已付的全部关税、销售税和其他税以及货物运达指定地点的运输、装卸、安装、检验、保修、保险等附加的所有费用。采购人、采购代理机构不接受除交货价之外，还需另外支付任何税费的投标报价。</w:t>
      </w:r>
    </w:p>
    <w:p>
      <w:pPr>
        <w:ind w:firstLine="480" w:firstLineChars="200"/>
        <w:rPr>
          <w:rFonts w:hint="eastAsia" w:ascii="仿宋" w:hAnsi="仿宋" w:eastAsia="仿宋" w:cs="Times New Roman"/>
          <w:sz w:val="24"/>
          <w:szCs w:val="20"/>
          <w:highlight w:val="none"/>
        </w:rPr>
      </w:pPr>
      <w:r>
        <w:rPr>
          <w:rFonts w:hint="eastAsia" w:ascii="仿宋" w:hAnsi="仿宋" w:eastAsia="仿宋" w:cs="Times New Roman"/>
          <w:sz w:val="24"/>
          <w:szCs w:val="20"/>
          <w:highlight w:val="none"/>
        </w:rPr>
        <w:t>1.2 采购人、</w:t>
      </w:r>
      <w:r>
        <w:rPr>
          <w:rFonts w:hint="eastAsia" w:ascii="仿宋" w:hAnsi="仿宋" w:eastAsia="仿宋" w:cs="Times New Roman"/>
          <w:bCs/>
          <w:sz w:val="24"/>
          <w:szCs w:val="20"/>
          <w:highlight w:val="none"/>
        </w:rPr>
        <w:t>采购代理机构</w:t>
      </w:r>
      <w:r>
        <w:rPr>
          <w:rFonts w:hint="eastAsia" w:ascii="仿宋" w:hAnsi="仿宋" w:eastAsia="仿宋" w:cs="Times New Roman"/>
          <w:sz w:val="24"/>
          <w:szCs w:val="20"/>
          <w:highlight w:val="none"/>
        </w:rPr>
        <w:t>不接受任何有选择性的报价，只允许一次性报价。</w:t>
      </w:r>
    </w:p>
    <w:p>
      <w:pPr>
        <w:ind w:firstLine="480" w:firstLineChars="200"/>
        <w:rPr>
          <w:rFonts w:hint="default" w:eastAsia="仿宋"/>
          <w:lang w:val="en-US" w:eastAsia="zh-CN"/>
        </w:rPr>
      </w:pPr>
      <w:r>
        <w:rPr>
          <w:rFonts w:hint="eastAsia" w:ascii="仿宋" w:hAnsi="仿宋" w:eastAsia="仿宋" w:cs="Times New Roman"/>
          <w:sz w:val="24"/>
          <w:szCs w:val="20"/>
          <w:highlight w:val="none"/>
          <w:lang w:val="en-US" w:eastAsia="zh-CN"/>
        </w:rPr>
        <w:t xml:space="preserve">1.3投标报价超预算金额的，其报价无效，不进入评标阶段。 </w:t>
      </w:r>
    </w:p>
    <w:p>
      <w:pPr>
        <w:ind w:firstLine="482" w:firstLineChars="200"/>
        <w:rPr>
          <w:rFonts w:ascii="仿宋" w:hAnsi="仿宋" w:eastAsia="仿宋" w:cs="Times New Roman"/>
          <w:b/>
          <w:bCs/>
          <w:color w:val="000000"/>
          <w:sz w:val="24"/>
          <w:szCs w:val="20"/>
          <w:highlight w:val="none"/>
        </w:rPr>
      </w:pPr>
      <w:r>
        <w:rPr>
          <w:rFonts w:hint="eastAsia" w:ascii="仿宋" w:hAnsi="仿宋" w:eastAsia="仿宋" w:cs="Times New Roman"/>
          <w:b/>
          <w:bCs/>
          <w:color w:val="000000"/>
          <w:sz w:val="24"/>
          <w:szCs w:val="20"/>
          <w:highlight w:val="none"/>
        </w:rPr>
        <w:t>1.</w:t>
      </w:r>
      <w:r>
        <w:rPr>
          <w:rFonts w:hint="eastAsia" w:ascii="仿宋" w:hAnsi="仿宋" w:eastAsia="仿宋" w:cs="Times New Roman"/>
          <w:b/>
          <w:bCs/>
          <w:color w:val="000000"/>
          <w:sz w:val="24"/>
          <w:szCs w:val="20"/>
          <w:highlight w:val="none"/>
          <w:lang w:val="en-US" w:eastAsia="zh-CN"/>
        </w:rPr>
        <w:t>4</w:t>
      </w:r>
      <w:r>
        <w:rPr>
          <w:rFonts w:hint="eastAsia" w:ascii="仿宋" w:hAnsi="仿宋" w:eastAsia="仿宋" w:cs="Times New Roman"/>
          <w:b/>
          <w:bCs/>
          <w:color w:val="000000"/>
          <w:sz w:val="24"/>
          <w:szCs w:val="20"/>
          <w:highlight w:val="none"/>
        </w:rPr>
        <w:t>投标人必须提供《开标一览表》，当与投标文件报价出现不一致的，按下列规定修正：</w:t>
      </w:r>
    </w:p>
    <w:p>
      <w:pPr>
        <w:ind w:firstLine="480" w:firstLineChars="200"/>
        <w:rPr>
          <w:rFonts w:ascii="仿宋" w:hAnsi="仿宋" w:eastAsia="仿宋" w:cs="Times New Roman"/>
          <w:sz w:val="24"/>
          <w:szCs w:val="20"/>
          <w:highlight w:val="none"/>
        </w:rPr>
      </w:pPr>
      <w:r>
        <w:rPr>
          <w:rFonts w:hint="eastAsia" w:ascii="仿宋" w:hAnsi="仿宋" w:eastAsia="仿宋" w:cs="Times New Roman"/>
          <w:sz w:val="24"/>
          <w:szCs w:val="20"/>
          <w:highlight w:val="none"/>
        </w:rPr>
        <w:t>(一)投标文件中《开标一览表》内容与投标文件中相应内容不一致的,以《开标一览表》为准;</w:t>
      </w:r>
    </w:p>
    <w:p>
      <w:pPr>
        <w:ind w:firstLine="480" w:firstLineChars="200"/>
        <w:rPr>
          <w:rFonts w:ascii="仿宋" w:hAnsi="仿宋" w:eastAsia="仿宋" w:cs="Times New Roman"/>
          <w:sz w:val="24"/>
          <w:szCs w:val="20"/>
          <w:highlight w:val="none"/>
        </w:rPr>
      </w:pPr>
      <w:r>
        <w:rPr>
          <w:rFonts w:hint="eastAsia" w:ascii="仿宋" w:hAnsi="仿宋" w:eastAsia="仿宋" w:cs="Times New Roman"/>
          <w:sz w:val="24"/>
          <w:szCs w:val="20"/>
          <w:highlight w:val="none"/>
        </w:rPr>
        <w:t>(二)大写金额和小写金额不一致的,以大写金额为准;</w:t>
      </w:r>
    </w:p>
    <w:p>
      <w:pPr>
        <w:ind w:firstLine="480" w:firstLineChars="200"/>
        <w:rPr>
          <w:rFonts w:ascii="仿宋" w:hAnsi="仿宋" w:eastAsia="仿宋" w:cs="Times New Roman"/>
          <w:sz w:val="24"/>
          <w:szCs w:val="20"/>
          <w:highlight w:val="none"/>
        </w:rPr>
      </w:pPr>
      <w:r>
        <w:rPr>
          <w:rFonts w:hint="eastAsia" w:ascii="仿宋" w:hAnsi="仿宋" w:eastAsia="仿宋" w:cs="Times New Roman"/>
          <w:sz w:val="24"/>
          <w:szCs w:val="20"/>
          <w:highlight w:val="none"/>
        </w:rPr>
        <w:t>(三)单价金额小数点或者百分比有明显错位的,以《开标一览表》的总价为准并修改单价；</w:t>
      </w:r>
    </w:p>
    <w:p>
      <w:pPr>
        <w:ind w:firstLine="480" w:firstLineChars="200"/>
        <w:rPr>
          <w:rFonts w:ascii="仿宋" w:hAnsi="仿宋" w:eastAsia="仿宋" w:cs="Times New Roman"/>
          <w:sz w:val="24"/>
          <w:szCs w:val="20"/>
          <w:highlight w:val="none"/>
        </w:rPr>
      </w:pPr>
      <w:r>
        <w:rPr>
          <w:rFonts w:hint="eastAsia" w:ascii="仿宋" w:hAnsi="仿宋" w:eastAsia="仿宋" w:cs="Times New Roman"/>
          <w:sz w:val="24"/>
          <w:szCs w:val="20"/>
          <w:highlight w:val="none"/>
        </w:rPr>
        <w:t>(四)总价金额与按单价汇总金额不一致的,以单价金额计算结果为准。</w:t>
      </w:r>
    </w:p>
    <w:p>
      <w:pPr>
        <w:ind w:firstLine="480" w:firstLineChars="200"/>
        <w:rPr>
          <w:rFonts w:ascii="仿宋" w:hAnsi="仿宋" w:eastAsia="仿宋" w:cs="Times New Roman"/>
          <w:sz w:val="24"/>
          <w:szCs w:val="20"/>
          <w:highlight w:val="none"/>
        </w:rPr>
      </w:pPr>
      <w:r>
        <w:rPr>
          <w:rFonts w:hint="eastAsia" w:ascii="仿宋" w:hAnsi="仿宋" w:eastAsia="仿宋" w:cs="Times New Roman"/>
          <w:sz w:val="24"/>
          <w:szCs w:val="20"/>
          <w:highlight w:val="none"/>
        </w:rPr>
        <w:t>同时出现两种以上不一致的,按照前款规定的顺序修正。修正后的报价经投标人确认后产生约束力,投标人不确认的，其投标无效。</w:t>
      </w:r>
    </w:p>
    <w:p>
      <w:pPr>
        <w:ind w:firstLine="480" w:firstLineChars="200"/>
        <w:rPr>
          <w:rFonts w:ascii="仿宋" w:hAnsi="仿宋" w:eastAsia="仿宋" w:cs="Times New Roman"/>
          <w:sz w:val="24"/>
          <w:szCs w:val="20"/>
          <w:highlight w:val="none"/>
        </w:rPr>
      </w:pPr>
      <w:r>
        <w:rPr>
          <w:rFonts w:hint="eastAsia" w:ascii="仿宋" w:hAnsi="仿宋" w:eastAsia="仿宋" w:cs="Times New Roman"/>
          <w:sz w:val="24"/>
          <w:szCs w:val="20"/>
          <w:highlight w:val="none"/>
        </w:rPr>
        <w:t>1.</w:t>
      </w:r>
      <w:r>
        <w:rPr>
          <w:rFonts w:hint="eastAsia" w:ascii="仿宋" w:hAnsi="仿宋" w:eastAsia="仿宋" w:cs="Times New Roman"/>
          <w:sz w:val="24"/>
          <w:szCs w:val="20"/>
          <w:highlight w:val="none"/>
          <w:lang w:val="en-US" w:eastAsia="zh-CN"/>
        </w:rPr>
        <w:t>5</w:t>
      </w:r>
      <w:r>
        <w:rPr>
          <w:rFonts w:hint="eastAsia" w:ascii="仿宋" w:hAnsi="仿宋" w:eastAsia="仿宋" w:cs="Times New Roman"/>
          <w:sz w:val="24"/>
          <w:szCs w:val="20"/>
          <w:highlight w:val="none"/>
        </w:rPr>
        <w:t>　投标报价单位为人民币元。</w:t>
      </w:r>
    </w:p>
    <w:p>
      <w:pPr>
        <w:ind w:firstLine="482" w:firstLineChars="200"/>
        <w:rPr>
          <w:rFonts w:ascii="Arial" w:hAnsi="Arial" w:eastAsia="宋体" w:cs="Times New Roman"/>
          <w:b/>
          <w:sz w:val="24"/>
          <w:szCs w:val="20"/>
          <w:highlight w:val="none"/>
        </w:rPr>
      </w:pPr>
      <w:r>
        <w:rPr>
          <w:rFonts w:hint="eastAsia" w:ascii="Arial" w:hAnsi="Arial" w:eastAsia="宋体" w:cs="Times New Roman"/>
          <w:b/>
          <w:sz w:val="24"/>
          <w:szCs w:val="20"/>
          <w:highlight w:val="none"/>
        </w:rPr>
        <w:t>2、投标保证金</w:t>
      </w:r>
    </w:p>
    <w:p>
      <w:pPr>
        <w:pStyle w:val="26"/>
        <w:ind w:left="0" w:leftChars="0" w:firstLine="480" w:firstLineChars="20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2.1</w:t>
      </w:r>
      <w:r>
        <w:rPr>
          <w:rFonts w:hint="eastAsia" w:ascii="仿宋" w:hAnsi="仿宋" w:eastAsia="仿宋" w:cs="仿宋"/>
          <w:kern w:val="0"/>
          <w:sz w:val="24"/>
          <w:szCs w:val="24"/>
          <w:highlight w:val="none"/>
          <w:lang w:val="en-US" w:eastAsia="zh-CN" w:bidi="ar-SA"/>
        </w:rPr>
        <w:t>投标保证金：</w:t>
      </w:r>
    </w:p>
    <w:p>
      <w:pPr>
        <w:ind w:firstLine="480" w:firstLineChars="200"/>
        <w:rPr>
          <w:rFonts w:hint="default" w:ascii="仿宋" w:hAnsi="仿宋" w:eastAsia="仿宋" w:cs="Times New Roman"/>
          <w:sz w:val="24"/>
          <w:szCs w:val="20"/>
          <w:highlight w:val="none"/>
          <w:lang w:val="en-US" w:eastAsia="zh-CN"/>
        </w:rPr>
      </w:pPr>
      <w:r>
        <w:rPr>
          <w:rFonts w:hint="eastAsia" w:ascii="仿宋" w:hAnsi="仿宋" w:eastAsia="仿宋" w:cs="仿宋"/>
          <w:sz w:val="24"/>
          <w:szCs w:val="24"/>
          <w:highlight w:val="none"/>
          <w:shd w:val="clear" w:color="auto" w:fill="auto"/>
          <w:lang w:val="en-US" w:eastAsia="zh-CN"/>
        </w:rPr>
        <w:t>人民币（大写）：贰拾伍万元整 ¥：250000.00</w:t>
      </w:r>
    </w:p>
    <w:p>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2.2形式：网银转账或银行转账</w:t>
      </w:r>
    </w:p>
    <w:p>
      <w:pPr>
        <w:ind w:left="479" w:leftChars="228" w:firstLine="0" w:firstLineChars="0"/>
        <w:rPr>
          <w:rFonts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t>2.3递交时间：在</w:t>
      </w:r>
      <w:r>
        <w:rPr>
          <w:rFonts w:hint="eastAsia" w:ascii="仿宋" w:hAnsi="仿宋" w:eastAsia="仿宋" w:cs="仿宋"/>
          <w:kern w:val="0"/>
          <w:sz w:val="24"/>
          <w:szCs w:val="24"/>
          <w:highlight w:val="none"/>
          <w:lang w:val="en-US" w:eastAsia="zh-CN"/>
        </w:rPr>
        <w:t>2020年1月6日19：00</w:t>
      </w:r>
      <w:r>
        <w:rPr>
          <w:rFonts w:hint="eastAsia" w:ascii="仿宋" w:hAnsi="仿宋" w:eastAsia="仿宋" w:cs="仿宋"/>
          <w:kern w:val="0"/>
          <w:sz w:val="24"/>
          <w:szCs w:val="24"/>
          <w:highlight w:val="none"/>
          <w:lang w:val="en-US" w:eastAsia="zh-CN"/>
        </w:rPr>
        <w:t>点</w:t>
      </w:r>
      <w:r>
        <w:rPr>
          <w:rFonts w:hint="eastAsia" w:ascii="仿宋" w:hAnsi="仿宋" w:eastAsia="仿宋" w:cs="仿宋"/>
          <w:kern w:val="0"/>
          <w:sz w:val="24"/>
          <w:szCs w:val="24"/>
          <w:highlight w:val="none"/>
        </w:rPr>
        <w:t>前到账（以到账时间为准）</w:t>
      </w:r>
      <w:r>
        <w:rPr>
          <w:rFonts w:hint="eastAsia" w:ascii="仿宋" w:hAnsi="仿宋" w:eastAsia="仿宋" w:cs="仿宋"/>
          <w:kern w:val="0"/>
          <w:szCs w:val="24"/>
          <w:highlight w:val="none"/>
        </w:rPr>
        <w:br w:type="textWrapping"/>
      </w:r>
      <w:r>
        <w:rPr>
          <w:rFonts w:hint="eastAsia" w:ascii="仿宋" w:hAnsi="仿宋" w:eastAsia="仿宋" w:cs="仿宋"/>
          <w:kern w:val="0"/>
          <w:sz w:val="24"/>
          <w:szCs w:val="24"/>
          <w:highlight w:val="none"/>
        </w:rPr>
        <w:t>2.4投标人递交保证金后，需至新疆鼎标招投标代理有限公司领取投标保证金收据。</w:t>
      </w:r>
      <w:r>
        <w:rPr>
          <w:rFonts w:hint="eastAsia" w:ascii="仿宋" w:hAnsi="仿宋" w:eastAsia="仿宋" w:cs="仿宋"/>
          <w:color w:val="000000"/>
          <w:kern w:val="0"/>
          <w:sz w:val="24"/>
          <w:szCs w:val="24"/>
          <w:highlight w:val="none"/>
        </w:rPr>
        <w:t xml:space="preserve"> 招标结束后，投标人持《</w:t>
      </w:r>
      <w:r>
        <w:rPr>
          <w:rFonts w:hint="eastAsia" w:ascii="仿宋_GB2312" w:hAnsi="Calibri" w:eastAsia="仿宋_GB2312" w:cs="Times New Roman"/>
          <w:color w:val="000000"/>
          <w:sz w:val="24"/>
          <w:szCs w:val="24"/>
          <w:highlight w:val="none"/>
        </w:rPr>
        <w:t>投标保证金收据》</w:t>
      </w:r>
      <w:r>
        <w:rPr>
          <w:rFonts w:hint="eastAsia" w:ascii="仿宋" w:hAnsi="仿宋" w:eastAsia="仿宋" w:cs="仿宋"/>
          <w:color w:val="000000"/>
          <w:kern w:val="0"/>
          <w:sz w:val="24"/>
          <w:szCs w:val="24"/>
          <w:highlight w:val="none"/>
        </w:rPr>
        <w:t>到</w:t>
      </w:r>
      <w:r>
        <w:rPr>
          <w:rFonts w:hint="eastAsia" w:ascii="仿宋" w:hAnsi="仿宋" w:eastAsia="仿宋" w:cs="Times New Roman"/>
          <w:bCs/>
          <w:sz w:val="24"/>
          <w:szCs w:val="20"/>
          <w:highlight w:val="none"/>
        </w:rPr>
        <w:t>采购代理机构</w:t>
      </w:r>
      <w:r>
        <w:rPr>
          <w:rFonts w:hint="eastAsia" w:ascii="仿宋" w:hAnsi="仿宋" w:eastAsia="仿宋" w:cs="仿宋"/>
          <w:color w:val="000000"/>
          <w:kern w:val="0"/>
          <w:sz w:val="24"/>
          <w:szCs w:val="24"/>
          <w:highlight w:val="none"/>
        </w:rPr>
        <w:t>直接退还。</w:t>
      </w:r>
    </w:p>
    <w:p>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2.5账户信息：</w:t>
      </w:r>
    </w:p>
    <w:p>
      <w:pPr>
        <w:spacing w:line="400" w:lineRule="exact"/>
        <w:ind w:firstLine="960" w:firstLineChars="400"/>
        <w:rPr>
          <w:rFonts w:ascii="仿宋" w:hAnsi="仿宋" w:eastAsia="仿宋" w:cs="仿宋"/>
          <w:b/>
          <w:color w:val="000000"/>
          <w:kern w:val="0"/>
          <w:sz w:val="24"/>
          <w:szCs w:val="24"/>
          <w:highlight w:val="none"/>
        </w:rPr>
      </w:pPr>
      <w:r>
        <w:rPr>
          <w:rFonts w:hint="eastAsia" w:ascii="仿宋" w:hAnsi="仿宋" w:eastAsia="仿宋" w:cs="仿宋"/>
          <w:color w:val="000000"/>
          <w:kern w:val="0"/>
          <w:sz w:val="24"/>
          <w:szCs w:val="24"/>
          <w:highlight w:val="none"/>
        </w:rPr>
        <w:t>开户行名称：</w:t>
      </w:r>
      <w:r>
        <w:rPr>
          <w:rFonts w:hint="eastAsia" w:ascii="仿宋" w:hAnsi="仿宋" w:eastAsia="仿宋"/>
          <w:b/>
          <w:color w:val="000000"/>
          <w:sz w:val="24"/>
          <w:highlight w:val="none"/>
        </w:rPr>
        <w:t>新疆鼎标招投标代理有限公司</w:t>
      </w:r>
    </w:p>
    <w:p>
      <w:pPr>
        <w:spacing w:line="400" w:lineRule="exact"/>
        <w:ind w:firstLine="960" w:firstLineChars="4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开户银行：</w:t>
      </w:r>
      <w:r>
        <w:rPr>
          <w:rFonts w:hint="eastAsia" w:ascii="华文仿宋" w:hAnsi="华文仿宋" w:eastAsia="华文仿宋" w:cs="华文仿宋"/>
          <w:b/>
          <w:bCs/>
          <w:color w:val="000000"/>
          <w:sz w:val="24"/>
          <w:highlight w:val="none"/>
        </w:rPr>
        <w:t>中国建设银行股份有限公司伊宁新华西路支行（营业部）</w:t>
      </w:r>
    </w:p>
    <w:p>
      <w:pPr>
        <w:spacing w:line="400" w:lineRule="exact"/>
        <w:ind w:firstLine="960" w:firstLineChars="400"/>
        <w:rPr>
          <w:rFonts w:ascii="仿宋" w:hAnsi="仿宋" w:eastAsia="仿宋" w:cs="仿宋"/>
          <w:color w:val="7030A0"/>
          <w:kern w:val="0"/>
          <w:sz w:val="24"/>
          <w:szCs w:val="24"/>
          <w:highlight w:val="none"/>
        </w:rPr>
      </w:pPr>
      <w:r>
        <w:rPr>
          <w:rFonts w:hint="eastAsia" w:ascii="仿宋" w:hAnsi="仿宋" w:eastAsia="仿宋" w:cs="仿宋"/>
          <w:color w:val="000000"/>
          <w:kern w:val="0"/>
          <w:sz w:val="24"/>
          <w:szCs w:val="24"/>
          <w:highlight w:val="none"/>
        </w:rPr>
        <w:t>银行账号：</w:t>
      </w:r>
      <w:r>
        <w:rPr>
          <w:rFonts w:hint="eastAsia" w:ascii="华文仿宋" w:hAnsi="华文仿宋" w:eastAsia="华文仿宋" w:cs="华文仿宋"/>
          <w:b/>
          <w:bCs/>
          <w:sz w:val="24"/>
          <w:highlight w:val="none"/>
        </w:rPr>
        <w:t>65050165605500000491</w:t>
      </w:r>
    </w:p>
    <w:p>
      <w:pPr>
        <w:ind w:firstLine="960" w:firstLineChars="400"/>
        <w:rPr>
          <w:rFonts w:ascii="仿宋" w:hAnsi="仿宋" w:eastAsia="仿宋" w:cs="仿宋"/>
          <w:kern w:val="0"/>
          <w:sz w:val="24"/>
          <w:szCs w:val="24"/>
          <w:highlight w:val="none"/>
        </w:rPr>
      </w:pPr>
      <w:r>
        <w:rPr>
          <w:rFonts w:hint="eastAsia" w:ascii="仿宋" w:hAnsi="仿宋" w:eastAsia="仿宋" w:cs="仿宋"/>
          <w:kern w:val="0"/>
          <w:sz w:val="24"/>
          <w:szCs w:val="24"/>
          <w:highlight w:val="none"/>
        </w:rPr>
        <w:t>投标人的投标保证金，须在汇款/转账凭单附注说明中写明项目</w:t>
      </w:r>
      <w:r>
        <w:rPr>
          <w:rFonts w:hint="eastAsia" w:ascii="仿宋" w:hAnsi="仿宋" w:eastAsia="仿宋" w:cs="仿宋"/>
          <w:kern w:val="0"/>
          <w:sz w:val="24"/>
          <w:szCs w:val="24"/>
          <w:highlight w:val="none"/>
          <w:lang w:val="en-US" w:eastAsia="zh-CN"/>
        </w:rPr>
        <w:t>编号。</w:t>
      </w:r>
    </w:p>
    <w:p>
      <w:pPr>
        <w:rPr>
          <w:rFonts w:ascii="仿宋" w:hAnsi="仿宋" w:eastAsia="仿宋" w:cs="仿宋"/>
          <w:color w:val="000000"/>
          <w:kern w:val="0"/>
          <w:sz w:val="24"/>
          <w:szCs w:val="24"/>
          <w:highlight w:val="none"/>
        </w:rPr>
      </w:pPr>
    </w:p>
    <w:p>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2.6下列任何情况发生时，投标保证金将被没收：</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 xml:space="preserve">  （1）投标人在招标文件规定的投标有效期内撤回其投标的；</w:t>
      </w:r>
      <w:r>
        <w:rPr>
          <w:rFonts w:hint="eastAsia" w:ascii="宋体" w:hAnsi="宋体" w:eastAsia="宋体" w:cs="宋体"/>
          <w:kern w:val="0"/>
          <w:sz w:val="24"/>
          <w:szCs w:val="24"/>
          <w:highlight w:val="none"/>
        </w:rPr>
        <w:t> </w:t>
      </w:r>
    </w:p>
    <w:p>
      <w:pP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（2）投标供应商投标文件中提供虚假材料；</w:t>
      </w:r>
    </w:p>
    <w:p>
      <w:pPr>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（3）供应商与采购人、其他供应商恶意串通的；</w:t>
      </w:r>
    </w:p>
    <w:p>
      <w:pPr>
        <w:ind w:firstLine="240" w:firstLineChars="100"/>
        <w:rPr>
          <w:rFonts w:ascii="仿宋" w:hAnsi="仿宋" w:eastAsia="仿宋" w:cs="仿宋"/>
          <w:kern w:val="0"/>
          <w:sz w:val="24"/>
          <w:szCs w:val="24"/>
          <w:highlight w:val="none"/>
        </w:rPr>
      </w:pPr>
      <w:r>
        <w:rPr>
          <w:rFonts w:hint="eastAsia" w:ascii="仿宋" w:hAnsi="仿宋" w:eastAsia="仿宋" w:cs="仿宋"/>
          <w:kern w:val="0"/>
          <w:sz w:val="24"/>
          <w:szCs w:val="24"/>
          <w:highlight w:val="none"/>
        </w:rPr>
        <w:t>（4）除因不可抗力或招标文件认可的情形外，中标供应商不与采购人签订合同的。</w:t>
      </w:r>
    </w:p>
    <w:p>
      <w:pPr>
        <w:ind w:firstLine="482" w:firstLineChars="200"/>
        <w:rPr>
          <w:rFonts w:ascii="宋体" w:hAnsi="宋体" w:cs="仿宋"/>
          <w:b/>
          <w:kern w:val="0"/>
          <w:sz w:val="24"/>
          <w:szCs w:val="24"/>
          <w:highlight w:val="none"/>
        </w:rPr>
      </w:pPr>
      <w:r>
        <w:rPr>
          <w:rFonts w:hint="eastAsia" w:ascii="宋体" w:hAnsi="宋体" w:cs="仿宋"/>
          <w:b/>
          <w:kern w:val="0"/>
          <w:sz w:val="24"/>
          <w:szCs w:val="24"/>
          <w:highlight w:val="none"/>
        </w:rPr>
        <w:t>3、履约保证金</w:t>
      </w:r>
    </w:p>
    <w:p>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3.1  中标供应商必须按中标金额的</w:t>
      </w:r>
      <w:r>
        <w:rPr>
          <w:rFonts w:hint="eastAsia" w:ascii="仿宋" w:hAnsi="仿宋" w:eastAsia="仿宋" w:cs="仿宋"/>
          <w:b/>
          <w:bCs/>
          <w:kern w:val="0"/>
          <w:sz w:val="24"/>
          <w:szCs w:val="24"/>
          <w:highlight w:val="none"/>
          <w:u w:val="single"/>
        </w:rPr>
        <w:t>5</w:t>
      </w:r>
      <w:r>
        <w:rPr>
          <w:rFonts w:hint="eastAsia" w:ascii="仿宋" w:hAnsi="仿宋" w:eastAsia="仿宋" w:cs="仿宋"/>
          <w:b/>
          <w:bCs/>
          <w:kern w:val="0"/>
          <w:sz w:val="24"/>
          <w:szCs w:val="24"/>
          <w:highlight w:val="none"/>
        </w:rPr>
        <w:t>%</w:t>
      </w:r>
      <w:r>
        <w:rPr>
          <w:rFonts w:hint="eastAsia" w:ascii="仿宋" w:hAnsi="仿宋" w:eastAsia="仿宋" w:cs="仿宋"/>
          <w:kern w:val="0"/>
          <w:sz w:val="24"/>
          <w:szCs w:val="24"/>
          <w:highlight w:val="none"/>
        </w:rPr>
        <w:t>向采购方交纳履约保证金；</w:t>
      </w:r>
    </w:p>
    <w:p>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3.2  履约保证金待货到验收合格后无息退还，退还保证金，只退投标公司账户，不退个人账户。【见第</w:t>
      </w:r>
      <w:r>
        <w:rPr>
          <w:rFonts w:hint="eastAsia" w:ascii="仿宋" w:hAnsi="仿宋" w:eastAsia="仿宋" w:cs="仿宋"/>
          <w:kern w:val="0"/>
          <w:sz w:val="24"/>
          <w:szCs w:val="24"/>
          <w:highlight w:val="none"/>
          <w:lang w:val="en-US" w:eastAsia="zh-CN"/>
        </w:rPr>
        <w:t>七</w:t>
      </w:r>
      <w:r>
        <w:rPr>
          <w:rFonts w:hint="eastAsia" w:ascii="仿宋" w:hAnsi="仿宋" w:eastAsia="仿宋" w:cs="仿宋"/>
          <w:kern w:val="0"/>
          <w:sz w:val="24"/>
          <w:szCs w:val="24"/>
          <w:highlight w:val="none"/>
        </w:rPr>
        <w:t>部分附表</w:t>
      </w:r>
      <w:r>
        <w:rPr>
          <w:rFonts w:hint="eastAsia" w:ascii="仿宋" w:hAnsi="仿宋" w:eastAsia="仿宋" w:cs="仿宋"/>
          <w:kern w:val="0"/>
          <w:sz w:val="24"/>
          <w:szCs w:val="24"/>
          <w:highlight w:val="none"/>
          <w:lang w:val="en-US" w:eastAsia="zh-CN"/>
        </w:rPr>
        <w:t>二</w:t>
      </w:r>
      <w:r>
        <w:rPr>
          <w:rFonts w:hint="eastAsia" w:ascii="仿宋" w:hAnsi="仿宋" w:eastAsia="仿宋" w:cs="仿宋"/>
          <w:kern w:val="0"/>
          <w:sz w:val="24"/>
          <w:szCs w:val="24"/>
          <w:highlight w:val="none"/>
        </w:rPr>
        <w:t>格式范本】</w:t>
      </w:r>
    </w:p>
    <w:p>
      <w:pPr>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3.3  未履行或完全履行采购合同，则没收履约保证金。</w:t>
      </w:r>
    </w:p>
    <w:p>
      <w:pPr>
        <w:shd w:val="clear" w:color="auto"/>
        <w:adjustRightInd w:val="0"/>
        <w:snapToGrid w:val="0"/>
        <w:spacing w:line="420" w:lineRule="exact"/>
        <w:ind w:firstLine="482" w:firstLineChars="200"/>
        <w:jc w:val="left"/>
        <w:rPr>
          <w:rFonts w:ascii="宋体" w:hAnsi="宋体" w:cs="宋体"/>
          <w:b/>
          <w:sz w:val="24"/>
          <w:szCs w:val="24"/>
          <w:highlight w:val="none"/>
        </w:rPr>
      </w:pPr>
      <w:r>
        <w:rPr>
          <w:rFonts w:hint="eastAsia" w:ascii="宋体" w:hAnsi="宋体" w:cs="宋体"/>
          <w:b/>
          <w:sz w:val="24"/>
          <w:szCs w:val="24"/>
          <w:highlight w:val="none"/>
        </w:rPr>
        <w:t>4、采购代理服务费</w:t>
      </w:r>
    </w:p>
    <w:p>
      <w:pPr>
        <w:shd w:val="clear" w:color="auto"/>
        <w:adjustRightInd w:val="0"/>
        <w:snapToGrid w:val="0"/>
        <w:spacing w:line="420" w:lineRule="exact"/>
        <w:ind w:firstLine="480" w:firstLineChars="200"/>
        <w:jc w:val="left"/>
        <w:rPr>
          <w:rFonts w:ascii="仿宋" w:hAnsi="仿宋" w:eastAsia="仿宋" w:cs="宋体"/>
          <w:sz w:val="24"/>
          <w:szCs w:val="24"/>
          <w:highlight w:val="none"/>
        </w:rPr>
      </w:pPr>
      <w:r>
        <w:rPr>
          <w:rFonts w:hint="eastAsia" w:ascii="仿宋" w:hAnsi="仿宋" w:eastAsia="仿宋" w:cs="宋体"/>
          <w:sz w:val="24"/>
          <w:szCs w:val="24"/>
          <w:highlight w:val="none"/>
        </w:rPr>
        <w:t>4.1  中标人在收到中标通知书后，须向新疆鼎标招投标代理有限公司支付采购代理服务费。</w:t>
      </w:r>
    </w:p>
    <w:p>
      <w:pPr>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4.2  参考国家发展计划委员会“计价格（2002）1980号”文件、“发改办价格[2003]857号”文及发改办价格〔2011〕534号文收取。</w:t>
      </w:r>
      <w:bookmarkStart w:id="86" w:name="_Toc6049"/>
      <w:bookmarkStart w:id="87" w:name="_Toc15099"/>
      <w:bookmarkStart w:id="88" w:name="_Toc31817"/>
      <w:bookmarkStart w:id="89" w:name="_Toc13449"/>
      <w:bookmarkStart w:id="90" w:name="_Toc30111"/>
      <w:bookmarkStart w:id="91" w:name="_Toc21930"/>
      <w:bookmarkStart w:id="92" w:name="_Toc6093"/>
      <w:bookmarkStart w:id="93" w:name="_Toc11833"/>
      <w:bookmarkStart w:id="94" w:name="_Toc16920"/>
      <w:bookmarkStart w:id="95" w:name="_Toc23932"/>
      <w:bookmarkStart w:id="96" w:name="_Toc6143"/>
      <w:bookmarkStart w:id="97" w:name="_Toc25363"/>
      <w:bookmarkStart w:id="98" w:name="_Toc25430"/>
      <w:bookmarkStart w:id="99" w:name="_Toc32201"/>
      <w:bookmarkStart w:id="100" w:name="_Toc4359"/>
    </w:p>
    <w:tbl>
      <w:tblPr>
        <w:tblStyle w:val="20"/>
        <w:tblW w:w="10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53"/>
        <w:gridCol w:w="1776"/>
        <w:gridCol w:w="1675"/>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5053" w:type="dxa"/>
            <w:vMerge w:val="restart"/>
            <w:tcBorders>
              <w:top w:val="single" w:color="000000" w:sz="4" w:space="0"/>
              <w:left w:val="single" w:color="000000" w:sz="4" w:space="0"/>
              <w:bottom w:val="single" w:color="000000" w:sz="4" w:space="0"/>
              <w:right w:val="single" w:color="000000" w:sz="4" w:space="0"/>
              <w:tl2br w:val="single" w:color="auto" w:sz="4" w:space="0"/>
            </w:tcBorders>
            <w:shd w:val="clear" w:color="auto" w:fill="FFFFFF"/>
            <w:tcMar>
              <w:top w:w="15" w:type="dxa"/>
              <w:left w:w="15" w:type="dxa"/>
              <w:right w:w="15" w:type="dxa"/>
            </w:tcMar>
            <w:vAlign w:val="center"/>
          </w:tcPr>
          <w:p>
            <w:pPr>
              <w:snapToGrid w:val="0"/>
              <w:jc w:val="both"/>
              <w:rPr>
                <w:rStyle w:val="23"/>
                <w:rFonts w:ascii="宋体" w:hAnsi="宋体" w:eastAsia="宋体"/>
                <w:color w:val="333333"/>
                <w:sz w:val="15"/>
                <w:szCs w:val="15"/>
                <w:shd w:val="clear" w:color="auto" w:fill="FFFFFF"/>
              </w:rPr>
            </w:pPr>
            <w:r>
              <w:rPr>
                <w:rFonts w:hint="eastAsia" w:ascii="宋体" w:hAnsi="宋体" w:eastAsia="宋体" w:cs="宋体"/>
                <w:b/>
                <w:color w:val="333333"/>
                <w:sz w:val="15"/>
                <w:szCs w:val="15"/>
              </w:rPr>
              <w:t xml:space="preserve">          </w:t>
            </w:r>
            <w:r>
              <w:rPr>
                <w:rFonts w:hint="eastAsia" w:ascii="宋体" w:hAnsi="宋体" w:cs="宋体"/>
                <w:b/>
                <w:color w:val="333333"/>
                <w:sz w:val="15"/>
                <w:szCs w:val="15"/>
                <w:lang w:val="en-US" w:eastAsia="zh-CN"/>
              </w:rPr>
              <w:t xml:space="preserve">                                    </w:t>
            </w:r>
            <w:r>
              <w:rPr>
                <w:rStyle w:val="23"/>
                <w:rFonts w:hint="eastAsia" w:ascii="宋体" w:hAnsi="宋体" w:eastAsia="宋体"/>
                <w:color w:val="333333"/>
                <w:sz w:val="15"/>
                <w:szCs w:val="15"/>
                <w:shd w:val="clear" w:color="auto" w:fill="FFFFFF"/>
              </w:rPr>
              <w:t>服费务类</w:t>
            </w:r>
          </w:p>
          <w:p>
            <w:pPr>
              <w:snapToGrid w:val="0"/>
              <w:ind w:firstLine="3614" w:firstLineChars="2400"/>
              <w:rPr>
                <w:rStyle w:val="23"/>
                <w:rFonts w:hint="eastAsia" w:ascii="宋体" w:hAnsi="宋体" w:eastAsia="宋体"/>
                <w:color w:val="333333"/>
                <w:sz w:val="15"/>
                <w:szCs w:val="15"/>
                <w:shd w:val="clear" w:color="auto" w:fill="FFFFFF"/>
              </w:rPr>
            </w:pPr>
            <w:r>
              <w:rPr>
                <w:rStyle w:val="23"/>
                <w:rFonts w:hint="eastAsia" w:ascii="宋体" w:hAnsi="宋体" w:eastAsia="宋体"/>
                <w:color w:val="333333"/>
                <w:sz w:val="15"/>
                <w:szCs w:val="15"/>
                <w:shd w:val="clear" w:color="auto" w:fill="FFFFFF"/>
              </w:rPr>
              <w:t>率型</w:t>
            </w:r>
          </w:p>
          <w:p>
            <w:pPr>
              <w:snapToGrid w:val="0"/>
              <w:rPr>
                <w:rFonts w:ascii="宋体" w:hAnsi="宋体" w:eastAsia="宋体" w:cs="宋体"/>
                <w:b/>
                <w:color w:val="333333"/>
                <w:sz w:val="15"/>
                <w:szCs w:val="15"/>
              </w:rPr>
            </w:pPr>
            <w:r>
              <w:rPr>
                <w:rFonts w:hint="eastAsia" w:ascii="宋体" w:hAnsi="宋体" w:eastAsia="宋体" w:cs="宋体"/>
                <w:b/>
                <w:color w:val="333333"/>
                <w:sz w:val="15"/>
                <w:szCs w:val="15"/>
              </w:rPr>
              <w:t>中标金额</w:t>
            </w:r>
          </w:p>
          <w:p>
            <w:pPr>
              <w:pStyle w:val="17"/>
              <w:shd w:val="clear" w:color="auto" w:fill="FFFFFF"/>
              <w:spacing w:before="0" w:beforeAutospacing="0" w:after="0" w:afterAutospacing="0" w:line="360" w:lineRule="atLeast"/>
              <w:rPr>
                <w:rFonts w:ascii="宋体" w:hAnsi="宋体" w:eastAsia="宋体"/>
                <w:b/>
                <w:color w:val="333333"/>
                <w:sz w:val="15"/>
                <w:szCs w:val="15"/>
                <w:shd w:val="clear" w:color="auto" w:fill="FFFFFF"/>
              </w:rPr>
            </w:pPr>
            <w:r>
              <w:rPr>
                <w:rFonts w:hint="eastAsia" w:ascii="宋体" w:hAnsi="宋体" w:cs="宋体"/>
                <w:b/>
                <w:color w:val="333333"/>
                <w:sz w:val="15"/>
                <w:szCs w:val="15"/>
                <w:lang w:val="en-US" w:eastAsia="zh-CN"/>
              </w:rPr>
              <w:t xml:space="preserve"> </w:t>
            </w:r>
            <w:r>
              <w:rPr>
                <w:rFonts w:hint="eastAsia" w:ascii="宋体" w:hAnsi="宋体" w:eastAsia="宋体" w:cs="宋体"/>
                <w:b/>
                <w:color w:val="333333"/>
                <w:sz w:val="15"/>
                <w:szCs w:val="15"/>
              </w:rPr>
              <w:t>（万元）</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15"/>
                <w:szCs w:val="15"/>
              </w:rPr>
            </w:pPr>
            <w:r>
              <w:rPr>
                <w:rFonts w:hint="eastAsia" w:ascii="宋体" w:hAnsi="宋体" w:eastAsia="宋体" w:cs="宋体"/>
                <w:b/>
                <w:color w:val="333333"/>
                <w:kern w:val="0"/>
                <w:sz w:val="15"/>
                <w:szCs w:val="15"/>
              </w:rPr>
              <w:t>货物招标</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15"/>
                <w:szCs w:val="15"/>
              </w:rPr>
            </w:pPr>
            <w:r>
              <w:rPr>
                <w:rFonts w:hint="eastAsia" w:ascii="宋体" w:hAnsi="宋体" w:eastAsia="宋体" w:cs="宋体"/>
                <w:b/>
                <w:color w:val="333333"/>
                <w:kern w:val="0"/>
                <w:sz w:val="15"/>
                <w:szCs w:val="15"/>
              </w:rPr>
              <w:t>服务招标</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15"/>
                <w:szCs w:val="15"/>
              </w:rPr>
            </w:pPr>
            <w:r>
              <w:rPr>
                <w:rFonts w:hint="eastAsia" w:ascii="宋体" w:hAnsi="宋体" w:eastAsia="宋体" w:cs="宋体"/>
                <w:b/>
                <w:color w:val="333333"/>
                <w:kern w:val="0"/>
                <w:sz w:val="15"/>
                <w:szCs w:val="15"/>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5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b/>
                <w:color w:val="333333"/>
                <w:sz w:val="28"/>
                <w:szCs w:val="28"/>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Arial"/>
                <w:b/>
                <w:color w:val="333333"/>
                <w:sz w:val="28"/>
                <w:szCs w:val="28"/>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Arial"/>
                <w:b/>
                <w:color w:val="333333"/>
                <w:sz w:val="28"/>
                <w:szCs w:val="28"/>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Arial"/>
                <w:b/>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100以下</w:t>
            </w:r>
          </w:p>
        </w:tc>
        <w:tc>
          <w:tcPr>
            <w:tcW w:w="1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1.50%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1.50%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100-500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1.10%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0.80%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500-1000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0.80%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0.45%</w:t>
            </w:r>
          </w:p>
        </w:tc>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1000-5000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0.50%</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0.25%</w:t>
            </w:r>
          </w:p>
        </w:tc>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0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5000-10000</w:t>
            </w:r>
          </w:p>
        </w:tc>
        <w:tc>
          <w:tcPr>
            <w:tcW w:w="1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0.25%</w:t>
            </w:r>
          </w:p>
        </w:tc>
        <w:tc>
          <w:tcPr>
            <w:tcW w:w="1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0.10%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4"/>
                <w:szCs w:val="24"/>
              </w:rPr>
            </w:pPr>
            <w:r>
              <w:rPr>
                <w:rFonts w:hint="eastAsia" w:ascii="宋体" w:hAnsi="宋体" w:eastAsia="宋体" w:cs="宋体"/>
                <w:color w:val="333333"/>
                <w:kern w:val="0"/>
                <w:sz w:val="24"/>
                <w:szCs w:val="24"/>
              </w:rPr>
              <w:t>0.20%</w:t>
            </w:r>
          </w:p>
        </w:tc>
      </w:tr>
    </w:tbl>
    <w:p>
      <w:pPr>
        <w:jc w:val="both"/>
        <w:outlineLvl w:val="0"/>
        <w:rPr>
          <w:rFonts w:hint="eastAsia" w:ascii="宋体" w:hAnsi="宋体" w:eastAsia="宋体" w:cs="Times New Roman"/>
          <w:b/>
          <w:color w:val="7030A0"/>
          <w:sz w:val="36"/>
          <w:szCs w:val="24"/>
          <w:highlight w:val="none"/>
        </w:rPr>
      </w:pPr>
      <w:bookmarkStart w:id="101" w:name="_Toc3878"/>
    </w:p>
    <w:p>
      <w:pPr>
        <w:ind w:firstLine="2530" w:firstLineChars="700"/>
        <w:jc w:val="both"/>
        <w:outlineLvl w:val="0"/>
        <w:rPr>
          <w:rFonts w:hint="eastAsia" w:ascii="宋体" w:hAnsi="宋体" w:eastAsia="宋体" w:cs="Times New Roman"/>
          <w:b/>
          <w:color w:val="7030A0"/>
          <w:sz w:val="36"/>
          <w:szCs w:val="24"/>
          <w:highlight w:val="none"/>
        </w:rPr>
      </w:pPr>
    </w:p>
    <w:p>
      <w:pPr>
        <w:ind w:firstLine="2530" w:firstLineChars="700"/>
        <w:jc w:val="both"/>
        <w:outlineLvl w:val="0"/>
        <w:rPr>
          <w:rFonts w:ascii="宋体" w:hAnsi="宋体" w:eastAsia="宋体" w:cs="Times New Roman"/>
          <w:b/>
          <w:color w:val="000000" w:themeColor="text1"/>
          <w:sz w:val="18"/>
          <w:szCs w:val="18"/>
          <w:highlight w:val="none"/>
          <w14:textFill>
            <w14:solidFill>
              <w14:schemeClr w14:val="tx1"/>
            </w14:solidFill>
          </w14:textFill>
        </w:rPr>
      </w:pPr>
      <w:r>
        <w:rPr>
          <w:rFonts w:hint="eastAsia" w:ascii="宋体" w:hAnsi="宋体" w:eastAsia="宋体" w:cs="Times New Roman"/>
          <w:b/>
          <w:color w:val="000000" w:themeColor="text1"/>
          <w:sz w:val="36"/>
          <w:szCs w:val="24"/>
          <w:highlight w:val="none"/>
          <w14:textFill>
            <w14:solidFill>
              <w14:schemeClr w14:val="tx1"/>
            </w14:solidFill>
          </w14:textFill>
        </w:rPr>
        <w:t>第三部分  采购需求及</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eastAsia="宋体" w:cs="Times New Roman"/>
          <w:b/>
          <w:color w:val="000000" w:themeColor="text1"/>
          <w:sz w:val="36"/>
          <w:szCs w:val="24"/>
          <w:highlight w:val="none"/>
          <w14:textFill>
            <w14:solidFill>
              <w14:schemeClr w14:val="tx1"/>
            </w14:solidFill>
          </w14:textFill>
        </w:rPr>
        <w:t>技术说明</w:t>
      </w:r>
      <w:bookmarkEnd w:id="101"/>
    </w:p>
    <w:p>
      <w:pPr>
        <w:jc w:val="center"/>
        <w:rPr>
          <w:rFonts w:ascii="仿宋" w:hAnsi="仿宋" w:eastAsia="仿宋" w:cs="仿宋"/>
          <w:b/>
          <w:color w:val="000000"/>
          <w:kern w:val="0"/>
          <w:sz w:val="24"/>
          <w:szCs w:val="24"/>
          <w:highlight w:val="none"/>
        </w:rPr>
      </w:pPr>
      <w:r>
        <w:rPr>
          <w:rFonts w:hint="eastAsia" w:ascii="仿宋" w:hAnsi="仿宋" w:eastAsia="仿宋" w:cs="Times New Roman"/>
          <w:b/>
          <w:color w:val="000000"/>
          <w:sz w:val="32"/>
          <w:szCs w:val="32"/>
          <w:highlight w:val="none"/>
        </w:rPr>
        <w:t>第一章采购项目内容及要求</w:t>
      </w:r>
    </w:p>
    <w:p>
      <w:pPr>
        <w:numPr>
          <w:ilvl w:val="0"/>
          <w:numId w:val="3"/>
        </w:numPr>
        <w:spacing w:line="360" w:lineRule="auto"/>
        <w:ind w:firstLine="482" w:firstLineChars="200"/>
        <w:rPr>
          <w:rFonts w:ascii="仿宋" w:hAnsi="仿宋" w:eastAsia="仿宋"/>
          <w:color w:val="000000"/>
          <w:sz w:val="24"/>
          <w:szCs w:val="24"/>
          <w:highlight w:val="none"/>
        </w:rPr>
      </w:pPr>
      <w:r>
        <w:rPr>
          <w:rFonts w:hint="eastAsia" w:ascii="仿宋" w:hAnsi="仿宋" w:eastAsia="仿宋" w:cs="仿宋"/>
          <w:b/>
          <w:color w:val="000000"/>
          <w:kern w:val="0"/>
          <w:sz w:val="24"/>
          <w:szCs w:val="24"/>
          <w:highlight w:val="none"/>
        </w:rPr>
        <w:t>项目说明</w:t>
      </w:r>
    </w:p>
    <w:p>
      <w:pPr>
        <w:widowControl/>
        <w:jc w:val="left"/>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lang w:eastAsia="zh-CN"/>
        </w:rPr>
        <w:t>）</w:t>
      </w:r>
      <w:r>
        <w:rPr>
          <w:rFonts w:hint="eastAsia" w:ascii="仿宋" w:hAnsi="仿宋" w:eastAsia="仿宋"/>
          <w:sz w:val="24"/>
          <w:szCs w:val="24"/>
          <w:highlight w:val="none"/>
        </w:rPr>
        <w:t>供应商应保证货物是全新、未使用过的</w:t>
      </w:r>
      <w:r>
        <w:rPr>
          <w:rFonts w:hint="eastAsia" w:ascii="仿宋" w:hAnsi="仿宋" w:eastAsia="仿宋"/>
          <w:sz w:val="24"/>
          <w:szCs w:val="24"/>
          <w:highlight w:val="none"/>
          <w:lang w:val="en-US" w:eastAsia="zh-CN"/>
        </w:rPr>
        <w:t>原装合格正品</w:t>
      </w:r>
      <w:r>
        <w:rPr>
          <w:rFonts w:hint="eastAsia" w:ascii="仿宋" w:hAnsi="仿宋" w:eastAsia="仿宋"/>
          <w:sz w:val="24"/>
          <w:szCs w:val="24"/>
          <w:highlight w:val="none"/>
        </w:rPr>
        <w:t>。并完全符合合同规定的质量、规格和性能的要求。供应商应保证所提供的货物经正确安装、正常运转和保养后，在其使用寿命期内应具有满意的性能。在货物质量保证期内供应商应对由于设计、工艺或者材料的缺陷而发生的任何不足或者故障负责。所投产品应提供详细的技术资料，应有检测报告等详细资料。</w:t>
      </w:r>
    </w:p>
    <w:p>
      <w:pPr>
        <w:widowControl/>
        <w:jc w:val="left"/>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lang w:eastAsia="zh-CN"/>
        </w:rPr>
        <w:t>）</w:t>
      </w:r>
      <w:r>
        <w:rPr>
          <w:rFonts w:hint="eastAsia" w:ascii="仿宋" w:hAnsi="仿宋" w:eastAsia="仿宋"/>
          <w:sz w:val="24"/>
          <w:szCs w:val="24"/>
          <w:highlight w:val="none"/>
        </w:rPr>
        <w:t>货物必须为合格产品，质量达到国家有关标准，供应商供货时应当提供有关货物的合格证明材料等。</w:t>
      </w:r>
      <w:bookmarkStart w:id="102" w:name="_Toc562"/>
    </w:p>
    <w:p>
      <w:pPr>
        <w:widowControl/>
        <w:jc w:val="left"/>
        <w:rPr>
          <w:rFonts w:hint="eastAsia" w:ascii="仿宋" w:hAnsi="仿宋" w:eastAsia="仿宋"/>
          <w:sz w:val="24"/>
          <w:szCs w:val="24"/>
          <w:highlight w:val="none"/>
        </w:rPr>
      </w:pP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）进口产品是指通过中国海关报关验放进入中国境内且产自关境外的产品。</w:t>
      </w:r>
    </w:p>
    <w:p>
      <w:pPr>
        <w:widowControl/>
        <w:jc w:val="left"/>
        <w:rPr>
          <w:rFonts w:hint="eastAsia"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政府采购应当采购本国产品。采购人确需采购进口产品的，应在采购活动开始前，按照财政部《政府采购进口产品管理办法》（财库〔2007〕119号）文件规定办理审核手续，通过财政部门审核后，方可采购进口产品，否则采购人不得采购进口产品，供应商不得提供直接进口或者委托进口产品（包括已进入中国境内的进口产品）。</w:t>
      </w:r>
    </w:p>
    <w:p>
      <w:pPr>
        <w:widowControl/>
        <w:jc w:val="left"/>
        <w:rPr>
          <w:rFonts w:hint="eastAsia" w:ascii="仿宋" w:hAnsi="仿宋" w:eastAsia="仿宋" w:cs="仿宋"/>
          <w:b/>
          <w:color w:val="FF0000"/>
          <w:kern w:val="0"/>
          <w:sz w:val="24"/>
          <w:szCs w:val="24"/>
          <w:highlight w:val="none"/>
          <w:lang w:val="en-US" w:eastAsia="zh-CN"/>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lang w:eastAsia="zh-CN"/>
        </w:rPr>
        <w:t>）</w:t>
      </w:r>
      <w:r>
        <w:rPr>
          <w:rFonts w:hint="eastAsia" w:ascii="仿宋" w:hAnsi="仿宋" w:eastAsia="仿宋"/>
          <w:sz w:val="24"/>
          <w:szCs w:val="24"/>
          <w:highlight w:val="none"/>
        </w:rPr>
        <w:t>采购人或采购代理机构在采购进口产品时不得拒绝国产相同质量产品的制造商或代理商参与报价。</w:t>
      </w:r>
    </w:p>
    <w:p>
      <w:pPr>
        <w:numPr>
          <w:ilvl w:val="0"/>
          <w:numId w:val="3"/>
        </w:numPr>
        <w:spacing w:line="360" w:lineRule="auto"/>
        <w:ind w:left="0" w:leftChars="0" w:firstLine="482" w:firstLineChars="200"/>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采购技术参数要求：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57"/>
        <w:gridCol w:w="7309"/>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9"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7309"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参数</w:t>
            </w:r>
          </w:p>
        </w:tc>
        <w:tc>
          <w:tcPr>
            <w:tcW w:w="855"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CRRT机（进口）</w:t>
            </w:r>
          </w:p>
        </w:tc>
        <w:tc>
          <w:tcPr>
            <w:tcW w:w="7309" w:type="dxa"/>
          </w:tcPr>
          <w:p>
            <w:pPr>
              <w:bidi w:val="0"/>
              <w:rPr>
                <w:rFonts w:hint="eastAsia" w:ascii="仿宋" w:hAnsi="仿宋" w:eastAsia="仿宋" w:cs="仿宋"/>
                <w:sz w:val="24"/>
                <w:szCs w:val="24"/>
              </w:rPr>
            </w:pPr>
            <w:r>
              <w:rPr>
                <w:rFonts w:hint="eastAsia" w:ascii="仿宋" w:hAnsi="仿宋" w:eastAsia="仿宋" w:cs="仿宋"/>
                <w:sz w:val="24"/>
                <w:szCs w:val="24"/>
              </w:rPr>
              <w:t>功能要求：操作简便的适用于肾脏替代治疗、血浆治疗和血液灌流吸附的多功能机器（CRRT）。</w:t>
            </w:r>
          </w:p>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CRRT性能要求</w:t>
            </w:r>
            <w:r>
              <w:rPr>
                <w:rFonts w:hint="eastAsia" w:ascii="仿宋" w:hAnsi="仿宋" w:eastAsia="仿宋" w:cs="仿宋"/>
                <w:b/>
                <w:bCs/>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具备全自动一体化的枸橼酸抗凝治疗模式。</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能完成的血液净化模式：能完成多种治疗模式，包括PedCVVH、PedCVVHD、SCUF、CVVH、CVVHD、CVVHDF，HV-CVVH ,CICA-CVVH，HP（血液灌流），MPS（血浆置换）治疗模式，独有儿童治疗模式。可以做PDF治疗（省血浆人工肝，血浆分离滤过透析治疗），可以做血浆分离吸附（无血浆人工肝）。</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驱动泵和肝素泵的要求：整机具有7个高精度驱动泵，有醒目的颜色标识，（血泵，置换液泵，透析液泵，废液泵，枸橼酸泵，钙泵、肝素泵），可直视泵的工作情况；有一体化的抗凝肝素泵装置，肝素的用量自动计算在治疗总量中，无需人工干预。所有泵全部由主机控制，不需要外加泵来实现枸橼酸抗凝。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电子秤：4个坚固的高精度天平称，每个天平称最大承重需要达到12KG，总负荷：48kg；分辨率：1g，废液袋容量12L。每个称在固定时间内，会自动校准。最大程度上降低护理人员工作强度。</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置换液秤和透析液秤在设备顶部，废液秤位于机器底部，按照医院感控要求污染及非污染区分置。具有30秒的警报延迟功能和天平多次自动校正功能。更换液体不需中断治疗。</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加温系统：两个一体化、内置的加温器，可以分别给置换液和透析液同时加温。置换液温度可至39℃；MPS期间最高37℃；透析液温度可至39℃。</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灵活选择前稀释或后稀释。在HV-CVVH时能在前稀释和后稀释中同时进行。置换液量最高可达9.6L/H。</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耗材开放式设计。管路和滤器独立包装，根据治疗模式灵活选择搭配，管路Cassette套装设计。带枸橼酸抗凝处方。避免设备捆绑耗材销售，可以扩展其他治疗：联合ECMO </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≥10.4寸高分辨率的液晶显示彩屏；数据存储：某一次治疗的所有记录可持续保持48小时；版面提示操作步骤、管路安装指南及异常情况的在线帮助功能。</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防凝血设计的静脉壶及排气的动脉壶，无空气/血液接触界面，减少空气报警及凝血。</w:t>
            </w:r>
            <w:r>
              <w:rPr>
                <w:rFonts w:hint="eastAsia" w:ascii="仿宋" w:hAnsi="仿宋" w:eastAsia="仿宋" w:cs="仿宋"/>
                <w:sz w:val="24"/>
                <w:szCs w:val="24"/>
              </w:rPr>
              <w:tab/>
            </w:r>
          </w:p>
          <w:p>
            <w:pPr>
              <w:bidi w:val="0"/>
              <w:rPr>
                <w:rFonts w:hint="eastAsia" w:ascii="仿宋" w:hAnsi="仿宋" w:eastAsia="仿宋" w:cs="仿宋"/>
                <w:b/>
                <w:bCs/>
                <w:sz w:val="24"/>
                <w:szCs w:val="24"/>
              </w:rPr>
            </w:pPr>
            <w:r>
              <w:rPr>
                <w:rFonts w:hint="eastAsia" w:ascii="仿宋" w:hAnsi="仿宋" w:eastAsia="仿宋" w:cs="仿宋"/>
                <w:b/>
                <w:bCs/>
                <w:sz w:val="24"/>
                <w:szCs w:val="24"/>
              </w:rPr>
              <w:t>二：治疗设定参数：</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血液流量：10-500ml/min±10%</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置换液流量：10-160ml/min，可调节</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透析液流量：10~70ml/min，可调节</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超滤率：0-100ml/min，可调节</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血浆置换率：10-50ml/min，可调节</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抗凝剂设置：精确度±0.5ml；连续注射流速范围: 0~5ml/h，间歇注射量设定范围: 0~5ml/h，频率：即时或每1~24小时带枸橼酸抗凝处方</w:t>
            </w:r>
            <w:r>
              <w:rPr>
                <w:rFonts w:hint="eastAsia" w:ascii="仿宋" w:hAnsi="仿宋" w:eastAsia="仿宋" w:cs="仿宋"/>
                <w:sz w:val="24"/>
                <w:szCs w:val="24"/>
                <w:lang w:eastAsia="zh-CN"/>
              </w:rPr>
              <w:t>。</w:t>
            </w:r>
          </w:p>
          <w:p>
            <w:pPr>
              <w:bidi w:val="0"/>
              <w:rPr>
                <w:rFonts w:hint="eastAsia" w:ascii="仿宋" w:hAnsi="仿宋" w:eastAsia="仿宋" w:cs="仿宋"/>
                <w:b/>
                <w:bCs/>
                <w:sz w:val="24"/>
                <w:szCs w:val="24"/>
              </w:rPr>
            </w:pPr>
            <w:r>
              <w:rPr>
                <w:rFonts w:hint="eastAsia" w:ascii="仿宋" w:hAnsi="仿宋" w:eastAsia="仿宋" w:cs="仿宋"/>
                <w:b/>
                <w:bCs/>
                <w:sz w:val="24"/>
                <w:szCs w:val="24"/>
              </w:rPr>
              <w:t>三． 压力监测参数：</w:t>
            </w:r>
          </w:p>
          <w:p>
            <w:pPr>
              <w:bidi w:val="0"/>
              <w:rPr>
                <w:rFonts w:hint="eastAsia" w:ascii="仿宋" w:hAnsi="仿宋" w:eastAsia="仿宋" w:cs="仿宋"/>
                <w:sz w:val="24"/>
                <w:szCs w:val="24"/>
              </w:rPr>
            </w:pPr>
            <w:r>
              <w:rPr>
                <w:rFonts w:hint="eastAsia" w:ascii="仿宋" w:hAnsi="仿宋" w:eastAsia="仿宋" w:cs="仿宋"/>
                <w:sz w:val="24"/>
                <w:szCs w:val="24"/>
              </w:rPr>
              <w:t>1. 精确度为读数的±10%</w:t>
            </w:r>
          </w:p>
          <w:p>
            <w:pPr>
              <w:bidi w:val="0"/>
              <w:rPr>
                <w:rFonts w:hint="eastAsia" w:ascii="仿宋" w:hAnsi="仿宋" w:eastAsia="仿宋" w:cs="仿宋"/>
                <w:sz w:val="24"/>
                <w:szCs w:val="24"/>
              </w:rPr>
            </w:pPr>
            <w:r>
              <w:rPr>
                <w:rFonts w:hint="eastAsia" w:ascii="仿宋" w:hAnsi="仿宋" w:eastAsia="仿宋" w:cs="仿宋"/>
                <w:sz w:val="24"/>
                <w:szCs w:val="24"/>
              </w:rPr>
              <w:t>2. 动脉流入管路压力：-280~+300mmHg</w:t>
            </w:r>
          </w:p>
          <w:p>
            <w:pPr>
              <w:bidi w:val="0"/>
              <w:rPr>
                <w:rFonts w:hint="eastAsia" w:ascii="仿宋" w:hAnsi="仿宋" w:eastAsia="仿宋" w:cs="仿宋"/>
                <w:sz w:val="24"/>
                <w:szCs w:val="24"/>
              </w:rPr>
            </w:pPr>
            <w:r>
              <w:rPr>
                <w:rFonts w:hint="eastAsia" w:ascii="仿宋" w:hAnsi="仿宋" w:eastAsia="仿宋" w:cs="仿宋"/>
                <w:sz w:val="24"/>
                <w:szCs w:val="24"/>
              </w:rPr>
              <w:t>3. 静脉回流管路压力：-80~+500mmHg</w:t>
            </w:r>
          </w:p>
          <w:p>
            <w:pPr>
              <w:bidi w:val="0"/>
              <w:rPr>
                <w:rFonts w:hint="eastAsia" w:ascii="仿宋" w:hAnsi="仿宋" w:eastAsia="仿宋" w:cs="仿宋"/>
                <w:sz w:val="24"/>
                <w:szCs w:val="24"/>
              </w:rPr>
            </w:pPr>
            <w:r>
              <w:rPr>
                <w:rFonts w:hint="eastAsia" w:ascii="仿宋" w:hAnsi="仿宋" w:eastAsia="仿宋" w:cs="仿宋"/>
                <w:sz w:val="24"/>
                <w:szCs w:val="24"/>
              </w:rPr>
              <w:t>4. 滤器前压力：0~+750mmHg</w:t>
            </w:r>
          </w:p>
          <w:p>
            <w:pPr>
              <w:bidi w:val="0"/>
              <w:rPr>
                <w:rFonts w:hint="eastAsia" w:ascii="仿宋" w:hAnsi="仿宋" w:eastAsia="仿宋" w:cs="仿宋"/>
                <w:b/>
                <w:bCs/>
                <w:sz w:val="24"/>
                <w:szCs w:val="24"/>
                <w:lang w:eastAsia="zh-CN"/>
              </w:rPr>
            </w:pPr>
            <w:r>
              <w:rPr>
                <w:rFonts w:hint="eastAsia" w:ascii="仿宋" w:hAnsi="仿宋" w:eastAsia="仿宋" w:cs="仿宋"/>
                <w:b/>
                <w:bCs/>
                <w:sz w:val="24"/>
                <w:szCs w:val="24"/>
              </w:rPr>
              <w:t>四． 报警：安全报警监测系统要求</w:t>
            </w:r>
            <w:r>
              <w:rPr>
                <w:rFonts w:hint="eastAsia" w:ascii="仿宋" w:hAnsi="仿宋" w:eastAsia="仿宋" w:cs="仿宋"/>
                <w:b/>
                <w:bCs/>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1. 有空气监测安全报警系统</w:t>
            </w:r>
          </w:p>
          <w:p>
            <w:pPr>
              <w:bidi w:val="0"/>
              <w:rPr>
                <w:rFonts w:hint="eastAsia" w:ascii="仿宋" w:hAnsi="仿宋" w:eastAsia="仿宋" w:cs="仿宋"/>
                <w:sz w:val="24"/>
                <w:szCs w:val="24"/>
              </w:rPr>
            </w:pPr>
            <w:r>
              <w:rPr>
                <w:rFonts w:hint="eastAsia" w:ascii="仿宋" w:hAnsi="仿宋" w:eastAsia="仿宋" w:cs="仿宋"/>
                <w:sz w:val="24"/>
                <w:szCs w:val="24"/>
              </w:rPr>
              <w:t>2. 有漏血监测安全报警系统</w:t>
            </w:r>
          </w:p>
          <w:p>
            <w:pPr>
              <w:bidi w:val="0"/>
              <w:rPr>
                <w:rFonts w:hint="eastAsia" w:ascii="仿宋" w:hAnsi="仿宋" w:eastAsia="仿宋" w:cs="仿宋"/>
                <w:sz w:val="24"/>
                <w:szCs w:val="24"/>
              </w:rPr>
            </w:pPr>
            <w:r>
              <w:rPr>
                <w:rFonts w:hint="eastAsia" w:ascii="仿宋" w:hAnsi="仿宋" w:eastAsia="仿宋" w:cs="仿宋"/>
                <w:sz w:val="24"/>
                <w:szCs w:val="24"/>
              </w:rPr>
              <w:t>3. 有压力限值监测安全报警系统</w:t>
            </w:r>
          </w:p>
          <w:p>
            <w:pPr>
              <w:bidi w:val="0"/>
              <w:rPr>
                <w:rFonts w:hint="eastAsia" w:ascii="仿宋" w:hAnsi="仿宋" w:eastAsia="仿宋" w:cs="仿宋"/>
                <w:sz w:val="24"/>
                <w:szCs w:val="24"/>
              </w:rPr>
            </w:pPr>
            <w:r>
              <w:rPr>
                <w:rFonts w:hint="eastAsia" w:ascii="仿宋" w:hAnsi="仿宋" w:eastAsia="仿宋" w:cs="仿宋"/>
                <w:sz w:val="24"/>
                <w:szCs w:val="24"/>
              </w:rPr>
              <w:t>4. 有液体平衡监测安全报警系统</w:t>
            </w:r>
          </w:p>
          <w:p>
            <w:pPr>
              <w:bidi w:val="0"/>
              <w:rPr>
                <w:rFonts w:hint="eastAsia" w:ascii="仿宋" w:hAnsi="仿宋" w:eastAsia="仿宋" w:cs="仿宋"/>
                <w:sz w:val="24"/>
                <w:szCs w:val="24"/>
              </w:rPr>
            </w:pPr>
            <w:r>
              <w:rPr>
                <w:rFonts w:hint="eastAsia" w:ascii="仿宋" w:hAnsi="仿宋" w:eastAsia="仿宋" w:cs="仿宋"/>
                <w:sz w:val="24"/>
                <w:szCs w:val="24"/>
              </w:rPr>
              <w:t>5. 有过高的跨膜压监测预估及滤器中凝血监测预估报警系统</w:t>
            </w:r>
          </w:p>
          <w:p>
            <w:pPr>
              <w:bidi w:val="0"/>
              <w:rPr>
                <w:rFonts w:hint="eastAsia" w:ascii="仿宋" w:hAnsi="仿宋" w:eastAsia="仿宋" w:cs="仿宋"/>
                <w:b/>
                <w:bCs/>
                <w:sz w:val="24"/>
                <w:szCs w:val="24"/>
              </w:rPr>
            </w:pPr>
            <w:r>
              <w:rPr>
                <w:rFonts w:hint="eastAsia" w:ascii="仿宋" w:hAnsi="仿宋" w:eastAsia="仿宋" w:cs="仿宋"/>
                <w:b/>
                <w:bCs/>
                <w:sz w:val="24"/>
                <w:szCs w:val="24"/>
              </w:rPr>
              <w:t>五.  空气检测器：具备超声波检测加上静脉夹处的光学检测。</w:t>
            </w:r>
          </w:p>
          <w:p>
            <w:pPr>
              <w:bidi w:val="0"/>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漏血检测器：光学检测，在最大滤过液流量时，≤0.5ml/min血漏（HCT=32%）</w:t>
            </w:r>
          </w:p>
          <w:p>
            <w:pPr>
              <w:bidi w:val="0"/>
              <w:rPr>
                <w:rFonts w:hint="eastAsia" w:ascii="仿宋" w:hAnsi="仿宋" w:eastAsia="仿宋" w:cs="仿宋"/>
                <w:b/>
                <w:bCs/>
                <w:sz w:val="24"/>
                <w:szCs w:val="24"/>
              </w:rPr>
            </w:pPr>
            <w:r>
              <w:rPr>
                <w:rFonts w:hint="eastAsia" w:ascii="仿宋" w:hAnsi="仿宋" w:eastAsia="仿宋" w:cs="仿宋"/>
                <w:b/>
                <w:bCs/>
                <w:sz w:val="24"/>
                <w:szCs w:val="24"/>
              </w:rPr>
              <w:t>七. 用电安全性：</w:t>
            </w:r>
          </w:p>
          <w:p>
            <w:pPr>
              <w:bidi w:val="0"/>
              <w:rPr>
                <w:rFonts w:hint="eastAsia" w:ascii="仿宋" w:hAnsi="仿宋" w:eastAsia="仿宋" w:cs="仿宋"/>
                <w:sz w:val="24"/>
                <w:szCs w:val="24"/>
              </w:rPr>
            </w:pPr>
            <w:r>
              <w:rPr>
                <w:rFonts w:hint="eastAsia" w:ascii="仿宋" w:hAnsi="仿宋" w:eastAsia="仿宋" w:cs="仿宋"/>
                <w:sz w:val="24"/>
                <w:szCs w:val="24"/>
              </w:rPr>
              <w:t>1. 电击防护类型 安全级数I ；电击防护程度 CF级别。高度保护病人和机器，抵抗触电，可同时使用心电监护仪器。</w:t>
            </w:r>
          </w:p>
          <w:p>
            <w:pPr>
              <w:bidi w:val="0"/>
              <w:rPr>
                <w:rFonts w:hint="eastAsia" w:ascii="仿宋" w:hAnsi="仿宋" w:eastAsia="仿宋" w:cs="仿宋"/>
                <w:sz w:val="24"/>
                <w:szCs w:val="24"/>
              </w:rPr>
            </w:pPr>
            <w:r>
              <w:rPr>
                <w:rFonts w:hint="eastAsia" w:ascii="仿宋" w:hAnsi="仿宋" w:eastAsia="仿宋" w:cs="仿宋"/>
                <w:sz w:val="24"/>
                <w:szCs w:val="24"/>
              </w:rPr>
              <w:t>2. 标配后备电池：停电后能维持体外循环≥15分钟，保证及时回血及患者的转运。</w:t>
            </w:r>
          </w:p>
          <w:p>
            <w:pPr>
              <w:bidi w:val="0"/>
              <w:rPr>
                <w:rFonts w:hint="eastAsia" w:ascii="仿宋" w:hAnsi="仿宋" w:eastAsia="仿宋" w:cs="仿宋"/>
                <w:b/>
                <w:bCs/>
                <w:sz w:val="24"/>
                <w:szCs w:val="24"/>
              </w:rPr>
            </w:pPr>
            <w:r>
              <w:rPr>
                <w:rFonts w:hint="eastAsia" w:ascii="仿宋" w:hAnsi="仿宋" w:eastAsia="仿宋" w:cs="仿宋"/>
                <w:b/>
                <w:bCs/>
                <w:sz w:val="24"/>
                <w:szCs w:val="24"/>
              </w:rPr>
              <w:t>八  耗材：</w:t>
            </w:r>
          </w:p>
          <w:p>
            <w:pPr>
              <w:bidi w:val="0"/>
              <w:rPr>
                <w:rFonts w:hint="eastAsia" w:ascii="仿宋" w:hAnsi="仿宋" w:eastAsia="仿宋" w:cs="仿宋"/>
                <w:sz w:val="24"/>
                <w:szCs w:val="24"/>
                <w:lang w:val="de-DE" w:eastAsia="zh-CN"/>
              </w:rPr>
            </w:pPr>
            <w:r>
              <w:rPr>
                <w:rFonts w:hint="eastAsia" w:ascii="仿宋" w:hAnsi="仿宋" w:eastAsia="仿宋" w:cs="仿宋"/>
                <w:sz w:val="24"/>
                <w:szCs w:val="24"/>
              </w:rPr>
              <w:t xml:space="preserve">1.采用聚砜膜的中分子清除表现，独有的生物相容性，流动蒸汽消毒，有效面积 </w:t>
            </w:r>
            <w:r>
              <w:rPr>
                <w:rFonts w:hint="eastAsia" w:ascii="仿宋" w:hAnsi="仿宋" w:eastAsia="仿宋" w:cs="仿宋"/>
                <w:sz w:val="24"/>
                <w:szCs w:val="24"/>
                <w:lang w:val="de-DE"/>
              </w:rPr>
              <w:t xml:space="preserve">- 0.7m2, 1.4m2 </w:t>
            </w:r>
            <w:r>
              <w:rPr>
                <w:rFonts w:hint="eastAsia" w:ascii="仿宋" w:hAnsi="仿宋" w:eastAsia="仿宋" w:cs="仿宋"/>
                <w:sz w:val="24"/>
                <w:szCs w:val="24"/>
              </w:rPr>
              <w:t xml:space="preserve">和 </w:t>
            </w:r>
            <w:r>
              <w:rPr>
                <w:rFonts w:hint="eastAsia" w:ascii="仿宋" w:hAnsi="仿宋" w:eastAsia="仿宋" w:cs="仿宋"/>
                <w:sz w:val="24"/>
                <w:szCs w:val="24"/>
                <w:lang w:val="de-DE"/>
              </w:rPr>
              <w:t>1.8m2</w:t>
            </w:r>
            <w:r>
              <w:rPr>
                <w:rFonts w:hint="eastAsia" w:ascii="仿宋" w:hAnsi="仿宋" w:eastAsia="仿宋" w:cs="仿宋"/>
                <w:sz w:val="24"/>
                <w:szCs w:val="24"/>
                <w:lang w:val="de-DE" w:eastAsia="zh-CN"/>
              </w:rPr>
              <w:t>。</w:t>
            </w:r>
          </w:p>
          <w:p>
            <w:pPr>
              <w:bidi w:val="0"/>
              <w:rPr>
                <w:rFonts w:hint="eastAsia" w:ascii="仿宋" w:hAnsi="仿宋" w:eastAsia="仿宋" w:cs="仿宋"/>
                <w:sz w:val="24"/>
                <w:szCs w:val="24"/>
              </w:rPr>
            </w:pPr>
            <w:r>
              <w:rPr>
                <w:rFonts w:hint="eastAsia" w:ascii="仿宋" w:hAnsi="仿宋" w:eastAsia="仿宋" w:cs="仿宋"/>
                <w:sz w:val="24"/>
                <w:szCs w:val="24"/>
              </w:rPr>
              <w:t>2. 儿科模式，透析液/置换液 ，最小剂量=100ml/h→→BSA=0.087 m2</w:t>
            </w:r>
          </w:p>
          <w:p>
            <w:pPr>
              <w:bidi w:val="0"/>
              <w:rPr>
                <w:rFonts w:hint="eastAsia" w:ascii="仿宋" w:hAnsi="仿宋" w:eastAsia="仿宋" w:cs="仿宋"/>
                <w:sz w:val="24"/>
                <w:szCs w:val="24"/>
                <w:lang w:val="en-US" w:eastAsia="zh-CN"/>
              </w:rPr>
            </w:pPr>
            <w:r>
              <w:rPr>
                <w:rFonts w:hint="eastAsia" w:ascii="仿宋" w:hAnsi="仿宋" w:eastAsia="仿宋" w:cs="仿宋"/>
                <w:sz w:val="24"/>
                <w:szCs w:val="24"/>
              </w:rPr>
              <w:t>最大剂量=1200ml/h→→BSA=1.04 m2→→ 体重= 30 kg ；管路套装中含4根管路 ，动脉及静脉管路 ，废液管路 ，置换液（透析液）管路 ，体外循环容量54 ml ，管路内径2 mm 降低管路扭结风险</w:t>
            </w:r>
            <w:r>
              <w:rPr>
                <w:rFonts w:hint="eastAsia" w:ascii="仿宋" w:hAnsi="仿宋" w:eastAsia="仿宋" w:cs="仿宋"/>
                <w:sz w:val="24"/>
                <w:szCs w:val="24"/>
                <w:lang w:eastAsia="zh-CN"/>
              </w:rPr>
              <w:t>。</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腹膜透析机（进口）</w:t>
            </w:r>
          </w:p>
        </w:tc>
        <w:tc>
          <w:tcPr>
            <w:tcW w:w="7309" w:type="dxa"/>
          </w:tcPr>
          <w:p>
            <w:pPr>
              <w:bidi w:val="0"/>
              <w:rPr>
                <w:rFonts w:hint="eastAsia" w:ascii="仿宋" w:hAnsi="仿宋" w:eastAsia="仿宋" w:cs="仿宋"/>
                <w:b/>
                <w:bCs/>
                <w:sz w:val="24"/>
                <w:szCs w:val="24"/>
              </w:rPr>
            </w:pPr>
            <w:bookmarkStart w:id="103" w:name="_Hlk56022344"/>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主机:</w:t>
            </w:r>
          </w:p>
          <w:p>
            <w:pPr>
              <w:bidi w:val="0"/>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安全性：</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中文显示屏及中文操作软件：保证中国用户安全使用。</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压缩/真空泵驱动及液体控制系统（真正的全自动系统）：</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）无需使用重力作用，安全舒适，液体灌注时无需提挂腹透液，便于各种环境条件使用。</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）无需使用称重秤测定出入液量，实时计算液体流量并检测病人空腹或是否管路堵塞，安全监控，避免称重秤失灵导致的危险，同时减少了定期校准称重秤的麻烦。</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液袋温度监测：安全监控，避免过高或过低温度的液体灌入病人体内造成伤害。</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数据连接平台自动记录并传输治疗数据至医护平台, 同时提供居家远程治疗检测, 软件中的预警信号让医护及时了解病人的治疗需求, 确保病人居家治疗的安全。</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有及时记录功能的完善的设备报警系统,  确保患者接受安全有效的透析治疗</w:t>
            </w:r>
            <w:bookmarkEnd w:id="103"/>
            <w:r>
              <w:rPr>
                <w:rFonts w:hint="eastAsia" w:ascii="仿宋" w:hAnsi="仿宋" w:eastAsia="仿宋" w:cs="仿宋"/>
                <w:sz w:val="24"/>
                <w:szCs w:val="24"/>
                <w:lang w:eastAsia="zh-CN"/>
              </w:rPr>
              <w:t>。</w:t>
            </w:r>
          </w:p>
          <w:p>
            <w:pPr>
              <w:numPr>
                <w:ilvl w:val="0"/>
                <w:numId w:val="4"/>
              </w:numPr>
              <w:bidi w:val="0"/>
              <w:rPr>
                <w:rFonts w:hint="eastAsia" w:ascii="仿宋" w:hAnsi="仿宋" w:eastAsia="仿宋" w:cs="仿宋"/>
                <w:b/>
                <w:bCs/>
                <w:sz w:val="24"/>
                <w:szCs w:val="24"/>
              </w:rPr>
            </w:pPr>
            <w:r>
              <w:rPr>
                <w:rFonts w:hint="eastAsia" w:ascii="仿宋" w:hAnsi="仿宋" w:eastAsia="仿宋" w:cs="仿宋"/>
                <w:b/>
                <w:bCs/>
                <w:sz w:val="24"/>
                <w:szCs w:val="24"/>
              </w:rPr>
              <w:t>个体化处方设置：</w:t>
            </w:r>
          </w:p>
          <w:p>
            <w:pPr>
              <w:numPr>
                <w:ilvl w:val="0"/>
                <w:numId w:val="0"/>
              </w:num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最末袋设置：真正个体化处方的保证。</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超大范围的总治疗量：0.2-80L，保障足够的透析剂量及透析充分性。</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lang w:eastAsia="zh-CN"/>
              </w:rPr>
              <w:t>可调的灌入和引流速度：适合各种人群的治疗，包括婴幼儿。</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适合所有 APD治疗模式：</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）连续循环腹膜透析/间歇性腹膜透析 (CCPD/IPD)</w:t>
            </w:r>
          </w:p>
          <w:p>
            <w:pPr>
              <w:bidi w:val="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潮式腹膜透析 (TPD)</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）高剂量连续循环腹膜透析（高剂量 CCPD）</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）高剂量潮式腹膜透析（高剂量 TPD）</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精确性及稳定性：</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3.1</w:t>
            </w:r>
            <w:r>
              <w:rPr>
                <w:rFonts w:hint="eastAsia" w:ascii="仿宋" w:hAnsi="仿宋" w:eastAsia="仿宋" w:cs="仿宋"/>
                <w:sz w:val="24"/>
                <w:szCs w:val="24"/>
                <w:lang w:eastAsia="zh-CN"/>
              </w:rPr>
              <w:t>机器要求能够设定总治疗时间、总治疗量、注入量、最末袋注入量、最末袋葡萄糖浓度。并能自动计算：治疗周期数、每个周期留置时间。</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3.2</w:t>
            </w:r>
            <w:r>
              <w:rPr>
                <w:rFonts w:hint="eastAsia" w:ascii="仿宋" w:hAnsi="仿宋" w:eastAsia="仿宋" w:cs="仿宋"/>
                <w:sz w:val="24"/>
                <w:szCs w:val="24"/>
                <w:lang w:eastAsia="zh-CN"/>
              </w:rPr>
              <w:t>机器液体温度控制：32℃-40℃</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3.3</w:t>
            </w:r>
            <w:r>
              <w:rPr>
                <w:rFonts w:hint="eastAsia" w:ascii="仿宋" w:hAnsi="仿宋" w:eastAsia="仿宋" w:cs="仿宋"/>
                <w:sz w:val="24"/>
                <w:szCs w:val="24"/>
                <w:lang w:eastAsia="zh-CN"/>
              </w:rPr>
              <w:t>液体温度控制设置点：35℃，36℃，37℃</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3.4</w:t>
            </w:r>
            <w:r>
              <w:rPr>
                <w:rFonts w:hint="eastAsia" w:ascii="仿宋" w:hAnsi="仿宋" w:eastAsia="仿宋" w:cs="仿宋"/>
                <w:sz w:val="24"/>
                <w:szCs w:val="24"/>
              </w:rPr>
              <w:t>温度测量精度：+2℃</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3.5</w:t>
            </w:r>
            <w:r>
              <w:rPr>
                <w:rFonts w:hint="eastAsia" w:ascii="仿宋" w:hAnsi="仿宋" w:eastAsia="仿宋" w:cs="仿宋"/>
                <w:sz w:val="24"/>
                <w:szCs w:val="24"/>
                <w:lang w:eastAsia="zh-CN"/>
              </w:rPr>
              <w:t>运输和存放温度限制：–32°C到 54°C:适合运输或存放在全国各地不同环境温度下。</w:t>
            </w:r>
          </w:p>
          <w:p>
            <w:pPr>
              <w:bidi w:val="0"/>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使用便捷性：</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4.1</w:t>
            </w:r>
            <w:r>
              <w:rPr>
                <w:rFonts w:hint="eastAsia" w:ascii="仿宋" w:hAnsi="仿宋" w:eastAsia="仿宋" w:cs="仿宋"/>
                <w:sz w:val="24"/>
                <w:szCs w:val="24"/>
                <w:lang w:eastAsia="zh-CN"/>
              </w:rPr>
              <w:t>大显示屏，特大字体双行字幕显示, 更加清晰，方便操作。</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4.2</w:t>
            </w:r>
            <w:r>
              <w:rPr>
                <w:rFonts w:hint="eastAsia" w:ascii="仿宋" w:hAnsi="仿宋" w:eastAsia="仿宋" w:cs="仿宋"/>
                <w:sz w:val="24"/>
                <w:szCs w:val="24"/>
                <w:lang w:eastAsia="zh-CN"/>
              </w:rPr>
              <w:t>体积小，重量轻，方便病人携带。</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(1)体积：高 19.4cmX宽 46.7cmX深 38.7cm</w:t>
            </w:r>
          </w:p>
          <w:p>
            <w:pPr>
              <w:bidi w:val="0"/>
              <w:rPr>
                <w:rFonts w:hint="eastAsia" w:ascii="仿宋" w:hAnsi="仿宋" w:eastAsia="仿宋" w:cs="仿宋"/>
                <w:sz w:val="24"/>
                <w:szCs w:val="24"/>
                <w:lang w:eastAsia="zh-CN"/>
              </w:rPr>
            </w:pPr>
            <w:r>
              <w:rPr>
                <w:rFonts w:hint="eastAsia" w:ascii="仿宋" w:hAnsi="仿宋" w:eastAsia="仿宋" w:cs="仿宋"/>
                <w:sz w:val="24"/>
                <w:szCs w:val="24"/>
              </w:rPr>
              <w:t>(2)重量：13.5kg</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4.3</w:t>
            </w:r>
            <w:r>
              <w:rPr>
                <w:rFonts w:hint="eastAsia" w:ascii="仿宋" w:hAnsi="仿宋" w:eastAsia="仿宋" w:cs="仿宋"/>
                <w:sz w:val="24"/>
                <w:szCs w:val="24"/>
                <w:lang w:eastAsia="zh-CN"/>
              </w:rPr>
              <w:t>移动方便，且无需校准称重称。</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4.4</w:t>
            </w:r>
            <w:r>
              <w:rPr>
                <w:rFonts w:hint="eastAsia" w:ascii="仿宋" w:hAnsi="仿宋" w:eastAsia="仿宋" w:cs="仿宋"/>
                <w:sz w:val="24"/>
                <w:szCs w:val="24"/>
                <w:lang w:eastAsia="zh-CN"/>
              </w:rPr>
              <w:t>远程调整机器程序设定（需患者接受）功能:</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）可让系统将治疗信息传输到透析中心，这有助于肾病专科医生或护士管理病人。</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）允许你的透析中心远程发送新的程序设置。</w:t>
            </w:r>
          </w:p>
          <w:p>
            <w:pPr>
              <w:bidi w:val="0"/>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机器耗材：</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一体化全密闭管路：超长病人端连接管路长达 310cm，保障病人自由活动，避免导管出口处牵拉损伤。</w:t>
            </w:r>
          </w:p>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参数列表</w:t>
            </w:r>
            <w:r>
              <w:rPr>
                <w:rFonts w:hint="eastAsia" w:ascii="仿宋" w:hAnsi="仿宋" w:eastAsia="仿宋" w:cs="仿宋"/>
                <w:b/>
                <w:bCs/>
                <w:sz w:val="24"/>
                <w:szCs w:val="24"/>
                <w:lang w:eastAsia="zh-CN"/>
              </w:rPr>
              <w:t>：</w:t>
            </w:r>
          </w:p>
          <w:tbl>
            <w:tblPr>
              <w:tblStyle w:val="20"/>
              <w:tblW w:w="0" w:type="auto"/>
              <w:tblInd w:w="125" w:type="dxa"/>
              <w:tblLayout w:type="autofit"/>
              <w:tblCellMar>
                <w:top w:w="0" w:type="dxa"/>
                <w:left w:w="0" w:type="dxa"/>
                <w:bottom w:w="0" w:type="dxa"/>
                <w:right w:w="0" w:type="dxa"/>
              </w:tblCellMar>
            </w:tblPr>
            <w:tblGrid>
              <w:gridCol w:w="2355"/>
              <w:gridCol w:w="4613"/>
            </w:tblGrid>
            <w:tr>
              <w:tblPrEx>
                <w:tblCellMar>
                  <w:top w:w="0" w:type="dxa"/>
                  <w:left w:w="0" w:type="dxa"/>
                  <w:bottom w:w="0" w:type="dxa"/>
                  <w:right w:w="0" w:type="dxa"/>
                </w:tblCellMar>
              </w:tblPrEx>
              <w:trPr>
                <w:trHeight w:val="311" w:hRule="atLeast"/>
              </w:trPr>
              <w:tc>
                <w:tcPr>
                  <w:tcW w:w="3429" w:type="dxa"/>
                  <w:tcBorders>
                    <w:top w:val="single" w:color="4F81BC" w:sz="8" w:space="0"/>
                    <w:bottom w:val="single" w:color="4F81BC" w:sz="8" w:space="0"/>
                  </w:tcBorders>
                </w:tcPr>
                <w:p>
                  <w:pPr>
                    <w:bidi w:val="0"/>
                    <w:rPr>
                      <w:rFonts w:hint="eastAsia" w:ascii="仿宋" w:hAnsi="仿宋" w:eastAsia="仿宋" w:cs="仿宋"/>
                      <w:sz w:val="24"/>
                      <w:szCs w:val="24"/>
                    </w:rPr>
                  </w:pPr>
                  <w:r>
                    <w:rPr>
                      <w:rFonts w:hint="eastAsia" w:ascii="仿宋" w:hAnsi="仿宋" w:eastAsia="仿宋" w:cs="仿宋"/>
                      <w:sz w:val="24"/>
                      <w:szCs w:val="24"/>
                    </w:rPr>
                    <w:t>治疗总量</w:t>
                  </w:r>
                </w:p>
              </w:tc>
              <w:tc>
                <w:tcPr>
                  <w:tcW w:w="6226" w:type="dxa"/>
                  <w:tcBorders>
                    <w:top w:val="single" w:color="4F81BC" w:sz="8" w:space="0"/>
                    <w:bottom w:val="single" w:color="4F81BC" w:sz="8" w:space="0"/>
                  </w:tcBorders>
                </w:tcPr>
                <w:p>
                  <w:pPr>
                    <w:bidi w:val="0"/>
                    <w:rPr>
                      <w:rFonts w:hint="eastAsia" w:ascii="仿宋" w:hAnsi="仿宋" w:eastAsia="仿宋" w:cs="仿宋"/>
                      <w:sz w:val="24"/>
                      <w:szCs w:val="24"/>
                    </w:rPr>
                  </w:pPr>
                  <w:r>
                    <w:rPr>
                      <w:rFonts w:hint="eastAsia" w:ascii="仿宋" w:hAnsi="仿宋" w:eastAsia="仿宋" w:cs="仿宋"/>
                      <w:sz w:val="24"/>
                      <w:szCs w:val="24"/>
                    </w:rPr>
                    <w:t>200 – 80000 mL</w:t>
                  </w:r>
                </w:p>
              </w:tc>
            </w:tr>
            <w:tr>
              <w:tblPrEx>
                <w:tblCellMar>
                  <w:top w:w="0" w:type="dxa"/>
                  <w:left w:w="0" w:type="dxa"/>
                  <w:bottom w:w="0" w:type="dxa"/>
                  <w:right w:w="0" w:type="dxa"/>
                </w:tblCellMar>
              </w:tblPrEx>
              <w:trPr>
                <w:trHeight w:val="313" w:hRule="atLeast"/>
              </w:trPr>
              <w:tc>
                <w:tcPr>
                  <w:tcW w:w="3429" w:type="dxa"/>
                  <w:tcBorders>
                    <w:top w:val="single" w:color="4F81BC" w:sz="8" w:space="0"/>
                  </w:tcBorders>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治疗时间</w:t>
                  </w:r>
                </w:p>
              </w:tc>
              <w:tc>
                <w:tcPr>
                  <w:tcW w:w="6226" w:type="dxa"/>
                  <w:tcBorders>
                    <w:top w:val="single" w:color="4F81BC" w:sz="8" w:space="0"/>
                  </w:tcBorders>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10 分钟-48 小时</w:t>
                  </w:r>
                </w:p>
              </w:tc>
            </w:tr>
            <w:tr>
              <w:tblPrEx>
                <w:tblCellMar>
                  <w:top w:w="0" w:type="dxa"/>
                  <w:left w:w="0" w:type="dxa"/>
                  <w:bottom w:w="0" w:type="dxa"/>
                  <w:right w:w="0" w:type="dxa"/>
                </w:tblCellMar>
              </w:tblPrEx>
              <w:trPr>
                <w:trHeight w:val="312" w:hRule="atLeast"/>
              </w:trPr>
              <w:tc>
                <w:tcPr>
                  <w:tcW w:w="3429" w:type="dxa"/>
                </w:tcPr>
                <w:p>
                  <w:pPr>
                    <w:bidi w:val="0"/>
                    <w:rPr>
                      <w:rFonts w:hint="eastAsia" w:ascii="仿宋" w:hAnsi="仿宋" w:eastAsia="仿宋" w:cs="仿宋"/>
                      <w:sz w:val="24"/>
                      <w:szCs w:val="24"/>
                    </w:rPr>
                  </w:pPr>
                  <w:r>
                    <w:rPr>
                      <w:rFonts w:hint="eastAsia" w:ascii="仿宋" w:hAnsi="仿宋" w:eastAsia="仿宋" w:cs="仿宋"/>
                      <w:sz w:val="24"/>
                      <w:szCs w:val="24"/>
                    </w:rPr>
                    <w:t>每次灌注量</w:t>
                  </w:r>
                </w:p>
              </w:tc>
              <w:tc>
                <w:tcPr>
                  <w:tcW w:w="6226" w:type="dxa"/>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100 – 3000ml（标准模式）；60-1000ml(低注入量模式)</w:t>
                  </w:r>
                </w:p>
              </w:tc>
            </w:tr>
            <w:tr>
              <w:tblPrEx>
                <w:tblCellMar>
                  <w:top w:w="0" w:type="dxa"/>
                  <w:left w:w="0" w:type="dxa"/>
                  <w:bottom w:w="0" w:type="dxa"/>
                  <w:right w:w="0" w:type="dxa"/>
                </w:tblCellMar>
              </w:tblPrEx>
              <w:trPr>
                <w:trHeight w:val="311" w:hRule="atLeast"/>
              </w:trPr>
              <w:tc>
                <w:tcPr>
                  <w:tcW w:w="3429"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最末袋灌注量</w:t>
                  </w:r>
                </w:p>
              </w:tc>
              <w:tc>
                <w:tcPr>
                  <w:tcW w:w="6226" w:type="dxa"/>
                  <w:shd w:val="clear" w:color="auto" w:fill="D2DFED"/>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0 ml 或 100-3000 ml（标准模式）</w:t>
                  </w:r>
                </w:p>
              </w:tc>
            </w:tr>
            <w:tr>
              <w:tblPrEx>
                <w:tblCellMar>
                  <w:top w:w="0" w:type="dxa"/>
                  <w:left w:w="0" w:type="dxa"/>
                  <w:bottom w:w="0" w:type="dxa"/>
                  <w:right w:w="0" w:type="dxa"/>
                </w:tblCellMar>
              </w:tblPrEx>
              <w:trPr>
                <w:trHeight w:val="312" w:hRule="atLeast"/>
              </w:trPr>
              <w:tc>
                <w:tcPr>
                  <w:tcW w:w="3429" w:type="dxa"/>
                </w:tcPr>
                <w:p>
                  <w:pPr>
                    <w:bidi w:val="0"/>
                    <w:rPr>
                      <w:rFonts w:hint="eastAsia" w:ascii="仿宋" w:hAnsi="仿宋" w:eastAsia="仿宋" w:cs="仿宋"/>
                      <w:sz w:val="24"/>
                      <w:szCs w:val="24"/>
                      <w:lang w:eastAsia="zh-CN"/>
                    </w:rPr>
                  </w:pPr>
                </w:p>
              </w:tc>
              <w:tc>
                <w:tcPr>
                  <w:tcW w:w="6226" w:type="dxa"/>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0 ml 或 60-1000 ml（低注入量模式）</w:t>
                  </w:r>
                </w:p>
              </w:tc>
            </w:tr>
            <w:tr>
              <w:tblPrEx>
                <w:tblCellMar>
                  <w:top w:w="0" w:type="dxa"/>
                  <w:left w:w="0" w:type="dxa"/>
                  <w:bottom w:w="0" w:type="dxa"/>
                  <w:right w:w="0" w:type="dxa"/>
                </w:tblCellMar>
              </w:tblPrEx>
              <w:trPr>
                <w:trHeight w:val="311" w:hRule="atLeast"/>
              </w:trPr>
              <w:tc>
                <w:tcPr>
                  <w:tcW w:w="3429"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葡萄糖浓度</w:t>
                  </w:r>
                </w:p>
              </w:tc>
              <w:tc>
                <w:tcPr>
                  <w:tcW w:w="6226"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相同 或 不同</w:t>
                  </w:r>
                </w:p>
              </w:tc>
            </w:tr>
            <w:tr>
              <w:tblPrEx>
                <w:tblCellMar>
                  <w:top w:w="0" w:type="dxa"/>
                  <w:left w:w="0" w:type="dxa"/>
                  <w:bottom w:w="0" w:type="dxa"/>
                  <w:right w:w="0" w:type="dxa"/>
                </w:tblCellMar>
              </w:tblPrEx>
              <w:trPr>
                <w:trHeight w:val="312" w:hRule="atLeast"/>
              </w:trPr>
              <w:tc>
                <w:tcPr>
                  <w:tcW w:w="3429" w:type="dxa"/>
                </w:tcPr>
                <w:p>
                  <w:pPr>
                    <w:bidi w:val="0"/>
                    <w:rPr>
                      <w:rFonts w:hint="eastAsia" w:ascii="仿宋" w:hAnsi="仿宋" w:eastAsia="仿宋" w:cs="仿宋"/>
                      <w:sz w:val="24"/>
                      <w:szCs w:val="24"/>
                    </w:rPr>
                  </w:pPr>
                  <w:r>
                    <w:rPr>
                      <w:rFonts w:hint="eastAsia" w:ascii="仿宋" w:hAnsi="仿宋" w:eastAsia="仿宋" w:cs="仿宋"/>
                      <w:sz w:val="24"/>
                      <w:szCs w:val="24"/>
                    </w:rPr>
                    <w:t>容量精度</w:t>
                  </w:r>
                </w:p>
              </w:tc>
              <w:tc>
                <w:tcPr>
                  <w:tcW w:w="6226" w:type="dxa"/>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+3%或+10ml，取二者的较大值</w:t>
                  </w:r>
                </w:p>
              </w:tc>
            </w:tr>
            <w:tr>
              <w:tblPrEx>
                <w:tblCellMar>
                  <w:top w:w="0" w:type="dxa"/>
                  <w:left w:w="0" w:type="dxa"/>
                  <w:bottom w:w="0" w:type="dxa"/>
                  <w:right w:w="0" w:type="dxa"/>
                </w:tblCellMar>
              </w:tblPrEx>
              <w:trPr>
                <w:trHeight w:val="311" w:hRule="atLeast"/>
              </w:trPr>
              <w:tc>
                <w:tcPr>
                  <w:tcW w:w="3429"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容量显示精度</w:t>
                  </w:r>
                </w:p>
              </w:tc>
              <w:tc>
                <w:tcPr>
                  <w:tcW w:w="6226"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1ml</w:t>
                  </w:r>
                </w:p>
              </w:tc>
            </w:tr>
            <w:tr>
              <w:tblPrEx>
                <w:tblCellMar>
                  <w:top w:w="0" w:type="dxa"/>
                  <w:left w:w="0" w:type="dxa"/>
                  <w:bottom w:w="0" w:type="dxa"/>
                  <w:right w:w="0" w:type="dxa"/>
                </w:tblCellMar>
              </w:tblPrEx>
              <w:trPr>
                <w:trHeight w:val="312" w:hRule="atLeast"/>
              </w:trPr>
              <w:tc>
                <w:tcPr>
                  <w:tcW w:w="3429" w:type="dxa"/>
                </w:tcPr>
                <w:p>
                  <w:pPr>
                    <w:bidi w:val="0"/>
                    <w:rPr>
                      <w:rFonts w:hint="eastAsia" w:ascii="仿宋" w:hAnsi="仿宋" w:eastAsia="仿宋" w:cs="仿宋"/>
                      <w:sz w:val="24"/>
                      <w:szCs w:val="24"/>
                    </w:rPr>
                  </w:pPr>
                  <w:r>
                    <w:rPr>
                      <w:rFonts w:hint="eastAsia" w:ascii="仿宋" w:hAnsi="仿宋" w:eastAsia="仿宋" w:cs="仿宋"/>
                      <w:sz w:val="24"/>
                      <w:szCs w:val="24"/>
                    </w:rPr>
                    <w:t>液体温度控制</w:t>
                  </w:r>
                </w:p>
              </w:tc>
              <w:tc>
                <w:tcPr>
                  <w:tcW w:w="6226" w:type="dxa"/>
                </w:tcPr>
                <w:p>
                  <w:pPr>
                    <w:bidi w:val="0"/>
                    <w:rPr>
                      <w:rFonts w:hint="eastAsia" w:ascii="仿宋" w:hAnsi="仿宋" w:eastAsia="仿宋" w:cs="仿宋"/>
                      <w:sz w:val="24"/>
                      <w:szCs w:val="24"/>
                    </w:rPr>
                  </w:pPr>
                  <w:r>
                    <w:rPr>
                      <w:rFonts w:hint="eastAsia" w:ascii="仿宋" w:hAnsi="仿宋" w:eastAsia="仿宋" w:cs="仿宋"/>
                      <w:sz w:val="24"/>
                      <w:szCs w:val="24"/>
                    </w:rPr>
                    <w:t>32 ℃– 40℃</w:t>
                  </w:r>
                </w:p>
              </w:tc>
            </w:tr>
            <w:tr>
              <w:tblPrEx>
                <w:tblCellMar>
                  <w:top w:w="0" w:type="dxa"/>
                  <w:left w:w="0" w:type="dxa"/>
                  <w:bottom w:w="0" w:type="dxa"/>
                  <w:right w:w="0" w:type="dxa"/>
                </w:tblCellMar>
              </w:tblPrEx>
              <w:trPr>
                <w:trHeight w:val="311" w:hRule="atLeast"/>
              </w:trPr>
              <w:tc>
                <w:tcPr>
                  <w:tcW w:w="3429"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温度精度</w:t>
                  </w:r>
                </w:p>
              </w:tc>
              <w:tc>
                <w:tcPr>
                  <w:tcW w:w="6226"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+2℃</w:t>
                  </w:r>
                </w:p>
              </w:tc>
            </w:tr>
            <w:tr>
              <w:tblPrEx>
                <w:tblCellMar>
                  <w:top w:w="0" w:type="dxa"/>
                  <w:left w:w="0" w:type="dxa"/>
                  <w:bottom w:w="0" w:type="dxa"/>
                  <w:right w:w="0" w:type="dxa"/>
                </w:tblCellMar>
              </w:tblPrEx>
              <w:trPr>
                <w:trHeight w:val="312" w:hRule="atLeast"/>
              </w:trPr>
              <w:tc>
                <w:tcPr>
                  <w:tcW w:w="3429" w:type="dxa"/>
                  <w:shd w:val="clear" w:color="auto" w:fill="D2DFED"/>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透析液温度设定控制点</w:t>
                  </w:r>
                </w:p>
              </w:tc>
              <w:tc>
                <w:tcPr>
                  <w:tcW w:w="6226" w:type="dxa"/>
                  <w:shd w:val="clear" w:color="auto" w:fill="D2DFED"/>
                </w:tcPr>
                <w:p>
                  <w:pPr>
                    <w:bidi w:val="0"/>
                    <w:rPr>
                      <w:rFonts w:hint="eastAsia" w:ascii="仿宋" w:hAnsi="仿宋" w:eastAsia="仿宋" w:cs="仿宋"/>
                      <w:sz w:val="24"/>
                      <w:szCs w:val="24"/>
                      <w:lang w:eastAsia="zh-CN"/>
                    </w:rPr>
                  </w:pPr>
                  <w:r>
                    <w:rPr>
                      <w:rFonts w:hint="eastAsia" w:ascii="仿宋" w:hAnsi="仿宋" w:eastAsia="仿宋" w:cs="仿宋"/>
                      <w:sz w:val="24"/>
                      <w:szCs w:val="24"/>
                    </w:rPr>
                    <w:t>35℃, 36℃, 37℃</w:t>
                  </w:r>
                </w:p>
              </w:tc>
            </w:tr>
            <w:tr>
              <w:tblPrEx>
                <w:tblCellMar>
                  <w:top w:w="0" w:type="dxa"/>
                  <w:left w:w="0" w:type="dxa"/>
                  <w:bottom w:w="0" w:type="dxa"/>
                  <w:right w:w="0" w:type="dxa"/>
                </w:tblCellMar>
              </w:tblPrEx>
              <w:trPr>
                <w:trHeight w:val="311" w:hRule="atLeast"/>
              </w:trPr>
              <w:tc>
                <w:tcPr>
                  <w:tcW w:w="3429" w:type="dxa"/>
                </w:tcPr>
                <w:p>
                  <w:pPr>
                    <w:bidi w:val="0"/>
                    <w:rPr>
                      <w:rFonts w:hint="eastAsia" w:ascii="仿宋" w:hAnsi="仿宋" w:eastAsia="仿宋" w:cs="仿宋"/>
                      <w:sz w:val="24"/>
                      <w:szCs w:val="24"/>
                      <w:lang w:eastAsia="zh-CN"/>
                    </w:rPr>
                  </w:pPr>
                  <w:r>
                    <w:rPr>
                      <w:rFonts w:hint="eastAsia" w:ascii="仿宋" w:hAnsi="仿宋" w:eastAsia="仿宋" w:cs="仿宋"/>
                      <w:sz w:val="24"/>
                      <w:szCs w:val="24"/>
                    </w:rPr>
                    <w:t>电压</w:t>
                  </w:r>
                </w:p>
              </w:tc>
              <w:tc>
                <w:tcPr>
                  <w:tcW w:w="6226" w:type="dxa"/>
                </w:tcPr>
                <w:p>
                  <w:pPr>
                    <w:bidi w:val="0"/>
                    <w:rPr>
                      <w:rFonts w:hint="eastAsia" w:ascii="仿宋" w:hAnsi="仿宋" w:eastAsia="仿宋" w:cs="仿宋"/>
                      <w:sz w:val="24"/>
                      <w:szCs w:val="24"/>
                    </w:rPr>
                  </w:pPr>
                  <w:r>
                    <w:rPr>
                      <w:rFonts w:hint="eastAsia" w:ascii="仿宋" w:hAnsi="仿宋" w:eastAsia="仿宋" w:cs="仿宋"/>
                      <w:sz w:val="24"/>
                      <w:szCs w:val="24"/>
                    </w:rPr>
                    <w:t>220–240 V</w:t>
                  </w:r>
                </w:p>
              </w:tc>
            </w:tr>
            <w:tr>
              <w:tblPrEx>
                <w:tblCellMar>
                  <w:top w:w="0" w:type="dxa"/>
                  <w:left w:w="0" w:type="dxa"/>
                  <w:bottom w:w="0" w:type="dxa"/>
                  <w:right w:w="0" w:type="dxa"/>
                </w:tblCellMar>
              </w:tblPrEx>
              <w:trPr>
                <w:trHeight w:val="312" w:hRule="atLeast"/>
              </w:trPr>
              <w:tc>
                <w:tcPr>
                  <w:tcW w:w="3429"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频率范围</w:t>
                  </w:r>
                </w:p>
              </w:tc>
              <w:tc>
                <w:tcPr>
                  <w:tcW w:w="6226" w:type="dxa"/>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50/60 Hz</w:t>
                  </w:r>
                </w:p>
              </w:tc>
            </w:tr>
            <w:tr>
              <w:tblPrEx>
                <w:tblCellMar>
                  <w:top w:w="0" w:type="dxa"/>
                  <w:left w:w="0" w:type="dxa"/>
                  <w:bottom w:w="0" w:type="dxa"/>
                  <w:right w:w="0" w:type="dxa"/>
                </w:tblCellMar>
              </w:tblPrEx>
              <w:trPr>
                <w:trHeight w:val="312" w:hRule="atLeast"/>
              </w:trPr>
              <w:tc>
                <w:tcPr>
                  <w:tcW w:w="3429" w:type="dxa"/>
                </w:tcPr>
                <w:p>
                  <w:pPr>
                    <w:bidi w:val="0"/>
                    <w:rPr>
                      <w:rFonts w:hint="eastAsia" w:ascii="仿宋" w:hAnsi="仿宋" w:eastAsia="仿宋" w:cs="仿宋"/>
                      <w:sz w:val="24"/>
                      <w:szCs w:val="24"/>
                    </w:rPr>
                  </w:pPr>
                  <w:r>
                    <w:rPr>
                      <w:rFonts w:hint="eastAsia" w:ascii="仿宋" w:hAnsi="仿宋" w:eastAsia="仿宋" w:cs="仿宋"/>
                      <w:sz w:val="24"/>
                      <w:szCs w:val="24"/>
                    </w:rPr>
                    <w:t>体积</w:t>
                  </w:r>
                </w:p>
              </w:tc>
              <w:tc>
                <w:tcPr>
                  <w:tcW w:w="6226" w:type="dxa"/>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高 19.4cm X 宽 46.7cm X 深 38.7cm</w:t>
                  </w:r>
                </w:p>
              </w:tc>
            </w:tr>
            <w:tr>
              <w:tblPrEx>
                <w:tblCellMar>
                  <w:top w:w="0" w:type="dxa"/>
                  <w:left w:w="0" w:type="dxa"/>
                  <w:bottom w:w="0" w:type="dxa"/>
                  <w:right w:w="0" w:type="dxa"/>
                </w:tblCellMar>
              </w:tblPrEx>
              <w:trPr>
                <w:trHeight w:val="311" w:hRule="atLeast"/>
              </w:trPr>
              <w:tc>
                <w:tcPr>
                  <w:tcW w:w="3429" w:type="dxa"/>
                  <w:tcBorders>
                    <w:bottom w:val="single" w:color="4F81BC" w:sz="8" w:space="0"/>
                  </w:tcBorders>
                  <w:shd w:val="clear" w:color="auto" w:fill="D2DFED"/>
                </w:tcPr>
                <w:p>
                  <w:pPr>
                    <w:bidi w:val="0"/>
                    <w:rPr>
                      <w:rFonts w:hint="eastAsia" w:ascii="仿宋" w:hAnsi="仿宋" w:eastAsia="仿宋" w:cs="仿宋"/>
                      <w:sz w:val="24"/>
                      <w:szCs w:val="24"/>
                    </w:rPr>
                  </w:pPr>
                  <w:r>
                    <w:rPr>
                      <w:rFonts w:hint="eastAsia" w:ascii="仿宋" w:hAnsi="仿宋" w:eastAsia="仿宋" w:cs="仿宋"/>
                      <w:sz w:val="24"/>
                      <w:szCs w:val="24"/>
                    </w:rPr>
                    <w:t>重量</w:t>
                  </w:r>
                </w:p>
              </w:tc>
              <w:tc>
                <w:tcPr>
                  <w:tcW w:w="6226" w:type="dxa"/>
                  <w:tcBorders>
                    <w:bottom w:val="single" w:color="4F81BC" w:sz="8" w:space="0"/>
                  </w:tcBorders>
                  <w:shd w:val="clear" w:color="auto" w:fill="D2DFED"/>
                </w:tcPr>
                <w:p>
                  <w:pPr>
                    <w:bidi w:val="0"/>
                    <w:rPr>
                      <w:rFonts w:hint="eastAsia" w:ascii="仿宋" w:hAnsi="仿宋" w:eastAsia="仿宋" w:cs="仿宋"/>
                      <w:sz w:val="24"/>
                      <w:szCs w:val="24"/>
                      <w:lang w:eastAsia="zh-CN"/>
                    </w:rPr>
                  </w:pPr>
                  <w:r>
                    <w:rPr>
                      <w:rFonts w:hint="eastAsia" w:ascii="仿宋" w:hAnsi="仿宋" w:eastAsia="仿宋" w:cs="仿宋"/>
                      <w:sz w:val="24"/>
                      <w:szCs w:val="24"/>
                    </w:rPr>
                    <w:t>13.5kg</w:t>
                  </w:r>
                </w:p>
              </w:tc>
            </w:tr>
            <w:tr>
              <w:tblPrEx>
                <w:tblCellMar>
                  <w:top w:w="0" w:type="dxa"/>
                  <w:left w:w="0" w:type="dxa"/>
                  <w:bottom w:w="0" w:type="dxa"/>
                  <w:right w:w="0" w:type="dxa"/>
                </w:tblCellMar>
              </w:tblPrEx>
              <w:trPr>
                <w:trHeight w:val="311" w:hRule="atLeast"/>
              </w:trPr>
              <w:tc>
                <w:tcPr>
                  <w:tcW w:w="3429" w:type="dxa"/>
                  <w:tcBorders>
                    <w:bottom w:val="single" w:color="4F81BC" w:sz="8" w:space="0"/>
                  </w:tcBorders>
                  <w:shd w:val="clear" w:color="auto" w:fill="D2DFED"/>
                </w:tcPr>
                <w:p>
                  <w:pPr>
                    <w:bidi w:val="0"/>
                    <w:rPr>
                      <w:rFonts w:hint="eastAsia" w:ascii="仿宋" w:hAnsi="仿宋" w:eastAsia="仿宋" w:cs="仿宋"/>
                      <w:sz w:val="24"/>
                      <w:szCs w:val="24"/>
                    </w:rPr>
                  </w:pPr>
                </w:p>
              </w:tc>
              <w:tc>
                <w:tcPr>
                  <w:tcW w:w="6226" w:type="dxa"/>
                  <w:tcBorders>
                    <w:bottom w:val="single" w:color="4F81BC" w:sz="8" w:space="0"/>
                  </w:tcBorders>
                  <w:shd w:val="clear" w:color="auto" w:fill="D2DFED"/>
                </w:tcPr>
                <w:p>
                  <w:pPr>
                    <w:bidi w:val="0"/>
                    <w:rPr>
                      <w:rFonts w:hint="eastAsia" w:ascii="仿宋" w:hAnsi="仿宋" w:eastAsia="仿宋" w:cs="仿宋"/>
                      <w:sz w:val="24"/>
                      <w:szCs w:val="24"/>
                    </w:rPr>
                  </w:pPr>
                </w:p>
              </w:tc>
            </w:tr>
          </w:tbl>
          <w:p>
            <w:pPr>
              <w:bidi w:val="0"/>
              <w:rPr>
                <w:rFonts w:hint="eastAsia" w:ascii="仿宋" w:hAnsi="仿宋" w:eastAsia="仿宋" w:cs="仿宋"/>
                <w:sz w:val="24"/>
                <w:szCs w:val="24"/>
              </w:rPr>
            </w:pPr>
          </w:p>
          <w:p>
            <w:pPr>
              <w:bidi w:val="0"/>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机器配件：</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eastAsia="zh-CN"/>
              </w:rPr>
              <w:t>调制解调器：用于数据平台连接上网</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3</w:t>
            </w:r>
          </w:p>
        </w:tc>
        <w:tc>
          <w:tcPr>
            <w:tcW w:w="1757" w:type="dxa"/>
          </w:tcPr>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隔水恒温箱（国产）</w:t>
            </w:r>
          </w:p>
        </w:tc>
        <w:tc>
          <w:tcPr>
            <w:tcW w:w="7309" w:type="dxa"/>
          </w:tcPr>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外形尺寸(cm)：52x36x53</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内室尺寸(cm)：30x30x35</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工作室容积(L)：31</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搁板（块）：2</w:t>
            </w:r>
          </w:p>
          <w:p>
            <w:pPr>
              <w:bidi w:val="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额定功率(W)：120</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加温方式：三面水套式，底部加热方式</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箱内循环方式：自然对流</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报警类型：超温报警、温度探头损坏报警</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温度控制器：LED数码管显示，P.I.D控制器</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电源：1Ø 220V 50Hz</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备注：温度设置在20°C～37°C可用于消除甘露醇溶液结晶现象</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红外治疗仪（国产）</w:t>
            </w:r>
          </w:p>
        </w:tc>
        <w:tc>
          <w:tcPr>
            <w:tcW w:w="7309" w:type="dxa"/>
          </w:tcPr>
          <w:p>
            <w:pPr>
              <w:bidi w:val="0"/>
              <w:rPr>
                <w:rFonts w:hint="eastAsia" w:ascii="仿宋" w:hAnsi="仿宋" w:eastAsia="仿宋" w:cs="仿宋"/>
                <w:sz w:val="24"/>
                <w:szCs w:val="24"/>
                <w:lang w:eastAsia="zh-CN"/>
              </w:rPr>
            </w:pPr>
            <w:r>
              <w:rPr>
                <w:rFonts w:hint="eastAsia" w:ascii="仿宋" w:hAnsi="仿宋" w:eastAsia="仿宋" w:cs="仿宋"/>
                <w:sz w:val="24"/>
                <w:szCs w:val="24"/>
              </w:rPr>
              <w:t>波长范围</w:t>
            </w:r>
            <w:r>
              <w:rPr>
                <w:rFonts w:hint="eastAsia" w:ascii="仿宋" w:hAnsi="仿宋" w:eastAsia="仿宋" w:cs="仿宋"/>
                <w:sz w:val="24"/>
                <w:szCs w:val="24"/>
                <w:lang w:eastAsia="zh-CN"/>
              </w:rPr>
              <w:t>：</w:t>
            </w:r>
            <w:r>
              <w:rPr>
                <w:rFonts w:hint="eastAsia" w:ascii="仿宋" w:hAnsi="仿宋" w:eastAsia="仿宋" w:cs="仿宋"/>
                <w:sz w:val="24"/>
                <w:szCs w:val="24"/>
              </w:rPr>
              <w:t>能量主要分布范围0.5μm-30μm 产品峰值波长：2～10μm</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光谱范围</w:t>
            </w:r>
            <w:r>
              <w:rPr>
                <w:rFonts w:hint="eastAsia" w:ascii="仿宋" w:hAnsi="仿宋" w:eastAsia="仿宋" w:cs="仿宋"/>
                <w:sz w:val="24"/>
                <w:szCs w:val="24"/>
                <w:lang w:eastAsia="zh-CN"/>
              </w:rPr>
              <w:t>：</w:t>
            </w:r>
            <w:r>
              <w:rPr>
                <w:rFonts w:hint="eastAsia" w:ascii="仿宋" w:hAnsi="仿宋" w:eastAsia="仿宋" w:cs="仿宋"/>
                <w:sz w:val="24"/>
                <w:szCs w:val="24"/>
              </w:rPr>
              <w:t>宽谱远红外</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操作方式：</w:t>
            </w:r>
            <w:r>
              <w:rPr>
                <w:rFonts w:hint="eastAsia" w:ascii="仿宋" w:hAnsi="仿宋" w:eastAsia="仿宋" w:cs="仿宋"/>
                <w:sz w:val="24"/>
                <w:szCs w:val="24"/>
              </w:rPr>
              <w:t>液晶</w:t>
            </w:r>
            <w:r>
              <w:rPr>
                <w:rFonts w:hint="eastAsia" w:ascii="仿宋" w:hAnsi="仿宋" w:eastAsia="仿宋" w:cs="仿宋"/>
                <w:sz w:val="24"/>
                <w:szCs w:val="24"/>
                <w:lang w:eastAsia="zh-CN"/>
              </w:rPr>
              <w:t>触摸屏操作方式</w:t>
            </w:r>
          </w:p>
          <w:p>
            <w:pPr>
              <w:bidi w:val="0"/>
              <w:rPr>
                <w:rFonts w:hint="eastAsia" w:ascii="仿宋" w:hAnsi="仿宋" w:eastAsia="仿宋" w:cs="仿宋"/>
                <w:sz w:val="24"/>
                <w:szCs w:val="24"/>
                <w:lang w:eastAsia="zh-CN"/>
              </w:rPr>
            </w:pPr>
            <w:r>
              <w:rPr>
                <w:rFonts w:hint="eastAsia" w:ascii="仿宋" w:hAnsi="仿宋" w:eastAsia="仿宋" w:cs="仿宋"/>
                <w:sz w:val="24"/>
                <w:szCs w:val="24"/>
              </w:rPr>
              <w:t>出光口面积</w:t>
            </w:r>
            <w:r>
              <w:rPr>
                <w:rFonts w:hint="eastAsia" w:ascii="仿宋" w:hAnsi="仿宋" w:eastAsia="仿宋" w:cs="仿宋"/>
                <w:sz w:val="24"/>
                <w:szCs w:val="24"/>
                <w:lang w:eastAsia="zh-CN"/>
              </w:rPr>
              <w:t>：</w:t>
            </w:r>
            <w:r>
              <w:rPr>
                <w:rFonts w:hint="eastAsia" w:ascii="仿宋" w:hAnsi="仿宋" w:eastAsia="仿宋" w:cs="仿宋"/>
                <w:sz w:val="24"/>
                <w:szCs w:val="24"/>
              </w:rPr>
              <w:t>≥300cm2</w:t>
            </w:r>
            <w:bookmarkStart w:id="413" w:name="_GoBack"/>
            <w:bookmarkEnd w:id="413"/>
          </w:p>
          <w:p>
            <w:pPr>
              <w:bidi w:val="0"/>
              <w:rPr>
                <w:rFonts w:hint="eastAsia" w:ascii="仿宋" w:hAnsi="仿宋" w:eastAsia="仿宋" w:cs="仿宋"/>
                <w:sz w:val="24"/>
                <w:szCs w:val="24"/>
                <w:lang w:eastAsia="zh-CN"/>
              </w:rPr>
            </w:pPr>
            <w:r>
              <w:rPr>
                <w:rFonts w:hint="eastAsia" w:ascii="仿宋" w:hAnsi="仿宋" w:eastAsia="仿宋" w:cs="仿宋"/>
                <w:sz w:val="24"/>
                <w:szCs w:val="24"/>
              </w:rPr>
              <w:t>功率档数</w:t>
            </w:r>
            <w:r>
              <w:rPr>
                <w:rFonts w:hint="eastAsia" w:ascii="仿宋" w:hAnsi="仿宋" w:eastAsia="仿宋" w:cs="仿宋"/>
                <w:sz w:val="24"/>
                <w:szCs w:val="24"/>
                <w:lang w:eastAsia="zh-CN"/>
              </w:rPr>
              <w:t>：</w:t>
            </w:r>
            <w:r>
              <w:rPr>
                <w:rFonts w:hint="eastAsia" w:ascii="仿宋" w:hAnsi="仿宋" w:eastAsia="仿宋" w:cs="仿宋"/>
                <w:sz w:val="24"/>
                <w:szCs w:val="24"/>
              </w:rPr>
              <w:t>五档可调</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设备</w:t>
            </w:r>
            <w:r>
              <w:rPr>
                <w:rFonts w:hint="eastAsia" w:ascii="仿宋" w:hAnsi="仿宋" w:eastAsia="仿宋" w:cs="仿宋"/>
                <w:sz w:val="24"/>
                <w:szCs w:val="24"/>
              </w:rPr>
              <w:t>电子定时</w:t>
            </w:r>
            <w:r>
              <w:rPr>
                <w:rFonts w:hint="eastAsia" w:ascii="仿宋" w:hAnsi="仿宋" w:eastAsia="仿宋" w:cs="仿宋"/>
                <w:sz w:val="24"/>
                <w:szCs w:val="24"/>
                <w:lang w:eastAsia="zh-CN"/>
              </w:rPr>
              <w:t>，治疗时间：</w:t>
            </w:r>
            <w:r>
              <w:rPr>
                <w:rFonts w:hint="eastAsia" w:ascii="仿宋" w:hAnsi="仿宋" w:eastAsia="仿宋" w:cs="仿宋"/>
                <w:sz w:val="24"/>
                <w:szCs w:val="24"/>
              </w:rPr>
              <w:t>0-99min</w:t>
            </w:r>
          </w:p>
          <w:p>
            <w:pPr>
              <w:bidi w:val="0"/>
              <w:rPr>
                <w:rFonts w:hint="eastAsia" w:ascii="仿宋" w:hAnsi="仿宋" w:eastAsia="仿宋" w:cs="仿宋"/>
                <w:sz w:val="24"/>
                <w:szCs w:val="24"/>
                <w:lang w:eastAsia="zh-CN"/>
              </w:rPr>
            </w:pPr>
            <w:r>
              <w:rPr>
                <w:rFonts w:hint="eastAsia" w:ascii="仿宋" w:hAnsi="仿宋" w:eastAsia="仿宋" w:cs="仿宋"/>
                <w:sz w:val="24"/>
                <w:szCs w:val="24"/>
              </w:rPr>
              <w:t>治疗模式</w:t>
            </w:r>
            <w:r>
              <w:rPr>
                <w:rFonts w:hint="eastAsia" w:ascii="仿宋" w:hAnsi="仿宋" w:eastAsia="仿宋" w:cs="仿宋"/>
                <w:sz w:val="24"/>
                <w:szCs w:val="24"/>
                <w:lang w:eastAsia="zh-CN"/>
              </w:rPr>
              <w:t>：</w:t>
            </w:r>
            <w:r>
              <w:rPr>
                <w:rFonts w:hint="eastAsia" w:ascii="仿宋" w:hAnsi="仿宋" w:eastAsia="仿宋" w:cs="仿宋"/>
                <w:sz w:val="24"/>
                <w:szCs w:val="24"/>
              </w:rPr>
              <w:t>纯远红外治疗</w:t>
            </w:r>
          </w:p>
          <w:p>
            <w:pPr>
              <w:bidi w:val="0"/>
              <w:rPr>
                <w:rFonts w:hint="eastAsia" w:ascii="仿宋" w:hAnsi="仿宋" w:eastAsia="仿宋" w:cs="仿宋"/>
                <w:sz w:val="24"/>
                <w:szCs w:val="24"/>
                <w:lang w:eastAsia="zh-CN"/>
              </w:rPr>
            </w:pPr>
            <w:r>
              <w:rPr>
                <w:rFonts w:hint="eastAsia" w:ascii="仿宋" w:hAnsi="仿宋" w:eastAsia="仿宋" w:cs="仿宋"/>
                <w:sz w:val="24"/>
                <w:szCs w:val="24"/>
              </w:rPr>
              <w:t>竖直升降功能</w:t>
            </w:r>
            <w:r>
              <w:rPr>
                <w:rFonts w:hint="eastAsia" w:ascii="仿宋" w:hAnsi="仿宋" w:eastAsia="仿宋" w:cs="仿宋"/>
                <w:sz w:val="24"/>
                <w:szCs w:val="24"/>
                <w:lang w:eastAsia="zh-CN"/>
              </w:rPr>
              <w:t>：</w:t>
            </w:r>
            <w:r>
              <w:rPr>
                <w:rFonts w:hint="eastAsia" w:ascii="仿宋" w:hAnsi="仿宋" w:eastAsia="仿宋" w:cs="仿宋"/>
                <w:sz w:val="24"/>
                <w:szCs w:val="24"/>
              </w:rPr>
              <w:t>金属软臂手动调节</w:t>
            </w:r>
            <w:r>
              <w:rPr>
                <w:rFonts w:hint="eastAsia" w:ascii="仿宋" w:hAnsi="仿宋" w:eastAsia="仿宋" w:cs="仿宋"/>
                <w:sz w:val="24"/>
                <w:szCs w:val="24"/>
                <w:lang w:eastAsia="zh-CN"/>
              </w:rPr>
              <w:t>，升降距离</w:t>
            </w:r>
            <w:r>
              <w:rPr>
                <w:rFonts w:hint="eastAsia" w:ascii="仿宋" w:hAnsi="仿宋" w:eastAsia="仿宋" w:cs="仿宋"/>
                <w:sz w:val="24"/>
                <w:szCs w:val="24"/>
              </w:rPr>
              <w:t>≥40cm</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照射光源</w:t>
            </w:r>
            <w:r>
              <w:rPr>
                <w:rFonts w:hint="eastAsia" w:ascii="仿宋" w:hAnsi="仿宋" w:eastAsia="仿宋" w:cs="仿宋"/>
                <w:sz w:val="24"/>
                <w:szCs w:val="24"/>
              </w:rPr>
              <w:t>角度调节</w:t>
            </w:r>
            <w:r>
              <w:rPr>
                <w:rFonts w:hint="eastAsia" w:ascii="仿宋" w:hAnsi="仿宋" w:eastAsia="仿宋" w:cs="仿宋"/>
                <w:sz w:val="24"/>
                <w:szCs w:val="24"/>
                <w:lang w:eastAsia="zh-CN"/>
              </w:rPr>
              <w:t>：</w:t>
            </w:r>
            <w:r>
              <w:rPr>
                <w:rFonts w:hint="eastAsia" w:ascii="仿宋" w:hAnsi="仿宋" w:eastAsia="仿宋" w:cs="仿宋"/>
                <w:sz w:val="24"/>
                <w:szCs w:val="24"/>
              </w:rPr>
              <w:t>二维,±90度</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温度保护功能：具有双温控开关及过温保护；</w:t>
            </w:r>
          </w:p>
          <w:p>
            <w:pPr>
              <w:bidi w:val="0"/>
              <w:rPr>
                <w:rFonts w:hint="eastAsia" w:ascii="仿宋" w:hAnsi="仿宋" w:eastAsia="仿宋" w:cs="仿宋"/>
                <w:sz w:val="24"/>
                <w:szCs w:val="24"/>
                <w:lang w:val="en-US" w:eastAsia="zh-CN"/>
              </w:rPr>
            </w:pPr>
            <w:r>
              <w:rPr>
                <w:rFonts w:hint="eastAsia" w:ascii="仿宋" w:hAnsi="仿宋" w:eastAsia="仿宋" w:cs="仿宋"/>
                <w:sz w:val="24"/>
                <w:szCs w:val="24"/>
              </w:rPr>
              <w:t>输入功率</w:t>
            </w:r>
            <w:r>
              <w:rPr>
                <w:rFonts w:hint="eastAsia" w:ascii="仿宋" w:hAnsi="仿宋" w:eastAsia="仿宋" w:cs="仿宋"/>
                <w:sz w:val="24"/>
                <w:szCs w:val="24"/>
                <w:lang w:eastAsia="zh-CN"/>
              </w:rPr>
              <w:t>：≤</w:t>
            </w:r>
            <w:r>
              <w:rPr>
                <w:rFonts w:hint="eastAsia" w:ascii="仿宋" w:hAnsi="仿宋" w:eastAsia="仿宋" w:cs="仿宋"/>
                <w:sz w:val="24"/>
                <w:szCs w:val="24"/>
              </w:rPr>
              <w:t>200VA</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集中供液（进口）</w:t>
            </w:r>
          </w:p>
        </w:tc>
        <w:tc>
          <w:tcPr>
            <w:tcW w:w="7309" w:type="dxa"/>
          </w:tcPr>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用参数化控制，可实现任意品牌透析粉、任意透析配方配置A透析浓缩液，并支持A透析浓缩液单次配置量调整；</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整体采用配、储分离式功能设计，所有操作电器及配液部分采用集中的箱式方案，减小占地、降低噪音以及增强设备稳定；储存部分有多种储液量规格的外置式方案，</w:t>
            </w:r>
            <w:r>
              <w:rPr>
                <w:rFonts w:hint="eastAsia" w:ascii="仿宋" w:hAnsi="仿宋" w:eastAsia="仿宋" w:cs="仿宋"/>
                <w:sz w:val="24"/>
                <w:szCs w:val="24"/>
                <w:lang w:val="en-US" w:eastAsia="zh-CN"/>
              </w:rPr>
              <w:t>适用</w:t>
            </w:r>
            <w:r>
              <w:rPr>
                <w:rFonts w:hint="eastAsia" w:ascii="仿宋" w:hAnsi="仿宋" w:eastAsia="仿宋" w:cs="仿宋"/>
                <w:sz w:val="24"/>
                <w:szCs w:val="24"/>
              </w:rPr>
              <w:t>于不同规模的透析室使用；</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采用PLC控制、全中文彩色触摸屏人机界面，防误接触的开关设计；</w:t>
            </w:r>
          </w:p>
          <w:p>
            <w:pPr>
              <w:bidi w:val="0"/>
              <w:rPr>
                <w:rFonts w:hint="eastAsia" w:ascii="仿宋" w:hAnsi="仿宋" w:eastAsia="仿宋" w:cs="仿宋"/>
                <w:sz w:val="24"/>
                <w:szCs w:val="24"/>
              </w:rPr>
            </w:pPr>
            <w:r>
              <w:rPr>
                <w:rFonts w:hint="eastAsia" w:ascii="仿宋" w:hAnsi="仿宋" w:eastAsia="仿宋" w:cs="仿宋"/>
                <w:sz w:val="24"/>
                <w:szCs w:val="24"/>
              </w:rPr>
              <w:t>供液系统的循环设计，具备在透析机工作或停止的情况下管道中的透析液不间断流动的功能。防止液体长期停滞，杜绝死腔。</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透析工作时主供液管道内的液体带压循环，可适用于不同透析室的布局方案，具备楼道屋顶的管道跨越、差层供液、单台多层透析供液等特点；</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配液水量采用灵敏的高精度电子流量计控制，确保透析液浓度值精确、重复性高；</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采用独特设计的磁力搅拌的方式，实现干粉的快速的均匀溶解。</w:t>
            </w:r>
          </w:p>
          <w:p>
            <w:pPr>
              <w:bidi w:val="0"/>
              <w:rPr>
                <w:rFonts w:hint="eastAsia" w:ascii="仿宋" w:hAnsi="仿宋" w:eastAsia="仿宋" w:cs="仿宋"/>
                <w:sz w:val="24"/>
                <w:szCs w:val="24"/>
              </w:rPr>
            </w:pPr>
            <w:r>
              <w:rPr>
                <w:rFonts w:hint="eastAsia" w:ascii="仿宋" w:hAnsi="仿宋" w:eastAsia="仿宋" w:cs="仿宋"/>
                <w:sz w:val="24"/>
                <w:szCs w:val="24"/>
              </w:rPr>
              <w:t>系统采用高精度（0.01）单位非接触式的电导仪，具备不与液体接触的测量方式，防止异常干扰，可实现长期稳定的精确控制，完成报警及自动上送的过程。</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控制系统可采用全自动/手动方式控制，系统在有故障时可实现手动应急工作，便于系统在线维护，部件具备方便的工作；</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设备中配置、储存、输送等所有能接触液体的部分，全部采用具有抗腐蚀能力的高分子材料元件，保证设备具有良好的稳定性和运行安全性，</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多层过滤装置（如精密过滤器、内毒素过滤器等），确保供出的液体的洁净度；</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设备配液开始和完毕后，都能自动清洗配液系统各部件，有效防止腐蚀及细菌污染；</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供液管道及标准接口处严密，无渗漏现象，并具有防逆流功能；</w:t>
            </w:r>
          </w:p>
          <w:p>
            <w:pPr>
              <w:bidi w:val="0"/>
              <w:rPr>
                <w:rFonts w:hint="eastAsia" w:ascii="仿宋" w:hAnsi="仿宋" w:eastAsia="仿宋" w:cs="仿宋"/>
                <w:sz w:val="24"/>
                <w:szCs w:val="24"/>
              </w:rPr>
            </w:pPr>
            <w:r>
              <w:rPr>
                <w:rFonts w:hint="eastAsia" w:ascii="仿宋" w:hAnsi="仿宋" w:eastAsia="仿宋" w:cs="仿宋"/>
                <w:sz w:val="24"/>
                <w:szCs w:val="24"/>
              </w:rPr>
              <w:t>具有自动排气功能，确保在血透机使用浓缩液时，排出管道内气体；</w:t>
            </w:r>
          </w:p>
          <w:p>
            <w:pPr>
              <w:bidi w:val="0"/>
              <w:rPr>
                <w:rFonts w:hint="eastAsia" w:ascii="仿宋" w:hAnsi="仿宋" w:eastAsia="仿宋" w:cs="仿宋"/>
                <w:sz w:val="24"/>
                <w:szCs w:val="24"/>
              </w:rPr>
            </w:pPr>
            <w:r>
              <w:rPr>
                <w:rFonts w:hint="eastAsia" w:ascii="仿宋" w:hAnsi="仿宋" w:eastAsia="仿宋" w:cs="仿宋"/>
                <w:sz w:val="24"/>
                <w:szCs w:val="24"/>
              </w:rPr>
              <w:t>具有配液量与储液桶容量的监测及检测，并能有效避免在输送过程中液体外溢；</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具有储存容量指示和即将用尽提示报警；</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具有输送泵空转、过载报警功能，并具有故障时方便应急切换的功能；</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控制系统具有参数设置、自动（连续）与手动（分步）控制转换、系统定时功能、在线监测功能、数据显示及配置信息记录等；</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控制系统能够对设备各项参数进行修改及设置，并具有密码保护防止误操作的程序；</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可选配的单配置多配方供液的方式，方便适用于个体化透析的要求；</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可选配的远程报警/控制功能；</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可兼容各种血透系统；</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空气消毒机（国产）</w:t>
            </w:r>
          </w:p>
        </w:tc>
        <w:tc>
          <w:tcPr>
            <w:tcW w:w="7309" w:type="dxa"/>
          </w:tcPr>
          <w:p>
            <w:pPr>
              <w:bidi w:val="0"/>
              <w:rPr>
                <w:rFonts w:hint="eastAsia" w:ascii="仿宋" w:hAnsi="仿宋" w:eastAsia="仿宋" w:cs="仿宋"/>
                <w:sz w:val="24"/>
                <w:szCs w:val="24"/>
              </w:rPr>
            </w:pPr>
            <w:r>
              <w:rPr>
                <w:rFonts w:hint="eastAsia" w:ascii="仿宋" w:hAnsi="仿宋" w:eastAsia="仿宋" w:cs="仿宋"/>
                <w:sz w:val="24"/>
                <w:szCs w:val="24"/>
              </w:rPr>
              <w:t>用途</w:t>
            </w:r>
            <w:r>
              <w:rPr>
                <w:rFonts w:hint="eastAsia" w:ascii="仿宋" w:hAnsi="仿宋" w:eastAsia="仿宋" w:cs="仿宋"/>
                <w:sz w:val="24"/>
                <w:szCs w:val="24"/>
                <w:lang w:eastAsia="zh-CN"/>
              </w:rPr>
              <w:t>：</w:t>
            </w:r>
            <w:r>
              <w:rPr>
                <w:rFonts w:hint="eastAsia" w:ascii="仿宋" w:hAnsi="仿宋" w:eastAsia="仿宋" w:cs="仿宋"/>
                <w:sz w:val="24"/>
                <w:szCs w:val="24"/>
              </w:rPr>
              <w:t>设备主要用于对室内的空气进行净化与消毒处理。</w:t>
            </w:r>
          </w:p>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物理电气参数及性能指标</w:t>
            </w:r>
            <w:r>
              <w:rPr>
                <w:rFonts w:hint="eastAsia" w:ascii="仿宋" w:hAnsi="仿宋" w:eastAsia="仿宋" w:cs="仿宋"/>
                <w:b/>
                <w:bCs/>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工作电源: 220V±22V  50Hz±1Hz  输入功率（W）：≤55</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安装方式：壁挂式安装</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设备上能通过指示灯和图文方式显示运行状态</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等离子体空气净化消毒机内部不得装有紫外线杀菌灯。</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等离子寿命：等离子体发生器和等离子体电极寿命≥29990小时（提供检测报告）</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等离子密度分布：≥3.4X1017～4.6X1017m-3（提供检测报告）</w:t>
            </w:r>
          </w:p>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设备的数据服务功能</w:t>
            </w:r>
            <w:r>
              <w:rPr>
                <w:rFonts w:hint="eastAsia" w:ascii="仿宋" w:hAnsi="仿宋" w:eastAsia="仿宋" w:cs="仿宋"/>
                <w:b/>
                <w:bCs/>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协助用户建立基于大数据的智慧物联网服务云平台，可以实现空气消毒机（不限于此）等感控设备、临床科室、感控管理部门、设备管理部门、设备厂家、厂家售后服务机构间的高效协同，提升管理效率。</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具有智慧物联网云服务功能，能同时从WEB端和手持式智能管理终端上远程监测查看全院空气消毒设备的设备分布、实时和历史数据、运行状态、报警消息、运行模式，程控设置、保养信息</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支持设备的物联网自动报修功能</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具有消息中心功能，可分别接收物联网设备消息、科室任务、系统消息</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随时查询设备资产档案、质保期限；随时查询每台设备、配件的信息和状态，以便及时进行设备的定期保养、维护等活动</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系统能自动记录每台设备的消毒使用记录；既能从移动管理终端（选配）上图形化和格式化报表查看，也能从电脑WEB端报表查看、导出、打印每台设备的消毒使用记录报表；支持消毒设备的实时数据和历史数据的查阅追溯</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具有人员权限的分配管理功能，可以实现分科室管理。角色至少包括临床科室、感控管理、设备管理三个角色</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系统能自动监控全院全部的空气净化消毒设备数据，同时支持设备管理和感控管理功能</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网络条件与安全,不需要用户自备有线网络、无线网络等基础条件</w:t>
            </w:r>
            <w:r>
              <w:rPr>
                <w:rFonts w:hint="eastAsia" w:ascii="仿宋" w:hAnsi="仿宋" w:eastAsia="仿宋" w:cs="仿宋"/>
                <w:sz w:val="24"/>
                <w:szCs w:val="24"/>
                <w:lang w:eastAsia="zh-CN"/>
              </w:rPr>
              <w:t>。</w:t>
            </w:r>
          </w:p>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基本参数要求</w:t>
            </w:r>
            <w:r>
              <w:rPr>
                <w:rFonts w:hint="eastAsia" w:ascii="仿宋" w:hAnsi="仿宋" w:eastAsia="仿宋" w:cs="仿宋"/>
                <w:b/>
                <w:bCs/>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适用体积（m3）：≤100</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能根据相关标准对室内空气质量进行自动评级</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消毒效果：设备持续工作1小时，对白色葡萄球菌（8032）的杀灭率≥99.90%，对空气中自然菌的消亡率≥90.00%（提供检测报告）</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臭氧泄留量检测：设备持续工作1小时，可使100m3房间空气中臭氧残留量为≤0.16mg/m3（提供检测报告）</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净化效果：设备持续工作2小时，可使房间内空气洁净度为100万级的100m3房间中的空气洁净度达到10万级（需提供第三方权威检测报告）</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PM2.5消除率：PM2.5颗粒物净化效率≥99%（提供检测报告）</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多级过滤净化功能：配合等离子，可去除烟雾、甲醛、氨、苯，清新空气</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能通过红外遥控对设备进行开关机操作和设定档位等</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环境检测功能（选配）：通过高性能的传感器检测空气中有害气体的水平，可对空气质量、尘埃粒子进行检测</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多档风速可调</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功能性方面，具有如下功能（要求提供第三方权威检测报告佐证）：</w:t>
            </w:r>
          </w:p>
          <w:p>
            <w:pPr>
              <w:bidi w:val="0"/>
              <w:rPr>
                <w:rFonts w:hint="eastAsia" w:ascii="仿宋" w:hAnsi="仿宋" w:eastAsia="仿宋" w:cs="仿宋"/>
                <w:sz w:val="24"/>
                <w:szCs w:val="24"/>
              </w:rPr>
            </w:pPr>
            <w:r>
              <w:rPr>
                <w:rFonts w:hint="eastAsia" w:ascii="仿宋" w:hAnsi="仿宋" w:eastAsia="仿宋" w:cs="仿宋"/>
                <w:sz w:val="24"/>
                <w:szCs w:val="24"/>
              </w:rPr>
              <w:t>（1）消毒选择功能，具有手动消毒、程控消毒、自动消毒；</w:t>
            </w:r>
          </w:p>
          <w:p>
            <w:pPr>
              <w:bidi w:val="0"/>
              <w:rPr>
                <w:rFonts w:hint="eastAsia" w:ascii="仿宋" w:hAnsi="仿宋" w:eastAsia="仿宋" w:cs="仿宋"/>
                <w:sz w:val="24"/>
                <w:szCs w:val="24"/>
              </w:rPr>
            </w:pPr>
            <w:r>
              <w:rPr>
                <w:rFonts w:hint="eastAsia" w:ascii="仿宋" w:hAnsi="仿宋" w:eastAsia="仿宋" w:cs="仿宋"/>
                <w:sz w:val="24"/>
                <w:szCs w:val="24"/>
              </w:rPr>
              <w:t>（2）消毒设置功能，具有手动消毒设置、程控消毒设置；</w:t>
            </w:r>
          </w:p>
          <w:p>
            <w:pPr>
              <w:bidi w:val="0"/>
              <w:rPr>
                <w:rFonts w:hint="eastAsia" w:ascii="仿宋" w:hAnsi="仿宋" w:eastAsia="仿宋" w:cs="仿宋"/>
                <w:sz w:val="24"/>
                <w:szCs w:val="24"/>
              </w:rPr>
            </w:pPr>
            <w:r>
              <w:rPr>
                <w:rFonts w:hint="eastAsia" w:ascii="仿宋" w:hAnsi="仿宋" w:eastAsia="仿宋" w:cs="仿宋"/>
                <w:sz w:val="24"/>
                <w:szCs w:val="24"/>
              </w:rPr>
              <w:t>（3）运行参数，具有风机调速功能；</w:t>
            </w:r>
          </w:p>
          <w:p>
            <w:pPr>
              <w:bidi w:val="0"/>
              <w:rPr>
                <w:rFonts w:hint="eastAsia" w:ascii="仿宋" w:hAnsi="仿宋" w:eastAsia="仿宋" w:cs="仿宋"/>
                <w:sz w:val="24"/>
                <w:szCs w:val="24"/>
              </w:rPr>
            </w:pPr>
            <w:r>
              <w:rPr>
                <w:rFonts w:hint="eastAsia" w:ascii="仿宋" w:hAnsi="仿宋" w:eastAsia="仿宋" w:cs="仿宋"/>
                <w:sz w:val="24"/>
                <w:szCs w:val="24"/>
              </w:rPr>
              <w:t>（4）待机参数，具有累计工作时间、过滤网使用时间清零、时钟设置、空气质量与洁净度、湿度、温度；</w:t>
            </w:r>
          </w:p>
          <w:p>
            <w:pPr>
              <w:bidi w:val="0"/>
              <w:rPr>
                <w:rFonts w:hint="eastAsia" w:ascii="仿宋" w:hAnsi="仿宋" w:eastAsia="仿宋" w:cs="仿宋"/>
                <w:sz w:val="24"/>
                <w:szCs w:val="24"/>
              </w:rPr>
            </w:pPr>
            <w:r>
              <w:rPr>
                <w:rFonts w:hint="eastAsia" w:ascii="仿宋" w:hAnsi="仿宋" w:eastAsia="仿宋" w:cs="仿宋"/>
                <w:sz w:val="24"/>
                <w:szCs w:val="24"/>
              </w:rPr>
              <w:t>（5）报警提示，至少具有滤网过期、风机故障、等离子故障。</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工作模式：支持手动模式、自动模式、定时程控模式</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程控数量：程控程序数量不少于5组</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智能提示功能：具备等离子故障报警、滤网过期提示功能</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循环风量（m3/h）：≥800</w:t>
            </w:r>
          </w:p>
          <w:p>
            <w:pPr>
              <w:bidi w:val="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安全、法规及技术</w:t>
            </w:r>
            <w:r>
              <w:rPr>
                <w:rFonts w:hint="eastAsia" w:ascii="仿宋" w:hAnsi="仿宋" w:eastAsia="仿宋" w:cs="仿宋"/>
                <w:b/>
                <w:bCs/>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产品应符合相关医疗卫生标准和规范，提供卫生安全评价报告</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空气消毒机采用自主知识产权的嵌入式软件（要求提供软件著作权登记证复印件）；具有权威第三方实验室出具的嵌入式软件产品检测报告。</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物联网服务云平台，具有自主知识产权（要求提供软件著作权登记证复印件）；同时具有第三方权威实验室出具的独立的软件产品检测报告。</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智能管理终端，具有自主知识产权（要求提供软件著作权登记证复印件）；同时具有第三方权威实验室出具的独立的软件产品检测报告</w:t>
            </w:r>
            <w:r>
              <w:rPr>
                <w:rFonts w:hint="eastAsia" w:ascii="仿宋" w:hAnsi="仿宋" w:eastAsia="仿宋" w:cs="仿宋"/>
                <w:sz w:val="24"/>
                <w:szCs w:val="24"/>
                <w:lang w:eastAsia="zh-CN"/>
              </w:rPr>
              <w:t>。</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人体成分分析仪（进口）</w:t>
            </w:r>
          </w:p>
        </w:tc>
        <w:tc>
          <w:tcPr>
            <w:tcW w:w="7309" w:type="dxa"/>
          </w:tcPr>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货物来源</w:t>
            </w:r>
            <w:r>
              <w:rPr>
                <w:rFonts w:hint="eastAsia" w:ascii="仿宋" w:hAnsi="仿宋" w:eastAsia="仿宋" w:cs="仿宋"/>
                <w:sz w:val="24"/>
                <w:szCs w:val="24"/>
                <w:lang w:eastAsia="zh-CN"/>
              </w:rPr>
              <w:t>：</w:t>
            </w:r>
            <w:r>
              <w:rPr>
                <w:rFonts w:hint="eastAsia" w:ascii="仿宋" w:hAnsi="仿宋" w:eastAsia="仿宋" w:cs="仿宋"/>
                <w:sz w:val="24"/>
                <w:szCs w:val="24"/>
              </w:rPr>
              <w:t>原装进口</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所获认证</w:t>
            </w:r>
            <w:r>
              <w:rPr>
                <w:rFonts w:hint="eastAsia" w:ascii="仿宋" w:hAnsi="仿宋" w:eastAsia="仿宋" w:cs="仿宋"/>
                <w:sz w:val="24"/>
                <w:szCs w:val="24"/>
                <w:lang w:eastAsia="zh-CN"/>
              </w:rPr>
              <w:t>：</w:t>
            </w:r>
            <w:r>
              <w:rPr>
                <w:rFonts w:hint="eastAsia" w:ascii="仿宋" w:hAnsi="仿宋" w:eastAsia="仿宋" w:cs="仿宋"/>
                <w:sz w:val="24"/>
                <w:szCs w:val="24"/>
              </w:rPr>
              <w:t>CFDA、FDA、CE、ISO 13485</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测量方法</w:t>
            </w:r>
            <w:r>
              <w:rPr>
                <w:rFonts w:hint="eastAsia" w:ascii="仿宋" w:hAnsi="仿宋" w:eastAsia="仿宋" w:cs="仿宋"/>
                <w:sz w:val="24"/>
                <w:szCs w:val="24"/>
                <w:lang w:eastAsia="zh-CN"/>
              </w:rPr>
              <w:t>：</w:t>
            </w:r>
            <w:r>
              <w:rPr>
                <w:rFonts w:hint="eastAsia" w:ascii="仿宋" w:hAnsi="仿宋" w:eastAsia="仿宋" w:cs="仿宋"/>
                <w:sz w:val="24"/>
                <w:szCs w:val="24"/>
              </w:rPr>
              <w:t>直接节段多频率生物电阻抗分析方法（DSM-BIA法）</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人体成分计算方法</w:t>
            </w:r>
            <w:r>
              <w:rPr>
                <w:rFonts w:hint="eastAsia" w:ascii="仿宋" w:hAnsi="仿宋" w:eastAsia="仿宋" w:cs="仿宋"/>
                <w:sz w:val="24"/>
                <w:szCs w:val="24"/>
                <w:lang w:eastAsia="zh-CN"/>
              </w:rPr>
              <w:t>：</w:t>
            </w:r>
            <w:r>
              <w:rPr>
                <w:rFonts w:hint="eastAsia" w:ascii="仿宋" w:hAnsi="仿宋" w:eastAsia="仿宋" w:cs="仿宋"/>
                <w:sz w:val="24"/>
                <w:szCs w:val="24"/>
              </w:rPr>
              <w:t>据实测量，不使用经验估算值</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电极方法</w:t>
            </w:r>
            <w:r>
              <w:rPr>
                <w:rFonts w:hint="eastAsia" w:ascii="仿宋" w:hAnsi="仿宋" w:eastAsia="仿宋" w:cs="仿宋"/>
                <w:sz w:val="24"/>
                <w:szCs w:val="24"/>
                <w:lang w:eastAsia="zh-CN"/>
              </w:rPr>
              <w:t>：</w:t>
            </w:r>
            <w:r>
              <w:rPr>
                <w:rFonts w:hint="eastAsia" w:ascii="仿宋" w:hAnsi="仿宋" w:eastAsia="仿宋" w:cs="仿宋"/>
                <w:sz w:val="24"/>
                <w:szCs w:val="24"/>
              </w:rPr>
              <w:t>4极8点接触电极</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阻抗测量频率及项目</w:t>
            </w:r>
            <w:r>
              <w:rPr>
                <w:rFonts w:hint="eastAsia" w:ascii="仿宋" w:hAnsi="仿宋" w:eastAsia="仿宋" w:cs="仿宋"/>
                <w:sz w:val="24"/>
                <w:szCs w:val="24"/>
                <w:lang w:eastAsia="zh-CN"/>
              </w:rPr>
              <w:t>：</w:t>
            </w:r>
            <w:r>
              <w:rPr>
                <w:rFonts w:hint="eastAsia" w:ascii="仿宋" w:hAnsi="仿宋" w:eastAsia="仿宋" w:cs="仿宋"/>
                <w:sz w:val="24"/>
                <w:szCs w:val="24"/>
              </w:rPr>
              <w:t>电阻抗(Z) 通过6种不同频率（1 KHZ  ，5 KHZ  ，50KHZ  ，250KHZ  ，500KHZ，1000KHZ），分别在5个节段部分进行30种电阻抗测量</w:t>
            </w:r>
          </w:p>
          <w:p>
            <w:pPr>
              <w:bidi w:val="0"/>
              <w:rPr>
                <w:rFonts w:hint="eastAsia" w:ascii="仿宋" w:hAnsi="仿宋" w:eastAsia="仿宋" w:cs="仿宋"/>
                <w:sz w:val="24"/>
                <w:szCs w:val="24"/>
              </w:rPr>
            </w:pPr>
            <w:r>
              <w:rPr>
                <w:rFonts w:hint="eastAsia" w:ascii="仿宋" w:hAnsi="仿宋" w:eastAsia="仿宋" w:cs="仿宋"/>
                <w:sz w:val="24"/>
                <w:szCs w:val="24"/>
              </w:rPr>
              <w:t>电抗（Xc）通过3种不同频率(5kHz, 50kHz, 250kHz)分别在5个节段部分进行15种电抗测量</w:t>
            </w:r>
          </w:p>
          <w:p>
            <w:pPr>
              <w:bidi w:val="0"/>
              <w:rPr>
                <w:rFonts w:hint="eastAsia" w:ascii="仿宋" w:hAnsi="仿宋" w:eastAsia="仿宋" w:cs="仿宋"/>
                <w:sz w:val="24"/>
                <w:szCs w:val="24"/>
              </w:rPr>
            </w:pPr>
            <w:r>
              <w:rPr>
                <w:rFonts w:hint="eastAsia" w:ascii="仿宋" w:hAnsi="仿宋" w:eastAsia="仿宋" w:cs="仿宋"/>
                <w:sz w:val="24"/>
                <w:szCs w:val="24"/>
              </w:rPr>
              <w:t>相位角(ǿ)全身相位角, 节段相位角</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可输出报告纸类型</w:t>
            </w:r>
            <w:r>
              <w:rPr>
                <w:rFonts w:hint="eastAsia" w:ascii="仿宋" w:hAnsi="仿宋" w:eastAsia="仿宋" w:cs="仿宋"/>
                <w:sz w:val="24"/>
                <w:szCs w:val="24"/>
                <w:lang w:eastAsia="zh-CN"/>
              </w:rPr>
              <w:t>：</w:t>
            </w:r>
            <w:r>
              <w:rPr>
                <w:rFonts w:hint="eastAsia" w:ascii="仿宋" w:hAnsi="仿宋" w:eastAsia="仿宋" w:cs="仿宋"/>
                <w:sz w:val="24"/>
                <w:szCs w:val="24"/>
              </w:rPr>
              <w:t>人体成分报告纸(专用)，体水分报告纸Ⅰ、Ⅱ(内建)</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测量结果项目</w:t>
            </w:r>
            <w:r>
              <w:rPr>
                <w:rFonts w:hint="eastAsia" w:ascii="仿宋" w:hAnsi="仿宋" w:eastAsia="仿宋" w:cs="仿宋"/>
                <w:sz w:val="24"/>
                <w:szCs w:val="24"/>
                <w:lang w:eastAsia="zh-CN"/>
              </w:rPr>
              <w:t>：</w:t>
            </w:r>
            <w:r>
              <w:rPr>
                <w:rFonts w:hint="eastAsia" w:ascii="仿宋" w:hAnsi="仿宋" w:eastAsia="仿宋" w:cs="仿宋"/>
                <w:sz w:val="24"/>
                <w:szCs w:val="24"/>
              </w:rPr>
              <w:t>细胞内水分(ICW)，细胞外水分(ECW)，身体总水分(TBW)，蛋白质，无机盐，体脂肪，肌肉量，去脂体重，体重，骨骼肌含量，体脂百分比，BMI，节段肌肉分析，节段水分分析，身体总水分及节段水分比率(ECW/ TBW)，BCM(Body   Cell   Mass)，BMC(Bone   Mineral   Content)，AC(Arm Circumference)，AMC(Arm  Muscle  Circumference)，水分控制，血管异常筛查，腰围，内脏脂肪面积，基础代谢量，TBW/FFM，体水分测量历史记录(12次累计记录)，每个节段和频率的阻抗值、电抗值、相位角</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阻抗测量允差范围</w:t>
            </w:r>
            <w:r>
              <w:rPr>
                <w:rFonts w:hint="eastAsia" w:ascii="仿宋" w:hAnsi="仿宋" w:eastAsia="仿宋" w:cs="仿宋"/>
                <w:sz w:val="24"/>
                <w:szCs w:val="24"/>
                <w:lang w:eastAsia="zh-CN"/>
              </w:rPr>
              <w:t>：</w:t>
            </w:r>
            <w:r>
              <w:rPr>
                <w:rFonts w:hint="eastAsia" w:ascii="仿宋" w:hAnsi="仿宋" w:eastAsia="仿宋" w:cs="仿宋"/>
                <w:sz w:val="24"/>
                <w:szCs w:val="24"/>
              </w:rPr>
              <w:t>四肢±1%，躯干±3%以内（需提供检验报告）</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测量姿势  </w:t>
            </w:r>
            <w:r>
              <w:rPr>
                <w:rFonts w:hint="eastAsia" w:ascii="仿宋" w:hAnsi="仿宋" w:eastAsia="仿宋" w:cs="仿宋"/>
                <w:sz w:val="24"/>
                <w:szCs w:val="24"/>
                <w:lang w:eastAsia="zh-CN"/>
              </w:rPr>
              <w:t>：</w:t>
            </w:r>
            <w:r>
              <w:rPr>
                <w:rFonts w:hint="eastAsia" w:ascii="仿宋" w:hAnsi="仿宋" w:eastAsia="仿宋" w:cs="仿宋"/>
                <w:sz w:val="24"/>
                <w:szCs w:val="24"/>
              </w:rPr>
              <w:t>躺姿、坐姿、站姿</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电极类型</w:t>
            </w:r>
            <w:r>
              <w:rPr>
                <w:rFonts w:hint="eastAsia" w:ascii="仿宋" w:hAnsi="仿宋" w:eastAsia="仿宋" w:cs="仿宋"/>
                <w:sz w:val="24"/>
                <w:szCs w:val="24"/>
                <w:lang w:eastAsia="zh-CN"/>
              </w:rPr>
              <w:t>：</w:t>
            </w:r>
            <w:r>
              <w:rPr>
                <w:rFonts w:hint="eastAsia" w:ascii="仿宋" w:hAnsi="仿宋" w:eastAsia="仿宋" w:cs="仿宋"/>
                <w:sz w:val="24"/>
                <w:szCs w:val="24"/>
              </w:rPr>
              <w:t xml:space="preserve"> 接触式电极、粘贴式电极</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测量模式选择</w:t>
            </w:r>
            <w:r>
              <w:rPr>
                <w:rFonts w:hint="eastAsia" w:ascii="仿宋" w:hAnsi="仿宋" w:eastAsia="仿宋" w:cs="仿宋"/>
                <w:sz w:val="24"/>
                <w:szCs w:val="24"/>
                <w:lang w:eastAsia="zh-CN"/>
              </w:rPr>
              <w:t>：</w:t>
            </w:r>
            <w:r>
              <w:rPr>
                <w:rFonts w:hint="eastAsia" w:ascii="仿宋" w:hAnsi="仿宋" w:eastAsia="仿宋" w:cs="仿宋"/>
                <w:sz w:val="24"/>
                <w:szCs w:val="24"/>
              </w:rPr>
              <w:t>透析前、中、后，血管通路位置选择，麻痹部位</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保存结果</w:t>
            </w:r>
            <w:r>
              <w:rPr>
                <w:rFonts w:hint="eastAsia" w:ascii="仿宋" w:hAnsi="仿宋" w:eastAsia="仿宋" w:cs="仿宋"/>
                <w:sz w:val="24"/>
                <w:szCs w:val="24"/>
                <w:lang w:eastAsia="zh-CN"/>
              </w:rPr>
              <w:t>：</w:t>
            </w:r>
            <w:r>
              <w:rPr>
                <w:rFonts w:hint="eastAsia" w:ascii="仿宋" w:hAnsi="仿宋" w:eastAsia="仿宋" w:cs="仿宋"/>
                <w:sz w:val="24"/>
                <w:szCs w:val="24"/>
              </w:rPr>
              <w:t>输入 ID 是可储存检测结果(可储存 10 万个数据)</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参考标准</w:t>
            </w:r>
            <w:r>
              <w:rPr>
                <w:rFonts w:hint="eastAsia" w:ascii="仿宋" w:hAnsi="仿宋" w:eastAsia="仿宋" w:cs="仿宋"/>
                <w:sz w:val="24"/>
                <w:szCs w:val="24"/>
                <w:lang w:eastAsia="zh-CN"/>
              </w:rPr>
              <w:t>：</w:t>
            </w:r>
            <w:r>
              <w:rPr>
                <w:rFonts w:hint="eastAsia" w:ascii="仿宋" w:hAnsi="仿宋" w:eastAsia="仿宋" w:cs="仿宋"/>
                <w:sz w:val="24"/>
                <w:szCs w:val="24"/>
              </w:rPr>
              <w:t xml:space="preserve"> 亚洲人标准（多种人标准可供选择）</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输入方式</w:t>
            </w:r>
            <w:r>
              <w:rPr>
                <w:rFonts w:hint="eastAsia" w:ascii="仿宋" w:hAnsi="仿宋" w:eastAsia="仿宋" w:cs="仿宋"/>
                <w:sz w:val="24"/>
                <w:szCs w:val="24"/>
                <w:lang w:eastAsia="zh-CN"/>
              </w:rPr>
              <w:t>：</w:t>
            </w:r>
            <w:r>
              <w:rPr>
                <w:rFonts w:hint="eastAsia" w:ascii="仿宋" w:hAnsi="仿宋" w:eastAsia="仿宋" w:cs="仿宋"/>
                <w:sz w:val="24"/>
                <w:szCs w:val="24"/>
              </w:rPr>
              <w:t>触摸屏和操作键盘</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可用 USB 储存设备</w:t>
            </w:r>
            <w:r>
              <w:rPr>
                <w:rFonts w:hint="eastAsia" w:ascii="仿宋" w:hAnsi="仿宋" w:eastAsia="仿宋" w:cs="仿宋"/>
                <w:sz w:val="24"/>
                <w:szCs w:val="24"/>
                <w:lang w:eastAsia="zh-CN"/>
              </w:rPr>
              <w:t>：</w:t>
            </w:r>
            <w:r>
              <w:rPr>
                <w:rFonts w:hint="eastAsia" w:ascii="仿宋" w:hAnsi="仿宋" w:eastAsia="仿宋" w:cs="仿宋"/>
                <w:sz w:val="24"/>
                <w:szCs w:val="24"/>
              </w:rPr>
              <w:t>USB 储存设备中数据储存功能(可做 Excel、Lookin’)， 指定 USB 储存设备</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兼容打印机</w:t>
            </w:r>
            <w:r>
              <w:rPr>
                <w:rFonts w:hint="eastAsia" w:ascii="仿宋" w:hAnsi="仿宋" w:eastAsia="仿宋" w:cs="仿宋"/>
                <w:sz w:val="24"/>
                <w:szCs w:val="24"/>
                <w:lang w:eastAsia="zh-CN"/>
              </w:rPr>
              <w:t>：</w:t>
            </w:r>
            <w:r>
              <w:rPr>
                <w:rFonts w:hint="eastAsia" w:ascii="仿宋" w:hAnsi="仿宋" w:eastAsia="仿宋" w:cs="仿宋"/>
                <w:sz w:val="24"/>
                <w:szCs w:val="24"/>
              </w:rPr>
              <w:t>USB Port，激光/喷墨打印机 PCL3/SPL, (指定的打印机型号)，热敏打印机(选购)</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显示屏</w:t>
            </w:r>
            <w:r>
              <w:rPr>
                <w:rFonts w:hint="eastAsia" w:ascii="仿宋" w:hAnsi="仿宋" w:eastAsia="仿宋" w:cs="仿宋"/>
                <w:sz w:val="24"/>
                <w:szCs w:val="24"/>
                <w:lang w:eastAsia="zh-CN"/>
              </w:rPr>
              <w:t>：</w:t>
            </w:r>
            <w:r>
              <w:rPr>
                <w:rFonts w:hint="eastAsia" w:ascii="仿宋" w:hAnsi="仿宋" w:eastAsia="仿宋" w:cs="仿宋"/>
                <w:sz w:val="24"/>
                <w:szCs w:val="24"/>
              </w:rPr>
              <w:t>800×480 Torch Color LCD</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外部接口</w:t>
            </w:r>
            <w:r>
              <w:rPr>
                <w:rFonts w:hint="eastAsia" w:ascii="仿宋" w:hAnsi="仿宋" w:eastAsia="仿宋" w:cs="仿宋"/>
                <w:sz w:val="24"/>
                <w:szCs w:val="24"/>
                <w:lang w:eastAsia="zh-CN"/>
              </w:rPr>
              <w:t>：</w:t>
            </w:r>
            <w:r>
              <w:rPr>
                <w:rFonts w:hint="eastAsia" w:ascii="仿宋" w:hAnsi="仿宋" w:eastAsia="仿宋" w:cs="仿宋"/>
                <w:sz w:val="24"/>
                <w:szCs w:val="24"/>
              </w:rPr>
              <w:t>RS-232C 1EA，USB Slave 1EA，USB Host 1EA</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仪器尺寸</w:t>
            </w:r>
            <w:r>
              <w:rPr>
                <w:rFonts w:hint="eastAsia" w:ascii="仿宋" w:hAnsi="仿宋" w:eastAsia="仿宋" w:cs="仿宋"/>
                <w:sz w:val="24"/>
                <w:szCs w:val="24"/>
                <w:lang w:eastAsia="zh-CN"/>
              </w:rPr>
              <w:t>：</w:t>
            </w:r>
            <w:r>
              <w:rPr>
                <w:rFonts w:hint="eastAsia" w:ascii="仿宋" w:hAnsi="仿宋" w:eastAsia="仿宋" w:cs="仿宋"/>
                <w:sz w:val="24"/>
                <w:szCs w:val="24"/>
              </w:rPr>
              <w:t>201(W)×322(L)×53(H): mm, 8(W)×12.7(L)×2.1(H): inch</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数据传输方式</w:t>
            </w:r>
            <w:r>
              <w:rPr>
                <w:rFonts w:hint="eastAsia" w:ascii="仿宋" w:hAnsi="仿宋" w:eastAsia="仿宋" w:cs="仿宋"/>
                <w:sz w:val="24"/>
                <w:szCs w:val="24"/>
                <w:lang w:eastAsia="zh-CN"/>
              </w:rPr>
              <w:t>：</w:t>
            </w:r>
            <w:r>
              <w:rPr>
                <w:rFonts w:hint="eastAsia" w:ascii="仿宋" w:hAnsi="仿宋" w:eastAsia="仿宋" w:cs="仿宋"/>
                <w:sz w:val="24"/>
                <w:szCs w:val="24"/>
              </w:rPr>
              <w:t>支持有线、蓝牙、无线传输数据</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数据共享功能</w:t>
            </w:r>
            <w:r>
              <w:rPr>
                <w:rFonts w:hint="eastAsia" w:ascii="仿宋" w:hAnsi="仿宋" w:eastAsia="仿宋" w:cs="仿宋"/>
                <w:sz w:val="24"/>
                <w:szCs w:val="24"/>
                <w:lang w:eastAsia="zh-CN"/>
              </w:rPr>
              <w:t>：</w:t>
            </w:r>
            <w:r>
              <w:rPr>
                <w:rFonts w:hint="eastAsia" w:ascii="仿宋" w:hAnsi="仿宋" w:eastAsia="仿宋" w:cs="仿宋"/>
                <w:sz w:val="24"/>
                <w:szCs w:val="24"/>
              </w:rPr>
              <w:t>可将测试结果以图片或电子表格形式自动导出至电脑指定目录</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历史记录对比功能</w:t>
            </w:r>
            <w:r>
              <w:rPr>
                <w:rFonts w:hint="eastAsia" w:ascii="仿宋" w:hAnsi="仿宋" w:eastAsia="仿宋" w:cs="仿宋"/>
                <w:sz w:val="24"/>
                <w:szCs w:val="24"/>
                <w:lang w:eastAsia="zh-CN"/>
              </w:rPr>
              <w:t>：</w:t>
            </w:r>
            <w:r>
              <w:rPr>
                <w:rFonts w:hint="eastAsia" w:ascii="仿宋" w:hAnsi="仿宋" w:eastAsia="仿宋" w:cs="仿宋"/>
                <w:sz w:val="24"/>
                <w:szCs w:val="24"/>
              </w:rPr>
              <w:t>可在报告纸页面显示同一测试者历史结果记录不低于5条</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故障排除功能:可对常出现的问题进行自检及说明</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仪器重量</w:t>
            </w:r>
            <w:r>
              <w:rPr>
                <w:rFonts w:hint="eastAsia" w:ascii="仿宋" w:hAnsi="仿宋" w:eastAsia="仿宋" w:cs="仿宋"/>
                <w:sz w:val="24"/>
                <w:szCs w:val="24"/>
                <w:lang w:eastAsia="zh-CN"/>
              </w:rPr>
              <w:t>：</w:t>
            </w:r>
            <w:r>
              <w:rPr>
                <w:rFonts w:hint="eastAsia" w:ascii="仿宋" w:hAnsi="仿宋" w:eastAsia="仿宋" w:cs="仿宋"/>
                <w:sz w:val="24"/>
                <w:szCs w:val="24"/>
              </w:rPr>
              <w:t>2kg</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测试时间</w:t>
            </w:r>
            <w:r>
              <w:rPr>
                <w:rFonts w:hint="eastAsia" w:ascii="仿宋" w:hAnsi="仿宋" w:eastAsia="仿宋" w:cs="仿宋"/>
                <w:sz w:val="24"/>
                <w:szCs w:val="24"/>
                <w:lang w:eastAsia="zh-CN"/>
              </w:rPr>
              <w:t>：</w:t>
            </w:r>
            <w:r>
              <w:rPr>
                <w:rFonts w:hint="eastAsia" w:ascii="仿宋" w:hAnsi="仿宋" w:eastAsia="仿宋" w:cs="仿宋"/>
                <w:sz w:val="24"/>
                <w:szCs w:val="24"/>
              </w:rPr>
              <w:t>1 分 50 秒</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操作环境</w:t>
            </w:r>
            <w:r>
              <w:rPr>
                <w:rFonts w:hint="eastAsia" w:ascii="仿宋" w:hAnsi="仿宋" w:eastAsia="仿宋" w:cs="仿宋"/>
                <w:sz w:val="24"/>
                <w:szCs w:val="24"/>
                <w:lang w:eastAsia="zh-CN"/>
              </w:rPr>
              <w:t>：</w:t>
            </w:r>
            <w:r>
              <w:rPr>
                <w:rFonts w:hint="eastAsia" w:ascii="仿宋" w:hAnsi="仿宋" w:eastAsia="仿宋" w:cs="仿宋"/>
                <w:sz w:val="24"/>
                <w:szCs w:val="24"/>
              </w:rPr>
              <w:t>温度10~40℃，湿度30%～75％RH</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测试体重范围</w:t>
            </w:r>
            <w:r>
              <w:rPr>
                <w:rFonts w:hint="eastAsia" w:ascii="仿宋" w:hAnsi="仿宋" w:eastAsia="仿宋" w:cs="仿宋"/>
                <w:sz w:val="24"/>
                <w:szCs w:val="24"/>
                <w:lang w:eastAsia="zh-CN"/>
              </w:rPr>
              <w:t>：</w:t>
            </w:r>
            <w:r>
              <w:rPr>
                <w:rFonts w:hint="eastAsia" w:ascii="仿宋" w:hAnsi="仿宋" w:eastAsia="仿宋" w:cs="仿宋"/>
                <w:sz w:val="24"/>
                <w:szCs w:val="24"/>
              </w:rPr>
              <w:t>10~270kg</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测试年龄范围</w:t>
            </w:r>
            <w:r>
              <w:rPr>
                <w:rFonts w:hint="eastAsia" w:ascii="仿宋" w:hAnsi="仿宋" w:eastAsia="仿宋" w:cs="仿宋"/>
                <w:sz w:val="24"/>
                <w:szCs w:val="24"/>
                <w:lang w:eastAsia="zh-CN"/>
              </w:rPr>
              <w:t>：</w:t>
            </w:r>
            <w:r>
              <w:rPr>
                <w:rFonts w:hint="eastAsia" w:ascii="仿宋" w:hAnsi="仿宋" w:eastAsia="仿宋" w:cs="仿宋"/>
                <w:sz w:val="24"/>
                <w:szCs w:val="24"/>
              </w:rPr>
              <w:t>3~99岁</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r>
              <w:rPr>
                <w:rFonts w:hint="eastAsia" w:ascii="仿宋" w:hAnsi="仿宋" w:eastAsia="仿宋" w:cs="仿宋"/>
                <w:sz w:val="24"/>
                <w:szCs w:val="24"/>
              </w:rPr>
              <w:t>测试身高范围</w:t>
            </w:r>
            <w:r>
              <w:rPr>
                <w:rFonts w:hint="eastAsia" w:ascii="仿宋" w:hAnsi="仿宋" w:eastAsia="仿宋" w:cs="仿宋"/>
                <w:sz w:val="24"/>
                <w:szCs w:val="24"/>
                <w:lang w:eastAsia="zh-CN"/>
              </w:rPr>
              <w:t>：</w:t>
            </w:r>
            <w:r>
              <w:rPr>
                <w:rFonts w:hint="eastAsia" w:ascii="仿宋" w:hAnsi="仿宋" w:eastAsia="仿宋" w:cs="仿宋"/>
                <w:sz w:val="24"/>
                <w:szCs w:val="24"/>
              </w:rPr>
              <w:t>95~220cm</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输液泵（国产）</w:t>
            </w:r>
          </w:p>
        </w:tc>
        <w:tc>
          <w:tcPr>
            <w:tcW w:w="7309"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输液速度： 0.1 ~ 1200 ml/h（输液速度范围大，方便选择）</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输液精度： ±5%（经过校准后可达±2%）</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适用输液器： 适应任何厂家生产的普通专用一次性输液器</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预置量范围： 0 ~ 9999 ml</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已输液量 ：0 ~ 36000 ml</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KVO 速度 ：1 ~ 5 ml/h</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输液模式 ：流速模式 滴速模式</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冲洗速度 ：600-1200ml/h（可调）</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气泡检测：</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超声波检测，单个气泡报警阈值 25ul（默认），100ul，250ul，500ul</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累积气泡报警</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阻塞压力： 40.0-160.0kpa（高中低三档可选，缺省为中档）</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声光报警（全面）：门未关、气泡、阻塞、输液完成、电池供电、电量低、电池耗尽、系统错误等</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性能：</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1.防止误关机功能；</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2.气泡检测四档可调；</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3.智能压力检测，阻塞报警三档可调；</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4.防反转检测功能、双芯片监控；</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5.流速、滴速输液模式；</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6.快速给药功能；</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7.报警音量可调节功能；</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8.KVO 功能；开门止液，防止自由流；</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9.活动泵体、可拆卸清洗；</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AC：100~240V，50/60Hz DC ：12V ±1V</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内置安全高性能可充电聚合物锂电池，7.4V，1900mAh，新电池充满电后以25ml/h 可运行 5 小时以上。</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充电时间：开机充电 10 小时，不开机充电 3 小时</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功耗 ：25VA</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安全等级 ：I 类 CF 型，IP×3</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外形尺寸： 145×100×120 mm（长×宽×高）、中国体积最小的输液泵</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重量： ≤1.4kg（国内重量最轻）</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运行环境 ：温度：5℃~40℃，相对湿度：10~95%，气压：(86～106)kPa</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运输环境： 温度：-20℃~60℃，相对湿度：10~95%（无冷凝），气压：（50～106）kPa</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储存环境 ：温度：-20℃~45℃，相对湿度：10~95%（无冷凝），气压（50～106）kPa</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水处理（进口）</w:t>
            </w:r>
          </w:p>
        </w:tc>
        <w:tc>
          <w:tcPr>
            <w:tcW w:w="7309" w:type="dxa"/>
          </w:tcPr>
          <w:p>
            <w:pPr>
              <w:bidi w:val="0"/>
              <w:rPr>
                <w:rFonts w:hint="eastAsia" w:ascii="仿宋" w:hAnsi="仿宋" w:eastAsia="仿宋" w:cs="仿宋"/>
                <w:sz w:val="24"/>
                <w:szCs w:val="24"/>
              </w:rPr>
            </w:pPr>
            <w:r>
              <w:rPr>
                <w:rFonts w:hint="eastAsia" w:ascii="仿宋" w:hAnsi="仿宋" w:eastAsia="仿宋" w:cs="仿宋"/>
                <w:sz w:val="24"/>
                <w:szCs w:val="24"/>
              </w:rPr>
              <w:t>一、系统功能要求</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水处理系统为血液透析专用单台双级反渗水处理系统。</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水机为国际知名品牌，具有欧洲CE认证资质，注册证明确注明双级反渗设备之具体型号。</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水处理系统采用单台一体化原生双级反渗透设计，非分体串并联式。</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具有国家药监局CFDA国药械注进字号产品注册证。</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单台双级反渗主机的产水量，在水温低至6℃时大于2800升/小时(水温15℃时产水量大于3600升/小时)，能保证临床60台血液透析机及中央供液系统冬季水温最低时用水需要。</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水处理产品水质满足YY0572-2015版透析用水标准。</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单台反渗机主机采用3组以上高品质风冷式高压离心泵，非变频式设计，且过水部分均为316L医药级不锈钢材质，3组泵都能够完全独立参与为系统提供反渗透压工作，能够提供足够的后备冗余，保证反渗主机能够长时间连续运行。</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双级反渗透水处理系统具备一键式全自动化学消毒功能，可实现反渗主机和反渗水输送管路，包括：主管路和到血透机之间的次循环管路，可以同步进行全自动化学消毒，消毒后能全自动彻底冲洗干净所有消毒液，且无需手动开启透析机联合冲洗，保证冲洗后无任何化学消毒液的残留。</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全套双级水处理系统主机及透析供水管道均采用原厂全无死腔设计，每台透析机和供水主管道之间采用原厂的具有压力差分装置的U型无死腔次循环管道，以确保所有透析机正常工作或待机时，实现供水管路的完全无死腔，以控制和抑制产品水细菌内毒素滋生，提高产品水水质。</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全套双级反渗透水处理系统具有脉动强冲设计技术，反渗机在不透析期间，能够定时自动冲洗反渗膜及输水环路，并利用脉动强冲技术使供水管道、供水管道与透析机之间的次循环管道具有大流量高流速冲洗的效果，可以有效避免和控制供水管道生物膜的形成。</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反渗机能在电脑（CPU）控制下全自动运行。反渗机在不透析期间，能够定时自动冲洗反渗膜及输水环路，避免微生物在反渗膜上附着。</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泄漏安全性，具备反渗主机和管道的泄漏监测及报警。并设置声光报警信号，并自动停机，防止透析室发生跑水情况。</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报警功能：纯水电导度，缺水，泄漏，纯水温度中任一项不正常均引起发生光电报警。</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反渗水回收率最高85%。</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可兼容各种血透系统。</w:t>
            </w:r>
          </w:p>
          <w:p>
            <w:pPr>
              <w:bidi w:val="0"/>
              <w:rPr>
                <w:rFonts w:hint="eastAsia" w:ascii="仿宋" w:hAnsi="仿宋" w:eastAsia="仿宋" w:cs="仿宋"/>
                <w:sz w:val="24"/>
                <w:szCs w:val="24"/>
              </w:rPr>
            </w:pPr>
            <w:r>
              <w:rPr>
                <w:rFonts w:hint="eastAsia" w:ascii="仿宋" w:hAnsi="仿宋" w:eastAsia="仿宋" w:cs="仿宋"/>
                <w:sz w:val="24"/>
                <w:szCs w:val="24"/>
              </w:rPr>
              <w:t>二、设备配置要求</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反渗主机配置：1台。包含：</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透析中心专用双级反渗水处理系统，设计成熟，运行可靠。</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一体化双级反渗机主机整机连接部分全部使用316L医用不锈钢材质管路及部件全自动焊接而成。</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全套双级反渗透系统主机均采用单支标准8040膜壳设计，膜壳全部为316L不锈钢材质，并具有无死腔膜壳设计技术，且所有膜壳采用竖直排列安放。</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反渗膜组、高压泵和管路须与控制单元的机箱分离，以减少紧急情况或漏水后可能造成的危险。</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反渗透主机具有经济运行模式。水处理主机能够根据实际血透耗水量自动开启相应数量的高压离心泵，可实现主机单高压泵工作、双高压泵工作、或三高压泵同时工作。在血透机不耗反渗水时，反渗主机排水量也为零。</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反渗机能显示反渗膜前和膜后、出水、环路回水等部位的压力。</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二级反渗透系统前后二级反渗机可以分别单独使用，可以通过控制单元直接切换任意一级单独使用，提高设备使用的灵活性，保障设备运行的安全与稳定。</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 xml:space="preserve">反渗机具备高水温报警。主要参数（电导度和反渗水温度）由主机显示屏数字显示。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预处理配置：1套</w:t>
            </w:r>
            <w:r>
              <w:rPr>
                <w:rFonts w:hint="eastAsia" w:ascii="仿宋" w:hAnsi="仿宋" w:eastAsia="仿宋" w:cs="仿宋"/>
                <w:sz w:val="24"/>
                <w:szCs w:val="24"/>
                <w:lang w:val="en-US" w:eastAsia="zh-CN"/>
              </w:rPr>
              <w:t>(增加一套树脂罐)</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每套包含：</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预处理软水能力8000L/H。</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独立压力控制，全自动加压泵组件：2台，精确压力控制，无水空转保护，双泵设计一用一备。</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前置可反冲洗过滤器：1套，免滤芯维护。</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全自动砂滤（铁质）过滤器：1套，内填进口原厂锰砂石英砂等多重滤料，带时间控制全自动/手动反冲装置，罐体规格：3072。</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全自动除氯（活性碳）过滤器：1套，内填进口原厂椰壳活性炭等滤料，带时间控制全自动/手动反冲装置，罐体规格：3072。</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全自动软水器：1套，双罐体设计，内填进口原厂树脂等滤料，一用一备，带流量型控制全自动/手动的反冲/再生装置，双软化罐单罐体规格：1865。</w:t>
            </w:r>
          </w:p>
          <w:p>
            <w:pPr>
              <w:bidi w:val="0"/>
              <w:rPr>
                <w:rFonts w:hint="eastAsia" w:ascii="仿宋" w:hAnsi="仿宋" w:eastAsia="仿宋" w:cs="仿宋"/>
                <w:sz w:val="24"/>
                <w:szCs w:val="24"/>
              </w:rPr>
            </w:pPr>
            <w:r>
              <w:rPr>
                <w:rFonts w:hint="eastAsia" w:ascii="仿宋" w:hAnsi="仿宋" w:eastAsia="仿宋" w:cs="仿宋"/>
                <w:sz w:val="24"/>
                <w:szCs w:val="24"/>
              </w:rPr>
              <w:t>3、反渗水供水管路（原装进口PEX材质）及高温热消毒装置：1套。</w:t>
            </w:r>
          </w:p>
          <w:p>
            <w:pPr>
              <w:bidi w:val="0"/>
              <w:rPr>
                <w:rFonts w:hint="eastAsia" w:ascii="仿宋" w:hAnsi="仿宋" w:eastAsia="仿宋" w:cs="仿宋"/>
                <w:sz w:val="24"/>
                <w:szCs w:val="24"/>
              </w:rPr>
            </w:pPr>
            <w:r>
              <w:rPr>
                <w:rFonts w:hint="eastAsia" w:ascii="仿宋" w:hAnsi="仿宋" w:eastAsia="仿宋" w:cs="仿宋"/>
                <w:sz w:val="24"/>
                <w:szCs w:val="24"/>
              </w:rPr>
              <w:t xml:space="preserve">   水处理热消毒装置技术特点：</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反渗水管路采用高品质进口PEX材质，外裹高保温性能的隔热材料，且外做金属护套管，以防止管道高温变形，出水口的数量按60套设置。</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独立热消毒主机单元，为了节省空间采用壁挂式设计，加热器部分全部使用316L不锈钢，可根据科室发展需要随时增加或拆除。</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反渗水供水管路可以进行热消毒，热消毒程序由反渗机主机联动控制。在热消毒程序未结束时启动主机透析会报警并紧急停止热消毒，快速冲洗排出热水。</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3.4</w:t>
            </w:r>
            <w:r>
              <w:rPr>
                <w:rFonts w:hint="eastAsia" w:ascii="仿宋" w:hAnsi="仿宋" w:eastAsia="仿宋" w:cs="仿宋"/>
                <w:sz w:val="24"/>
                <w:szCs w:val="24"/>
              </w:rPr>
              <w:t>热消毒系统采用行业领先的无死腔在线加热技术。热消毒系统杜绝加热水箱或储热水箱，加热器安装在供水管道外壁上，非安装在容器内，加热器与反渗水不接触，防止传统的加热水箱或储热水箱造成的细菌内毒素的污染。</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可以有效实现对病房管路进行（90℃）热水消毒冲洗，持续高温循环消毒时间最少可以维持4小时以上。</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3.6</w:t>
            </w:r>
            <w:r>
              <w:rPr>
                <w:rFonts w:hint="eastAsia" w:ascii="仿宋" w:hAnsi="仿宋" w:eastAsia="仿宋" w:cs="仿宋"/>
                <w:sz w:val="24"/>
                <w:szCs w:val="24"/>
              </w:rPr>
              <w:t>灵活的热消毒程序和时间表设定，可对每日消毒程序和时间进行单独设计。</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具备出水口和回水口的高/低温及压力双重数字传感器，精确控制加温，恒温，有效保障热消毒的真正有效。</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热水泄露检测，避免热水泄露导致风险。</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3.9</w:t>
            </w:r>
            <w:r>
              <w:rPr>
                <w:rFonts w:hint="eastAsia" w:ascii="仿宋" w:hAnsi="仿宋" w:eastAsia="仿宋" w:cs="仿宋"/>
                <w:sz w:val="24"/>
                <w:szCs w:val="24"/>
              </w:rPr>
              <w:t>采用316L高级不锈钢27KW大功率在线加热装置，无水箱设计，可以实现透析供水管道高温热消毒温度的骤升骤降功能，避免嗜热菌的滋生。</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3.10</w:t>
            </w:r>
            <w:r>
              <w:rPr>
                <w:rFonts w:hint="eastAsia" w:ascii="仿宋" w:hAnsi="仿宋" w:eastAsia="仿宋" w:cs="仿宋"/>
                <w:sz w:val="24"/>
                <w:szCs w:val="24"/>
              </w:rPr>
              <w:t>透析供水管道出水口采用60套U型无死腔透析机接头，具有压力差分装置与之匹配，并且能够一次性实现60台透析机不限时间的透析供水管道及透析机连接软管的在线热消毒</w:t>
            </w:r>
            <w:r>
              <w:rPr>
                <w:rFonts w:hint="eastAsia" w:ascii="仿宋" w:hAnsi="仿宋" w:eastAsia="仿宋" w:cs="仿宋"/>
                <w:sz w:val="24"/>
                <w:szCs w:val="24"/>
                <w:lang w:eastAsia="zh-CN"/>
              </w:rPr>
              <w:t>。</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心电监护仪（国产）</w:t>
            </w:r>
          </w:p>
        </w:tc>
        <w:tc>
          <w:tcPr>
            <w:tcW w:w="7309" w:type="dxa"/>
          </w:tcPr>
          <w:p>
            <w:pPr>
              <w:bidi w:val="0"/>
              <w:rPr>
                <w:rFonts w:hint="eastAsia" w:ascii="仿宋" w:hAnsi="仿宋" w:eastAsia="仿宋" w:cs="仿宋"/>
                <w:sz w:val="24"/>
                <w:szCs w:val="24"/>
              </w:rPr>
            </w:pPr>
            <w:r>
              <w:rPr>
                <w:rFonts w:hint="eastAsia" w:ascii="仿宋" w:hAnsi="仿宋" w:eastAsia="仿宋" w:cs="仿宋"/>
                <w:sz w:val="24"/>
                <w:szCs w:val="24"/>
              </w:rPr>
              <w:t>1：整机要求：</w:t>
            </w:r>
          </w:p>
          <w:p>
            <w:pPr>
              <w:bidi w:val="0"/>
              <w:rPr>
                <w:rFonts w:hint="eastAsia" w:ascii="仿宋" w:hAnsi="仿宋" w:eastAsia="仿宋" w:cs="仿宋"/>
                <w:sz w:val="24"/>
                <w:szCs w:val="24"/>
              </w:rPr>
            </w:pPr>
            <w:r>
              <w:rPr>
                <w:rFonts w:hint="eastAsia" w:ascii="仿宋" w:hAnsi="仿宋" w:eastAsia="仿宋" w:cs="仿宋"/>
                <w:sz w:val="24"/>
                <w:szCs w:val="24"/>
              </w:rPr>
              <w:t>1.1、一体化便携监护仪，整机无风扇设计。</w:t>
            </w:r>
          </w:p>
          <w:p>
            <w:pPr>
              <w:bidi w:val="0"/>
              <w:rPr>
                <w:rFonts w:hint="eastAsia" w:ascii="仿宋" w:hAnsi="仿宋" w:eastAsia="仿宋" w:cs="仿宋"/>
                <w:sz w:val="24"/>
                <w:szCs w:val="24"/>
              </w:rPr>
            </w:pPr>
            <w:r>
              <w:rPr>
                <w:rFonts w:hint="eastAsia" w:ascii="仿宋" w:hAnsi="仿宋" w:eastAsia="仿宋" w:cs="仿宋"/>
                <w:sz w:val="24"/>
                <w:szCs w:val="24"/>
              </w:rPr>
              <w:t xml:space="preserve">1.2、配置提手,方便移动。 </w:t>
            </w:r>
          </w:p>
          <w:p>
            <w:pPr>
              <w:bidi w:val="0"/>
              <w:rPr>
                <w:rFonts w:hint="eastAsia" w:ascii="仿宋" w:hAnsi="仿宋" w:eastAsia="仿宋" w:cs="仿宋"/>
                <w:sz w:val="24"/>
                <w:szCs w:val="24"/>
              </w:rPr>
            </w:pPr>
            <w:r>
              <w:rPr>
                <w:rFonts w:hint="eastAsia" w:ascii="仿宋" w:hAnsi="仿宋" w:eastAsia="仿宋" w:cs="仿宋"/>
                <w:sz w:val="24"/>
                <w:szCs w:val="24"/>
              </w:rPr>
              <w:t>1.3、≥12.1英寸彩色液晶触摸屏，分辨率高达1280*800像素或更高，≥10通道波形显示。</w:t>
            </w:r>
          </w:p>
          <w:p>
            <w:pPr>
              <w:bidi w:val="0"/>
              <w:rPr>
                <w:rFonts w:hint="eastAsia" w:ascii="仿宋" w:hAnsi="仿宋" w:eastAsia="仿宋" w:cs="仿宋"/>
                <w:sz w:val="24"/>
                <w:szCs w:val="24"/>
              </w:rPr>
            </w:pPr>
            <w:r>
              <w:rPr>
                <w:rFonts w:hint="eastAsia" w:ascii="仿宋" w:hAnsi="仿宋" w:eastAsia="仿宋" w:cs="仿宋"/>
                <w:sz w:val="24"/>
                <w:szCs w:val="24"/>
              </w:rPr>
              <w:t>1.4、屏幕采用最新电容屏非电阻屏。</w:t>
            </w:r>
          </w:p>
          <w:p>
            <w:pPr>
              <w:bidi w:val="0"/>
              <w:rPr>
                <w:rFonts w:hint="eastAsia" w:ascii="仿宋" w:hAnsi="仿宋" w:eastAsia="仿宋" w:cs="仿宋"/>
                <w:sz w:val="24"/>
                <w:szCs w:val="24"/>
              </w:rPr>
            </w:pPr>
            <w:r>
              <w:rPr>
                <w:rFonts w:hint="eastAsia" w:ascii="仿宋" w:hAnsi="仿宋" w:eastAsia="仿宋" w:cs="仿宋"/>
                <w:sz w:val="24"/>
                <w:szCs w:val="24"/>
              </w:rPr>
              <w:t>1.5、显示屏可支持亮度自动调节功能。</w:t>
            </w:r>
          </w:p>
          <w:p>
            <w:pPr>
              <w:bidi w:val="0"/>
              <w:rPr>
                <w:rFonts w:hint="eastAsia" w:ascii="仿宋" w:hAnsi="仿宋" w:eastAsia="仿宋" w:cs="仿宋"/>
                <w:sz w:val="24"/>
                <w:szCs w:val="24"/>
              </w:rPr>
            </w:pPr>
            <w:r>
              <w:rPr>
                <w:rFonts w:hint="eastAsia" w:ascii="仿宋" w:hAnsi="仿宋" w:eastAsia="仿宋" w:cs="仿宋"/>
                <w:sz w:val="24"/>
                <w:szCs w:val="24"/>
              </w:rPr>
              <w:t>1.6、屏幕倾斜10~15度设计，符合人机工程学，便于临床团队观察和操作。</w:t>
            </w:r>
          </w:p>
          <w:p>
            <w:pPr>
              <w:bidi w:val="0"/>
              <w:rPr>
                <w:rFonts w:hint="eastAsia" w:ascii="仿宋" w:hAnsi="仿宋" w:eastAsia="仿宋" w:cs="仿宋"/>
                <w:sz w:val="24"/>
                <w:szCs w:val="24"/>
              </w:rPr>
            </w:pPr>
            <w:r>
              <w:rPr>
                <w:rFonts w:hint="eastAsia" w:ascii="仿宋" w:hAnsi="仿宋" w:eastAsia="仿宋" w:cs="仿宋"/>
                <w:sz w:val="24"/>
                <w:szCs w:val="24"/>
              </w:rPr>
              <w:t>1.8、内置锂电池，插槽式设计，无需螺丝刀工具支持快速拆卸和安装。</w:t>
            </w:r>
          </w:p>
          <w:p>
            <w:pPr>
              <w:bidi w:val="0"/>
              <w:rPr>
                <w:rFonts w:hint="eastAsia" w:ascii="仿宋" w:hAnsi="仿宋" w:eastAsia="仿宋" w:cs="仿宋"/>
                <w:sz w:val="24"/>
                <w:szCs w:val="24"/>
              </w:rPr>
            </w:pPr>
            <w:r>
              <w:rPr>
                <w:rFonts w:hint="eastAsia" w:ascii="仿宋" w:hAnsi="仿宋" w:eastAsia="仿宋" w:cs="仿宋"/>
                <w:sz w:val="24"/>
                <w:szCs w:val="24"/>
              </w:rPr>
              <w:t>1.9、安全规格：ECG, TEMP, IBP, SpO2 , NIBP监测参数抗电击程度为防除颤CF型</w:t>
            </w:r>
            <w:r>
              <w:rPr>
                <w:rFonts w:hint="eastAsia" w:ascii="仿宋" w:hAnsi="仿宋" w:eastAsia="仿宋" w:cs="仿宋"/>
                <w:sz w:val="24"/>
                <w:szCs w:val="24"/>
              </w:rPr>
              <w:pict>
                <v:shape id="_x0000_i1025" o:spt="75" type="#_x0000_t75" style="height:12pt;width:20.25pt;" filled="f" o:preferrelative="t" stroked="f" coordsize="21600,21600">
                  <v:path/>
                  <v:fill on="f" focussize="0,0"/>
                  <v:stroke on="f" miterlimit="8" joinstyle="miter"/>
                  <v:imagedata r:id="rId11" o:title=""/>
                  <o:lock v:ext="edit" aspectratio="t"/>
                  <w10:wrap type="none"/>
                  <w10:anchorlock/>
                </v:shape>
              </w:pict>
            </w:r>
            <w:r>
              <w:rPr>
                <w:rFonts w:hint="eastAsia" w:ascii="仿宋" w:hAnsi="仿宋" w:eastAsia="仿宋" w:cs="仿宋"/>
                <w:sz w:val="24"/>
                <w:szCs w:val="24"/>
              </w:rPr>
              <w:t>, 提供机器接口防护等级丝印照片证明材料。</w:t>
            </w:r>
          </w:p>
          <w:p>
            <w:pPr>
              <w:bidi w:val="0"/>
              <w:rPr>
                <w:rFonts w:hint="eastAsia" w:ascii="仿宋" w:hAnsi="仿宋" w:eastAsia="仿宋" w:cs="仿宋"/>
                <w:sz w:val="24"/>
                <w:szCs w:val="24"/>
              </w:rPr>
            </w:pPr>
            <w:r>
              <w:rPr>
                <w:rFonts w:hint="eastAsia" w:ascii="仿宋" w:hAnsi="仿宋" w:eastAsia="仿宋" w:cs="仿宋"/>
                <w:sz w:val="24"/>
                <w:szCs w:val="24"/>
              </w:rPr>
              <w:t>1.10、监护仪设计使用年限≥8年，提供机器标贴证明材料。</w:t>
            </w:r>
          </w:p>
          <w:p>
            <w:pPr>
              <w:bidi w:val="0"/>
              <w:rPr>
                <w:rFonts w:hint="eastAsia" w:ascii="仿宋" w:hAnsi="仿宋" w:eastAsia="仿宋" w:cs="仿宋"/>
                <w:sz w:val="24"/>
                <w:szCs w:val="24"/>
              </w:rPr>
            </w:pPr>
            <w:r>
              <w:rPr>
                <w:rFonts w:hint="eastAsia" w:ascii="仿宋" w:hAnsi="仿宋" w:eastAsia="仿宋" w:cs="仿宋"/>
                <w:sz w:val="24"/>
                <w:szCs w:val="24"/>
              </w:rPr>
              <w:t>1.11、监护仪清洁维护支持的清洁剂≥40种，在厂家手册中清晰列举清洁剂的种类，提供厂家手册证明材料。</w:t>
            </w:r>
          </w:p>
          <w:p>
            <w:pPr>
              <w:bidi w:val="0"/>
              <w:rPr>
                <w:rFonts w:hint="eastAsia" w:ascii="仿宋" w:hAnsi="仿宋" w:eastAsia="仿宋" w:cs="仿宋"/>
                <w:sz w:val="24"/>
                <w:szCs w:val="24"/>
              </w:rPr>
            </w:pPr>
          </w:p>
          <w:p>
            <w:pPr>
              <w:bidi w:val="0"/>
              <w:rPr>
                <w:rFonts w:hint="eastAsia" w:ascii="仿宋" w:hAnsi="仿宋" w:eastAsia="仿宋" w:cs="仿宋"/>
                <w:sz w:val="24"/>
                <w:szCs w:val="24"/>
              </w:rPr>
            </w:pPr>
            <w:r>
              <w:rPr>
                <w:rFonts w:hint="eastAsia" w:ascii="仿宋" w:hAnsi="仿宋" w:eastAsia="仿宋" w:cs="仿宋"/>
                <w:sz w:val="24"/>
                <w:szCs w:val="24"/>
              </w:rPr>
              <w:t>2：监测参数：</w:t>
            </w:r>
          </w:p>
          <w:p>
            <w:pPr>
              <w:bidi w:val="0"/>
              <w:rPr>
                <w:rFonts w:hint="eastAsia" w:ascii="仿宋" w:hAnsi="仿宋" w:eastAsia="仿宋" w:cs="仿宋"/>
                <w:sz w:val="24"/>
                <w:szCs w:val="24"/>
                <w:lang w:eastAsia="zh-CN"/>
              </w:rPr>
            </w:pPr>
            <w:r>
              <w:rPr>
                <w:rFonts w:hint="eastAsia" w:ascii="仿宋" w:hAnsi="仿宋" w:eastAsia="仿宋" w:cs="仿宋"/>
                <w:sz w:val="24"/>
                <w:szCs w:val="24"/>
              </w:rPr>
              <w:t>2.1、配置3/5导心电，呼吸，无创血压，血氧饱和度，脉搏和双通道体温参数监测</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2.2、心电监护支持心率，ST段测量，心律失常分析，QT/QTc连续实时测量和对应报警功能，提供注册证证明材料。</w:t>
            </w:r>
          </w:p>
          <w:p>
            <w:pPr>
              <w:bidi w:val="0"/>
              <w:rPr>
                <w:rFonts w:hint="eastAsia" w:ascii="仿宋" w:hAnsi="仿宋" w:eastAsia="仿宋" w:cs="仿宋"/>
                <w:sz w:val="24"/>
                <w:szCs w:val="24"/>
              </w:rPr>
            </w:pPr>
            <w:r>
              <w:rPr>
                <w:rFonts w:hint="eastAsia" w:ascii="仿宋" w:hAnsi="仿宋" w:eastAsia="仿宋" w:cs="仿宋"/>
                <w:sz w:val="24"/>
                <w:szCs w:val="24"/>
              </w:rPr>
              <w:t>2.3、心电算法通过AHA/MIT-BIH数据库验证，提供证明材料。</w:t>
            </w:r>
          </w:p>
          <w:p>
            <w:pPr>
              <w:bidi w:val="0"/>
              <w:rPr>
                <w:rFonts w:hint="eastAsia" w:ascii="仿宋" w:hAnsi="仿宋" w:eastAsia="仿宋" w:cs="仿宋"/>
                <w:sz w:val="24"/>
                <w:szCs w:val="24"/>
              </w:rPr>
            </w:pPr>
            <w:r>
              <w:rPr>
                <w:rFonts w:hint="eastAsia" w:ascii="仿宋" w:hAnsi="仿宋" w:eastAsia="仿宋" w:cs="仿宋"/>
                <w:sz w:val="24"/>
                <w:szCs w:val="24"/>
              </w:rPr>
              <w:t>2.4、心电波形扫描速度支持6.25mm/s、12.5 mm/s、25 mm/s和50 mm/s，提供界面截图证明材料。</w:t>
            </w:r>
          </w:p>
          <w:p>
            <w:pPr>
              <w:bidi w:val="0"/>
              <w:rPr>
                <w:rFonts w:hint="eastAsia" w:ascii="仿宋" w:hAnsi="仿宋" w:eastAsia="仿宋" w:cs="仿宋"/>
                <w:sz w:val="24"/>
                <w:szCs w:val="24"/>
              </w:rPr>
            </w:pPr>
            <w:r>
              <w:rPr>
                <w:rFonts w:hint="eastAsia" w:ascii="仿宋" w:hAnsi="仿宋" w:eastAsia="仿宋" w:cs="仿宋"/>
                <w:sz w:val="24"/>
                <w:szCs w:val="24"/>
              </w:rPr>
              <w:t>2.5、提供窗口支持心脏下壁，侧壁和前壁对应多个ST片段的同屏实时显示，提供参考片段和实时片段的对比查看，提供界面截图证明材料。</w:t>
            </w:r>
          </w:p>
          <w:p>
            <w:pPr>
              <w:bidi w:val="0"/>
              <w:rPr>
                <w:rFonts w:hint="eastAsia" w:ascii="仿宋" w:hAnsi="仿宋" w:eastAsia="仿宋" w:cs="仿宋"/>
                <w:sz w:val="24"/>
                <w:szCs w:val="24"/>
              </w:rPr>
            </w:pPr>
            <w:r>
              <w:rPr>
                <w:rFonts w:hint="eastAsia" w:ascii="仿宋" w:hAnsi="仿宋" w:eastAsia="仿宋" w:cs="仿宋"/>
                <w:sz w:val="24"/>
                <w:szCs w:val="24"/>
              </w:rPr>
              <w:t>2.6、支持≥20种心律失常分析,包括房颤分析。</w:t>
            </w:r>
          </w:p>
          <w:p>
            <w:pPr>
              <w:bidi w:val="0"/>
              <w:rPr>
                <w:rFonts w:hint="eastAsia" w:ascii="仿宋" w:hAnsi="仿宋" w:eastAsia="仿宋" w:cs="仿宋"/>
                <w:sz w:val="24"/>
                <w:szCs w:val="24"/>
              </w:rPr>
            </w:pPr>
            <w:r>
              <w:rPr>
                <w:rFonts w:hint="eastAsia" w:ascii="仿宋" w:hAnsi="仿宋" w:eastAsia="仿宋" w:cs="仿宋"/>
                <w:sz w:val="24"/>
                <w:szCs w:val="24"/>
              </w:rPr>
              <w:t>2.7、QT和QTc实时监测参数测量范围：200～800 ms。</w:t>
            </w:r>
          </w:p>
          <w:p>
            <w:pPr>
              <w:bidi w:val="0"/>
              <w:rPr>
                <w:rFonts w:hint="eastAsia" w:ascii="仿宋" w:hAnsi="仿宋" w:eastAsia="仿宋" w:cs="仿宋"/>
                <w:sz w:val="24"/>
                <w:szCs w:val="24"/>
              </w:rPr>
            </w:pPr>
            <w:r>
              <w:rPr>
                <w:rFonts w:hint="eastAsia" w:ascii="仿宋" w:hAnsi="仿宋" w:eastAsia="仿宋" w:cs="仿宋"/>
                <w:sz w:val="24"/>
                <w:szCs w:val="24"/>
              </w:rPr>
              <w:t>2.8、支持升级提供过去24小时心电概览报告查看与打印，包括心率统计结果，心律失常统计结果，ST统计和QT/QTc统计结果,提供证明材料。</w:t>
            </w:r>
          </w:p>
          <w:p>
            <w:pPr>
              <w:bidi w:val="0"/>
              <w:rPr>
                <w:rFonts w:hint="eastAsia" w:ascii="仿宋" w:hAnsi="仿宋" w:eastAsia="仿宋" w:cs="仿宋"/>
                <w:sz w:val="24"/>
                <w:szCs w:val="24"/>
              </w:rPr>
            </w:pPr>
            <w:r>
              <w:rPr>
                <w:rFonts w:hint="eastAsia" w:ascii="仿宋" w:hAnsi="仿宋" w:eastAsia="仿宋" w:cs="仿宋"/>
                <w:sz w:val="24"/>
                <w:szCs w:val="24"/>
              </w:rPr>
              <w:t>2.9、提供SpO2,PR和PI参数的实时监测，适用于成人，小儿和新生儿。</w:t>
            </w:r>
          </w:p>
          <w:p>
            <w:pPr>
              <w:bidi w:val="0"/>
              <w:rPr>
                <w:rFonts w:hint="eastAsia" w:ascii="仿宋" w:hAnsi="仿宋" w:eastAsia="仿宋" w:cs="仿宋"/>
                <w:sz w:val="24"/>
                <w:szCs w:val="24"/>
              </w:rPr>
            </w:pPr>
            <w:r>
              <w:rPr>
                <w:rFonts w:hint="eastAsia" w:ascii="仿宋" w:hAnsi="仿宋" w:eastAsia="仿宋" w:cs="仿宋"/>
                <w:sz w:val="24"/>
                <w:szCs w:val="24"/>
              </w:rPr>
              <w:t>2.10、支持指套式血氧探头，IPX7防水等级，支持液体浸泡消毒和清洁。</w:t>
            </w:r>
          </w:p>
          <w:p>
            <w:pPr>
              <w:bidi w:val="0"/>
              <w:rPr>
                <w:rFonts w:hint="eastAsia" w:ascii="仿宋" w:hAnsi="仿宋" w:eastAsia="仿宋" w:cs="仿宋"/>
                <w:sz w:val="24"/>
                <w:szCs w:val="24"/>
              </w:rPr>
            </w:pPr>
            <w:r>
              <w:rPr>
                <w:rFonts w:hint="eastAsia" w:ascii="仿宋" w:hAnsi="仿宋" w:eastAsia="仿宋" w:cs="仿宋"/>
                <w:sz w:val="24"/>
                <w:szCs w:val="24"/>
              </w:rPr>
              <w:t>2.11、配置无创血压测量，适用于成人，小儿和新生儿。</w:t>
            </w:r>
          </w:p>
          <w:p>
            <w:pPr>
              <w:bidi w:val="0"/>
              <w:rPr>
                <w:rFonts w:hint="eastAsia" w:ascii="仿宋" w:hAnsi="仿宋" w:eastAsia="仿宋" w:cs="仿宋"/>
                <w:sz w:val="24"/>
                <w:szCs w:val="24"/>
              </w:rPr>
            </w:pPr>
            <w:r>
              <w:rPr>
                <w:rFonts w:hint="eastAsia" w:ascii="仿宋" w:hAnsi="仿宋" w:eastAsia="仿宋" w:cs="仿宋"/>
                <w:sz w:val="24"/>
                <w:szCs w:val="24"/>
              </w:rPr>
              <w:t>2.12、提供手动，自动，连续和序列4种测量模式，并提供24小时血压统计结果，满足临床应用，并提供产品界面截图证明材料。</w:t>
            </w:r>
          </w:p>
          <w:p>
            <w:pPr>
              <w:bidi w:val="0"/>
              <w:rPr>
                <w:rFonts w:hint="eastAsia" w:ascii="仿宋" w:hAnsi="仿宋" w:eastAsia="仿宋" w:cs="仿宋"/>
                <w:sz w:val="24"/>
                <w:szCs w:val="24"/>
              </w:rPr>
            </w:pPr>
            <w:r>
              <w:rPr>
                <w:rFonts w:hint="eastAsia" w:ascii="仿宋" w:hAnsi="仿宋" w:eastAsia="仿宋" w:cs="仿宋"/>
                <w:sz w:val="24"/>
                <w:szCs w:val="24"/>
              </w:rPr>
              <w:t>2.13、无创血压成人测量范围：收缩压25~290mmHg，舒张压10~250mmHg，平均压15~260mmHg，提供检测报告证明材料。</w:t>
            </w:r>
          </w:p>
          <w:p>
            <w:pPr>
              <w:bidi w:val="0"/>
              <w:rPr>
                <w:rFonts w:hint="eastAsia" w:ascii="仿宋" w:hAnsi="仿宋" w:eastAsia="仿宋" w:cs="仿宋"/>
                <w:sz w:val="24"/>
                <w:szCs w:val="24"/>
              </w:rPr>
            </w:pPr>
            <w:r>
              <w:rPr>
                <w:rFonts w:hint="eastAsia" w:ascii="仿宋" w:hAnsi="仿宋" w:eastAsia="仿宋" w:cs="仿宋"/>
                <w:sz w:val="24"/>
                <w:szCs w:val="24"/>
              </w:rPr>
              <w:t>2.14、提供辅助静脉穿刺功能。</w:t>
            </w:r>
          </w:p>
          <w:p>
            <w:pPr>
              <w:bidi w:val="0"/>
              <w:rPr>
                <w:rFonts w:hint="eastAsia" w:ascii="仿宋" w:hAnsi="仿宋" w:eastAsia="仿宋" w:cs="仿宋"/>
                <w:sz w:val="24"/>
                <w:szCs w:val="24"/>
              </w:rPr>
            </w:pPr>
            <w:r>
              <w:rPr>
                <w:rFonts w:hint="eastAsia" w:ascii="仿宋" w:hAnsi="仿宋" w:eastAsia="仿宋" w:cs="仿宋"/>
                <w:sz w:val="24"/>
                <w:szCs w:val="24"/>
              </w:rPr>
              <w:t>2.15、提供双通道体温和温差参数的监测, 并可根据需要更改体温通道标名，提供界面截图。</w:t>
            </w:r>
          </w:p>
          <w:p>
            <w:pPr>
              <w:bidi w:val="0"/>
              <w:rPr>
                <w:rFonts w:hint="eastAsia" w:ascii="仿宋" w:hAnsi="仿宋" w:eastAsia="仿宋" w:cs="仿宋"/>
                <w:sz w:val="24"/>
                <w:szCs w:val="24"/>
              </w:rPr>
            </w:pPr>
          </w:p>
          <w:p>
            <w:pPr>
              <w:bidi w:val="0"/>
              <w:rPr>
                <w:rFonts w:hint="eastAsia" w:ascii="仿宋" w:hAnsi="仿宋" w:eastAsia="仿宋" w:cs="仿宋"/>
                <w:sz w:val="24"/>
                <w:szCs w:val="24"/>
              </w:rPr>
            </w:pPr>
            <w:r>
              <w:rPr>
                <w:rFonts w:hint="eastAsia" w:ascii="仿宋" w:hAnsi="仿宋" w:eastAsia="仿宋" w:cs="仿宋"/>
                <w:sz w:val="24"/>
                <w:szCs w:val="24"/>
              </w:rPr>
              <w:t>3：系统功能：</w:t>
            </w:r>
          </w:p>
          <w:p>
            <w:pPr>
              <w:bidi w:val="0"/>
              <w:rPr>
                <w:rFonts w:hint="eastAsia" w:ascii="仿宋" w:hAnsi="仿宋" w:eastAsia="仿宋" w:cs="仿宋"/>
                <w:sz w:val="24"/>
                <w:szCs w:val="24"/>
              </w:rPr>
            </w:pPr>
            <w:r>
              <w:rPr>
                <w:rFonts w:hint="eastAsia" w:ascii="仿宋" w:hAnsi="仿宋" w:eastAsia="仿宋" w:cs="仿宋"/>
                <w:sz w:val="24"/>
                <w:szCs w:val="24"/>
              </w:rPr>
              <w:t>3.1、支持所有监测参数报警限一键自动设置功能，满足医护团队快速管理患者报警需求，产品用户手册提供报警限自动设置规则。</w:t>
            </w:r>
          </w:p>
          <w:p>
            <w:pPr>
              <w:bidi w:val="0"/>
              <w:rPr>
                <w:rFonts w:hint="eastAsia" w:ascii="仿宋" w:hAnsi="仿宋" w:eastAsia="仿宋" w:cs="仿宋"/>
                <w:sz w:val="24"/>
                <w:szCs w:val="24"/>
              </w:rPr>
            </w:pPr>
            <w:r>
              <w:rPr>
                <w:rFonts w:hint="eastAsia" w:ascii="仿宋" w:hAnsi="仿宋" w:eastAsia="仿宋" w:cs="仿宋"/>
                <w:sz w:val="24"/>
                <w:szCs w:val="24"/>
              </w:rPr>
              <w:t>3.2、支持肾功能计算功能，提供界面截图。</w:t>
            </w:r>
          </w:p>
          <w:p>
            <w:pPr>
              <w:bidi w:val="0"/>
              <w:rPr>
                <w:rFonts w:hint="eastAsia" w:ascii="仿宋" w:hAnsi="仿宋" w:eastAsia="仿宋" w:cs="仿宋"/>
                <w:sz w:val="24"/>
                <w:szCs w:val="24"/>
              </w:rPr>
            </w:pPr>
            <w:r>
              <w:rPr>
                <w:rFonts w:hint="eastAsia" w:ascii="仿宋" w:hAnsi="仿宋" w:eastAsia="仿宋" w:cs="仿宋"/>
                <w:sz w:val="24"/>
                <w:szCs w:val="24"/>
              </w:rPr>
              <w:t>3.3、具有图形化技术报警指示功能，帮助医护团队快速识别报警来源。</w:t>
            </w:r>
          </w:p>
          <w:p>
            <w:pPr>
              <w:bidi w:val="0"/>
              <w:rPr>
                <w:rFonts w:hint="eastAsia" w:ascii="仿宋" w:hAnsi="仿宋" w:eastAsia="仿宋" w:cs="仿宋"/>
                <w:sz w:val="24"/>
                <w:szCs w:val="24"/>
              </w:rPr>
            </w:pPr>
            <w:r>
              <w:rPr>
                <w:rFonts w:hint="eastAsia" w:ascii="仿宋" w:hAnsi="仿宋" w:eastAsia="仿宋" w:cs="仿宋"/>
                <w:sz w:val="24"/>
                <w:szCs w:val="24"/>
              </w:rPr>
              <w:t>3.4、支持≥120小时趋势图和趋势表回顾，支持选择不同趋势组回顾</w:t>
            </w:r>
          </w:p>
          <w:p>
            <w:pPr>
              <w:bidi w:val="0"/>
              <w:rPr>
                <w:rFonts w:hint="eastAsia" w:ascii="仿宋" w:hAnsi="仿宋" w:eastAsia="仿宋" w:cs="仿宋"/>
                <w:sz w:val="24"/>
                <w:szCs w:val="24"/>
              </w:rPr>
            </w:pPr>
            <w:r>
              <w:rPr>
                <w:rFonts w:hint="eastAsia" w:ascii="仿宋" w:hAnsi="仿宋" w:eastAsia="仿宋" w:cs="仿宋"/>
                <w:sz w:val="24"/>
                <w:szCs w:val="24"/>
              </w:rPr>
              <w:t>3.5、≥1000条事件回顾。每条报警事件至少能够存储32秒三道相关波形，以及报警触发时所有测量参数值</w:t>
            </w:r>
          </w:p>
          <w:p>
            <w:pPr>
              <w:bidi w:val="0"/>
              <w:rPr>
                <w:rFonts w:hint="eastAsia" w:ascii="仿宋" w:hAnsi="仿宋" w:eastAsia="仿宋" w:cs="仿宋"/>
                <w:sz w:val="24"/>
                <w:szCs w:val="24"/>
              </w:rPr>
            </w:pPr>
            <w:r>
              <w:rPr>
                <w:rFonts w:hint="eastAsia" w:ascii="仿宋" w:hAnsi="仿宋" w:eastAsia="仿宋" w:cs="仿宋"/>
                <w:sz w:val="24"/>
                <w:szCs w:val="24"/>
              </w:rPr>
              <w:t>3.6、≥1000组NIBP测量结果</w:t>
            </w:r>
          </w:p>
          <w:p>
            <w:pPr>
              <w:bidi w:val="0"/>
              <w:rPr>
                <w:rFonts w:hint="eastAsia" w:ascii="仿宋" w:hAnsi="仿宋" w:eastAsia="仿宋" w:cs="仿宋"/>
                <w:sz w:val="24"/>
                <w:szCs w:val="24"/>
              </w:rPr>
            </w:pPr>
            <w:r>
              <w:rPr>
                <w:rFonts w:hint="eastAsia" w:ascii="仿宋" w:hAnsi="仿宋" w:eastAsia="仿宋" w:cs="仿宋"/>
                <w:sz w:val="24"/>
                <w:szCs w:val="24"/>
              </w:rPr>
              <w:t>3.7、≥120小时（分辨率1分钟）ST模板存储与回顾</w:t>
            </w:r>
          </w:p>
          <w:p>
            <w:pPr>
              <w:bidi w:val="0"/>
              <w:rPr>
                <w:rFonts w:hint="eastAsia" w:ascii="仿宋" w:hAnsi="仿宋" w:eastAsia="仿宋" w:cs="仿宋"/>
                <w:sz w:val="24"/>
                <w:szCs w:val="24"/>
              </w:rPr>
            </w:pPr>
            <w:r>
              <w:rPr>
                <w:rFonts w:hint="eastAsia" w:ascii="仿宋" w:hAnsi="仿宋" w:eastAsia="仿宋" w:cs="仿宋"/>
                <w:sz w:val="24"/>
                <w:szCs w:val="24"/>
              </w:rPr>
              <w:t>3.8、支持48小时全息波形的存储与回顾功能</w:t>
            </w:r>
          </w:p>
          <w:p>
            <w:pPr>
              <w:bidi w:val="0"/>
              <w:rPr>
                <w:rFonts w:hint="eastAsia" w:ascii="仿宋" w:hAnsi="仿宋" w:eastAsia="仿宋" w:cs="仿宋"/>
                <w:sz w:val="24"/>
                <w:szCs w:val="24"/>
              </w:rPr>
            </w:pPr>
            <w:r>
              <w:rPr>
                <w:rFonts w:hint="eastAsia" w:ascii="仿宋" w:hAnsi="仿宋" w:eastAsia="仿宋" w:cs="仿宋"/>
                <w:sz w:val="24"/>
                <w:szCs w:val="24"/>
              </w:rPr>
              <w:t>3.9、支持监护仪历史病人数据的存储和回顾，并支持通过USB接口将历史病人数据导出到U盘。</w:t>
            </w:r>
          </w:p>
          <w:p>
            <w:pPr>
              <w:bidi w:val="0"/>
              <w:rPr>
                <w:rFonts w:hint="eastAsia" w:ascii="仿宋" w:hAnsi="仿宋" w:eastAsia="仿宋" w:cs="仿宋"/>
                <w:sz w:val="24"/>
                <w:szCs w:val="24"/>
              </w:rPr>
            </w:pPr>
            <w:r>
              <w:rPr>
                <w:rFonts w:hint="eastAsia" w:ascii="仿宋" w:hAnsi="仿宋" w:eastAsia="仿宋" w:cs="仿宋"/>
                <w:sz w:val="24"/>
                <w:szCs w:val="24"/>
              </w:rPr>
              <w:t>3.10、支持RJ45接口进行有线网络通信，和除颤监护仪一起联网通信到中心监护系统。</w:t>
            </w:r>
          </w:p>
          <w:p>
            <w:pPr>
              <w:bidi w:val="0"/>
              <w:rPr>
                <w:rFonts w:hint="eastAsia" w:ascii="仿宋" w:hAnsi="仿宋" w:eastAsia="仿宋" w:cs="仿宋"/>
                <w:sz w:val="24"/>
                <w:szCs w:val="24"/>
              </w:rPr>
            </w:pPr>
            <w:r>
              <w:rPr>
                <w:rFonts w:hint="eastAsia" w:ascii="仿宋" w:hAnsi="仿宋" w:eastAsia="仿宋" w:cs="仿宋"/>
                <w:sz w:val="24"/>
                <w:szCs w:val="24"/>
              </w:rPr>
              <w:t>3.11、支持监护仪进入夜间模式，隐私模式，演示模式和待机模式，提供界面截图证明材料。</w:t>
            </w:r>
          </w:p>
          <w:p>
            <w:pPr>
              <w:bidi w:val="0"/>
              <w:rPr>
                <w:rFonts w:hint="eastAsia" w:ascii="仿宋" w:hAnsi="仿宋" w:eastAsia="仿宋" w:cs="仿宋"/>
                <w:sz w:val="24"/>
                <w:szCs w:val="24"/>
              </w:rPr>
            </w:pPr>
            <w:r>
              <w:rPr>
                <w:rFonts w:hint="eastAsia" w:ascii="仿宋" w:hAnsi="仿宋" w:eastAsia="仿宋" w:cs="仿宋"/>
                <w:sz w:val="24"/>
                <w:szCs w:val="24"/>
              </w:rPr>
              <w:t>3.12、提供心肌缺血评估工具，可以快速查看ST值的变化，提供界面截图证明材料。</w:t>
            </w:r>
          </w:p>
          <w:p>
            <w:pPr>
              <w:bidi w:val="0"/>
              <w:rPr>
                <w:rFonts w:hint="eastAsia" w:ascii="仿宋" w:hAnsi="仿宋" w:eastAsia="仿宋" w:cs="仿宋"/>
                <w:sz w:val="24"/>
                <w:szCs w:val="24"/>
              </w:rPr>
            </w:pPr>
            <w:r>
              <w:rPr>
                <w:rFonts w:hint="eastAsia" w:ascii="仿宋" w:hAnsi="仿宋" w:eastAsia="仿宋" w:cs="仿宋"/>
                <w:sz w:val="24"/>
                <w:szCs w:val="24"/>
              </w:rPr>
              <w:t>3.13、提供计时器功能，界面区提供设置≥4个计时器，每个计时器支持独立设置和计时功能，计时方向包括正计时和倒计时两种选择，供界面截图证明材料。</w:t>
            </w:r>
          </w:p>
          <w:p>
            <w:pPr>
              <w:bidi w:val="0"/>
              <w:rPr>
                <w:rFonts w:hint="eastAsia" w:ascii="仿宋" w:hAnsi="仿宋" w:eastAsia="仿宋" w:cs="仿宋"/>
                <w:sz w:val="24"/>
                <w:szCs w:val="24"/>
              </w:rPr>
            </w:pPr>
            <w:r>
              <w:rPr>
                <w:rFonts w:hint="eastAsia" w:ascii="仿宋" w:hAnsi="仿宋" w:eastAsia="仿宋" w:cs="仿宋"/>
                <w:sz w:val="24"/>
                <w:szCs w:val="24"/>
              </w:rPr>
              <w:t>3.14、支持</w:t>
            </w:r>
            <w:r>
              <w:rPr>
                <w:rFonts w:hint="eastAsia" w:ascii="仿宋" w:hAnsi="仿宋" w:eastAsia="仿宋" w:cs="仿宋"/>
                <w:sz w:val="24"/>
                <w:szCs w:val="24"/>
                <w:lang w:val="en-US" w:eastAsia="zh-CN"/>
              </w:rPr>
              <w:t>升级</w:t>
            </w:r>
            <w:r>
              <w:rPr>
                <w:rFonts w:hint="eastAsia" w:ascii="仿宋" w:hAnsi="仿宋" w:eastAsia="仿宋" w:cs="仿宋"/>
                <w:sz w:val="24"/>
                <w:szCs w:val="24"/>
              </w:rPr>
              <w:t>格拉斯哥昏迷评分（GCS）功能。</w:t>
            </w:r>
          </w:p>
          <w:p>
            <w:pPr>
              <w:bidi w:val="0"/>
              <w:rPr>
                <w:rFonts w:hint="eastAsia" w:ascii="仿宋" w:hAnsi="仿宋" w:eastAsia="仿宋" w:cs="仿宋"/>
                <w:sz w:val="24"/>
                <w:szCs w:val="24"/>
              </w:rPr>
            </w:pPr>
            <w:r>
              <w:rPr>
                <w:rFonts w:hint="eastAsia" w:ascii="仿宋" w:hAnsi="仿宋" w:eastAsia="仿宋" w:cs="仿宋"/>
                <w:sz w:val="24"/>
                <w:szCs w:val="24"/>
              </w:rPr>
              <w:t>3.15、动态趋势界面可支持统计1-24小时心律失常报警、参数超限报警信息，并对超限报警区间的波形进行高亮显示，帮助医护人员快速识别异常趋势信息。</w:t>
            </w:r>
          </w:p>
          <w:p>
            <w:pPr>
              <w:bidi w:val="0"/>
              <w:rPr>
                <w:rFonts w:hint="eastAsia" w:ascii="仿宋" w:hAnsi="仿宋" w:eastAsia="仿宋" w:cs="仿宋"/>
                <w:sz w:val="24"/>
                <w:szCs w:val="24"/>
              </w:rPr>
            </w:pPr>
            <w:r>
              <w:rPr>
                <w:rFonts w:hint="eastAsia" w:ascii="仿宋" w:hAnsi="仿宋" w:eastAsia="仿宋" w:cs="仿宋"/>
                <w:sz w:val="24"/>
                <w:szCs w:val="24"/>
              </w:rPr>
              <w:t>3.16、提供屏幕截图功能，将屏幕截图通过USB接口导出到U盘。</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血滤机（进口）</w:t>
            </w:r>
          </w:p>
        </w:tc>
        <w:tc>
          <w:tcPr>
            <w:tcW w:w="7309" w:type="dxa"/>
          </w:tcPr>
          <w:p>
            <w:pPr>
              <w:bidi w:val="0"/>
              <w:rPr>
                <w:rFonts w:hint="eastAsia" w:ascii="仿宋" w:hAnsi="仿宋" w:eastAsia="仿宋" w:cs="仿宋"/>
                <w:sz w:val="24"/>
                <w:szCs w:val="24"/>
              </w:rPr>
            </w:pPr>
            <w:r>
              <w:rPr>
                <w:rFonts w:hint="eastAsia" w:ascii="仿宋" w:hAnsi="仿宋" w:eastAsia="仿宋" w:cs="仿宋"/>
                <w:sz w:val="24"/>
                <w:szCs w:val="24"/>
              </w:rPr>
              <w:t>一．主要技术参数</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供电： 220±10% V AC；50/60Hz</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供水：压力：100—600kPa；温度：5—30℃</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透析液流速：设置范围：300—700mL/min，任意可调</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透析液温度：设置范围：33—39℃</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脱水速度：设置范围：0，0.1—4.00L/h</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漏血检测器：方法：光电式检测，灵敏度：≤0.40mL血液/min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动脉血泵：设置范围：50—600mL/min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肝素泵：给药速率：0.0—9.0ml/h；注射器尺寸：10ml，20ml，30ml均可用,可设定停止时间，肝素泵有自动注入和追加功能</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空气检测器：超声探测，检测位置在静脉壶下管路，对静脉壶尺寸无特定要求，最高检测精度达到0.001ml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在线HDF/HF置换液泵：设置范围： 0.00，0.10—28.00L/h</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一次注入补液功能：设置范围：50—500mL/min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泵前动脉压力：测量范围：-300—+280mmHg；</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13.透</w:t>
            </w:r>
            <w:r>
              <w:rPr>
                <w:rFonts w:hint="eastAsia" w:ascii="仿宋" w:hAnsi="仿宋" w:eastAsia="仿宋" w:cs="仿宋"/>
                <w:sz w:val="24"/>
                <w:szCs w:val="24"/>
              </w:rPr>
              <w:t>析器血液入口压：测量范围：-200—+700mmHg；</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静脉压力：测量范围：-100—+500mmHg；</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TMP：测量范围：-100—+500mmHg；</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透析液压：测量范围：-500—+500mmHg；</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 xml:space="preserve">透析液浓度：测量范围：12.0—18.0mS/cm </w:t>
            </w:r>
          </w:p>
          <w:p>
            <w:pPr>
              <w:bidi w:val="0"/>
              <w:rPr>
                <w:rFonts w:hint="eastAsia" w:ascii="仿宋" w:hAnsi="仿宋" w:eastAsia="仿宋" w:cs="仿宋"/>
                <w:sz w:val="24"/>
                <w:szCs w:val="24"/>
              </w:rPr>
            </w:pPr>
            <w:r>
              <w:rPr>
                <w:rFonts w:hint="eastAsia" w:ascii="仿宋" w:hAnsi="仿宋" w:eastAsia="仿宋" w:cs="仿宋"/>
                <w:sz w:val="24"/>
                <w:szCs w:val="24"/>
              </w:rPr>
              <w:t>二．系统功能概述</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人机交互：≥12英寸彩色液晶显示器，触摸屏操作，中文操作系统</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信息记录：具备装置的设定、报警、操作信息记录功能，方便查询；具备配管监视功能，可提供机器内部液路流程及相关参数的实时显示，直观了解透析液回路的运行状态</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报警提示：360°可视外部独立四种颜色报警指示灯，具有声光报警指示</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消毒方式：具备药液消毒和热消毒方式，多种自动运转程序可选，可任意更改，热水柠檬酸消毒温度最高可达≥90℃，消毒脱钙一体化完成时间≤36min，消毒完成后可设定自动关机、预设、自检模式</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后备电池：标准配置后备电池组件，在断电时可以自动切换，能继续进行全面的安全监测，可维持机器继续工作20分钟 </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超滤系统：采用流量计或复式泵加脱水泵容量式平衡与超滤控制系统</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配液方式：先吸B液后吸A液，有单独的A、B浓缩液泵，B液浓度误差更小</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浓度曲线：可进行可调钠曲线治疗，可选择线性或梯级自动调整程序设定任意曲线，并可预存≥8条曲线，预存曲线可修改并储存，方便下次调用，实现个性化透析</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超滤曲线：可进行可调超滤曲线治疗，可选择线性或梯级自动调整程序设定任意曲线，并可预存≥8条曲线，预存曲线可修改并储存，方便下次调用，提高治疗安全</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B液干粉筒组件：标准配备碳酸氢盐干粉自动配制系统</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漏液检测：完全的水电路分离设计，标准配备漏水检测组件，实时检测透析液回路漏液，增加机器安全性</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原液配方：原液配方全开放，默认记忆多种原液配方，可任意更改</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透析液过滤：标准配备双透析液过滤组件，在线生产置换液，并且置换液、透析液都经过两个透析液过滤器的双重过滤，保证治疗的安全，可使用置换液进行在线预冲，减少盐水用量，降低科室运营成本</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自检：全功能数字化自检，包括所有显示、控制、监测、水路等系统，为保证治疗安全自检不可跳过</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补液比例：置换液量随血液量的调整，按比例自动进行调整，防止血液过度浓缩，选择最佳置换量，实现效率和安全的有效平衡</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KT/V计算：标准配备KT/V计算功能，帮助医护人员评价透析处方的合理性，辅助调整治疗方案</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血压计：标配</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血透机（国产）</w:t>
            </w:r>
          </w:p>
        </w:tc>
        <w:tc>
          <w:tcPr>
            <w:tcW w:w="7309" w:type="dxa"/>
          </w:tcPr>
          <w:p>
            <w:pPr>
              <w:bidi w:val="0"/>
              <w:rPr>
                <w:rFonts w:hint="eastAsia" w:ascii="仿宋" w:hAnsi="仿宋" w:eastAsia="仿宋" w:cs="仿宋"/>
                <w:sz w:val="24"/>
                <w:szCs w:val="24"/>
              </w:rPr>
            </w:pPr>
            <w:r>
              <w:rPr>
                <w:rFonts w:hint="eastAsia" w:ascii="仿宋" w:hAnsi="仿宋" w:eastAsia="仿宋" w:cs="仿宋"/>
                <w:sz w:val="24"/>
                <w:szCs w:val="24"/>
              </w:rPr>
              <w:t xml:space="preserve">一．主要技术参数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供电： 220±10% V AC；50/60Hz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供水：压力：100—600kPa；温度：5—30℃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透析液流速：设置范围：300—800mL/min，任意可调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透析液温度：设置范围：34—39℃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脱水速度：设置范围：0.0—4.00L/h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漏血检测器：方法：光电式检测，精度：≤0.40mL/min。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动脉血泵：设置范围：50—600mL/min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肝素泵：设置范围：0.0—9.0mL/h；注射器类型：10、20、30mL均可用，可设定停止时间，肝素泵有自动注入和追加功能。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空气检测器：方法：超声波；</w:t>
            </w:r>
            <w:bookmarkStart w:id="104" w:name="_Hlk55470655"/>
            <w:r>
              <w:rPr>
                <w:rFonts w:hint="eastAsia" w:ascii="仿宋" w:hAnsi="仿宋" w:eastAsia="仿宋" w:cs="仿宋"/>
                <w:sz w:val="24"/>
                <w:szCs w:val="24"/>
              </w:rPr>
              <w:t>检测位置在静脉壶下管路，对静脉壶尺寸无特定要求，</w:t>
            </w:r>
            <w:bookmarkEnd w:id="104"/>
            <w:r>
              <w:rPr>
                <w:rFonts w:hint="eastAsia" w:ascii="仿宋" w:hAnsi="仿宋" w:eastAsia="仿宋" w:cs="仿宋"/>
                <w:sz w:val="24"/>
                <w:szCs w:val="24"/>
              </w:rPr>
              <w:t xml:space="preserve">最高检测精度可达到 0.001ml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泵前动脉压：测量范围：-300—+280mmHg；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透析器血液入口压：测量范围：-200—+700mmHg；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静脉压：测量范围：-100—+500mmHg；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 xml:space="preserve">TMP：测量范围：-100—+500mmHg；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透析液压：测量范围：-500—+500mmHg；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透析液浓度：测量范围：12.0—18.0mS/cm</w:t>
            </w:r>
          </w:p>
          <w:p>
            <w:pPr>
              <w:bidi w:val="0"/>
              <w:rPr>
                <w:rFonts w:hint="eastAsia" w:ascii="仿宋" w:hAnsi="仿宋" w:eastAsia="仿宋" w:cs="仿宋"/>
                <w:sz w:val="24"/>
                <w:szCs w:val="24"/>
              </w:rPr>
            </w:pPr>
            <w:r>
              <w:rPr>
                <w:rFonts w:hint="eastAsia" w:ascii="仿宋" w:hAnsi="仿宋" w:eastAsia="仿宋" w:cs="仿宋"/>
                <w:sz w:val="24"/>
                <w:szCs w:val="24"/>
              </w:rPr>
              <w:t xml:space="preserve">二．系统功能概述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人机交互：≥12英寸彩色液晶显示器，触摸屏操作，中文操作系统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信息记录：具备装置的设定、报警、操作信息记录功能，方便查询；具备配管监视功能，可提供机器内部液路流程及相关参数的实时显示，直观了解透析液回路的运行状态</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报警提示功能：360°可视外部独立四种颜色报警指示灯，具有声光报警指示 </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消毒方式：具备药液消毒和热消毒方式，多种自动运转程序可选，可任意更改，热水柠檬酸消毒温度最高可达到≥90℃，消毒、脱钙一体化完成时间≤36min，消毒完成后可根据需要选择自动关机、预设、自检三种模式  </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后备电池：标准配置后备电池组件，在断电时可以自动切换，能继续进行全面的安全监测，可维持机器继续工作20分钟 </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超滤系统：采用流量计或复式泵加脱水泵容量式平衡与超滤控制系统 </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配液方式：先吸B液后吸A液，有单独的A、B浓缩液泵，B液浓度误差更小 </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浓度曲线：可进行可调钠曲线治疗，可选择线性或梯级自动调整程序设定任意曲线，并可预存≥8条曲线，预存曲线可修改并储存，方便下次调用，实现个性化透析</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超滤曲线：可进行可调超滤曲线治疗，可选择线性或梯级自动调整程序设定任意曲线，并可预存≥8条曲线，预存曲线可修改并储存，方便下次调用，实现个性化透析 </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B液干粉筒组件：标准配备碳酸氢盐干粉自动配制系统 </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液面调整：具备动、静脉壶液面电动调整功能，操作更加简单、方便 </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原液配方：原液配方全开放，默认记忆多种原液配方，可任意更改 </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 xml:space="preserve">透析液过滤：标准配备透析液过滤器组件，透析液过滤器可截留、吸附细菌和内毒素，透析液纯净度更高，减少微炎症反应和感染风险，提高治疗安全 </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自检：全功能数字化自检，包括所有显示、控制、监测、水路等系统，为保证治疗安全自检不可跳过 </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 xml:space="preserve">KT/V计算：标准配备KT/V计算功能，帮助医护人员评价透析处方的合理性，辅助调整治疗方案  </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血压计：标配</w:t>
            </w:r>
          </w:p>
          <w:p>
            <w:pPr>
              <w:bidi w:val="0"/>
              <w:rPr>
                <w:rFonts w:hint="eastAsia" w:ascii="仿宋" w:hAnsi="仿宋" w:eastAsia="仿宋" w:cs="仿宋"/>
                <w:sz w:val="24"/>
                <w:szCs w:val="24"/>
                <w:lang w:eastAsia="zh-CN"/>
              </w:rPr>
            </w:pP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血液净化装置（进口）</w:t>
            </w:r>
          </w:p>
        </w:tc>
        <w:tc>
          <w:tcPr>
            <w:tcW w:w="7309" w:type="dxa"/>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一</w:t>
            </w:r>
            <w:r>
              <w:rPr>
                <w:rFonts w:hint="eastAsia" w:ascii="仿宋" w:hAnsi="仿宋" w:eastAsia="仿宋" w:cs="仿宋"/>
                <w:sz w:val="24"/>
                <w:szCs w:val="24"/>
              </w:rPr>
              <w:t>．详细配置和功能：</w:t>
            </w:r>
          </w:p>
          <w:p>
            <w:pPr>
              <w:bidi w:val="0"/>
              <w:rPr>
                <w:rFonts w:hint="eastAsia" w:ascii="仿宋" w:hAnsi="仿宋" w:eastAsia="仿宋" w:cs="仿宋"/>
                <w:sz w:val="24"/>
                <w:szCs w:val="24"/>
                <w:lang w:eastAsia="zh-CN"/>
              </w:rPr>
            </w:pPr>
            <w:r>
              <w:rPr>
                <w:rFonts w:hint="eastAsia" w:ascii="仿宋" w:hAnsi="仿宋" w:eastAsia="仿宋" w:cs="仿宋"/>
                <w:sz w:val="24"/>
                <w:szCs w:val="24"/>
              </w:rPr>
              <w:t>1.1、原装进口多功能体外循环血液净化装置</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2、可直接进行双重血浆置换（DFPP）模式。</w:t>
            </w:r>
          </w:p>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、具备</w:t>
            </w:r>
            <w:r>
              <w:rPr>
                <w:rFonts w:hint="eastAsia" w:ascii="仿宋" w:hAnsi="仿宋" w:eastAsia="仿宋" w:cs="仿宋"/>
                <w:sz w:val="24"/>
                <w:szCs w:val="24"/>
                <w:lang w:eastAsia="zh-CN"/>
              </w:rPr>
              <w:t>四</w:t>
            </w:r>
            <w:r>
              <w:rPr>
                <w:rFonts w:hint="eastAsia" w:ascii="仿宋" w:hAnsi="仿宋" w:eastAsia="仿宋" w:cs="仿宋"/>
                <w:sz w:val="24"/>
                <w:szCs w:val="24"/>
              </w:rPr>
              <w:t>个驱动泵</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采用视窗操作系统，菜单显示，数据清晰全面。</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1.5、临床走势显示画面，图示各处滤器压力，可显示、调试、控制治疗过程中的主要参数，并能清楚表述报警或故障的原因。</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1.6、具有重量计超重报警功能；具有加温器温度显示功能、加温器温度显示精度、温度报警功能。</w:t>
            </w:r>
          </w:p>
          <w:p>
            <w:pPr>
              <w:bidi w:val="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、血路具有双重气泡检知器，灵敏度分别为≧0.1ml和≧0.01ml</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、具有一键式自动预充管路功能，并且对管路连接、压力检测有自诊功能。</w:t>
            </w:r>
          </w:p>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、DFPP和PA治疗时，具有自动回收血浆功能。</w:t>
            </w:r>
          </w:p>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10</w:t>
            </w:r>
            <w:r>
              <w:rPr>
                <w:rFonts w:hint="eastAsia" w:ascii="仿宋" w:hAnsi="仿宋" w:eastAsia="仿宋" w:cs="仿宋"/>
                <w:sz w:val="24"/>
                <w:szCs w:val="24"/>
              </w:rPr>
              <w:t>、具有管路安装导航功能，清晰立体三维图示和中文文字说明</w:t>
            </w:r>
            <w:r>
              <w:rPr>
                <w:rFonts w:hint="eastAsia" w:ascii="仿宋" w:hAnsi="仿宋" w:eastAsia="仿宋" w:cs="仿宋"/>
                <w:sz w:val="24"/>
                <w:szCs w:val="24"/>
                <w:lang w:eastAsia="zh-CN"/>
              </w:rPr>
              <w:t>，</w:t>
            </w:r>
            <w:r>
              <w:rPr>
                <w:rFonts w:hint="eastAsia" w:ascii="仿宋" w:hAnsi="仿宋" w:eastAsia="仿宋" w:cs="仿宋"/>
                <w:sz w:val="24"/>
                <w:szCs w:val="24"/>
              </w:rPr>
              <w:t>故障图形部位提示。</w:t>
            </w:r>
          </w:p>
          <w:p>
            <w:pPr>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11</w:t>
            </w:r>
            <w:r>
              <w:rPr>
                <w:rFonts w:hint="eastAsia" w:ascii="仿宋" w:hAnsi="仿宋" w:eastAsia="仿宋" w:cs="仿宋"/>
                <w:sz w:val="24"/>
                <w:szCs w:val="24"/>
              </w:rPr>
              <w:t>、具备报警处理导航功能，清晰的图示指引、中文说明、对策和处理方法。</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2</w:t>
            </w:r>
            <w:r>
              <w:rPr>
                <w:rFonts w:hint="eastAsia" w:ascii="仿宋" w:hAnsi="仿宋" w:eastAsia="仿宋" w:cs="仿宋"/>
                <w:sz w:val="24"/>
                <w:szCs w:val="24"/>
              </w:rPr>
              <w:t>、配套原厂生产的小儿用持续徐缓式血液滤过器，血室容量≤26mL</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bidi w:val="0"/>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3</w:t>
            </w:r>
            <w:r>
              <w:rPr>
                <w:rFonts w:hint="eastAsia" w:ascii="仿宋" w:hAnsi="仿宋" w:eastAsia="仿宋" w:cs="仿宋"/>
                <w:sz w:val="24"/>
                <w:szCs w:val="24"/>
              </w:rPr>
              <w:t>、配套原厂生产小儿用血浆分离器，血室容量≤25mL</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4</w:t>
            </w:r>
            <w:r>
              <w:rPr>
                <w:rFonts w:hint="eastAsia" w:ascii="仿宋" w:hAnsi="仿宋" w:eastAsia="仿宋" w:cs="仿宋"/>
                <w:sz w:val="24"/>
                <w:szCs w:val="24"/>
              </w:rPr>
              <w:t>、动静脉管路一体化、治疗液体管路一体化（集成化），提高安装速度和确保准确</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5</w:t>
            </w:r>
            <w:r>
              <w:rPr>
                <w:rFonts w:hint="eastAsia" w:ascii="仿宋" w:hAnsi="仿宋" w:eastAsia="仿宋" w:cs="仿宋"/>
                <w:sz w:val="24"/>
                <w:szCs w:val="24"/>
              </w:rPr>
              <w:t>、轻松选择稀释模式，治疗过程中，通过夹阀的自动控制，一键切换前稀释和后稀释。</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6</w:t>
            </w:r>
            <w:r>
              <w:rPr>
                <w:rFonts w:hint="eastAsia" w:ascii="仿宋" w:hAnsi="仿宋" w:eastAsia="仿宋" w:cs="仿宋"/>
                <w:sz w:val="24"/>
                <w:szCs w:val="24"/>
              </w:rPr>
              <w:t>、自动流量控制，各种治疗模式均配有自动流量控制功能，以确保更安全的使用配套滤器和吸附</w:t>
            </w:r>
            <w:r>
              <w:rPr>
                <w:rFonts w:hint="eastAsia" w:ascii="仿宋" w:hAnsi="仿宋" w:eastAsia="仿宋" w:cs="仿宋"/>
                <w:sz w:val="24"/>
                <w:szCs w:val="24"/>
                <w:lang w:eastAsia="zh-CN"/>
              </w:rPr>
              <w:t>器</w:t>
            </w:r>
            <w:r>
              <w:rPr>
                <w:rFonts w:hint="eastAsia" w:ascii="仿宋" w:hAnsi="仿宋" w:eastAsia="仿宋" w:cs="仿宋"/>
                <w:sz w:val="24"/>
                <w:szCs w:val="24"/>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7</w:t>
            </w:r>
            <w:r>
              <w:rPr>
                <w:rFonts w:hint="eastAsia" w:ascii="仿宋" w:hAnsi="仿宋" w:eastAsia="仿宋" w:cs="仿宋"/>
                <w:sz w:val="24"/>
                <w:szCs w:val="24"/>
              </w:rPr>
              <w:t>、DFPP、PA、PE治疗模式：根据一级膜的TMP值，血浆分离流量将自动减速防止溶血</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8</w:t>
            </w:r>
            <w:r>
              <w:rPr>
                <w:rFonts w:hint="eastAsia" w:ascii="仿宋" w:hAnsi="仿宋" w:eastAsia="仿宋" w:cs="仿宋"/>
                <w:sz w:val="24"/>
                <w:szCs w:val="24"/>
              </w:rPr>
              <w:t>、LCAP时，根据差压，血液泵自动调节减速。</w:t>
            </w:r>
          </w:p>
          <w:p>
            <w:pPr>
              <w:bidi w:val="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9</w:t>
            </w:r>
            <w:r>
              <w:rPr>
                <w:rFonts w:hint="eastAsia" w:ascii="仿宋" w:hAnsi="仿宋" w:eastAsia="仿宋" w:cs="仿宋"/>
                <w:sz w:val="24"/>
                <w:szCs w:val="24"/>
              </w:rPr>
              <w:t>、管路对血滤器、血浆分离器、胆红素吸附器、免疫吸附器开放。</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1.20、开展CRRT治疗，更换置换液或者滤过液时，不需要停止补液泵、滤过液泵、透析液泵，从而不需要暂停治疗。</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1.21、开展血浆置换，更换血浆或者废血浆时，不需要停止返浆泵、分离泵，从而不需要暂停治疗。</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1.22、具有电源中断报警。停电后，电源可支持血泵持续运转15分钟。</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二．设备参数</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治疗</w:t>
            </w:r>
            <w:r>
              <w:rPr>
                <w:rFonts w:hint="eastAsia" w:ascii="仿宋" w:hAnsi="仿宋" w:eastAsia="仿宋" w:cs="仿宋"/>
                <w:sz w:val="24"/>
                <w:szCs w:val="24"/>
                <w:lang w:val="en-US" w:eastAsia="zh-CN"/>
              </w:rPr>
              <w:t>模式：</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连续性肾脏替代治疗（</w:t>
            </w:r>
            <w:r>
              <w:rPr>
                <w:rFonts w:hint="eastAsia" w:ascii="仿宋" w:hAnsi="仿宋" w:eastAsia="仿宋" w:cs="仿宋"/>
                <w:sz w:val="24"/>
                <w:szCs w:val="24"/>
                <w:lang w:val="en-US" w:eastAsia="zh-CN"/>
              </w:rPr>
              <w:t>CRRT</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单重血浆置换 （PE）</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双重血浆置换 （DFPP）</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血浆吸附（PA）</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 可进行白细胞吸附 （LCAP）</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 可进行血液吸附疗法 （HA）</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2.计量方式：</w:t>
            </w:r>
            <w:r>
              <w:rPr>
                <w:rFonts w:hint="eastAsia" w:ascii="仿宋" w:hAnsi="仿宋" w:eastAsia="仿宋" w:cs="仿宋"/>
                <w:sz w:val="24"/>
                <w:szCs w:val="24"/>
              </w:rPr>
              <w:t>重量平衡分割计量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重量计≤5㎏，误差≤0.1g；</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控制精度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rPr>
              <w:t>滤过量的0.2%</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泵流量范围</w:t>
            </w:r>
            <w:r>
              <w:rPr>
                <w:rFonts w:hint="eastAsia" w:ascii="仿宋" w:hAnsi="仿宋" w:eastAsia="仿宋" w:cs="仿宋"/>
                <w:sz w:val="24"/>
                <w:szCs w:val="24"/>
                <w:lang w:val="en-US" w:eastAsia="zh-CN"/>
              </w:rPr>
              <w:t xml:space="preserve">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4.1分浆泵/滤过泵</w:t>
            </w:r>
            <w:r>
              <w:rPr>
                <w:rFonts w:hint="eastAsia" w:ascii="仿宋" w:hAnsi="仿宋" w:eastAsia="仿宋" w:cs="仿宋"/>
                <w:sz w:val="24"/>
                <w:szCs w:val="24"/>
              </w:rPr>
              <w:t>流量范围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0.0</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L/H</w:t>
            </w:r>
            <w:r>
              <w:rPr>
                <w:rFonts w:hint="eastAsia" w:ascii="仿宋" w:hAnsi="仿宋" w:eastAsia="仿宋" w:cs="仿宋"/>
                <w:sz w:val="24"/>
                <w:szCs w:val="24"/>
                <w:lang w:val="en-US"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4.2返浆泵/补液</w:t>
            </w:r>
            <w:r>
              <w:rPr>
                <w:rFonts w:hint="eastAsia" w:ascii="仿宋" w:hAnsi="仿宋" w:eastAsia="仿宋" w:cs="仿宋"/>
                <w:sz w:val="24"/>
                <w:szCs w:val="24"/>
              </w:rPr>
              <w:t>泵流量范围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0.0</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rPr>
              <w:t>L/H</w:t>
            </w:r>
            <w:r>
              <w:rPr>
                <w:rFonts w:hint="eastAsia" w:ascii="仿宋" w:hAnsi="仿宋" w:eastAsia="仿宋" w:cs="仿宋"/>
                <w:sz w:val="24"/>
                <w:szCs w:val="24"/>
                <w:lang w:val="en-US"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4.3弃浆泵/透析液</w:t>
            </w:r>
            <w:r>
              <w:rPr>
                <w:rFonts w:hint="eastAsia" w:ascii="仿宋" w:hAnsi="仿宋" w:eastAsia="仿宋" w:cs="仿宋"/>
                <w:sz w:val="24"/>
                <w:szCs w:val="24"/>
              </w:rPr>
              <w:t>泵流量范围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0.0</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rPr>
              <w:t>L/H</w:t>
            </w:r>
            <w:r>
              <w:rPr>
                <w:rFonts w:hint="eastAsia" w:ascii="仿宋" w:hAnsi="仿宋" w:eastAsia="仿宋" w:cs="仿宋"/>
                <w:sz w:val="24"/>
                <w:szCs w:val="24"/>
                <w:lang w:val="en-US"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血液泵流速控制范围</w:t>
            </w: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00ml/min（CRRT时）</w:t>
            </w: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200ml/</w:t>
            </w:r>
            <w:r>
              <w:rPr>
                <w:rFonts w:hint="eastAsia" w:ascii="仿宋" w:hAnsi="仿宋" w:eastAsia="仿宋" w:cs="仿宋"/>
                <w:sz w:val="24"/>
                <w:szCs w:val="24"/>
                <w:lang w:val="en-US" w:eastAsia="zh-CN"/>
              </w:rPr>
              <w:t>min</w:t>
            </w:r>
            <w:r>
              <w:rPr>
                <w:rFonts w:hint="eastAsia" w:ascii="仿宋" w:hAnsi="仿宋" w:eastAsia="仿宋" w:cs="仿宋"/>
                <w:sz w:val="24"/>
                <w:szCs w:val="24"/>
              </w:rPr>
              <w:t>(血液净化时)</w:t>
            </w:r>
            <w:r>
              <w:rPr>
                <w:rFonts w:hint="eastAsia" w:ascii="仿宋" w:hAnsi="仿宋" w:eastAsia="仿宋" w:cs="仿宋"/>
                <w:sz w:val="24"/>
                <w:szCs w:val="24"/>
                <w:lang w:eastAsia="zh-CN"/>
              </w:rPr>
              <w:t>；</w:t>
            </w:r>
            <w:r>
              <w:rPr>
                <w:rFonts w:hint="eastAsia" w:ascii="仿宋" w:hAnsi="仿宋" w:eastAsia="仿宋" w:cs="仿宋"/>
                <w:sz w:val="24"/>
                <w:szCs w:val="24"/>
              </w:rPr>
              <w:t>（精确到1m</w:t>
            </w:r>
            <w:r>
              <w:rPr>
                <w:rFonts w:hint="eastAsia" w:ascii="仿宋" w:hAnsi="仿宋" w:eastAsia="仿宋" w:cs="仿宋"/>
                <w:sz w:val="24"/>
                <w:szCs w:val="24"/>
                <w:lang w:val="en-US" w:eastAsia="zh-CN"/>
              </w:rPr>
              <w:t>L</w:t>
            </w:r>
            <w:r>
              <w:rPr>
                <w:rFonts w:hint="eastAsia" w:ascii="仿宋" w:hAnsi="仿宋" w:eastAsia="仿宋" w:cs="仿宋"/>
                <w:sz w:val="24"/>
                <w:szCs w:val="24"/>
              </w:rPr>
              <w:t>/h可调）</w:t>
            </w:r>
            <w:r>
              <w:rPr>
                <w:rFonts w:hint="eastAsia" w:ascii="仿宋" w:hAnsi="仿宋" w:eastAsia="仿宋" w:cs="仿宋"/>
                <w:sz w:val="24"/>
                <w:szCs w:val="24"/>
                <w:lang w:val="en-US"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6.1</w:t>
            </w:r>
            <w:r>
              <w:rPr>
                <w:rFonts w:hint="eastAsia" w:ascii="仿宋" w:hAnsi="仿宋" w:eastAsia="仿宋" w:cs="仿宋"/>
                <w:sz w:val="24"/>
                <w:szCs w:val="24"/>
              </w:rPr>
              <w:t>压力监测</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6.1.1脱血</w:t>
            </w:r>
            <w:r>
              <w:rPr>
                <w:rFonts w:hint="eastAsia" w:ascii="仿宋" w:hAnsi="仿宋" w:eastAsia="仿宋" w:cs="仿宋"/>
                <w:sz w:val="24"/>
                <w:szCs w:val="24"/>
              </w:rPr>
              <w:t>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-500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+500mmhg</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6.1.2入口压：-500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+500mmhg</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6.1.3</w:t>
            </w:r>
            <w:r>
              <w:rPr>
                <w:rFonts w:hint="eastAsia" w:ascii="仿宋" w:hAnsi="仿宋" w:eastAsia="仿宋" w:cs="仿宋"/>
                <w:sz w:val="24"/>
                <w:szCs w:val="24"/>
              </w:rPr>
              <w:t>静脉压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-500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+500mmhg</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6.1.4跨膜压1：-500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+500mmhg</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6.1.5跨膜压2：-500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+500mmhg</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6.2气泡检测：</w:t>
            </w:r>
            <w:r>
              <w:rPr>
                <w:rFonts w:hint="eastAsia" w:ascii="仿宋" w:hAnsi="仿宋" w:eastAsia="仿宋" w:cs="仿宋"/>
                <w:sz w:val="24"/>
                <w:szCs w:val="24"/>
              </w:rPr>
              <w:t>≥0.01ml（血液泵流量 100ml/min）</w:t>
            </w:r>
            <w:r>
              <w:rPr>
                <w:rFonts w:hint="eastAsia" w:ascii="仿宋" w:hAnsi="仿宋" w:eastAsia="仿宋" w:cs="仿宋"/>
                <w:sz w:val="24"/>
                <w:szCs w:val="24"/>
                <w:lang w:eastAsia="zh-CN"/>
              </w:rPr>
              <w:t>；</w:t>
            </w:r>
            <w:r>
              <w:rPr>
                <w:rFonts w:hint="eastAsia" w:ascii="仿宋" w:hAnsi="仿宋" w:eastAsia="仿宋" w:cs="仿宋"/>
                <w:sz w:val="24"/>
                <w:szCs w:val="24"/>
              </w:rPr>
              <w:t>空气检测器≥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个</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6.3血液检测：</w:t>
            </w:r>
            <w:r>
              <w:rPr>
                <w:rFonts w:hint="eastAsia" w:ascii="仿宋" w:hAnsi="仿宋" w:eastAsia="仿宋" w:cs="仿宋"/>
                <w:sz w:val="24"/>
                <w:szCs w:val="24"/>
              </w:rPr>
              <w:t>≥</w:t>
            </w:r>
            <w:r>
              <w:rPr>
                <w:rFonts w:hint="eastAsia" w:ascii="仿宋" w:hAnsi="仿宋" w:eastAsia="仿宋" w:cs="仿宋"/>
                <w:sz w:val="24"/>
                <w:szCs w:val="24"/>
                <w:lang w:val="en-US" w:eastAsia="zh-CN"/>
              </w:rPr>
              <w:t>1个。</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6.4漏血检测：</w:t>
            </w:r>
            <w:r>
              <w:rPr>
                <w:rFonts w:hint="eastAsia" w:ascii="仿宋" w:hAnsi="仿宋" w:eastAsia="仿宋" w:cs="仿宋"/>
                <w:sz w:val="24"/>
                <w:szCs w:val="24"/>
              </w:rPr>
              <w:t>漏血检测器≥1个</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7.加温器：双重加温器：温度控制35-40°（10L/hr）。</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8.肝素泵：0-15mL/hr，注射器：20ml/30ml/50ml三选，可用任何厂家。</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9.备用电源：停电时可用于紧急回血，</w:t>
            </w:r>
            <w:r>
              <w:rPr>
                <w:rFonts w:hint="eastAsia" w:ascii="仿宋" w:hAnsi="仿宋" w:eastAsia="仿宋" w:cs="仿宋"/>
                <w:sz w:val="24"/>
                <w:szCs w:val="24"/>
              </w:rPr>
              <w:t>≥</w:t>
            </w:r>
            <w:r>
              <w:rPr>
                <w:rFonts w:hint="eastAsia" w:ascii="仿宋" w:hAnsi="仿宋" w:eastAsia="仿宋" w:cs="仿宋"/>
                <w:sz w:val="24"/>
                <w:szCs w:val="24"/>
                <w:lang w:val="en-US" w:eastAsia="zh-CN"/>
              </w:rPr>
              <w:t>12min。</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10.电源：AC100-220V。</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11.信号输出：以太网接口（可用于医院内部系统网络）。</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电路设计</w:t>
            </w:r>
            <w:r>
              <w:rPr>
                <w:rFonts w:hint="eastAsia" w:ascii="仿宋" w:hAnsi="仿宋" w:eastAsia="仿宋" w:cs="仿宋"/>
                <w:sz w:val="24"/>
                <w:szCs w:val="24"/>
                <w:lang w:eastAsia="zh-CN"/>
              </w:rPr>
              <w:t>：</w:t>
            </w:r>
            <w:r>
              <w:rPr>
                <w:rFonts w:hint="eastAsia" w:ascii="仿宋" w:hAnsi="仿宋" w:eastAsia="仿宋" w:cs="仿宋"/>
                <w:sz w:val="24"/>
                <w:szCs w:val="24"/>
              </w:rPr>
              <w:t>多CPU相互监控系统</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操作系统与界面</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w:t>
            </w:r>
            <w:r>
              <w:rPr>
                <w:rFonts w:hint="eastAsia" w:ascii="仿宋" w:hAnsi="仿宋" w:eastAsia="仿宋" w:cs="仿宋"/>
                <w:sz w:val="24"/>
                <w:szCs w:val="24"/>
              </w:rPr>
              <w:t>全中文引导式操作系统</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w:t>
            </w:r>
            <w:r>
              <w:rPr>
                <w:rFonts w:hint="eastAsia" w:ascii="仿宋" w:hAnsi="仿宋" w:eastAsia="仿宋" w:cs="仿宋"/>
                <w:sz w:val="24"/>
                <w:szCs w:val="24"/>
              </w:rPr>
              <w:t>彩色液晶触摸屏</w:t>
            </w:r>
            <w:r>
              <w:rPr>
                <w:rFonts w:hint="eastAsia" w:ascii="仿宋" w:hAnsi="仿宋" w:eastAsia="仿宋" w:cs="仿宋"/>
                <w:sz w:val="24"/>
                <w:szCs w:val="24"/>
                <w:lang w:val="en-US" w:eastAsia="zh-CN"/>
              </w:rPr>
              <w:t>≥10寸。</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w:t>
            </w:r>
            <w:r>
              <w:rPr>
                <w:rFonts w:hint="eastAsia" w:ascii="仿宋" w:hAnsi="仿宋" w:eastAsia="仿宋" w:cs="仿宋"/>
                <w:sz w:val="24"/>
                <w:szCs w:val="24"/>
              </w:rPr>
              <w:t>屏幕显示不同治疗方式管路安装方法指引</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w:t>
            </w:r>
            <w:r>
              <w:rPr>
                <w:rFonts w:hint="eastAsia" w:ascii="仿宋" w:hAnsi="仿宋" w:eastAsia="仿宋" w:cs="仿宋"/>
                <w:sz w:val="24"/>
                <w:szCs w:val="24"/>
              </w:rPr>
              <w:t>管路套盘式安装无需人工接管，全自动预冲</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13.5</w:t>
            </w:r>
            <w:r>
              <w:rPr>
                <w:rFonts w:hint="eastAsia" w:ascii="仿宋" w:hAnsi="仿宋" w:eastAsia="仿宋" w:cs="仿宋"/>
                <w:sz w:val="24"/>
                <w:szCs w:val="24"/>
              </w:rPr>
              <w:t>报警原因及解除方法提示</w:t>
            </w:r>
            <w:r>
              <w:rPr>
                <w:rFonts w:hint="eastAsia" w:ascii="仿宋" w:hAnsi="仿宋" w:eastAsia="仿宋" w:cs="仿宋"/>
                <w:sz w:val="24"/>
                <w:szCs w:val="24"/>
                <w:lang w:eastAsia="zh-CN"/>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能长期稳定提供与设备同一品牌各种治疗方式专用消耗品</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14.1膜型</w:t>
            </w:r>
            <w:r>
              <w:rPr>
                <w:rFonts w:hint="eastAsia" w:ascii="仿宋" w:hAnsi="仿宋" w:eastAsia="仿宋" w:cs="仿宋"/>
                <w:sz w:val="24"/>
                <w:szCs w:val="24"/>
              </w:rPr>
              <w:t>血浆分离器(面积0.</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14.2</w:t>
            </w:r>
            <w:r>
              <w:rPr>
                <w:rFonts w:hint="eastAsia" w:ascii="仿宋" w:hAnsi="仿宋" w:eastAsia="仿宋" w:cs="仿宋"/>
                <w:sz w:val="24"/>
                <w:szCs w:val="24"/>
              </w:rPr>
              <w:t>血滤器(面积0.3</w:t>
            </w:r>
            <w:r>
              <w:rPr>
                <w:rFonts w:hint="eastAsia" w:ascii="仿宋" w:hAnsi="仿宋" w:eastAsia="仿宋" w:cs="仿宋"/>
                <w:sz w:val="24"/>
                <w:szCs w:val="24"/>
                <w:lang w:eastAsia="zh-CN"/>
              </w:rPr>
              <w:t>㎡～</w:t>
            </w:r>
            <w:r>
              <w:rPr>
                <w:rFonts w:hint="eastAsia" w:ascii="仿宋" w:hAnsi="仿宋" w:eastAsia="仿宋" w:cs="仿宋"/>
                <w:sz w:val="24"/>
                <w:szCs w:val="24"/>
              </w:rPr>
              <w:t>1.8</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p>
          <w:p>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14.3小儿和成人</w:t>
            </w:r>
            <w:r>
              <w:rPr>
                <w:rFonts w:hint="eastAsia" w:ascii="仿宋" w:hAnsi="仿宋" w:eastAsia="仿宋" w:cs="仿宋"/>
                <w:sz w:val="24"/>
                <w:szCs w:val="24"/>
              </w:rPr>
              <w:t>专用管路</w:t>
            </w:r>
            <w:r>
              <w:rPr>
                <w:rFonts w:hint="eastAsia" w:ascii="仿宋" w:hAnsi="仿宋" w:eastAsia="仿宋" w:cs="仿宋"/>
                <w:sz w:val="24"/>
                <w:szCs w:val="24"/>
                <w:lang w:eastAsia="zh-CN"/>
              </w:rPr>
              <w:t>。</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9"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757"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医用体重秤（国产）</w:t>
            </w:r>
          </w:p>
        </w:tc>
        <w:tc>
          <w:tcPr>
            <w:tcW w:w="7309" w:type="dxa"/>
          </w:tcPr>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1、体重一体式测量；</w:t>
            </w:r>
          </w:p>
          <w:p>
            <w:pPr>
              <w:bidi w:val="0"/>
              <w:rPr>
                <w:rFonts w:hint="eastAsia" w:ascii="仿宋" w:hAnsi="仿宋" w:eastAsia="仿宋" w:cs="仿宋"/>
                <w:sz w:val="24"/>
                <w:szCs w:val="24"/>
                <w:lang w:eastAsia="zh-CN"/>
              </w:rPr>
            </w:pPr>
            <w:r>
              <w:rPr>
                <w:rFonts w:hint="eastAsia" w:ascii="仿宋" w:hAnsi="仿宋" w:eastAsia="仿宋" w:cs="仿宋"/>
                <w:sz w:val="24"/>
                <w:szCs w:val="24"/>
                <w:lang w:eastAsia="zh-CN"/>
              </w:rPr>
              <w:t>2、体重最大量程≦25kg，体重测量精度：±10g；</w:t>
            </w:r>
          </w:p>
        </w:tc>
        <w:tc>
          <w:tcPr>
            <w:tcW w:w="855" w:type="dxa"/>
          </w:tcPr>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bl>
    <w:p>
      <w:pPr>
        <w:bidi w:val="0"/>
        <w:rPr>
          <w:rFonts w:hint="eastAsia" w:ascii="仿宋" w:hAnsi="仿宋" w:eastAsia="仿宋" w:cs="仿宋"/>
          <w:sz w:val="24"/>
          <w:szCs w:val="24"/>
          <w:lang w:val="en-US" w:eastAsia="zh-CN"/>
        </w:rPr>
      </w:pPr>
    </w:p>
    <w:p>
      <w:pPr>
        <w:numPr>
          <w:ilvl w:val="0"/>
          <w:numId w:val="3"/>
        </w:numPr>
        <w:spacing w:line="360" w:lineRule="auto"/>
        <w:ind w:left="0" w:leftChars="0" w:firstLine="480" w:firstLineChars="20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采购需求：</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color w:val="FF0000"/>
          <w:kern w:val="0"/>
          <w:sz w:val="24"/>
          <w:szCs w:val="24"/>
          <w:highlight w:val="none"/>
          <w:lang w:val="en-US" w:eastAsia="zh-CN" w:bidi="ar-SA"/>
        </w:rPr>
      </w:pPr>
      <w:r>
        <w:rPr>
          <w:rFonts w:hint="eastAsia" w:ascii="仿宋" w:hAnsi="仿宋" w:eastAsia="仿宋" w:cs="仿宋"/>
          <w:b w:val="0"/>
          <w:bCs/>
          <w:color w:val="FF0000"/>
          <w:kern w:val="0"/>
          <w:sz w:val="24"/>
          <w:szCs w:val="24"/>
          <w:highlight w:val="none"/>
          <w:lang w:val="en-US" w:eastAsia="zh-CN" w:bidi="ar-SA"/>
        </w:rPr>
        <w:t>（1）投标人向采购方免费提供设备信息与采购方现有系统的接口方案，以保证该设备与采购方现有系统的连接使用。</w:t>
      </w:r>
    </w:p>
    <w:p>
      <w:pPr>
        <w:ind w:firstLine="420" w:firstLineChars="200"/>
        <w:rPr>
          <w:rFonts w:hint="default"/>
          <w:b w:val="0"/>
          <w:bCs/>
          <w:color w:val="FF0000"/>
          <w:lang w:val="en-US" w:eastAsia="zh-CN"/>
        </w:rPr>
      </w:pPr>
    </w:p>
    <w:p>
      <w:pPr>
        <w:pStyle w:val="17"/>
        <w:spacing w:after="0" w:afterAutospacing="0"/>
        <w:jc w:val="both"/>
        <w:outlineLvl w:val="0"/>
        <w:rPr>
          <w:rFonts w:hint="eastAsia" w:ascii="方正小标宋简体" w:eastAsia="方正小标宋简体" w:cs="Times New Roman"/>
          <w:b/>
          <w:color w:val="auto"/>
          <w:kern w:val="2"/>
          <w:sz w:val="36"/>
        </w:rPr>
      </w:pPr>
    </w:p>
    <w:p>
      <w:pPr>
        <w:pStyle w:val="17"/>
        <w:spacing w:after="0" w:afterAutospacing="0"/>
        <w:jc w:val="center"/>
        <w:outlineLvl w:val="0"/>
        <w:rPr>
          <w:rFonts w:ascii="仿宋" w:hAnsi="仿宋" w:eastAsia="仿宋" w:cs="仿宋"/>
          <w:sz w:val="24"/>
          <w:szCs w:val="24"/>
          <w:highlight w:val="yellow"/>
        </w:rPr>
      </w:pPr>
      <w:r>
        <w:rPr>
          <w:rFonts w:hint="eastAsia" w:ascii="方正小标宋简体" w:eastAsia="方正小标宋简体" w:cs="Times New Roman"/>
          <w:b/>
          <w:color w:val="auto"/>
          <w:kern w:val="2"/>
          <w:sz w:val="36"/>
        </w:rPr>
        <w:t>第四部分 商务部分</w:t>
      </w:r>
      <w:bookmarkEnd w:id="102"/>
    </w:p>
    <w:p>
      <w:pPr>
        <w:pStyle w:val="35"/>
        <w:ind w:firstLine="640"/>
        <w:jc w:val="center"/>
        <w:rPr>
          <w:rFonts w:hint="eastAsia" w:ascii="仿宋_GB2312" w:hAnsi="Arial" w:eastAsia="仿宋_GB2312" w:cs="Times New Roman"/>
          <w:b/>
          <w:kern w:val="2"/>
          <w:sz w:val="32"/>
          <w:szCs w:val="32"/>
          <w:highlight w:val="none"/>
          <w:lang w:val="en-US" w:eastAsia="zh-CN" w:bidi="ar-SA"/>
        </w:rPr>
      </w:pPr>
      <w:bookmarkStart w:id="105" w:name="_Toc28964"/>
      <w:bookmarkStart w:id="106" w:name="_Toc17593"/>
      <w:bookmarkStart w:id="107" w:name="_Toc14732"/>
      <w:bookmarkStart w:id="108" w:name="_Toc9620"/>
      <w:bookmarkStart w:id="109" w:name="_Toc19161"/>
      <w:bookmarkStart w:id="110" w:name="_Toc14169"/>
      <w:bookmarkStart w:id="111" w:name="_Toc22289"/>
      <w:bookmarkStart w:id="112" w:name="_Toc2443"/>
      <w:bookmarkStart w:id="113" w:name="_Toc16709"/>
      <w:bookmarkStart w:id="114" w:name="_Toc26049"/>
      <w:bookmarkStart w:id="115" w:name="_Toc6426"/>
      <w:bookmarkStart w:id="116" w:name="_Toc2002"/>
      <w:bookmarkStart w:id="117" w:name="_Toc29632"/>
      <w:bookmarkStart w:id="118" w:name="_Toc30987"/>
      <w:bookmarkStart w:id="119" w:name="_Toc16727"/>
      <w:bookmarkStart w:id="120" w:name="_Toc22471"/>
      <w:r>
        <w:rPr>
          <w:rFonts w:hint="eastAsia" w:ascii="仿宋_GB2312" w:hAnsi="Arial" w:eastAsia="仿宋_GB2312" w:cs="Times New Roman"/>
          <w:b/>
          <w:kern w:val="2"/>
          <w:sz w:val="32"/>
          <w:szCs w:val="32"/>
          <w:highlight w:val="none"/>
          <w:lang w:val="en-US" w:eastAsia="zh-CN" w:bidi="ar-SA"/>
        </w:rPr>
        <w:t xml:space="preserve">第一章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仿宋_GB2312" w:hAnsi="Arial" w:eastAsia="仿宋_GB2312" w:cs="Times New Roman"/>
          <w:b/>
          <w:kern w:val="2"/>
          <w:sz w:val="32"/>
          <w:szCs w:val="32"/>
          <w:highlight w:val="none"/>
          <w:lang w:val="en-US" w:eastAsia="zh-CN" w:bidi="ar-SA"/>
        </w:rPr>
        <w:t>付款方式及程序</w:t>
      </w:r>
      <w:bookmarkEnd w:id="120"/>
    </w:p>
    <w:p>
      <w:pPr>
        <w:ind w:firstLine="482" w:firstLineChars="200"/>
        <w:rPr>
          <w:rFonts w:ascii="宋体" w:hAnsi="宋体" w:eastAsia="宋体" w:cs="Times New Roman"/>
          <w:b/>
          <w:sz w:val="24"/>
          <w:szCs w:val="20"/>
        </w:rPr>
      </w:pPr>
      <w:r>
        <w:rPr>
          <w:rFonts w:hint="eastAsia" w:ascii="宋体" w:hAnsi="宋体" w:eastAsia="宋体" w:cs="Times New Roman"/>
          <w:b/>
          <w:sz w:val="24"/>
          <w:szCs w:val="20"/>
        </w:rPr>
        <w:t>1、付款币种</w:t>
      </w:r>
    </w:p>
    <w:p>
      <w:pPr>
        <w:ind w:firstLine="960" w:firstLineChars="400"/>
        <w:rPr>
          <w:rFonts w:ascii="仿宋" w:hAnsi="仿宋" w:eastAsia="仿宋" w:cs="Times New Roman"/>
          <w:sz w:val="24"/>
          <w:szCs w:val="20"/>
        </w:rPr>
      </w:pPr>
      <w:r>
        <w:rPr>
          <w:rFonts w:hint="eastAsia" w:ascii="仿宋" w:hAnsi="仿宋" w:eastAsia="仿宋" w:cs="Times New Roman"/>
          <w:sz w:val="24"/>
          <w:szCs w:val="20"/>
        </w:rPr>
        <w:t>本次招标所述的项目资金均以人民币支付。</w:t>
      </w:r>
    </w:p>
    <w:p>
      <w:pPr>
        <w:rPr>
          <w:rFonts w:hint="default" w:ascii="仿宋" w:hAnsi="仿宋" w:eastAsia="仿宋" w:cs="Times New Roman"/>
          <w:sz w:val="24"/>
          <w:szCs w:val="20"/>
          <w:lang w:val="en-US" w:eastAsia="zh-CN"/>
        </w:rPr>
      </w:pPr>
      <w:r>
        <w:rPr>
          <w:rFonts w:hint="eastAsia" w:ascii="宋体" w:hAnsi="宋体" w:cs="宋体"/>
          <w:b/>
          <w:color w:val="FF0000"/>
          <w:sz w:val="24"/>
          <w:szCs w:val="20"/>
          <w:lang w:val="en-US" w:eastAsia="zh-CN"/>
        </w:rPr>
        <w:t>2、</w:t>
      </w:r>
      <w:r>
        <w:rPr>
          <w:rFonts w:hint="eastAsia" w:ascii="宋体" w:hAnsi="宋体" w:eastAsia="宋体" w:cs="宋体"/>
          <w:b/>
          <w:color w:val="FF0000"/>
          <w:sz w:val="24"/>
          <w:szCs w:val="20"/>
        </w:rPr>
        <w:t>付款方式</w:t>
      </w:r>
      <w:r>
        <w:rPr>
          <w:rFonts w:hint="eastAsia" w:ascii="宋体" w:hAnsi="宋体" w:eastAsia="宋体" w:cs="宋体"/>
          <w:b/>
          <w:color w:val="FF0000"/>
          <w:sz w:val="24"/>
          <w:szCs w:val="20"/>
          <w:lang w:eastAsia="zh-CN"/>
        </w:rPr>
        <w:t>：</w:t>
      </w:r>
      <w:r>
        <w:rPr>
          <w:rFonts w:hint="eastAsia" w:ascii="仿宋" w:hAnsi="仿宋" w:eastAsia="仿宋" w:cs="Times New Roman"/>
          <w:color w:val="FF0000"/>
          <w:sz w:val="24"/>
          <w:szCs w:val="20"/>
          <w:lang w:val="en-US" w:eastAsia="zh-CN"/>
        </w:rPr>
        <w:t>设备到医院经安装、调试、验收合格付设备款的20%，设备正常使用六个月后付20%，正常使用十二个月后付20%，正常使用十八个月后付30%。剩余10%为质保金满二十四个月后付清。</w:t>
      </w:r>
    </w:p>
    <w:p>
      <w:pPr>
        <w:ind w:left="480"/>
        <w:rPr>
          <w:rFonts w:ascii="宋体" w:hAnsi="宋体" w:eastAsia="宋体" w:cs="宋体"/>
          <w:b/>
          <w:sz w:val="24"/>
          <w:szCs w:val="20"/>
        </w:rPr>
      </w:pPr>
      <w:r>
        <w:rPr>
          <w:rFonts w:hint="eastAsia" w:ascii="宋体" w:hAnsi="宋体" w:eastAsia="宋体" w:cs="宋体"/>
          <w:b/>
          <w:sz w:val="24"/>
          <w:szCs w:val="20"/>
        </w:rPr>
        <w:t>3、付款程序</w:t>
      </w:r>
    </w:p>
    <w:p>
      <w:pPr>
        <w:ind w:firstLine="960" w:firstLineChars="400"/>
        <w:rPr>
          <w:rFonts w:hint="eastAsia" w:ascii="仿宋_GB2312" w:hAnsi="宋体" w:eastAsia="仿宋_GB2312" w:cs="Times New Roman"/>
          <w:b w:val="0"/>
          <w:kern w:val="2"/>
          <w:sz w:val="32"/>
          <w:szCs w:val="32"/>
          <w:lang w:val="en-US" w:eastAsia="zh-CN" w:bidi="ar-SA"/>
        </w:rPr>
      </w:pPr>
      <w:r>
        <w:rPr>
          <w:rFonts w:hint="eastAsia" w:ascii="仿宋_GB2312" w:hAnsi="Arial" w:eastAsia="仿宋_GB2312" w:cs="Times New Roman"/>
          <w:sz w:val="24"/>
          <w:szCs w:val="20"/>
        </w:rPr>
        <w:t>由采购人办理具体付款手续。</w:t>
      </w:r>
    </w:p>
    <w:p>
      <w:pPr>
        <w:pStyle w:val="35"/>
        <w:ind w:firstLine="640"/>
        <w:jc w:val="center"/>
        <w:rPr>
          <w:rFonts w:hint="eastAsia" w:ascii="仿宋_GB2312" w:hAnsi="Arial" w:eastAsia="仿宋_GB2312" w:cs="Times New Roman"/>
          <w:b/>
          <w:kern w:val="2"/>
          <w:sz w:val="32"/>
          <w:szCs w:val="32"/>
          <w:highlight w:val="none"/>
          <w:lang w:val="en-US" w:eastAsia="zh-CN" w:bidi="ar-SA"/>
        </w:rPr>
      </w:pPr>
      <w:bookmarkStart w:id="121" w:name="_Toc20952"/>
      <w:bookmarkStart w:id="122" w:name="_Toc16211"/>
      <w:bookmarkStart w:id="123" w:name="_Toc171"/>
      <w:bookmarkStart w:id="124" w:name="_Toc13489"/>
      <w:bookmarkStart w:id="125" w:name="_Toc32522"/>
      <w:bookmarkStart w:id="126" w:name="_Toc12952"/>
      <w:bookmarkStart w:id="127" w:name="_Toc22094"/>
      <w:bookmarkStart w:id="128" w:name="_Toc6445"/>
      <w:bookmarkStart w:id="129" w:name="_Toc31350"/>
      <w:bookmarkStart w:id="130" w:name="_Toc16332"/>
      <w:bookmarkStart w:id="131" w:name="_Toc20755"/>
      <w:bookmarkStart w:id="132" w:name="_Toc31752"/>
      <w:bookmarkStart w:id="133" w:name="_Toc2249"/>
      <w:bookmarkStart w:id="134" w:name="_Toc11928"/>
      <w:bookmarkStart w:id="135" w:name="_Toc29652"/>
      <w:bookmarkStart w:id="136" w:name="_Toc28648"/>
      <w:bookmarkStart w:id="137" w:name="_Toc6201_WPSOffice_Level2"/>
      <w:bookmarkStart w:id="138" w:name="_Toc11674"/>
      <w:bookmarkStart w:id="139" w:name="_Toc1558"/>
      <w:bookmarkStart w:id="140" w:name="_Toc21972"/>
      <w:bookmarkStart w:id="141" w:name="_Toc17002"/>
      <w:bookmarkStart w:id="142" w:name="_Toc25389"/>
      <w:bookmarkStart w:id="143" w:name="_Toc16263"/>
      <w:bookmarkStart w:id="144" w:name="_Toc9490"/>
      <w:bookmarkStart w:id="145" w:name="_Toc10227"/>
      <w:bookmarkStart w:id="146" w:name="_Toc21772"/>
      <w:bookmarkStart w:id="147" w:name="_Toc7126"/>
      <w:bookmarkStart w:id="148" w:name="_Toc1436"/>
      <w:bookmarkStart w:id="149" w:name="_Toc13491"/>
      <w:bookmarkStart w:id="150" w:name="_Toc14435"/>
      <w:bookmarkStart w:id="151" w:name="_Toc32653"/>
      <w:bookmarkStart w:id="152" w:name="_Toc16091"/>
      <w:r>
        <w:rPr>
          <w:rFonts w:hint="eastAsia" w:ascii="仿宋_GB2312" w:hAnsi="Arial" w:eastAsia="仿宋_GB2312" w:cs="Times New Roman"/>
          <w:b/>
          <w:kern w:val="2"/>
          <w:sz w:val="32"/>
          <w:szCs w:val="32"/>
          <w:highlight w:val="none"/>
          <w:lang w:val="en-US" w:eastAsia="zh-CN" w:bidi="ar-SA"/>
        </w:rPr>
        <w:t>第二章 售后服务要求</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ind w:left="1" w:firstLine="482" w:firstLineChars="200"/>
        <w:rPr>
          <w:rFonts w:ascii="宋体" w:hAnsi="宋体" w:cs="宋体"/>
          <w:b/>
          <w:bCs/>
          <w:sz w:val="24"/>
        </w:rPr>
      </w:pPr>
      <w:r>
        <w:rPr>
          <w:rFonts w:hint="eastAsia" w:ascii="宋体" w:hAnsi="宋体" w:cs="宋体"/>
          <w:b/>
          <w:bCs/>
          <w:sz w:val="24"/>
        </w:rPr>
        <w:t>1.质量保证期</w:t>
      </w:r>
    </w:p>
    <w:p>
      <w:pPr>
        <w:spacing w:line="400" w:lineRule="exact"/>
        <w:ind w:firstLine="480" w:firstLineChars="200"/>
        <w:rPr>
          <w:rFonts w:ascii="仿宋" w:hAnsi="仿宋" w:eastAsia="仿宋"/>
          <w:b w:val="0"/>
          <w:bCs w:val="0"/>
          <w:color w:val="auto"/>
          <w:sz w:val="24"/>
          <w:szCs w:val="24"/>
        </w:rPr>
      </w:pPr>
      <w:r>
        <w:rPr>
          <w:rFonts w:hint="eastAsia" w:ascii="仿宋" w:hAnsi="仿宋" w:eastAsia="仿宋"/>
          <w:b w:val="0"/>
          <w:bCs w:val="0"/>
          <w:color w:val="auto"/>
          <w:sz w:val="24"/>
          <w:szCs w:val="24"/>
        </w:rPr>
        <w:t>1.</w:t>
      </w:r>
      <w:r>
        <w:rPr>
          <w:rFonts w:ascii="仿宋" w:hAnsi="仿宋" w:eastAsia="仿宋"/>
          <w:b w:val="0"/>
          <w:bCs w:val="0"/>
          <w:color w:val="auto"/>
          <w:sz w:val="24"/>
          <w:szCs w:val="24"/>
        </w:rPr>
        <w:t>1</w:t>
      </w:r>
      <w:r>
        <w:rPr>
          <w:rFonts w:hint="eastAsia" w:ascii="仿宋" w:hAnsi="仿宋" w:eastAsia="仿宋"/>
          <w:b w:val="0"/>
          <w:bCs w:val="0"/>
          <w:color w:val="auto"/>
          <w:sz w:val="24"/>
          <w:szCs w:val="24"/>
        </w:rPr>
        <w:t>质保期：自验收合格之日起</w:t>
      </w:r>
      <w:r>
        <w:rPr>
          <w:rFonts w:hint="eastAsia" w:ascii="仿宋" w:hAnsi="仿宋" w:eastAsia="仿宋"/>
          <w:b w:val="0"/>
          <w:bCs w:val="0"/>
          <w:color w:val="auto"/>
          <w:sz w:val="24"/>
          <w:szCs w:val="24"/>
          <w:lang w:val="en-US" w:eastAsia="zh-CN"/>
        </w:rPr>
        <w:t>保质保修2</w:t>
      </w:r>
      <w:r>
        <w:rPr>
          <w:rFonts w:hint="eastAsia" w:ascii="仿宋" w:hAnsi="仿宋" w:eastAsia="仿宋"/>
          <w:b w:val="0"/>
          <w:bCs w:val="0"/>
          <w:color w:val="auto"/>
          <w:sz w:val="24"/>
          <w:szCs w:val="24"/>
        </w:rPr>
        <w:t>年</w:t>
      </w:r>
      <w:r>
        <w:rPr>
          <w:rFonts w:hint="eastAsia" w:ascii="仿宋" w:hAnsi="仿宋" w:eastAsia="仿宋"/>
          <w:b w:val="0"/>
          <w:bCs w:val="0"/>
          <w:color w:val="auto"/>
          <w:sz w:val="24"/>
          <w:szCs w:val="24"/>
          <w:lang w:eastAsia="zh-CN"/>
        </w:rPr>
        <w:t>（</w:t>
      </w:r>
      <w:r>
        <w:rPr>
          <w:rFonts w:hint="eastAsia" w:ascii="仿宋" w:hAnsi="仿宋" w:eastAsia="仿宋"/>
          <w:b w:val="0"/>
          <w:bCs w:val="0"/>
          <w:color w:val="auto"/>
          <w:sz w:val="24"/>
          <w:szCs w:val="24"/>
          <w:lang w:val="en-US" w:eastAsia="zh-CN"/>
        </w:rPr>
        <w:t>含2年</w:t>
      </w:r>
      <w:r>
        <w:rPr>
          <w:rFonts w:hint="eastAsia" w:ascii="仿宋" w:hAnsi="仿宋" w:eastAsia="仿宋"/>
          <w:b w:val="0"/>
          <w:bCs w:val="0"/>
          <w:color w:val="auto"/>
          <w:sz w:val="24"/>
          <w:szCs w:val="24"/>
          <w:lang w:eastAsia="zh-CN"/>
        </w:rPr>
        <w:t>）</w:t>
      </w:r>
      <w:r>
        <w:rPr>
          <w:rFonts w:hint="eastAsia" w:ascii="仿宋" w:hAnsi="仿宋" w:eastAsia="仿宋"/>
          <w:b w:val="0"/>
          <w:bCs w:val="0"/>
          <w:color w:val="auto"/>
          <w:sz w:val="24"/>
          <w:szCs w:val="24"/>
          <w:lang w:val="en-US" w:eastAsia="zh-CN"/>
        </w:rPr>
        <w:t>以上</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highlight w:val="none"/>
          <w:lang w:val="en-US" w:eastAsia="zh-CN"/>
        </w:rPr>
        <w:t>包含人工和配件</w:t>
      </w:r>
      <w:r>
        <w:rPr>
          <w:rFonts w:hint="eastAsia" w:ascii="仿宋" w:hAnsi="仿宋" w:eastAsia="仿宋"/>
          <w:b w:val="0"/>
          <w:bCs w:val="0"/>
          <w:color w:val="auto"/>
          <w:sz w:val="24"/>
          <w:szCs w:val="24"/>
          <w:highlight w:val="none"/>
          <w:lang w:eastAsia="zh-CN"/>
        </w:rPr>
        <w:t>）</w:t>
      </w:r>
      <w:r>
        <w:rPr>
          <w:rFonts w:hint="eastAsia" w:ascii="仿宋" w:hAnsi="仿宋" w:eastAsia="仿宋"/>
          <w:b w:val="0"/>
          <w:bCs w:val="0"/>
          <w:color w:val="auto"/>
          <w:sz w:val="24"/>
          <w:szCs w:val="24"/>
          <w:lang w:eastAsia="zh-CN"/>
        </w:rPr>
        <w:t>、</w:t>
      </w:r>
      <w:r>
        <w:rPr>
          <w:rFonts w:hint="eastAsia" w:ascii="仿宋" w:hAnsi="仿宋" w:eastAsia="仿宋"/>
          <w:b w:val="0"/>
          <w:bCs w:val="0"/>
          <w:color w:val="auto"/>
          <w:sz w:val="24"/>
          <w:szCs w:val="24"/>
          <w:lang w:val="en-US" w:eastAsia="zh-CN"/>
        </w:rPr>
        <w:t>终生免费维修维护</w:t>
      </w:r>
      <w:r>
        <w:rPr>
          <w:rFonts w:hint="eastAsia" w:ascii="仿宋" w:hAnsi="仿宋" w:eastAsia="仿宋"/>
          <w:b w:val="0"/>
          <w:bCs w:val="0"/>
          <w:color w:val="auto"/>
          <w:sz w:val="24"/>
          <w:szCs w:val="24"/>
        </w:rPr>
        <w:t>，国家主管部门或者行业标准对货物本身有更高要求的，从其规定并在合同中约定，供应商亦可提报更长的质保期。</w:t>
      </w:r>
    </w:p>
    <w:p>
      <w:pPr>
        <w:spacing w:line="400" w:lineRule="exact"/>
        <w:ind w:firstLine="480" w:firstLineChars="200"/>
        <w:rPr>
          <w:rFonts w:ascii="仿宋" w:hAnsi="仿宋" w:eastAsia="仿宋"/>
          <w:b w:val="0"/>
          <w:bCs w:val="0"/>
          <w:color w:val="auto"/>
          <w:sz w:val="24"/>
          <w:szCs w:val="24"/>
        </w:rPr>
      </w:pPr>
      <w:r>
        <w:rPr>
          <w:rFonts w:hint="eastAsia" w:ascii="仿宋" w:hAnsi="仿宋" w:eastAsia="仿宋"/>
          <w:b w:val="0"/>
          <w:bCs w:val="0"/>
          <w:color w:val="auto"/>
          <w:sz w:val="24"/>
          <w:szCs w:val="24"/>
        </w:rPr>
        <w:t>1</w:t>
      </w:r>
      <w:r>
        <w:rPr>
          <w:rFonts w:ascii="仿宋" w:hAnsi="仿宋" w:eastAsia="仿宋"/>
          <w:b w:val="0"/>
          <w:bCs w:val="0"/>
          <w:color w:val="auto"/>
          <w:sz w:val="24"/>
          <w:szCs w:val="24"/>
        </w:rPr>
        <w:t>.2</w:t>
      </w:r>
      <w:r>
        <w:rPr>
          <w:rFonts w:hint="eastAsia" w:ascii="仿宋" w:hAnsi="仿宋" w:eastAsia="仿宋"/>
          <w:b w:val="0"/>
          <w:bCs w:val="0"/>
          <w:color w:val="auto"/>
          <w:sz w:val="24"/>
          <w:szCs w:val="24"/>
        </w:rPr>
        <w:t>质量保证期内，如果证实货物是有缺陷的，包括潜在的缺陷或者使用不符合要求的材料等，中标供应商应立即免费维修或者更换有缺陷的货物或者部件，保证达到合同规定的技术以及性能要求。如果中标供应商在收到通知后</w:t>
      </w:r>
      <w:r>
        <w:rPr>
          <w:rFonts w:ascii="仿宋" w:hAnsi="仿宋" w:eastAsia="仿宋"/>
          <w:b w:val="0"/>
          <w:bCs w:val="0"/>
          <w:color w:val="auto"/>
          <w:sz w:val="24"/>
          <w:szCs w:val="24"/>
        </w:rPr>
        <w:t>5</w:t>
      </w:r>
      <w:r>
        <w:rPr>
          <w:rFonts w:hint="eastAsia" w:ascii="仿宋" w:hAnsi="仿宋" w:eastAsia="仿宋"/>
          <w:b w:val="0"/>
          <w:bCs w:val="0"/>
          <w:color w:val="auto"/>
          <w:sz w:val="24"/>
          <w:szCs w:val="24"/>
        </w:rPr>
        <w:t>天内没有弥补缺陷，采购人可自行采取必要的补救措施，但风险和费用由中标供应商承担，采购人同时保留通过法律途径进行索赔的权利。</w:t>
      </w:r>
    </w:p>
    <w:p>
      <w:pPr>
        <w:spacing w:line="400" w:lineRule="exact"/>
        <w:ind w:firstLine="480" w:firstLineChars="200"/>
        <w:rPr>
          <w:rFonts w:hint="eastAsia" w:ascii="仿宋" w:hAnsi="仿宋" w:eastAsia="仿宋"/>
          <w:b w:val="0"/>
          <w:bCs w:val="0"/>
          <w:color w:val="auto"/>
          <w:sz w:val="24"/>
          <w:szCs w:val="24"/>
        </w:rPr>
      </w:pPr>
      <w:r>
        <w:rPr>
          <w:rFonts w:hint="eastAsia" w:ascii="仿宋" w:hAnsi="仿宋" w:eastAsia="仿宋"/>
          <w:b w:val="0"/>
          <w:bCs w:val="0"/>
          <w:color w:val="auto"/>
          <w:sz w:val="24"/>
          <w:szCs w:val="24"/>
        </w:rPr>
        <w:t>1.3产品验收合格，在质量保证（修）期前三个月内，凡属产品本身引起的故障，供应商需更换新的且与原产品型号规格都一样的产品；在质量保证（修）期的第四个月至质量保证（修）期结束期间，凡属产品本身引起的故障，供应商负责免费维修，所有费用由供应商承担；产品质量保证（修）期按生产厂家标准执行，但不得少于</w:t>
      </w:r>
      <w:r>
        <w:rPr>
          <w:rFonts w:hint="eastAsia" w:ascii="仿宋" w:hAnsi="仿宋" w:eastAsia="仿宋"/>
          <w:b w:val="0"/>
          <w:bCs w:val="0"/>
          <w:color w:val="auto"/>
          <w:sz w:val="24"/>
          <w:szCs w:val="24"/>
          <w:lang w:val="en-US" w:eastAsia="zh-CN"/>
        </w:rPr>
        <w:t>2</w:t>
      </w:r>
      <w:r>
        <w:rPr>
          <w:rFonts w:hint="eastAsia" w:ascii="仿宋" w:hAnsi="仿宋" w:eastAsia="仿宋"/>
          <w:b w:val="0"/>
          <w:bCs w:val="0"/>
          <w:color w:val="auto"/>
          <w:sz w:val="24"/>
          <w:szCs w:val="24"/>
        </w:rPr>
        <w:t>年，产品质量保证（修）期</w:t>
      </w:r>
      <w:r>
        <w:rPr>
          <w:rFonts w:hint="eastAsia" w:ascii="仿宋" w:hAnsi="仿宋" w:eastAsia="仿宋"/>
          <w:b w:val="0"/>
          <w:bCs w:val="0"/>
          <w:color w:val="auto"/>
          <w:sz w:val="24"/>
          <w:szCs w:val="24"/>
          <w:lang w:val="en-US" w:eastAsia="zh-CN"/>
        </w:rPr>
        <w:t>自</w:t>
      </w:r>
      <w:r>
        <w:rPr>
          <w:rFonts w:hint="eastAsia" w:ascii="仿宋" w:hAnsi="仿宋" w:eastAsia="仿宋"/>
          <w:b w:val="0"/>
          <w:bCs w:val="0"/>
          <w:color w:val="auto"/>
          <w:sz w:val="24"/>
          <w:szCs w:val="24"/>
        </w:rPr>
        <w:t>全面验收合格之日起计算。</w:t>
      </w:r>
    </w:p>
    <w:p>
      <w:pPr>
        <w:ind w:left="1" w:firstLine="480" w:firstLineChars="200"/>
        <w:rPr>
          <w:rFonts w:ascii="仿宋_GB2312" w:hAnsi="Arial" w:eastAsia="仿宋"/>
          <w:b w:val="0"/>
          <w:bCs w:val="0"/>
          <w:color w:val="auto"/>
          <w:sz w:val="24"/>
        </w:rPr>
      </w:pPr>
      <w:r>
        <w:rPr>
          <w:rFonts w:hint="eastAsia" w:ascii="宋体" w:hAnsi="宋体" w:cs="宋体"/>
          <w:b w:val="0"/>
          <w:bCs w:val="0"/>
          <w:color w:val="auto"/>
          <w:sz w:val="24"/>
        </w:rPr>
        <w:t>2、售后服务要求</w:t>
      </w:r>
    </w:p>
    <w:p>
      <w:pPr>
        <w:ind w:left="1" w:firstLine="480" w:firstLineChars="200"/>
        <w:rPr>
          <w:rFonts w:ascii="仿宋_GB2312" w:hAnsi="Arial" w:eastAsia="仿宋_GB2312" w:cs="仿宋_GB2312"/>
          <w:b w:val="0"/>
          <w:bCs w:val="0"/>
          <w:color w:val="auto"/>
          <w:sz w:val="24"/>
          <w:szCs w:val="20"/>
        </w:rPr>
      </w:pPr>
      <w:r>
        <w:rPr>
          <w:rFonts w:hint="eastAsia" w:ascii="仿宋_GB2312" w:hAnsi="Arial" w:eastAsia="仿宋_GB2312"/>
          <w:b w:val="0"/>
          <w:bCs w:val="0"/>
          <w:color w:val="auto"/>
          <w:sz w:val="24"/>
        </w:rPr>
        <w:t>2.</w:t>
      </w:r>
      <w:r>
        <w:rPr>
          <w:rFonts w:hint="eastAsia" w:ascii="仿宋_GB2312" w:hAnsi="Arial" w:eastAsia="仿宋_GB2312" w:cs="仿宋_GB2312"/>
          <w:b w:val="0"/>
          <w:bCs w:val="0"/>
          <w:color w:val="auto"/>
          <w:sz w:val="24"/>
          <w:szCs w:val="20"/>
        </w:rPr>
        <w:t>1 在交付使用后，卖方应对保修期及其以后的服务做出承诺，并具有切实可行的服务措施；</w:t>
      </w:r>
    </w:p>
    <w:p>
      <w:pPr>
        <w:ind w:firstLine="480" w:firstLineChars="200"/>
        <w:rPr>
          <w:rFonts w:ascii="仿宋_GB2312" w:hAnsi="Arial" w:eastAsia="仿宋_GB2312"/>
          <w:b w:val="0"/>
          <w:bCs w:val="0"/>
          <w:color w:val="auto"/>
          <w:sz w:val="24"/>
        </w:rPr>
      </w:pPr>
      <w:r>
        <w:rPr>
          <w:rFonts w:hint="eastAsia" w:ascii="仿宋_GB2312" w:hAnsi="Arial" w:eastAsia="仿宋_GB2312"/>
          <w:b w:val="0"/>
          <w:bCs w:val="0"/>
          <w:color w:val="auto"/>
          <w:sz w:val="24"/>
        </w:rPr>
        <w:t>2.2不能及时兑现服务承诺内容而影响买方使用时，卖方应给予补偿的承诺，在投标文件中均应明确说明。</w:t>
      </w:r>
    </w:p>
    <w:p>
      <w:pPr>
        <w:shd w:val="clear" w:color="auto" w:fill="FFFFFF"/>
        <w:wordWrap/>
        <w:spacing w:line="360" w:lineRule="exact"/>
        <w:ind w:firstLine="480" w:firstLineChars="200"/>
        <w:jc w:val="left"/>
        <w:rPr>
          <w:rFonts w:hint="eastAsia" w:ascii="仿宋_GB2312" w:eastAsia="仿宋_GB2312"/>
          <w:b w:val="0"/>
          <w:bCs w:val="0"/>
          <w:color w:val="auto"/>
          <w:sz w:val="24"/>
          <w:szCs w:val="24"/>
          <w:lang w:eastAsia="zh-CN"/>
        </w:rPr>
      </w:pPr>
      <w:r>
        <w:rPr>
          <w:rFonts w:hint="eastAsia" w:ascii="仿宋_GB2312" w:hAnsi="Arial" w:eastAsia="仿宋_GB2312" w:cs="仿宋_GB2312"/>
          <w:b w:val="0"/>
          <w:bCs w:val="0"/>
          <w:color w:val="auto"/>
          <w:sz w:val="24"/>
          <w:szCs w:val="20"/>
        </w:rPr>
        <w:t>2.3</w:t>
      </w:r>
      <w:r>
        <w:rPr>
          <w:rFonts w:hint="eastAsia" w:ascii="仿宋_GB2312" w:hAnsi="Arial" w:eastAsia="仿宋_GB2312" w:cs="仿宋_GB2312"/>
          <w:b w:val="0"/>
          <w:bCs w:val="0"/>
          <w:color w:val="auto"/>
          <w:sz w:val="24"/>
          <w:szCs w:val="20"/>
          <w:lang w:val="en-US" w:eastAsia="zh-CN"/>
        </w:rPr>
        <w:t>卖方为制造商的，在新疆范围内</w:t>
      </w:r>
      <w:r>
        <w:rPr>
          <w:rFonts w:hint="eastAsia" w:ascii="仿宋_GB2312" w:hAnsi="Arial" w:eastAsia="仿宋_GB2312" w:cs="仿宋_GB2312"/>
          <w:b w:val="0"/>
          <w:bCs w:val="0"/>
          <w:color w:val="auto"/>
          <w:sz w:val="24"/>
          <w:szCs w:val="20"/>
        </w:rPr>
        <w:t>拥有厂家自己的办事处和售后服务体系，在新疆有驻点专业的厂家维修工程师，提供姓名、联系电话，并在国内有自己的维修配件的保税仓库，以保证维修配件的需要。</w:t>
      </w:r>
      <w:r>
        <w:rPr>
          <w:rFonts w:hint="eastAsia" w:ascii="仿宋_GB2312" w:eastAsia="仿宋_GB2312"/>
          <w:b w:val="0"/>
          <w:bCs w:val="0"/>
          <w:color w:val="auto"/>
          <w:sz w:val="24"/>
          <w:szCs w:val="24"/>
          <w:lang w:val="en-US" w:eastAsia="zh-CN"/>
        </w:rPr>
        <w:t>卖方为经销商的，</w:t>
      </w:r>
      <w:r>
        <w:rPr>
          <w:rFonts w:hint="eastAsia" w:ascii="仿宋_GB2312" w:eastAsia="仿宋_GB2312"/>
          <w:b w:val="0"/>
          <w:bCs w:val="0"/>
          <w:color w:val="auto"/>
          <w:sz w:val="24"/>
          <w:szCs w:val="24"/>
        </w:rPr>
        <w:t>在</w:t>
      </w:r>
      <w:r>
        <w:rPr>
          <w:rFonts w:hint="eastAsia" w:ascii="仿宋_GB2312" w:eastAsia="仿宋_GB2312"/>
          <w:b w:val="0"/>
          <w:bCs w:val="0"/>
          <w:color w:val="auto"/>
          <w:sz w:val="24"/>
          <w:szCs w:val="24"/>
          <w:lang w:val="en-US" w:eastAsia="zh-CN"/>
        </w:rPr>
        <w:t>新疆</w:t>
      </w:r>
      <w:r>
        <w:rPr>
          <w:rFonts w:hint="eastAsia" w:ascii="仿宋_GB2312" w:eastAsia="仿宋_GB2312"/>
          <w:b w:val="0"/>
          <w:bCs w:val="0"/>
          <w:color w:val="auto"/>
          <w:sz w:val="24"/>
          <w:szCs w:val="24"/>
        </w:rPr>
        <w:t>范围内应</w:t>
      </w:r>
      <w:r>
        <w:rPr>
          <w:rFonts w:hint="eastAsia" w:ascii="仿宋_GB2312" w:eastAsia="仿宋_GB2312"/>
          <w:b w:val="0"/>
          <w:bCs w:val="0"/>
          <w:color w:val="auto"/>
          <w:sz w:val="24"/>
          <w:szCs w:val="24"/>
          <w:lang w:val="en-US" w:eastAsia="zh-CN"/>
        </w:rPr>
        <w:t>有固定售后服务机构</w:t>
      </w:r>
      <w:r>
        <w:rPr>
          <w:rFonts w:hint="eastAsia" w:ascii="仿宋_GB2312" w:eastAsia="仿宋_GB2312"/>
          <w:b w:val="0"/>
          <w:bCs w:val="0"/>
          <w:color w:val="auto"/>
          <w:sz w:val="24"/>
          <w:szCs w:val="24"/>
        </w:rPr>
        <w:t>，售后服务人员应是卖方派出的具有一定专业技术和服务水平的人员，并具有卖方的法人授权委托和有关主管部门的资质证书</w:t>
      </w:r>
      <w:r>
        <w:rPr>
          <w:rFonts w:hint="eastAsia" w:ascii="仿宋_GB2312" w:hAnsi="Arial" w:eastAsia="仿宋_GB2312" w:cs="仿宋_GB2312"/>
          <w:b w:val="0"/>
          <w:bCs w:val="0"/>
          <w:color w:val="auto"/>
          <w:sz w:val="24"/>
          <w:szCs w:val="20"/>
        </w:rPr>
        <w:t>维修工程师，提供姓名、联系电话</w:t>
      </w:r>
      <w:r>
        <w:rPr>
          <w:rFonts w:hint="eastAsia" w:ascii="仿宋_GB2312" w:eastAsia="仿宋_GB2312"/>
          <w:b w:val="0"/>
          <w:bCs w:val="0"/>
          <w:color w:val="auto"/>
          <w:sz w:val="24"/>
          <w:szCs w:val="24"/>
        </w:rPr>
        <w:t>，</w:t>
      </w:r>
      <w:r>
        <w:rPr>
          <w:rFonts w:hint="eastAsia" w:ascii="仿宋_GB2312" w:eastAsia="仿宋_GB2312"/>
          <w:b w:val="0"/>
          <w:bCs w:val="0"/>
          <w:color w:val="auto"/>
          <w:sz w:val="24"/>
          <w:szCs w:val="24"/>
          <w:lang w:val="en-US" w:eastAsia="zh-CN"/>
        </w:rPr>
        <w:t>在</w:t>
      </w:r>
      <w:r>
        <w:rPr>
          <w:rFonts w:hint="eastAsia" w:ascii="仿宋_GB2312" w:eastAsia="仿宋_GB2312"/>
          <w:b w:val="0"/>
          <w:bCs w:val="0"/>
          <w:color w:val="auto"/>
          <w:sz w:val="24"/>
          <w:szCs w:val="24"/>
        </w:rPr>
        <w:t>售后服务机构要常备本次项目采购的设备备品备件</w:t>
      </w:r>
      <w:r>
        <w:rPr>
          <w:rFonts w:hint="eastAsia" w:ascii="仿宋_GB2312" w:eastAsia="仿宋_GB2312"/>
          <w:b w:val="0"/>
          <w:bCs w:val="0"/>
          <w:color w:val="auto"/>
          <w:sz w:val="24"/>
          <w:szCs w:val="24"/>
          <w:lang w:eastAsia="zh-CN"/>
        </w:rPr>
        <w:t>。</w:t>
      </w:r>
    </w:p>
    <w:p>
      <w:pPr>
        <w:shd w:val="clear" w:color="auto" w:fill="FFFFFF"/>
        <w:wordWrap/>
        <w:spacing w:line="360" w:lineRule="exact"/>
        <w:ind w:firstLine="480" w:firstLineChars="200"/>
        <w:jc w:val="left"/>
        <w:rPr>
          <w:rFonts w:hint="eastAsia" w:ascii="仿宋_GB2312" w:hAnsi="Arial" w:eastAsia="仿宋_GB2312" w:cs="仿宋_GB2312"/>
          <w:b w:val="0"/>
          <w:bCs w:val="0"/>
          <w:color w:val="auto"/>
          <w:sz w:val="24"/>
          <w:szCs w:val="20"/>
        </w:rPr>
      </w:pPr>
      <w:r>
        <w:rPr>
          <w:rFonts w:hint="eastAsia" w:ascii="仿宋_GB2312" w:eastAsia="仿宋_GB2312"/>
          <w:b w:val="0"/>
          <w:bCs w:val="0"/>
          <w:color w:val="auto"/>
          <w:sz w:val="24"/>
          <w:szCs w:val="24"/>
          <w:lang w:val="en-US" w:eastAsia="zh-CN"/>
        </w:rPr>
        <w:t>2.4</w:t>
      </w:r>
      <w:r>
        <w:rPr>
          <w:rFonts w:hint="eastAsia" w:ascii="仿宋_GB2312" w:hAnsi="Arial" w:eastAsia="仿宋_GB2312" w:cs="仿宋_GB2312"/>
          <w:b w:val="0"/>
          <w:bCs w:val="0"/>
          <w:color w:val="auto"/>
          <w:sz w:val="24"/>
          <w:szCs w:val="20"/>
        </w:rPr>
        <w:t>设备出现故障要在</w:t>
      </w:r>
      <w:r>
        <w:rPr>
          <w:rFonts w:hint="eastAsia" w:ascii="仿宋_GB2312" w:hAnsi="Arial" w:eastAsia="仿宋_GB2312" w:cs="仿宋_GB2312"/>
          <w:b w:val="0"/>
          <w:bCs w:val="0"/>
          <w:color w:val="auto"/>
          <w:sz w:val="24"/>
          <w:szCs w:val="20"/>
          <w:lang w:val="en-US" w:eastAsia="zh-CN"/>
        </w:rPr>
        <w:t>2</w:t>
      </w:r>
      <w:r>
        <w:rPr>
          <w:rFonts w:hint="eastAsia" w:ascii="仿宋_GB2312" w:hAnsi="Arial" w:eastAsia="仿宋_GB2312" w:cs="仿宋_GB2312"/>
          <w:b w:val="0"/>
          <w:bCs w:val="0"/>
          <w:color w:val="auto"/>
          <w:sz w:val="24"/>
          <w:szCs w:val="20"/>
        </w:rPr>
        <w:t>小时内响应，</w:t>
      </w:r>
      <w:r>
        <w:rPr>
          <w:rFonts w:hint="eastAsia" w:ascii="仿宋_GB2312" w:hAnsi="Arial" w:eastAsia="仿宋_GB2312" w:cs="仿宋_GB2312"/>
          <w:b w:val="0"/>
          <w:bCs w:val="0"/>
          <w:color w:val="auto"/>
          <w:sz w:val="24"/>
          <w:szCs w:val="20"/>
          <w:lang w:val="en-US" w:eastAsia="zh-CN"/>
        </w:rPr>
        <w:t>24</w:t>
      </w:r>
      <w:r>
        <w:rPr>
          <w:rFonts w:hint="eastAsia" w:ascii="仿宋_GB2312" w:hAnsi="Arial" w:eastAsia="仿宋_GB2312" w:cs="仿宋_GB2312"/>
          <w:b w:val="0"/>
          <w:bCs w:val="0"/>
          <w:color w:val="auto"/>
          <w:sz w:val="24"/>
          <w:szCs w:val="20"/>
        </w:rPr>
        <w:t>小时内</w:t>
      </w:r>
      <w:r>
        <w:rPr>
          <w:rFonts w:hint="eastAsia" w:ascii="仿宋_GB2312" w:hAnsi="Arial" w:eastAsia="仿宋_GB2312" w:cs="仿宋_GB2312"/>
          <w:b w:val="0"/>
          <w:bCs w:val="0"/>
          <w:color w:val="auto"/>
          <w:sz w:val="24"/>
          <w:szCs w:val="20"/>
          <w:lang w:val="en-US" w:eastAsia="zh-CN"/>
        </w:rPr>
        <w:t>到场进行维修维护</w:t>
      </w:r>
      <w:r>
        <w:rPr>
          <w:rFonts w:hint="eastAsia" w:ascii="仿宋_GB2312" w:hAnsi="Arial" w:eastAsia="仿宋_GB2312" w:cs="仿宋_GB2312"/>
          <w:b w:val="0"/>
          <w:bCs w:val="0"/>
          <w:color w:val="auto"/>
          <w:sz w:val="24"/>
          <w:szCs w:val="20"/>
          <w:lang w:eastAsia="zh-CN"/>
        </w:rPr>
        <w:t>，</w:t>
      </w:r>
      <w:r>
        <w:rPr>
          <w:rFonts w:hint="eastAsia" w:ascii="仿宋_GB2312" w:hAnsi="Arial" w:eastAsia="仿宋_GB2312" w:cs="仿宋_GB2312"/>
          <w:b w:val="0"/>
          <w:bCs w:val="0"/>
          <w:color w:val="auto"/>
          <w:sz w:val="24"/>
          <w:szCs w:val="20"/>
        </w:rPr>
        <w:t>24小时电话服务支持。</w:t>
      </w:r>
    </w:p>
    <w:p>
      <w:pPr>
        <w:ind w:firstLine="480" w:firstLineChars="200"/>
        <w:rPr>
          <w:rFonts w:hint="eastAsia" w:ascii="仿宋_GB2312" w:eastAsia="仿宋_GB2312"/>
          <w:b w:val="0"/>
          <w:bCs w:val="0"/>
          <w:color w:val="auto"/>
          <w:sz w:val="24"/>
          <w:szCs w:val="24"/>
          <w:lang w:val="en-US" w:eastAsia="zh-CN"/>
        </w:rPr>
      </w:pPr>
      <w:r>
        <w:rPr>
          <w:rFonts w:hint="eastAsia" w:ascii="仿宋_GB2312" w:eastAsia="仿宋_GB2312"/>
          <w:b w:val="0"/>
          <w:bCs w:val="0"/>
          <w:color w:val="auto"/>
          <w:sz w:val="24"/>
          <w:szCs w:val="24"/>
          <w:lang w:val="en-US" w:eastAsia="zh-CN"/>
        </w:rPr>
        <w:t>2.5卖方根据采购人要求安排进行培训，保证医院科室工作人员能够完全掌握并独立操作。</w:t>
      </w:r>
    </w:p>
    <w:p>
      <w:pPr>
        <w:pStyle w:val="26"/>
        <w:ind w:left="0" w:leftChars="0" w:firstLine="0" w:firstLineChars="0"/>
        <w:rPr>
          <w:b w:val="0"/>
          <w:bCs w:val="0"/>
          <w:color w:val="auto"/>
        </w:rPr>
      </w:pPr>
    </w:p>
    <w:p>
      <w:pPr>
        <w:ind w:firstLine="723" w:firstLineChars="200"/>
        <w:jc w:val="center"/>
        <w:outlineLvl w:val="0"/>
        <w:rPr>
          <w:rFonts w:ascii="宋体" w:hAnsi="宋体" w:eastAsia="宋体" w:cs="Times New Roman"/>
          <w:b/>
          <w:sz w:val="36"/>
          <w:szCs w:val="36"/>
          <w:highlight w:val="none"/>
        </w:rPr>
      </w:pPr>
      <w:bookmarkStart w:id="153" w:name="_Toc19637"/>
      <w:r>
        <w:rPr>
          <w:rFonts w:hint="eastAsia" w:ascii="宋体" w:hAnsi="宋体" w:eastAsia="宋体" w:cs="Times New Roman"/>
          <w:b/>
          <w:sz w:val="36"/>
          <w:szCs w:val="36"/>
          <w:highlight w:val="none"/>
        </w:rPr>
        <w:t>第五部分  招标组织程序</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jc w:val="center"/>
        <w:outlineLvl w:val="1"/>
        <w:rPr>
          <w:rFonts w:ascii="仿宋_GB2312" w:hAnsi="Arial" w:eastAsia="仿宋_GB2312" w:cs="Times New Roman"/>
          <w:b/>
          <w:sz w:val="32"/>
          <w:szCs w:val="32"/>
          <w:highlight w:val="none"/>
        </w:rPr>
      </w:pPr>
      <w:bookmarkStart w:id="154" w:name="_Toc13642"/>
      <w:bookmarkStart w:id="155" w:name="_Toc32428"/>
      <w:bookmarkStart w:id="156" w:name="_Toc16431"/>
      <w:bookmarkStart w:id="157" w:name="_Toc11673"/>
      <w:bookmarkStart w:id="158" w:name="_Toc24345"/>
      <w:bookmarkStart w:id="159" w:name="_Toc14569"/>
      <w:bookmarkStart w:id="160" w:name="_Toc3860"/>
      <w:bookmarkStart w:id="161" w:name="_Toc23827"/>
      <w:bookmarkStart w:id="162" w:name="_Toc2693"/>
      <w:bookmarkStart w:id="163" w:name="_Toc5601"/>
      <w:bookmarkStart w:id="164" w:name="_Toc5857"/>
      <w:bookmarkStart w:id="165" w:name="_Toc12060"/>
      <w:bookmarkStart w:id="166" w:name="_Toc22932"/>
      <w:bookmarkStart w:id="167" w:name="_Toc24547"/>
      <w:bookmarkStart w:id="168" w:name="_Toc5067"/>
      <w:bookmarkStart w:id="169" w:name="_Toc9296"/>
      <w:r>
        <w:rPr>
          <w:rFonts w:hint="eastAsia" w:ascii="仿宋_GB2312" w:hAnsi="Arial" w:eastAsia="仿宋_GB2312" w:cs="Times New Roman"/>
          <w:b/>
          <w:sz w:val="32"/>
          <w:szCs w:val="32"/>
          <w:highlight w:val="none"/>
        </w:rPr>
        <w:t>第一章 评标委员会</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ind w:firstLine="474" w:firstLineChars="200"/>
        <w:rPr>
          <w:rFonts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1、评标委员会</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1.1</w:t>
      </w:r>
      <w:r>
        <w:rPr>
          <w:rFonts w:hint="eastAsia" w:ascii="仿宋" w:hAnsi="仿宋" w:eastAsia="仿宋" w:cs="Times New Roman"/>
          <w:bCs/>
          <w:sz w:val="24"/>
          <w:szCs w:val="20"/>
          <w:highlight w:val="none"/>
        </w:rPr>
        <w:t>采购代理机构</w:t>
      </w:r>
      <w:r>
        <w:rPr>
          <w:rFonts w:hint="eastAsia" w:ascii="仿宋" w:hAnsi="仿宋" w:eastAsia="仿宋" w:cs="Times New Roman"/>
          <w:spacing w:val="-2"/>
          <w:sz w:val="24"/>
          <w:szCs w:val="24"/>
          <w:highlight w:val="none"/>
        </w:rPr>
        <w:t>将根据《政府采购法》等法律法规的规定，通过新疆政采云平台专家库抽取评审专家依法组建本次招标的评标委员会，负责本次招标的评标活动。评标委员会负责向采购人、</w:t>
      </w:r>
      <w:r>
        <w:rPr>
          <w:rFonts w:hint="eastAsia" w:ascii="仿宋" w:hAnsi="仿宋" w:eastAsia="仿宋" w:cs="Times New Roman"/>
          <w:bCs/>
          <w:sz w:val="24"/>
          <w:szCs w:val="20"/>
          <w:highlight w:val="none"/>
        </w:rPr>
        <w:t>采购代理机构</w:t>
      </w:r>
      <w:r>
        <w:rPr>
          <w:rFonts w:hint="eastAsia" w:ascii="仿宋" w:hAnsi="仿宋" w:eastAsia="仿宋" w:cs="Times New Roman"/>
          <w:spacing w:val="-2"/>
          <w:sz w:val="24"/>
          <w:szCs w:val="24"/>
          <w:highlight w:val="none"/>
        </w:rPr>
        <w:t>推荐中标候选人。</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1.2  评标委员会人选于开标前确定，成员名单在中标结果确定前保密。</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1.</w:t>
      </w:r>
      <w:r>
        <w:rPr>
          <w:rFonts w:ascii="仿宋" w:hAnsi="仿宋" w:eastAsia="仿宋" w:cs="Times New Roman"/>
          <w:spacing w:val="-2"/>
          <w:sz w:val="24"/>
          <w:szCs w:val="24"/>
          <w:highlight w:val="none"/>
        </w:rPr>
        <w:t>3</w:t>
      </w:r>
      <w:r>
        <w:rPr>
          <w:rFonts w:hint="eastAsia" w:ascii="仿宋" w:hAnsi="仿宋" w:eastAsia="仿宋" w:cs="Times New Roman"/>
          <w:spacing w:val="-2"/>
          <w:sz w:val="24"/>
          <w:szCs w:val="24"/>
          <w:highlight w:val="none"/>
        </w:rPr>
        <w:t>　评标委员会有关工程技术、经济等方面的专家和采购人熟悉相关业务的代表人员组成，成员为</w:t>
      </w:r>
      <w:r>
        <w:rPr>
          <w:rFonts w:hint="eastAsia" w:ascii="仿宋" w:hAnsi="仿宋" w:eastAsia="仿宋" w:cs="Times New Roman"/>
          <w:spacing w:val="-2"/>
          <w:sz w:val="24"/>
          <w:szCs w:val="24"/>
          <w:highlight w:val="none"/>
          <w:lang w:val="en-US" w:eastAsia="zh-CN"/>
        </w:rPr>
        <w:t>7</w:t>
      </w:r>
      <w:r>
        <w:rPr>
          <w:rFonts w:hint="eastAsia" w:ascii="仿宋" w:hAnsi="仿宋" w:eastAsia="仿宋" w:cs="Times New Roman"/>
          <w:spacing w:val="-2"/>
          <w:sz w:val="24"/>
          <w:szCs w:val="24"/>
          <w:highlight w:val="none"/>
        </w:rPr>
        <w:t>人的单数，项目采购人代表</w:t>
      </w:r>
      <w:r>
        <w:rPr>
          <w:rFonts w:hint="eastAsia" w:ascii="仿宋" w:hAnsi="仿宋" w:eastAsia="仿宋" w:cs="Times New Roman"/>
          <w:spacing w:val="-2"/>
          <w:sz w:val="24"/>
          <w:szCs w:val="24"/>
          <w:highlight w:val="none"/>
          <w:lang w:val="en-US" w:eastAsia="zh-CN"/>
        </w:rPr>
        <w:t>2</w:t>
      </w:r>
      <w:r>
        <w:rPr>
          <w:rFonts w:hint="eastAsia" w:ascii="仿宋" w:hAnsi="仿宋" w:eastAsia="仿宋" w:cs="Times New Roman"/>
          <w:spacing w:val="-2"/>
          <w:sz w:val="24"/>
          <w:szCs w:val="24"/>
          <w:highlight w:val="none"/>
        </w:rPr>
        <w:t>人，专家</w:t>
      </w:r>
      <w:r>
        <w:rPr>
          <w:rFonts w:hint="eastAsia" w:ascii="仿宋" w:hAnsi="仿宋" w:eastAsia="仿宋" w:cs="Times New Roman"/>
          <w:spacing w:val="-2"/>
          <w:sz w:val="24"/>
          <w:szCs w:val="24"/>
          <w:highlight w:val="none"/>
          <w:lang w:val="en-US" w:eastAsia="zh-CN"/>
        </w:rPr>
        <w:t>5</w:t>
      </w:r>
      <w:r>
        <w:rPr>
          <w:rFonts w:hint="eastAsia" w:ascii="仿宋" w:hAnsi="仿宋" w:eastAsia="仿宋" w:cs="Times New Roman"/>
          <w:spacing w:val="-2"/>
          <w:sz w:val="24"/>
          <w:szCs w:val="24"/>
          <w:highlight w:val="none"/>
        </w:rPr>
        <w:t>人，其中技术、经济等方面的成员人数不少于成员总数的</w:t>
      </w:r>
      <w:r>
        <w:rPr>
          <w:rFonts w:hint="eastAsia" w:ascii="仿宋" w:hAnsi="仿宋" w:eastAsia="仿宋" w:cs="Times New Roman"/>
          <w:spacing w:val="-2"/>
          <w:sz w:val="24"/>
          <w:szCs w:val="24"/>
          <w:highlight w:val="none"/>
          <w:lang w:val="en-US" w:eastAsia="zh-CN"/>
        </w:rPr>
        <w:t>七</w:t>
      </w:r>
      <w:r>
        <w:rPr>
          <w:rFonts w:hint="eastAsia" w:ascii="仿宋" w:hAnsi="仿宋" w:eastAsia="仿宋" w:cs="Times New Roman"/>
          <w:spacing w:val="-2"/>
          <w:sz w:val="24"/>
          <w:szCs w:val="24"/>
          <w:highlight w:val="none"/>
        </w:rPr>
        <w:t>分之</w:t>
      </w:r>
      <w:r>
        <w:rPr>
          <w:rFonts w:hint="eastAsia" w:ascii="仿宋" w:hAnsi="仿宋" w:eastAsia="仿宋" w:cs="Times New Roman"/>
          <w:spacing w:val="-2"/>
          <w:sz w:val="24"/>
          <w:szCs w:val="24"/>
          <w:highlight w:val="none"/>
          <w:lang w:val="en-US" w:eastAsia="zh-CN"/>
        </w:rPr>
        <w:t>三</w:t>
      </w:r>
      <w:r>
        <w:rPr>
          <w:rFonts w:hint="eastAsia" w:ascii="仿宋" w:hAnsi="仿宋" w:eastAsia="仿宋" w:cs="Times New Roman"/>
          <w:spacing w:val="-2"/>
          <w:sz w:val="24"/>
          <w:szCs w:val="24"/>
          <w:highlight w:val="none"/>
        </w:rPr>
        <w:t>。</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1.</w:t>
      </w:r>
      <w:r>
        <w:rPr>
          <w:rFonts w:ascii="仿宋" w:hAnsi="仿宋" w:eastAsia="仿宋" w:cs="Times New Roman"/>
          <w:spacing w:val="-2"/>
          <w:sz w:val="24"/>
          <w:szCs w:val="24"/>
          <w:highlight w:val="none"/>
        </w:rPr>
        <w:t>4</w:t>
      </w:r>
      <w:r>
        <w:rPr>
          <w:rFonts w:hint="eastAsia" w:ascii="仿宋" w:hAnsi="仿宋" w:eastAsia="仿宋" w:cs="Times New Roman"/>
          <w:spacing w:val="-2"/>
          <w:sz w:val="24"/>
          <w:szCs w:val="24"/>
          <w:highlight w:val="none"/>
        </w:rPr>
        <w:t>　对于技术复杂、专业性要求较高或者国家有特殊要求的招标项目，采取随机抽取的方式抽取的专家不能满足评标工作需要时，将采取直接确定的方式选定评标委员会的人选。</w:t>
      </w:r>
    </w:p>
    <w:p>
      <w:pPr>
        <w:ind w:left="474" w:leftChars="224" w:hanging="4" w:hangingChars="2"/>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1.5　有下列情形之一的，不得担任评标委员会成员：</w:t>
      </w:r>
    </w:p>
    <w:p>
      <w:pPr>
        <w:ind w:left="474" w:leftChars="224" w:hanging="4" w:hangingChars="2"/>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（1）与投标人或者投标主要负责人有近亲关系的；</w:t>
      </w:r>
    </w:p>
    <w:p>
      <w:pPr>
        <w:ind w:left="474" w:leftChars="224" w:hanging="4" w:hangingChars="2"/>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（2）与项目主管部门或者行政监督部门的人员有近亲关系的；</w:t>
      </w:r>
    </w:p>
    <w:p>
      <w:pPr>
        <w:ind w:left="474" w:leftChars="224" w:hanging="4" w:hangingChars="2"/>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（3）与投标人有经济利益关系，可能影响对投标公正评审的；</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（4）曾因在招标、评标以及其他与招标投标有关活动中从事违法行为而受过行政处罚或刑事处罚的。</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招标委员会成员有前款规定情形之一的，应当主动提出回避。</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1.6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1.7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pPr>
        <w:ind w:firstLine="472" w:firstLineChars="200"/>
        <w:rPr>
          <w:rFonts w:ascii="仿宋" w:hAnsi="仿宋" w:eastAsia="仿宋" w:cs="Times New Roman"/>
          <w:spacing w:val="-2"/>
          <w:sz w:val="24"/>
          <w:szCs w:val="24"/>
          <w:highlight w:val="none"/>
        </w:rPr>
      </w:pPr>
      <w:r>
        <w:rPr>
          <w:rFonts w:hint="eastAsia" w:ascii="仿宋" w:hAnsi="仿宋" w:eastAsia="仿宋" w:cs="Times New Roman"/>
          <w:spacing w:val="-2"/>
          <w:sz w:val="24"/>
          <w:szCs w:val="24"/>
          <w:highlight w:val="none"/>
        </w:rPr>
        <w:t xml:space="preserve">1.8 </w:t>
      </w:r>
      <w:r>
        <w:rPr>
          <w:rFonts w:hint="eastAsia" w:ascii="仿宋" w:hAnsi="仿宋" w:eastAsia="仿宋" w:cs="Times New Roman"/>
          <w:sz w:val="24"/>
          <w:szCs w:val="20"/>
          <w:highlight w:val="none"/>
        </w:rPr>
        <w:t>如果出现有效投标供应商不足三家时，由于项目紧急，经财政部门（政府采购监督管理部门）批准，改为非招标采购方式进行采购时，依法组建本次招标的评标委员会则作为改变采购方式后谈判小组，负责改变采购方式后的谈判活动。</w:t>
      </w:r>
    </w:p>
    <w:p>
      <w:pPr>
        <w:ind w:firstLine="480" w:firstLineChars="200"/>
        <w:rPr>
          <w:rFonts w:ascii="仿宋" w:hAnsi="仿宋" w:eastAsia="仿宋" w:cs="仿宋"/>
          <w:color w:val="000000"/>
          <w:kern w:val="0"/>
          <w:sz w:val="24"/>
          <w:szCs w:val="24"/>
          <w:highlight w:val="none"/>
        </w:rPr>
      </w:pPr>
    </w:p>
    <w:p>
      <w:pPr>
        <w:jc w:val="center"/>
        <w:rPr>
          <w:rFonts w:ascii="仿宋_GB2312" w:hAnsi="宋体" w:eastAsia="仿宋_GB2312" w:cs="Times New Roman"/>
          <w:b/>
          <w:sz w:val="24"/>
          <w:szCs w:val="20"/>
          <w:highlight w:val="none"/>
        </w:rPr>
      </w:pPr>
      <w:bookmarkStart w:id="170" w:name="_Toc30581"/>
      <w:bookmarkStart w:id="171" w:name="_Toc27601"/>
      <w:bookmarkStart w:id="172" w:name="_Toc30123"/>
      <w:bookmarkStart w:id="173" w:name="_Toc31133"/>
      <w:bookmarkStart w:id="174" w:name="_Toc14029"/>
      <w:bookmarkStart w:id="175" w:name="_Toc29911"/>
      <w:bookmarkStart w:id="176" w:name="_Toc18663"/>
      <w:bookmarkStart w:id="177" w:name="_Toc26278"/>
      <w:bookmarkStart w:id="178" w:name="_Toc5221"/>
      <w:bookmarkStart w:id="179" w:name="_Toc3158"/>
      <w:bookmarkStart w:id="180" w:name="_Toc11010"/>
      <w:bookmarkStart w:id="181" w:name="_Toc5310"/>
      <w:bookmarkStart w:id="182" w:name="_Toc17276"/>
      <w:bookmarkStart w:id="183" w:name="_Toc20987"/>
      <w:bookmarkStart w:id="184" w:name="_Toc5971"/>
      <w:r>
        <w:rPr>
          <w:rFonts w:hint="eastAsia" w:ascii="仿宋_GB2312" w:hAnsi="宋体" w:eastAsia="仿宋_GB2312" w:cs="Times New Roman"/>
          <w:b/>
          <w:sz w:val="32"/>
          <w:szCs w:val="32"/>
          <w:highlight w:val="none"/>
        </w:rPr>
        <w:t>第二章</w:t>
      </w:r>
      <w:bookmarkEnd w:id="170"/>
      <w:bookmarkEnd w:id="171"/>
      <w:bookmarkEnd w:id="172"/>
      <w:bookmarkEnd w:id="173"/>
      <w:bookmarkEnd w:id="174"/>
      <w:bookmarkEnd w:id="175"/>
      <w:bookmarkEnd w:id="176"/>
      <w:bookmarkEnd w:id="177"/>
      <w:bookmarkEnd w:id="178"/>
      <w:bookmarkEnd w:id="179"/>
      <w:bookmarkEnd w:id="180"/>
      <w:bookmarkEnd w:id="181"/>
      <w:bookmarkStart w:id="185" w:name="_Toc18928"/>
      <w:bookmarkStart w:id="186" w:name="_Toc31036"/>
      <w:bookmarkStart w:id="187" w:name="_Toc5996"/>
      <w:bookmarkStart w:id="188" w:name="_Toc20347"/>
      <w:bookmarkStart w:id="189" w:name="_Toc4041"/>
      <w:bookmarkStart w:id="190" w:name="_Toc9579"/>
      <w:bookmarkStart w:id="191" w:name="_Toc23163"/>
      <w:bookmarkStart w:id="192" w:name="_Toc5921"/>
      <w:bookmarkStart w:id="193" w:name="_Toc30083"/>
      <w:bookmarkStart w:id="194" w:name="_Toc11172"/>
      <w:bookmarkStart w:id="195" w:name="_Toc7041"/>
      <w:bookmarkStart w:id="196" w:name="_Toc29733"/>
      <w:r>
        <w:rPr>
          <w:rFonts w:hint="eastAsia" w:ascii="仿宋_GB2312" w:hAnsi="宋体" w:eastAsia="仿宋_GB2312" w:cs="Times New Roman"/>
          <w:b/>
          <w:sz w:val="32"/>
          <w:szCs w:val="32"/>
          <w:highlight w:val="none"/>
        </w:rPr>
        <w:t xml:space="preserve"> 开标 评标和中标</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1、开标</w:t>
      </w:r>
    </w:p>
    <w:p>
      <w:pPr>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　组织开标</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本项目开标在招标文件规定的开标时间和地点进行，由</w:t>
      </w:r>
      <w:r>
        <w:rPr>
          <w:rFonts w:hint="eastAsia" w:ascii="仿宋" w:hAnsi="仿宋" w:eastAsia="仿宋" w:cs="仿宋"/>
          <w:bCs/>
          <w:sz w:val="24"/>
          <w:szCs w:val="24"/>
          <w:highlight w:val="none"/>
        </w:rPr>
        <w:t>采购代理机构</w:t>
      </w:r>
      <w:r>
        <w:rPr>
          <w:rFonts w:hint="eastAsia" w:ascii="仿宋" w:hAnsi="仿宋" w:eastAsia="仿宋" w:cs="仿宋"/>
          <w:sz w:val="24"/>
          <w:szCs w:val="24"/>
          <w:highlight w:val="none"/>
        </w:rPr>
        <w:t>项目负责人主持，投标人的授权代表参加开标会，评标委员会成员不参加开标活动。</w:t>
      </w:r>
    </w:p>
    <w:p>
      <w:pPr>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1.2 资质审查</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（1）投标人投标资格审查由</w:t>
      </w:r>
      <w:r>
        <w:rPr>
          <w:rFonts w:hint="eastAsia" w:ascii="仿宋" w:hAnsi="仿宋" w:eastAsia="仿宋" w:cs="仿宋"/>
          <w:bCs/>
          <w:sz w:val="24"/>
          <w:szCs w:val="24"/>
          <w:highlight w:val="none"/>
        </w:rPr>
        <w:t>采购代理机构</w:t>
      </w:r>
      <w:r>
        <w:rPr>
          <w:rFonts w:hint="eastAsia" w:ascii="仿宋" w:hAnsi="仿宋" w:eastAsia="仿宋" w:cs="仿宋"/>
          <w:sz w:val="24"/>
          <w:szCs w:val="24"/>
          <w:highlight w:val="none"/>
        </w:rPr>
        <w:t>组织，采购人在监督人的现场监督下逐一审查投标人资格是否符合招标文件规定要求。资格符合招标文件规定的投标人方可准予投标。</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投标资格审查内容：详见本招标文件第二部分第二章“投标资质要求”条款。</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投标人应该按照招标文件规定的时间和地点送审资格证明文件。</w:t>
      </w:r>
    </w:p>
    <w:p>
      <w:pPr>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1.3唱标</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（1）开标时将检查所有投标文件的密封情况，并在确认无误后开封唱标，该报价以《开标一览表》为准，任何有选择性的报价将不予接受。</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（2）开标和启封的顺序，按照递交投标文件的正顺序依次进行。</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（3）开标时间截止后，提交投标文件的供应商不足三家时，按照政府采购的相关法规处理。</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2、评标</w:t>
      </w:r>
    </w:p>
    <w:p>
      <w:pPr>
        <w:ind w:firstLine="474" w:firstLineChars="200"/>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2.1 评标依据</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（1）评标的依据只能是</w:t>
      </w:r>
      <w:r>
        <w:rPr>
          <w:rFonts w:hint="eastAsia" w:ascii="仿宋" w:hAnsi="仿宋" w:eastAsia="仿宋" w:cs="仿宋"/>
          <w:bCs/>
          <w:sz w:val="24"/>
          <w:szCs w:val="24"/>
          <w:highlight w:val="none"/>
        </w:rPr>
        <w:t>采购代理机构</w:t>
      </w:r>
      <w:r>
        <w:rPr>
          <w:rFonts w:hint="eastAsia" w:ascii="仿宋" w:hAnsi="仿宋" w:eastAsia="仿宋" w:cs="仿宋"/>
          <w:sz w:val="24"/>
          <w:szCs w:val="24"/>
          <w:highlight w:val="none"/>
        </w:rPr>
        <w:t xml:space="preserve">的招标文件、投标人递交的投标文件，以及相关有效的补充、修改文件。 </w:t>
      </w:r>
    </w:p>
    <w:p>
      <w:pPr>
        <w:ind w:firstLine="480" w:firstLineChars="200"/>
        <w:rPr>
          <w:rFonts w:hint="eastAsia" w:ascii="仿宋" w:hAnsi="仿宋" w:eastAsia="仿宋" w:cs="仿宋"/>
          <w:spacing w:val="-2"/>
          <w:sz w:val="24"/>
          <w:szCs w:val="24"/>
          <w:highlight w:val="none"/>
        </w:rPr>
      </w:pPr>
      <w:r>
        <w:rPr>
          <w:rFonts w:hint="eastAsia" w:ascii="仿宋" w:hAnsi="仿宋" w:eastAsia="仿宋" w:cs="仿宋"/>
          <w:sz w:val="24"/>
          <w:szCs w:val="24"/>
          <w:highlight w:val="none"/>
        </w:rPr>
        <w:t>（2）评标</w:t>
      </w:r>
      <w:r>
        <w:rPr>
          <w:rFonts w:hint="eastAsia" w:ascii="仿宋" w:hAnsi="仿宋" w:eastAsia="仿宋" w:cs="仿宋"/>
          <w:spacing w:val="-2"/>
          <w:sz w:val="24"/>
          <w:szCs w:val="24"/>
          <w:highlight w:val="none"/>
        </w:rPr>
        <w:t>应当根据招标文件规定的评标标准和方法，对投标文件进行系统地评审和比较,招标文件中没有规定的标准和方法不得作为评标的依据。</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（3）①根据《政府采购促进中小企业发展暂行办法》（财库[2011]181号）、《财政部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spacing w:val="-2"/>
          <w:sz w:val="24"/>
          <w:szCs w:val="24"/>
          <w:highlight w:val="none"/>
          <w:lang w:val="en-US" w:eastAsia="zh-CN"/>
        </w:rPr>
        <w:t>6</w:t>
      </w:r>
      <w:r>
        <w:rPr>
          <w:rFonts w:hint="eastAsia" w:ascii="仿宋" w:hAnsi="仿宋" w:eastAsia="仿宋" w:cs="仿宋"/>
          <w:spacing w:val="-2"/>
          <w:sz w:val="24"/>
          <w:szCs w:val="24"/>
          <w:highlight w:val="none"/>
        </w:rPr>
        <w:t>%后参与评审。对于同时属于小微企业、监狱企业或残疾人福利性单位的，不重复进行投标报价扣除。</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 xml:space="preserve">注：小型、微型企业资格证明文件 </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提供</w:t>
      </w:r>
      <w:r>
        <w:rPr>
          <w:rFonts w:hint="eastAsia" w:ascii="仿宋" w:hAnsi="仿宋" w:eastAsia="仿宋" w:cs="仿宋"/>
          <w:spacing w:val="-2"/>
          <w:sz w:val="24"/>
          <w:szCs w:val="24"/>
          <w:highlight w:val="none"/>
          <w:lang w:val="en-US" w:eastAsia="zh-CN"/>
        </w:rPr>
        <w:t xml:space="preserve">供应商工商行政注册地管理部门出具的小微企业证明材料；所代理产品生产厂家的属地主管部门出具的小微企业证明材料；证明材料加盖供应商公章。 </w:t>
      </w:r>
    </w:p>
    <w:p>
      <w:pPr>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其他证明文件</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证明文件内容自定，并需加盖证明单位的公章。其中内容应能充分 反映出：根据《工业和信息化部、国家统计局、国家发展和改革委员会、财政部关于印发中 小企业划型标准规定的通知》（工信部联企业[2011]300 号）中的相关规定，该企业属于小 型、或微型企业，并提供相关证明资料。</w:t>
      </w:r>
      <w:r>
        <w:rPr>
          <w:rFonts w:hint="eastAsia" w:ascii="仿宋" w:hAnsi="仿宋" w:eastAsia="仿宋" w:cs="仿宋"/>
          <w:spacing w:val="-2"/>
          <w:sz w:val="24"/>
          <w:szCs w:val="24"/>
          <w:highlight w:val="none"/>
          <w:lang w:eastAsia="zh-CN"/>
        </w:rPr>
        <w:t>】</w:t>
      </w:r>
    </w:p>
    <w:p>
      <w:pPr>
        <w:pStyle w:val="7"/>
        <w:widowControl w:val="0"/>
        <w:wordWrap/>
        <w:adjustRightInd/>
        <w:snapToGrid/>
        <w:spacing w:before="0" w:line="360" w:lineRule="exact"/>
        <w:ind w:left="-61" w:leftChars="-29" w:firstLine="531" w:firstLineChars="225"/>
        <w:textAlignment w:val="auto"/>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sz w:val="24"/>
          <w:szCs w:val="24"/>
          <w:highlight w:val="none"/>
          <w:lang w:val="en-US" w:eastAsia="zh-CN"/>
        </w:rPr>
        <w:t>②</w:t>
      </w:r>
      <w:r>
        <w:rPr>
          <w:rFonts w:hint="eastAsia" w:ascii="仿宋" w:hAnsi="仿宋" w:eastAsia="仿宋" w:cs="仿宋"/>
          <w:spacing w:val="-2"/>
          <w:kern w:val="2"/>
          <w:sz w:val="24"/>
          <w:szCs w:val="24"/>
          <w:highlight w:val="none"/>
          <w:lang w:val="en-US" w:eastAsia="zh-CN" w:bidi="ar-SA"/>
        </w:rPr>
        <w:t>投标人所投产品如被列入财政部与国家主管部门颁发的节能产品品目或环境标志产品品目或无线局域网产品品目，应提供相关证明，在评标时予以优先采购，具体优惠措施为：每有一项产品为政府采购节能产品（不包括强制节能产品）或环境标志产品得0.5分（如果两者皆是得1分），最多得1分（投标人须提供政府采购主管部门颁布的有效政府采购节能产品或环境标志产品政府采购品目清单的投标产品所在页的复印件并加盖公章，否则不予考虑）。</w:t>
      </w:r>
    </w:p>
    <w:p>
      <w:pPr>
        <w:widowControl/>
        <w:jc w:val="left"/>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若响应文件中无上述证明文件，则在评审时不考虑对该小、微企业的相关优惠。</w:t>
      </w:r>
    </w:p>
    <w:p>
      <w:pPr>
        <w:ind w:firstLine="472" w:firstLineChars="200"/>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2.2　评标方法</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（1）本次评标采用综合评分法。即投标文件能够最大限度的满足招标文件规定的各项综合评价标准且经评审得分最高的投标人为中标候选人的评标方法，不以最低价为中标的主要依据。</w:t>
      </w:r>
    </w:p>
    <w:p>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多家投标人提供的核心产品品牌均相同时，通过资格审查、符合性审查的投标人按一家投标人计算，评审后得分最高的同品牌投标人获得中标人推荐资格，评审得分相同的，按投标报价排列，报价最低的投标人获得中标人推荐资格；得分与投标报价均相同的，按技术指标优劣排列，技术得分最高的投标人获得中标人推荐资格。其他同品牌投标人不作为中标候选人。</w:t>
      </w:r>
    </w:p>
    <w:p>
      <w:pPr>
        <w:pStyle w:val="26"/>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kern w:val="2"/>
          <w:sz w:val="24"/>
          <w:szCs w:val="24"/>
          <w:highlight w:val="none"/>
          <w:lang w:val="en-US" w:eastAsia="zh-CN" w:bidi="ar-SA"/>
        </w:rPr>
        <w:t>3）采用综合评标法，则：综合得分相同，按报价由低向高依次排序。</w:t>
      </w:r>
    </w:p>
    <w:p>
      <w:pPr>
        <w:pStyle w:val="26"/>
        <w:rPr>
          <w:rFonts w:hint="eastAsia" w:ascii="仿宋" w:hAnsi="仿宋" w:eastAsia="仿宋" w:cs="仿宋"/>
          <w:sz w:val="24"/>
          <w:szCs w:val="24"/>
        </w:rPr>
      </w:pPr>
    </w:p>
    <w:p>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评分指标分配（按100分计算，报价得分占30分，技术和商务得分占70分）</w:t>
      </w:r>
    </w:p>
    <w:p>
      <w:pPr>
        <w:jc w:val="center"/>
        <w:rPr>
          <w:rFonts w:hint="eastAsia" w:ascii="仿宋" w:hAnsi="仿宋" w:eastAsia="仿宋" w:cs="仿宋"/>
          <w:b/>
          <w:bCs/>
          <w:color w:val="000000"/>
          <w:sz w:val="24"/>
          <w:szCs w:val="24"/>
        </w:rPr>
      </w:pPr>
    </w:p>
    <w:tbl>
      <w:tblPr>
        <w:tblStyle w:val="20"/>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546"/>
        <w:gridCol w:w="589"/>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77" w:type="dxa"/>
            <w:vAlign w:val="center"/>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分项</w:t>
            </w:r>
          </w:p>
        </w:tc>
        <w:tc>
          <w:tcPr>
            <w:tcW w:w="1546" w:type="dxa"/>
            <w:vAlign w:val="center"/>
          </w:tcPr>
          <w:p>
            <w:pPr>
              <w:rPr>
                <w:rFonts w:hint="eastAsia" w:ascii="仿宋" w:hAnsi="仿宋" w:eastAsia="仿宋" w:cs="仿宋"/>
                <w:color w:val="000000"/>
                <w:sz w:val="24"/>
                <w:szCs w:val="24"/>
              </w:rPr>
            </w:pPr>
            <w:r>
              <w:rPr>
                <w:rFonts w:hint="eastAsia" w:ascii="仿宋" w:hAnsi="仿宋" w:eastAsia="仿宋" w:cs="仿宋"/>
                <w:color w:val="auto"/>
                <w:kern w:val="2"/>
                <w:sz w:val="24"/>
                <w:szCs w:val="24"/>
              </w:rPr>
              <w:t>评分内容</w:t>
            </w:r>
          </w:p>
        </w:tc>
        <w:tc>
          <w:tcPr>
            <w:tcW w:w="589"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分值</w:t>
            </w:r>
          </w:p>
        </w:tc>
        <w:tc>
          <w:tcPr>
            <w:tcW w:w="7176" w:type="dxa"/>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评分</w:t>
            </w:r>
            <w:r>
              <w:rPr>
                <w:rFonts w:hint="eastAsia" w:ascii="仿宋" w:hAnsi="仿宋" w:eastAsia="仿宋" w:cs="仿宋"/>
                <w:color w:val="000000"/>
                <w:sz w:val="24"/>
                <w:szCs w:val="24"/>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77" w:type="dxa"/>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报价分</w:t>
            </w:r>
          </w:p>
        </w:tc>
        <w:tc>
          <w:tcPr>
            <w:tcW w:w="1546" w:type="dxa"/>
            <w:vAlign w:val="center"/>
          </w:tcPr>
          <w:p>
            <w:pPr>
              <w:ind w:firstLine="480" w:firstLineChars="2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报价分</w:t>
            </w:r>
          </w:p>
        </w:tc>
        <w:tc>
          <w:tcPr>
            <w:tcW w:w="589"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7176" w:type="dxa"/>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投标报价采用低价优先法计算而得，即满足采购文件要求且以最低的（最终）报价为基准价，其报价为满分。其他人的报价得分=（基准价/最终报价）×价格权值×100%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7" w:type="dxa"/>
            <w:vMerge w:val="restart"/>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技术部分</w:t>
            </w:r>
          </w:p>
        </w:tc>
        <w:tc>
          <w:tcPr>
            <w:tcW w:w="1546"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投标产品性能和质量</w:t>
            </w:r>
          </w:p>
        </w:tc>
        <w:tc>
          <w:tcPr>
            <w:tcW w:w="589"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7176" w:type="dxa"/>
            <w:vAlign w:val="center"/>
          </w:tcPr>
          <w:p>
            <w:pPr>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所投产品性能指标优于采购文件指标得30-26分；</w:t>
            </w:r>
          </w:p>
          <w:p>
            <w:pPr>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所投产品性能指标完全满足采购文件指标得25分；</w:t>
            </w:r>
          </w:p>
          <w:p>
            <w:pPr>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所投产品性能指标低于要求出现负偏离的一项指标扣 3分，（最高基准分25分，最低得分0分）。</w:t>
            </w:r>
          </w:p>
          <w:p>
            <w:pPr>
              <w:numPr>
                <w:ilvl w:val="0"/>
                <w:numId w:val="0"/>
              </w:numPr>
              <w:spacing w:line="360" w:lineRule="auto"/>
              <w:ind w:leftChars="0"/>
              <w:jc w:val="left"/>
              <w:rPr>
                <w:rFonts w:hint="eastAsia" w:ascii="仿宋" w:hAnsi="仿宋" w:eastAsia="仿宋" w:cs="仿宋"/>
                <w:sz w:val="24"/>
                <w:szCs w:val="24"/>
                <w:highlight w:val="none"/>
              </w:rPr>
            </w:pPr>
            <w:r>
              <w:rPr>
                <w:rFonts w:hint="eastAsia" w:ascii="仿宋" w:hAnsi="仿宋" w:eastAsia="仿宋" w:cs="仿宋"/>
                <w:b w:val="0"/>
                <w:bCs w:val="0"/>
                <w:color w:val="000000" w:themeColor="text1"/>
                <w:sz w:val="24"/>
                <w:szCs w:val="24"/>
                <w:highlight w:val="none"/>
                <w:lang w:val="en-US" w:eastAsia="zh-CN"/>
              </w:rPr>
              <w:t>（说明：以投标人提供响应招标文件的的国家法定检测机构出具的关于本次招标主要产品的检测报告中的检测结果数据及产品官方宣传彩页、产品说明书；空气消毒机：生产企业获得消毒产品生产企业卫生许可证, 具有国家云计算服务能力认证（三级及以上）证书，且在有效期内（原件或复印件加盖公章）。提供ISO14001环境管理体系认证和OHSAS18001职业健康安全管理体系认证, 提供ISO9001和ISO13485认证证书（原件或复印件加盖公章）。根据以上提供相关证明材料为依据进行评分）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77" w:type="dxa"/>
            <w:vMerge w:val="continue"/>
            <w:vAlign w:val="center"/>
          </w:tcPr>
          <w:p>
            <w:pPr>
              <w:rPr>
                <w:rFonts w:hint="eastAsia" w:ascii="仿宋" w:hAnsi="仿宋" w:eastAsia="仿宋" w:cs="仿宋"/>
                <w:sz w:val="24"/>
                <w:szCs w:val="24"/>
                <w:highlight w:val="none"/>
                <w:lang w:val="en-US" w:eastAsia="zh-CN"/>
              </w:rPr>
            </w:pPr>
          </w:p>
        </w:tc>
        <w:tc>
          <w:tcPr>
            <w:tcW w:w="1546" w:type="dxa"/>
            <w:vMerge w:val="restart"/>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所投产品设备符合性</w:t>
            </w:r>
          </w:p>
          <w:p>
            <w:pPr>
              <w:jc w:val="center"/>
              <w:rPr>
                <w:rFonts w:hint="eastAsia" w:ascii="仿宋" w:hAnsi="仿宋" w:eastAsia="仿宋" w:cs="仿宋"/>
                <w:sz w:val="24"/>
                <w:szCs w:val="24"/>
                <w:highlight w:val="none"/>
              </w:rPr>
            </w:pPr>
          </w:p>
        </w:tc>
        <w:tc>
          <w:tcPr>
            <w:tcW w:w="589"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176" w:type="dxa"/>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投标方所投主要产品能够与用户现有设备以及整个系统进行兼容得1-6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77" w:type="dxa"/>
            <w:vMerge w:val="continue"/>
            <w:vAlign w:val="center"/>
          </w:tcPr>
          <w:p>
            <w:pPr>
              <w:rPr>
                <w:rFonts w:hint="eastAsia" w:ascii="仿宋" w:hAnsi="仿宋" w:eastAsia="仿宋" w:cs="仿宋"/>
                <w:sz w:val="24"/>
                <w:szCs w:val="24"/>
                <w:highlight w:val="none"/>
                <w:lang w:val="en-US" w:eastAsia="zh-CN"/>
              </w:rPr>
            </w:pPr>
          </w:p>
        </w:tc>
        <w:tc>
          <w:tcPr>
            <w:tcW w:w="1546" w:type="dxa"/>
            <w:vMerge w:val="continue"/>
            <w:vAlign w:val="center"/>
          </w:tcPr>
          <w:p>
            <w:pPr>
              <w:jc w:val="center"/>
              <w:rPr>
                <w:rFonts w:hint="eastAsia" w:ascii="仿宋" w:hAnsi="仿宋" w:eastAsia="仿宋" w:cs="仿宋"/>
                <w:sz w:val="24"/>
                <w:szCs w:val="24"/>
                <w:highlight w:val="none"/>
              </w:rPr>
            </w:pPr>
          </w:p>
        </w:tc>
        <w:tc>
          <w:tcPr>
            <w:tcW w:w="589" w:type="dxa"/>
            <w:vMerge w:val="continue"/>
            <w:vAlign w:val="center"/>
          </w:tcPr>
          <w:p>
            <w:pPr>
              <w:jc w:val="center"/>
              <w:rPr>
                <w:rFonts w:hint="eastAsia" w:ascii="仿宋" w:hAnsi="仿宋" w:eastAsia="仿宋" w:cs="仿宋"/>
                <w:sz w:val="24"/>
                <w:szCs w:val="24"/>
                <w:highlight w:val="none"/>
                <w:lang w:val="en-US" w:eastAsia="zh-CN"/>
              </w:rPr>
            </w:pPr>
          </w:p>
        </w:tc>
        <w:tc>
          <w:tcPr>
            <w:tcW w:w="7176" w:type="dxa"/>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投标方在应标过程中应充分替用户考虑，在产品选型过程保证提供的设备满足用户对设备档次的需求。根据提供产品的档次情况进行综合对比打分，1-6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77" w:type="dxa"/>
            <w:vMerge w:val="continue"/>
            <w:vAlign w:val="center"/>
          </w:tcPr>
          <w:p>
            <w:pPr>
              <w:rPr>
                <w:rFonts w:hint="eastAsia" w:ascii="仿宋" w:hAnsi="仿宋" w:eastAsia="仿宋" w:cs="仿宋"/>
                <w:sz w:val="24"/>
                <w:szCs w:val="24"/>
                <w:highlight w:val="none"/>
              </w:rPr>
            </w:pPr>
          </w:p>
        </w:tc>
        <w:tc>
          <w:tcPr>
            <w:tcW w:w="1546"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质量保证措施</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1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措施具体、完善计</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分</w:t>
            </w:r>
            <w:r>
              <w:rPr>
                <w:rFonts w:hint="eastAsia" w:ascii="仿宋" w:hAnsi="仿宋" w:eastAsia="仿宋" w:cs="仿宋"/>
                <w:sz w:val="24"/>
                <w:szCs w:val="24"/>
                <w:highlight w:val="none"/>
              </w:rPr>
              <w:t>；措施可行计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3分</w:t>
            </w:r>
            <w:r>
              <w:rPr>
                <w:rFonts w:hint="eastAsia" w:ascii="仿宋" w:hAnsi="仿宋" w:eastAsia="仿宋" w:cs="仿宋"/>
                <w:sz w:val="24"/>
                <w:szCs w:val="24"/>
                <w:highlight w:val="none"/>
              </w:rPr>
              <w:t>；措施一般计 0-</w:t>
            </w:r>
            <w:r>
              <w:rPr>
                <w:rFonts w:hint="eastAsia" w:ascii="仿宋" w:hAnsi="仿宋" w:eastAsia="仿宋" w:cs="仿宋"/>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7" w:type="dxa"/>
            <w:vMerge w:val="continue"/>
            <w:vAlign w:val="center"/>
          </w:tcPr>
          <w:p>
            <w:pPr>
              <w:rPr>
                <w:rFonts w:hint="eastAsia" w:ascii="仿宋" w:hAnsi="仿宋" w:eastAsia="仿宋" w:cs="仿宋"/>
                <w:sz w:val="24"/>
                <w:szCs w:val="24"/>
                <w:highlight w:val="none"/>
                <w:lang w:val="en-US" w:eastAsia="zh-CN"/>
              </w:rPr>
            </w:pPr>
          </w:p>
        </w:tc>
        <w:tc>
          <w:tcPr>
            <w:tcW w:w="1546" w:type="dxa"/>
            <w:vAlign w:val="center"/>
          </w:tcPr>
          <w:p>
            <w:pPr>
              <w:jc w:val="center"/>
              <w:rPr>
                <w:rFonts w:hint="eastAsia" w:ascii="仿宋" w:hAnsi="仿宋" w:eastAsia="仿宋" w:cs="仿宋"/>
                <w:sz w:val="24"/>
                <w:szCs w:val="24"/>
                <w:highlight w:val="none"/>
              </w:rPr>
            </w:pPr>
            <w:r>
              <w:rPr>
                <w:rFonts w:hint="eastAsia" w:ascii="仿宋" w:hAnsi="仿宋" w:eastAsia="仿宋" w:cs="仿宋"/>
                <w:bCs/>
                <w:sz w:val="24"/>
                <w:szCs w:val="24"/>
              </w:rPr>
              <w:t>培训方案</w:t>
            </w:r>
          </w:p>
        </w:tc>
        <w:tc>
          <w:tcPr>
            <w:tcW w:w="589" w:type="dxa"/>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176" w:type="dxa"/>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为使用单位培训操作维护人员，并保证使用单位能熟练操作维护和正常使用投标产品：培训方案完善可行，得5分；培训方案一般，得3分；培训方案较差，得0分。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77" w:type="dxa"/>
            <w:vMerge w:val="restart"/>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商务要求</w:t>
            </w:r>
          </w:p>
        </w:tc>
        <w:tc>
          <w:tcPr>
            <w:tcW w:w="1546" w:type="dxa"/>
            <w:vMerge w:val="restart"/>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质保承诺、售后服务体系及服务情况</w:t>
            </w:r>
          </w:p>
          <w:p>
            <w:pPr>
              <w:jc w:val="left"/>
              <w:rPr>
                <w:rFonts w:hint="eastAsia" w:ascii="仿宋" w:hAnsi="仿宋" w:eastAsia="仿宋" w:cs="仿宋"/>
                <w:sz w:val="24"/>
                <w:szCs w:val="24"/>
                <w:highlight w:val="none"/>
              </w:rPr>
            </w:pPr>
          </w:p>
        </w:tc>
        <w:tc>
          <w:tcPr>
            <w:tcW w:w="589" w:type="dxa"/>
            <w:vMerge w:val="restart"/>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176" w:type="dxa"/>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售后服务详述、维修、培训以及售后服务联系人、联系方式等详述方案和售后服务承诺</w:t>
            </w:r>
            <w:r>
              <w:rPr>
                <w:rFonts w:hint="eastAsia" w:ascii="仿宋" w:hAnsi="仿宋" w:eastAsia="仿宋" w:cs="仿宋"/>
                <w:sz w:val="24"/>
                <w:szCs w:val="24"/>
                <w:highlight w:val="none"/>
              </w:rPr>
              <w:t>完善、明确、可行性强计</w:t>
            </w:r>
            <w:r>
              <w:rPr>
                <w:rFonts w:hint="eastAsia" w:ascii="仿宋" w:hAnsi="仿宋" w:eastAsia="仿宋" w:cs="仿宋"/>
                <w:sz w:val="24"/>
                <w:szCs w:val="24"/>
                <w:highlight w:val="none"/>
                <w:lang w:val="en-US" w:eastAsia="zh-CN"/>
              </w:rPr>
              <w:t>7-9分</w:t>
            </w:r>
            <w:r>
              <w:rPr>
                <w:rFonts w:hint="eastAsia" w:ascii="仿宋" w:hAnsi="仿宋" w:eastAsia="仿宋" w:cs="仿宋"/>
                <w:sz w:val="24"/>
                <w:szCs w:val="24"/>
                <w:highlight w:val="none"/>
              </w:rPr>
              <w:t>；服务措施一般、可行计</w:t>
            </w:r>
            <w:r>
              <w:rPr>
                <w:rFonts w:hint="eastAsia" w:ascii="仿宋" w:hAnsi="仿宋" w:eastAsia="仿宋" w:cs="仿宋"/>
                <w:sz w:val="24"/>
                <w:szCs w:val="24"/>
                <w:highlight w:val="none"/>
                <w:lang w:val="en-US" w:eastAsia="zh-CN"/>
              </w:rPr>
              <w:t>4-6分</w:t>
            </w:r>
            <w:r>
              <w:rPr>
                <w:rFonts w:hint="eastAsia" w:ascii="仿宋" w:hAnsi="仿宋" w:eastAsia="仿宋" w:cs="仿宋"/>
                <w:sz w:val="24"/>
                <w:szCs w:val="24"/>
                <w:highlight w:val="none"/>
              </w:rPr>
              <w:t xml:space="preserve">；服务措施有，但不完善计 </w:t>
            </w:r>
            <w:r>
              <w:rPr>
                <w:rFonts w:hint="eastAsia" w:ascii="仿宋" w:hAnsi="仿宋" w:eastAsia="仿宋" w:cs="仿宋"/>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7" w:type="dxa"/>
            <w:vMerge w:val="continue"/>
            <w:vAlign w:val="center"/>
          </w:tcPr>
          <w:p>
            <w:pPr>
              <w:rPr>
                <w:rFonts w:hint="eastAsia" w:ascii="仿宋" w:hAnsi="仿宋" w:eastAsia="仿宋" w:cs="仿宋"/>
                <w:sz w:val="24"/>
                <w:szCs w:val="24"/>
                <w:highlight w:val="none"/>
                <w:lang w:val="en-US" w:eastAsia="zh-CN"/>
              </w:rPr>
            </w:pPr>
          </w:p>
        </w:tc>
        <w:tc>
          <w:tcPr>
            <w:tcW w:w="1546" w:type="dxa"/>
            <w:vMerge w:val="continue"/>
            <w:vAlign w:val="center"/>
          </w:tcPr>
          <w:p>
            <w:pPr>
              <w:jc w:val="left"/>
              <w:rPr>
                <w:rFonts w:hint="eastAsia" w:ascii="仿宋" w:hAnsi="仿宋" w:eastAsia="仿宋" w:cs="仿宋"/>
                <w:sz w:val="24"/>
                <w:szCs w:val="24"/>
                <w:highlight w:val="none"/>
              </w:rPr>
            </w:pPr>
          </w:p>
        </w:tc>
        <w:tc>
          <w:tcPr>
            <w:tcW w:w="589" w:type="dxa"/>
            <w:vMerge w:val="continue"/>
            <w:vAlign w:val="center"/>
          </w:tcPr>
          <w:p>
            <w:pPr>
              <w:jc w:val="center"/>
              <w:rPr>
                <w:rFonts w:hint="eastAsia" w:ascii="仿宋" w:hAnsi="仿宋" w:eastAsia="仿宋" w:cs="仿宋"/>
                <w:sz w:val="24"/>
                <w:szCs w:val="24"/>
                <w:highlight w:val="none"/>
                <w:lang w:val="en-US" w:eastAsia="zh-CN"/>
              </w:rPr>
            </w:pPr>
          </w:p>
        </w:tc>
        <w:tc>
          <w:tcPr>
            <w:tcW w:w="7176" w:type="dxa"/>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投标文件中有明确售后服务体系，在疆内设有技术支持机构 并提供相关证明材料的得基本分 2分，在国内设有技术运营服务机构及</w:t>
            </w:r>
            <w:r>
              <w:rPr>
                <w:rFonts w:hint="eastAsia" w:ascii="仿宋" w:hAnsi="仿宋" w:eastAsia="仿宋" w:cs="仿宋"/>
                <w:sz w:val="24"/>
                <w:szCs w:val="24"/>
                <w:highlight w:val="none"/>
              </w:rPr>
              <w:t>有自己的维修配件的保税仓库</w:t>
            </w:r>
            <w:r>
              <w:rPr>
                <w:rFonts w:hint="eastAsia" w:ascii="仿宋" w:hAnsi="仿宋" w:eastAsia="仿宋" w:cs="仿宋"/>
                <w:sz w:val="24"/>
                <w:szCs w:val="24"/>
                <w:highlight w:val="none"/>
                <w:lang w:val="en-US" w:eastAsia="zh-CN"/>
              </w:rPr>
              <w:t>并提供相关证明材料的得 1 分。（需提供售后机构及房产租赁合同或房产证等证明材料复印件加盖公章，请携带原件以备评标委员会审查，无此项得 0 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77" w:type="dxa"/>
            <w:vMerge w:val="continue"/>
            <w:vAlign w:val="center"/>
          </w:tcPr>
          <w:p>
            <w:pPr>
              <w:rPr>
                <w:rFonts w:hint="eastAsia" w:ascii="仿宋" w:hAnsi="仿宋" w:eastAsia="仿宋" w:cs="仿宋"/>
                <w:sz w:val="24"/>
                <w:szCs w:val="24"/>
                <w:highlight w:val="none"/>
              </w:rPr>
            </w:pPr>
          </w:p>
        </w:tc>
        <w:tc>
          <w:tcPr>
            <w:tcW w:w="1546" w:type="dxa"/>
            <w:tcBorders>
              <w:top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近三年类似业绩</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1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所投设备近三年（2017年11月至今）中标业绩（附合同和中标通知书复印件)每项1分，最高不超过5分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7" w:type="dxa"/>
            <w:tcBorders>
              <w:bottom w:val="single" w:color="auto" w:sz="4" w:space="0"/>
            </w:tcBorders>
            <w:vAlign w:val="center"/>
          </w:tcPr>
          <w:p>
            <w:pPr>
              <w:rPr>
                <w:rFonts w:hint="eastAsia" w:ascii="仿宋" w:hAnsi="仿宋" w:eastAsia="仿宋" w:cs="仿宋"/>
                <w:sz w:val="24"/>
                <w:szCs w:val="24"/>
                <w:highlight w:val="none"/>
              </w:rPr>
            </w:pPr>
          </w:p>
        </w:tc>
        <w:tc>
          <w:tcPr>
            <w:tcW w:w="1546" w:type="dxa"/>
            <w:tcBorders>
              <w:top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 它 有 利 投 标 资料</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1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其它有利投标资料1分。 </w:t>
            </w:r>
          </w:p>
        </w:tc>
      </w:tr>
    </w:tbl>
    <w:p>
      <w:pPr>
        <w:ind w:firstLine="480" w:firstLineChars="200"/>
        <w:rPr>
          <w:rFonts w:hint="eastAsia" w:ascii="仿宋" w:hAnsi="仿宋" w:eastAsia="仿宋" w:cs="仿宋"/>
          <w:sz w:val="24"/>
          <w:szCs w:val="24"/>
          <w:highlight w:val="none"/>
        </w:rPr>
      </w:pPr>
    </w:p>
    <w:p>
      <w:pPr>
        <w:ind w:firstLine="474" w:firstLineChars="200"/>
        <w:rPr>
          <w:rFonts w:hint="eastAsia" w:ascii="仿宋" w:hAnsi="仿宋" w:eastAsia="仿宋" w:cs="仿宋"/>
          <w:b/>
          <w:spacing w:val="-2"/>
          <w:sz w:val="24"/>
          <w:szCs w:val="24"/>
          <w:highlight w:val="none"/>
        </w:rPr>
      </w:pPr>
      <w:bookmarkStart w:id="197" w:name="_Toc26813"/>
      <w:bookmarkStart w:id="198" w:name="_Toc11540"/>
      <w:bookmarkStart w:id="199" w:name="_Toc22312"/>
      <w:bookmarkStart w:id="200" w:name="_Toc5628"/>
      <w:bookmarkStart w:id="201" w:name="_Toc28461"/>
      <w:bookmarkStart w:id="202" w:name="_Toc4794"/>
      <w:bookmarkStart w:id="203" w:name="_Toc25927"/>
      <w:bookmarkStart w:id="204" w:name="_Toc5078"/>
      <w:bookmarkStart w:id="205" w:name="_Toc20341"/>
      <w:bookmarkStart w:id="206" w:name="_Toc19200"/>
      <w:bookmarkStart w:id="207" w:name="_Toc3030"/>
      <w:bookmarkStart w:id="208" w:name="_Toc31341"/>
      <w:bookmarkStart w:id="209" w:name="_Toc2370"/>
      <w:bookmarkStart w:id="210" w:name="_Toc22808"/>
      <w:bookmarkStart w:id="211" w:name="_Toc32113"/>
      <w:r>
        <w:rPr>
          <w:rFonts w:hint="eastAsia" w:ascii="仿宋" w:hAnsi="仿宋" w:eastAsia="仿宋" w:cs="仿宋"/>
          <w:b/>
          <w:spacing w:val="-2"/>
          <w:sz w:val="24"/>
          <w:szCs w:val="24"/>
          <w:highlight w:val="none"/>
        </w:rPr>
        <w:t>2.3  评标程序</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2.3.1投标文件初审</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z w:val="24"/>
          <w:szCs w:val="24"/>
          <w:highlight w:val="none"/>
        </w:rPr>
        <w:t>依据</w:t>
      </w:r>
      <w:r>
        <w:rPr>
          <w:rFonts w:hint="eastAsia" w:ascii="仿宋" w:hAnsi="仿宋" w:eastAsia="仿宋" w:cs="仿宋"/>
          <w:spacing w:val="-2"/>
          <w:sz w:val="24"/>
          <w:szCs w:val="24"/>
          <w:highlight w:val="none"/>
        </w:rPr>
        <w:t>招标文件的规定，从投标文件的有效性、完整性和对招标文件的响应程度进行审查，以确定是否对招标文件的实质性要求作出响应。</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（2）评标委员会判断投标文件的响应性仅基于投标文件本身而不靠外部证据。</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（3）评标委员会将拒绝被确定为非实质性响应的投标。投标人不能通过修正或撤消不符合之处而使其投标成为实质性响应的投标。</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2.3.2 投标文件的澄清</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为有助于对投标文件进行审查、评估和比较，采购单位组建的评标委员会将对认为需要（不是每一个）的投标人进行询标，请投标人澄清其投标内容。投标人有责任按照采购单位通知的时间、地点指派专人进行答疑和澄清，询标时投标人代表应对重要内容做出书面答复。</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（2）重要澄清的答复应是书面的，但不得对报价、技术指标和参数等内容进行实质性修改。澄清文件须由投标人法人代表或法人授权代表签字和（或）加盖采购单位公章并作为投标文件的组成部分。</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2.3.3 对投标文件的评估和比较</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（1）评标委员会将对实质性响应的投标文件进行评估和比较，除考虑投标价格外，应从以下方面予以评估和比较：</w:t>
      </w:r>
    </w:p>
    <w:p>
      <w:pPr>
        <w:ind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①</w:t>
      </w:r>
      <w:r>
        <w:rPr>
          <w:rFonts w:hint="eastAsia" w:ascii="仿宋" w:hAnsi="仿宋" w:eastAsia="仿宋" w:cs="仿宋"/>
          <w:sz w:val="24"/>
          <w:szCs w:val="24"/>
          <w:highlight w:val="none"/>
        </w:rPr>
        <w:t>投标产品性能和质量</w:t>
      </w:r>
      <w:r>
        <w:rPr>
          <w:rFonts w:hint="eastAsia" w:ascii="仿宋" w:hAnsi="仿宋" w:eastAsia="仿宋" w:cs="仿宋"/>
          <w:spacing w:val="-2"/>
          <w:sz w:val="24"/>
          <w:szCs w:val="24"/>
          <w:highlight w:val="none"/>
          <w:lang w:val="en-US" w:eastAsia="zh-CN"/>
        </w:rPr>
        <w:t>；</w:t>
      </w:r>
    </w:p>
    <w:p>
      <w:pPr>
        <w:ind w:firstLine="472" w:firstLineChars="200"/>
        <w:jc w:val="left"/>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②</w:t>
      </w:r>
      <w:r>
        <w:rPr>
          <w:rFonts w:hint="eastAsia" w:ascii="仿宋" w:hAnsi="仿宋" w:eastAsia="仿宋" w:cs="仿宋"/>
          <w:sz w:val="24"/>
          <w:szCs w:val="24"/>
          <w:highlight w:val="none"/>
          <w:lang w:val="en-US" w:eastAsia="zh-CN"/>
        </w:rPr>
        <w:t>所投产品设备符合性</w:t>
      </w:r>
      <w:r>
        <w:rPr>
          <w:rFonts w:hint="eastAsia" w:ascii="仿宋" w:hAnsi="仿宋" w:eastAsia="仿宋" w:cs="仿宋"/>
          <w:spacing w:val="-2"/>
          <w:sz w:val="24"/>
          <w:szCs w:val="24"/>
          <w:highlight w:val="none"/>
        </w:rPr>
        <w:t>；</w:t>
      </w:r>
    </w:p>
    <w:p>
      <w:pPr>
        <w:ind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③投标人为其所供货物提供零备件及售后服务的可能性及相关服务费用</w:t>
      </w:r>
      <w:r>
        <w:rPr>
          <w:rFonts w:hint="eastAsia" w:ascii="仿宋" w:hAnsi="仿宋" w:eastAsia="仿宋" w:cs="仿宋"/>
          <w:spacing w:val="-2"/>
          <w:sz w:val="24"/>
          <w:szCs w:val="24"/>
          <w:highlight w:val="none"/>
          <w:lang w:val="en-US" w:eastAsia="zh-CN"/>
        </w:rPr>
        <w:t>;</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④</w:t>
      </w:r>
      <w:r>
        <w:rPr>
          <w:rFonts w:hint="eastAsia" w:ascii="仿宋" w:hAnsi="仿宋" w:eastAsia="仿宋" w:cs="仿宋"/>
          <w:sz w:val="24"/>
          <w:szCs w:val="24"/>
          <w:highlight w:val="none"/>
        </w:rPr>
        <w:t>对采购文件响应情况</w:t>
      </w:r>
      <w:r>
        <w:rPr>
          <w:rFonts w:hint="eastAsia" w:ascii="仿宋" w:hAnsi="仿宋" w:eastAsia="仿宋" w:cs="仿宋"/>
          <w:spacing w:val="-2"/>
          <w:sz w:val="24"/>
          <w:szCs w:val="24"/>
          <w:highlight w:val="none"/>
          <w:lang w:val="en-US" w:eastAsia="zh-CN"/>
        </w:rPr>
        <w:t>、</w:t>
      </w:r>
      <w:r>
        <w:rPr>
          <w:rFonts w:hint="eastAsia" w:ascii="仿宋" w:hAnsi="仿宋" w:eastAsia="仿宋" w:cs="仿宋"/>
          <w:sz w:val="24"/>
          <w:szCs w:val="24"/>
          <w:highlight w:val="none"/>
        </w:rPr>
        <w:t>质量保证措施</w:t>
      </w:r>
      <w:r>
        <w:rPr>
          <w:rFonts w:hint="eastAsia" w:ascii="仿宋" w:hAnsi="仿宋" w:eastAsia="仿宋" w:cs="仿宋"/>
          <w:spacing w:val="-2"/>
          <w:sz w:val="24"/>
          <w:szCs w:val="24"/>
          <w:highlight w:val="none"/>
        </w:rPr>
        <w:t>；</w:t>
      </w:r>
    </w:p>
    <w:p>
      <w:pPr>
        <w:ind w:firstLine="472" w:firstLineChars="200"/>
        <w:jc w:val="left"/>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⑤</w:t>
      </w:r>
      <w:r>
        <w:rPr>
          <w:rFonts w:hint="eastAsia" w:ascii="仿宋" w:hAnsi="仿宋" w:eastAsia="仿宋" w:cs="仿宋"/>
          <w:sz w:val="24"/>
          <w:szCs w:val="24"/>
          <w:highlight w:val="none"/>
          <w:lang w:val="en-US" w:eastAsia="zh-CN"/>
        </w:rPr>
        <w:t>质保承诺、售后服务体系及服务情况</w:t>
      </w:r>
      <w:r>
        <w:rPr>
          <w:rFonts w:hint="eastAsia" w:ascii="仿宋" w:hAnsi="仿宋" w:eastAsia="仿宋" w:cs="仿宋"/>
          <w:spacing w:val="-2"/>
          <w:sz w:val="24"/>
          <w:szCs w:val="24"/>
          <w:highlight w:val="none"/>
        </w:rPr>
        <w:t>；</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⑥</w:t>
      </w:r>
      <w:r>
        <w:rPr>
          <w:rFonts w:hint="eastAsia" w:ascii="仿宋" w:hAnsi="仿宋" w:eastAsia="仿宋" w:cs="仿宋"/>
          <w:spacing w:val="-2"/>
          <w:sz w:val="24"/>
          <w:szCs w:val="24"/>
          <w:highlight w:val="none"/>
        </w:rPr>
        <w:t>企业的类似业绩；</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⑦</w:t>
      </w:r>
      <w:r>
        <w:rPr>
          <w:rFonts w:hint="eastAsia" w:ascii="仿宋" w:hAnsi="仿宋" w:eastAsia="仿宋" w:cs="仿宋"/>
          <w:spacing w:val="-2"/>
          <w:sz w:val="24"/>
          <w:szCs w:val="24"/>
          <w:highlight w:val="none"/>
        </w:rPr>
        <w:t>其他特殊要求因素（如节能、安全和环保等）。</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在评估和比较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（3）在评标过程中，评标委员会发现投标人以他人名义投标、串通投标、以行贿手段谋取中标或者以其他弄虚作假方式投标的，应该及时向招标方和现场监督部门报告。</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（4）投标人不得误导、干扰招标方的评标活动。</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（5）评标一般应当在开标后当日内完成。不能在当日完成的，招标人应当提前3天通知所有投标人。</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（6）在评标过程中，因有效投标不足三家使得投标明显缺乏竞争性时，按政府采购相关法规规定处理。</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（7）评标委员会根据全体评标成员签字的原始评标记录和评标结果编写评标报告。</w:t>
      </w:r>
    </w:p>
    <w:p>
      <w:pPr>
        <w:ind w:firstLine="474" w:firstLineChars="200"/>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2.4. 推荐中标候选供应商。</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2.5  评标过程的保密</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（2）投标人在评标过程中，所进行的力图影响评标结果的不符合《政府采购法》及本次招标有关规定的活动，将被取消中标资格。</w:t>
      </w:r>
    </w:p>
    <w:p>
      <w:pPr>
        <w:ind w:firstLine="474" w:firstLineChars="200"/>
        <w:rPr>
          <w:rFonts w:hint="eastAsia" w:ascii="仿宋" w:hAnsi="仿宋" w:eastAsia="仿宋" w:cs="仿宋"/>
          <w:b/>
          <w:color w:val="auto"/>
          <w:spacing w:val="-2"/>
          <w:sz w:val="24"/>
          <w:szCs w:val="24"/>
          <w:highlight w:val="none"/>
        </w:rPr>
      </w:pPr>
      <w:r>
        <w:rPr>
          <w:rFonts w:hint="eastAsia" w:ascii="仿宋" w:hAnsi="仿宋" w:eastAsia="仿宋" w:cs="仿宋"/>
          <w:b/>
          <w:color w:val="auto"/>
          <w:spacing w:val="-2"/>
          <w:sz w:val="24"/>
          <w:szCs w:val="24"/>
          <w:highlight w:val="none"/>
        </w:rPr>
        <w:t>3、中标</w:t>
      </w:r>
    </w:p>
    <w:p>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 中标确认</w:t>
      </w:r>
    </w:p>
    <w:p>
      <w:pPr>
        <w:ind w:firstLine="472"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pacing w:val="-2"/>
          <w:sz w:val="24"/>
          <w:szCs w:val="24"/>
          <w:highlight w:val="none"/>
        </w:rPr>
        <w:t>（1）</w:t>
      </w:r>
      <w:r>
        <w:rPr>
          <w:rFonts w:hint="eastAsia" w:ascii="仿宋" w:hAnsi="仿宋" w:eastAsia="仿宋" w:cs="仿宋"/>
          <w:b w:val="0"/>
          <w:bCs/>
          <w:color w:val="auto"/>
          <w:sz w:val="24"/>
          <w:szCs w:val="24"/>
          <w:highlight w:val="none"/>
        </w:rPr>
        <w:t>招标方在评标结束后将评标报告送采购人，采购人根据评标报告确定的中标候选人名单，出具《定标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pPr>
        <w:rPr>
          <w:rFonts w:hint="eastAsia" w:ascii="仿宋" w:hAnsi="仿宋" w:eastAsia="仿宋" w:cs="仿宋"/>
          <w:b w:val="0"/>
          <w:bCs/>
          <w:color w:val="auto"/>
          <w:spacing w:val="-2"/>
          <w:sz w:val="24"/>
          <w:szCs w:val="24"/>
          <w:highlight w:val="none"/>
        </w:rPr>
      </w:pPr>
      <w:r>
        <w:rPr>
          <w:rFonts w:hint="eastAsia" w:ascii="仿宋" w:hAnsi="仿宋" w:eastAsia="仿宋" w:cs="仿宋"/>
          <w:b w:val="0"/>
          <w:bCs/>
          <w:color w:val="auto"/>
          <w:sz w:val="24"/>
          <w:szCs w:val="24"/>
          <w:highlight w:val="none"/>
        </w:rPr>
        <w:t>　　（2）采购人或者招标方自中标人确定之日起</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个工作日内，在新疆政府采购网（http://www.ccgp-xinjiang.gov.cn/）上公告中标结果。</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 中标通知书</w:t>
      </w:r>
    </w:p>
    <w:p>
      <w:pPr>
        <w:ind w:firstLine="472" w:firstLineChars="20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（1）招标结束后，招标方将以书面形式发出《中标通知书》，《中标通知书》发出后因质疑或投诉引起的中标结果变更，发出的《中标通知书》将自动作废。</w:t>
      </w:r>
    </w:p>
    <w:p>
      <w:pPr>
        <w:ind w:firstLine="472" w:firstLineChars="200"/>
        <w:rPr>
          <w:rFonts w:hint="eastAsia" w:ascii="仿宋" w:hAnsi="仿宋" w:eastAsia="仿宋" w:cs="仿宋"/>
          <w:b/>
          <w:sz w:val="24"/>
          <w:szCs w:val="24"/>
          <w:highlight w:val="none"/>
        </w:rPr>
      </w:pPr>
      <w:r>
        <w:rPr>
          <w:rFonts w:hint="eastAsia" w:ascii="仿宋" w:hAnsi="仿宋" w:eastAsia="仿宋" w:cs="仿宋"/>
          <w:spacing w:val="-2"/>
          <w:sz w:val="24"/>
          <w:szCs w:val="24"/>
          <w:highlight w:val="none"/>
        </w:rPr>
        <w:t>（2）《中标通知书》将作为签订合同的依据，一经发出即发生法律效力。</w:t>
      </w:r>
    </w:p>
    <w:p>
      <w:pPr>
        <w:ind w:firstLine="480" w:firstLineChars="200"/>
        <w:rPr>
          <w:rFonts w:hint="eastAsia" w:ascii="仿宋_GB2312" w:hAnsi="Arial" w:eastAsia="仿宋_GB2312"/>
          <w:spacing w:val="-2"/>
          <w:sz w:val="24"/>
          <w:szCs w:val="24"/>
          <w:highlight w:val="none"/>
        </w:rPr>
      </w:pPr>
      <w:r>
        <w:rPr>
          <w:rFonts w:hint="eastAsia" w:ascii="宋体" w:hAnsi="宋体" w:eastAsia="宋体" w:cs="宋体"/>
          <w:color w:val="000000"/>
          <w:kern w:val="0"/>
          <w:sz w:val="24"/>
          <w:szCs w:val="24"/>
          <w:lang w:val="en-US" w:eastAsia="zh-CN"/>
        </w:rPr>
        <w:t>（3）</w:t>
      </w:r>
      <w:r>
        <w:rPr>
          <w:rFonts w:hint="eastAsia" w:ascii="仿宋_GB2312" w:hAnsi="Arial" w:eastAsia="仿宋_GB2312"/>
          <w:spacing w:val="-2"/>
          <w:sz w:val="24"/>
          <w:szCs w:val="24"/>
          <w:highlight w:val="none"/>
          <w:lang w:val="en-US" w:eastAsia="zh-CN"/>
        </w:rPr>
        <w:t>中标方在领取《中标通知书》时，必须按招标文件规定向招标代理机构缴纳招标代理服务费。</w:t>
      </w:r>
    </w:p>
    <w:p>
      <w:pPr>
        <w:rPr>
          <w:rFonts w:ascii="仿宋_GB2312" w:hAnsi="Arial" w:eastAsia="仿宋_GB2312" w:cs="Times New Roman"/>
          <w:spacing w:val="-2"/>
          <w:sz w:val="24"/>
          <w:szCs w:val="24"/>
          <w:highlight w:val="none"/>
        </w:rPr>
      </w:pPr>
    </w:p>
    <w:p>
      <w:pPr>
        <w:jc w:val="center"/>
        <w:rPr>
          <w:rFonts w:ascii="仿宋_GB2312" w:hAnsi="宋体" w:eastAsia="仿宋_GB2312" w:cs="Times New Roman"/>
          <w:b/>
          <w:sz w:val="18"/>
          <w:szCs w:val="18"/>
          <w:highlight w:val="none"/>
        </w:rPr>
      </w:pPr>
      <w:bookmarkStart w:id="212" w:name="_Toc21777"/>
      <w:bookmarkStart w:id="213" w:name="_Toc17675"/>
      <w:bookmarkStart w:id="214" w:name="_Toc26613"/>
      <w:bookmarkStart w:id="215" w:name="_Toc16214"/>
      <w:bookmarkStart w:id="216" w:name="_Toc28069"/>
      <w:bookmarkStart w:id="217" w:name="_Toc27758"/>
      <w:bookmarkStart w:id="218" w:name="_Toc25873"/>
      <w:bookmarkStart w:id="219" w:name="_Toc32107"/>
      <w:bookmarkStart w:id="220" w:name="_Toc25010"/>
      <w:bookmarkStart w:id="221" w:name="_Toc17820"/>
      <w:bookmarkStart w:id="222" w:name="_Toc10274"/>
      <w:bookmarkStart w:id="223" w:name="_Toc5002"/>
      <w:bookmarkStart w:id="224" w:name="_Toc4916"/>
      <w:bookmarkStart w:id="225" w:name="_Toc16601"/>
      <w:bookmarkStart w:id="226" w:name="_Toc8330"/>
      <w:r>
        <w:rPr>
          <w:rFonts w:hint="eastAsia" w:ascii="仿宋_GB2312" w:hAnsi="宋体" w:eastAsia="仿宋_GB2312" w:cs="Times New Roman"/>
          <w:b/>
          <w:sz w:val="32"/>
          <w:szCs w:val="32"/>
          <w:highlight w:val="none"/>
        </w:rPr>
        <w:t>第三章 无效投标及废标</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1、无效标</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1.1　无效投标的概念</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无效投标一般是指由于投标人所递交的单个投标文件，经审查不符合招标文件资格性、符合性的要求，从而导致评标委员会拒绝接受该投标文件。无效投标对其他投标人投标行为的有效性不直接产生影响，该招标项目可以继续进行。</w:t>
      </w:r>
    </w:p>
    <w:p>
      <w:pPr>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1.2  有下列情况之一的投标应作无效标处理：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（1）投标截止时间过后递交的投标文件；</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（2）应交未交投标保证金的；</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（3）不具备招标文件中规定资格要求的；</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（4）未提供《开标一览表》的；</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pacing w:val="15"/>
          <w:kern w:val="0"/>
          <w:sz w:val="24"/>
          <w:szCs w:val="24"/>
          <w:highlight w:val="none"/>
        </w:rPr>
        <w:t>投标文件未按照采购文件规定要求密封、签署、盖章的；</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（6）投标报价超过招标文件中规定的预算金额或最高限价的</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b/>
          <w:sz w:val="24"/>
          <w:szCs w:val="24"/>
          <w:highlight w:val="none"/>
        </w:rPr>
        <w:t>投标文件载明的采购项目完成期限超过招标文件规定期限的</w:t>
      </w:r>
      <w:r>
        <w:rPr>
          <w:rFonts w:hint="eastAsia" w:ascii="仿宋" w:hAnsi="仿宋" w:eastAsia="仿宋" w:cs="仿宋"/>
          <w:sz w:val="24"/>
          <w:szCs w:val="24"/>
          <w:highlight w:val="none"/>
        </w:rPr>
        <w:t>；</w:t>
      </w:r>
    </w:p>
    <w:p>
      <w:pPr>
        <w:tabs>
          <w:tab w:val="left" w:pos="126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（8）评标过程中拒绝澄清相关事宜和问题的；</w:t>
      </w:r>
    </w:p>
    <w:p>
      <w:pPr>
        <w:tabs>
          <w:tab w:val="left" w:pos="126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（9）投标文件不真实，有欺骗行为的；</w:t>
      </w:r>
    </w:p>
    <w:p>
      <w:pPr>
        <w:tabs>
          <w:tab w:val="left" w:pos="126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（10）投标文件含有采购人和</w:t>
      </w:r>
      <w:r>
        <w:rPr>
          <w:rFonts w:hint="eastAsia" w:ascii="仿宋" w:hAnsi="仿宋" w:eastAsia="仿宋" w:cs="仿宋"/>
          <w:bCs/>
          <w:sz w:val="24"/>
          <w:szCs w:val="24"/>
          <w:highlight w:val="none"/>
        </w:rPr>
        <w:t>采购代理机构</w:t>
      </w:r>
      <w:r>
        <w:rPr>
          <w:rFonts w:hint="eastAsia" w:ascii="仿宋" w:hAnsi="仿宋" w:eastAsia="仿宋" w:cs="仿宋"/>
          <w:sz w:val="24"/>
          <w:szCs w:val="24"/>
          <w:highlight w:val="none"/>
        </w:rPr>
        <w:t>不能接受的附加条件的；</w:t>
      </w:r>
    </w:p>
    <w:p>
      <w:pPr>
        <w:tabs>
          <w:tab w:val="left" w:pos="126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（11）不符合</w:t>
      </w:r>
      <w:r>
        <w:rPr>
          <w:rFonts w:hint="eastAsia" w:ascii="仿宋" w:hAnsi="仿宋" w:eastAsia="仿宋" w:cs="仿宋"/>
          <w:sz w:val="24"/>
          <w:szCs w:val="24"/>
          <w:highlight w:val="none"/>
          <w:lang w:val="en-US" w:eastAsia="zh-CN"/>
        </w:rPr>
        <w:t>招</w:t>
      </w:r>
      <w:r>
        <w:rPr>
          <w:rFonts w:hint="eastAsia" w:ascii="仿宋" w:hAnsi="仿宋" w:eastAsia="仿宋" w:cs="仿宋"/>
          <w:sz w:val="24"/>
          <w:szCs w:val="24"/>
          <w:highlight w:val="none"/>
        </w:rPr>
        <w:t>标文件规定的其他实质性要求的；</w:t>
      </w:r>
    </w:p>
    <w:p>
      <w:pPr>
        <w:tabs>
          <w:tab w:val="left" w:pos="1260"/>
        </w:tabs>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2、废标</w:t>
      </w:r>
    </w:p>
    <w:p>
      <w:pPr>
        <w:tabs>
          <w:tab w:val="left" w:pos="1260"/>
        </w:tabs>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  废标的概念</w:t>
      </w:r>
    </w:p>
    <w:p>
      <w:pPr>
        <w:tabs>
          <w:tab w:val="left" w:pos="126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废标一般是指由于投标人所递交的所有投标文件，经评标委员会审查，在合格投标文件的数量、投标报价、招标过程的公正性上不符合法律的规定，从而导致评标委员会拒绝接受所有投标文件。废标对所有投标人的投标行为都直接产生影响，标志着该招标项目立即终止，需要重新招标或改用其他采购方式。</w:t>
      </w:r>
    </w:p>
    <w:p>
      <w:pPr>
        <w:tabs>
          <w:tab w:val="left" w:pos="1260"/>
        </w:tabs>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2.2  有下列情形之一的应予以废标</w:t>
      </w:r>
      <w:r>
        <w:rPr>
          <w:rFonts w:hint="eastAsia" w:ascii="仿宋" w:hAnsi="仿宋" w:eastAsia="仿宋" w:cs="仿宋"/>
          <w:sz w:val="24"/>
          <w:szCs w:val="24"/>
          <w:highlight w:val="none"/>
        </w:rPr>
        <w:t>：</w:t>
      </w:r>
    </w:p>
    <w:p>
      <w:pPr>
        <w:tabs>
          <w:tab w:val="left" w:pos="126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(1)出现影响采购公正的违法、违规行为的；</w:t>
      </w:r>
    </w:p>
    <w:p>
      <w:pPr>
        <w:tabs>
          <w:tab w:val="left" w:pos="1260"/>
        </w:tabs>
        <w:ind w:firstLine="480" w:firstLineChars="200"/>
        <w:rPr>
          <w:rFonts w:ascii="仿宋_GB2312" w:hAnsi="宋体" w:eastAsia="仿宋_GB2312" w:cs="Times New Roman"/>
          <w:sz w:val="24"/>
          <w:szCs w:val="20"/>
          <w:highlight w:val="none"/>
        </w:rPr>
      </w:pPr>
      <w:r>
        <w:rPr>
          <w:rFonts w:hint="eastAsia" w:ascii="仿宋" w:hAnsi="仿宋" w:eastAsia="仿宋" w:cs="仿宋"/>
          <w:sz w:val="24"/>
          <w:szCs w:val="24"/>
          <w:highlight w:val="none"/>
        </w:rPr>
        <w:t>(2)投标人的报价均超过了采购预算，且采购</w:t>
      </w:r>
      <w:r>
        <w:rPr>
          <w:rFonts w:hint="eastAsia" w:ascii="仿宋_GB2312" w:hAnsi="宋体" w:eastAsia="仿宋_GB2312" w:cs="Times New Roman"/>
          <w:sz w:val="24"/>
          <w:szCs w:val="20"/>
          <w:highlight w:val="none"/>
        </w:rPr>
        <w:t>人不能支付的；</w:t>
      </w:r>
    </w:p>
    <w:p>
      <w:pPr>
        <w:tabs>
          <w:tab w:val="left" w:pos="1260"/>
        </w:tabs>
        <w:ind w:firstLine="480" w:firstLineChars="200"/>
        <w:rPr>
          <w:rFonts w:ascii="宋体" w:hAnsi="宋体" w:eastAsia="宋体" w:cs="Times New Roman"/>
          <w:b/>
          <w:sz w:val="36"/>
          <w:szCs w:val="36"/>
          <w:highlight w:val="none"/>
        </w:rPr>
      </w:pPr>
      <w:r>
        <w:rPr>
          <w:rFonts w:hint="eastAsia" w:ascii="仿宋_GB2312" w:hAnsi="宋体" w:eastAsia="仿宋_GB2312" w:cs="Times New Roman"/>
          <w:sz w:val="24"/>
          <w:szCs w:val="20"/>
          <w:highlight w:val="none"/>
        </w:rPr>
        <w:t>(3)因重大变故，采购任务取消的。</w:t>
      </w:r>
      <w:bookmarkStart w:id="227" w:name="_Toc30979"/>
      <w:bookmarkStart w:id="228" w:name="_Toc28963"/>
      <w:bookmarkStart w:id="229" w:name="_Toc8279"/>
      <w:bookmarkStart w:id="230" w:name="_Toc24361"/>
      <w:bookmarkStart w:id="231" w:name="_Toc672"/>
      <w:bookmarkStart w:id="232" w:name="_Toc19746"/>
      <w:bookmarkStart w:id="233" w:name="_Toc9812"/>
      <w:bookmarkStart w:id="234" w:name="_Toc24166"/>
      <w:bookmarkStart w:id="235" w:name="_Toc20299"/>
      <w:bookmarkStart w:id="236" w:name="_Toc12063"/>
      <w:bookmarkStart w:id="237" w:name="_Toc2991"/>
      <w:bookmarkStart w:id="238" w:name="_Toc20557"/>
      <w:bookmarkStart w:id="239" w:name="_Toc30692"/>
      <w:bookmarkStart w:id="240" w:name="_Toc9258"/>
      <w:bookmarkStart w:id="241" w:name="_Toc9991"/>
    </w:p>
    <w:p>
      <w:pPr>
        <w:tabs>
          <w:tab w:val="left" w:pos="1260"/>
        </w:tabs>
        <w:jc w:val="center"/>
        <w:rPr>
          <w:rFonts w:hint="eastAsia" w:ascii="宋体" w:hAnsi="宋体" w:eastAsia="宋体" w:cs="Times New Roman"/>
          <w:b/>
          <w:sz w:val="36"/>
          <w:szCs w:val="36"/>
          <w:highlight w:val="none"/>
        </w:rPr>
      </w:pPr>
    </w:p>
    <w:p>
      <w:pPr>
        <w:tabs>
          <w:tab w:val="left" w:pos="1260"/>
        </w:tabs>
        <w:jc w:val="center"/>
        <w:rPr>
          <w:rFonts w:ascii="宋体" w:hAnsi="宋体" w:eastAsia="宋体" w:cs="Times New Roman"/>
          <w:b/>
          <w:sz w:val="36"/>
          <w:szCs w:val="36"/>
          <w:highlight w:val="none"/>
        </w:rPr>
      </w:pPr>
      <w:r>
        <w:rPr>
          <w:rFonts w:hint="eastAsia" w:ascii="宋体" w:hAnsi="宋体" w:eastAsia="宋体" w:cs="Times New Roman"/>
          <w:b/>
          <w:sz w:val="36"/>
          <w:szCs w:val="36"/>
          <w:highlight w:val="none"/>
        </w:rPr>
        <w:t>第六部分  招标结束后注意事项</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napToGrid w:val="0"/>
        <w:jc w:val="center"/>
        <w:outlineLvl w:val="1"/>
        <w:rPr>
          <w:rFonts w:ascii="仿宋_GB2312" w:hAnsi="宋体" w:eastAsia="仿宋_GB2312" w:cs="Times New Roman"/>
          <w:b/>
          <w:bCs/>
          <w:sz w:val="32"/>
          <w:szCs w:val="32"/>
          <w:highlight w:val="none"/>
        </w:rPr>
      </w:pPr>
      <w:bookmarkStart w:id="242" w:name="_Toc5215"/>
      <w:bookmarkStart w:id="243" w:name="_Toc13509"/>
      <w:bookmarkStart w:id="244" w:name="_Toc22904"/>
      <w:bookmarkStart w:id="245" w:name="_Toc518"/>
      <w:bookmarkStart w:id="246" w:name="_Toc11066"/>
      <w:bookmarkStart w:id="247" w:name="_Toc28495"/>
      <w:bookmarkStart w:id="248" w:name="_Toc22243"/>
      <w:bookmarkStart w:id="249" w:name="_Toc25057"/>
      <w:bookmarkStart w:id="250" w:name="_Toc7368"/>
      <w:bookmarkStart w:id="251" w:name="_Toc3444"/>
      <w:bookmarkStart w:id="252" w:name="_Toc15299"/>
      <w:bookmarkStart w:id="253" w:name="_Toc3688"/>
      <w:bookmarkStart w:id="254" w:name="_Toc7360"/>
      <w:bookmarkStart w:id="255" w:name="_Toc25464"/>
      <w:bookmarkStart w:id="256" w:name="_Toc11531"/>
      <w:bookmarkStart w:id="257" w:name="_Toc25297"/>
      <w:bookmarkStart w:id="258" w:name="_Toc2328"/>
      <w:bookmarkStart w:id="259" w:name="_Toc13503"/>
      <w:bookmarkStart w:id="260" w:name="_Toc19351"/>
      <w:r>
        <w:rPr>
          <w:rFonts w:hint="eastAsia" w:ascii="仿宋_GB2312" w:hAnsi="宋体" w:eastAsia="仿宋_GB2312" w:cs="Times New Roman"/>
          <w:b/>
          <w:bCs/>
          <w:sz w:val="32"/>
          <w:szCs w:val="32"/>
          <w:highlight w:val="none"/>
        </w:rPr>
        <w:t>第一章 质疑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hint="eastAsia" w:ascii="仿宋_GB2312" w:hAnsi="宋体" w:eastAsia="仿宋_GB2312" w:cs="Times New Roman"/>
          <w:b/>
          <w:bCs/>
          <w:sz w:val="32"/>
          <w:szCs w:val="32"/>
          <w:highlight w:val="none"/>
        </w:rPr>
        <w:t>处理</w:t>
      </w:r>
      <w:bookmarkEnd w:id="257"/>
      <w:bookmarkEnd w:id="258"/>
      <w:bookmarkEnd w:id="259"/>
      <w:bookmarkEnd w:id="260"/>
    </w:p>
    <w:p>
      <w:pPr>
        <w:snapToGrid w:val="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1、质疑提出</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投标人认为招标过程或中标结果使自己的合法权益受到损害的，应当在知道或者应知其权益受到损害之日起七个工作日内，</w:t>
      </w:r>
      <w:r>
        <w:rPr>
          <w:rFonts w:hint="eastAsia" w:ascii="仿宋" w:hAnsi="仿宋" w:eastAsia="仿宋" w:cs="仿宋"/>
          <w:bCs/>
          <w:color w:val="auto"/>
          <w:sz w:val="24"/>
          <w:szCs w:val="24"/>
          <w:highlight w:val="none"/>
          <w:lang w:val="en-US" w:eastAsia="zh-CN"/>
        </w:rPr>
        <w:t>一次性对同一环节</w:t>
      </w:r>
      <w:r>
        <w:rPr>
          <w:rFonts w:hint="eastAsia" w:ascii="仿宋" w:hAnsi="仿宋" w:eastAsia="仿宋" w:cs="仿宋"/>
          <w:bCs/>
          <w:color w:val="auto"/>
          <w:sz w:val="24"/>
          <w:szCs w:val="24"/>
          <w:highlight w:val="none"/>
        </w:rPr>
        <w:t>以书面形式提出质疑。</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供应商提出质疑应当提交质疑函和必要的证明材料。质疑函应当包括下列内容：</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（一）供应商的姓名或者名称、地址、邮编、联系人及联系电话；</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（二）质疑项目的名称、编号；</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（三）具体、明确的质疑事项和与质疑事项相关的请求；</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（四）事实依据；</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（五）必要的法律依据；</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（六）提出质疑的日期。</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供应商为自然人的，应当由本人签字；供应商为法人或者其他组织的，应当由法定代表人、主要负责人，或者其授权代表签字或者盖章，并加盖公章。</w:t>
      </w:r>
    </w:p>
    <w:p>
      <w:pPr>
        <w:snapToGrid w:val="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质疑答复</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 采购人或采购代理机构应当在收到质疑函后7个工作日内作出答复，并以书面形式通知质疑供应商。</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 对招标组织程序、招标过程有质疑的由采购代理机构负责答复，对采购需求、评标结果有质疑的由采购人负责答复。</w:t>
      </w:r>
    </w:p>
    <w:p>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2.3 </w:t>
      </w:r>
      <w:r>
        <w:rPr>
          <w:rFonts w:hint="eastAsia" w:ascii="仿宋" w:hAnsi="仿宋" w:eastAsia="仿宋" w:cs="仿宋"/>
          <w:color w:val="auto"/>
          <w:sz w:val="24"/>
          <w:szCs w:val="24"/>
          <w:highlight w:val="none"/>
        </w:rPr>
        <w:t>投标人对采购人或</w:t>
      </w:r>
      <w:r>
        <w:rPr>
          <w:rFonts w:hint="eastAsia" w:ascii="仿宋" w:hAnsi="仿宋" w:eastAsia="仿宋" w:cs="仿宋"/>
          <w:color w:val="auto"/>
          <w:sz w:val="24"/>
          <w:szCs w:val="24"/>
          <w:highlight w:val="none"/>
          <w:lang w:val="en-US" w:eastAsia="zh-CN"/>
        </w:rPr>
        <w:t>招</w:t>
      </w:r>
      <w:r>
        <w:rPr>
          <w:rFonts w:hint="eastAsia" w:ascii="仿宋" w:hAnsi="仿宋" w:eastAsia="仿宋" w:cs="仿宋"/>
          <w:color w:val="auto"/>
          <w:sz w:val="24"/>
          <w:szCs w:val="24"/>
          <w:highlight w:val="none"/>
        </w:rPr>
        <w:t>标方未在规定时间内作出答复的或者对质疑答复不满意，可以在答复期满后十五个工作日内向同级采购监管部门投诉。</w:t>
      </w:r>
    </w:p>
    <w:p>
      <w:pPr>
        <w:snapToGrid w:val="0"/>
        <w:ind w:firstLine="480" w:firstLineChars="200"/>
        <w:rPr>
          <w:rFonts w:ascii="仿宋_GB2312" w:hAnsi="Courier New" w:eastAsia="仿宋_GB2312" w:cs="Times New Roman"/>
          <w:color w:val="auto"/>
          <w:sz w:val="24"/>
          <w:szCs w:val="24"/>
          <w:highlight w:val="none"/>
        </w:rPr>
      </w:pPr>
      <w:r>
        <w:rPr>
          <w:rFonts w:hint="eastAsia" w:ascii="仿宋" w:hAnsi="仿宋" w:eastAsia="仿宋" w:cs="仿宋"/>
          <w:color w:val="auto"/>
          <w:sz w:val="24"/>
          <w:szCs w:val="24"/>
          <w:highlight w:val="none"/>
        </w:rPr>
        <w:t>2.4  质疑、投诉应当采用书面形式，质疑书、投诉书均应明确招标过程或中标结果中使自己合法权益受到损害的</w:t>
      </w:r>
      <w:r>
        <w:rPr>
          <w:rFonts w:hint="eastAsia" w:ascii="仿宋_GB2312" w:hAnsi="Courier New" w:eastAsia="仿宋_GB2312" w:cs="Times New Roman"/>
          <w:color w:val="auto"/>
          <w:sz w:val="24"/>
          <w:szCs w:val="24"/>
          <w:highlight w:val="none"/>
        </w:rPr>
        <w:t>实质性内容，提供相关事实、依据和证据及其来源或线索，便于有关单位调查、答复和处理。</w:t>
      </w:r>
    </w:p>
    <w:p>
      <w:pPr>
        <w:jc w:val="center"/>
        <w:rPr>
          <w:rFonts w:ascii="仿宋_GB2312" w:hAnsi="Arial" w:eastAsia="仿宋_GB2312" w:cs="Times New Roman"/>
          <w:b/>
          <w:color w:val="auto"/>
          <w:sz w:val="32"/>
          <w:szCs w:val="32"/>
          <w:highlight w:val="none"/>
        </w:rPr>
      </w:pPr>
      <w:bookmarkStart w:id="261" w:name="_Toc21063"/>
      <w:bookmarkStart w:id="262" w:name="_Toc14025"/>
      <w:bookmarkStart w:id="263" w:name="_Toc15644"/>
      <w:bookmarkStart w:id="264" w:name="_Toc2726"/>
      <w:bookmarkStart w:id="265" w:name="_Toc31205"/>
      <w:bookmarkStart w:id="266" w:name="_Toc3081"/>
      <w:bookmarkStart w:id="267" w:name="_Toc17178"/>
      <w:bookmarkStart w:id="268" w:name="_Toc9693"/>
      <w:bookmarkStart w:id="269" w:name="_Toc10561"/>
      <w:bookmarkStart w:id="270" w:name="_Toc7296"/>
      <w:bookmarkStart w:id="271" w:name="_Toc13635"/>
      <w:bookmarkStart w:id="272" w:name="_Toc6419"/>
      <w:bookmarkStart w:id="273" w:name="_Toc11909"/>
      <w:bookmarkStart w:id="274" w:name="_Toc18572"/>
      <w:bookmarkStart w:id="275" w:name="_Toc6206"/>
      <w:r>
        <w:rPr>
          <w:rFonts w:hint="eastAsia" w:ascii="仿宋_GB2312" w:hAnsi="Arial" w:eastAsia="仿宋_GB2312" w:cs="Times New Roman"/>
          <w:b/>
          <w:color w:val="auto"/>
          <w:sz w:val="32"/>
          <w:szCs w:val="32"/>
          <w:highlight w:val="none"/>
        </w:rPr>
        <w:t xml:space="preserve">第二章 </w:t>
      </w:r>
      <w:bookmarkEnd w:id="261"/>
      <w:bookmarkEnd w:id="262"/>
      <w:bookmarkEnd w:id="263"/>
      <w:bookmarkEnd w:id="264"/>
      <w:bookmarkEnd w:id="265"/>
      <w:bookmarkEnd w:id="266"/>
      <w:bookmarkEnd w:id="267"/>
      <w:bookmarkEnd w:id="268"/>
      <w:bookmarkEnd w:id="269"/>
      <w:bookmarkEnd w:id="270"/>
      <w:bookmarkEnd w:id="271"/>
      <w:bookmarkEnd w:id="272"/>
      <w:r>
        <w:rPr>
          <w:rFonts w:hint="eastAsia" w:ascii="仿宋_GB2312" w:hAnsi="Arial" w:eastAsia="仿宋_GB2312" w:cs="Times New Roman"/>
          <w:b/>
          <w:color w:val="auto"/>
          <w:sz w:val="32"/>
          <w:szCs w:val="32"/>
          <w:highlight w:val="none"/>
        </w:rPr>
        <w:t>签订合同</w:t>
      </w:r>
      <w:bookmarkEnd w:id="273"/>
      <w:bookmarkEnd w:id="274"/>
      <w:bookmarkEnd w:id="275"/>
    </w:p>
    <w:p>
      <w:pPr>
        <w:ind w:firstLine="474" w:firstLineChars="200"/>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pacing w:val="-2"/>
          <w:sz w:val="24"/>
          <w:szCs w:val="24"/>
          <w:highlight w:val="none"/>
        </w:rPr>
        <w:t>1、签订合同</w:t>
      </w:r>
    </w:p>
    <w:p>
      <w:pPr>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1.1　中标人收到采购代理机构的《中标通知书》后30日内，按照招标文件和投标书中的约定与采购人签订书面合同，所签订的合同不得对招标文件和中标人的投标文件作实质性修改。采购人不得向中标人提出任何不合理的要求作为签订合同的条件。</w:t>
      </w:r>
    </w:p>
    <w:p>
      <w:pPr>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1.2采购合同应当包括采购人与中标人的名称和住所、标的、数量、质量、报酬、履行期限及地点和方式、违约责任、解决争议的方法等内容。</w:t>
      </w:r>
    </w:p>
    <w:p>
      <w:pPr>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1.3不允许中标人将中标项目分包或转交他人承担。特殊情况下，中标人必须经采购代理机构和采购人同意后，可将合同标的中的部分由第三方承担供货和服务责任，但中标方必须对合同标的的全部内容向采购人负责，并保证第三方提供的供货和服务符合招标文件的约定和投标文件的承诺及相关约定。</w:t>
      </w:r>
    </w:p>
    <w:p>
      <w:pPr>
        <w:ind w:firstLine="472" w:firstLineChars="2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1.4采购人与中标人应当根据合同的约定依法履行合同义务。</w:t>
      </w:r>
    </w:p>
    <w:p>
      <w:pPr>
        <w:ind w:firstLine="472" w:firstLineChars="200"/>
        <w:rPr>
          <w:rFonts w:hint="eastAsia" w:ascii="仿宋" w:hAnsi="仿宋" w:eastAsia="仿宋" w:cs="仿宋"/>
          <w:color w:val="auto"/>
          <w:sz w:val="24"/>
          <w:szCs w:val="20"/>
          <w:highlight w:val="none"/>
        </w:rPr>
      </w:pPr>
      <w:r>
        <w:rPr>
          <w:rFonts w:hint="eastAsia" w:ascii="仿宋" w:hAnsi="仿宋" w:eastAsia="仿宋" w:cs="仿宋"/>
          <w:color w:val="auto"/>
          <w:spacing w:val="-2"/>
          <w:sz w:val="24"/>
          <w:szCs w:val="24"/>
          <w:highlight w:val="none"/>
        </w:rPr>
        <w:t>1.5采购合同的履行、违约责任和解决争议的方法等适用《中华人民共和国合同法》。</w:t>
      </w:r>
    </w:p>
    <w:p>
      <w:pPr>
        <w:jc w:val="center"/>
        <w:rPr>
          <w:rFonts w:ascii="宋体" w:hAnsi="宋体" w:eastAsia="宋体" w:cs="Times New Roman"/>
          <w:b/>
          <w:sz w:val="24"/>
          <w:szCs w:val="24"/>
        </w:rPr>
      </w:pPr>
      <w:bookmarkStart w:id="276" w:name="_Toc28748"/>
      <w:bookmarkStart w:id="277" w:name="_Toc11969"/>
      <w:bookmarkStart w:id="278" w:name="_Toc7288"/>
      <w:bookmarkStart w:id="279" w:name="_Toc19626"/>
      <w:bookmarkStart w:id="280" w:name="_Toc15131"/>
      <w:bookmarkStart w:id="281" w:name="_Toc22702"/>
      <w:bookmarkStart w:id="282" w:name="_Toc9472"/>
      <w:bookmarkStart w:id="283" w:name="_Toc22825"/>
      <w:bookmarkStart w:id="284" w:name="_Toc1711"/>
      <w:bookmarkStart w:id="285" w:name="_Toc20692"/>
      <w:bookmarkStart w:id="286" w:name="_Toc9026"/>
      <w:bookmarkStart w:id="287" w:name="_Toc8133"/>
      <w:bookmarkStart w:id="288" w:name="_Toc1978"/>
      <w:bookmarkStart w:id="289" w:name="_Toc17272"/>
      <w:bookmarkStart w:id="290" w:name="_Toc6145"/>
      <w:r>
        <w:rPr>
          <w:rFonts w:hint="eastAsia" w:ascii="仿宋_GB2312" w:hAnsi="Arial" w:eastAsia="仿宋_GB2312" w:cs="Times New Roman"/>
          <w:b/>
          <w:sz w:val="32"/>
          <w:szCs w:val="32"/>
        </w:rPr>
        <w:t>第三章 项目验收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widowControl/>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交货、包装与</w:t>
      </w:r>
      <w:r>
        <w:rPr>
          <w:rFonts w:hint="eastAsia" w:ascii="仿宋" w:hAnsi="仿宋" w:eastAsia="仿宋" w:cs="仿宋"/>
          <w:b/>
          <w:bCs/>
          <w:sz w:val="24"/>
          <w:szCs w:val="24"/>
        </w:rPr>
        <w:t>组织验收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采购合同及投标承诺是采购项目验收的依据，是采购人和供应商之间的权利和义务。中标供应商、采购人应按照采购合同的约定，全面履行合同。任何一方当事人在履行合同过程中均不得擅自变更、中止或终止合同。 </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1.2  采购人应当成立验收小组,按照采购合同的约定对供应商履约情况进行验收。验收时,应当按照采购合同的约定对每一项技术、服务、安全标准的履约情况进行确认。</w:t>
      </w:r>
    </w:p>
    <w:p>
      <w:pPr>
        <w:widowControl/>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中标供应商</w:t>
      </w:r>
      <w:r>
        <w:rPr>
          <w:rFonts w:hint="eastAsia" w:ascii="仿宋" w:hAnsi="仿宋" w:eastAsia="仿宋" w:cs="仿宋"/>
          <w:sz w:val="24"/>
          <w:szCs w:val="24"/>
          <w:lang w:val="en-US" w:eastAsia="zh-CN"/>
        </w:rPr>
        <w:t>所提供货物品种、数量、质量不符合国家法律法规和本合同规定的，采购人有权拒收，由</w:t>
      </w:r>
      <w:r>
        <w:rPr>
          <w:rFonts w:hint="eastAsia" w:ascii="仿宋" w:hAnsi="仿宋" w:eastAsia="仿宋" w:cs="仿宋"/>
          <w:sz w:val="24"/>
          <w:szCs w:val="24"/>
        </w:rPr>
        <w:t>中标供应商</w:t>
      </w:r>
      <w:r>
        <w:rPr>
          <w:rFonts w:hint="eastAsia" w:ascii="仿宋" w:hAnsi="仿宋" w:eastAsia="仿宋" w:cs="仿宋"/>
          <w:sz w:val="24"/>
          <w:szCs w:val="24"/>
          <w:lang w:val="en-US" w:eastAsia="zh-CN"/>
        </w:rPr>
        <w:t>负责包换或退货，并承担由此而支付的实际费用</w:t>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1.4货物包装应符合国家标准，以保证货物在运输过程中不受损伤。货物在运输或邮寄途中发 </w:t>
      </w:r>
    </w:p>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生毁损或丢失，由</w:t>
      </w:r>
      <w:r>
        <w:rPr>
          <w:rFonts w:hint="eastAsia" w:ascii="仿宋" w:hAnsi="仿宋" w:eastAsia="仿宋" w:cs="仿宋"/>
          <w:sz w:val="24"/>
          <w:szCs w:val="24"/>
        </w:rPr>
        <w:t>中标供应商</w:t>
      </w:r>
      <w:r>
        <w:rPr>
          <w:rFonts w:hint="eastAsia" w:ascii="仿宋" w:hAnsi="仿宋" w:eastAsia="仿宋" w:cs="仿宋"/>
          <w:sz w:val="24"/>
          <w:szCs w:val="24"/>
          <w:lang w:val="en-US" w:eastAsia="zh-CN"/>
        </w:rPr>
        <w:t xml:space="preserve">负责。在运输途中、交货前、卸货中发生人身伤害或货物受损的，由 </w:t>
      </w:r>
    </w:p>
    <w:p>
      <w:pPr>
        <w:widowControl/>
        <w:jc w:val="left"/>
        <w:rPr>
          <w:rFonts w:hint="eastAsia" w:ascii="仿宋" w:hAnsi="仿宋" w:eastAsia="仿宋" w:cs="仿宋"/>
          <w:sz w:val="24"/>
          <w:szCs w:val="24"/>
        </w:rPr>
      </w:pPr>
      <w:r>
        <w:rPr>
          <w:rFonts w:hint="eastAsia" w:ascii="仿宋" w:hAnsi="仿宋" w:eastAsia="仿宋" w:cs="仿宋"/>
          <w:sz w:val="24"/>
          <w:szCs w:val="24"/>
        </w:rPr>
        <w:t>中标供应商</w:t>
      </w:r>
      <w:r>
        <w:rPr>
          <w:rFonts w:hint="eastAsia" w:ascii="仿宋" w:hAnsi="仿宋" w:eastAsia="仿宋" w:cs="仿宋"/>
          <w:sz w:val="24"/>
          <w:szCs w:val="24"/>
          <w:lang w:val="en-US" w:eastAsia="zh-CN"/>
        </w:rPr>
        <w:t xml:space="preserve">负责承担。 </w:t>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货物由中标供应商进行安装，完毕后，采购人应对货物的数量、质量、规格、性能等进行详细而全面的检验。安装完毕10日后，证明货物以及安装质量无任何问题，由采购人组成的验收小组签署验收书，作为付款凭据之一。</w:t>
      </w:r>
      <w:r>
        <w:rPr>
          <w:rFonts w:hint="eastAsia" w:ascii="仿宋" w:hAnsi="仿宋" w:eastAsia="仿宋" w:cs="仿宋"/>
          <w:sz w:val="24"/>
          <w:szCs w:val="24"/>
          <w:lang w:val="en-US" w:eastAsia="zh-CN"/>
        </w:rPr>
        <w:t>如验收不合格，</w:t>
      </w:r>
      <w:r>
        <w:rPr>
          <w:rFonts w:hint="eastAsia" w:ascii="仿宋" w:hAnsi="仿宋" w:eastAsia="仿宋" w:cs="仿宋"/>
          <w:sz w:val="24"/>
          <w:szCs w:val="24"/>
        </w:rPr>
        <w:t>中标供应商</w:t>
      </w:r>
      <w:r>
        <w:rPr>
          <w:rFonts w:hint="eastAsia" w:ascii="仿宋" w:hAnsi="仿宋" w:eastAsia="仿宋" w:cs="仿宋"/>
          <w:sz w:val="24"/>
          <w:szCs w:val="24"/>
          <w:lang w:val="en-US" w:eastAsia="zh-CN"/>
        </w:rPr>
        <w:t>应退货，预缴押金的不予退还，一切损失由</w:t>
      </w:r>
      <w:r>
        <w:rPr>
          <w:rFonts w:hint="eastAsia" w:ascii="仿宋" w:hAnsi="仿宋" w:eastAsia="仿宋" w:cs="仿宋"/>
          <w:sz w:val="24"/>
          <w:szCs w:val="24"/>
        </w:rPr>
        <w:t>中标供应商</w:t>
      </w:r>
      <w:r>
        <w:rPr>
          <w:rFonts w:hint="eastAsia" w:ascii="仿宋" w:hAnsi="仿宋" w:eastAsia="仿宋" w:cs="仿宋"/>
          <w:sz w:val="24"/>
          <w:szCs w:val="24"/>
          <w:lang w:val="en-US" w:eastAsia="zh-CN"/>
        </w:rPr>
        <w:t>承担。</w:t>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验收结束后,应当出具验收书,列明各项标准的验收情况及项目总体评价,由验收双方共同签署。验收结果应当与采购合同约定的资金支付及履约保证金返还条件挂钩。履约验收的各项资料应当存档备查。</w:t>
      </w:r>
    </w:p>
    <w:p>
      <w:pPr>
        <w:widowControl/>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对于采购人和使用人分离的采购项目,应当邀请实际使用人参与验收。采购人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tabs>
          <w:tab w:val="left" w:pos="4108"/>
          <w:tab w:val="center" w:pos="5975"/>
        </w:tabs>
        <w:ind w:firstLine="3253" w:firstLineChars="900"/>
        <w:jc w:val="left"/>
        <w:rPr>
          <w:rFonts w:hint="eastAsia" w:ascii="宋体" w:hAnsi="宋体" w:eastAsia="宋体" w:cs="Times New Roman"/>
          <w:b/>
          <w:sz w:val="36"/>
          <w:szCs w:val="36"/>
          <w:highlight w:val="none"/>
        </w:rPr>
      </w:pPr>
    </w:p>
    <w:p>
      <w:pPr>
        <w:tabs>
          <w:tab w:val="left" w:pos="4108"/>
          <w:tab w:val="center" w:pos="5975"/>
        </w:tabs>
        <w:ind w:firstLine="3253" w:firstLineChars="900"/>
        <w:jc w:val="left"/>
        <w:rPr>
          <w:rFonts w:hint="eastAsia" w:ascii="宋体" w:hAnsi="宋体" w:eastAsia="宋体" w:cs="Times New Roman"/>
          <w:b/>
          <w:sz w:val="36"/>
          <w:szCs w:val="36"/>
          <w:highlight w:val="none"/>
        </w:rPr>
      </w:pPr>
    </w:p>
    <w:p>
      <w:pPr>
        <w:tabs>
          <w:tab w:val="left" w:pos="4108"/>
          <w:tab w:val="center" w:pos="5975"/>
        </w:tabs>
        <w:ind w:firstLine="3253" w:firstLineChars="900"/>
        <w:jc w:val="left"/>
        <w:rPr>
          <w:rFonts w:hint="eastAsia" w:ascii="宋体" w:hAnsi="宋体" w:eastAsia="宋体" w:cs="Times New Roman"/>
          <w:b/>
          <w:sz w:val="36"/>
          <w:szCs w:val="36"/>
          <w:highlight w:val="none"/>
        </w:rPr>
      </w:pPr>
    </w:p>
    <w:p>
      <w:pPr>
        <w:tabs>
          <w:tab w:val="left" w:pos="4108"/>
          <w:tab w:val="center" w:pos="5975"/>
        </w:tabs>
        <w:ind w:firstLine="3253" w:firstLineChars="900"/>
        <w:jc w:val="left"/>
        <w:rPr>
          <w:rFonts w:hint="eastAsia" w:ascii="宋体" w:hAnsi="宋体" w:eastAsia="宋体" w:cs="Times New Roman"/>
          <w:b/>
          <w:sz w:val="36"/>
          <w:szCs w:val="36"/>
          <w:highlight w:val="none"/>
        </w:rPr>
      </w:pPr>
    </w:p>
    <w:p>
      <w:pPr>
        <w:tabs>
          <w:tab w:val="left" w:pos="4108"/>
          <w:tab w:val="center" w:pos="5975"/>
        </w:tabs>
        <w:jc w:val="left"/>
        <w:rPr>
          <w:rFonts w:hint="eastAsia" w:ascii="宋体" w:hAnsi="宋体" w:eastAsia="宋体" w:cs="Times New Roman"/>
          <w:b/>
          <w:sz w:val="36"/>
          <w:szCs w:val="36"/>
          <w:highlight w:val="none"/>
        </w:rPr>
      </w:pPr>
    </w:p>
    <w:p>
      <w:pPr>
        <w:tabs>
          <w:tab w:val="left" w:pos="4108"/>
          <w:tab w:val="center" w:pos="5975"/>
        </w:tabs>
        <w:ind w:firstLine="3253" w:firstLineChars="900"/>
        <w:jc w:val="left"/>
        <w:rPr>
          <w:rFonts w:ascii="宋体" w:hAnsi="宋体" w:eastAsia="宋体" w:cs="Times New Roman"/>
          <w:b/>
          <w:sz w:val="36"/>
          <w:szCs w:val="36"/>
          <w:highlight w:val="none"/>
        </w:rPr>
      </w:pPr>
      <w:r>
        <w:rPr>
          <w:rFonts w:hint="eastAsia" w:ascii="宋体" w:hAnsi="宋体" w:eastAsia="宋体" w:cs="Times New Roman"/>
          <w:b/>
          <w:sz w:val="36"/>
          <w:szCs w:val="36"/>
          <w:highlight w:val="none"/>
        </w:rPr>
        <w:t>第七部分 投标范本</w:t>
      </w:r>
      <w:bookmarkStart w:id="291" w:name="_Toc8188"/>
      <w:bookmarkStart w:id="292" w:name="_Toc28586"/>
      <w:bookmarkStart w:id="293" w:name="_Toc14108"/>
      <w:bookmarkStart w:id="294" w:name="_Toc20900"/>
      <w:bookmarkStart w:id="295" w:name="_Toc10287"/>
      <w:bookmarkStart w:id="296" w:name="_Toc7456"/>
      <w:bookmarkStart w:id="297" w:name="_Toc8272"/>
      <w:bookmarkStart w:id="298" w:name="_Toc24890_WPSOffice_Level2"/>
      <w:bookmarkStart w:id="299" w:name="_Toc30069"/>
      <w:bookmarkStart w:id="300" w:name="_Toc16635"/>
      <w:bookmarkStart w:id="301" w:name="_Toc26804"/>
      <w:bookmarkStart w:id="302" w:name="_Toc17075"/>
      <w:bookmarkStart w:id="303" w:name="_Toc14785"/>
      <w:bookmarkStart w:id="304" w:name="_Toc6388"/>
      <w:bookmarkStart w:id="305" w:name="_Toc25343"/>
      <w:r>
        <w:rPr>
          <w:rFonts w:hint="eastAsia" w:ascii="宋体" w:hAnsi="宋体" w:eastAsia="宋体" w:cs="Times New Roman"/>
          <w:b/>
          <w:sz w:val="36"/>
          <w:szCs w:val="36"/>
          <w:highlight w:val="none"/>
        </w:rPr>
        <w:t>格式</w:t>
      </w:r>
    </w:p>
    <w:p>
      <w:pPr>
        <w:spacing w:line="360" w:lineRule="auto"/>
        <w:jc w:val="center"/>
        <w:rPr>
          <w:highlight w:val="none"/>
        </w:rPr>
      </w:pPr>
      <w:r>
        <w:rPr>
          <w:rFonts w:hint="eastAsia"/>
          <w:b/>
          <w:bCs/>
          <w:sz w:val="32"/>
          <w:szCs w:val="32"/>
          <w:highlight w:val="none"/>
        </w:rPr>
        <w:t>（投标文件标书封皮）</w:t>
      </w:r>
    </w:p>
    <w:p>
      <w:pPr>
        <w:spacing w:line="360" w:lineRule="auto"/>
        <w:ind w:firstLine="7228" w:firstLineChars="2000"/>
        <w:rPr>
          <w:highlight w:val="none"/>
        </w:rPr>
      </w:pPr>
      <w:r>
        <w:rPr>
          <w:rFonts w:hint="eastAsia" w:ascii="宋体" w:hAnsi="宋体" w:eastAsia="宋体" w:cs="宋体"/>
          <w:b/>
          <w:bCs/>
          <w:kern w:val="1"/>
          <w:sz w:val="36"/>
          <w:szCs w:val="36"/>
          <w:highlight w:val="none"/>
        </w:rPr>
        <w:t>正（副）本</w:t>
      </w:r>
    </w:p>
    <w:p>
      <w:pPr>
        <w:spacing w:line="360" w:lineRule="auto"/>
        <w:rPr>
          <w:highlight w:val="none"/>
        </w:rPr>
      </w:pPr>
    </w:p>
    <w:p>
      <w:pPr>
        <w:spacing w:line="360" w:lineRule="auto"/>
        <w:jc w:val="center"/>
        <w:rPr>
          <w:rFonts w:hint="eastAsia" w:eastAsia="宋体"/>
          <w:b/>
          <w:bCs/>
          <w:sz w:val="52"/>
          <w:szCs w:val="52"/>
          <w:highlight w:val="none"/>
          <w:lang w:eastAsia="zh-CN"/>
        </w:rPr>
      </w:pPr>
      <w:r>
        <w:rPr>
          <w:rFonts w:hint="eastAsia"/>
          <w:b/>
          <w:bCs/>
          <w:sz w:val="52"/>
          <w:szCs w:val="52"/>
          <w:highlight w:val="none"/>
          <w:u w:val="single"/>
        </w:rPr>
        <w:t xml:space="preserve">****          </w:t>
      </w:r>
      <w:r>
        <w:rPr>
          <w:rFonts w:hint="eastAsia"/>
          <w:b/>
          <w:bCs/>
          <w:sz w:val="52"/>
          <w:szCs w:val="52"/>
          <w:highlight w:val="none"/>
        </w:rPr>
        <w:t>项目</w:t>
      </w:r>
      <w:r>
        <w:rPr>
          <w:rFonts w:hint="eastAsia"/>
          <w:b/>
          <w:bCs/>
          <w:sz w:val="52"/>
          <w:szCs w:val="52"/>
          <w:highlight w:val="none"/>
          <w:lang w:eastAsia="zh-CN"/>
        </w:rPr>
        <w:t>（</w:t>
      </w:r>
      <w:r>
        <w:rPr>
          <w:rFonts w:hint="eastAsia"/>
          <w:b/>
          <w:bCs/>
          <w:sz w:val="52"/>
          <w:szCs w:val="52"/>
          <w:highlight w:val="none"/>
          <w:lang w:val="en-US" w:eastAsia="zh-CN"/>
        </w:rPr>
        <w:t xml:space="preserve">标段  </w:t>
      </w:r>
      <w:r>
        <w:rPr>
          <w:rFonts w:hint="eastAsia"/>
          <w:b/>
          <w:bCs/>
          <w:sz w:val="52"/>
          <w:szCs w:val="52"/>
          <w:highlight w:val="none"/>
          <w:lang w:eastAsia="zh-CN"/>
        </w:rPr>
        <w:t>）</w:t>
      </w:r>
    </w:p>
    <w:p>
      <w:pPr>
        <w:spacing w:line="360" w:lineRule="auto"/>
        <w:jc w:val="center"/>
        <w:rPr>
          <w:rFonts w:eastAsia="宋体"/>
          <w:sz w:val="24"/>
          <w:szCs w:val="28"/>
          <w:highlight w:val="none"/>
        </w:rPr>
      </w:pPr>
      <w:r>
        <w:rPr>
          <w:rFonts w:hint="eastAsia"/>
          <w:sz w:val="24"/>
          <w:szCs w:val="28"/>
          <w:highlight w:val="none"/>
        </w:rPr>
        <w:t>项目编号：</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jc w:val="center"/>
        <w:rPr>
          <w:sz w:val="28"/>
          <w:szCs w:val="28"/>
          <w:highlight w:val="none"/>
        </w:rPr>
      </w:pPr>
      <w:r>
        <w:rPr>
          <w:rFonts w:hint="eastAsia"/>
          <w:b/>
          <w:bCs/>
          <w:sz w:val="72"/>
          <w:szCs w:val="144"/>
          <w:highlight w:val="none"/>
        </w:rPr>
        <w:t>投 标 文 件</w:t>
      </w:r>
    </w:p>
    <w:p>
      <w:pPr>
        <w:spacing w:line="360" w:lineRule="auto"/>
        <w:rPr>
          <w:sz w:val="28"/>
          <w:szCs w:val="28"/>
          <w:highlight w:val="none"/>
        </w:rPr>
      </w:pPr>
    </w:p>
    <w:p>
      <w:pPr>
        <w:spacing w:line="360" w:lineRule="auto"/>
        <w:rPr>
          <w:sz w:val="28"/>
          <w:szCs w:val="28"/>
          <w:highlight w:val="none"/>
        </w:rPr>
      </w:pPr>
    </w:p>
    <w:p>
      <w:pPr>
        <w:spacing w:line="360" w:lineRule="auto"/>
        <w:rPr>
          <w:sz w:val="30"/>
          <w:szCs w:val="30"/>
          <w:highlight w:val="none"/>
        </w:rPr>
      </w:pPr>
    </w:p>
    <w:p>
      <w:pPr>
        <w:ind w:firstLine="2711" w:firstLineChars="900"/>
        <w:jc w:val="left"/>
        <w:rPr>
          <w:rFonts w:ascii="仿宋" w:hAnsi="仿宋" w:eastAsia="仿宋" w:cs="Times New Roman"/>
          <w:b/>
          <w:bCs/>
          <w:sz w:val="30"/>
          <w:szCs w:val="30"/>
          <w:highlight w:val="none"/>
          <w:u w:val="single"/>
        </w:rPr>
      </w:pPr>
      <w:r>
        <w:rPr>
          <w:rFonts w:hint="eastAsia" w:ascii="仿宋" w:hAnsi="仿宋" w:eastAsia="仿宋" w:cs="Times New Roman"/>
          <w:b/>
          <w:bCs/>
          <w:sz w:val="30"/>
          <w:szCs w:val="30"/>
          <w:highlight w:val="none"/>
        </w:rPr>
        <w:t>采购人：</w:t>
      </w:r>
    </w:p>
    <w:p>
      <w:pPr>
        <w:ind w:firstLine="2711" w:firstLineChars="900"/>
        <w:jc w:val="left"/>
        <w:rPr>
          <w:rFonts w:ascii="仿宋" w:hAnsi="仿宋" w:eastAsia="仿宋" w:cs="Times New Roman"/>
          <w:b/>
          <w:bCs/>
          <w:sz w:val="30"/>
          <w:szCs w:val="30"/>
          <w:highlight w:val="none"/>
        </w:rPr>
      </w:pPr>
      <w:r>
        <w:rPr>
          <w:rFonts w:hint="eastAsia" w:ascii="仿宋" w:hAnsi="仿宋" w:eastAsia="仿宋" w:cs="Times New Roman"/>
          <w:b/>
          <w:bCs/>
          <w:sz w:val="30"/>
          <w:szCs w:val="30"/>
          <w:highlight w:val="none"/>
        </w:rPr>
        <w:t>采购代理机构：</w:t>
      </w:r>
      <w:r>
        <w:rPr>
          <w:rFonts w:hint="eastAsia" w:ascii="仿宋" w:hAnsi="仿宋" w:eastAsia="仿宋" w:cs="Times New Roman"/>
          <w:b/>
          <w:bCs/>
          <w:sz w:val="30"/>
          <w:szCs w:val="30"/>
          <w:highlight w:val="none"/>
          <w:u w:val="single"/>
        </w:rPr>
        <w:t>新疆鼎标招投标代理有限公司</w:t>
      </w:r>
    </w:p>
    <w:p>
      <w:pPr>
        <w:ind w:firstLine="2711" w:firstLineChars="900"/>
        <w:jc w:val="left"/>
        <w:rPr>
          <w:rFonts w:ascii="仿宋" w:hAnsi="仿宋" w:eastAsia="仿宋" w:cs="Times New Roman"/>
          <w:b/>
          <w:bCs/>
          <w:sz w:val="30"/>
          <w:szCs w:val="30"/>
          <w:highlight w:val="none"/>
          <w:u w:val="single"/>
        </w:rPr>
      </w:pPr>
      <w:r>
        <w:rPr>
          <w:rFonts w:hint="eastAsia" w:ascii="仿宋" w:hAnsi="仿宋" w:eastAsia="仿宋" w:cs="Times New Roman"/>
          <w:b/>
          <w:bCs/>
          <w:sz w:val="30"/>
          <w:szCs w:val="30"/>
          <w:highlight w:val="none"/>
        </w:rPr>
        <w:t>投标人名称：</w:t>
      </w:r>
    </w:p>
    <w:p>
      <w:pPr>
        <w:ind w:firstLine="2711" w:firstLineChars="900"/>
        <w:jc w:val="left"/>
        <w:rPr>
          <w:rFonts w:ascii="仿宋" w:hAnsi="仿宋" w:eastAsia="仿宋" w:cs="Times New Roman"/>
          <w:b/>
          <w:bCs/>
          <w:sz w:val="30"/>
          <w:szCs w:val="30"/>
          <w:highlight w:val="none"/>
          <w:u w:val="single"/>
        </w:rPr>
      </w:pPr>
      <w:r>
        <w:rPr>
          <w:rFonts w:hint="eastAsia" w:ascii="仿宋" w:hAnsi="仿宋" w:eastAsia="仿宋" w:cs="Times New Roman"/>
          <w:b/>
          <w:bCs/>
          <w:sz w:val="30"/>
          <w:szCs w:val="30"/>
          <w:highlight w:val="none"/>
        </w:rPr>
        <w:t>法定代表/被授权人：</w:t>
      </w:r>
    </w:p>
    <w:p>
      <w:pPr>
        <w:ind w:firstLine="2711" w:firstLineChars="900"/>
        <w:jc w:val="left"/>
        <w:rPr>
          <w:rFonts w:ascii="仿宋" w:hAnsi="仿宋" w:eastAsia="仿宋" w:cs="Times New Roman"/>
          <w:b/>
          <w:bCs/>
          <w:sz w:val="30"/>
          <w:szCs w:val="30"/>
          <w:highlight w:val="none"/>
          <w:u w:val="single"/>
        </w:rPr>
      </w:pPr>
      <w:r>
        <w:rPr>
          <w:rFonts w:hint="eastAsia" w:ascii="仿宋" w:hAnsi="仿宋" w:eastAsia="仿宋" w:cs="Times New Roman"/>
          <w:b/>
          <w:bCs/>
          <w:sz w:val="30"/>
          <w:szCs w:val="30"/>
          <w:highlight w:val="none"/>
        </w:rPr>
        <w:t>联系电话：</w:t>
      </w:r>
    </w:p>
    <w:p>
      <w:pPr>
        <w:ind w:firstLine="2711" w:firstLineChars="900"/>
        <w:jc w:val="left"/>
        <w:rPr>
          <w:rFonts w:ascii="仿宋" w:hAnsi="仿宋" w:eastAsia="仿宋" w:cs="Times New Roman"/>
          <w:b/>
          <w:bCs/>
          <w:sz w:val="30"/>
          <w:szCs w:val="30"/>
          <w:highlight w:val="none"/>
          <w:u w:val="single"/>
        </w:rPr>
      </w:pPr>
      <w:r>
        <w:rPr>
          <w:rFonts w:hint="eastAsia" w:ascii="仿宋" w:hAnsi="仿宋" w:eastAsia="仿宋" w:cs="Times New Roman"/>
          <w:b/>
          <w:bCs/>
          <w:sz w:val="30"/>
          <w:szCs w:val="30"/>
          <w:highlight w:val="none"/>
        </w:rPr>
        <w:t>地址：</w:t>
      </w:r>
    </w:p>
    <w:p>
      <w:pPr>
        <w:pStyle w:val="26"/>
        <w:ind w:left="0" w:leftChars="0" w:firstLine="0" w:firstLineChars="0"/>
      </w:pPr>
    </w:p>
    <w:p/>
    <w:p>
      <w:pPr>
        <w:pStyle w:val="26"/>
      </w:pPr>
    </w:p>
    <w:p/>
    <w:p>
      <w:pPr>
        <w:pStyle w:val="26"/>
      </w:pPr>
    </w:p>
    <w:p/>
    <w:p>
      <w:pPr>
        <w:pStyle w:val="26"/>
      </w:pPr>
    </w:p>
    <w:p/>
    <w:p>
      <w:pPr>
        <w:pStyle w:val="26"/>
      </w:pPr>
    </w:p>
    <w:p/>
    <w:p>
      <w:pPr>
        <w:pStyle w:val="26"/>
      </w:pPr>
    </w:p>
    <w:p/>
    <w:p>
      <w:pPr>
        <w:pStyle w:val="26"/>
      </w:pPr>
    </w:p>
    <w:p/>
    <w:p>
      <w:pPr>
        <w:keepNext/>
        <w:keepLines/>
        <w:spacing w:line="380" w:lineRule="exact"/>
        <w:jc w:val="center"/>
        <w:outlineLvl w:val="1"/>
        <w:rPr>
          <w:rFonts w:ascii="仿宋" w:hAnsi="仿宋" w:eastAsia="仿宋" w:cs="仿宋"/>
          <w:b/>
          <w:bCs/>
          <w:sz w:val="32"/>
          <w:szCs w:val="32"/>
          <w:highlight w:val="none"/>
        </w:rPr>
      </w:pPr>
      <w:bookmarkStart w:id="306" w:name="_Toc9111"/>
      <w:r>
        <w:rPr>
          <w:rFonts w:hint="eastAsia" w:ascii="仿宋" w:hAnsi="仿宋" w:eastAsia="仿宋" w:cs="仿宋"/>
          <w:b/>
          <w:bCs/>
          <w:sz w:val="32"/>
          <w:szCs w:val="32"/>
          <w:highlight w:val="none"/>
        </w:rPr>
        <w:t>（一）投 标 函</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致</w:t>
      </w:r>
      <w:r>
        <w:rPr>
          <w:rFonts w:hint="eastAsia" w:ascii="仿宋" w:hAnsi="仿宋" w:eastAsia="仿宋" w:cs="Times New Roman"/>
          <w:sz w:val="24"/>
          <w:szCs w:val="20"/>
          <w:highlight w:val="none"/>
          <w:lang w:val="en-US" w:eastAsia="zh-CN"/>
        </w:rPr>
        <w:t>伊犁哈萨克自治州友谊医院</w:t>
      </w:r>
      <w:r>
        <w:rPr>
          <w:rFonts w:hint="eastAsia" w:ascii="仿宋" w:hAnsi="仿宋" w:eastAsia="仿宋" w:cs="Times New Roman"/>
          <w:sz w:val="24"/>
          <w:szCs w:val="20"/>
          <w:highlight w:val="none"/>
        </w:rPr>
        <w:t>:</w:t>
      </w:r>
    </w:p>
    <w:p>
      <w:pPr>
        <w:spacing w:line="380" w:lineRule="exact"/>
        <w:ind w:firstLine="555"/>
        <w:rPr>
          <w:rFonts w:ascii="仿宋" w:hAnsi="仿宋" w:eastAsia="仿宋" w:cs="Times New Roman"/>
          <w:sz w:val="24"/>
          <w:szCs w:val="20"/>
          <w:highlight w:val="none"/>
        </w:rPr>
      </w:pPr>
      <w:r>
        <w:rPr>
          <w:rFonts w:hint="eastAsia" w:ascii="仿宋" w:hAnsi="仿宋" w:eastAsia="仿宋" w:cs="Times New Roman"/>
          <w:sz w:val="24"/>
          <w:szCs w:val="20"/>
          <w:highlight w:val="none"/>
        </w:rPr>
        <w:t>根据贵方组织招标的</w:t>
      </w:r>
      <w:r>
        <w:rPr>
          <w:rFonts w:hint="eastAsia" w:ascii="仿宋" w:hAnsi="仿宋" w:eastAsia="仿宋" w:cs="Times New Roman"/>
          <w:sz w:val="24"/>
          <w:szCs w:val="20"/>
          <w:highlight w:val="none"/>
          <w:u w:val="single"/>
        </w:rPr>
        <w:t>　　　（项目名称</w:t>
      </w:r>
      <w:r>
        <w:rPr>
          <w:rFonts w:hint="eastAsia" w:ascii="仿宋" w:hAnsi="仿宋" w:eastAsia="仿宋" w:cs="Times New Roman"/>
          <w:sz w:val="24"/>
          <w:szCs w:val="20"/>
          <w:highlight w:val="none"/>
          <w:u w:val="single"/>
          <w:lang w:eastAsia="zh-CN"/>
        </w:rPr>
        <w:t>、</w:t>
      </w:r>
      <w:r>
        <w:rPr>
          <w:rFonts w:hint="eastAsia" w:ascii="仿宋" w:hAnsi="仿宋" w:eastAsia="仿宋" w:cs="Times New Roman"/>
          <w:sz w:val="24"/>
          <w:szCs w:val="20"/>
          <w:highlight w:val="none"/>
          <w:u w:val="single"/>
          <w:lang w:val="en-US" w:eastAsia="zh-CN"/>
        </w:rPr>
        <w:t>标段号</w:t>
      </w:r>
      <w:r>
        <w:rPr>
          <w:rFonts w:hint="eastAsia" w:ascii="仿宋" w:hAnsi="仿宋" w:eastAsia="仿宋" w:cs="Times New Roman"/>
          <w:sz w:val="24"/>
          <w:szCs w:val="20"/>
          <w:highlight w:val="none"/>
          <w:u w:val="single"/>
        </w:rPr>
        <w:t xml:space="preserve">）    </w:t>
      </w:r>
      <w:r>
        <w:rPr>
          <w:rFonts w:hint="eastAsia" w:ascii="仿宋" w:hAnsi="仿宋" w:eastAsia="仿宋" w:cs="Times New Roman"/>
          <w:sz w:val="24"/>
          <w:szCs w:val="20"/>
          <w:highlight w:val="none"/>
        </w:rPr>
        <w:t>项目招标文号，签字代表</w:t>
      </w:r>
      <w:r>
        <w:rPr>
          <w:rFonts w:hint="eastAsia" w:ascii="仿宋" w:hAnsi="仿宋" w:eastAsia="仿宋" w:cs="Times New Roman"/>
          <w:sz w:val="24"/>
          <w:szCs w:val="20"/>
          <w:highlight w:val="none"/>
          <w:u w:val="single"/>
        </w:rPr>
        <w:t>（姓名、职务）</w:t>
      </w:r>
      <w:r>
        <w:rPr>
          <w:rFonts w:hint="eastAsia" w:ascii="仿宋" w:hAnsi="仿宋" w:eastAsia="仿宋" w:cs="Times New Roman"/>
          <w:sz w:val="24"/>
          <w:szCs w:val="20"/>
          <w:highlight w:val="none"/>
        </w:rPr>
        <w:t>经正式授权并代表投标人</w:t>
      </w:r>
      <w:r>
        <w:rPr>
          <w:rFonts w:hint="eastAsia" w:ascii="仿宋" w:hAnsi="仿宋" w:eastAsia="仿宋" w:cs="Times New Roman"/>
          <w:sz w:val="24"/>
          <w:szCs w:val="20"/>
          <w:highlight w:val="none"/>
          <w:u w:val="single"/>
        </w:rPr>
        <w:t>（投标人名称、地址）</w:t>
      </w:r>
      <w:r>
        <w:rPr>
          <w:rFonts w:hint="eastAsia" w:ascii="仿宋" w:hAnsi="仿宋" w:eastAsia="仿宋" w:cs="Times New Roman"/>
          <w:sz w:val="24"/>
          <w:szCs w:val="20"/>
          <w:highlight w:val="none"/>
        </w:rPr>
        <w:t>提交下述</w:t>
      </w:r>
      <w:r>
        <w:rPr>
          <w:rFonts w:hint="eastAsia" w:ascii="仿宋" w:hAnsi="仿宋" w:eastAsia="仿宋" w:cs="Times New Roman"/>
          <w:b/>
          <w:bCs/>
          <w:sz w:val="24"/>
          <w:szCs w:val="20"/>
          <w:highlight w:val="none"/>
        </w:rPr>
        <w:t>投标文件正本</w:t>
      </w:r>
      <w:r>
        <w:rPr>
          <w:rFonts w:hint="eastAsia" w:ascii="仿宋" w:hAnsi="仿宋" w:eastAsia="仿宋" w:cs="Times New Roman"/>
          <w:b/>
          <w:bCs/>
          <w:sz w:val="24"/>
          <w:szCs w:val="20"/>
          <w:highlight w:val="none"/>
          <w:u w:val="single"/>
        </w:rPr>
        <w:t>1</w:t>
      </w:r>
      <w:r>
        <w:rPr>
          <w:rFonts w:hint="eastAsia" w:ascii="仿宋" w:hAnsi="仿宋" w:eastAsia="仿宋" w:cs="Times New Roman"/>
          <w:b/>
          <w:bCs/>
          <w:sz w:val="24"/>
          <w:szCs w:val="20"/>
          <w:highlight w:val="none"/>
        </w:rPr>
        <w:t>份、副本</w:t>
      </w:r>
      <w:r>
        <w:rPr>
          <w:rFonts w:hint="eastAsia" w:ascii="仿宋" w:hAnsi="仿宋" w:eastAsia="仿宋" w:cs="Times New Roman"/>
          <w:b/>
          <w:bCs/>
          <w:sz w:val="24"/>
          <w:szCs w:val="20"/>
          <w:highlight w:val="none"/>
          <w:u w:val="single"/>
        </w:rPr>
        <w:t>4</w:t>
      </w:r>
      <w:r>
        <w:rPr>
          <w:rFonts w:hint="eastAsia" w:ascii="仿宋" w:hAnsi="仿宋" w:eastAsia="仿宋" w:cs="Times New Roman"/>
          <w:b/>
          <w:bCs/>
          <w:sz w:val="24"/>
          <w:szCs w:val="20"/>
          <w:highlight w:val="none"/>
        </w:rPr>
        <w:t>份</w:t>
      </w:r>
      <w:r>
        <w:rPr>
          <w:rFonts w:hint="eastAsia" w:ascii="仿宋" w:hAnsi="仿宋" w:eastAsia="仿宋" w:cs="Times New Roman"/>
          <w:sz w:val="24"/>
          <w:szCs w:val="20"/>
          <w:highlight w:val="none"/>
        </w:rPr>
        <w:t>。</w:t>
      </w:r>
    </w:p>
    <w:p>
      <w:pPr>
        <w:numPr>
          <w:ilvl w:val="0"/>
          <w:numId w:val="5"/>
        </w:num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投标声明函</w:t>
      </w:r>
    </w:p>
    <w:p>
      <w:pPr>
        <w:numPr>
          <w:ilvl w:val="0"/>
          <w:numId w:val="5"/>
        </w:num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法人授权委托书</w:t>
      </w:r>
      <w:r>
        <w:rPr>
          <w:rFonts w:hint="eastAsia" w:ascii="仿宋" w:hAnsi="仿宋" w:eastAsia="仿宋" w:cs="Times New Roman"/>
          <w:sz w:val="24"/>
          <w:szCs w:val="20"/>
          <w:highlight w:val="none"/>
          <w:lang w:val="en-US" w:eastAsia="zh-CN"/>
        </w:rPr>
        <w:t>/</w:t>
      </w:r>
      <w:r>
        <w:rPr>
          <w:rFonts w:hint="eastAsia" w:ascii="仿宋" w:hAnsi="仿宋" w:eastAsia="仿宋" w:cs="Times New Roman"/>
          <w:sz w:val="24"/>
          <w:szCs w:val="20"/>
          <w:highlight w:val="none"/>
        </w:rPr>
        <w:t>法定代表人身份证明书</w:t>
      </w:r>
    </w:p>
    <w:p>
      <w:pPr>
        <w:numPr>
          <w:ilvl w:val="0"/>
          <w:numId w:val="5"/>
        </w:num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开标一览表</w:t>
      </w:r>
    </w:p>
    <w:p>
      <w:pPr>
        <w:numPr>
          <w:ilvl w:val="0"/>
          <w:numId w:val="5"/>
        </w:num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按招标文件投标人须知、技术规格要求及其他要求提供有关文件</w:t>
      </w:r>
    </w:p>
    <w:p>
      <w:pPr>
        <w:numPr>
          <w:ilvl w:val="0"/>
          <w:numId w:val="5"/>
        </w:num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资格证明文件</w:t>
      </w:r>
    </w:p>
    <w:p>
      <w:pPr>
        <w:numPr>
          <w:ilvl w:val="0"/>
          <w:numId w:val="5"/>
        </w:num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投标保证金，形式，金额为</w:t>
      </w:r>
      <w:r>
        <w:rPr>
          <w:rFonts w:hint="eastAsia" w:ascii="仿宋" w:hAnsi="仿宋" w:eastAsia="仿宋" w:cs="Times New Roman"/>
          <w:sz w:val="24"/>
          <w:szCs w:val="20"/>
          <w:highlight w:val="none"/>
          <w:u w:val="single"/>
        </w:rPr>
        <w:t>　　　　</w:t>
      </w:r>
      <w:r>
        <w:rPr>
          <w:rFonts w:hint="eastAsia" w:ascii="仿宋" w:hAnsi="仿宋" w:eastAsia="仿宋" w:cs="Times New Roman"/>
          <w:sz w:val="24"/>
          <w:szCs w:val="20"/>
          <w:highlight w:val="none"/>
        </w:rPr>
        <w:t>。</w:t>
      </w:r>
    </w:p>
    <w:p>
      <w:pPr>
        <w:spacing w:line="380" w:lineRule="exact"/>
        <w:ind w:firstLine="555"/>
        <w:rPr>
          <w:rFonts w:ascii="仿宋" w:hAnsi="仿宋" w:eastAsia="仿宋" w:cs="Times New Roman"/>
          <w:sz w:val="24"/>
          <w:szCs w:val="20"/>
          <w:highlight w:val="none"/>
        </w:rPr>
      </w:pPr>
      <w:r>
        <w:rPr>
          <w:rFonts w:hint="eastAsia" w:ascii="仿宋" w:hAnsi="仿宋" w:eastAsia="仿宋" w:cs="Times New Roman"/>
          <w:sz w:val="24"/>
          <w:szCs w:val="20"/>
          <w:highlight w:val="none"/>
        </w:rPr>
        <w:t>据此函，签字代表宣布并同意如下：</w:t>
      </w:r>
    </w:p>
    <w:p>
      <w:pPr>
        <w:spacing w:line="380" w:lineRule="exact"/>
        <w:ind w:firstLine="555"/>
        <w:rPr>
          <w:rFonts w:ascii="仿宋" w:hAnsi="仿宋" w:eastAsia="仿宋" w:cs="Times New Roman"/>
          <w:sz w:val="24"/>
          <w:szCs w:val="20"/>
          <w:highlight w:val="none"/>
        </w:rPr>
      </w:pPr>
      <w:r>
        <w:rPr>
          <w:rFonts w:hint="eastAsia" w:ascii="仿宋" w:hAnsi="仿宋" w:eastAsia="仿宋" w:cs="Times New Roman"/>
          <w:sz w:val="24"/>
          <w:szCs w:val="20"/>
          <w:highlight w:val="none"/>
        </w:rPr>
        <w:t>1、所附投标报价表中项目总价为</w:t>
      </w:r>
      <w:r>
        <w:rPr>
          <w:rFonts w:hint="eastAsia" w:ascii="仿宋" w:hAnsi="仿宋" w:eastAsia="仿宋" w:cs="Times New Roman"/>
          <w:sz w:val="24"/>
          <w:szCs w:val="20"/>
          <w:highlight w:val="none"/>
          <w:u w:val="single"/>
        </w:rPr>
        <w:t>（注明币种，  并用文字和数字表示的投标总价</w:t>
      </w:r>
      <w:r>
        <w:rPr>
          <w:rFonts w:hint="eastAsia" w:ascii="仿宋" w:hAnsi="仿宋" w:eastAsia="仿宋" w:cs="Times New Roman"/>
          <w:sz w:val="24"/>
          <w:szCs w:val="20"/>
          <w:highlight w:val="none"/>
        </w:rPr>
        <w:t>）。</w:t>
      </w:r>
    </w:p>
    <w:p>
      <w:pPr>
        <w:spacing w:line="380" w:lineRule="exact"/>
        <w:ind w:firstLine="555"/>
        <w:rPr>
          <w:rFonts w:ascii="仿宋" w:hAnsi="仿宋" w:eastAsia="仿宋" w:cs="Times New Roman"/>
          <w:sz w:val="24"/>
          <w:szCs w:val="20"/>
          <w:highlight w:val="none"/>
        </w:rPr>
      </w:pPr>
      <w:r>
        <w:rPr>
          <w:rFonts w:hint="eastAsia" w:ascii="仿宋" w:hAnsi="仿宋" w:eastAsia="仿宋" w:cs="Times New Roman"/>
          <w:sz w:val="24"/>
          <w:szCs w:val="20"/>
          <w:highlight w:val="none"/>
        </w:rPr>
        <w:t>2、投标人将按招标文件的规定履行合同责任和义务；</w:t>
      </w:r>
    </w:p>
    <w:p>
      <w:pPr>
        <w:spacing w:line="380" w:lineRule="exact"/>
        <w:ind w:firstLine="555"/>
        <w:rPr>
          <w:rFonts w:ascii="仿宋" w:hAnsi="仿宋" w:eastAsia="仿宋" w:cs="Times New Roman"/>
          <w:sz w:val="24"/>
          <w:szCs w:val="20"/>
          <w:highlight w:val="none"/>
        </w:rPr>
      </w:pPr>
      <w:r>
        <w:rPr>
          <w:rFonts w:hint="eastAsia" w:ascii="仿宋" w:hAnsi="仿宋" w:eastAsia="仿宋" w:cs="Times New Roman"/>
          <w:sz w:val="24"/>
          <w:szCs w:val="20"/>
          <w:highlight w:val="none"/>
        </w:rPr>
        <w:t>3、投标人已详细阅读并理解了招标文件的全部，包括修改文件（如有的话）。我们完全理解并同意放弃对这方面有不明及误解的权利。</w:t>
      </w:r>
    </w:p>
    <w:p>
      <w:pPr>
        <w:spacing w:line="380" w:lineRule="exact"/>
        <w:ind w:firstLine="555"/>
        <w:rPr>
          <w:rFonts w:ascii="仿宋" w:hAnsi="仿宋" w:eastAsia="仿宋" w:cs="Times New Roman"/>
          <w:sz w:val="24"/>
          <w:szCs w:val="20"/>
          <w:highlight w:val="none"/>
        </w:rPr>
      </w:pPr>
      <w:r>
        <w:rPr>
          <w:rFonts w:hint="eastAsia" w:ascii="仿宋" w:hAnsi="仿宋" w:eastAsia="仿宋" w:cs="Times New Roman"/>
          <w:sz w:val="24"/>
          <w:szCs w:val="20"/>
          <w:highlight w:val="none"/>
        </w:rPr>
        <w:t>4、本投标有效期自开标之日起</w:t>
      </w:r>
      <w:r>
        <w:rPr>
          <w:rFonts w:hint="eastAsia" w:ascii="仿宋" w:hAnsi="仿宋" w:eastAsia="仿宋" w:cs="Times New Roman"/>
          <w:sz w:val="24"/>
          <w:szCs w:val="20"/>
          <w:highlight w:val="none"/>
          <w:u w:val="single"/>
        </w:rPr>
        <w:t>　　　</w:t>
      </w:r>
      <w:r>
        <w:rPr>
          <w:rFonts w:hint="eastAsia" w:ascii="仿宋" w:hAnsi="仿宋" w:eastAsia="仿宋" w:cs="Times New Roman"/>
          <w:sz w:val="24"/>
          <w:szCs w:val="20"/>
          <w:highlight w:val="none"/>
        </w:rPr>
        <w:t>个日历日。</w:t>
      </w:r>
    </w:p>
    <w:p>
      <w:pPr>
        <w:spacing w:line="380" w:lineRule="exact"/>
        <w:ind w:firstLine="555"/>
        <w:rPr>
          <w:rFonts w:ascii="仿宋" w:hAnsi="仿宋" w:eastAsia="仿宋" w:cs="Times New Roman"/>
          <w:sz w:val="24"/>
          <w:szCs w:val="20"/>
          <w:highlight w:val="none"/>
        </w:rPr>
      </w:pPr>
      <w:r>
        <w:rPr>
          <w:rFonts w:hint="eastAsia" w:ascii="仿宋" w:hAnsi="仿宋" w:eastAsia="仿宋" w:cs="Times New Roman"/>
          <w:sz w:val="24"/>
          <w:szCs w:val="20"/>
          <w:highlight w:val="none"/>
        </w:rPr>
        <w:t>5、在规定的开标时间后，如果在投标有效期内撤回投标，同意投标保证金将被贵方没收。</w:t>
      </w:r>
    </w:p>
    <w:p>
      <w:pPr>
        <w:spacing w:line="380" w:lineRule="exact"/>
        <w:ind w:firstLine="555"/>
        <w:rPr>
          <w:rFonts w:ascii="仿宋" w:hAnsi="仿宋" w:eastAsia="仿宋" w:cs="Times New Roman"/>
          <w:sz w:val="24"/>
          <w:szCs w:val="20"/>
          <w:highlight w:val="none"/>
        </w:rPr>
      </w:pPr>
      <w:r>
        <w:rPr>
          <w:rFonts w:hint="eastAsia" w:ascii="仿宋" w:hAnsi="仿宋" w:eastAsia="仿宋" w:cs="Times New Roman"/>
          <w:sz w:val="24"/>
          <w:szCs w:val="20"/>
          <w:highlight w:val="none"/>
        </w:rPr>
        <w:t>6、投标人同意提供按照贵方可能要求的与其投标有关的一切数据或资料，完全理解贵方不一定接受最低价的投标或收到的任何投标的约定。</w:t>
      </w:r>
    </w:p>
    <w:p>
      <w:pPr>
        <w:spacing w:line="380" w:lineRule="exact"/>
        <w:ind w:firstLine="570"/>
        <w:rPr>
          <w:rFonts w:ascii="仿宋" w:hAnsi="仿宋" w:eastAsia="仿宋" w:cs="Times New Roman"/>
          <w:sz w:val="24"/>
          <w:szCs w:val="20"/>
          <w:highlight w:val="none"/>
        </w:rPr>
      </w:pPr>
      <w:r>
        <w:rPr>
          <w:rFonts w:hint="eastAsia" w:ascii="仿宋" w:hAnsi="仿宋" w:eastAsia="仿宋" w:cs="Times New Roman"/>
          <w:sz w:val="24"/>
          <w:szCs w:val="20"/>
          <w:highlight w:val="none"/>
        </w:rPr>
        <w:t>7、与本投标有关的一切正式往来信函请寄：</w:t>
      </w:r>
    </w:p>
    <w:p>
      <w:pPr>
        <w:spacing w:line="380" w:lineRule="exact"/>
        <w:ind w:firstLine="280"/>
        <w:rPr>
          <w:rFonts w:ascii="仿宋" w:hAnsi="仿宋" w:eastAsia="仿宋" w:cs="Times New Roman"/>
          <w:sz w:val="24"/>
          <w:szCs w:val="20"/>
          <w:highlight w:val="none"/>
        </w:rPr>
      </w:pPr>
      <w:r>
        <w:rPr>
          <w:rFonts w:hint="eastAsia" w:ascii="仿宋" w:hAnsi="仿宋" w:eastAsia="仿宋" w:cs="Times New Roman"/>
          <w:sz w:val="24"/>
          <w:szCs w:val="20"/>
          <w:highlight w:val="none"/>
        </w:rPr>
        <w:t>地　　　　　 址：</w:t>
      </w:r>
      <w:r>
        <w:rPr>
          <w:rFonts w:hint="eastAsia" w:ascii="仿宋" w:hAnsi="仿宋" w:eastAsia="仿宋" w:cs="Times New Roman"/>
          <w:sz w:val="24"/>
          <w:szCs w:val="20"/>
          <w:highlight w:val="none"/>
          <w:u w:val="single"/>
        </w:rPr>
        <w:t>　　　　　　　　    　　</w:t>
      </w:r>
      <w:r>
        <w:rPr>
          <w:rFonts w:hint="eastAsia" w:ascii="仿宋" w:hAnsi="仿宋" w:eastAsia="仿宋" w:cs="Times New Roman"/>
          <w:sz w:val="24"/>
          <w:szCs w:val="20"/>
          <w:highlight w:val="none"/>
        </w:rPr>
        <w:t>邮编：</w:t>
      </w:r>
      <w:r>
        <w:rPr>
          <w:rFonts w:hint="eastAsia" w:ascii="仿宋" w:hAnsi="仿宋" w:eastAsia="仿宋" w:cs="Times New Roman"/>
          <w:sz w:val="24"/>
          <w:szCs w:val="20"/>
          <w:highlight w:val="none"/>
          <w:u w:val="single"/>
        </w:rPr>
        <w:t>　　　　   　　　　　</w:t>
      </w:r>
    </w:p>
    <w:p>
      <w:p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　电　　　　　 话：</w:t>
      </w:r>
      <w:r>
        <w:rPr>
          <w:rFonts w:hint="eastAsia" w:ascii="仿宋" w:hAnsi="仿宋" w:eastAsia="仿宋" w:cs="Times New Roman"/>
          <w:sz w:val="24"/>
          <w:szCs w:val="20"/>
          <w:highlight w:val="none"/>
          <w:u w:val="single"/>
        </w:rPr>
        <w:t xml:space="preserve">　　　　　　　　　　    </w:t>
      </w:r>
      <w:r>
        <w:rPr>
          <w:rFonts w:hint="eastAsia" w:ascii="仿宋" w:hAnsi="仿宋" w:eastAsia="仿宋" w:cs="Times New Roman"/>
          <w:sz w:val="24"/>
          <w:szCs w:val="20"/>
          <w:highlight w:val="none"/>
        </w:rPr>
        <w:t>传真：</w:t>
      </w:r>
      <w:r>
        <w:rPr>
          <w:rFonts w:hint="eastAsia" w:ascii="仿宋" w:hAnsi="仿宋" w:eastAsia="仿宋" w:cs="Times New Roman"/>
          <w:sz w:val="24"/>
          <w:szCs w:val="20"/>
          <w:highlight w:val="none"/>
          <w:u w:val="single"/>
        </w:rPr>
        <w:t>　   　　　　　　　　</w:t>
      </w:r>
    </w:p>
    <w:p>
      <w:p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　投标人代表签字：</w:t>
      </w:r>
      <w:r>
        <w:rPr>
          <w:rFonts w:hint="eastAsia" w:ascii="仿宋" w:hAnsi="仿宋" w:eastAsia="仿宋" w:cs="Times New Roman"/>
          <w:sz w:val="24"/>
          <w:szCs w:val="20"/>
          <w:highlight w:val="none"/>
          <w:u w:val="single"/>
        </w:rPr>
        <w:t>　　　　　　　　　　　　　</w:t>
      </w:r>
    </w:p>
    <w:p>
      <w:p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　投 标 人 名 称：</w:t>
      </w:r>
      <w:r>
        <w:rPr>
          <w:rFonts w:hint="eastAsia" w:ascii="仿宋" w:hAnsi="仿宋" w:eastAsia="仿宋" w:cs="Times New Roman"/>
          <w:sz w:val="24"/>
          <w:szCs w:val="20"/>
          <w:highlight w:val="none"/>
          <w:u w:val="single"/>
        </w:rPr>
        <w:t>　      　　　　　　　　　</w:t>
      </w:r>
    </w:p>
    <w:p>
      <w:p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　公          章：</w:t>
      </w:r>
      <w:r>
        <w:rPr>
          <w:rFonts w:hint="eastAsia" w:ascii="仿宋" w:hAnsi="仿宋" w:eastAsia="仿宋" w:cs="Times New Roman"/>
          <w:sz w:val="24"/>
          <w:szCs w:val="20"/>
          <w:highlight w:val="none"/>
          <w:u w:val="single"/>
        </w:rPr>
        <w:t>　　　　　　　　　　　　　</w:t>
      </w:r>
    </w:p>
    <w:p>
      <w:p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　　　　　　　　　　　　　　　　　　　　　　　20</w:t>
      </w:r>
      <w:r>
        <w:rPr>
          <w:rFonts w:hint="eastAsia" w:ascii="仿宋" w:hAnsi="仿宋" w:eastAsia="仿宋" w:cs="Times New Roman"/>
          <w:sz w:val="24"/>
          <w:szCs w:val="20"/>
          <w:highlight w:val="none"/>
          <w:u w:val="single"/>
        </w:rPr>
        <w:t xml:space="preserve"> 　　</w:t>
      </w:r>
      <w:r>
        <w:rPr>
          <w:rFonts w:hint="eastAsia" w:ascii="仿宋" w:hAnsi="仿宋" w:eastAsia="仿宋" w:cs="Times New Roman"/>
          <w:sz w:val="24"/>
          <w:szCs w:val="20"/>
          <w:highlight w:val="none"/>
        </w:rPr>
        <w:t>年</w:t>
      </w:r>
      <w:r>
        <w:rPr>
          <w:rFonts w:hint="eastAsia" w:ascii="仿宋" w:hAnsi="仿宋" w:eastAsia="仿宋" w:cs="Times New Roman"/>
          <w:sz w:val="24"/>
          <w:szCs w:val="20"/>
          <w:highlight w:val="none"/>
          <w:u w:val="single"/>
        </w:rPr>
        <w:t xml:space="preserve">　   </w:t>
      </w:r>
      <w:r>
        <w:rPr>
          <w:rFonts w:hint="eastAsia" w:ascii="仿宋" w:hAnsi="仿宋" w:eastAsia="仿宋" w:cs="Times New Roman"/>
          <w:sz w:val="24"/>
          <w:szCs w:val="20"/>
          <w:highlight w:val="none"/>
        </w:rPr>
        <w:t>月</w:t>
      </w:r>
      <w:r>
        <w:rPr>
          <w:rFonts w:hint="eastAsia" w:ascii="仿宋" w:hAnsi="仿宋" w:eastAsia="仿宋" w:cs="Times New Roman"/>
          <w:sz w:val="24"/>
          <w:szCs w:val="20"/>
          <w:highlight w:val="none"/>
          <w:u w:val="single"/>
        </w:rPr>
        <w:t xml:space="preserve">   　</w:t>
      </w:r>
      <w:r>
        <w:rPr>
          <w:rFonts w:hint="eastAsia" w:ascii="仿宋" w:hAnsi="仿宋" w:eastAsia="仿宋" w:cs="Times New Roman"/>
          <w:sz w:val="24"/>
          <w:szCs w:val="20"/>
          <w:highlight w:val="none"/>
        </w:rPr>
        <w:t>日</w:t>
      </w:r>
    </w:p>
    <w:p>
      <w:pPr>
        <w:spacing w:line="380" w:lineRule="exact"/>
        <w:jc w:val="center"/>
        <w:rPr>
          <w:rFonts w:ascii="仿宋" w:hAnsi="仿宋" w:eastAsia="仿宋" w:cs="Times New Roman"/>
          <w:b/>
          <w:sz w:val="32"/>
          <w:szCs w:val="32"/>
          <w:highlight w:val="none"/>
        </w:rPr>
      </w:pPr>
    </w:p>
    <w:p>
      <w:pPr>
        <w:spacing w:line="380" w:lineRule="exact"/>
        <w:jc w:val="center"/>
        <w:rPr>
          <w:rFonts w:hint="eastAsia" w:ascii="仿宋" w:hAnsi="仿宋" w:eastAsia="仿宋" w:cs="Times New Roman"/>
          <w:b/>
          <w:sz w:val="32"/>
          <w:szCs w:val="32"/>
          <w:highlight w:val="none"/>
        </w:rPr>
      </w:pPr>
    </w:p>
    <w:p>
      <w:pPr>
        <w:spacing w:line="380" w:lineRule="exact"/>
        <w:jc w:val="center"/>
        <w:rPr>
          <w:rFonts w:hint="eastAsia" w:ascii="仿宋" w:hAnsi="仿宋" w:eastAsia="仿宋" w:cs="Times New Roman"/>
          <w:b/>
          <w:sz w:val="32"/>
          <w:szCs w:val="32"/>
          <w:highlight w:val="none"/>
        </w:rPr>
      </w:pPr>
    </w:p>
    <w:p>
      <w:pPr>
        <w:spacing w:line="380" w:lineRule="exact"/>
        <w:jc w:val="center"/>
        <w:rPr>
          <w:rFonts w:hint="eastAsia" w:ascii="仿宋" w:hAnsi="仿宋" w:eastAsia="仿宋" w:cs="Times New Roman"/>
          <w:b/>
          <w:sz w:val="32"/>
          <w:szCs w:val="32"/>
          <w:highlight w:val="none"/>
        </w:rPr>
      </w:pPr>
    </w:p>
    <w:p>
      <w:pPr>
        <w:spacing w:line="380" w:lineRule="exact"/>
        <w:jc w:val="center"/>
        <w:rPr>
          <w:rFonts w:hint="eastAsia" w:ascii="仿宋" w:hAnsi="仿宋" w:eastAsia="仿宋" w:cs="Times New Roman"/>
          <w:b/>
          <w:sz w:val="32"/>
          <w:szCs w:val="32"/>
          <w:highlight w:val="none"/>
        </w:rPr>
      </w:pPr>
    </w:p>
    <w:p>
      <w:pPr>
        <w:spacing w:line="380" w:lineRule="exact"/>
        <w:jc w:val="center"/>
        <w:rPr>
          <w:rFonts w:hint="eastAsia" w:ascii="仿宋" w:hAnsi="仿宋" w:eastAsia="仿宋" w:cs="Times New Roman"/>
          <w:b/>
          <w:sz w:val="32"/>
          <w:szCs w:val="32"/>
          <w:highlight w:val="none"/>
        </w:rPr>
      </w:pPr>
    </w:p>
    <w:p>
      <w:pPr>
        <w:pStyle w:val="7"/>
        <w:rPr>
          <w:rFonts w:hint="eastAsia" w:ascii="仿宋" w:hAnsi="仿宋" w:eastAsia="仿宋" w:cs="Times New Roman"/>
          <w:b/>
          <w:sz w:val="32"/>
          <w:szCs w:val="32"/>
          <w:highlight w:val="none"/>
        </w:rPr>
      </w:pPr>
    </w:p>
    <w:p>
      <w:pPr>
        <w:pStyle w:val="7"/>
        <w:rPr>
          <w:rFonts w:hint="eastAsia" w:ascii="仿宋" w:hAnsi="仿宋" w:eastAsia="仿宋" w:cs="Times New Roman"/>
          <w:b/>
          <w:sz w:val="32"/>
          <w:szCs w:val="32"/>
          <w:highlight w:val="none"/>
        </w:rPr>
      </w:pPr>
    </w:p>
    <w:p>
      <w:pPr>
        <w:spacing w:line="380" w:lineRule="exact"/>
        <w:jc w:val="both"/>
        <w:rPr>
          <w:rFonts w:hint="eastAsia" w:ascii="仿宋" w:hAnsi="仿宋" w:eastAsia="仿宋" w:cs="Times New Roman"/>
          <w:b/>
          <w:sz w:val="32"/>
          <w:szCs w:val="32"/>
          <w:highlight w:val="none"/>
        </w:rPr>
      </w:pPr>
    </w:p>
    <w:p>
      <w:pPr>
        <w:spacing w:line="380" w:lineRule="exact"/>
        <w:jc w:val="both"/>
        <w:rPr>
          <w:rFonts w:hint="eastAsia" w:ascii="仿宋" w:hAnsi="仿宋" w:eastAsia="仿宋" w:cs="Times New Roman"/>
          <w:b/>
          <w:sz w:val="32"/>
          <w:szCs w:val="32"/>
          <w:highlight w:val="none"/>
        </w:rPr>
      </w:pPr>
    </w:p>
    <w:p>
      <w:pPr>
        <w:spacing w:line="380" w:lineRule="exact"/>
        <w:jc w:val="center"/>
        <w:rPr>
          <w:rFonts w:ascii="仿宋" w:hAnsi="仿宋" w:eastAsia="仿宋" w:cs="Times New Roman"/>
          <w:b/>
          <w:sz w:val="32"/>
          <w:szCs w:val="32"/>
          <w:highlight w:val="none"/>
        </w:rPr>
      </w:pPr>
      <w:r>
        <w:rPr>
          <w:rFonts w:hint="eastAsia" w:ascii="仿宋" w:hAnsi="仿宋" w:eastAsia="仿宋" w:cs="Times New Roman"/>
          <w:b/>
          <w:sz w:val="32"/>
          <w:szCs w:val="32"/>
          <w:highlight w:val="none"/>
        </w:rPr>
        <w:t>（二）投标声明函</w:t>
      </w:r>
    </w:p>
    <w:p>
      <w:pPr>
        <w:spacing w:line="380" w:lineRule="exact"/>
        <w:rPr>
          <w:rFonts w:ascii="仿宋" w:hAnsi="仿宋" w:eastAsia="仿宋" w:cs="Times New Roman"/>
          <w:sz w:val="24"/>
          <w:szCs w:val="20"/>
          <w:highlight w:val="none"/>
        </w:rPr>
      </w:pPr>
      <w:r>
        <w:rPr>
          <w:rFonts w:hint="eastAsia" w:ascii="仿宋" w:hAnsi="仿宋" w:eastAsia="仿宋" w:cs="Times New Roman"/>
          <w:sz w:val="24"/>
          <w:szCs w:val="20"/>
          <w:highlight w:val="none"/>
        </w:rPr>
        <w:t>致</w:t>
      </w:r>
      <w:r>
        <w:rPr>
          <w:rFonts w:hint="eastAsia" w:ascii="仿宋" w:hAnsi="仿宋" w:eastAsia="仿宋" w:cs="Times New Roman"/>
          <w:sz w:val="24"/>
          <w:szCs w:val="20"/>
          <w:highlight w:val="none"/>
          <w:lang w:val="en-US" w:eastAsia="zh-CN"/>
        </w:rPr>
        <w:t>伊犁哈萨克自治州友谊医院</w:t>
      </w:r>
      <w:r>
        <w:rPr>
          <w:rFonts w:hint="eastAsia" w:ascii="仿宋" w:hAnsi="仿宋" w:eastAsia="仿宋" w:cs="Times New Roman"/>
          <w:sz w:val="24"/>
          <w:szCs w:val="20"/>
          <w:highlight w:val="none"/>
        </w:rPr>
        <w:t>:</w:t>
      </w:r>
    </w:p>
    <w:p>
      <w:pPr>
        <w:spacing w:line="380" w:lineRule="exact"/>
        <w:ind w:firstLine="480" w:firstLineChars="200"/>
        <w:rPr>
          <w:rFonts w:ascii="仿宋" w:hAnsi="仿宋" w:eastAsia="仿宋" w:cs="Times New Roman"/>
          <w:sz w:val="24"/>
          <w:szCs w:val="20"/>
          <w:highlight w:val="none"/>
        </w:rPr>
      </w:pPr>
      <w:r>
        <w:rPr>
          <w:rFonts w:hint="eastAsia" w:ascii="仿宋" w:hAnsi="仿宋" w:eastAsia="仿宋" w:cs="Times New Roman"/>
          <w:sz w:val="24"/>
          <w:szCs w:val="20"/>
          <w:highlight w:val="none"/>
        </w:rPr>
        <w:t>关于贵方20</w:t>
      </w:r>
      <w:r>
        <w:rPr>
          <w:rFonts w:hint="eastAsia" w:ascii="仿宋" w:hAnsi="仿宋" w:eastAsia="仿宋" w:cs="Times New Roman"/>
          <w:sz w:val="24"/>
          <w:szCs w:val="20"/>
          <w:highlight w:val="none"/>
          <w:u w:val="single"/>
        </w:rPr>
        <w:t>　　</w:t>
      </w:r>
      <w:r>
        <w:rPr>
          <w:rFonts w:hint="eastAsia" w:ascii="仿宋" w:hAnsi="仿宋" w:eastAsia="仿宋" w:cs="Times New Roman"/>
          <w:sz w:val="24"/>
          <w:szCs w:val="20"/>
          <w:highlight w:val="none"/>
        </w:rPr>
        <w:t>年</w:t>
      </w:r>
      <w:r>
        <w:rPr>
          <w:rFonts w:hint="eastAsia" w:ascii="仿宋" w:hAnsi="仿宋" w:eastAsia="仿宋" w:cs="Times New Roman"/>
          <w:sz w:val="24"/>
          <w:szCs w:val="20"/>
          <w:highlight w:val="none"/>
          <w:u w:val="single"/>
        </w:rPr>
        <w:t>　　</w:t>
      </w:r>
      <w:r>
        <w:rPr>
          <w:rFonts w:hint="eastAsia" w:ascii="仿宋" w:hAnsi="仿宋" w:eastAsia="仿宋" w:cs="Times New Roman"/>
          <w:sz w:val="24"/>
          <w:szCs w:val="20"/>
          <w:highlight w:val="none"/>
        </w:rPr>
        <w:t>月</w:t>
      </w:r>
      <w:r>
        <w:rPr>
          <w:rFonts w:hint="eastAsia" w:ascii="仿宋" w:hAnsi="仿宋" w:eastAsia="仿宋" w:cs="Times New Roman"/>
          <w:sz w:val="24"/>
          <w:szCs w:val="20"/>
          <w:highlight w:val="none"/>
          <w:u w:val="single"/>
        </w:rPr>
        <w:t>　　</w:t>
      </w:r>
      <w:r>
        <w:rPr>
          <w:rFonts w:hint="eastAsia" w:ascii="仿宋" w:hAnsi="仿宋" w:eastAsia="仿宋" w:cs="Times New Roman"/>
          <w:sz w:val="24"/>
          <w:szCs w:val="20"/>
          <w:highlight w:val="none"/>
        </w:rPr>
        <w:t>日第</w:t>
      </w:r>
      <w:r>
        <w:rPr>
          <w:rFonts w:hint="eastAsia" w:ascii="仿宋" w:hAnsi="仿宋" w:eastAsia="仿宋" w:cs="Times New Roman"/>
          <w:sz w:val="24"/>
          <w:szCs w:val="20"/>
          <w:highlight w:val="none"/>
          <w:u w:val="single"/>
        </w:rPr>
        <w:t>（</w:t>
      </w:r>
      <w:r>
        <w:rPr>
          <w:rFonts w:hint="eastAsia" w:ascii="仿宋" w:hAnsi="仿宋" w:eastAsia="仿宋" w:cs="Times New Roman"/>
          <w:sz w:val="24"/>
          <w:szCs w:val="20"/>
          <w:highlight w:val="none"/>
          <w:u w:val="single"/>
          <w:lang w:val="en-US" w:eastAsia="zh-CN"/>
        </w:rPr>
        <w:t>项目</w:t>
      </w:r>
      <w:r>
        <w:rPr>
          <w:rFonts w:hint="eastAsia" w:ascii="仿宋" w:hAnsi="仿宋" w:eastAsia="仿宋" w:cs="Times New Roman"/>
          <w:sz w:val="24"/>
          <w:szCs w:val="20"/>
          <w:highlight w:val="none"/>
          <w:u w:val="single"/>
        </w:rPr>
        <w:t>编号）</w:t>
      </w:r>
      <w:r>
        <w:rPr>
          <w:rFonts w:hint="eastAsia" w:ascii="仿宋" w:hAnsi="仿宋" w:eastAsia="仿宋" w:cs="Times New Roman"/>
          <w:sz w:val="24"/>
          <w:szCs w:val="20"/>
          <w:highlight w:val="none"/>
        </w:rPr>
        <w:t>关于</w:t>
      </w:r>
      <w:r>
        <w:rPr>
          <w:rFonts w:hint="eastAsia" w:ascii="仿宋" w:hAnsi="仿宋" w:eastAsia="仿宋" w:cs="Times New Roman"/>
          <w:sz w:val="24"/>
          <w:szCs w:val="20"/>
          <w:highlight w:val="none"/>
          <w:u w:val="single"/>
        </w:rPr>
        <w:t>“　　　　　　　　”</w:t>
      </w:r>
      <w:r>
        <w:rPr>
          <w:rFonts w:hint="eastAsia" w:ascii="仿宋" w:hAnsi="仿宋" w:eastAsia="仿宋" w:cs="Times New Roman"/>
          <w:sz w:val="24"/>
          <w:szCs w:val="20"/>
          <w:highlight w:val="none"/>
        </w:rPr>
        <w:t>的招标项目，本签字人愿意参加投标，并有能力提供</w:t>
      </w:r>
      <w:r>
        <w:rPr>
          <w:rFonts w:hint="eastAsia" w:ascii="仿宋" w:hAnsi="仿宋" w:eastAsia="仿宋" w:cs="Times New Roman"/>
          <w:sz w:val="24"/>
          <w:szCs w:val="20"/>
          <w:highlight w:val="none"/>
          <w:u w:val="single"/>
        </w:rPr>
        <w:t xml:space="preserve">  （项目名称</w:t>
      </w:r>
      <w:r>
        <w:rPr>
          <w:rFonts w:hint="eastAsia" w:ascii="仿宋" w:hAnsi="仿宋" w:eastAsia="仿宋" w:cs="Times New Roman"/>
          <w:sz w:val="24"/>
          <w:szCs w:val="20"/>
          <w:highlight w:val="none"/>
          <w:u w:val="single"/>
          <w:lang w:eastAsia="zh-CN"/>
        </w:rPr>
        <w:t>、</w:t>
      </w:r>
      <w:r>
        <w:rPr>
          <w:rFonts w:hint="eastAsia" w:ascii="仿宋" w:hAnsi="仿宋" w:eastAsia="仿宋" w:cs="Times New Roman"/>
          <w:sz w:val="24"/>
          <w:szCs w:val="20"/>
          <w:highlight w:val="none"/>
          <w:u w:val="single"/>
          <w:lang w:val="en-US" w:eastAsia="zh-CN"/>
        </w:rPr>
        <w:t>标段号</w:t>
      </w:r>
      <w:r>
        <w:rPr>
          <w:rFonts w:hint="eastAsia" w:ascii="仿宋" w:hAnsi="仿宋" w:eastAsia="仿宋" w:cs="Times New Roman"/>
          <w:sz w:val="24"/>
          <w:szCs w:val="20"/>
          <w:highlight w:val="none"/>
          <w:u w:val="single"/>
        </w:rPr>
        <w:t xml:space="preserve">） </w:t>
      </w:r>
      <w:r>
        <w:rPr>
          <w:rFonts w:hint="eastAsia" w:ascii="仿宋" w:hAnsi="仿宋" w:eastAsia="仿宋" w:cs="Times New Roman"/>
          <w:sz w:val="24"/>
          <w:szCs w:val="20"/>
          <w:highlight w:val="none"/>
        </w:rPr>
        <w:t>项目中的供货和售后服务，并保证所提交的所有文件和说明是真实和准确的。</w:t>
      </w:r>
    </w:p>
    <w:p>
      <w:pPr>
        <w:spacing w:line="380" w:lineRule="exact"/>
        <w:ind w:left="420" w:leftChars="200"/>
        <w:rPr>
          <w:rFonts w:ascii="仿宋" w:hAnsi="仿宋" w:eastAsia="仿宋" w:cs="Times New Roman"/>
          <w:sz w:val="24"/>
          <w:szCs w:val="20"/>
          <w:highlight w:val="none"/>
          <w:u w:val="single"/>
        </w:rPr>
      </w:pPr>
      <w:r>
        <w:rPr>
          <w:rFonts w:hint="eastAsia" w:ascii="仿宋" w:hAnsi="仿宋" w:eastAsia="仿宋" w:cs="Times New Roman"/>
          <w:sz w:val="24"/>
          <w:szCs w:val="20"/>
          <w:highlight w:val="none"/>
        </w:rPr>
        <w:t>供应商：</w:t>
      </w:r>
      <w:r>
        <w:rPr>
          <w:rFonts w:hint="eastAsia" w:ascii="仿宋" w:hAnsi="仿宋" w:eastAsia="仿宋" w:cs="Times New Roman"/>
          <w:sz w:val="24"/>
          <w:szCs w:val="20"/>
          <w:highlight w:val="none"/>
          <w:u w:val="single"/>
        </w:rPr>
        <w:t>　供应商名称　</w:t>
      </w:r>
      <w:r>
        <w:rPr>
          <w:rFonts w:hint="eastAsia" w:ascii="仿宋" w:hAnsi="仿宋" w:eastAsia="仿宋" w:cs="Times New Roman"/>
          <w:sz w:val="24"/>
          <w:szCs w:val="20"/>
          <w:highlight w:val="none"/>
        </w:rPr>
        <w:t>　　　　　　签字人姓名、职务：</w:t>
      </w:r>
    </w:p>
    <w:p>
      <w:pPr>
        <w:spacing w:line="380" w:lineRule="exact"/>
        <w:ind w:left="420" w:leftChars="200"/>
        <w:rPr>
          <w:rFonts w:ascii="仿宋" w:hAnsi="仿宋" w:eastAsia="仿宋" w:cs="Times New Roman"/>
          <w:sz w:val="24"/>
          <w:szCs w:val="20"/>
          <w:highlight w:val="none"/>
        </w:rPr>
      </w:pPr>
      <w:r>
        <w:rPr>
          <w:rFonts w:hint="eastAsia" w:ascii="仿宋" w:hAnsi="仿宋" w:eastAsia="仿宋" w:cs="Times New Roman"/>
          <w:sz w:val="24"/>
          <w:szCs w:val="20"/>
          <w:highlight w:val="none"/>
        </w:rPr>
        <w:t>地址：　　　　　　　　　　　　 　 授权签署本资格文件人：</w:t>
      </w:r>
      <w:r>
        <w:rPr>
          <w:rFonts w:hint="eastAsia" w:ascii="仿宋" w:hAnsi="仿宋" w:eastAsia="仿宋" w:cs="Times New Roman"/>
          <w:sz w:val="24"/>
          <w:szCs w:val="20"/>
          <w:highlight w:val="none"/>
          <w:u w:val="single"/>
        </w:rPr>
        <w:t>授权人姓名</w:t>
      </w:r>
    </w:p>
    <w:p>
      <w:pPr>
        <w:spacing w:line="380" w:lineRule="exact"/>
        <w:ind w:left="420" w:leftChars="200"/>
        <w:rPr>
          <w:rFonts w:ascii="仿宋" w:hAnsi="仿宋" w:eastAsia="仿宋" w:cs="Times New Roman"/>
          <w:sz w:val="24"/>
          <w:szCs w:val="20"/>
          <w:highlight w:val="none"/>
        </w:rPr>
      </w:pPr>
      <w:r>
        <w:rPr>
          <w:rFonts w:hint="eastAsia" w:ascii="仿宋" w:hAnsi="仿宋" w:eastAsia="仿宋" w:cs="Times New Roman"/>
          <w:sz w:val="24"/>
          <w:szCs w:val="20"/>
          <w:highlight w:val="none"/>
        </w:rPr>
        <w:t>传真：　　　　　　  　邮编：　　　　　　　　　　　　</w:t>
      </w:r>
    </w:p>
    <w:p>
      <w:pPr>
        <w:spacing w:line="380" w:lineRule="exact"/>
        <w:ind w:left="420" w:leftChars="200"/>
        <w:rPr>
          <w:rFonts w:ascii="仿宋" w:hAnsi="仿宋" w:eastAsia="仿宋" w:cs="Times New Roman"/>
          <w:szCs w:val="20"/>
          <w:highlight w:val="none"/>
        </w:rPr>
      </w:pPr>
      <w:r>
        <w:rPr>
          <w:rFonts w:hint="eastAsia" w:ascii="仿宋" w:hAnsi="仿宋" w:eastAsia="仿宋" w:cs="Times New Roman"/>
          <w:sz w:val="24"/>
          <w:szCs w:val="20"/>
          <w:highlight w:val="none"/>
        </w:rPr>
        <w:t>盖章：　　　　　　　　　　　　　  电话：　</w:t>
      </w:r>
      <w:r>
        <w:rPr>
          <w:rFonts w:hint="eastAsia" w:ascii="仿宋" w:hAnsi="仿宋" w:eastAsia="仿宋" w:cs="Times New Roman"/>
          <w:szCs w:val="20"/>
          <w:highlight w:val="none"/>
        </w:rPr>
        <w:t>　　　　　　　</w:t>
      </w:r>
    </w:p>
    <w:p>
      <w:pPr>
        <w:numPr>
          <w:ilvl w:val="0"/>
          <w:numId w:val="6"/>
        </w:numPr>
        <w:spacing w:line="380" w:lineRule="exact"/>
        <w:ind w:left="7108" w:leftChars="0" w:firstLine="0" w:firstLineChars="0"/>
        <w:jc w:val="center"/>
        <w:rPr>
          <w:rFonts w:hint="eastAsia" w:ascii="仿宋" w:hAnsi="仿宋" w:eastAsia="仿宋" w:cs="Times New Roman"/>
          <w:bCs/>
          <w:sz w:val="24"/>
          <w:szCs w:val="20"/>
          <w:highlight w:val="none"/>
        </w:rPr>
      </w:pPr>
      <w:r>
        <w:rPr>
          <w:rFonts w:hint="eastAsia" w:ascii="仿宋" w:hAnsi="仿宋" w:eastAsia="仿宋" w:cs="Times New Roman"/>
          <w:bCs/>
          <w:sz w:val="24"/>
          <w:szCs w:val="20"/>
          <w:highlight w:val="none"/>
          <w:u w:val="single"/>
        </w:rPr>
        <w:t>　</w:t>
      </w:r>
      <w:r>
        <w:rPr>
          <w:rFonts w:hint="eastAsia" w:ascii="仿宋" w:hAnsi="仿宋" w:eastAsia="仿宋" w:cs="Times New Roman"/>
          <w:bCs/>
          <w:sz w:val="24"/>
          <w:szCs w:val="20"/>
          <w:highlight w:val="none"/>
        </w:rPr>
        <w:t>年</w:t>
      </w:r>
      <w:r>
        <w:rPr>
          <w:rFonts w:hint="eastAsia" w:ascii="仿宋" w:hAnsi="仿宋" w:eastAsia="仿宋" w:cs="Times New Roman"/>
          <w:bCs/>
          <w:sz w:val="24"/>
          <w:szCs w:val="20"/>
          <w:highlight w:val="none"/>
          <w:u w:val="single"/>
        </w:rPr>
        <w:t>　</w:t>
      </w:r>
      <w:r>
        <w:rPr>
          <w:rFonts w:hint="eastAsia" w:ascii="仿宋" w:hAnsi="仿宋" w:eastAsia="仿宋" w:cs="Times New Roman"/>
          <w:bCs/>
          <w:sz w:val="24"/>
          <w:szCs w:val="20"/>
          <w:highlight w:val="none"/>
        </w:rPr>
        <w:t>月</w:t>
      </w:r>
      <w:r>
        <w:rPr>
          <w:rFonts w:hint="eastAsia" w:ascii="仿宋" w:hAnsi="仿宋" w:eastAsia="仿宋" w:cs="Times New Roman"/>
          <w:bCs/>
          <w:sz w:val="24"/>
          <w:szCs w:val="20"/>
          <w:highlight w:val="none"/>
          <w:u w:val="single"/>
        </w:rPr>
        <w:t>　</w:t>
      </w:r>
      <w:r>
        <w:rPr>
          <w:rFonts w:hint="eastAsia" w:ascii="仿宋" w:hAnsi="仿宋" w:eastAsia="仿宋" w:cs="Times New Roman"/>
          <w:bCs/>
          <w:sz w:val="24"/>
          <w:szCs w:val="20"/>
          <w:highlight w:val="none"/>
        </w:rPr>
        <w:t>日</w:t>
      </w:r>
      <w:bookmarkStart w:id="307" w:name="_Toc17429"/>
      <w:bookmarkStart w:id="308" w:name="_Toc1255"/>
      <w:bookmarkStart w:id="309" w:name="_Toc3640"/>
      <w:bookmarkStart w:id="310" w:name="_Toc8441"/>
      <w:bookmarkStart w:id="311" w:name="_Toc6509"/>
      <w:bookmarkStart w:id="312" w:name="_Toc10792"/>
      <w:bookmarkStart w:id="313" w:name="_Toc10815"/>
      <w:bookmarkStart w:id="314" w:name="_Toc10673"/>
      <w:bookmarkStart w:id="315" w:name="_Toc22678_WPSOffice_Level2"/>
      <w:bookmarkStart w:id="316" w:name="_Toc13542"/>
      <w:bookmarkStart w:id="317" w:name="_Toc17568"/>
      <w:bookmarkStart w:id="318" w:name="_Toc16155"/>
      <w:bookmarkStart w:id="319" w:name="_Toc28992"/>
      <w:bookmarkStart w:id="320" w:name="_Toc28959"/>
      <w:bookmarkStart w:id="321" w:name="_Toc913"/>
      <w:bookmarkStart w:id="322" w:name="_Toc9032"/>
    </w:p>
    <w:p>
      <w:pPr>
        <w:pStyle w:val="26"/>
        <w:numPr>
          <w:ilvl w:val="0"/>
          <w:numId w:val="0"/>
        </w:numPr>
        <w:ind w:left="7108" w:leftChars="0"/>
        <w:rPr>
          <w:rFonts w:hint="eastAsia"/>
        </w:rPr>
      </w:pPr>
    </w:p>
    <w:p>
      <w:pPr>
        <w:pStyle w:val="4"/>
        <w:spacing w:before="0" w:line="360" w:lineRule="auto"/>
        <w:jc w:val="center"/>
        <w:rPr>
          <w:rFonts w:hint="eastAsia" w:ascii="仿宋" w:hAnsi="仿宋" w:eastAsia="仿宋" w:cs="仿宋"/>
          <w:b/>
          <w:bCs/>
          <w:sz w:val="32"/>
          <w:szCs w:val="32"/>
          <w:highlight w:val="none"/>
        </w:rPr>
      </w:pPr>
    </w:p>
    <w:p>
      <w:pPr>
        <w:pStyle w:val="4"/>
        <w:spacing w:before="0" w:line="360" w:lineRule="auto"/>
        <w:jc w:val="center"/>
        <w:rPr>
          <w:rFonts w:hint="eastAsia" w:ascii="仿宋" w:hAnsi="仿宋" w:eastAsia="仿宋" w:cs="仿宋"/>
          <w:b/>
          <w:bCs/>
          <w:sz w:val="32"/>
          <w:szCs w:val="32"/>
          <w:highlight w:val="none"/>
        </w:rPr>
      </w:pPr>
    </w:p>
    <w:p>
      <w:pPr>
        <w:pStyle w:val="4"/>
        <w:spacing w:before="0" w:line="360" w:lineRule="auto"/>
        <w:jc w:val="center"/>
        <w:rPr>
          <w:rFonts w:hint="eastAsia" w:ascii="仿宋" w:hAnsi="仿宋" w:eastAsia="仿宋" w:cs="Times New Roman"/>
          <w:b/>
          <w:bCs w:val="0"/>
          <w:kern w:val="2"/>
          <w:sz w:val="32"/>
          <w:szCs w:val="32"/>
          <w:highlight w:val="none"/>
          <w:lang w:val="en-US" w:eastAsia="zh-CN" w:bidi="ar-SA"/>
        </w:rPr>
      </w:pPr>
      <w:r>
        <w:rPr>
          <w:rFonts w:hint="eastAsia" w:ascii="仿宋" w:hAnsi="仿宋" w:eastAsia="仿宋" w:cs="仿宋"/>
          <w:b/>
          <w:bCs/>
          <w:sz w:val="32"/>
          <w:szCs w:val="32"/>
          <w:highlight w:val="none"/>
        </w:rPr>
        <w:t>（三）</w:t>
      </w:r>
      <w:r>
        <w:rPr>
          <w:rFonts w:hint="eastAsia" w:ascii="仿宋" w:hAnsi="仿宋" w:eastAsia="仿宋" w:cs="Times New Roman"/>
          <w:b/>
          <w:bCs w:val="0"/>
          <w:kern w:val="2"/>
          <w:sz w:val="32"/>
          <w:szCs w:val="32"/>
          <w:highlight w:val="none"/>
          <w:lang w:val="en-US" w:eastAsia="zh-CN" w:bidi="ar-SA"/>
        </w:rPr>
        <w:t>法定代表人身份证明书</w:t>
      </w:r>
    </w:p>
    <w:p>
      <w:pPr>
        <w:rPr>
          <w:rFonts w:hint="eastAsia" w:ascii="仿宋" w:hAnsi="仿宋" w:eastAsia="仿宋" w:cs="仿宋"/>
          <w:sz w:val="24"/>
          <w:szCs w:val="24"/>
          <w:highlight w:val="none"/>
        </w:rPr>
      </w:pPr>
      <w:r>
        <w:rPr>
          <w:rFonts w:hint="eastAsia" w:ascii="仿宋" w:hAnsi="仿宋" w:eastAsia="仿宋" w:cs="Times New Roman"/>
          <w:sz w:val="24"/>
          <w:szCs w:val="20"/>
          <w:highlight w:val="none"/>
        </w:rPr>
        <w:t>致</w:t>
      </w:r>
      <w:r>
        <w:rPr>
          <w:rFonts w:hint="eastAsia" w:ascii="仿宋" w:hAnsi="仿宋" w:eastAsia="仿宋" w:cs="Times New Roman"/>
          <w:sz w:val="24"/>
          <w:szCs w:val="20"/>
          <w:highlight w:val="none"/>
          <w:lang w:val="en-US" w:eastAsia="zh-CN"/>
        </w:rPr>
        <w:t>伊犁哈萨克自治州友谊医院</w:t>
      </w:r>
      <w:r>
        <w:rPr>
          <w:rFonts w:hint="eastAsia" w:ascii="仿宋" w:hAnsi="仿宋" w:eastAsia="仿宋" w:cs="仿宋"/>
          <w:sz w:val="24"/>
          <w:szCs w:val="24"/>
          <w:highlight w:val="none"/>
        </w:rPr>
        <w:t>：</w:t>
      </w:r>
    </w:p>
    <w:p>
      <w:pPr>
        <w:ind w:left="239" w:leftChars="114"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（姓名、性别、年龄、身份证号码）在我</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"https://baike.baidu.com/item/%E5%8D%95%E4%BD%8D/32292"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单位</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（董事长、总经理等）职务，是我单位的法定代表人。</w:t>
      </w:r>
    </w:p>
    <w:p>
      <w:pPr>
        <w:ind w:left="239" w:leftChars="114" w:firstLine="480" w:firstLineChars="200"/>
        <w:rPr>
          <w:rFonts w:hint="eastAsia" w:ascii="仿宋" w:hAnsi="仿宋" w:eastAsia="仿宋" w:cs="仿宋"/>
          <w:sz w:val="24"/>
          <w:szCs w:val="24"/>
          <w:highlight w:val="none"/>
        </w:rPr>
      </w:pPr>
    </w:p>
    <w:p>
      <w:pPr>
        <w:ind w:left="239" w:leftChars="114" w:firstLine="480" w:firstLineChars="200"/>
        <w:rPr>
          <w:rFonts w:ascii="宋体" w:hAnsi="宋体"/>
          <w:sz w:val="24"/>
        </w:rPr>
      </w:pPr>
      <w:r>
        <w:rPr>
          <w:rFonts w:hint="eastAsia" w:ascii="仿宋" w:hAnsi="仿宋" w:eastAsia="仿宋" w:cs="仿宋"/>
          <w:sz w:val="24"/>
          <w:szCs w:val="24"/>
          <w:highlight w:val="none"/>
        </w:rPr>
        <w:t>特此证明。</w:t>
      </w:r>
    </w:p>
    <w:p>
      <w:pPr>
        <w:spacing w:line="380" w:lineRule="exact"/>
        <w:jc w:val="center"/>
        <w:outlineLvl w:val="0"/>
        <w:rPr>
          <w:rFonts w:ascii="仿宋" w:hAnsi="仿宋" w:eastAsia="仿宋" w:cs="Times New Roman"/>
          <w:szCs w:val="20"/>
          <w:highlight w:val="none"/>
        </w:rPr>
      </w:pPr>
      <w:r>
        <w:rPr>
          <w:rFonts w:hint="eastAsia" w:ascii="宋体" w:hAnsi="宋体" w:eastAsia="宋体" w:cs="宋体"/>
          <w:b/>
          <w:bCs/>
          <w:sz w:val="28"/>
          <w:szCs w:val="28"/>
          <w:highlight w:val="none"/>
        </w:rPr>
        <w:t>法定代表人身份证复印件</w:t>
      </w:r>
    </w:p>
    <w:tbl>
      <w:tblPr>
        <w:tblStyle w:val="20"/>
        <w:tblpPr w:leftFromText="180" w:rightFromText="180" w:vertAnchor="text" w:horzAnchor="page" w:tblpX="2526" w:tblpY="515"/>
        <w:tblOverlap w:val="never"/>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422" w:type="dxa"/>
            <w:vAlign w:val="center"/>
          </w:tcPr>
          <w:p>
            <w:pPr>
              <w:spacing w:line="380" w:lineRule="exact"/>
              <w:jc w:val="center"/>
              <w:outlineLvl w:val="0"/>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 xml:space="preserve">正面 </w:t>
            </w:r>
          </w:p>
        </w:tc>
        <w:tc>
          <w:tcPr>
            <w:tcW w:w="3574" w:type="dxa"/>
            <w:vAlign w:val="center"/>
          </w:tcPr>
          <w:p>
            <w:pPr>
              <w:spacing w:line="380" w:lineRule="exact"/>
              <w:jc w:val="center"/>
              <w:outlineLvl w:val="0"/>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 xml:space="preserve">背面 </w:t>
            </w:r>
          </w:p>
        </w:tc>
      </w:tr>
    </w:tbl>
    <w:p>
      <w:pPr>
        <w:pStyle w:val="9"/>
        <w:tabs>
          <w:tab w:val="left" w:pos="5580"/>
        </w:tabs>
        <w:spacing w:line="360" w:lineRule="auto"/>
        <w:rPr>
          <w:rFonts w:hint="eastAsia" w:ascii="仿宋" w:hAnsi="仿宋" w:eastAsia="仿宋" w:cs="仿宋"/>
          <w:kern w:val="2"/>
          <w:sz w:val="24"/>
          <w:szCs w:val="24"/>
          <w:highlight w:val="none"/>
          <w:lang w:val="en-US" w:eastAsia="zh-CN" w:bidi="ar-SA"/>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ind w:firstLine="1200" w:firstLineChars="5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法人代表签字：</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pPr>
        <w:pStyle w:val="26"/>
        <w:ind w:left="0" w:leftChars="0" w:firstLine="1200" w:firstLineChars="500"/>
        <w:rPr>
          <w:rFonts w:hint="eastAsia"/>
          <w:lang w:val="en-US" w:eastAsia="zh-CN"/>
        </w:rPr>
      </w:pPr>
      <w:r>
        <w:rPr>
          <w:rFonts w:hint="eastAsia" w:ascii="仿宋" w:hAnsi="仿宋" w:eastAsia="仿宋" w:cs="仿宋"/>
          <w:kern w:val="2"/>
          <w:sz w:val="24"/>
          <w:szCs w:val="24"/>
          <w:highlight w:val="none"/>
          <w:lang w:val="en-US" w:eastAsia="zh-CN" w:bidi="ar-SA"/>
        </w:rPr>
        <w:t xml:space="preserve">投标人（盖公章）： </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 xml:space="preserve"> </w:t>
      </w:r>
    </w:p>
    <w:p>
      <w:pPr>
        <w:ind w:firstLine="1200" w:firstLineChars="500"/>
        <w:rPr>
          <w:rFonts w:hint="eastAsia" w:ascii="仿宋" w:hAnsi="仿宋" w:eastAsia="仿宋" w:cs="仿宋"/>
          <w:sz w:val="24"/>
          <w:szCs w:val="24"/>
          <w:highlight w:val="none"/>
        </w:rPr>
      </w:pPr>
      <w:r>
        <w:rPr>
          <w:rFonts w:hint="eastAsia" w:ascii="仿宋" w:hAnsi="仿宋" w:eastAsia="仿宋" w:cs="仿宋"/>
          <w:sz w:val="24"/>
          <w:szCs w:val="24"/>
          <w:highlight w:val="none"/>
        </w:rPr>
        <w:t>日期：20</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w:t>
      </w:r>
    </w:p>
    <w:p>
      <w:pPr>
        <w:pStyle w:val="26"/>
        <w:ind w:left="0" w:leftChars="0" w:firstLine="1205" w:firstLineChars="500"/>
      </w:pPr>
      <w:r>
        <w:rPr>
          <w:rFonts w:hint="eastAsia" w:ascii="仿宋" w:hAnsi="仿宋" w:eastAsia="仿宋" w:cs="Times New Roman"/>
          <w:b/>
          <w:sz w:val="24"/>
          <w:szCs w:val="20"/>
          <w:highlight w:val="none"/>
        </w:rPr>
        <w:t>注：</w:t>
      </w:r>
      <w:r>
        <w:rPr>
          <w:rFonts w:hint="eastAsia" w:ascii="仿宋" w:hAnsi="仿宋" w:eastAsia="仿宋" w:cs="Times New Roman"/>
          <w:b/>
          <w:sz w:val="24"/>
          <w:szCs w:val="20"/>
          <w:highlight w:val="none"/>
          <w:lang w:val="en-US" w:eastAsia="zh-CN"/>
        </w:rPr>
        <w:t>被授权人参加采购活动的，可不提供此项证明文件。</w:t>
      </w:r>
    </w:p>
    <w:p>
      <w:pPr>
        <w:keepNext/>
        <w:keepLines/>
        <w:spacing w:before="260" w:after="260"/>
        <w:jc w:val="center"/>
        <w:outlineLvl w:val="1"/>
        <w:rPr>
          <w:rFonts w:hint="eastAsia" w:ascii="仿宋" w:hAnsi="仿宋" w:eastAsia="仿宋" w:cs="仿宋"/>
          <w:b/>
          <w:bCs/>
          <w:sz w:val="32"/>
          <w:szCs w:val="32"/>
          <w:highlight w:val="none"/>
          <w:lang w:eastAsia="zh-CN"/>
        </w:rPr>
      </w:pPr>
    </w:p>
    <w:p>
      <w:pPr>
        <w:keepNext/>
        <w:keepLines/>
        <w:spacing w:before="260" w:after="260"/>
        <w:jc w:val="both"/>
        <w:outlineLvl w:val="1"/>
        <w:rPr>
          <w:rFonts w:hint="eastAsia" w:ascii="仿宋" w:hAnsi="仿宋" w:eastAsia="仿宋" w:cs="仿宋"/>
          <w:b/>
          <w:bCs/>
          <w:sz w:val="32"/>
          <w:szCs w:val="32"/>
          <w:highlight w:val="none"/>
          <w:lang w:eastAsia="zh-CN"/>
        </w:rPr>
      </w:pPr>
    </w:p>
    <w:p>
      <w:pPr>
        <w:keepNext/>
        <w:keepLines/>
        <w:spacing w:before="260" w:after="260"/>
        <w:jc w:val="center"/>
        <w:outlineLvl w:val="1"/>
        <w:rPr>
          <w:rFonts w:hint="eastAsia" w:ascii="仿宋" w:hAnsi="仿宋" w:eastAsia="仿宋" w:cs="仿宋"/>
          <w:b/>
          <w:bCs/>
          <w:sz w:val="32"/>
          <w:szCs w:val="32"/>
          <w:highlight w:val="none"/>
          <w:lang w:eastAsia="zh-CN"/>
        </w:rPr>
      </w:pPr>
    </w:p>
    <w:p>
      <w:pPr>
        <w:keepNext/>
        <w:keepLines/>
        <w:spacing w:before="260" w:after="260"/>
        <w:jc w:val="center"/>
        <w:outlineLvl w:val="1"/>
        <w:rPr>
          <w:rFonts w:hint="eastAsia" w:ascii="仿宋" w:hAnsi="仿宋" w:eastAsia="仿宋" w:cs="Times New Roman"/>
          <w:b/>
          <w:bCs w:val="0"/>
          <w:kern w:val="2"/>
          <w:sz w:val="32"/>
          <w:szCs w:val="32"/>
          <w:highlight w:val="none"/>
          <w:lang w:val="en-US" w:eastAsia="zh-CN" w:bidi="ar-SA"/>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eastAsia="zh-CN"/>
        </w:rPr>
        <w:t>）</w:t>
      </w:r>
      <w:r>
        <w:rPr>
          <w:rFonts w:hint="eastAsia" w:ascii="仿宋" w:hAnsi="仿宋" w:eastAsia="仿宋" w:cs="Times New Roman"/>
          <w:b/>
          <w:bCs w:val="0"/>
          <w:kern w:val="2"/>
          <w:sz w:val="32"/>
          <w:szCs w:val="32"/>
          <w:highlight w:val="none"/>
          <w:lang w:val="en-US" w:eastAsia="zh-CN" w:bidi="ar-SA"/>
        </w:rPr>
        <w:t>法人代表授权书</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ind w:left="239" w:leftChars="114"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本授权书声明:我（</w:t>
      </w:r>
      <w:r>
        <w:rPr>
          <w:rFonts w:hint="eastAsia" w:ascii="仿宋" w:hAnsi="仿宋" w:eastAsia="仿宋" w:cs="仿宋"/>
          <w:sz w:val="24"/>
          <w:szCs w:val="24"/>
          <w:highlight w:val="none"/>
          <w:u w:val="single"/>
        </w:rPr>
        <w:t xml:space="preserve">姓名）           </w:t>
      </w:r>
      <w:r>
        <w:rPr>
          <w:rFonts w:hint="eastAsia" w:ascii="仿宋" w:hAnsi="仿宋" w:eastAsia="仿宋" w:cs="仿宋"/>
          <w:sz w:val="24"/>
          <w:szCs w:val="24"/>
          <w:highlight w:val="none"/>
        </w:rPr>
        <w:t>系</w:t>
      </w:r>
      <w:r>
        <w:rPr>
          <w:rFonts w:hint="eastAsia" w:ascii="仿宋" w:hAnsi="仿宋" w:eastAsia="仿宋" w:cs="Times New Roman"/>
          <w:sz w:val="24"/>
          <w:szCs w:val="20"/>
          <w:highlight w:val="none"/>
        </w:rPr>
        <w:t>注册于</w:t>
      </w:r>
      <w:r>
        <w:rPr>
          <w:rFonts w:hint="eastAsia" w:ascii="仿宋" w:hAnsi="仿宋" w:eastAsia="仿宋" w:cs="Times New Roman"/>
          <w:sz w:val="24"/>
          <w:szCs w:val="20"/>
          <w:highlight w:val="none"/>
          <w:u w:val="single"/>
        </w:rPr>
        <w:t xml:space="preserve">（地区的名称）             </w:t>
      </w:r>
      <w:r>
        <w:rPr>
          <w:rFonts w:hint="eastAsia" w:ascii="仿宋" w:hAnsi="仿宋" w:eastAsia="仿宋" w:cs="仿宋"/>
          <w:sz w:val="24"/>
          <w:szCs w:val="24"/>
          <w:highlight w:val="none"/>
          <w:u w:val="single"/>
        </w:rPr>
        <w:t xml:space="preserve">（供应商名称）                                 </w:t>
      </w:r>
      <w:r>
        <w:rPr>
          <w:rFonts w:hint="eastAsia" w:ascii="仿宋" w:hAnsi="仿宋" w:eastAsia="仿宋" w:cs="仿宋"/>
          <w:sz w:val="24"/>
          <w:szCs w:val="24"/>
          <w:highlight w:val="none"/>
        </w:rPr>
        <w:t>的法定代表人，现授权（</w:t>
      </w:r>
      <w:r>
        <w:rPr>
          <w:rFonts w:hint="eastAsia" w:ascii="仿宋" w:hAnsi="仿宋" w:eastAsia="仿宋" w:cs="仿宋"/>
          <w:sz w:val="24"/>
          <w:szCs w:val="24"/>
          <w:highlight w:val="none"/>
          <w:u w:val="single"/>
        </w:rPr>
        <w:t xml:space="preserve">姓名）       </w:t>
      </w:r>
      <w:r>
        <w:rPr>
          <w:rFonts w:hint="eastAsia" w:ascii="仿宋" w:hAnsi="仿宋" w:eastAsia="仿宋" w:cs="仿宋"/>
          <w:sz w:val="24"/>
          <w:szCs w:val="24"/>
          <w:highlight w:val="none"/>
        </w:rPr>
        <w:t>为我公司被授权人，以本公司的名义参加</w:t>
      </w:r>
      <w:r>
        <w:rPr>
          <w:rFonts w:hint="eastAsia" w:ascii="仿宋" w:hAnsi="仿宋" w:eastAsia="仿宋" w:cs="仿宋"/>
          <w:sz w:val="24"/>
          <w:szCs w:val="24"/>
          <w:highlight w:val="none"/>
          <w:u w:val="single"/>
        </w:rPr>
        <w:t>（采购单位名称）                    （项目名称</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标段号</w:t>
      </w:r>
      <w:r>
        <w:rPr>
          <w:rFonts w:hint="eastAsia" w:ascii="仿宋" w:hAnsi="仿宋" w:eastAsia="仿宋" w:cs="仿宋"/>
          <w:sz w:val="24"/>
          <w:szCs w:val="24"/>
          <w:highlight w:val="none"/>
          <w:u w:val="single"/>
        </w:rPr>
        <w:t>）               （文件编号）【XJDB-20</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u w:val="single"/>
        </w:rPr>
        <w:t>GK-0  号】</w:t>
      </w:r>
      <w:r>
        <w:rPr>
          <w:rFonts w:hint="eastAsia" w:ascii="仿宋" w:hAnsi="仿宋" w:eastAsia="仿宋" w:cs="仿宋"/>
          <w:sz w:val="24"/>
          <w:szCs w:val="24"/>
          <w:highlight w:val="none"/>
        </w:rPr>
        <w:t>的采购招标活动。被授权人在本次采购招标过程中所签署的一切文件和处理与之有关的一切事务,我均予以承认。</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本授权书于20</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日签字生效，被授权人无转让权,特此授权。</w:t>
      </w:r>
    </w:p>
    <w:p>
      <w:pPr>
        <w:ind w:firstLine="482"/>
        <w:rPr>
          <w:rFonts w:ascii="仿宋" w:hAnsi="仿宋" w:eastAsia="仿宋" w:cs="仿宋"/>
          <w:sz w:val="24"/>
          <w:szCs w:val="24"/>
          <w:highlight w:val="none"/>
        </w:rPr>
      </w:pPr>
      <w:r>
        <w:rPr>
          <w:rFonts w:hint="eastAsia" w:ascii="仿宋" w:hAnsi="仿宋" w:eastAsia="仿宋" w:cs="仿宋"/>
          <w:sz w:val="24"/>
          <w:szCs w:val="24"/>
          <w:highlight w:val="none"/>
        </w:rPr>
        <w:t>法人代表签字：</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　联系电话：</w:t>
      </w:r>
      <w:r>
        <w:rPr>
          <w:rFonts w:hint="eastAsia" w:ascii="仿宋" w:hAnsi="仿宋" w:eastAsia="仿宋" w:cs="仿宋"/>
          <w:sz w:val="24"/>
          <w:szCs w:val="24"/>
          <w:highlight w:val="none"/>
          <w:u w:val="single"/>
        </w:rPr>
        <w:t>　               　</w:t>
      </w:r>
    </w:p>
    <w:p>
      <w:pPr>
        <w:ind w:firstLine="482"/>
        <w:rPr>
          <w:rFonts w:ascii="仿宋" w:hAnsi="仿宋" w:eastAsia="仿宋" w:cs="仿宋"/>
          <w:sz w:val="24"/>
          <w:szCs w:val="24"/>
          <w:highlight w:val="none"/>
        </w:rPr>
      </w:pPr>
      <w:r>
        <w:rPr>
          <w:rFonts w:hint="eastAsia" w:ascii="仿宋" w:hAnsi="仿宋" w:eastAsia="仿宋" w:cs="仿宋"/>
          <w:sz w:val="24"/>
          <w:szCs w:val="24"/>
          <w:highlight w:val="none"/>
        </w:rPr>
        <w:t>被授权人签字：</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　联系电话：</w:t>
      </w:r>
      <w:r>
        <w:rPr>
          <w:rFonts w:hint="eastAsia" w:ascii="仿宋" w:hAnsi="仿宋" w:eastAsia="仿宋" w:cs="仿宋"/>
          <w:sz w:val="24"/>
          <w:szCs w:val="24"/>
          <w:highlight w:val="none"/>
          <w:u w:val="single"/>
        </w:rPr>
        <w:t xml:space="preserve">             　　　</w:t>
      </w:r>
    </w:p>
    <w:p>
      <w:pPr>
        <w:ind w:firstLine="482"/>
        <w:rPr>
          <w:rFonts w:ascii="仿宋" w:hAnsi="仿宋" w:eastAsia="仿宋" w:cs="仿宋"/>
          <w:sz w:val="24"/>
          <w:szCs w:val="24"/>
          <w:highlight w:val="none"/>
        </w:rPr>
      </w:pPr>
      <w:r>
        <w:rPr>
          <w:rFonts w:hint="eastAsia" w:ascii="仿宋" w:hAnsi="仿宋" w:eastAsia="仿宋" w:cs="仿宋"/>
          <w:sz w:val="24"/>
          <w:szCs w:val="24"/>
          <w:highlight w:val="none"/>
        </w:rPr>
        <w:t>公       章：</w:t>
      </w:r>
    </w:p>
    <w:p>
      <w:pPr>
        <w:ind w:firstLine="482"/>
        <w:rPr>
          <w:rFonts w:ascii="仿宋" w:hAnsi="仿宋" w:eastAsia="仿宋" w:cs="仿宋"/>
          <w:sz w:val="24"/>
          <w:szCs w:val="24"/>
          <w:highlight w:val="none"/>
        </w:rPr>
      </w:pPr>
    </w:p>
    <w:p>
      <w:pPr>
        <w:ind w:firstLine="480"/>
        <w:rPr>
          <w:rFonts w:ascii="仿宋" w:hAnsi="仿宋" w:eastAsia="仿宋" w:cs="仿宋"/>
          <w:sz w:val="24"/>
          <w:szCs w:val="24"/>
          <w:highlight w:val="none"/>
          <w:u w:val="single"/>
        </w:rPr>
      </w:pPr>
      <w:r>
        <w:rPr>
          <w:rFonts w:hint="eastAsia" w:ascii="仿宋" w:hAnsi="仿宋" w:eastAsia="仿宋" w:cs="仿宋"/>
          <w:sz w:val="24"/>
          <w:szCs w:val="24"/>
          <w:highlight w:val="none"/>
        </w:rPr>
        <w:t>　　　　　　　　　　　　　　授权日期：20</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w:t>
      </w:r>
    </w:p>
    <w:p>
      <w:pPr>
        <w:rPr>
          <w:rFonts w:ascii="仿宋" w:hAnsi="仿宋" w:eastAsia="仿宋" w:cs="Times New Roman"/>
          <w:szCs w:val="20"/>
          <w:highlight w:val="none"/>
        </w:rPr>
      </w:pPr>
      <w:r>
        <w:rPr>
          <w:rFonts w:hint="eastAsia" w:ascii="仿宋" w:hAnsi="仿宋" w:eastAsia="仿宋" w:cs="Times New Roman"/>
          <w:b/>
          <w:sz w:val="24"/>
          <w:szCs w:val="20"/>
          <w:highlight w:val="none"/>
        </w:rPr>
        <w:t>注：法定代表人亲自参加采购活动的，可不提供此项证明文件。</w:t>
      </w:r>
    </w:p>
    <w:p>
      <w:pPr>
        <w:spacing w:line="380" w:lineRule="exact"/>
        <w:jc w:val="center"/>
        <w:outlineLvl w:val="0"/>
        <w:rPr>
          <w:rFonts w:ascii="仿宋" w:hAnsi="仿宋" w:eastAsia="仿宋" w:cs="Times New Roman"/>
          <w:szCs w:val="20"/>
          <w:highlight w:val="none"/>
        </w:rPr>
      </w:pPr>
    </w:p>
    <w:p>
      <w:pPr>
        <w:spacing w:line="380" w:lineRule="exact"/>
        <w:jc w:val="center"/>
        <w:outlineLvl w:val="0"/>
        <w:rPr>
          <w:rFonts w:ascii="仿宋" w:hAnsi="仿宋" w:eastAsia="仿宋" w:cs="Times New Roman"/>
          <w:szCs w:val="20"/>
          <w:highlight w:val="none"/>
        </w:rPr>
      </w:pPr>
      <w:bookmarkStart w:id="323" w:name="_Toc26910"/>
      <w:r>
        <w:rPr>
          <w:rFonts w:hint="eastAsia" w:ascii="宋体" w:hAnsi="宋体" w:eastAsia="宋体" w:cs="宋体"/>
          <w:b/>
          <w:bCs/>
          <w:sz w:val="28"/>
          <w:szCs w:val="28"/>
          <w:highlight w:val="none"/>
        </w:rPr>
        <w:t>法定代表人身份证复印件</w:t>
      </w:r>
      <w:bookmarkEnd w:id="323"/>
    </w:p>
    <w:tbl>
      <w:tblPr>
        <w:tblStyle w:val="20"/>
        <w:tblW w:w="8620" w:type="dxa"/>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4327" w:type="dxa"/>
            <w:vAlign w:val="center"/>
          </w:tcPr>
          <w:p>
            <w:pPr>
              <w:spacing w:line="380" w:lineRule="exact"/>
              <w:jc w:val="center"/>
              <w:outlineLvl w:val="0"/>
              <w:rPr>
                <w:rFonts w:ascii="仿宋" w:hAnsi="仿宋" w:eastAsia="仿宋" w:cs="Times New Roman"/>
                <w:b/>
                <w:bCs/>
                <w:sz w:val="28"/>
                <w:szCs w:val="28"/>
                <w:highlight w:val="none"/>
              </w:rPr>
            </w:pPr>
            <w:bookmarkStart w:id="324" w:name="_Toc12022"/>
            <w:r>
              <w:rPr>
                <w:rFonts w:hint="eastAsia" w:ascii="仿宋" w:hAnsi="仿宋" w:eastAsia="仿宋" w:cs="Times New Roman"/>
                <w:b/>
                <w:bCs/>
                <w:sz w:val="28"/>
                <w:szCs w:val="28"/>
                <w:highlight w:val="none"/>
              </w:rPr>
              <w:t>正面</w:t>
            </w:r>
            <w:bookmarkEnd w:id="324"/>
            <w:r>
              <w:rPr>
                <w:rFonts w:hint="eastAsia" w:ascii="仿宋" w:hAnsi="仿宋" w:eastAsia="仿宋" w:cs="Times New Roman"/>
                <w:b/>
                <w:bCs/>
                <w:sz w:val="28"/>
                <w:szCs w:val="28"/>
                <w:highlight w:val="none"/>
              </w:rPr>
              <w:t xml:space="preserve"> </w:t>
            </w:r>
          </w:p>
        </w:tc>
        <w:tc>
          <w:tcPr>
            <w:tcW w:w="4293" w:type="dxa"/>
            <w:vAlign w:val="center"/>
          </w:tcPr>
          <w:p>
            <w:pPr>
              <w:spacing w:line="380" w:lineRule="exact"/>
              <w:jc w:val="center"/>
              <w:outlineLvl w:val="0"/>
              <w:rPr>
                <w:rFonts w:ascii="仿宋" w:hAnsi="仿宋" w:eastAsia="仿宋" w:cs="Times New Roman"/>
                <w:b/>
                <w:bCs/>
                <w:sz w:val="28"/>
                <w:szCs w:val="28"/>
                <w:highlight w:val="none"/>
              </w:rPr>
            </w:pPr>
            <w:bookmarkStart w:id="325" w:name="_Toc9509"/>
            <w:r>
              <w:rPr>
                <w:rFonts w:hint="eastAsia" w:ascii="仿宋" w:hAnsi="仿宋" w:eastAsia="仿宋" w:cs="Times New Roman"/>
                <w:b/>
                <w:bCs/>
                <w:sz w:val="28"/>
                <w:szCs w:val="28"/>
                <w:highlight w:val="none"/>
              </w:rPr>
              <w:t>背面</w:t>
            </w:r>
            <w:bookmarkEnd w:id="325"/>
            <w:r>
              <w:rPr>
                <w:rFonts w:hint="eastAsia" w:ascii="仿宋" w:hAnsi="仿宋" w:eastAsia="仿宋" w:cs="Times New Roman"/>
                <w:b/>
                <w:bCs/>
                <w:sz w:val="28"/>
                <w:szCs w:val="28"/>
                <w:highlight w:val="none"/>
              </w:rPr>
              <w:t xml:space="preserve"> </w:t>
            </w:r>
          </w:p>
        </w:tc>
      </w:tr>
    </w:tbl>
    <w:p>
      <w:pPr>
        <w:spacing w:line="380" w:lineRule="exact"/>
        <w:jc w:val="center"/>
        <w:outlineLvl w:val="0"/>
        <w:rPr>
          <w:rFonts w:ascii="宋体" w:hAnsi="宋体" w:eastAsia="宋体" w:cs="宋体"/>
          <w:b/>
          <w:bCs/>
          <w:sz w:val="28"/>
          <w:szCs w:val="28"/>
          <w:highlight w:val="none"/>
        </w:rPr>
      </w:pPr>
      <w:bookmarkStart w:id="326" w:name="_Toc19940"/>
      <w:r>
        <w:rPr>
          <w:rFonts w:hint="eastAsia" w:ascii="宋体" w:hAnsi="宋体" w:eastAsia="宋体" w:cs="宋体"/>
          <w:b/>
          <w:bCs/>
          <w:sz w:val="28"/>
          <w:szCs w:val="28"/>
          <w:highlight w:val="none"/>
        </w:rPr>
        <w:t>被授权人身份证复印件</w:t>
      </w:r>
      <w:bookmarkEnd w:id="326"/>
    </w:p>
    <w:tbl>
      <w:tblPr>
        <w:tblStyle w:val="20"/>
        <w:tblpPr w:leftFromText="180" w:rightFromText="180" w:vertAnchor="text" w:horzAnchor="page" w:tblpX="1834" w:tblpY="153"/>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4315" w:type="dxa"/>
            <w:vAlign w:val="center"/>
          </w:tcPr>
          <w:p>
            <w:pPr>
              <w:spacing w:line="380" w:lineRule="exact"/>
              <w:jc w:val="center"/>
              <w:outlineLvl w:val="0"/>
              <w:rPr>
                <w:rFonts w:ascii="仿宋" w:hAnsi="仿宋" w:eastAsia="仿宋" w:cs="Times New Roman"/>
                <w:b/>
                <w:bCs/>
                <w:sz w:val="28"/>
                <w:szCs w:val="28"/>
                <w:highlight w:val="none"/>
              </w:rPr>
            </w:pPr>
            <w:bookmarkStart w:id="327" w:name="_Toc19052"/>
            <w:bookmarkStart w:id="328" w:name="_Toc5285"/>
            <w:bookmarkStart w:id="329" w:name="_Toc14188"/>
            <w:bookmarkStart w:id="330" w:name="_Toc21239"/>
            <w:bookmarkStart w:id="331" w:name="_Toc27144"/>
            <w:bookmarkStart w:id="332" w:name="_Toc17248"/>
            <w:bookmarkStart w:id="333" w:name="_Toc29612"/>
            <w:bookmarkStart w:id="334" w:name="_Toc9107"/>
            <w:bookmarkStart w:id="335" w:name="_Toc18894"/>
            <w:bookmarkStart w:id="336" w:name="_Toc12866"/>
            <w:bookmarkStart w:id="337" w:name="_Toc31120"/>
            <w:bookmarkStart w:id="338" w:name="_Toc23835"/>
            <w:bookmarkStart w:id="339" w:name="_Toc27024"/>
            <w:bookmarkStart w:id="340" w:name="_Toc2380"/>
            <w:bookmarkStart w:id="341" w:name="_Toc31819"/>
            <w:bookmarkStart w:id="342" w:name="_Toc13738_WPSOffice_Level2"/>
            <w:r>
              <w:rPr>
                <w:rFonts w:hint="eastAsia" w:ascii="仿宋" w:hAnsi="仿宋" w:eastAsia="仿宋" w:cs="Times New Roman"/>
                <w:b/>
                <w:bCs/>
                <w:sz w:val="28"/>
                <w:szCs w:val="28"/>
                <w:highlight w:val="none"/>
              </w:rPr>
              <w:t>正面</w:t>
            </w:r>
            <w:bookmarkEnd w:id="327"/>
            <w:r>
              <w:rPr>
                <w:rFonts w:hint="eastAsia" w:ascii="仿宋" w:hAnsi="仿宋" w:eastAsia="仿宋" w:cs="Times New Roman"/>
                <w:b/>
                <w:bCs/>
                <w:sz w:val="28"/>
                <w:szCs w:val="28"/>
                <w:highlight w:val="none"/>
              </w:rPr>
              <w:t xml:space="preserve"> </w:t>
            </w:r>
          </w:p>
        </w:tc>
        <w:tc>
          <w:tcPr>
            <w:tcW w:w="4292" w:type="dxa"/>
            <w:vAlign w:val="center"/>
          </w:tcPr>
          <w:p>
            <w:pPr>
              <w:spacing w:line="380" w:lineRule="exact"/>
              <w:jc w:val="center"/>
              <w:outlineLvl w:val="0"/>
              <w:rPr>
                <w:rFonts w:ascii="仿宋" w:hAnsi="仿宋" w:eastAsia="仿宋" w:cs="Times New Roman"/>
                <w:b/>
                <w:bCs/>
                <w:sz w:val="28"/>
                <w:szCs w:val="28"/>
                <w:highlight w:val="none"/>
              </w:rPr>
            </w:pPr>
            <w:bookmarkStart w:id="343" w:name="_Toc26231"/>
            <w:r>
              <w:rPr>
                <w:rFonts w:hint="eastAsia" w:ascii="仿宋" w:hAnsi="仿宋" w:eastAsia="仿宋" w:cs="Times New Roman"/>
                <w:b/>
                <w:bCs/>
                <w:sz w:val="28"/>
                <w:szCs w:val="28"/>
                <w:highlight w:val="none"/>
              </w:rPr>
              <w:t>背面</w:t>
            </w:r>
            <w:bookmarkEnd w:id="343"/>
            <w:r>
              <w:rPr>
                <w:rFonts w:hint="eastAsia" w:ascii="仿宋" w:hAnsi="仿宋" w:eastAsia="仿宋" w:cs="Times New Roman"/>
                <w:b/>
                <w:bCs/>
                <w:sz w:val="28"/>
                <w:szCs w:val="28"/>
                <w:highlight w:val="none"/>
              </w:rPr>
              <w:t xml:space="preserve"> </w:t>
            </w:r>
          </w:p>
        </w:tc>
      </w:tr>
    </w:tbl>
    <w:p>
      <w:pPr>
        <w:jc w:val="center"/>
        <w:rPr>
          <w:rFonts w:ascii="仿宋" w:hAnsi="仿宋" w:eastAsia="仿宋"/>
          <w:b/>
          <w:sz w:val="32"/>
          <w:szCs w:val="32"/>
          <w:highlight w:val="none"/>
        </w:rPr>
      </w:pPr>
    </w:p>
    <w:p>
      <w:pPr>
        <w:numPr>
          <w:ilvl w:val="0"/>
          <w:numId w:val="0"/>
        </w:numPr>
        <w:jc w:val="center"/>
        <w:rPr>
          <w:rFonts w:hint="eastAsia" w:ascii="仿宋" w:hAnsi="仿宋" w:eastAsia="仿宋"/>
          <w:b/>
          <w:sz w:val="32"/>
          <w:szCs w:val="32"/>
          <w:highlight w:val="none"/>
          <w:lang w:eastAsia="zh-CN"/>
        </w:rPr>
      </w:pPr>
    </w:p>
    <w:p>
      <w:pPr>
        <w:numPr>
          <w:ilvl w:val="0"/>
          <w:numId w:val="0"/>
        </w:numPr>
        <w:jc w:val="center"/>
        <w:rPr>
          <w:rFonts w:hint="eastAsia" w:ascii="仿宋" w:hAnsi="仿宋" w:eastAsia="仿宋"/>
          <w:b/>
          <w:sz w:val="32"/>
          <w:szCs w:val="32"/>
          <w:highlight w:val="none"/>
          <w:lang w:eastAsia="zh-CN"/>
        </w:rPr>
      </w:pPr>
    </w:p>
    <w:p>
      <w:pPr>
        <w:numPr>
          <w:ilvl w:val="0"/>
          <w:numId w:val="0"/>
        </w:numPr>
        <w:jc w:val="center"/>
        <w:rPr>
          <w:rFonts w:hint="eastAsia" w:ascii="仿宋" w:hAnsi="仿宋" w:eastAsia="仿宋"/>
          <w:b/>
          <w:sz w:val="32"/>
          <w:szCs w:val="32"/>
          <w:highlight w:val="none"/>
          <w:lang w:eastAsia="zh-CN"/>
        </w:rPr>
      </w:pPr>
    </w:p>
    <w:p>
      <w:pPr>
        <w:numPr>
          <w:ilvl w:val="0"/>
          <w:numId w:val="0"/>
        </w:numPr>
        <w:jc w:val="center"/>
        <w:rPr>
          <w:rFonts w:hint="eastAsia" w:ascii="仿宋" w:hAnsi="仿宋" w:eastAsia="仿宋"/>
          <w:b/>
          <w:sz w:val="32"/>
          <w:szCs w:val="32"/>
          <w:highlight w:val="none"/>
          <w:lang w:eastAsia="zh-CN"/>
        </w:rPr>
      </w:pPr>
    </w:p>
    <w:p>
      <w:pPr>
        <w:numPr>
          <w:ilvl w:val="0"/>
          <w:numId w:val="0"/>
        </w:numPr>
        <w:jc w:val="center"/>
        <w:rPr>
          <w:rFonts w:ascii="仿宋_GB2312" w:hAnsi="宋体" w:eastAsia="仿宋_GB2312"/>
          <w:highlight w:val="none"/>
        </w:rPr>
      </w:pPr>
      <w:r>
        <w:rPr>
          <w:rFonts w:hint="eastAsia" w:ascii="仿宋" w:hAnsi="仿宋" w:eastAsia="仿宋"/>
          <w:b/>
          <w:sz w:val="32"/>
          <w:szCs w:val="32"/>
          <w:highlight w:val="none"/>
          <w:lang w:eastAsia="zh-CN"/>
        </w:rPr>
        <w:t>（</w:t>
      </w:r>
      <w:r>
        <w:rPr>
          <w:rFonts w:hint="eastAsia" w:ascii="仿宋" w:hAnsi="仿宋" w:eastAsia="仿宋"/>
          <w:b/>
          <w:sz w:val="32"/>
          <w:szCs w:val="32"/>
          <w:highlight w:val="none"/>
          <w:lang w:val="en-US" w:eastAsia="zh-CN"/>
        </w:rPr>
        <w:t>五</w:t>
      </w:r>
      <w:r>
        <w:rPr>
          <w:rFonts w:hint="eastAsia" w:ascii="仿宋" w:hAnsi="仿宋" w:eastAsia="仿宋"/>
          <w:b/>
          <w:sz w:val="32"/>
          <w:szCs w:val="32"/>
          <w:highlight w:val="none"/>
          <w:lang w:eastAsia="zh-CN"/>
        </w:rPr>
        <w:t>）</w:t>
      </w:r>
      <w:r>
        <w:rPr>
          <w:rFonts w:hint="eastAsia" w:ascii="仿宋" w:hAnsi="仿宋" w:eastAsia="仿宋"/>
          <w:b/>
          <w:sz w:val="32"/>
          <w:szCs w:val="32"/>
          <w:highlight w:val="none"/>
        </w:rPr>
        <w:t>开标一览表</w:t>
      </w:r>
      <w:r>
        <w:rPr>
          <w:rFonts w:hint="eastAsia" w:ascii="仿宋_GB2312" w:hAnsi="宋体" w:eastAsia="仿宋_GB2312"/>
          <w:b/>
          <w:highlight w:val="none"/>
        </w:rPr>
        <w:cr/>
      </w:r>
    </w:p>
    <w:p>
      <w:pPr>
        <w:autoSpaceDE w:val="0"/>
        <w:autoSpaceDN w:val="0"/>
        <w:adjustRightInd w:val="0"/>
        <w:ind w:firstLine="482" w:firstLineChars="200"/>
        <w:rPr>
          <w:rFonts w:hint="eastAsia" w:ascii="仿宋" w:hAnsi="仿宋" w:eastAsia="仿宋" w:cs="Times New Roman"/>
          <w:b/>
          <w:bCs/>
          <w:color w:val="000000"/>
          <w:kern w:val="0"/>
          <w:sz w:val="24"/>
          <w:szCs w:val="24"/>
          <w:highlight w:val="none"/>
        </w:rPr>
      </w:pPr>
      <w:r>
        <w:rPr>
          <w:rFonts w:hint="eastAsia" w:ascii="仿宋" w:hAnsi="仿宋" w:eastAsia="仿宋" w:cs="Times New Roman"/>
          <w:b/>
          <w:bCs/>
          <w:color w:val="000000"/>
          <w:kern w:val="0"/>
          <w:sz w:val="24"/>
          <w:szCs w:val="24"/>
          <w:highlight w:val="none"/>
        </w:rPr>
        <w:t xml:space="preserve">项目名称：　                 </w:t>
      </w:r>
      <w:r>
        <w:rPr>
          <w:rFonts w:hint="eastAsia" w:ascii="仿宋" w:hAnsi="仿宋" w:eastAsia="仿宋" w:cs="Times New Roman"/>
          <w:b/>
          <w:bCs/>
          <w:color w:val="000000"/>
          <w:kern w:val="0"/>
          <w:sz w:val="24"/>
          <w:szCs w:val="24"/>
          <w:highlight w:val="none"/>
          <w:lang w:val="en-US" w:eastAsia="zh-CN"/>
        </w:rPr>
        <w:t xml:space="preserve">     标段号：              </w:t>
      </w:r>
      <w:r>
        <w:rPr>
          <w:rFonts w:hint="eastAsia" w:ascii="仿宋" w:hAnsi="仿宋" w:eastAsia="仿宋" w:cs="Times New Roman"/>
          <w:b/>
          <w:bCs/>
          <w:color w:val="000000"/>
          <w:kern w:val="0"/>
          <w:sz w:val="24"/>
          <w:szCs w:val="24"/>
          <w:highlight w:val="none"/>
        </w:rPr>
        <w:t xml:space="preserve">项目编号： </w:t>
      </w:r>
    </w:p>
    <w:tbl>
      <w:tblPr>
        <w:tblStyle w:val="20"/>
        <w:tblW w:w="969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ind w:firstLine="4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w:t>
            </w:r>
          </w:p>
        </w:tc>
        <w:tc>
          <w:tcPr>
            <w:tcW w:w="7294" w:type="dxa"/>
            <w:vAlign w:val="center"/>
          </w:tcPr>
          <w:p>
            <w:pPr>
              <w:ind w:firstLine="4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05" w:type="dxa"/>
            <w:vAlign w:val="center"/>
          </w:tcPr>
          <w:p>
            <w:pPr>
              <w:ind w:firstLine="4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投标总报价（人民币）</w:t>
            </w:r>
          </w:p>
        </w:tc>
        <w:tc>
          <w:tcPr>
            <w:tcW w:w="7294" w:type="dxa"/>
            <w:vAlign w:val="center"/>
          </w:tcPr>
          <w:p>
            <w:pPr>
              <w:ind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大写：           </w:t>
            </w:r>
          </w:p>
          <w:p>
            <w:pPr>
              <w:ind w:firstLine="4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ind w:firstLine="4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交货</w:t>
            </w:r>
            <w:r>
              <w:rPr>
                <w:rFonts w:hint="eastAsia" w:ascii="仿宋" w:hAnsi="仿宋" w:eastAsia="仿宋" w:cs="仿宋"/>
                <w:sz w:val="24"/>
                <w:szCs w:val="24"/>
                <w:highlight w:val="none"/>
              </w:rPr>
              <w:t>期</w:t>
            </w:r>
          </w:p>
        </w:tc>
        <w:tc>
          <w:tcPr>
            <w:tcW w:w="7294" w:type="dxa"/>
            <w:vAlign w:val="top"/>
          </w:tcPr>
          <w:p>
            <w:pPr>
              <w:pStyle w:val="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ind w:firstLine="4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质保期</w:t>
            </w:r>
          </w:p>
        </w:tc>
        <w:tc>
          <w:tcPr>
            <w:tcW w:w="7294" w:type="dxa"/>
            <w:vAlign w:val="top"/>
          </w:tcPr>
          <w:p>
            <w:pPr>
              <w:pStyle w:val="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ind w:firstLine="48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质量标准</w:t>
            </w:r>
          </w:p>
        </w:tc>
        <w:tc>
          <w:tcPr>
            <w:tcW w:w="7294" w:type="dxa"/>
            <w:vAlign w:val="top"/>
          </w:tcPr>
          <w:p>
            <w:pPr>
              <w:pStyle w:val="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05" w:type="dxa"/>
            <w:vAlign w:val="top"/>
          </w:tcPr>
          <w:p>
            <w:pPr>
              <w:pStyle w:val="26"/>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报价总说明：</w:t>
            </w:r>
          </w:p>
        </w:tc>
        <w:tc>
          <w:tcPr>
            <w:tcW w:w="7294" w:type="dxa"/>
            <w:vAlign w:val="top"/>
          </w:tcPr>
          <w:p>
            <w:pPr>
              <w:pStyle w:val="26"/>
              <w:rPr>
                <w:rFonts w:hint="eastAsia"/>
              </w:rPr>
            </w:pPr>
          </w:p>
        </w:tc>
      </w:tr>
    </w:tbl>
    <w:p>
      <w:pPr>
        <w:pStyle w:val="26"/>
        <w:rPr>
          <w:rFonts w:hint="eastAsia"/>
        </w:rPr>
      </w:pPr>
    </w:p>
    <w:p>
      <w:pPr>
        <w:autoSpaceDE w:val="0"/>
        <w:autoSpaceDN w:val="0"/>
        <w:adjustRightInd w:val="0"/>
        <w:rPr>
          <w:rFonts w:hint="eastAsia" w:ascii="仿宋" w:hAnsi="仿宋" w:eastAsia="仿宋" w:cs="Times New Roman"/>
          <w:b/>
          <w:bCs/>
          <w:color w:val="000000"/>
          <w:kern w:val="0"/>
          <w:sz w:val="24"/>
          <w:szCs w:val="24"/>
          <w:highlight w:val="none"/>
        </w:rPr>
      </w:pPr>
    </w:p>
    <w:p>
      <w:pPr>
        <w:autoSpaceDE w:val="0"/>
        <w:autoSpaceDN w:val="0"/>
        <w:adjustRightInd w:val="0"/>
        <w:rPr>
          <w:rFonts w:ascii="仿宋" w:hAnsi="仿宋" w:eastAsia="仿宋" w:cs="Times New Roman"/>
          <w:b/>
          <w:bCs/>
          <w:color w:val="000000"/>
          <w:kern w:val="0"/>
          <w:sz w:val="24"/>
          <w:szCs w:val="24"/>
          <w:highlight w:val="none"/>
        </w:rPr>
      </w:pPr>
      <w:r>
        <w:rPr>
          <w:rFonts w:hint="eastAsia" w:ascii="仿宋" w:hAnsi="仿宋" w:eastAsia="仿宋" w:cs="Times New Roman"/>
          <w:b/>
          <w:bCs/>
          <w:color w:val="000000"/>
          <w:kern w:val="0"/>
          <w:sz w:val="24"/>
          <w:szCs w:val="24"/>
          <w:highlight w:val="none"/>
        </w:rPr>
        <w:t xml:space="preserve">投标人名称（单位盖章）：                       </w:t>
      </w:r>
    </w:p>
    <w:p>
      <w:pPr>
        <w:autoSpaceDE w:val="0"/>
        <w:autoSpaceDN w:val="0"/>
        <w:adjustRightInd w:val="0"/>
        <w:rPr>
          <w:rFonts w:hint="eastAsia" w:ascii="仿宋" w:hAnsi="仿宋" w:eastAsia="仿宋" w:cs="Times New Roman"/>
          <w:b/>
          <w:bCs/>
          <w:color w:val="000000"/>
          <w:kern w:val="0"/>
          <w:sz w:val="24"/>
          <w:szCs w:val="24"/>
          <w:highlight w:val="none"/>
        </w:rPr>
      </w:pPr>
      <w:r>
        <w:rPr>
          <w:rFonts w:hint="eastAsia" w:ascii="仿宋" w:hAnsi="仿宋" w:eastAsia="仿宋" w:cs="Times New Roman"/>
          <w:b/>
          <w:bCs/>
          <w:color w:val="000000"/>
          <w:kern w:val="0"/>
          <w:sz w:val="24"/>
          <w:szCs w:val="24"/>
          <w:highlight w:val="none"/>
        </w:rPr>
        <w:t>法定代表人</w:t>
      </w:r>
      <w:r>
        <w:rPr>
          <w:rFonts w:hint="eastAsia" w:ascii="仿宋" w:hAnsi="仿宋" w:eastAsia="仿宋" w:cs="Times New Roman"/>
          <w:b/>
          <w:bCs/>
          <w:color w:val="000000"/>
          <w:kern w:val="0"/>
          <w:sz w:val="24"/>
          <w:szCs w:val="24"/>
          <w:highlight w:val="none"/>
          <w:lang w:val="en-US" w:eastAsia="zh-CN"/>
        </w:rPr>
        <w:t>或被</w:t>
      </w:r>
      <w:r>
        <w:rPr>
          <w:rFonts w:hint="eastAsia" w:ascii="仿宋" w:hAnsi="仿宋" w:eastAsia="仿宋" w:cs="Times New Roman"/>
          <w:b/>
          <w:bCs/>
          <w:color w:val="000000"/>
          <w:kern w:val="0"/>
          <w:sz w:val="24"/>
          <w:szCs w:val="24"/>
          <w:highlight w:val="none"/>
        </w:rPr>
        <w:t>授权代理人（签字、盖章）：</w:t>
      </w:r>
    </w:p>
    <w:p>
      <w:pPr>
        <w:autoSpaceDE w:val="0"/>
        <w:autoSpaceDN w:val="0"/>
        <w:adjustRightInd w:val="0"/>
        <w:rPr>
          <w:rFonts w:ascii="仿宋" w:hAnsi="仿宋" w:eastAsia="仿宋" w:cs="Times New Roman"/>
          <w:b/>
          <w:bCs/>
          <w:color w:val="000000"/>
          <w:kern w:val="0"/>
          <w:sz w:val="24"/>
          <w:szCs w:val="24"/>
          <w:highlight w:val="none"/>
        </w:rPr>
      </w:pPr>
      <w:r>
        <w:rPr>
          <w:rFonts w:hint="eastAsia" w:ascii="仿宋" w:hAnsi="仿宋" w:eastAsia="仿宋" w:cs="Times New Roman"/>
          <w:b/>
          <w:bCs/>
          <w:color w:val="000000"/>
          <w:kern w:val="0"/>
          <w:sz w:val="24"/>
          <w:szCs w:val="24"/>
          <w:highlight w:val="none"/>
        </w:rPr>
        <w:t>日期：20　　年　　月　　日</w:t>
      </w:r>
    </w:p>
    <w:p>
      <w:pPr>
        <w:autoSpaceDE w:val="0"/>
        <w:autoSpaceDN w:val="0"/>
        <w:adjustRightInd w:val="0"/>
        <w:rPr>
          <w:rFonts w:ascii="仿宋" w:hAnsi="仿宋" w:eastAsia="仿宋" w:cs="Times New Roman"/>
          <w:b/>
          <w:bCs/>
          <w:color w:val="000000"/>
          <w:kern w:val="0"/>
          <w:sz w:val="24"/>
          <w:szCs w:val="24"/>
          <w:highlight w:val="none"/>
        </w:rPr>
      </w:pPr>
      <w:r>
        <w:rPr>
          <w:rFonts w:hint="eastAsia" w:ascii="仿宋" w:hAnsi="仿宋" w:eastAsia="仿宋" w:cs="Times New Roman"/>
          <w:b/>
          <w:bCs/>
          <w:color w:val="000000"/>
          <w:kern w:val="0"/>
          <w:sz w:val="24"/>
          <w:szCs w:val="24"/>
          <w:highlight w:val="none"/>
        </w:rPr>
        <w:t>注:1、此表一式两份，一份单独密封，一份装订在投标文件里。</w:t>
      </w:r>
    </w:p>
    <w:p>
      <w:pPr>
        <w:autoSpaceDE w:val="0"/>
        <w:autoSpaceDN w:val="0"/>
        <w:adjustRightInd w:val="0"/>
        <w:rPr>
          <w:rFonts w:hint="eastAsia" w:ascii="仿宋" w:hAnsi="仿宋" w:eastAsia="仿宋" w:cs="Times New Roman"/>
          <w:b/>
          <w:bCs/>
          <w:color w:val="000000"/>
          <w:kern w:val="0"/>
          <w:sz w:val="24"/>
          <w:szCs w:val="24"/>
          <w:highlight w:val="none"/>
          <w:lang w:eastAsia="zh-CN"/>
        </w:rPr>
      </w:pPr>
      <w:r>
        <w:rPr>
          <w:rFonts w:hint="eastAsia" w:ascii="仿宋" w:hAnsi="仿宋" w:eastAsia="仿宋" w:cs="Times New Roman"/>
          <w:b/>
          <w:bCs/>
          <w:color w:val="000000"/>
          <w:kern w:val="0"/>
          <w:sz w:val="24"/>
          <w:szCs w:val="24"/>
          <w:highlight w:val="none"/>
          <w:lang w:val="en-US" w:eastAsia="zh-CN"/>
        </w:rPr>
        <w:t>2</w:t>
      </w:r>
      <w:r>
        <w:rPr>
          <w:rFonts w:hint="eastAsia" w:ascii="仿宋" w:hAnsi="仿宋" w:eastAsia="仿宋" w:cs="Times New Roman"/>
          <w:b/>
          <w:bCs/>
          <w:color w:val="000000"/>
          <w:kern w:val="0"/>
          <w:sz w:val="24"/>
          <w:szCs w:val="24"/>
          <w:highlight w:val="none"/>
        </w:rPr>
        <w:t>、“</w:t>
      </w:r>
      <w:r>
        <w:rPr>
          <w:rFonts w:hint="eastAsia" w:ascii="仿宋" w:hAnsi="仿宋" w:eastAsia="仿宋" w:cs="Times New Roman"/>
          <w:b/>
          <w:bCs/>
          <w:color w:val="000000"/>
          <w:kern w:val="0"/>
          <w:sz w:val="24"/>
          <w:szCs w:val="24"/>
          <w:highlight w:val="none"/>
          <w:lang w:val="en-US" w:eastAsia="zh-CN"/>
        </w:rPr>
        <w:t>交货</w:t>
      </w:r>
      <w:r>
        <w:rPr>
          <w:rFonts w:hint="eastAsia" w:ascii="仿宋" w:hAnsi="仿宋" w:eastAsia="仿宋" w:cs="Times New Roman"/>
          <w:b/>
          <w:bCs/>
          <w:color w:val="000000"/>
          <w:kern w:val="0"/>
          <w:sz w:val="24"/>
          <w:szCs w:val="24"/>
          <w:highlight w:val="none"/>
        </w:rPr>
        <w:t>期”指</w:t>
      </w:r>
      <w:r>
        <w:rPr>
          <w:rFonts w:hint="eastAsia" w:ascii="仿宋" w:hAnsi="仿宋" w:eastAsia="仿宋" w:cs="Times New Roman"/>
          <w:b/>
          <w:bCs/>
          <w:color w:val="000000"/>
          <w:kern w:val="0"/>
          <w:sz w:val="24"/>
          <w:szCs w:val="24"/>
          <w:highlight w:val="none"/>
          <w:lang w:val="en-US" w:eastAsia="zh-CN"/>
        </w:rPr>
        <w:t>签订合同</w:t>
      </w:r>
      <w:r>
        <w:rPr>
          <w:rFonts w:hint="eastAsia" w:ascii="仿宋" w:hAnsi="仿宋" w:eastAsia="仿宋" w:cs="Times New Roman"/>
          <w:b/>
          <w:bCs/>
          <w:color w:val="000000"/>
          <w:kern w:val="0"/>
          <w:sz w:val="24"/>
          <w:szCs w:val="24"/>
          <w:highlight w:val="none"/>
        </w:rPr>
        <w:t>之日起，多少天内完成合同规定的全部工作内容</w:t>
      </w:r>
      <w:r>
        <w:rPr>
          <w:rFonts w:hint="eastAsia" w:ascii="仿宋" w:hAnsi="仿宋" w:eastAsia="仿宋" w:cs="Times New Roman"/>
          <w:b/>
          <w:bCs/>
          <w:color w:val="000000"/>
          <w:kern w:val="0"/>
          <w:sz w:val="24"/>
          <w:szCs w:val="24"/>
          <w:highlight w:val="none"/>
          <w:lang w:eastAsia="zh-CN"/>
        </w:rPr>
        <w:t>。</w:t>
      </w:r>
    </w:p>
    <w:p>
      <w:pPr>
        <w:autoSpaceDE w:val="0"/>
        <w:autoSpaceDN w:val="0"/>
        <w:adjustRightInd w:val="0"/>
        <w:rPr>
          <w:rFonts w:hint="eastAsia" w:ascii="仿宋" w:hAnsi="仿宋" w:eastAsia="仿宋" w:cs="仿宋"/>
          <w:b/>
          <w:bCs/>
          <w:sz w:val="32"/>
          <w:szCs w:val="32"/>
          <w:highlight w:val="none"/>
        </w:rPr>
      </w:pPr>
      <w:r>
        <w:rPr>
          <w:rFonts w:hint="eastAsia" w:ascii="仿宋" w:hAnsi="仿宋" w:eastAsia="仿宋" w:cs="Times New Roman"/>
          <w:b/>
          <w:bCs/>
          <w:color w:val="000000"/>
          <w:kern w:val="0"/>
          <w:sz w:val="24"/>
          <w:szCs w:val="24"/>
          <w:highlight w:val="none"/>
          <w:lang w:val="en-US" w:eastAsia="zh-CN"/>
        </w:rPr>
        <w:t>3</w:t>
      </w:r>
      <w:r>
        <w:rPr>
          <w:rFonts w:hint="eastAsia" w:ascii="仿宋" w:hAnsi="仿宋" w:eastAsia="仿宋" w:cs="Times New Roman"/>
          <w:b/>
          <w:bCs/>
          <w:color w:val="000000"/>
          <w:kern w:val="0"/>
          <w:sz w:val="24"/>
          <w:szCs w:val="24"/>
          <w:highlight w:val="none"/>
        </w:rPr>
        <w:t>、投标单位如果需要对投标报价或其它内容加以说明，可在报价说明中填写；投标总报价以元为单位，小数点后保留2位。此表中，每包的投标总价应和</w:t>
      </w:r>
      <w:r>
        <w:rPr>
          <w:rFonts w:hint="eastAsia" w:ascii="仿宋" w:hAnsi="仿宋" w:eastAsia="仿宋" w:cs="Times New Roman"/>
          <w:b/>
          <w:bCs/>
          <w:color w:val="000000"/>
          <w:kern w:val="0"/>
          <w:sz w:val="24"/>
          <w:szCs w:val="24"/>
          <w:highlight w:val="none"/>
          <w:lang w:val="en-US" w:eastAsia="zh-CN"/>
        </w:rPr>
        <w:t>投标分项报价</w:t>
      </w:r>
      <w:r>
        <w:rPr>
          <w:rFonts w:hint="eastAsia" w:ascii="仿宋" w:hAnsi="仿宋" w:eastAsia="仿宋" w:cs="Times New Roman"/>
          <w:b/>
          <w:bCs/>
          <w:color w:val="000000"/>
          <w:kern w:val="0"/>
          <w:sz w:val="24"/>
          <w:szCs w:val="24"/>
          <w:highlight w:val="none"/>
        </w:rPr>
        <w:t>表的总价相一致。</w:t>
      </w:r>
    </w:p>
    <w:p>
      <w:pPr>
        <w:pStyle w:val="2"/>
        <w:wordWrap/>
        <w:spacing w:line="360" w:lineRule="exact"/>
        <w:ind w:left="359"/>
        <w:jc w:val="center"/>
        <w:rPr>
          <w:rFonts w:hint="eastAsia" w:ascii="仿宋" w:hAnsi="仿宋" w:eastAsia="仿宋" w:cs="黑体"/>
          <w:b/>
          <w:bCs w:val="0"/>
          <w:kern w:val="2"/>
          <w:sz w:val="32"/>
          <w:szCs w:val="32"/>
          <w:highlight w:val="none"/>
          <w:lang w:val="en-US" w:eastAsia="zh-CN" w:bidi="ar-SA"/>
        </w:rPr>
      </w:pPr>
    </w:p>
    <w:p>
      <w:pPr>
        <w:pStyle w:val="2"/>
        <w:wordWrap/>
        <w:spacing w:line="360" w:lineRule="exact"/>
        <w:ind w:left="359"/>
        <w:jc w:val="center"/>
        <w:rPr>
          <w:rFonts w:hint="eastAsia" w:ascii="仿宋" w:hAnsi="仿宋" w:eastAsia="仿宋" w:cs="黑体"/>
          <w:b/>
          <w:bCs w:val="0"/>
          <w:kern w:val="2"/>
          <w:sz w:val="32"/>
          <w:szCs w:val="32"/>
          <w:highlight w:val="none"/>
          <w:lang w:val="en-US" w:eastAsia="zh-CN" w:bidi="ar-SA"/>
        </w:rPr>
      </w:pPr>
    </w:p>
    <w:p>
      <w:pPr>
        <w:pStyle w:val="2"/>
        <w:wordWrap/>
        <w:spacing w:line="360" w:lineRule="exact"/>
        <w:ind w:left="359"/>
        <w:jc w:val="center"/>
        <w:rPr>
          <w:rFonts w:hint="eastAsia" w:ascii="仿宋" w:hAnsi="仿宋" w:eastAsia="仿宋" w:cs="黑体"/>
          <w:b/>
          <w:bCs w:val="0"/>
          <w:kern w:val="2"/>
          <w:sz w:val="32"/>
          <w:szCs w:val="32"/>
          <w:highlight w:val="none"/>
          <w:lang w:val="en-US" w:eastAsia="zh-CN" w:bidi="ar-SA"/>
        </w:rPr>
      </w:pPr>
      <w:r>
        <w:rPr>
          <w:rFonts w:hint="eastAsia" w:ascii="仿宋" w:hAnsi="仿宋" w:eastAsia="仿宋" w:cs="黑体"/>
          <w:b/>
          <w:bCs w:val="0"/>
          <w:kern w:val="2"/>
          <w:sz w:val="32"/>
          <w:szCs w:val="32"/>
          <w:highlight w:val="none"/>
          <w:lang w:val="en-US" w:eastAsia="zh-CN" w:bidi="ar-SA"/>
        </w:rPr>
        <w:t>（六）投标报价明细表</w:t>
      </w:r>
      <w:r>
        <w:rPr>
          <w:rFonts w:hint="eastAsia" w:ascii="黑体" w:hAnsi="黑体" w:cs="黑体"/>
          <w:color w:val="auto"/>
          <w:szCs w:val="21"/>
          <w:highlight w:val="none"/>
        </w:rPr>
        <w:t>（设备、材料、系统费用及其他费用）</w:t>
      </w:r>
    </w:p>
    <w:p>
      <w:pPr>
        <w:widowControl/>
        <w:ind w:firstLine="723" w:firstLineChars="300"/>
        <w:jc w:val="left"/>
        <w:rPr>
          <w:rFonts w:hint="eastAsia" w:ascii="仿宋_GB2312" w:eastAsia="仿宋_GB2312"/>
          <w:sz w:val="24"/>
        </w:rPr>
      </w:pPr>
      <w:r>
        <w:rPr>
          <w:rFonts w:hint="eastAsia" w:ascii="仿宋" w:hAnsi="仿宋" w:eastAsia="仿宋" w:cs="Times New Roman"/>
          <w:b/>
          <w:bCs/>
          <w:kern w:val="0"/>
          <w:sz w:val="24"/>
          <w:szCs w:val="24"/>
          <w:highlight w:val="none"/>
          <w:lang w:val="en-US" w:eastAsia="zh-CN" w:bidi="ar-SA"/>
        </w:rPr>
        <w:t xml:space="preserve">项目名称：             标段号;                   </w:t>
      </w:r>
      <w:r>
        <w:rPr>
          <w:rFonts w:hint="eastAsia" w:ascii="仿宋" w:hAnsi="仿宋" w:eastAsia="仿宋" w:cs="Times New Roman"/>
          <w:b/>
          <w:bCs/>
          <w:kern w:val="0"/>
          <w:sz w:val="24"/>
          <w:szCs w:val="24"/>
          <w:highlight w:val="none"/>
          <w:lang w:val="en-US" w:eastAsia="zh-CN"/>
        </w:rPr>
        <w:t>项目</w:t>
      </w:r>
      <w:r>
        <w:rPr>
          <w:rFonts w:hint="eastAsia" w:ascii="仿宋" w:hAnsi="仿宋" w:eastAsia="仿宋" w:cs="Times New Roman"/>
          <w:b/>
          <w:bCs/>
          <w:kern w:val="0"/>
          <w:sz w:val="24"/>
          <w:szCs w:val="24"/>
          <w:highlight w:val="none"/>
        </w:rPr>
        <w:t>编号：</w:t>
      </w:r>
      <w:r>
        <w:rPr>
          <w:rFonts w:hint="eastAsia" w:ascii="仿宋" w:hAnsi="仿宋" w:eastAsia="仿宋" w:cs="仿宋"/>
          <w:color w:val="000000"/>
          <w:kern w:val="0"/>
          <w:sz w:val="24"/>
          <w:szCs w:val="24"/>
          <w:highlight w:val="none"/>
        </w:rPr>
        <w:t>XJDB-20</w:t>
      </w:r>
      <w:r>
        <w:rPr>
          <w:rFonts w:hint="eastAsia" w:ascii="仿宋" w:hAnsi="仿宋" w:eastAsia="仿宋" w:cs="仿宋"/>
          <w:color w:val="000000"/>
          <w:kern w:val="0"/>
          <w:sz w:val="24"/>
          <w:szCs w:val="24"/>
          <w:highlight w:val="none"/>
          <w:lang w:val="en-US" w:eastAsia="zh-CN"/>
        </w:rPr>
        <w:t>20</w:t>
      </w:r>
      <w:r>
        <w:rPr>
          <w:rFonts w:hint="eastAsia" w:ascii="仿宋" w:hAnsi="仿宋" w:eastAsia="仿宋" w:cs="仿宋"/>
          <w:color w:val="000000"/>
          <w:kern w:val="0"/>
          <w:sz w:val="24"/>
          <w:szCs w:val="24"/>
          <w:highlight w:val="none"/>
        </w:rPr>
        <w:t xml:space="preserve">GK-0  </w:t>
      </w:r>
      <w:bookmarkStart w:id="344" w:name="_Toc15264"/>
    </w:p>
    <w:tbl>
      <w:tblPr>
        <w:tblStyle w:val="2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70"/>
        <w:gridCol w:w="854"/>
        <w:gridCol w:w="1084"/>
        <w:gridCol w:w="796"/>
        <w:gridCol w:w="1026"/>
        <w:gridCol w:w="1063"/>
        <w:gridCol w:w="715"/>
        <w:gridCol w:w="98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84" w:type="dxa"/>
            <w:vAlign w:val="center"/>
          </w:tcPr>
          <w:p>
            <w:pPr>
              <w:pStyle w:val="9"/>
              <w:spacing w:line="240" w:lineRule="atLeast"/>
              <w:jc w:val="both"/>
              <w:rPr>
                <w:rFonts w:hint="eastAsia" w:ascii="仿宋_GB2312" w:eastAsia="仿宋_GB2312"/>
                <w:sz w:val="24"/>
                <w:lang w:val="en-US" w:eastAsia="zh-CN"/>
              </w:rPr>
            </w:pPr>
            <w:r>
              <w:rPr>
                <w:rFonts w:hint="eastAsia" w:ascii="仿宋_GB2312" w:eastAsia="仿宋_GB2312"/>
                <w:sz w:val="24"/>
                <w:lang w:val="en-US" w:eastAsia="zh-CN"/>
              </w:rPr>
              <w:t>序号</w:t>
            </w:r>
          </w:p>
        </w:tc>
        <w:tc>
          <w:tcPr>
            <w:tcW w:w="1270" w:type="dxa"/>
            <w:vAlign w:val="center"/>
          </w:tcPr>
          <w:p>
            <w:pPr>
              <w:pStyle w:val="9"/>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（设备、材料、系统及其他）</w:t>
            </w:r>
          </w:p>
        </w:tc>
        <w:tc>
          <w:tcPr>
            <w:tcW w:w="854" w:type="dxa"/>
            <w:vAlign w:val="center"/>
          </w:tcPr>
          <w:p>
            <w:pPr>
              <w:pStyle w:val="9"/>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品牌</w:t>
            </w:r>
          </w:p>
        </w:tc>
        <w:tc>
          <w:tcPr>
            <w:tcW w:w="1084" w:type="dxa"/>
            <w:vAlign w:val="center"/>
          </w:tcPr>
          <w:p>
            <w:pPr>
              <w:pStyle w:val="9"/>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规格型号及技术参数</w:t>
            </w:r>
          </w:p>
        </w:tc>
        <w:tc>
          <w:tcPr>
            <w:tcW w:w="796" w:type="dxa"/>
            <w:vAlign w:val="center"/>
          </w:tcPr>
          <w:p>
            <w:pPr>
              <w:pStyle w:val="9"/>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数量</w:t>
            </w:r>
          </w:p>
        </w:tc>
        <w:tc>
          <w:tcPr>
            <w:tcW w:w="1026" w:type="dxa"/>
            <w:vAlign w:val="center"/>
          </w:tcPr>
          <w:p>
            <w:pPr>
              <w:pStyle w:val="9"/>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原产地</w:t>
            </w:r>
          </w:p>
        </w:tc>
        <w:tc>
          <w:tcPr>
            <w:tcW w:w="1063" w:type="dxa"/>
            <w:vAlign w:val="center"/>
          </w:tcPr>
          <w:p>
            <w:pPr>
              <w:pStyle w:val="9"/>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制造商名称</w:t>
            </w:r>
          </w:p>
        </w:tc>
        <w:tc>
          <w:tcPr>
            <w:tcW w:w="715" w:type="dxa"/>
            <w:vAlign w:val="center"/>
          </w:tcPr>
          <w:p>
            <w:pPr>
              <w:pStyle w:val="9"/>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单价</w:t>
            </w:r>
          </w:p>
        </w:tc>
        <w:tc>
          <w:tcPr>
            <w:tcW w:w="986" w:type="dxa"/>
            <w:vAlign w:val="center"/>
          </w:tcPr>
          <w:p>
            <w:pPr>
              <w:pStyle w:val="9"/>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总价</w:t>
            </w:r>
          </w:p>
        </w:tc>
        <w:tc>
          <w:tcPr>
            <w:tcW w:w="821" w:type="dxa"/>
            <w:vAlign w:val="center"/>
          </w:tcPr>
          <w:p>
            <w:pPr>
              <w:pStyle w:val="9"/>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84" w:type="dxa"/>
            <w:vAlign w:val="center"/>
          </w:tcPr>
          <w:p>
            <w:pPr>
              <w:pStyle w:val="9"/>
              <w:spacing w:line="240" w:lineRule="atLeast"/>
              <w:jc w:val="both"/>
              <w:rPr>
                <w:rFonts w:hint="eastAsia" w:ascii="仿宋_GB2312" w:eastAsia="仿宋_GB2312"/>
                <w:sz w:val="24"/>
                <w:lang w:val="en-US" w:eastAsia="zh-CN"/>
              </w:rPr>
            </w:pPr>
          </w:p>
        </w:tc>
        <w:tc>
          <w:tcPr>
            <w:tcW w:w="1270" w:type="dxa"/>
            <w:vAlign w:val="center"/>
          </w:tcPr>
          <w:p>
            <w:pPr>
              <w:pStyle w:val="9"/>
              <w:spacing w:line="240" w:lineRule="atLeast"/>
              <w:jc w:val="center"/>
              <w:rPr>
                <w:rFonts w:hint="eastAsia" w:ascii="仿宋_GB2312" w:eastAsia="仿宋_GB2312"/>
                <w:sz w:val="24"/>
                <w:lang w:val="en-US" w:eastAsia="zh-CN"/>
              </w:rPr>
            </w:pPr>
          </w:p>
        </w:tc>
        <w:tc>
          <w:tcPr>
            <w:tcW w:w="85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8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9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2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63"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15"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98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821" w:type="dxa"/>
            <w:vAlign w:val="center"/>
          </w:tcPr>
          <w:p>
            <w:pPr>
              <w:pStyle w:val="9"/>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9"/>
              <w:spacing w:line="240" w:lineRule="atLeast"/>
              <w:jc w:val="both"/>
              <w:rPr>
                <w:rFonts w:hint="eastAsia" w:ascii="仿宋_GB2312" w:eastAsia="仿宋_GB2312"/>
                <w:sz w:val="24"/>
                <w:lang w:val="en-US" w:eastAsia="zh-CN"/>
              </w:rPr>
            </w:pPr>
          </w:p>
        </w:tc>
        <w:tc>
          <w:tcPr>
            <w:tcW w:w="1270" w:type="dxa"/>
            <w:vAlign w:val="center"/>
          </w:tcPr>
          <w:p>
            <w:pPr>
              <w:pStyle w:val="9"/>
              <w:spacing w:line="240" w:lineRule="atLeast"/>
              <w:jc w:val="center"/>
              <w:rPr>
                <w:rFonts w:hint="eastAsia" w:ascii="仿宋_GB2312" w:eastAsia="仿宋_GB2312"/>
                <w:sz w:val="24"/>
                <w:lang w:val="en-US" w:eastAsia="zh-CN"/>
              </w:rPr>
            </w:pPr>
          </w:p>
        </w:tc>
        <w:tc>
          <w:tcPr>
            <w:tcW w:w="85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8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9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2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63"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15"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98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821" w:type="dxa"/>
            <w:vAlign w:val="center"/>
          </w:tcPr>
          <w:p>
            <w:pPr>
              <w:pStyle w:val="9"/>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9"/>
              <w:spacing w:line="240" w:lineRule="atLeast"/>
              <w:jc w:val="both"/>
              <w:rPr>
                <w:rFonts w:hint="eastAsia" w:ascii="仿宋_GB2312" w:eastAsia="仿宋_GB2312"/>
                <w:sz w:val="24"/>
                <w:lang w:val="en-US" w:eastAsia="zh-CN"/>
              </w:rPr>
            </w:pPr>
          </w:p>
        </w:tc>
        <w:tc>
          <w:tcPr>
            <w:tcW w:w="1270" w:type="dxa"/>
            <w:vAlign w:val="center"/>
          </w:tcPr>
          <w:p>
            <w:pPr>
              <w:pStyle w:val="9"/>
              <w:spacing w:line="240" w:lineRule="atLeast"/>
              <w:jc w:val="center"/>
              <w:rPr>
                <w:rFonts w:hint="eastAsia" w:ascii="仿宋_GB2312" w:eastAsia="仿宋_GB2312"/>
                <w:sz w:val="24"/>
                <w:lang w:val="en-US" w:eastAsia="zh-CN"/>
              </w:rPr>
            </w:pPr>
          </w:p>
        </w:tc>
        <w:tc>
          <w:tcPr>
            <w:tcW w:w="85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8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9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2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63"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15"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98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821" w:type="dxa"/>
            <w:vAlign w:val="center"/>
          </w:tcPr>
          <w:p>
            <w:pPr>
              <w:pStyle w:val="9"/>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9"/>
              <w:spacing w:line="240" w:lineRule="atLeast"/>
              <w:jc w:val="both"/>
              <w:rPr>
                <w:rFonts w:hint="eastAsia" w:ascii="仿宋_GB2312" w:eastAsia="仿宋_GB2312"/>
                <w:sz w:val="24"/>
                <w:lang w:val="en-US" w:eastAsia="zh-CN"/>
              </w:rPr>
            </w:pPr>
          </w:p>
        </w:tc>
        <w:tc>
          <w:tcPr>
            <w:tcW w:w="1270" w:type="dxa"/>
            <w:vAlign w:val="center"/>
          </w:tcPr>
          <w:p>
            <w:pPr>
              <w:pStyle w:val="9"/>
              <w:spacing w:line="240" w:lineRule="atLeast"/>
              <w:jc w:val="center"/>
              <w:rPr>
                <w:rFonts w:hint="eastAsia" w:ascii="仿宋_GB2312" w:eastAsia="仿宋_GB2312"/>
                <w:sz w:val="24"/>
                <w:lang w:val="en-US" w:eastAsia="zh-CN"/>
              </w:rPr>
            </w:pPr>
          </w:p>
        </w:tc>
        <w:tc>
          <w:tcPr>
            <w:tcW w:w="85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8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9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2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63"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15"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98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821" w:type="dxa"/>
            <w:vAlign w:val="center"/>
          </w:tcPr>
          <w:p>
            <w:pPr>
              <w:pStyle w:val="9"/>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84" w:type="dxa"/>
            <w:vAlign w:val="center"/>
          </w:tcPr>
          <w:p>
            <w:pPr>
              <w:pStyle w:val="9"/>
              <w:spacing w:line="240" w:lineRule="atLeast"/>
              <w:jc w:val="both"/>
              <w:rPr>
                <w:rFonts w:hint="eastAsia" w:ascii="仿宋_GB2312" w:eastAsia="仿宋_GB2312"/>
                <w:sz w:val="24"/>
                <w:lang w:val="en-US" w:eastAsia="zh-CN"/>
              </w:rPr>
            </w:pPr>
          </w:p>
        </w:tc>
        <w:tc>
          <w:tcPr>
            <w:tcW w:w="1270" w:type="dxa"/>
            <w:vAlign w:val="center"/>
          </w:tcPr>
          <w:p>
            <w:pPr>
              <w:pStyle w:val="9"/>
              <w:spacing w:line="240" w:lineRule="atLeast"/>
              <w:jc w:val="center"/>
              <w:rPr>
                <w:rFonts w:hint="eastAsia" w:ascii="仿宋_GB2312" w:eastAsia="仿宋_GB2312"/>
                <w:sz w:val="24"/>
                <w:lang w:val="en-US" w:eastAsia="zh-CN"/>
              </w:rPr>
            </w:pPr>
          </w:p>
        </w:tc>
        <w:tc>
          <w:tcPr>
            <w:tcW w:w="85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8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9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2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63"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15"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98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821" w:type="dxa"/>
            <w:vAlign w:val="center"/>
          </w:tcPr>
          <w:p>
            <w:pPr>
              <w:pStyle w:val="9"/>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9"/>
              <w:spacing w:line="240" w:lineRule="atLeast"/>
              <w:jc w:val="both"/>
              <w:rPr>
                <w:rFonts w:hint="eastAsia" w:ascii="仿宋_GB2312" w:eastAsia="仿宋_GB2312"/>
                <w:sz w:val="24"/>
                <w:lang w:val="en-US" w:eastAsia="zh-CN"/>
              </w:rPr>
            </w:pPr>
          </w:p>
        </w:tc>
        <w:tc>
          <w:tcPr>
            <w:tcW w:w="1270" w:type="dxa"/>
            <w:vAlign w:val="center"/>
          </w:tcPr>
          <w:p>
            <w:pPr>
              <w:pStyle w:val="9"/>
              <w:spacing w:line="240" w:lineRule="atLeast"/>
              <w:jc w:val="center"/>
              <w:rPr>
                <w:rFonts w:hint="eastAsia" w:ascii="仿宋_GB2312" w:eastAsia="仿宋_GB2312"/>
                <w:sz w:val="24"/>
                <w:lang w:val="en-US" w:eastAsia="zh-CN"/>
              </w:rPr>
            </w:pPr>
            <w:r>
              <w:rPr>
                <w:rFonts w:hint="eastAsia" w:ascii="黑体" w:hAnsi="黑体" w:eastAsia="黑体" w:cs="黑体"/>
                <w:color w:val="auto"/>
                <w:kern w:val="2"/>
                <w:sz w:val="21"/>
                <w:highlight w:val="none"/>
                <w:lang w:val="en-US" w:eastAsia="zh-CN"/>
              </w:rPr>
              <w:t>…</w:t>
            </w:r>
          </w:p>
        </w:tc>
        <w:tc>
          <w:tcPr>
            <w:tcW w:w="85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84"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9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2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63"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15"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98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821" w:type="dxa"/>
            <w:vAlign w:val="center"/>
          </w:tcPr>
          <w:p>
            <w:pPr>
              <w:pStyle w:val="9"/>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9"/>
              <w:spacing w:line="240" w:lineRule="atLeast"/>
              <w:jc w:val="both"/>
              <w:rPr>
                <w:rFonts w:hint="default" w:ascii="仿宋_GB2312" w:eastAsia="仿宋_GB2312"/>
                <w:sz w:val="24"/>
                <w:lang w:val="en-US" w:eastAsia="zh-CN"/>
              </w:rPr>
            </w:pPr>
          </w:p>
        </w:tc>
        <w:tc>
          <w:tcPr>
            <w:tcW w:w="1270" w:type="dxa"/>
            <w:vAlign w:val="center"/>
          </w:tcPr>
          <w:p>
            <w:pPr>
              <w:pStyle w:val="9"/>
              <w:spacing w:line="360" w:lineRule="auto"/>
              <w:jc w:val="center"/>
              <w:rPr>
                <w:rFonts w:hint="eastAsia" w:ascii="仿宋_GB2312" w:hAnsi="Courier New" w:eastAsia="仿宋_GB2312" w:cs="黑体"/>
                <w:kern w:val="2"/>
                <w:sz w:val="24"/>
                <w:szCs w:val="20"/>
                <w:lang w:val="en-US" w:eastAsia="zh-CN" w:bidi="ar-SA"/>
              </w:rPr>
            </w:pPr>
            <w:r>
              <w:rPr>
                <w:rFonts w:hint="eastAsia" w:ascii="黑体" w:hAnsi="黑体" w:eastAsia="黑体" w:cs="黑体"/>
                <w:color w:val="auto"/>
                <w:kern w:val="2"/>
                <w:sz w:val="21"/>
                <w:highlight w:val="none"/>
                <w:lang w:val="en-US" w:eastAsia="zh-CN"/>
              </w:rPr>
              <w:t>其他</w:t>
            </w:r>
          </w:p>
        </w:tc>
        <w:tc>
          <w:tcPr>
            <w:tcW w:w="854" w:type="dxa"/>
            <w:vAlign w:val="center"/>
          </w:tcPr>
          <w:p>
            <w:pPr>
              <w:pStyle w:val="9"/>
              <w:spacing w:line="360" w:lineRule="auto"/>
              <w:jc w:val="center"/>
              <w:rPr>
                <w:rFonts w:hint="eastAsia" w:ascii="仿宋_GB2312" w:hAnsi="Courier New" w:eastAsia="仿宋_GB2312" w:cs="黑体"/>
                <w:kern w:val="2"/>
                <w:sz w:val="24"/>
                <w:szCs w:val="20"/>
                <w:lang w:val="en-US" w:eastAsia="zh-CN" w:bidi="ar-SA"/>
              </w:rPr>
            </w:pPr>
          </w:p>
        </w:tc>
        <w:tc>
          <w:tcPr>
            <w:tcW w:w="1084" w:type="dxa"/>
            <w:vAlign w:val="center"/>
          </w:tcPr>
          <w:p>
            <w:pPr>
              <w:pStyle w:val="9"/>
              <w:spacing w:line="360" w:lineRule="auto"/>
              <w:jc w:val="center"/>
              <w:rPr>
                <w:rFonts w:hint="eastAsia" w:ascii="仿宋_GB2312" w:hAnsi="Courier New" w:eastAsia="仿宋_GB2312" w:cs="黑体"/>
                <w:kern w:val="2"/>
                <w:sz w:val="24"/>
                <w:szCs w:val="20"/>
                <w:lang w:val="en-US" w:eastAsia="zh-CN" w:bidi="ar-SA"/>
              </w:rPr>
            </w:pPr>
          </w:p>
        </w:tc>
        <w:tc>
          <w:tcPr>
            <w:tcW w:w="79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2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1063"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715"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986" w:type="dxa"/>
            <w:vAlign w:val="center"/>
          </w:tcPr>
          <w:p>
            <w:pPr>
              <w:pStyle w:val="9"/>
              <w:spacing w:line="240" w:lineRule="atLeast"/>
              <w:ind w:left="1080" w:leftChars="257" w:hanging="540"/>
              <w:jc w:val="center"/>
              <w:rPr>
                <w:rFonts w:hint="eastAsia" w:ascii="仿宋_GB2312" w:eastAsia="仿宋_GB2312"/>
                <w:sz w:val="24"/>
                <w:lang w:val="en-US" w:eastAsia="zh-CN"/>
              </w:rPr>
            </w:pPr>
          </w:p>
        </w:tc>
        <w:tc>
          <w:tcPr>
            <w:tcW w:w="821" w:type="dxa"/>
            <w:vAlign w:val="center"/>
          </w:tcPr>
          <w:p>
            <w:pPr>
              <w:pStyle w:val="9"/>
              <w:spacing w:line="240" w:lineRule="atLeast"/>
              <w:ind w:left="1080" w:leftChars="257" w:hanging="540"/>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9" w:type="dxa"/>
            <w:gridSpan w:val="10"/>
            <w:vAlign w:val="center"/>
          </w:tcPr>
          <w:p>
            <w:pPr>
              <w:widowControl/>
              <w:jc w:val="left"/>
              <w:rPr>
                <w:rFonts w:hint="eastAsia" w:ascii="仿宋_GB2312" w:eastAsia="仿宋_GB2312"/>
                <w:sz w:val="24"/>
                <w:lang w:val="en-US" w:eastAsia="zh-CN"/>
              </w:rPr>
            </w:pPr>
            <w:r>
              <w:rPr>
                <w:rFonts w:hint="eastAsia" w:ascii="宋体" w:hAnsi="宋体" w:eastAsia="宋体" w:cs="宋体"/>
                <w:color w:val="000000"/>
                <w:kern w:val="0"/>
                <w:sz w:val="24"/>
                <w:szCs w:val="24"/>
                <w:lang w:val="en-US" w:eastAsia="zh-CN"/>
              </w:rPr>
              <w:t>合计总报价（小写）：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9" w:type="dxa"/>
            <w:gridSpan w:val="10"/>
            <w:vAlign w:val="center"/>
          </w:tcPr>
          <w:p>
            <w:pPr>
              <w:widowControl/>
              <w:jc w:val="left"/>
              <w:rPr>
                <w:rFonts w:hint="eastAsia" w:ascii="仿宋_GB2312" w:eastAsia="仿宋_GB2312"/>
                <w:sz w:val="24"/>
                <w:lang w:val="en-US" w:eastAsia="zh-CN"/>
              </w:rPr>
            </w:pPr>
            <w:r>
              <w:rPr>
                <w:rFonts w:hint="eastAsia" w:ascii="宋体" w:hAnsi="宋体" w:eastAsia="宋体" w:cs="宋体"/>
                <w:color w:val="000000"/>
                <w:kern w:val="0"/>
                <w:sz w:val="24"/>
                <w:szCs w:val="24"/>
                <w:lang w:val="en-US" w:eastAsia="zh-CN"/>
              </w:rPr>
              <w:t xml:space="preserve">合计总报价（大写）： </w:t>
            </w:r>
          </w:p>
        </w:tc>
      </w:tr>
    </w:tbl>
    <w:p>
      <w:pPr>
        <w:pStyle w:val="9"/>
        <w:spacing w:line="240" w:lineRule="atLeast"/>
        <w:ind w:left="1080" w:leftChars="257" w:hanging="540"/>
        <w:rPr>
          <w:rFonts w:hint="eastAsia" w:ascii="仿宋_GB2312" w:eastAsia="仿宋_GB2312"/>
          <w:sz w:val="24"/>
        </w:rPr>
      </w:pPr>
    </w:p>
    <w:p>
      <w:pPr>
        <w:pStyle w:val="9"/>
        <w:spacing w:line="240" w:lineRule="atLeast"/>
        <w:ind w:left="1080" w:leftChars="257" w:hanging="540"/>
        <w:rPr>
          <w:rFonts w:hint="eastAsia" w:ascii="仿宋_GB2312" w:eastAsia="仿宋_GB2312"/>
          <w:b/>
          <w:bCs/>
          <w:sz w:val="24"/>
        </w:rPr>
      </w:pPr>
      <w:r>
        <w:rPr>
          <w:rFonts w:hint="eastAsia" w:ascii="仿宋_GB2312" w:eastAsia="仿宋_GB2312"/>
          <w:b/>
          <w:bCs/>
          <w:sz w:val="24"/>
        </w:rPr>
        <w:t>法定代表人或</w:t>
      </w:r>
      <w:r>
        <w:rPr>
          <w:rFonts w:hint="eastAsia" w:ascii="仿宋_GB2312" w:eastAsia="仿宋_GB2312"/>
          <w:b/>
          <w:bCs/>
          <w:sz w:val="24"/>
          <w:lang w:val="en-US" w:eastAsia="zh-CN"/>
        </w:rPr>
        <w:t>被授权</w:t>
      </w:r>
      <w:r>
        <w:rPr>
          <w:rFonts w:hint="eastAsia" w:ascii="仿宋_GB2312" w:eastAsia="仿宋_GB2312"/>
          <w:b/>
          <w:bCs/>
          <w:sz w:val="24"/>
        </w:rPr>
        <w:t>代理人</w:t>
      </w:r>
      <w:r>
        <w:rPr>
          <w:rFonts w:hint="eastAsia" w:ascii="仿宋_GB2312" w:eastAsia="仿宋_GB2312"/>
          <w:b/>
          <w:bCs/>
          <w:color w:val="000000"/>
          <w:sz w:val="24"/>
        </w:rPr>
        <w:t>（签字或签章）</w:t>
      </w:r>
      <w:r>
        <w:rPr>
          <w:rFonts w:hint="eastAsia" w:ascii="仿宋_GB2312" w:eastAsia="仿宋_GB2312"/>
          <w:b/>
          <w:bCs/>
          <w:sz w:val="24"/>
        </w:rPr>
        <w:t>:</w:t>
      </w:r>
      <w:r>
        <w:rPr>
          <w:rFonts w:hint="eastAsia" w:ascii="仿宋_GB2312" w:hAnsi="宋体" w:eastAsia="仿宋_GB2312"/>
          <w:b/>
          <w:bCs/>
          <w:sz w:val="24"/>
          <w:u w:val="single"/>
        </w:rPr>
        <w:t xml:space="preserve"> </w:t>
      </w:r>
      <w:r>
        <w:rPr>
          <w:rFonts w:ascii="仿宋_GB2312" w:hAnsi="宋体" w:eastAsia="仿宋_GB2312"/>
          <w:b/>
          <w:bCs/>
          <w:sz w:val="24"/>
          <w:u w:val="single"/>
        </w:rPr>
        <w:tab/>
      </w:r>
      <w:r>
        <w:rPr>
          <w:rFonts w:hint="eastAsia" w:ascii="仿宋_GB2312" w:hAnsi="宋体" w:eastAsia="仿宋_GB2312"/>
          <w:b/>
          <w:bCs/>
          <w:sz w:val="24"/>
          <w:u w:val="single"/>
        </w:rPr>
        <w:t xml:space="preserve">                 </w:t>
      </w:r>
    </w:p>
    <w:p>
      <w:pPr>
        <w:pStyle w:val="9"/>
        <w:tabs>
          <w:tab w:val="left" w:pos="5370"/>
        </w:tabs>
        <w:spacing w:line="240" w:lineRule="atLeast"/>
        <w:ind w:left="1080" w:leftChars="257" w:hanging="540"/>
        <w:rPr>
          <w:rFonts w:hint="eastAsia" w:ascii="仿宋_GB2312" w:hAnsi="宋体" w:eastAsia="仿宋_GB2312"/>
          <w:b/>
          <w:bCs/>
          <w:sz w:val="24"/>
          <w:u w:val="single"/>
        </w:rPr>
      </w:pPr>
      <w:r>
        <w:rPr>
          <w:rFonts w:hint="eastAsia" w:ascii="仿宋_GB2312" w:hAnsi="宋体" w:eastAsia="仿宋_GB2312"/>
          <w:b/>
          <w:bCs/>
          <w:sz w:val="24"/>
        </w:rPr>
        <w:t>投标人(盖单位章):</w:t>
      </w:r>
      <w:r>
        <w:rPr>
          <w:rFonts w:ascii="仿宋_GB2312" w:hAnsi="宋体" w:eastAsia="仿宋_GB2312"/>
          <w:b/>
          <w:bCs/>
          <w:sz w:val="24"/>
          <w:u w:val="single"/>
        </w:rPr>
        <w:tab/>
      </w:r>
    </w:p>
    <w:p>
      <w:pPr>
        <w:autoSpaceDE w:val="0"/>
        <w:autoSpaceDN w:val="0"/>
        <w:adjustRightInd w:val="0"/>
        <w:ind w:firstLine="723" w:firstLineChars="300"/>
        <w:rPr>
          <w:rFonts w:hint="eastAsia" w:ascii="仿宋_GB2312" w:eastAsia="仿宋_GB2312"/>
          <w:sz w:val="24"/>
        </w:rPr>
      </w:pPr>
      <w:r>
        <w:rPr>
          <w:rFonts w:hint="eastAsia" w:ascii="仿宋_GB2312" w:hAnsi="Courier New" w:eastAsia="仿宋_GB2312" w:cs="黑体"/>
          <w:b/>
          <w:bCs/>
          <w:kern w:val="2"/>
          <w:sz w:val="24"/>
          <w:szCs w:val="20"/>
          <w:lang w:val="en-US" w:eastAsia="zh-CN" w:bidi="ar-SA"/>
        </w:rPr>
        <w:t>日期：20　　年　　月　　日</w:t>
      </w:r>
    </w:p>
    <w:p>
      <w:pPr>
        <w:pStyle w:val="9"/>
        <w:spacing w:line="240" w:lineRule="atLeast"/>
        <w:ind w:left="1080" w:leftChars="257" w:hanging="540"/>
        <w:rPr>
          <w:rFonts w:hint="eastAsia" w:ascii="仿宋_GB2312" w:eastAsia="仿宋_GB2312"/>
          <w:b/>
          <w:bCs/>
          <w:sz w:val="24"/>
        </w:rPr>
      </w:pPr>
      <w:r>
        <w:rPr>
          <w:rFonts w:hint="eastAsia" w:ascii="仿宋_GB2312" w:eastAsia="仿宋_GB2312"/>
          <w:b/>
          <w:bCs/>
          <w:sz w:val="24"/>
        </w:rPr>
        <w:t>注:</w:t>
      </w:r>
      <w:r>
        <w:rPr>
          <w:rFonts w:hint="eastAsia" w:ascii="仿宋_GB2312" w:eastAsia="仿宋_GB2312"/>
          <w:b/>
          <w:bCs/>
          <w:sz w:val="24"/>
          <w:lang w:val="en-US" w:eastAsia="zh-CN"/>
        </w:rPr>
        <w:t>1</w:t>
      </w:r>
      <w:r>
        <w:rPr>
          <w:rFonts w:hint="eastAsia" w:ascii="仿宋_GB2312" w:eastAsia="仿宋_GB2312"/>
          <w:b/>
          <w:bCs/>
          <w:sz w:val="24"/>
        </w:rPr>
        <w:t>.如果按单价计算的结果与总价不一致,以单价为准修正总价。</w:t>
      </w:r>
    </w:p>
    <w:p>
      <w:pPr>
        <w:pStyle w:val="9"/>
        <w:spacing w:line="240" w:lineRule="atLeast"/>
        <w:ind w:left="1080" w:leftChars="257" w:hanging="540"/>
        <w:rPr>
          <w:rFonts w:hint="eastAsia" w:ascii="仿宋_GB2312" w:eastAsia="仿宋_GB2312"/>
          <w:b/>
          <w:bCs/>
          <w:sz w:val="24"/>
        </w:rPr>
      </w:pPr>
      <w:r>
        <w:rPr>
          <w:rFonts w:hint="eastAsia" w:ascii="仿宋_GB2312" w:eastAsia="仿宋_GB2312"/>
          <w:b/>
          <w:bCs/>
          <w:sz w:val="24"/>
        </w:rPr>
        <w:t xml:space="preserve">   </w:t>
      </w:r>
      <w:r>
        <w:rPr>
          <w:rFonts w:hint="eastAsia" w:ascii="仿宋_GB2312" w:eastAsia="仿宋_GB2312"/>
          <w:b/>
          <w:bCs/>
          <w:sz w:val="24"/>
          <w:lang w:val="en-US" w:eastAsia="zh-CN"/>
        </w:rPr>
        <w:t>2</w:t>
      </w:r>
      <w:r>
        <w:rPr>
          <w:rFonts w:hint="eastAsia" w:ascii="仿宋_GB2312" w:eastAsia="仿宋_GB2312"/>
          <w:b/>
          <w:bCs/>
          <w:sz w:val="24"/>
        </w:rPr>
        <w:t>.如果不提供详细报价</w:t>
      </w:r>
      <w:r>
        <w:rPr>
          <w:rFonts w:hint="eastAsia" w:ascii="仿宋_GB2312" w:eastAsia="仿宋_GB2312"/>
          <w:b/>
          <w:bCs/>
          <w:sz w:val="24"/>
          <w:lang w:val="en-US" w:eastAsia="zh-CN"/>
        </w:rPr>
        <w:t>明细表</w:t>
      </w:r>
      <w:r>
        <w:rPr>
          <w:rFonts w:hint="eastAsia" w:ascii="仿宋_GB2312" w:eastAsia="仿宋_GB2312"/>
          <w:b/>
          <w:bCs/>
          <w:sz w:val="24"/>
        </w:rPr>
        <w:t>将视为没有实质性响应招标文件。</w:t>
      </w:r>
    </w:p>
    <w:p>
      <w:pPr>
        <w:pStyle w:val="9"/>
        <w:spacing w:line="240" w:lineRule="atLeast"/>
        <w:ind w:left="1080" w:leftChars="257" w:hanging="540"/>
        <w:rPr>
          <w:rFonts w:hint="eastAsia" w:ascii="仿宋_GB2312" w:eastAsia="仿宋_GB2312"/>
          <w:b/>
          <w:bCs/>
          <w:sz w:val="24"/>
        </w:rPr>
      </w:pPr>
      <w:r>
        <w:rPr>
          <w:rFonts w:hint="eastAsia" w:ascii="仿宋_GB2312" w:eastAsia="仿宋_GB2312"/>
          <w:b/>
          <w:bCs/>
          <w:sz w:val="24"/>
        </w:rPr>
        <w:t xml:space="preserve">   </w:t>
      </w:r>
      <w:r>
        <w:rPr>
          <w:rFonts w:hint="eastAsia" w:ascii="仿宋_GB2312" w:eastAsia="仿宋_GB2312"/>
          <w:b/>
          <w:bCs/>
          <w:sz w:val="24"/>
          <w:lang w:val="en-US" w:eastAsia="zh-CN"/>
        </w:rPr>
        <w:t>3</w:t>
      </w:r>
      <w:r>
        <w:rPr>
          <w:rFonts w:hint="eastAsia" w:ascii="仿宋_GB2312" w:eastAsia="仿宋_GB2312"/>
          <w:b/>
          <w:bCs/>
          <w:sz w:val="24"/>
        </w:rPr>
        <w:t>.如果开标一览表（报价表）内容与投标文件中明细表内容不一致的，以开标一览表（报价表）内容为准。</w:t>
      </w:r>
    </w:p>
    <w:p>
      <w:pPr>
        <w:widowControl/>
        <w:ind w:firstLine="964" w:firstLineChars="400"/>
        <w:jc w:val="left"/>
        <w:rPr>
          <w:rFonts w:hint="eastAsia" w:ascii="仿宋_GB2312" w:hAnsi="Courier New" w:eastAsia="仿宋_GB2312" w:cs="黑体"/>
          <w:b/>
          <w:bCs/>
          <w:kern w:val="2"/>
          <w:sz w:val="24"/>
          <w:szCs w:val="20"/>
          <w:lang w:val="en-US" w:eastAsia="zh-CN" w:bidi="ar-SA"/>
        </w:rPr>
      </w:pPr>
      <w:r>
        <w:rPr>
          <w:rFonts w:hint="eastAsia" w:ascii="仿宋_GB2312" w:eastAsia="仿宋_GB2312"/>
          <w:b/>
          <w:bCs/>
          <w:sz w:val="24"/>
          <w:lang w:val="en-US" w:eastAsia="zh-CN"/>
        </w:rPr>
        <w:t>4.</w:t>
      </w:r>
      <w:r>
        <w:rPr>
          <w:rFonts w:hint="eastAsia" w:ascii="仿宋_GB2312" w:hAnsi="Courier New" w:eastAsia="仿宋_GB2312" w:cs="黑体"/>
          <w:b/>
          <w:bCs/>
          <w:kern w:val="2"/>
          <w:sz w:val="24"/>
          <w:szCs w:val="20"/>
          <w:lang w:val="en-US" w:eastAsia="zh-CN" w:bidi="ar-SA"/>
        </w:rPr>
        <w:t xml:space="preserve">合计总报价必须包括货物、安装、调试、技术支持、运输、保险、售后服务、培训及其 </w:t>
      </w:r>
    </w:p>
    <w:p>
      <w:pPr>
        <w:widowControl/>
        <w:ind w:firstLine="964" w:firstLineChars="400"/>
        <w:jc w:val="left"/>
        <w:rPr>
          <w:rFonts w:hint="eastAsia" w:ascii="仿宋_GB2312" w:hAnsi="Courier New" w:eastAsia="仿宋_GB2312" w:cs="黑体"/>
          <w:b/>
          <w:bCs/>
          <w:kern w:val="2"/>
          <w:sz w:val="24"/>
          <w:szCs w:val="20"/>
          <w:lang w:val="en-US" w:eastAsia="zh-CN" w:bidi="ar-SA"/>
        </w:rPr>
      </w:pPr>
      <w:r>
        <w:rPr>
          <w:rFonts w:hint="eastAsia" w:ascii="仿宋_GB2312" w:hAnsi="Courier New" w:eastAsia="仿宋_GB2312" w:cs="黑体"/>
          <w:b/>
          <w:bCs/>
          <w:kern w:val="2"/>
          <w:sz w:val="24"/>
          <w:szCs w:val="20"/>
          <w:lang w:val="en-US" w:eastAsia="zh-CN" w:bidi="ar-SA"/>
        </w:rPr>
        <w:t xml:space="preserve">它必需服务的报价。 </w:t>
      </w:r>
    </w:p>
    <w:p>
      <w:pPr>
        <w:widowControl/>
        <w:jc w:val="left"/>
        <w:rPr>
          <w:rFonts w:hint="eastAsia" w:ascii="仿宋_GB2312" w:hAnsi="Courier New" w:eastAsia="仿宋_GB2312" w:cs="黑体"/>
          <w:b/>
          <w:bCs/>
          <w:kern w:val="2"/>
          <w:sz w:val="24"/>
          <w:szCs w:val="20"/>
          <w:lang w:val="en-US" w:eastAsia="zh-CN" w:bidi="ar-SA"/>
        </w:rPr>
      </w:pPr>
      <w:r>
        <w:rPr>
          <w:rFonts w:hint="eastAsia" w:ascii="仿宋_GB2312" w:eastAsia="仿宋_GB2312"/>
          <w:b/>
          <w:bCs/>
          <w:sz w:val="24"/>
          <w:lang w:val="en-US" w:eastAsia="zh-CN"/>
        </w:rPr>
        <w:t xml:space="preserve">       </w:t>
      </w:r>
      <w:r>
        <w:rPr>
          <w:rFonts w:hint="eastAsia" w:ascii="仿宋_GB2312" w:hAnsi="Courier New" w:eastAsia="仿宋_GB2312" w:cs="黑体"/>
          <w:b/>
          <w:bCs/>
          <w:kern w:val="2"/>
          <w:sz w:val="24"/>
          <w:szCs w:val="20"/>
          <w:lang w:val="en-US" w:eastAsia="zh-CN" w:bidi="ar-SA"/>
        </w:rPr>
        <w:t>5.上述报价包含一切由供方承担的费用。</w:t>
      </w:r>
    </w:p>
    <w:p>
      <w:pPr>
        <w:pStyle w:val="9"/>
        <w:spacing w:line="360" w:lineRule="auto"/>
        <w:rPr>
          <w:rFonts w:hint="eastAsia" w:ascii="仿宋_GB2312" w:eastAsia="仿宋_GB2312"/>
          <w:sz w:val="24"/>
        </w:rPr>
      </w:pPr>
    </w:p>
    <w:p>
      <w:pPr>
        <w:pStyle w:val="2"/>
        <w:numPr>
          <w:ilvl w:val="0"/>
          <w:numId w:val="7"/>
        </w:numPr>
        <w:wordWrap/>
        <w:spacing w:line="360" w:lineRule="exact"/>
        <w:ind w:left="359"/>
        <w:jc w:val="center"/>
        <w:rPr>
          <w:rFonts w:hint="eastAsia" w:ascii="仿宋" w:hAnsi="仿宋" w:eastAsia="仿宋" w:cs="黑体"/>
          <w:b/>
          <w:bCs w:val="0"/>
          <w:kern w:val="2"/>
          <w:sz w:val="32"/>
          <w:szCs w:val="32"/>
          <w:highlight w:val="none"/>
          <w:lang w:val="en-US" w:eastAsia="zh-CN" w:bidi="ar-SA"/>
        </w:rPr>
      </w:pPr>
      <w:r>
        <w:rPr>
          <w:rFonts w:hint="eastAsia" w:ascii="仿宋" w:hAnsi="仿宋" w:eastAsia="仿宋" w:cs="黑体"/>
          <w:b/>
          <w:bCs w:val="0"/>
          <w:kern w:val="2"/>
          <w:sz w:val="32"/>
          <w:szCs w:val="32"/>
          <w:highlight w:val="none"/>
          <w:lang w:val="en-US" w:eastAsia="zh-CN" w:bidi="ar-SA"/>
        </w:rPr>
        <w:t>备品、备件清单及维保期期满后</w:t>
      </w:r>
      <w:bookmarkStart w:id="345" w:name="_Toc14674_WPSOffice_Level1"/>
    </w:p>
    <w:p>
      <w:pPr>
        <w:pStyle w:val="2"/>
        <w:numPr>
          <w:ilvl w:val="0"/>
          <w:numId w:val="0"/>
        </w:numPr>
        <w:wordWrap/>
        <w:spacing w:line="360" w:lineRule="exact"/>
        <w:ind w:firstLine="1285" w:firstLineChars="400"/>
        <w:jc w:val="center"/>
        <w:rPr>
          <w:rFonts w:hint="eastAsia" w:ascii="仿宋" w:hAnsi="仿宋" w:eastAsia="仿宋" w:cs="黑体"/>
          <w:b/>
          <w:bCs w:val="0"/>
          <w:kern w:val="2"/>
          <w:sz w:val="32"/>
          <w:szCs w:val="32"/>
          <w:highlight w:val="none"/>
          <w:lang w:val="en-US" w:eastAsia="zh-CN" w:bidi="ar-SA"/>
        </w:rPr>
      </w:pPr>
      <w:r>
        <w:rPr>
          <w:rFonts w:hint="eastAsia" w:ascii="仿宋" w:hAnsi="仿宋" w:eastAsia="仿宋" w:cs="黑体"/>
          <w:b/>
          <w:bCs w:val="0"/>
          <w:kern w:val="2"/>
          <w:sz w:val="32"/>
          <w:szCs w:val="32"/>
          <w:highlight w:val="none"/>
          <w:lang w:val="en-US" w:eastAsia="zh-CN" w:bidi="ar-SA"/>
        </w:rPr>
        <w:t>相关维修配件清单一览表</w:t>
      </w:r>
      <w:bookmarkEnd w:id="345"/>
    </w:p>
    <w:p>
      <w:pPr>
        <w:pStyle w:val="26"/>
        <w:numPr>
          <w:ilvl w:val="0"/>
          <w:numId w:val="0"/>
        </w:numPr>
        <w:ind w:firstLine="840" w:firstLineChars="400"/>
        <w:rPr>
          <w:rFonts w:hint="default"/>
          <w:lang w:val="en-US" w:eastAsia="zh-CN"/>
        </w:rPr>
      </w:pPr>
      <w:r>
        <w:rPr>
          <w:rFonts w:hint="eastAsia"/>
          <w:lang w:val="en-US" w:eastAsia="zh-CN"/>
        </w:rPr>
        <w:t>项目名称：                    标段号：                               项目编号：</w:t>
      </w:r>
    </w:p>
    <w:tbl>
      <w:tblPr>
        <w:tblStyle w:val="20"/>
        <w:tblW w:w="9051"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26"/>
        <w:gridCol w:w="1526"/>
        <w:gridCol w:w="1526"/>
        <w:gridCol w:w="1526"/>
        <w:gridCol w:w="636"/>
        <w:gridCol w:w="76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top"/>
          </w:tcPr>
          <w:p>
            <w:pPr>
              <w:pStyle w:val="5"/>
              <w:ind w:left="0" w:leftChars="0" w:firstLine="0" w:firstLineChars="0"/>
              <w:rPr>
                <w:rFonts w:hint="eastAsia"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序号</w:t>
            </w:r>
          </w:p>
        </w:tc>
        <w:tc>
          <w:tcPr>
            <w:tcW w:w="1526" w:type="dxa"/>
            <w:vAlign w:val="top"/>
          </w:tcPr>
          <w:p>
            <w:pPr>
              <w:pStyle w:val="5"/>
              <w:ind w:left="0" w:leftChars="0" w:firstLine="0" w:firstLineChars="0"/>
              <w:rPr>
                <w:rFonts w:hint="default"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备品、备件名称</w:t>
            </w:r>
          </w:p>
        </w:tc>
        <w:tc>
          <w:tcPr>
            <w:tcW w:w="1526" w:type="dxa"/>
            <w:vAlign w:val="top"/>
          </w:tcPr>
          <w:p>
            <w:pPr>
              <w:pStyle w:val="5"/>
              <w:ind w:left="0" w:leftChars="0" w:firstLine="0" w:firstLineChars="0"/>
              <w:rPr>
                <w:rFonts w:hint="default"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规格型号</w:t>
            </w:r>
          </w:p>
        </w:tc>
        <w:tc>
          <w:tcPr>
            <w:tcW w:w="1526" w:type="dxa"/>
            <w:vAlign w:val="top"/>
          </w:tcPr>
          <w:p>
            <w:pPr>
              <w:pStyle w:val="5"/>
              <w:rPr>
                <w:rFonts w:hint="default"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制造商</w:t>
            </w:r>
          </w:p>
        </w:tc>
        <w:tc>
          <w:tcPr>
            <w:tcW w:w="1526" w:type="dxa"/>
            <w:vAlign w:val="top"/>
          </w:tcPr>
          <w:p>
            <w:pPr>
              <w:pStyle w:val="5"/>
              <w:rPr>
                <w:rFonts w:hint="eastAsia"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单位</w:t>
            </w:r>
          </w:p>
        </w:tc>
        <w:tc>
          <w:tcPr>
            <w:tcW w:w="636" w:type="dxa"/>
            <w:vAlign w:val="top"/>
          </w:tcPr>
          <w:p>
            <w:pPr>
              <w:pStyle w:val="5"/>
              <w:ind w:left="0" w:leftChars="0" w:firstLine="0" w:firstLineChars="0"/>
              <w:rPr>
                <w:rFonts w:hint="eastAsia"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数量</w:t>
            </w:r>
          </w:p>
        </w:tc>
        <w:tc>
          <w:tcPr>
            <w:tcW w:w="762" w:type="dxa"/>
            <w:vAlign w:val="top"/>
          </w:tcPr>
          <w:p>
            <w:pPr>
              <w:pStyle w:val="5"/>
              <w:ind w:left="0" w:leftChars="0" w:firstLine="0" w:firstLineChars="0"/>
              <w:rPr>
                <w:rFonts w:hint="eastAsia"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单价</w:t>
            </w:r>
          </w:p>
        </w:tc>
        <w:tc>
          <w:tcPr>
            <w:tcW w:w="905" w:type="dxa"/>
            <w:vAlign w:val="top"/>
          </w:tcPr>
          <w:p>
            <w:pPr>
              <w:pStyle w:val="5"/>
              <w:ind w:left="0" w:leftChars="0" w:firstLine="0" w:firstLineChars="0"/>
              <w:rPr>
                <w:rFonts w:hint="eastAsia"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top"/>
          </w:tcPr>
          <w:p>
            <w:pPr>
              <w:pStyle w:val="5"/>
              <w:rPr>
                <w:rFonts w:hint="eastAsia" w:ascii="仿宋_GB2312" w:hAnsi="Courier New" w:eastAsia="仿宋_GB2312" w:cs="黑体"/>
                <w:kern w:val="2"/>
                <w:sz w:val="24"/>
                <w:szCs w:val="20"/>
                <w:lang w:val="en-US" w:eastAsia="zh-CN" w:bidi="ar-SA"/>
              </w:rPr>
            </w:pP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636" w:type="dxa"/>
            <w:vAlign w:val="top"/>
          </w:tcPr>
          <w:p>
            <w:pPr>
              <w:pStyle w:val="5"/>
              <w:rPr>
                <w:rFonts w:hint="eastAsia" w:ascii="仿宋_GB2312" w:hAnsi="Courier New" w:eastAsia="仿宋_GB2312" w:cs="黑体"/>
                <w:kern w:val="2"/>
                <w:sz w:val="24"/>
                <w:szCs w:val="20"/>
                <w:lang w:val="en-US" w:eastAsia="zh-CN" w:bidi="ar-SA"/>
              </w:rPr>
            </w:pPr>
          </w:p>
        </w:tc>
        <w:tc>
          <w:tcPr>
            <w:tcW w:w="762" w:type="dxa"/>
            <w:vAlign w:val="top"/>
          </w:tcPr>
          <w:p>
            <w:pPr>
              <w:pStyle w:val="5"/>
              <w:rPr>
                <w:rFonts w:hint="eastAsia" w:ascii="仿宋_GB2312" w:hAnsi="Courier New" w:eastAsia="仿宋_GB2312" w:cs="黑体"/>
                <w:kern w:val="2"/>
                <w:sz w:val="24"/>
                <w:szCs w:val="20"/>
                <w:lang w:val="en-US" w:eastAsia="zh-CN" w:bidi="ar-SA"/>
              </w:rPr>
            </w:pPr>
          </w:p>
        </w:tc>
        <w:tc>
          <w:tcPr>
            <w:tcW w:w="905" w:type="dxa"/>
            <w:vAlign w:val="top"/>
          </w:tcPr>
          <w:p>
            <w:pPr>
              <w:pStyle w:val="5"/>
              <w:rPr>
                <w:rFonts w:hint="eastAsia" w:ascii="仿宋_GB2312" w:hAnsi="Courier New" w:eastAsia="仿宋_GB2312" w:cs="黑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top"/>
          </w:tcPr>
          <w:p>
            <w:pPr>
              <w:pStyle w:val="5"/>
              <w:ind w:left="0" w:leftChars="0" w:firstLine="0" w:firstLineChars="0"/>
              <w:rPr>
                <w:rFonts w:hint="default"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w:t>
            </w: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636" w:type="dxa"/>
            <w:vAlign w:val="top"/>
          </w:tcPr>
          <w:p>
            <w:pPr>
              <w:pStyle w:val="5"/>
              <w:rPr>
                <w:rFonts w:hint="eastAsia" w:ascii="仿宋_GB2312" w:hAnsi="Courier New" w:eastAsia="仿宋_GB2312" w:cs="黑体"/>
                <w:kern w:val="2"/>
                <w:sz w:val="24"/>
                <w:szCs w:val="20"/>
                <w:lang w:val="en-US" w:eastAsia="zh-CN" w:bidi="ar-SA"/>
              </w:rPr>
            </w:pPr>
          </w:p>
        </w:tc>
        <w:tc>
          <w:tcPr>
            <w:tcW w:w="762" w:type="dxa"/>
            <w:vAlign w:val="top"/>
          </w:tcPr>
          <w:p>
            <w:pPr>
              <w:pStyle w:val="5"/>
              <w:rPr>
                <w:rFonts w:hint="eastAsia" w:ascii="仿宋_GB2312" w:hAnsi="Courier New" w:eastAsia="仿宋_GB2312" w:cs="黑体"/>
                <w:kern w:val="2"/>
                <w:sz w:val="24"/>
                <w:szCs w:val="20"/>
                <w:lang w:val="en-US" w:eastAsia="zh-CN" w:bidi="ar-SA"/>
              </w:rPr>
            </w:pPr>
          </w:p>
        </w:tc>
        <w:tc>
          <w:tcPr>
            <w:tcW w:w="905" w:type="dxa"/>
            <w:vAlign w:val="top"/>
          </w:tcPr>
          <w:p>
            <w:pPr>
              <w:pStyle w:val="5"/>
              <w:rPr>
                <w:rFonts w:hint="eastAsia" w:ascii="仿宋_GB2312" w:hAnsi="Courier New" w:eastAsia="仿宋_GB2312" w:cs="黑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gridSpan w:val="3"/>
            <w:vAlign w:val="top"/>
          </w:tcPr>
          <w:p>
            <w:pPr>
              <w:pStyle w:val="5"/>
              <w:ind w:left="0" w:leftChars="0" w:firstLine="0" w:firstLineChars="0"/>
              <w:rPr>
                <w:rFonts w:hint="eastAsia" w:ascii="仿宋_GB2312" w:hAnsi="Courier New" w:eastAsia="仿宋_GB2312" w:cs="黑体"/>
                <w:kern w:val="2"/>
                <w:sz w:val="24"/>
                <w:szCs w:val="20"/>
                <w:lang w:val="en-US" w:eastAsia="zh-CN" w:bidi="ar-SA"/>
              </w:rPr>
            </w:pPr>
            <w:r>
              <w:rPr>
                <w:rFonts w:hint="eastAsia" w:ascii="仿宋_GB2312" w:hAnsi="Courier New" w:eastAsia="仿宋_GB2312" w:cs="黑体"/>
                <w:kern w:val="2"/>
                <w:sz w:val="24"/>
                <w:szCs w:val="20"/>
                <w:lang w:val="en-US" w:eastAsia="zh-CN" w:bidi="ar-SA"/>
              </w:rPr>
              <w:t>质保期外的约定供货价格承诺期限</w:t>
            </w: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1526" w:type="dxa"/>
            <w:vAlign w:val="top"/>
          </w:tcPr>
          <w:p>
            <w:pPr>
              <w:pStyle w:val="5"/>
              <w:rPr>
                <w:rFonts w:hint="eastAsia" w:ascii="仿宋_GB2312" w:hAnsi="Courier New" w:eastAsia="仿宋_GB2312" w:cs="黑体"/>
                <w:kern w:val="2"/>
                <w:sz w:val="24"/>
                <w:szCs w:val="20"/>
                <w:lang w:val="en-US" w:eastAsia="zh-CN" w:bidi="ar-SA"/>
              </w:rPr>
            </w:pPr>
          </w:p>
        </w:tc>
        <w:tc>
          <w:tcPr>
            <w:tcW w:w="636" w:type="dxa"/>
            <w:vAlign w:val="top"/>
          </w:tcPr>
          <w:p>
            <w:pPr>
              <w:pStyle w:val="5"/>
              <w:rPr>
                <w:rFonts w:hint="eastAsia" w:ascii="仿宋_GB2312" w:hAnsi="Courier New" w:eastAsia="仿宋_GB2312" w:cs="黑体"/>
                <w:kern w:val="2"/>
                <w:sz w:val="24"/>
                <w:szCs w:val="20"/>
                <w:lang w:val="en-US" w:eastAsia="zh-CN" w:bidi="ar-SA"/>
              </w:rPr>
            </w:pPr>
          </w:p>
        </w:tc>
        <w:tc>
          <w:tcPr>
            <w:tcW w:w="762" w:type="dxa"/>
            <w:vAlign w:val="top"/>
          </w:tcPr>
          <w:p>
            <w:pPr>
              <w:pStyle w:val="5"/>
              <w:rPr>
                <w:rFonts w:hint="eastAsia" w:ascii="仿宋_GB2312" w:hAnsi="Courier New" w:eastAsia="仿宋_GB2312" w:cs="黑体"/>
                <w:kern w:val="2"/>
                <w:sz w:val="24"/>
                <w:szCs w:val="20"/>
                <w:lang w:val="en-US" w:eastAsia="zh-CN" w:bidi="ar-SA"/>
              </w:rPr>
            </w:pPr>
          </w:p>
        </w:tc>
        <w:tc>
          <w:tcPr>
            <w:tcW w:w="905" w:type="dxa"/>
            <w:vAlign w:val="top"/>
          </w:tcPr>
          <w:p>
            <w:pPr>
              <w:pStyle w:val="5"/>
              <w:rPr>
                <w:rFonts w:hint="eastAsia" w:ascii="仿宋_GB2312" w:hAnsi="Courier New" w:eastAsia="仿宋_GB2312" w:cs="黑体"/>
                <w:kern w:val="2"/>
                <w:sz w:val="24"/>
                <w:szCs w:val="20"/>
                <w:lang w:val="en-US" w:eastAsia="zh-CN" w:bidi="ar-SA"/>
              </w:rPr>
            </w:pPr>
          </w:p>
        </w:tc>
      </w:tr>
    </w:tbl>
    <w:p>
      <w:pPr>
        <w:pStyle w:val="9"/>
        <w:tabs>
          <w:tab w:val="left" w:pos="5370"/>
        </w:tabs>
        <w:spacing w:line="360" w:lineRule="auto"/>
        <w:ind w:left="1080" w:leftChars="257" w:hanging="540"/>
        <w:rPr>
          <w:rFonts w:hint="eastAsia" w:ascii="仿宋_GB2312" w:hAnsi="宋体" w:eastAsia="仿宋_GB2312"/>
          <w:b/>
          <w:bCs/>
          <w:color w:val="000000"/>
          <w:sz w:val="24"/>
          <w:u w:val="single"/>
        </w:rPr>
      </w:pPr>
      <w:r>
        <w:rPr>
          <w:rFonts w:hint="eastAsia" w:ascii="仿宋_GB2312" w:hAnsi="宋体" w:eastAsia="仿宋_GB2312"/>
          <w:b/>
          <w:bCs/>
          <w:color w:val="000000"/>
          <w:sz w:val="24"/>
        </w:rPr>
        <w:t>投标人(盖公章):</w:t>
      </w:r>
      <w:r>
        <w:rPr>
          <w:rFonts w:ascii="仿宋_GB2312" w:hAnsi="宋体" w:eastAsia="仿宋_GB2312"/>
          <w:b/>
          <w:bCs/>
          <w:color w:val="000000"/>
          <w:sz w:val="24"/>
          <w:u w:val="single"/>
        </w:rPr>
        <w:tab/>
      </w:r>
    </w:p>
    <w:p>
      <w:pPr>
        <w:pStyle w:val="9"/>
        <w:spacing w:line="360" w:lineRule="auto"/>
        <w:ind w:left="1080" w:leftChars="257" w:hanging="540"/>
        <w:rPr>
          <w:rFonts w:hint="eastAsia" w:ascii="仿宋_GB2312" w:eastAsia="仿宋_GB2312"/>
          <w:b/>
          <w:bCs/>
          <w:color w:val="000000"/>
          <w:sz w:val="24"/>
        </w:rPr>
      </w:pPr>
      <w:r>
        <w:rPr>
          <w:rFonts w:hint="eastAsia" w:ascii="仿宋_GB2312" w:eastAsia="仿宋_GB2312"/>
          <w:b/>
          <w:bCs/>
          <w:color w:val="000000"/>
          <w:sz w:val="24"/>
        </w:rPr>
        <w:t>法定代表人或</w:t>
      </w:r>
      <w:r>
        <w:rPr>
          <w:rFonts w:hint="eastAsia" w:ascii="仿宋_GB2312" w:eastAsia="仿宋_GB2312"/>
          <w:b/>
          <w:bCs/>
          <w:color w:val="000000"/>
          <w:sz w:val="24"/>
          <w:lang w:val="en-US" w:eastAsia="zh-CN"/>
        </w:rPr>
        <w:t>被</w:t>
      </w:r>
      <w:r>
        <w:rPr>
          <w:rFonts w:hint="eastAsia" w:ascii="仿宋_GB2312" w:eastAsia="仿宋_GB2312"/>
          <w:b/>
          <w:bCs/>
          <w:color w:val="000000"/>
          <w:sz w:val="24"/>
        </w:rPr>
        <w:t>委托</w:t>
      </w:r>
      <w:r>
        <w:rPr>
          <w:rFonts w:hint="eastAsia" w:ascii="仿宋_GB2312" w:eastAsia="仿宋_GB2312"/>
          <w:b/>
          <w:bCs/>
          <w:color w:val="000000"/>
          <w:sz w:val="24"/>
          <w:lang w:val="en-US" w:eastAsia="zh-CN"/>
        </w:rPr>
        <w:t>授权</w:t>
      </w:r>
      <w:r>
        <w:rPr>
          <w:rFonts w:hint="eastAsia" w:ascii="仿宋_GB2312" w:eastAsia="仿宋_GB2312"/>
          <w:b/>
          <w:bCs/>
          <w:color w:val="000000"/>
          <w:sz w:val="24"/>
        </w:rPr>
        <w:t>代理人（签字或签章）:</w:t>
      </w:r>
      <w:r>
        <w:rPr>
          <w:rFonts w:hint="eastAsia" w:ascii="仿宋_GB2312" w:hAnsi="宋体" w:eastAsia="仿宋_GB2312"/>
          <w:b/>
          <w:bCs/>
          <w:color w:val="000000"/>
          <w:sz w:val="24"/>
          <w:u w:val="single"/>
        </w:rPr>
        <w:t xml:space="preserve"> </w:t>
      </w:r>
      <w:r>
        <w:rPr>
          <w:rFonts w:ascii="仿宋_GB2312" w:hAnsi="宋体" w:eastAsia="仿宋_GB2312"/>
          <w:b/>
          <w:bCs/>
          <w:color w:val="000000"/>
          <w:sz w:val="24"/>
          <w:u w:val="single"/>
        </w:rPr>
        <w:tab/>
      </w:r>
      <w:r>
        <w:rPr>
          <w:rFonts w:hint="eastAsia" w:ascii="仿宋_GB2312" w:hAnsi="宋体" w:eastAsia="仿宋_GB2312"/>
          <w:b/>
          <w:bCs/>
          <w:color w:val="000000"/>
          <w:sz w:val="24"/>
          <w:u w:val="single"/>
        </w:rPr>
        <w:t xml:space="preserve">                 </w:t>
      </w:r>
    </w:p>
    <w:p>
      <w:pPr>
        <w:autoSpaceDE w:val="0"/>
        <w:autoSpaceDN w:val="0"/>
        <w:adjustRightInd w:val="0"/>
        <w:ind w:firstLine="482" w:firstLineChars="200"/>
        <w:rPr>
          <w:b/>
          <w:bCs/>
          <w:color w:val="000000"/>
        </w:rPr>
      </w:pPr>
      <w:r>
        <w:rPr>
          <w:rFonts w:hint="eastAsia" w:ascii="仿宋_GB2312" w:hAnsi="Courier New" w:eastAsia="仿宋_GB2312" w:cs="黑体"/>
          <w:b/>
          <w:bCs/>
          <w:color w:val="000000"/>
          <w:kern w:val="2"/>
          <w:sz w:val="24"/>
          <w:szCs w:val="20"/>
          <w:lang w:val="en-US" w:eastAsia="zh-CN" w:bidi="ar-SA"/>
        </w:rPr>
        <w:t>日期：20　　年　　月　　日</w:t>
      </w:r>
    </w:p>
    <w:p>
      <w:pPr>
        <w:shd w:val="clear" w:color="auto" w:fill="FFFFFF"/>
        <w:wordWrap/>
        <w:adjustRightInd w:val="0"/>
        <w:snapToGrid w:val="0"/>
        <w:spacing w:line="360" w:lineRule="exact"/>
        <w:rPr>
          <w:rFonts w:hint="eastAsia" w:ascii="仿宋_GB2312" w:hAnsi="Courier New" w:eastAsia="仿宋_GB2312" w:cs="黑体"/>
          <w:b/>
          <w:bCs/>
          <w:color w:val="000000"/>
          <w:kern w:val="2"/>
          <w:sz w:val="24"/>
          <w:szCs w:val="20"/>
          <w:lang w:val="en-US" w:eastAsia="zh-CN" w:bidi="ar-SA"/>
        </w:rPr>
      </w:pPr>
      <w:r>
        <w:rPr>
          <w:rFonts w:hint="eastAsia" w:ascii="仿宋_GB2312" w:hAnsi="Courier New" w:eastAsia="仿宋_GB2312" w:cs="黑体"/>
          <w:b/>
          <w:bCs/>
          <w:color w:val="000000"/>
          <w:kern w:val="2"/>
          <w:sz w:val="24"/>
          <w:szCs w:val="20"/>
          <w:lang w:val="en-US" w:eastAsia="zh-CN" w:bidi="ar-SA"/>
        </w:rPr>
        <w:t>注：1. 相关维修配件价格，为质量保证期期满后约定期限内，采购人如向中标单位采购配件时中标人所作出的承诺供货价。（约定期限时间由各投标人单独承诺）</w:t>
      </w:r>
    </w:p>
    <w:p>
      <w:pPr>
        <w:shd w:val="clear" w:color="auto" w:fill="FFFFFF"/>
        <w:wordWrap/>
        <w:adjustRightInd w:val="0"/>
        <w:snapToGrid w:val="0"/>
        <w:spacing w:line="360" w:lineRule="exact"/>
        <w:rPr>
          <w:rFonts w:hint="eastAsia" w:ascii="仿宋_GB2312" w:hAnsi="Courier New" w:eastAsia="仿宋_GB2312" w:cs="黑体"/>
          <w:b/>
          <w:bCs/>
          <w:color w:val="000000"/>
          <w:kern w:val="2"/>
          <w:sz w:val="24"/>
          <w:szCs w:val="20"/>
          <w:lang w:val="en-US" w:eastAsia="zh-CN" w:bidi="ar-SA"/>
        </w:rPr>
      </w:pPr>
      <w:r>
        <w:rPr>
          <w:rFonts w:hint="eastAsia" w:ascii="仿宋_GB2312" w:hAnsi="Courier New" w:eastAsia="仿宋_GB2312" w:cs="黑体"/>
          <w:b/>
          <w:bCs/>
          <w:color w:val="000000"/>
          <w:kern w:val="2"/>
          <w:sz w:val="24"/>
          <w:szCs w:val="20"/>
          <w:lang w:val="en-US" w:eastAsia="zh-CN" w:bidi="ar-SA"/>
        </w:rPr>
        <w:t>2. 本表中所列价格不计入投标总价，仅供采购人选购时用。</w:t>
      </w:r>
    </w:p>
    <w:p>
      <w:pPr>
        <w:shd w:val="clear" w:color="auto" w:fill="FFFFFF"/>
        <w:wordWrap/>
        <w:adjustRightInd w:val="0"/>
        <w:snapToGrid w:val="0"/>
        <w:spacing w:line="360" w:lineRule="exact"/>
        <w:rPr>
          <w:rFonts w:hint="eastAsia" w:ascii="仿宋_GB2312" w:hAnsi="Courier New" w:eastAsia="仿宋_GB2312" w:cs="黑体"/>
          <w:b/>
          <w:bCs/>
          <w:color w:val="000000"/>
          <w:kern w:val="2"/>
          <w:sz w:val="24"/>
          <w:szCs w:val="20"/>
          <w:lang w:val="en-US" w:eastAsia="zh-CN" w:bidi="ar-SA"/>
        </w:rPr>
        <w:sectPr>
          <w:headerReference r:id="rId5" w:type="default"/>
          <w:headerReference r:id="rId6" w:type="even"/>
          <w:footerReference r:id="rId7" w:type="even"/>
          <w:pgSz w:w="11906" w:h="16838"/>
          <w:pgMar w:top="720" w:right="720" w:bottom="720" w:left="720" w:header="851" w:footer="992" w:gutter="0"/>
          <w:cols w:space="720" w:num="1"/>
          <w:docGrid w:linePitch="312" w:charSpace="0"/>
        </w:sectPr>
      </w:pPr>
      <w:r>
        <w:rPr>
          <w:rFonts w:hint="eastAsia" w:ascii="仿宋_GB2312" w:hAnsi="Courier New" w:eastAsia="仿宋_GB2312" w:cs="黑体"/>
          <w:b/>
          <w:bCs/>
          <w:color w:val="000000"/>
          <w:kern w:val="2"/>
          <w:sz w:val="24"/>
          <w:szCs w:val="20"/>
          <w:lang w:val="en-US" w:eastAsia="zh-CN" w:bidi="ar-SA"/>
        </w:rPr>
        <w:t>3. 此表仅提供了表格形式，投标人应根据需要准备足够数量的表格来填写。</w:t>
      </w:r>
    </w:p>
    <w:p>
      <w:pPr>
        <w:pStyle w:val="4"/>
        <w:spacing w:line="240" w:lineRule="auto"/>
        <w:jc w:val="center"/>
        <w:rPr>
          <w:rFonts w:hint="eastAsia" w:ascii="仿宋" w:hAnsi="仿宋" w:eastAsia="仿宋" w:cs="黑体"/>
          <w:b/>
          <w:bCs w:val="0"/>
          <w:kern w:val="2"/>
          <w:sz w:val="32"/>
          <w:szCs w:val="32"/>
          <w:highlight w:val="none"/>
          <w:lang w:val="en-US" w:eastAsia="zh-CN" w:bidi="ar-SA"/>
        </w:rPr>
      </w:pPr>
      <w:r>
        <w:rPr>
          <w:rFonts w:hint="eastAsia" w:ascii="仿宋" w:hAnsi="仿宋" w:eastAsia="仿宋" w:cs="黑体"/>
          <w:b/>
          <w:bCs w:val="0"/>
          <w:kern w:val="2"/>
          <w:sz w:val="32"/>
          <w:szCs w:val="32"/>
          <w:highlight w:val="none"/>
          <w:lang w:val="en-US" w:eastAsia="zh-CN" w:bidi="ar-SA"/>
        </w:rPr>
        <w:t>（八）技术参数、功能偏离表</w:t>
      </w:r>
      <w:bookmarkEnd w:id="344"/>
    </w:p>
    <w:p>
      <w:pPr>
        <w:rPr>
          <w:rFonts w:hint="eastAsia" w:ascii="仿宋" w:hAnsi="仿宋" w:eastAsia="仿宋" w:cs="仿宋"/>
          <w:color w:val="000000"/>
          <w:kern w:val="0"/>
          <w:sz w:val="24"/>
          <w:szCs w:val="24"/>
          <w:highlight w:val="none"/>
        </w:rPr>
      </w:pPr>
      <w:r>
        <w:rPr>
          <w:rFonts w:hint="eastAsia" w:ascii="仿宋" w:hAnsi="仿宋" w:eastAsia="仿宋" w:cs="Times New Roman"/>
          <w:b/>
          <w:bCs/>
          <w:sz w:val="24"/>
          <w:szCs w:val="20"/>
          <w:highlight w:val="none"/>
        </w:rPr>
        <w:t xml:space="preserve">投标人名称（公章）：              </w:t>
      </w:r>
      <w:r>
        <w:rPr>
          <w:rFonts w:hint="eastAsia" w:ascii="仿宋" w:hAnsi="仿宋" w:eastAsia="仿宋" w:cs="Times New Roman"/>
          <w:b/>
          <w:bCs/>
          <w:sz w:val="24"/>
          <w:szCs w:val="20"/>
          <w:highlight w:val="none"/>
          <w:lang w:val="en-US" w:eastAsia="zh-CN"/>
        </w:rPr>
        <w:t>标段号：</w:t>
      </w:r>
      <w:r>
        <w:rPr>
          <w:rFonts w:hint="eastAsia" w:ascii="仿宋" w:hAnsi="仿宋" w:eastAsia="仿宋" w:cs="Times New Roman"/>
          <w:b/>
          <w:bCs/>
          <w:sz w:val="24"/>
          <w:szCs w:val="20"/>
          <w:highlight w:val="none"/>
        </w:rPr>
        <w:t xml:space="preserve">            </w:t>
      </w:r>
      <w:r>
        <w:rPr>
          <w:rFonts w:hint="eastAsia" w:ascii="仿宋" w:hAnsi="仿宋" w:eastAsia="仿宋" w:cs="Times New Roman"/>
          <w:b/>
          <w:bCs/>
          <w:sz w:val="24"/>
          <w:szCs w:val="20"/>
          <w:highlight w:val="none"/>
          <w:lang w:val="en-US" w:eastAsia="zh-CN"/>
        </w:rPr>
        <w:t>项目</w:t>
      </w:r>
      <w:r>
        <w:rPr>
          <w:rFonts w:hint="eastAsia" w:ascii="仿宋" w:hAnsi="仿宋" w:eastAsia="仿宋" w:cs="Times New Roman"/>
          <w:b/>
          <w:bCs/>
          <w:sz w:val="24"/>
          <w:szCs w:val="24"/>
          <w:highlight w:val="none"/>
        </w:rPr>
        <w:t>编号：</w:t>
      </w:r>
      <w:r>
        <w:rPr>
          <w:rFonts w:hint="eastAsia" w:ascii="仿宋" w:hAnsi="仿宋" w:eastAsia="仿宋" w:cs="仿宋"/>
          <w:color w:val="000000"/>
          <w:kern w:val="0"/>
          <w:sz w:val="24"/>
          <w:szCs w:val="24"/>
          <w:highlight w:val="none"/>
        </w:rPr>
        <w:t>XJDB-20</w:t>
      </w:r>
      <w:r>
        <w:rPr>
          <w:rFonts w:hint="eastAsia" w:ascii="仿宋" w:hAnsi="仿宋" w:eastAsia="仿宋" w:cs="仿宋"/>
          <w:color w:val="000000"/>
          <w:kern w:val="0"/>
          <w:sz w:val="24"/>
          <w:szCs w:val="24"/>
          <w:highlight w:val="none"/>
          <w:lang w:val="en-US" w:eastAsia="zh-CN"/>
        </w:rPr>
        <w:t>20</w:t>
      </w:r>
      <w:r>
        <w:rPr>
          <w:rFonts w:hint="eastAsia" w:ascii="仿宋" w:hAnsi="仿宋" w:eastAsia="仿宋" w:cs="仿宋"/>
          <w:color w:val="000000"/>
          <w:kern w:val="0"/>
          <w:sz w:val="24"/>
          <w:szCs w:val="24"/>
          <w:highlight w:val="none"/>
        </w:rPr>
        <w:t>GK-0  号</w:t>
      </w:r>
    </w:p>
    <w:tbl>
      <w:tblPr>
        <w:tblStyle w:val="20"/>
        <w:tblW w:w="94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89"/>
        <w:gridCol w:w="2326"/>
        <w:gridCol w:w="1854"/>
        <w:gridCol w:w="164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98" w:type="dxa"/>
            <w:vAlign w:val="center"/>
          </w:tcPr>
          <w:p>
            <w:pPr>
              <w:jc w:val="center"/>
              <w:rPr>
                <w:rFonts w:ascii="仿宋" w:hAnsi="仿宋" w:eastAsia="仿宋" w:cs="Times New Roman"/>
                <w:b/>
                <w:bCs/>
                <w:sz w:val="24"/>
                <w:szCs w:val="20"/>
                <w:highlight w:val="none"/>
              </w:rPr>
            </w:pPr>
            <w:r>
              <w:rPr>
                <w:rFonts w:hint="eastAsia" w:ascii="仿宋" w:hAnsi="仿宋" w:eastAsia="仿宋" w:cs="Times New Roman"/>
                <w:b/>
                <w:bCs/>
                <w:sz w:val="24"/>
                <w:szCs w:val="20"/>
                <w:highlight w:val="none"/>
              </w:rPr>
              <w:t>序号</w:t>
            </w:r>
          </w:p>
        </w:tc>
        <w:tc>
          <w:tcPr>
            <w:tcW w:w="1789" w:type="dxa"/>
            <w:vAlign w:val="center"/>
          </w:tcPr>
          <w:p>
            <w:pPr>
              <w:jc w:val="center"/>
              <w:rPr>
                <w:rFonts w:ascii="仿宋" w:hAnsi="仿宋" w:eastAsia="仿宋" w:cs="Times New Roman"/>
                <w:b/>
                <w:bCs/>
                <w:sz w:val="24"/>
                <w:szCs w:val="20"/>
                <w:highlight w:val="none"/>
              </w:rPr>
            </w:pPr>
            <w:r>
              <w:rPr>
                <w:rFonts w:hint="eastAsia" w:ascii="仿宋" w:hAnsi="仿宋" w:eastAsia="仿宋" w:cs="Times New Roman"/>
                <w:b/>
                <w:bCs/>
                <w:sz w:val="24"/>
                <w:szCs w:val="20"/>
                <w:highlight w:val="none"/>
              </w:rPr>
              <w:t>投标产品名称</w:t>
            </w:r>
          </w:p>
        </w:tc>
        <w:tc>
          <w:tcPr>
            <w:tcW w:w="2326" w:type="dxa"/>
            <w:vAlign w:val="center"/>
          </w:tcPr>
          <w:p>
            <w:pPr>
              <w:jc w:val="center"/>
              <w:rPr>
                <w:rFonts w:ascii="仿宋" w:hAnsi="仿宋" w:eastAsia="仿宋" w:cs="Times New Roman"/>
                <w:b/>
                <w:bCs/>
                <w:sz w:val="24"/>
                <w:szCs w:val="20"/>
                <w:highlight w:val="none"/>
              </w:rPr>
            </w:pPr>
            <w:r>
              <w:rPr>
                <w:rFonts w:hint="eastAsia" w:ascii="仿宋" w:hAnsi="仿宋" w:eastAsia="仿宋" w:cs="Times New Roman"/>
                <w:b/>
                <w:bCs/>
                <w:sz w:val="24"/>
                <w:szCs w:val="20"/>
                <w:highlight w:val="none"/>
              </w:rPr>
              <w:t>招标规格参数</w:t>
            </w:r>
          </w:p>
        </w:tc>
        <w:tc>
          <w:tcPr>
            <w:tcW w:w="1854" w:type="dxa"/>
            <w:vAlign w:val="center"/>
          </w:tcPr>
          <w:p>
            <w:pPr>
              <w:jc w:val="center"/>
              <w:rPr>
                <w:rFonts w:ascii="仿宋" w:hAnsi="仿宋" w:eastAsia="仿宋" w:cs="Times New Roman"/>
                <w:b/>
                <w:bCs/>
                <w:sz w:val="24"/>
                <w:szCs w:val="20"/>
                <w:highlight w:val="none"/>
              </w:rPr>
            </w:pPr>
            <w:r>
              <w:rPr>
                <w:rFonts w:hint="eastAsia" w:ascii="仿宋" w:hAnsi="仿宋" w:eastAsia="仿宋" w:cs="Times New Roman"/>
                <w:b/>
                <w:bCs/>
                <w:sz w:val="24"/>
                <w:szCs w:val="20"/>
                <w:highlight w:val="none"/>
              </w:rPr>
              <w:t>投标规格参数</w:t>
            </w:r>
          </w:p>
        </w:tc>
        <w:tc>
          <w:tcPr>
            <w:tcW w:w="1641" w:type="dxa"/>
            <w:vAlign w:val="center"/>
          </w:tcPr>
          <w:p>
            <w:pPr>
              <w:jc w:val="center"/>
              <w:rPr>
                <w:rFonts w:ascii="仿宋" w:hAnsi="仿宋" w:eastAsia="仿宋" w:cs="Times New Roman"/>
                <w:b/>
                <w:bCs/>
                <w:sz w:val="24"/>
                <w:szCs w:val="20"/>
                <w:highlight w:val="none"/>
              </w:rPr>
            </w:pPr>
            <w:r>
              <w:rPr>
                <w:rFonts w:hint="eastAsia" w:ascii="仿宋" w:hAnsi="仿宋" w:eastAsia="仿宋" w:cs="Times New Roman"/>
                <w:b/>
                <w:bCs/>
                <w:sz w:val="24"/>
                <w:szCs w:val="20"/>
                <w:highlight w:val="none"/>
              </w:rPr>
              <w:t>偏离</w:t>
            </w:r>
          </w:p>
          <w:p>
            <w:pPr>
              <w:jc w:val="center"/>
              <w:rPr>
                <w:rFonts w:ascii="仿宋" w:hAnsi="仿宋" w:eastAsia="仿宋" w:cs="Times New Roman"/>
                <w:b/>
                <w:bCs/>
                <w:sz w:val="24"/>
                <w:szCs w:val="20"/>
                <w:highlight w:val="none"/>
              </w:rPr>
            </w:pPr>
            <w:r>
              <w:rPr>
                <w:rFonts w:hint="eastAsia" w:ascii="仿宋" w:hAnsi="仿宋" w:eastAsia="仿宋" w:cs="Times New Roman"/>
                <w:b/>
                <w:bCs/>
                <w:sz w:val="24"/>
                <w:szCs w:val="20"/>
                <w:highlight w:val="none"/>
              </w:rPr>
              <w:t>（正/无/负）</w:t>
            </w:r>
          </w:p>
        </w:tc>
        <w:tc>
          <w:tcPr>
            <w:tcW w:w="1172" w:type="dxa"/>
            <w:vAlign w:val="center"/>
          </w:tcPr>
          <w:p>
            <w:pPr>
              <w:jc w:val="center"/>
              <w:rPr>
                <w:rFonts w:ascii="仿宋" w:hAnsi="仿宋" w:eastAsia="仿宋" w:cs="Times New Roman"/>
                <w:b/>
                <w:bCs/>
                <w:sz w:val="24"/>
                <w:szCs w:val="20"/>
                <w:highlight w:val="none"/>
              </w:rPr>
            </w:pPr>
            <w:r>
              <w:rPr>
                <w:rFonts w:hint="eastAsia" w:ascii="仿宋" w:hAnsi="仿宋" w:eastAsia="仿宋" w:cs="Times New Roman"/>
                <w:b/>
                <w:bCs/>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98" w:type="dxa"/>
            <w:vAlign w:val="top"/>
          </w:tcPr>
          <w:p>
            <w:pPr>
              <w:rPr>
                <w:rFonts w:ascii="仿宋" w:hAnsi="仿宋" w:eastAsia="仿宋" w:cs="Times New Roman"/>
                <w:sz w:val="24"/>
                <w:szCs w:val="20"/>
                <w:highlight w:val="none"/>
              </w:rPr>
            </w:pPr>
            <w:r>
              <w:rPr>
                <w:rFonts w:hint="eastAsia" w:ascii="仿宋" w:hAnsi="仿宋" w:eastAsia="仿宋" w:cs="Times New Roman"/>
                <w:sz w:val="24"/>
                <w:szCs w:val="20"/>
                <w:highlight w:val="none"/>
              </w:rPr>
              <w:t>1</w:t>
            </w:r>
          </w:p>
        </w:tc>
        <w:tc>
          <w:tcPr>
            <w:tcW w:w="1789" w:type="dxa"/>
            <w:vAlign w:val="top"/>
          </w:tcPr>
          <w:p>
            <w:pPr>
              <w:rPr>
                <w:rFonts w:ascii="仿宋" w:hAnsi="仿宋" w:eastAsia="仿宋" w:cs="Times New Roman"/>
                <w:sz w:val="24"/>
                <w:szCs w:val="20"/>
                <w:highlight w:val="none"/>
              </w:rPr>
            </w:pPr>
          </w:p>
        </w:tc>
        <w:tc>
          <w:tcPr>
            <w:tcW w:w="2326" w:type="dxa"/>
            <w:vAlign w:val="top"/>
          </w:tcPr>
          <w:p>
            <w:pPr>
              <w:rPr>
                <w:rFonts w:ascii="仿宋" w:hAnsi="仿宋" w:eastAsia="仿宋" w:cs="Times New Roman"/>
                <w:sz w:val="24"/>
                <w:szCs w:val="20"/>
                <w:highlight w:val="none"/>
              </w:rPr>
            </w:pPr>
          </w:p>
        </w:tc>
        <w:tc>
          <w:tcPr>
            <w:tcW w:w="1854" w:type="dxa"/>
            <w:vAlign w:val="top"/>
          </w:tcPr>
          <w:p>
            <w:pPr>
              <w:rPr>
                <w:rFonts w:ascii="仿宋" w:hAnsi="仿宋" w:eastAsia="仿宋" w:cs="Times New Roman"/>
                <w:sz w:val="24"/>
                <w:szCs w:val="20"/>
                <w:highlight w:val="none"/>
              </w:rPr>
            </w:pPr>
          </w:p>
        </w:tc>
        <w:tc>
          <w:tcPr>
            <w:tcW w:w="1641" w:type="dxa"/>
            <w:vAlign w:val="top"/>
          </w:tcPr>
          <w:p>
            <w:pPr>
              <w:rPr>
                <w:rFonts w:ascii="仿宋" w:hAnsi="仿宋" w:eastAsia="仿宋" w:cs="Times New Roman"/>
                <w:sz w:val="24"/>
                <w:szCs w:val="20"/>
                <w:highlight w:val="none"/>
              </w:rPr>
            </w:pPr>
          </w:p>
        </w:tc>
        <w:tc>
          <w:tcPr>
            <w:tcW w:w="1172" w:type="dxa"/>
            <w:vAlign w:val="top"/>
          </w:tcPr>
          <w:p>
            <w:pPr>
              <w:rPr>
                <w:rFonts w:ascii="仿宋" w:hAnsi="仿宋" w:eastAsia="仿宋"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98" w:type="dxa"/>
            <w:vAlign w:val="top"/>
          </w:tcPr>
          <w:p>
            <w:pPr>
              <w:rPr>
                <w:rFonts w:ascii="仿宋" w:hAnsi="仿宋" w:eastAsia="仿宋" w:cs="Times New Roman"/>
                <w:sz w:val="24"/>
                <w:szCs w:val="20"/>
                <w:highlight w:val="none"/>
              </w:rPr>
            </w:pPr>
            <w:r>
              <w:rPr>
                <w:rFonts w:hint="eastAsia" w:ascii="仿宋" w:hAnsi="仿宋" w:eastAsia="仿宋" w:cs="Times New Roman"/>
                <w:sz w:val="24"/>
                <w:szCs w:val="20"/>
                <w:highlight w:val="none"/>
              </w:rPr>
              <w:t>2</w:t>
            </w:r>
          </w:p>
        </w:tc>
        <w:tc>
          <w:tcPr>
            <w:tcW w:w="1789" w:type="dxa"/>
            <w:vAlign w:val="top"/>
          </w:tcPr>
          <w:p>
            <w:pPr>
              <w:rPr>
                <w:rFonts w:ascii="仿宋" w:hAnsi="仿宋" w:eastAsia="仿宋" w:cs="Times New Roman"/>
                <w:sz w:val="24"/>
                <w:szCs w:val="20"/>
                <w:highlight w:val="none"/>
              </w:rPr>
            </w:pPr>
          </w:p>
        </w:tc>
        <w:tc>
          <w:tcPr>
            <w:tcW w:w="2326" w:type="dxa"/>
            <w:vAlign w:val="top"/>
          </w:tcPr>
          <w:p>
            <w:pPr>
              <w:rPr>
                <w:rFonts w:ascii="仿宋" w:hAnsi="仿宋" w:eastAsia="仿宋" w:cs="Times New Roman"/>
                <w:sz w:val="24"/>
                <w:szCs w:val="20"/>
                <w:highlight w:val="none"/>
              </w:rPr>
            </w:pPr>
          </w:p>
        </w:tc>
        <w:tc>
          <w:tcPr>
            <w:tcW w:w="1854" w:type="dxa"/>
            <w:vAlign w:val="top"/>
          </w:tcPr>
          <w:p>
            <w:pPr>
              <w:rPr>
                <w:rFonts w:ascii="仿宋" w:hAnsi="仿宋" w:eastAsia="仿宋" w:cs="Times New Roman"/>
                <w:sz w:val="24"/>
                <w:szCs w:val="20"/>
                <w:highlight w:val="none"/>
              </w:rPr>
            </w:pPr>
          </w:p>
        </w:tc>
        <w:tc>
          <w:tcPr>
            <w:tcW w:w="1641" w:type="dxa"/>
            <w:vAlign w:val="top"/>
          </w:tcPr>
          <w:p>
            <w:pPr>
              <w:rPr>
                <w:rFonts w:ascii="仿宋" w:hAnsi="仿宋" w:eastAsia="仿宋" w:cs="Times New Roman"/>
                <w:sz w:val="24"/>
                <w:szCs w:val="20"/>
                <w:highlight w:val="none"/>
              </w:rPr>
            </w:pPr>
          </w:p>
        </w:tc>
        <w:tc>
          <w:tcPr>
            <w:tcW w:w="1172" w:type="dxa"/>
            <w:vAlign w:val="top"/>
          </w:tcPr>
          <w:p>
            <w:pPr>
              <w:rPr>
                <w:rFonts w:ascii="仿宋" w:hAnsi="仿宋" w:eastAsia="仿宋" w:cs="Times New Roman"/>
                <w:sz w:val="24"/>
                <w:szCs w:val="20"/>
                <w:highlight w:val="none"/>
              </w:rPr>
            </w:pPr>
          </w:p>
        </w:tc>
      </w:tr>
    </w:tbl>
    <w:p>
      <w:pPr>
        <w:rPr>
          <w:rFonts w:ascii="仿宋" w:hAnsi="仿宋" w:eastAsia="仿宋" w:cs="仿宋"/>
          <w:szCs w:val="20"/>
          <w:highlight w:val="none"/>
        </w:rPr>
      </w:pPr>
      <w:r>
        <w:rPr>
          <w:rFonts w:hint="eastAsia" w:ascii="仿宋" w:hAnsi="仿宋" w:eastAsia="仿宋" w:cs="Times New Roman"/>
          <w:b/>
          <w:bCs/>
          <w:sz w:val="24"/>
          <w:szCs w:val="20"/>
          <w:highlight w:val="none"/>
        </w:rPr>
        <w:t>注：投标人必须按所投产品的真实技术参数逐条对应填写（官方宣传彩图），若复制粘贴招标参数，按无效标处理。此表可延伸。</w:t>
      </w:r>
    </w:p>
    <w:p>
      <w:pPr>
        <w:pStyle w:val="28"/>
        <w:spacing w:line="380" w:lineRule="exact"/>
        <w:jc w:val="center"/>
        <w:rPr>
          <w:rFonts w:ascii="仿宋" w:hAnsi="仿宋" w:eastAsia="仿宋" w:cs="仿宋"/>
          <w:b/>
          <w:highlight w:val="none"/>
        </w:rPr>
      </w:pPr>
    </w:p>
    <w:p>
      <w:pPr>
        <w:pStyle w:val="28"/>
        <w:rPr>
          <w:rFonts w:ascii="仿宋" w:hAnsi="仿宋" w:eastAsia="仿宋" w:cs="仿宋"/>
          <w:b/>
          <w:highlight w:val="none"/>
        </w:rPr>
      </w:pPr>
      <w:r>
        <w:rPr>
          <w:rFonts w:hint="eastAsia" w:ascii="仿宋" w:hAnsi="仿宋" w:eastAsia="仿宋" w:cs="仿宋"/>
          <w:b/>
          <w:highlight w:val="none"/>
        </w:rPr>
        <w:t>法定代表人或</w:t>
      </w:r>
      <w:r>
        <w:rPr>
          <w:rFonts w:hint="eastAsia" w:ascii="仿宋" w:hAnsi="仿宋" w:eastAsia="仿宋" w:cs="仿宋"/>
          <w:b/>
          <w:highlight w:val="none"/>
          <w:lang w:val="en-US" w:eastAsia="zh-CN"/>
        </w:rPr>
        <w:t>被委托</w:t>
      </w:r>
      <w:r>
        <w:rPr>
          <w:rFonts w:hint="eastAsia" w:ascii="仿宋" w:hAnsi="仿宋" w:eastAsia="仿宋" w:cs="仿宋"/>
          <w:b/>
          <w:highlight w:val="none"/>
        </w:rPr>
        <w:t>授权代表（签字）：</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Pr>
        <w:autoSpaceDE w:val="0"/>
        <w:autoSpaceDN w:val="0"/>
        <w:adjustRightInd w:val="0"/>
        <w:rPr>
          <w:rFonts w:hint="eastAsia" w:ascii="仿宋_GB2312" w:hAnsi="Courier New" w:eastAsia="仿宋_GB2312" w:cs="黑体"/>
          <w:b/>
          <w:bCs/>
          <w:color w:val="000000"/>
          <w:kern w:val="2"/>
          <w:sz w:val="24"/>
          <w:szCs w:val="20"/>
          <w:lang w:val="en-US" w:eastAsia="zh-CN" w:bidi="ar-SA"/>
        </w:rPr>
      </w:pPr>
      <w:bookmarkStart w:id="346" w:name="_Toc25633"/>
      <w:bookmarkStart w:id="347" w:name="_Toc3339"/>
      <w:bookmarkStart w:id="348" w:name="_Toc18576"/>
      <w:bookmarkStart w:id="349" w:name="_Toc22349"/>
      <w:bookmarkStart w:id="350" w:name="_Toc2882"/>
      <w:bookmarkStart w:id="351" w:name="_Toc28734"/>
      <w:bookmarkStart w:id="352" w:name="_Toc2509"/>
      <w:bookmarkStart w:id="353" w:name="_Toc17736"/>
      <w:bookmarkStart w:id="354" w:name="_Toc19355"/>
      <w:bookmarkStart w:id="355" w:name="_Toc8972"/>
      <w:bookmarkStart w:id="356" w:name="_Toc7997"/>
      <w:bookmarkStart w:id="357" w:name="_Toc8728"/>
      <w:bookmarkStart w:id="358" w:name="_Toc24493"/>
      <w:bookmarkStart w:id="359" w:name="_Toc6453_WPSOffice_Level2"/>
      <w:bookmarkStart w:id="360" w:name="_Toc4564"/>
      <w:bookmarkStart w:id="361" w:name="_Toc7502"/>
      <w:r>
        <w:rPr>
          <w:rFonts w:hint="eastAsia" w:ascii="仿宋_GB2312" w:hAnsi="Courier New" w:eastAsia="仿宋_GB2312" w:cs="黑体"/>
          <w:b/>
          <w:bCs/>
          <w:color w:val="000000"/>
          <w:kern w:val="2"/>
          <w:sz w:val="24"/>
          <w:szCs w:val="20"/>
          <w:lang w:val="en-US" w:eastAsia="zh-CN" w:bidi="ar-SA"/>
        </w:rPr>
        <w:t>日期：20　　年　　月　　日</w:t>
      </w:r>
    </w:p>
    <w:p>
      <w:pPr>
        <w:widowControl/>
        <w:numPr>
          <w:ilvl w:val="0"/>
          <w:numId w:val="0"/>
        </w:numPr>
        <w:ind w:leftChars="500"/>
        <w:jc w:val="center"/>
        <w:rPr>
          <w:rFonts w:hint="eastAsia" w:ascii="仿宋" w:hAnsi="仿宋" w:eastAsia="仿宋" w:cs="黑体"/>
          <w:b/>
          <w:bCs w:val="0"/>
          <w:kern w:val="2"/>
          <w:sz w:val="32"/>
          <w:szCs w:val="32"/>
          <w:highlight w:val="none"/>
          <w:lang w:val="en-US" w:eastAsia="zh-CN" w:bidi="ar-SA"/>
        </w:rPr>
      </w:pPr>
    </w:p>
    <w:p>
      <w:pPr>
        <w:widowControl/>
        <w:numPr>
          <w:ilvl w:val="0"/>
          <w:numId w:val="0"/>
        </w:numPr>
        <w:ind w:leftChars="500"/>
        <w:jc w:val="center"/>
        <w:rPr>
          <w:rFonts w:hint="eastAsia" w:ascii="仿宋" w:hAnsi="仿宋" w:eastAsia="仿宋" w:cs="黑体"/>
          <w:b/>
          <w:bCs w:val="0"/>
          <w:kern w:val="2"/>
          <w:sz w:val="32"/>
          <w:szCs w:val="32"/>
          <w:highlight w:val="none"/>
          <w:lang w:val="en-US" w:eastAsia="zh-CN" w:bidi="ar-SA"/>
        </w:rPr>
      </w:pPr>
      <w:r>
        <w:rPr>
          <w:rFonts w:hint="eastAsia" w:ascii="仿宋" w:hAnsi="仿宋" w:eastAsia="仿宋" w:cs="黑体"/>
          <w:b/>
          <w:bCs w:val="0"/>
          <w:kern w:val="2"/>
          <w:sz w:val="32"/>
          <w:szCs w:val="32"/>
          <w:highlight w:val="none"/>
          <w:lang w:val="en-US" w:eastAsia="zh-CN" w:bidi="ar-SA"/>
        </w:rPr>
        <w:t>（九）项目负责人简历表及拟投入本项目主要成员表</w:t>
      </w:r>
    </w:p>
    <w:p>
      <w:pPr>
        <w:wordWrap/>
        <w:spacing w:line="360" w:lineRule="exact"/>
        <w:rPr>
          <w:rFonts w:hint="default" w:ascii="黑体" w:hAnsi="黑体" w:eastAsia="宋体" w:cs="黑体"/>
          <w:b/>
          <w:color w:val="auto"/>
          <w:szCs w:val="21"/>
          <w:highlight w:val="none"/>
          <w:lang w:val="en-US" w:eastAsia="zh-CN"/>
        </w:rPr>
      </w:pPr>
      <w:r>
        <w:rPr>
          <w:rFonts w:hint="eastAsia" w:ascii="黑体" w:hAnsi="黑体" w:cs="黑体"/>
          <w:b/>
          <w:color w:val="auto"/>
          <w:szCs w:val="21"/>
          <w:highlight w:val="none"/>
          <w:lang w:val="en-US" w:eastAsia="zh-CN"/>
        </w:rPr>
        <w:t xml:space="preserve">     项目名称：                 标段号：                           项目编号：</w:t>
      </w:r>
    </w:p>
    <w:tbl>
      <w:tblPr>
        <w:tblStyle w:val="20"/>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303"/>
        <w:gridCol w:w="797"/>
        <w:gridCol w:w="963"/>
        <w:gridCol w:w="791"/>
        <w:gridCol w:w="709"/>
        <w:gridCol w:w="1269"/>
        <w:gridCol w:w="1385"/>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1276" w:type="dxa"/>
            <w:vAlign w:val="center"/>
          </w:tcPr>
          <w:p>
            <w:pPr>
              <w:wordWrap/>
              <w:spacing w:line="360" w:lineRule="exact"/>
              <w:rPr>
                <w:rFonts w:ascii="黑体" w:hAnsi="黑体" w:cs="黑体"/>
                <w:color w:val="auto"/>
                <w:szCs w:val="21"/>
                <w:highlight w:val="none"/>
              </w:rPr>
            </w:pPr>
            <w:r>
              <w:rPr>
                <w:rFonts w:hint="eastAsia" w:ascii="黑体" w:hAnsi="黑体" w:cs="黑体"/>
                <w:color w:val="auto"/>
                <w:szCs w:val="21"/>
                <w:highlight w:val="none"/>
              </w:rPr>
              <w:t>职责分工</w:t>
            </w:r>
          </w:p>
        </w:tc>
        <w:tc>
          <w:tcPr>
            <w:tcW w:w="1303" w:type="dxa"/>
            <w:vAlign w:val="center"/>
          </w:tcPr>
          <w:p>
            <w:pPr>
              <w:wordWrap/>
              <w:spacing w:line="360" w:lineRule="exact"/>
              <w:rPr>
                <w:rFonts w:ascii="黑体" w:hAnsi="黑体" w:cs="黑体"/>
                <w:color w:val="auto"/>
                <w:szCs w:val="21"/>
                <w:highlight w:val="none"/>
              </w:rPr>
            </w:pPr>
            <w:r>
              <w:rPr>
                <w:rFonts w:hint="eastAsia" w:ascii="黑体" w:hAnsi="黑体" w:cs="黑体"/>
                <w:color w:val="auto"/>
                <w:szCs w:val="21"/>
                <w:highlight w:val="none"/>
              </w:rPr>
              <w:t>姓名</w:t>
            </w:r>
          </w:p>
        </w:tc>
        <w:tc>
          <w:tcPr>
            <w:tcW w:w="797" w:type="dxa"/>
            <w:tcBorders>
              <w:right w:val="single" w:color="auto" w:sz="4" w:space="0"/>
            </w:tcBorders>
            <w:vAlign w:val="center"/>
          </w:tcPr>
          <w:p>
            <w:pPr>
              <w:wordWrap/>
              <w:spacing w:line="360" w:lineRule="exact"/>
              <w:rPr>
                <w:rFonts w:ascii="黑体" w:hAnsi="黑体" w:cs="黑体"/>
                <w:color w:val="auto"/>
                <w:szCs w:val="21"/>
                <w:highlight w:val="none"/>
              </w:rPr>
            </w:pPr>
            <w:r>
              <w:rPr>
                <w:rFonts w:hint="eastAsia" w:ascii="黑体" w:hAnsi="黑体" w:cs="黑体"/>
                <w:color w:val="auto"/>
                <w:szCs w:val="21"/>
                <w:highlight w:val="none"/>
              </w:rPr>
              <w:t>年龄</w:t>
            </w:r>
          </w:p>
        </w:tc>
        <w:tc>
          <w:tcPr>
            <w:tcW w:w="963" w:type="dxa"/>
            <w:tcBorders>
              <w:left w:val="single" w:color="auto" w:sz="4" w:space="0"/>
            </w:tcBorders>
            <w:vAlign w:val="center"/>
          </w:tcPr>
          <w:p>
            <w:pPr>
              <w:wordWrap/>
              <w:spacing w:line="360" w:lineRule="exact"/>
              <w:rPr>
                <w:rFonts w:hint="eastAsia" w:ascii="黑体" w:hAnsi="黑体" w:eastAsia="宋体" w:cs="黑体"/>
                <w:color w:val="auto"/>
                <w:szCs w:val="21"/>
                <w:highlight w:val="none"/>
                <w:lang w:val="en-US" w:eastAsia="zh-CN"/>
              </w:rPr>
            </w:pPr>
            <w:r>
              <w:rPr>
                <w:rFonts w:hint="eastAsia" w:ascii="黑体" w:hAnsi="黑体" w:cs="黑体"/>
                <w:color w:val="auto"/>
                <w:szCs w:val="21"/>
                <w:highlight w:val="none"/>
                <w:lang w:val="en-US" w:eastAsia="zh-CN"/>
              </w:rPr>
              <w:t>学历</w:t>
            </w:r>
          </w:p>
        </w:tc>
        <w:tc>
          <w:tcPr>
            <w:tcW w:w="791" w:type="dxa"/>
            <w:vAlign w:val="center"/>
          </w:tcPr>
          <w:p>
            <w:pPr>
              <w:wordWrap/>
              <w:spacing w:line="360" w:lineRule="exact"/>
              <w:rPr>
                <w:rFonts w:ascii="黑体" w:hAnsi="黑体" w:cs="黑体"/>
                <w:color w:val="auto"/>
                <w:szCs w:val="21"/>
                <w:highlight w:val="none"/>
              </w:rPr>
            </w:pPr>
            <w:r>
              <w:rPr>
                <w:rFonts w:hint="eastAsia" w:ascii="黑体" w:hAnsi="黑体" w:cs="黑体"/>
                <w:color w:val="auto"/>
                <w:szCs w:val="21"/>
                <w:highlight w:val="none"/>
              </w:rPr>
              <w:t>专业</w:t>
            </w:r>
          </w:p>
        </w:tc>
        <w:tc>
          <w:tcPr>
            <w:tcW w:w="709" w:type="dxa"/>
            <w:tcBorders>
              <w:right w:val="single" w:color="auto" w:sz="4" w:space="0"/>
            </w:tcBorders>
            <w:vAlign w:val="center"/>
          </w:tcPr>
          <w:p>
            <w:pPr>
              <w:wordWrap/>
              <w:spacing w:line="360" w:lineRule="exact"/>
              <w:rPr>
                <w:rFonts w:hint="eastAsia" w:ascii="黑体" w:hAnsi="黑体" w:eastAsia="宋体" w:cs="黑体"/>
                <w:color w:val="auto"/>
                <w:szCs w:val="21"/>
                <w:highlight w:val="none"/>
                <w:lang w:val="en-US" w:eastAsia="zh-CN"/>
              </w:rPr>
            </w:pPr>
            <w:r>
              <w:rPr>
                <w:rFonts w:hint="eastAsia" w:ascii="黑体" w:hAnsi="黑体" w:cs="黑体"/>
                <w:color w:val="auto"/>
                <w:szCs w:val="21"/>
                <w:highlight w:val="none"/>
                <w:lang w:val="en-US" w:eastAsia="zh-CN"/>
              </w:rPr>
              <w:t>职务</w:t>
            </w:r>
          </w:p>
        </w:tc>
        <w:tc>
          <w:tcPr>
            <w:tcW w:w="1269" w:type="dxa"/>
            <w:tcBorders>
              <w:left w:val="single" w:color="auto" w:sz="4" w:space="0"/>
            </w:tcBorders>
            <w:vAlign w:val="center"/>
          </w:tcPr>
          <w:p>
            <w:pPr>
              <w:wordWrap/>
              <w:spacing w:line="360" w:lineRule="exact"/>
              <w:rPr>
                <w:rFonts w:hint="eastAsia" w:ascii="黑体" w:hAnsi="黑体" w:cs="黑体"/>
                <w:color w:val="auto"/>
                <w:szCs w:val="21"/>
                <w:highlight w:val="none"/>
              </w:rPr>
            </w:pPr>
            <w:r>
              <w:rPr>
                <w:rFonts w:hint="eastAsia" w:ascii="黑体" w:hAnsi="黑体" w:cs="黑体"/>
                <w:color w:val="auto"/>
                <w:szCs w:val="21"/>
                <w:highlight w:val="none"/>
              </w:rPr>
              <w:t>在本项目中担任的岗位</w:t>
            </w:r>
          </w:p>
        </w:tc>
        <w:tc>
          <w:tcPr>
            <w:tcW w:w="1385" w:type="dxa"/>
            <w:vAlign w:val="center"/>
          </w:tcPr>
          <w:p>
            <w:pPr>
              <w:wordWrap/>
              <w:spacing w:line="360" w:lineRule="exact"/>
              <w:rPr>
                <w:rFonts w:ascii="黑体" w:hAnsi="黑体" w:cs="黑体"/>
                <w:color w:val="auto"/>
                <w:szCs w:val="21"/>
                <w:highlight w:val="none"/>
              </w:rPr>
            </w:pPr>
            <w:r>
              <w:rPr>
                <w:rFonts w:hint="eastAsia" w:ascii="黑体" w:hAnsi="黑体" w:cs="黑体"/>
                <w:color w:val="auto"/>
                <w:szCs w:val="21"/>
                <w:highlight w:val="none"/>
              </w:rPr>
              <w:t>从事类似工作年限</w:t>
            </w:r>
          </w:p>
        </w:tc>
        <w:tc>
          <w:tcPr>
            <w:tcW w:w="714" w:type="dxa"/>
            <w:vAlign w:val="center"/>
          </w:tcPr>
          <w:p>
            <w:pPr>
              <w:wordWrap/>
              <w:spacing w:line="360" w:lineRule="exact"/>
              <w:rPr>
                <w:rFonts w:ascii="黑体" w:hAnsi="黑体" w:cs="黑体"/>
                <w:color w:val="auto"/>
                <w:szCs w:val="21"/>
                <w:highlight w:val="none"/>
              </w:rPr>
            </w:pPr>
            <w:r>
              <w:rPr>
                <w:rFonts w:hint="eastAsia" w:ascii="黑体" w:hAnsi="黑体" w:cs="黑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pPr>
              <w:wordWrap/>
              <w:spacing w:line="360" w:lineRule="exact"/>
              <w:rPr>
                <w:rFonts w:ascii="黑体" w:hAnsi="黑体" w:cs="黑体"/>
                <w:color w:val="auto"/>
                <w:szCs w:val="21"/>
                <w:highlight w:val="none"/>
              </w:rPr>
            </w:pPr>
            <w:r>
              <w:rPr>
                <w:rFonts w:hint="eastAsia" w:ascii="黑体" w:hAnsi="黑体" w:cs="黑体"/>
                <w:color w:val="auto"/>
                <w:szCs w:val="21"/>
                <w:highlight w:val="none"/>
              </w:rPr>
              <w:t>项目负责人</w:t>
            </w:r>
          </w:p>
        </w:tc>
        <w:tc>
          <w:tcPr>
            <w:tcW w:w="1303" w:type="dxa"/>
            <w:vAlign w:val="center"/>
          </w:tcPr>
          <w:p>
            <w:pPr>
              <w:wordWrap/>
              <w:spacing w:line="360" w:lineRule="exact"/>
              <w:rPr>
                <w:rFonts w:ascii="黑体" w:hAnsi="黑体" w:cs="黑体"/>
                <w:color w:val="auto"/>
                <w:szCs w:val="21"/>
                <w:highlight w:val="none"/>
              </w:rPr>
            </w:pPr>
          </w:p>
        </w:tc>
        <w:tc>
          <w:tcPr>
            <w:tcW w:w="797" w:type="dxa"/>
            <w:tcBorders>
              <w:right w:val="single" w:color="auto" w:sz="4" w:space="0"/>
            </w:tcBorders>
            <w:vAlign w:val="center"/>
          </w:tcPr>
          <w:p>
            <w:pPr>
              <w:wordWrap/>
              <w:spacing w:line="360" w:lineRule="exact"/>
              <w:rPr>
                <w:rFonts w:ascii="黑体" w:hAnsi="黑体" w:cs="黑体"/>
                <w:color w:val="auto"/>
                <w:szCs w:val="21"/>
                <w:highlight w:val="none"/>
              </w:rPr>
            </w:pPr>
          </w:p>
        </w:tc>
        <w:tc>
          <w:tcPr>
            <w:tcW w:w="963" w:type="dxa"/>
            <w:tcBorders>
              <w:left w:val="single" w:color="auto" w:sz="4" w:space="0"/>
            </w:tcBorders>
            <w:vAlign w:val="center"/>
          </w:tcPr>
          <w:p>
            <w:pPr>
              <w:wordWrap/>
              <w:spacing w:line="360" w:lineRule="exact"/>
              <w:rPr>
                <w:rFonts w:ascii="黑体" w:hAnsi="黑体" w:cs="黑体"/>
                <w:color w:val="auto"/>
                <w:szCs w:val="21"/>
                <w:highlight w:val="none"/>
              </w:rPr>
            </w:pPr>
          </w:p>
        </w:tc>
        <w:tc>
          <w:tcPr>
            <w:tcW w:w="791" w:type="dxa"/>
            <w:vAlign w:val="center"/>
          </w:tcPr>
          <w:p>
            <w:pPr>
              <w:wordWrap/>
              <w:spacing w:line="360" w:lineRule="exact"/>
              <w:rPr>
                <w:rFonts w:ascii="黑体" w:hAnsi="黑体" w:cs="黑体"/>
                <w:color w:val="auto"/>
                <w:szCs w:val="21"/>
                <w:highlight w:val="none"/>
              </w:rPr>
            </w:pPr>
          </w:p>
        </w:tc>
        <w:tc>
          <w:tcPr>
            <w:tcW w:w="709" w:type="dxa"/>
            <w:tcBorders>
              <w:right w:val="single" w:color="auto" w:sz="4" w:space="0"/>
            </w:tcBorders>
            <w:vAlign w:val="center"/>
          </w:tcPr>
          <w:p>
            <w:pPr>
              <w:wordWrap/>
              <w:spacing w:line="360" w:lineRule="exact"/>
              <w:rPr>
                <w:rFonts w:ascii="黑体" w:hAnsi="黑体" w:cs="黑体"/>
                <w:color w:val="auto"/>
                <w:szCs w:val="21"/>
                <w:highlight w:val="none"/>
              </w:rPr>
            </w:pPr>
          </w:p>
        </w:tc>
        <w:tc>
          <w:tcPr>
            <w:tcW w:w="1269" w:type="dxa"/>
            <w:tcBorders>
              <w:left w:val="single" w:color="auto" w:sz="4" w:space="0"/>
            </w:tcBorders>
            <w:vAlign w:val="center"/>
          </w:tcPr>
          <w:p>
            <w:pPr>
              <w:wordWrap/>
              <w:spacing w:line="360" w:lineRule="exact"/>
              <w:rPr>
                <w:rFonts w:ascii="黑体" w:hAnsi="黑体" w:cs="黑体"/>
                <w:color w:val="auto"/>
                <w:szCs w:val="21"/>
                <w:highlight w:val="none"/>
              </w:rPr>
            </w:pPr>
          </w:p>
        </w:tc>
        <w:tc>
          <w:tcPr>
            <w:tcW w:w="1385" w:type="dxa"/>
            <w:vAlign w:val="center"/>
          </w:tcPr>
          <w:p>
            <w:pPr>
              <w:wordWrap/>
              <w:spacing w:line="360" w:lineRule="exact"/>
              <w:rPr>
                <w:rFonts w:ascii="黑体" w:hAnsi="黑体" w:cs="黑体"/>
                <w:color w:val="auto"/>
                <w:szCs w:val="21"/>
                <w:highlight w:val="none"/>
              </w:rPr>
            </w:pPr>
          </w:p>
        </w:tc>
        <w:tc>
          <w:tcPr>
            <w:tcW w:w="714" w:type="dxa"/>
            <w:vAlign w:val="center"/>
          </w:tcPr>
          <w:p>
            <w:pPr>
              <w:wordWrap/>
              <w:spacing w:line="360" w:lineRule="exact"/>
              <w:rPr>
                <w:rFonts w:ascii="黑体" w:hAnsi="黑体" w:cs="黑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pPr>
              <w:wordWrap/>
              <w:spacing w:line="360" w:lineRule="exact"/>
              <w:rPr>
                <w:rFonts w:ascii="黑体" w:hAnsi="黑体" w:cs="黑体"/>
                <w:color w:val="auto"/>
                <w:szCs w:val="21"/>
                <w:highlight w:val="none"/>
              </w:rPr>
            </w:pPr>
            <w:r>
              <w:rPr>
                <w:rFonts w:hint="eastAsia" w:ascii="黑体" w:hAnsi="黑体" w:cs="黑体"/>
                <w:color w:val="auto"/>
                <w:szCs w:val="21"/>
                <w:highlight w:val="none"/>
              </w:rPr>
              <w:t>其他人员</w:t>
            </w:r>
          </w:p>
        </w:tc>
        <w:tc>
          <w:tcPr>
            <w:tcW w:w="1303" w:type="dxa"/>
            <w:vAlign w:val="center"/>
          </w:tcPr>
          <w:p>
            <w:pPr>
              <w:wordWrap/>
              <w:spacing w:line="360" w:lineRule="exact"/>
              <w:rPr>
                <w:rFonts w:ascii="黑体" w:hAnsi="黑体" w:cs="黑体"/>
                <w:color w:val="auto"/>
                <w:szCs w:val="21"/>
                <w:highlight w:val="none"/>
              </w:rPr>
            </w:pPr>
          </w:p>
        </w:tc>
        <w:tc>
          <w:tcPr>
            <w:tcW w:w="797" w:type="dxa"/>
            <w:tcBorders>
              <w:right w:val="single" w:color="auto" w:sz="4" w:space="0"/>
            </w:tcBorders>
            <w:vAlign w:val="center"/>
          </w:tcPr>
          <w:p>
            <w:pPr>
              <w:wordWrap/>
              <w:spacing w:line="360" w:lineRule="exact"/>
              <w:rPr>
                <w:rFonts w:ascii="黑体" w:hAnsi="黑体" w:cs="黑体"/>
                <w:color w:val="auto"/>
                <w:szCs w:val="21"/>
                <w:highlight w:val="none"/>
              </w:rPr>
            </w:pPr>
          </w:p>
        </w:tc>
        <w:tc>
          <w:tcPr>
            <w:tcW w:w="963" w:type="dxa"/>
            <w:tcBorders>
              <w:left w:val="single" w:color="auto" w:sz="4" w:space="0"/>
            </w:tcBorders>
            <w:vAlign w:val="center"/>
          </w:tcPr>
          <w:p>
            <w:pPr>
              <w:wordWrap/>
              <w:spacing w:line="360" w:lineRule="exact"/>
              <w:rPr>
                <w:rFonts w:ascii="黑体" w:hAnsi="黑体" w:cs="黑体"/>
                <w:color w:val="auto"/>
                <w:szCs w:val="21"/>
                <w:highlight w:val="none"/>
              </w:rPr>
            </w:pPr>
          </w:p>
        </w:tc>
        <w:tc>
          <w:tcPr>
            <w:tcW w:w="791" w:type="dxa"/>
            <w:vAlign w:val="center"/>
          </w:tcPr>
          <w:p>
            <w:pPr>
              <w:wordWrap/>
              <w:spacing w:line="360" w:lineRule="exact"/>
              <w:rPr>
                <w:rFonts w:ascii="黑体" w:hAnsi="黑体" w:cs="黑体"/>
                <w:color w:val="auto"/>
                <w:szCs w:val="21"/>
                <w:highlight w:val="none"/>
              </w:rPr>
            </w:pPr>
          </w:p>
        </w:tc>
        <w:tc>
          <w:tcPr>
            <w:tcW w:w="709" w:type="dxa"/>
            <w:tcBorders>
              <w:right w:val="single" w:color="auto" w:sz="4" w:space="0"/>
            </w:tcBorders>
            <w:vAlign w:val="center"/>
          </w:tcPr>
          <w:p>
            <w:pPr>
              <w:wordWrap/>
              <w:spacing w:line="360" w:lineRule="exact"/>
              <w:rPr>
                <w:rFonts w:ascii="黑体" w:hAnsi="黑体" w:cs="黑体"/>
                <w:color w:val="auto"/>
                <w:szCs w:val="21"/>
                <w:highlight w:val="none"/>
              </w:rPr>
            </w:pPr>
          </w:p>
        </w:tc>
        <w:tc>
          <w:tcPr>
            <w:tcW w:w="1269" w:type="dxa"/>
            <w:tcBorders>
              <w:left w:val="single" w:color="auto" w:sz="4" w:space="0"/>
            </w:tcBorders>
            <w:vAlign w:val="center"/>
          </w:tcPr>
          <w:p>
            <w:pPr>
              <w:wordWrap/>
              <w:spacing w:line="360" w:lineRule="exact"/>
              <w:rPr>
                <w:rFonts w:ascii="黑体" w:hAnsi="黑体" w:cs="黑体"/>
                <w:color w:val="auto"/>
                <w:szCs w:val="21"/>
                <w:highlight w:val="none"/>
              </w:rPr>
            </w:pPr>
          </w:p>
        </w:tc>
        <w:tc>
          <w:tcPr>
            <w:tcW w:w="1385" w:type="dxa"/>
            <w:vAlign w:val="center"/>
          </w:tcPr>
          <w:p>
            <w:pPr>
              <w:wordWrap/>
              <w:spacing w:line="360" w:lineRule="exact"/>
              <w:rPr>
                <w:rFonts w:ascii="黑体" w:hAnsi="黑体" w:cs="黑体"/>
                <w:color w:val="auto"/>
                <w:szCs w:val="21"/>
                <w:highlight w:val="none"/>
              </w:rPr>
            </w:pPr>
          </w:p>
        </w:tc>
        <w:tc>
          <w:tcPr>
            <w:tcW w:w="714" w:type="dxa"/>
            <w:vAlign w:val="center"/>
          </w:tcPr>
          <w:p>
            <w:pPr>
              <w:wordWrap/>
              <w:spacing w:line="360" w:lineRule="exact"/>
              <w:rPr>
                <w:rFonts w:ascii="黑体" w:hAnsi="黑体" w:cs="黑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pPr>
              <w:wordWrap/>
              <w:spacing w:line="360" w:lineRule="exact"/>
              <w:rPr>
                <w:rFonts w:ascii="黑体" w:hAnsi="黑体" w:cs="黑体"/>
                <w:color w:val="auto"/>
                <w:szCs w:val="21"/>
                <w:highlight w:val="none"/>
              </w:rPr>
            </w:pPr>
          </w:p>
        </w:tc>
        <w:tc>
          <w:tcPr>
            <w:tcW w:w="1303" w:type="dxa"/>
            <w:vAlign w:val="center"/>
          </w:tcPr>
          <w:p>
            <w:pPr>
              <w:wordWrap/>
              <w:spacing w:line="360" w:lineRule="exact"/>
              <w:rPr>
                <w:rFonts w:ascii="黑体" w:hAnsi="黑体" w:cs="黑体"/>
                <w:color w:val="auto"/>
                <w:szCs w:val="21"/>
                <w:highlight w:val="none"/>
              </w:rPr>
            </w:pPr>
          </w:p>
        </w:tc>
        <w:tc>
          <w:tcPr>
            <w:tcW w:w="797" w:type="dxa"/>
            <w:tcBorders>
              <w:right w:val="single" w:color="auto" w:sz="4" w:space="0"/>
            </w:tcBorders>
            <w:vAlign w:val="center"/>
          </w:tcPr>
          <w:p>
            <w:pPr>
              <w:wordWrap/>
              <w:spacing w:line="360" w:lineRule="exact"/>
              <w:rPr>
                <w:rFonts w:ascii="黑体" w:hAnsi="黑体" w:cs="黑体"/>
                <w:color w:val="auto"/>
                <w:szCs w:val="21"/>
                <w:highlight w:val="none"/>
              </w:rPr>
            </w:pPr>
          </w:p>
        </w:tc>
        <w:tc>
          <w:tcPr>
            <w:tcW w:w="963" w:type="dxa"/>
            <w:tcBorders>
              <w:left w:val="single" w:color="auto" w:sz="4" w:space="0"/>
            </w:tcBorders>
            <w:vAlign w:val="center"/>
          </w:tcPr>
          <w:p>
            <w:pPr>
              <w:wordWrap/>
              <w:spacing w:line="360" w:lineRule="exact"/>
              <w:rPr>
                <w:rFonts w:ascii="黑体" w:hAnsi="黑体" w:cs="黑体"/>
                <w:color w:val="auto"/>
                <w:szCs w:val="21"/>
                <w:highlight w:val="none"/>
              </w:rPr>
            </w:pPr>
          </w:p>
        </w:tc>
        <w:tc>
          <w:tcPr>
            <w:tcW w:w="791" w:type="dxa"/>
            <w:vAlign w:val="center"/>
          </w:tcPr>
          <w:p>
            <w:pPr>
              <w:wordWrap/>
              <w:spacing w:line="360" w:lineRule="exact"/>
              <w:rPr>
                <w:rFonts w:ascii="黑体" w:hAnsi="黑体" w:cs="黑体"/>
                <w:color w:val="auto"/>
                <w:szCs w:val="21"/>
                <w:highlight w:val="none"/>
              </w:rPr>
            </w:pPr>
          </w:p>
        </w:tc>
        <w:tc>
          <w:tcPr>
            <w:tcW w:w="709" w:type="dxa"/>
            <w:tcBorders>
              <w:right w:val="single" w:color="auto" w:sz="4" w:space="0"/>
            </w:tcBorders>
            <w:vAlign w:val="center"/>
          </w:tcPr>
          <w:p>
            <w:pPr>
              <w:wordWrap/>
              <w:spacing w:line="360" w:lineRule="exact"/>
              <w:rPr>
                <w:rFonts w:ascii="黑体" w:hAnsi="黑体" w:cs="黑体"/>
                <w:color w:val="auto"/>
                <w:szCs w:val="21"/>
                <w:highlight w:val="none"/>
              </w:rPr>
            </w:pPr>
          </w:p>
        </w:tc>
        <w:tc>
          <w:tcPr>
            <w:tcW w:w="1269" w:type="dxa"/>
            <w:tcBorders>
              <w:left w:val="single" w:color="auto" w:sz="4" w:space="0"/>
            </w:tcBorders>
            <w:vAlign w:val="center"/>
          </w:tcPr>
          <w:p>
            <w:pPr>
              <w:wordWrap/>
              <w:spacing w:line="360" w:lineRule="exact"/>
              <w:rPr>
                <w:rFonts w:ascii="黑体" w:hAnsi="黑体" w:cs="黑体"/>
                <w:color w:val="auto"/>
                <w:szCs w:val="21"/>
                <w:highlight w:val="none"/>
              </w:rPr>
            </w:pPr>
          </w:p>
        </w:tc>
        <w:tc>
          <w:tcPr>
            <w:tcW w:w="1385" w:type="dxa"/>
            <w:vAlign w:val="center"/>
          </w:tcPr>
          <w:p>
            <w:pPr>
              <w:wordWrap/>
              <w:spacing w:line="360" w:lineRule="exact"/>
              <w:rPr>
                <w:rFonts w:ascii="黑体" w:hAnsi="黑体" w:cs="黑体"/>
                <w:color w:val="auto"/>
                <w:szCs w:val="21"/>
                <w:highlight w:val="none"/>
              </w:rPr>
            </w:pPr>
          </w:p>
        </w:tc>
        <w:tc>
          <w:tcPr>
            <w:tcW w:w="714" w:type="dxa"/>
            <w:vAlign w:val="center"/>
          </w:tcPr>
          <w:p>
            <w:pPr>
              <w:wordWrap/>
              <w:spacing w:line="360" w:lineRule="exact"/>
              <w:rPr>
                <w:rFonts w:ascii="黑体" w:hAnsi="黑体" w:cs="黑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wordWrap/>
              <w:spacing w:line="360" w:lineRule="exact"/>
              <w:rPr>
                <w:rFonts w:ascii="黑体" w:hAnsi="黑体" w:cs="黑体"/>
                <w:color w:val="auto"/>
                <w:szCs w:val="21"/>
                <w:highlight w:val="none"/>
              </w:rPr>
            </w:pPr>
          </w:p>
        </w:tc>
        <w:tc>
          <w:tcPr>
            <w:tcW w:w="1303" w:type="dxa"/>
            <w:tcBorders>
              <w:bottom w:val="single" w:color="auto" w:sz="4" w:space="0"/>
            </w:tcBorders>
            <w:vAlign w:val="center"/>
          </w:tcPr>
          <w:p>
            <w:pPr>
              <w:wordWrap/>
              <w:spacing w:line="360" w:lineRule="exact"/>
              <w:rPr>
                <w:rFonts w:ascii="黑体" w:hAnsi="黑体" w:cs="黑体"/>
                <w:color w:val="auto"/>
                <w:szCs w:val="21"/>
                <w:highlight w:val="none"/>
              </w:rPr>
            </w:pPr>
          </w:p>
        </w:tc>
        <w:tc>
          <w:tcPr>
            <w:tcW w:w="797" w:type="dxa"/>
            <w:tcBorders>
              <w:right w:val="single" w:color="auto" w:sz="4" w:space="0"/>
            </w:tcBorders>
            <w:vAlign w:val="center"/>
          </w:tcPr>
          <w:p>
            <w:pPr>
              <w:wordWrap/>
              <w:spacing w:line="360" w:lineRule="exact"/>
              <w:rPr>
                <w:rFonts w:ascii="黑体" w:hAnsi="黑体" w:cs="黑体"/>
                <w:color w:val="auto"/>
                <w:szCs w:val="21"/>
                <w:highlight w:val="none"/>
              </w:rPr>
            </w:pPr>
          </w:p>
        </w:tc>
        <w:tc>
          <w:tcPr>
            <w:tcW w:w="963" w:type="dxa"/>
            <w:tcBorders>
              <w:left w:val="single" w:color="auto" w:sz="4" w:space="0"/>
            </w:tcBorders>
            <w:vAlign w:val="center"/>
          </w:tcPr>
          <w:p>
            <w:pPr>
              <w:wordWrap/>
              <w:spacing w:line="360" w:lineRule="exact"/>
              <w:rPr>
                <w:rFonts w:ascii="黑体" w:hAnsi="黑体" w:cs="黑体"/>
                <w:color w:val="auto"/>
                <w:szCs w:val="21"/>
                <w:highlight w:val="none"/>
              </w:rPr>
            </w:pPr>
          </w:p>
        </w:tc>
        <w:tc>
          <w:tcPr>
            <w:tcW w:w="791" w:type="dxa"/>
            <w:vAlign w:val="center"/>
          </w:tcPr>
          <w:p>
            <w:pPr>
              <w:wordWrap/>
              <w:spacing w:line="360" w:lineRule="exact"/>
              <w:rPr>
                <w:rFonts w:ascii="黑体" w:hAnsi="黑体" w:cs="黑体"/>
                <w:color w:val="auto"/>
                <w:szCs w:val="21"/>
                <w:highlight w:val="none"/>
              </w:rPr>
            </w:pPr>
          </w:p>
        </w:tc>
        <w:tc>
          <w:tcPr>
            <w:tcW w:w="709" w:type="dxa"/>
            <w:tcBorders>
              <w:right w:val="single" w:color="auto" w:sz="4" w:space="0"/>
            </w:tcBorders>
            <w:vAlign w:val="center"/>
          </w:tcPr>
          <w:p>
            <w:pPr>
              <w:wordWrap/>
              <w:spacing w:line="360" w:lineRule="exact"/>
              <w:rPr>
                <w:rFonts w:ascii="黑体" w:hAnsi="黑体" w:cs="黑体"/>
                <w:color w:val="auto"/>
                <w:szCs w:val="21"/>
                <w:highlight w:val="none"/>
              </w:rPr>
            </w:pPr>
          </w:p>
        </w:tc>
        <w:tc>
          <w:tcPr>
            <w:tcW w:w="1269" w:type="dxa"/>
            <w:tcBorders>
              <w:left w:val="single" w:color="auto" w:sz="4" w:space="0"/>
            </w:tcBorders>
            <w:vAlign w:val="center"/>
          </w:tcPr>
          <w:p>
            <w:pPr>
              <w:wordWrap/>
              <w:spacing w:line="360" w:lineRule="exact"/>
              <w:rPr>
                <w:rFonts w:ascii="黑体" w:hAnsi="黑体" w:cs="黑体"/>
                <w:color w:val="auto"/>
                <w:szCs w:val="21"/>
                <w:highlight w:val="none"/>
              </w:rPr>
            </w:pPr>
          </w:p>
        </w:tc>
        <w:tc>
          <w:tcPr>
            <w:tcW w:w="1385" w:type="dxa"/>
            <w:vAlign w:val="center"/>
          </w:tcPr>
          <w:p>
            <w:pPr>
              <w:wordWrap/>
              <w:spacing w:line="360" w:lineRule="exact"/>
              <w:rPr>
                <w:rFonts w:ascii="黑体" w:hAnsi="黑体" w:cs="黑体"/>
                <w:color w:val="auto"/>
                <w:szCs w:val="21"/>
                <w:highlight w:val="none"/>
              </w:rPr>
            </w:pPr>
          </w:p>
        </w:tc>
        <w:tc>
          <w:tcPr>
            <w:tcW w:w="714" w:type="dxa"/>
            <w:vAlign w:val="center"/>
          </w:tcPr>
          <w:p>
            <w:pPr>
              <w:wordWrap/>
              <w:spacing w:line="360" w:lineRule="exact"/>
              <w:rPr>
                <w:rFonts w:ascii="黑体" w:hAnsi="黑体" w:cs="黑体"/>
                <w:color w:val="auto"/>
                <w:szCs w:val="21"/>
                <w:highlight w:val="none"/>
              </w:rPr>
            </w:pPr>
          </w:p>
        </w:tc>
      </w:tr>
    </w:tbl>
    <w:p>
      <w:pPr>
        <w:pStyle w:val="9"/>
        <w:spacing w:line="240" w:lineRule="atLeast"/>
        <w:ind w:left="1080" w:leftChars="257" w:hanging="540"/>
        <w:rPr>
          <w:rFonts w:hint="eastAsia" w:ascii="仿宋_GB2312" w:eastAsia="仿宋_GB2312"/>
          <w:b/>
          <w:bCs/>
          <w:sz w:val="24"/>
        </w:rPr>
      </w:pPr>
      <w:r>
        <w:rPr>
          <w:rFonts w:hint="eastAsia" w:ascii="仿宋_GB2312" w:eastAsia="仿宋_GB2312"/>
          <w:b/>
          <w:bCs/>
          <w:sz w:val="24"/>
        </w:rPr>
        <w:t>法定代表人</w:t>
      </w:r>
      <w:r>
        <w:rPr>
          <w:rFonts w:ascii="仿宋_GB2312" w:eastAsia="仿宋_GB2312"/>
          <w:b/>
          <w:bCs/>
          <w:sz w:val="24"/>
        </w:rPr>
        <w:t>或</w:t>
      </w:r>
      <w:r>
        <w:rPr>
          <w:rFonts w:hint="eastAsia" w:ascii="仿宋_GB2312" w:eastAsia="仿宋_GB2312"/>
          <w:b/>
          <w:bCs/>
          <w:sz w:val="24"/>
          <w:lang w:val="en-US" w:eastAsia="zh-CN"/>
        </w:rPr>
        <w:t>被</w:t>
      </w:r>
      <w:r>
        <w:rPr>
          <w:rFonts w:ascii="仿宋_GB2312" w:eastAsia="仿宋_GB2312"/>
          <w:b/>
          <w:bCs/>
          <w:sz w:val="24"/>
        </w:rPr>
        <w:t>委托代理人</w:t>
      </w:r>
      <w:r>
        <w:rPr>
          <w:rFonts w:hint="eastAsia" w:ascii="仿宋_GB2312" w:eastAsia="仿宋_GB2312"/>
          <w:b/>
          <w:bCs/>
          <w:sz w:val="24"/>
        </w:rPr>
        <w:t>签字:</w:t>
      </w:r>
      <w:r>
        <w:rPr>
          <w:rFonts w:hint="eastAsia" w:ascii="仿宋_GB2312" w:hAnsi="宋体" w:eastAsia="仿宋_GB2312"/>
          <w:b/>
          <w:bCs/>
          <w:sz w:val="24"/>
          <w:u w:val="single"/>
        </w:rPr>
        <w:t xml:space="preserve"> </w:t>
      </w:r>
      <w:r>
        <w:rPr>
          <w:rFonts w:ascii="仿宋_GB2312" w:hAnsi="宋体" w:eastAsia="仿宋_GB2312"/>
          <w:b/>
          <w:bCs/>
          <w:sz w:val="24"/>
          <w:u w:val="single"/>
        </w:rPr>
        <w:tab/>
      </w:r>
      <w:r>
        <w:rPr>
          <w:rFonts w:hint="eastAsia" w:ascii="仿宋_GB2312" w:hAnsi="宋体" w:eastAsia="仿宋_GB2312"/>
          <w:b/>
          <w:bCs/>
          <w:sz w:val="24"/>
          <w:u w:val="single"/>
        </w:rPr>
        <w:t xml:space="preserve">                 </w:t>
      </w:r>
    </w:p>
    <w:p>
      <w:pPr>
        <w:pStyle w:val="9"/>
        <w:tabs>
          <w:tab w:val="left" w:pos="5370"/>
        </w:tabs>
        <w:spacing w:line="240" w:lineRule="atLeast"/>
        <w:ind w:left="1080" w:leftChars="257" w:hanging="540"/>
        <w:rPr>
          <w:rFonts w:ascii="仿宋_GB2312" w:eastAsia="仿宋_GB2312"/>
          <w:b/>
          <w:bCs/>
          <w:sz w:val="24"/>
        </w:rPr>
      </w:pPr>
      <w:r>
        <w:rPr>
          <w:rFonts w:hint="eastAsia" w:ascii="仿宋_GB2312" w:hAnsi="宋体" w:eastAsia="仿宋_GB2312"/>
          <w:b/>
          <w:bCs/>
          <w:sz w:val="24"/>
        </w:rPr>
        <w:t>投标人(盖单位章):</w:t>
      </w:r>
      <w:r>
        <w:rPr>
          <w:rFonts w:ascii="仿宋_GB2312" w:hAnsi="宋体" w:eastAsia="仿宋_GB2312"/>
          <w:b/>
          <w:bCs/>
          <w:sz w:val="24"/>
          <w:u w:val="single"/>
        </w:rPr>
        <w:tab/>
      </w:r>
    </w:p>
    <w:p>
      <w:pPr>
        <w:spacing w:line="380" w:lineRule="exact"/>
        <w:ind w:firstLine="843" w:firstLineChars="400"/>
        <w:outlineLvl w:val="1"/>
        <w:rPr>
          <w:rFonts w:ascii="仿宋" w:hAnsi="仿宋" w:eastAsia="仿宋" w:cs="仿宋"/>
          <w:b/>
          <w:bCs/>
          <w:sz w:val="30"/>
          <w:szCs w:val="30"/>
          <w:highlight w:val="none"/>
        </w:rPr>
      </w:pPr>
      <w:r>
        <w:rPr>
          <w:rFonts w:hint="eastAsia" w:ascii="宋体" w:hAnsi="宋体"/>
          <w:b/>
          <w:bCs/>
          <w:color w:val="000000"/>
        </w:rPr>
        <w:t xml:space="preserve"> 日期：</w:t>
      </w:r>
      <w:r>
        <w:rPr>
          <w:rFonts w:hint="eastAsia" w:ascii="宋体" w:hAnsi="宋体"/>
          <w:b/>
          <w:bCs/>
          <w:color w:val="000000"/>
          <w:u w:val="single"/>
        </w:rPr>
        <w:t xml:space="preserve">        </w:t>
      </w:r>
      <w:r>
        <w:rPr>
          <w:rFonts w:hint="eastAsia" w:ascii="宋体" w:hAnsi="宋体"/>
          <w:b/>
          <w:bCs/>
          <w:color w:val="000000"/>
        </w:rPr>
        <w:t>年</w:t>
      </w:r>
      <w:r>
        <w:rPr>
          <w:rFonts w:hint="eastAsia" w:ascii="宋体" w:hAnsi="宋体"/>
          <w:b/>
          <w:bCs/>
          <w:color w:val="000000"/>
          <w:u w:val="single"/>
        </w:rPr>
        <w:t xml:space="preserve">    </w:t>
      </w:r>
      <w:r>
        <w:rPr>
          <w:rFonts w:hint="eastAsia" w:ascii="宋体" w:hAnsi="宋体"/>
          <w:b/>
          <w:bCs/>
          <w:color w:val="000000"/>
        </w:rPr>
        <w:t>月</w:t>
      </w:r>
      <w:r>
        <w:rPr>
          <w:rFonts w:hint="eastAsia" w:ascii="宋体" w:hAnsi="宋体"/>
          <w:b/>
          <w:bCs/>
          <w:color w:val="000000"/>
          <w:u w:val="single"/>
        </w:rPr>
        <w:t xml:space="preserve">    </w:t>
      </w:r>
      <w:r>
        <w:rPr>
          <w:rFonts w:hint="eastAsia" w:ascii="宋体" w:hAnsi="宋体"/>
          <w:b/>
          <w:bCs/>
          <w:color w:val="000000"/>
        </w:rPr>
        <w:t xml:space="preserve">日   </w:t>
      </w:r>
    </w:p>
    <w:p>
      <w:pPr>
        <w:wordWrap/>
        <w:spacing w:line="360" w:lineRule="exact"/>
        <w:rPr>
          <w:rFonts w:hint="eastAsia" w:ascii="仿宋_GB2312" w:hAnsi="Courier New" w:eastAsia="仿宋_GB2312" w:cs="黑体"/>
          <w:b/>
          <w:bCs/>
          <w:kern w:val="2"/>
          <w:sz w:val="24"/>
          <w:szCs w:val="20"/>
          <w:lang w:val="en-US" w:eastAsia="zh-CN" w:bidi="ar-SA"/>
        </w:rPr>
      </w:pPr>
      <w:r>
        <w:rPr>
          <w:rFonts w:hint="eastAsia" w:ascii="仿宋_GB2312" w:hAnsi="Courier New" w:eastAsia="仿宋_GB2312" w:cs="黑体"/>
          <w:b/>
          <w:bCs/>
          <w:kern w:val="2"/>
          <w:sz w:val="24"/>
          <w:szCs w:val="20"/>
          <w:lang w:val="en-US" w:eastAsia="zh-CN" w:bidi="ar-SA"/>
        </w:rPr>
        <w:t>说明：包括项目实施人员、培训人员及售后服务人员。</w:t>
      </w:r>
    </w:p>
    <w:p>
      <w:pPr>
        <w:pStyle w:val="15"/>
        <w:rPr>
          <w:rFonts w:ascii="仿宋_GB2312" w:eastAsia="仿宋_GB2312"/>
          <w:sz w:val="24"/>
        </w:rPr>
      </w:pPr>
    </w:p>
    <w:p>
      <w:pPr>
        <w:rPr>
          <w:rFonts w:hint="eastAsia" w:ascii="宋体" w:hAnsi="宋体"/>
          <w:color w:val="000000"/>
        </w:rPr>
      </w:pPr>
    </w:p>
    <w:p>
      <w:pPr>
        <w:spacing w:line="380" w:lineRule="exact"/>
        <w:outlineLvl w:val="1"/>
        <w:rPr>
          <w:rFonts w:ascii="仿宋" w:hAnsi="仿宋" w:eastAsia="仿宋" w:cs="仿宋"/>
          <w:b/>
          <w:bCs/>
          <w:sz w:val="30"/>
          <w:szCs w:val="30"/>
          <w:highlight w:val="none"/>
        </w:rPr>
      </w:pPr>
    </w:p>
    <w:p>
      <w:pPr>
        <w:spacing w:line="380" w:lineRule="exact"/>
        <w:jc w:val="center"/>
        <w:outlineLvl w:val="1"/>
        <w:rPr>
          <w:rFonts w:hint="eastAsia" w:ascii="仿宋" w:hAnsi="仿宋" w:eastAsia="仿宋" w:cs="仿宋"/>
          <w:b/>
          <w:bCs/>
          <w:sz w:val="30"/>
          <w:szCs w:val="30"/>
          <w:highlight w:val="none"/>
        </w:rPr>
      </w:pPr>
      <w:bookmarkStart w:id="362" w:name="_Toc26038"/>
    </w:p>
    <w:p>
      <w:pPr>
        <w:spacing w:line="380" w:lineRule="exact"/>
        <w:jc w:val="center"/>
        <w:outlineLvl w:val="1"/>
        <w:rPr>
          <w:rFonts w:hint="eastAsia" w:ascii="仿宋" w:hAnsi="仿宋" w:eastAsia="仿宋" w:cs="仿宋"/>
          <w:b/>
          <w:bCs/>
          <w:sz w:val="30"/>
          <w:szCs w:val="30"/>
          <w:highlight w:val="none"/>
        </w:rPr>
      </w:pPr>
    </w:p>
    <w:p>
      <w:pPr>
        <w:spacing w:line="380" w:lineRule="exact"/>
        <w:jc w:val="center"/>
        <w:outlineLvl w:val="1"/>
        <w:rPr>
          <w:rFonts w:hint="eastAsia" w:ascii="仿宋" w:hAnsi="仿宋" w:eastAsia="仿宋" w:cs="仿宋"/>
          <w:b/>
          <w:bCs/>
          <w:sz w:val="30"/>
          <w:szCs w:val="30"/>
          <w:highlight w:val="none"/>
        </w:rPr>
      </w:pPr>
    </w:p>
    <w:p>
      <w:pPr>
        <w:spacing w:line="380" w:lineRule="exact"/>
        <w:jc w:val="center"/>
        <w:outlineLvl w:val="1"/>
        <w:rPr>
          <w:rFonts w:ascii="仿宋" w:hAnsi="仿宋" w:eastAsia="仿宋" w:cs="仿宋"/>
          <w:b/>
          <w:bCs/>
          <w:sz w:val="30"/>
          <w:szCs w:val="30"/>
          <w:highlight w:val="none"/>
        </w:rPr>
      </w:pP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十</w:t>
      </w:r>
      <w:r>
        <w:rPr>
          <w:rFonts w:hint="eastAsia" w:ascii="仿宋" w:hAnsi="仿宋" w:eastAsia="仿宋" w:cs="仿宋"/>
          <w:b/>
          <w:bCs/>
          <w:sz w:val="30"/>
          <w:szCs w:val="30"/>
          <w:highlight w:val="none"/>
        </w:rPr>
        <w:t>）投标人近三年类似业绩表</w:t>
      </w:r>
      <w:bookmarkEnd w:id="346"/>
      <w:bookmarkEnd w:id="362"/>
    </w:p>
    <w:p>
      <w:pPr>
        <w:autoSpaceDE w:val="0"/>
        <w:autoSpaceDN w:val="0"/>
        <w:adjustRightInd w:val="0"/>
        <w:spacing w:line="380" w:lineRule="exact"/>
        <w:ind w:left="206" w:leftChars="85" w:hanging="28" w:hangingChars="12"/>
        <w:rPr>
          <w:rFonts w:ascii="仿宋" w:hAnsi="仿宋" w:eastAsia="仿宋" w:cs="仿宋"/>
          <w:b/>
          <w:bCs/>
          <w:color w:val="000000"/>
          <w:kern w:val="0"/>
          <w:sz w:val="30"/>
          <w:szCs w:val="30"/>
          <w:highlight w:val="none"/>
        </w:rPr>
      </w:pPr>
      <w:r>
        <w:rPr>
          <w:rFonts w:hint="eastAsia" w:ascii="仿宋" w:hAnsi="仿宋" w:eastAsia="仿宋" w:cs="仿宋"/>
          <w:kern w:val="0"/>
          <w:sz w:val="24"/>
          <w:szCs w:val="24"/>
          <w:highlight w:val="none"/>
        </w:rPr>
        <w:t>投标人名称</w:t>
      </w:r>
      <w:r>
        <w:rPr>
          <w:rFonts w:hint="eastAsia" w:ascii="仿宋" w:hAnsi="仿宋" w:eastAsia="仿宋" w:cs="仿宋"/>
          <w:color w:val="000000"/>
          <w:kern w:val="0"/>
          <w:sz w:val="24"/>
          <w:szCs w:val="24"/>
          <w:highlight w:val="none"/>
        </w:rPr>
        <w:t>（公章）</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项目</w:t>
      </w:r>
      <w:r>
        <w:rPr>
          <w:rFonts w:hint="eastAsia" w:ascii="仿宋" w:hAnsi="仿宋" w:eastAsia="仿宋" w:cs="仿宋"/>
          <w:kern w:val="0"/>
          <w:sz w:val="24"/>
          <w:szCs w:val="24"/>
          <w:highlight w:val="none"/>
        </w:rPr>
        <w:t>编号：</w:t>
      </w:r>
      <w:r>
        <w:rPr>
          <w:rFonts w:hint="eastAsia" w:ascii="仿宋" w:hAnsi="仿宋" w:eastAsia="仿宋" w:cs="仿宋"/>
          <w:color w:val="000000"/>
          <w:kern w:val="0"/>
          <w:sz w:val="24"/>
          <w:szCs w:val="24"/>
          <w:highlight w:val="none"/>
        </w:rPr>
        <w:t>XJDB-20</w:t>
      </w:r>
      <w:r>
        <w:rPr>
          <w:rFonts w:hint="eastAsia" w:ascii="仿宋" w:hAnsi="仿宋" w:eastAsia="仿宋" w:cs="仿宋"/>
          <w:color w:val="000000"/>
          <w:kern w:val="0"/>
          <w:sz w:val="24"/>
          <w:szCs w:val="24"/>
          <w:highlight w:val="none"/>
          <w:lang w:val="en-US" w:eastAsia="zh-CN"/>
        </w:rPr>
        <w:t>20</w:t>
      </w:r>
      <w:r>
        <w:rPr>
          <w:rFonts w:hint="eastAsia" w:ascii="仿宋" w:hAnsi="仿宋" w:eastAsia="仿宋" w:cs="仿宋"/>
          <w:color w:val="000000"/>
          <w:kern w:val="0"/>
          <w:sz w:val="24"/>
          <w:szCs w:val="24"/>
          <w:highlight w:val="none"/>
        </w:rPr>
        <w:t>GK-0  号</w:t>
      </w:r>
    </w:p>
    <w:tbl>
      <w:tblPr>
        <w:tblStyle w:val="20"/>
        <w:tblW w:w="928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96"/>
        <w:gridCol w:w="1251"/>
        <w:gridCol w:w="196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21" w:type="dxa"/>
            <w:vAlign w:val="center"/>
          </w:tcPr>
          <w:p>
            <w:pPr>
              <w:autoSpaceDE w:val="0"/>
              <w:autoSpaceDN w:val="0"/>
              <w:adjustRightInd w:val="0"/>
              <w:spacing w:line="38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用户名称</w:t>
            </w:r>
          </w:p>
        </w:tc>
        <w:tc>
          <w:tcPr>
            <w:tcW w:w="3296" w:type="dxa"/>
            <w:vAlign w:val="center"/>
          </w:tcPr>
          <w:p>
            <w:pPr>
              <w:autoSpaceDE w:val="0"/>
              <w:autoSpaceDN w:val="0"/>
              <w:adjustRightInd w:val="0"/>
              <w:spacing w:line="380" w:lineRule="exact"/>
              <w:ind w:right="-107" w:rightChars="-51"/>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1251" w:type="dxa"/>
            <w:vAlign w:val="center"/>
          </w:tcPr>
          <w:p>
            <w:pPr>
              <w:autoSpaceDE w:val="0"/>
              <w:autoSpaceDN w:val="0"/>
              <w:adjustRightInd w:val="0"/>
              <w:spacing w:line="38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中标金额(</w:t>
            </w:r>
            <w:r>
              <w:rPr>
                <w:rFonts w:hint="eastAsia" w:ascii="仿宋" w:hAnsi="仿宋" w:eastAsia="仿宋" w:cs="仿宋"/>
                <w:color w:val="000000"/>
                <w:kern w:val="0"/>
                <w:sz w:val="24"/>
                <w:szCs w:val="24"/>
                <w:highlight w:val="none"/>
              </w:rPr>
              <w:t>万元)</w:t>
            </w:r>
          </w:p>
        </w:tc>
        <w:tc>
          <w:tcPr>
            <w:tcW w:w="1963" w:type="dxa"/>
            <w:vAlign w:val="center"/>
          </w:tcPr>
          <w:p>
            <w:pPr>
              <w:autoSpaceDE w:val="0"/>
              <w:autoSpaceDN w:val="0"/>
              <w:adjustRightInd w:val="0"/>
              <w:spacing w:line="38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验收结果</w:t>
            </w:r>
          </w:p>
        </w:tc>
        <w:tc>
          <w:tcPr>
            <w:tcW w:w="1251" w:type="dxa"/>
            <w:vAlign w:val="center"/>
          </w:tcPr>
          <w:p>
            <w:pPr>
              <w:autoSpaceDE w:val="0"/>
              <w:autoSpaceDN w:val="0"/>
              <w:adjustRightInd w:val="0"/>
              <w:spacing w:line="38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21" w:type="dxa"/>
            <w:vAlign w:val="top"/>
          </w:tcPr>
          <w:p>
            <w:pPr>
              <w:spacing w:line="380" w:lineRule="exact"/>
              <w:rPr>
                <w:rFonts w:ascii="仿宋" w:hAnsi="仿宋" w:eastAsia="仿宋" w:cs="仿宋"/>
                <w:sz w:val="24"/>
                <w:szCs w:val="20"/>
                <w:highlight w:val="none"/>
              </w:rPr>
            </w:pPr>
          </w:p>
        </w:tc>
        <w:tc>
          <w:tcPr>
            <w:tcW w:w="3296" w:type="dxa"/>
            <w:vAlign w:val="top"/>
          </w:tcPr>
          <w:p>
            <w:pPr>
              <w:spacing w:line="380" w:lineRule="exact"/>
              <w:rPr>
                <w:rFonts w:ascii="仿宋" w:hAnsi="仿宋" w:eastAsia="仿宋" w:cs="仿宋"/>
                <w:sz w:val="24"/>
                <w:szCs w:val="20"/>
                <w:highlight w:val="none"/>
              </w:rPr>
            </w:pPr>
          </w:p>
        </w:tc>
        <w:tc>
          <w:tcPr>
            <w:tcW w:w="1251" w:type="dxa"/>
            <w:vAlign w:val="top"/>
          </w:tcPr>
          <w:p>
            <w:pPr>
              <w:spacing w:line="380" w:lineRule="exact"/>
              <w:rPr>
                <w:rFonts w:ascii="仿宋" w:hAnsi="仿宋" w:eastAsia="仿宋" w:cs="仿宋"/>
                <w:sz w:val="24"/>
                <w:szCs w:val="20"/>
                <w:highlight w:val="none"/>
              </w:rPr>
            </w:pPr>
          </w:p>
        </w:tc>
        <w:tc>
          <w:tcPr>
            <w:tcW w:w="1963" w:type="dxa"/>
            <w:vAlign w:val="top"/>
          </w:tcPr>
          <w:p>
            <w:pPr>
              <w:spacing w:line="380" w:lineRule="exact"/>
              <w:rPr>
                <w:rFonts w:ascii="仿宋" w:hAnsi="仿宋" w:eastAsia="仿宋" w:cs="仿宋"/>
                <w:sz w:val="24"/>
                <w:szCs w:val="20"/>
                <w:highlight w:val="none"/>
              </w:rPr>
            </w:pPr>
          </w:p>
        </w:tc>
        <w:tc>
          <w:tcPr>
            <w:tcW w:w="1251" w:type="dxa"/>
            <w:vAlign w:val="top"/>
          </w:tcPr>
          <w:p>
            <w:pPr>
              <w:spacing w:line="380" w:lineRule="exact"/>
              <w:rPr>
                <w:rFonts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21" w:type="dxa"/>
            <w:vAlign w:val="top"/>
          </w:tcPr>
          <w:p>
            <w:pPr>
              <w:spacing w:line="380" w:lineRule="exact"/>
              <w:rPr>
                <w:rFonts w:ascii="仿宋" w:hAnsi="仿宋" w:eastAsia="仿宋" w:cs="仿宋"/>
                <w:sz w:val="24"/>
                <w:szCs w:val="20"/>
                <w:highlight w:val="none"/>
              </w:rPr>
            </w:pPr>
            <w:r>
              <w:rPr>
                <w:rFonts w:hint="eastAsia" w:ascii="仿宋" w:hAnsi="仿宋" w:eastAsia="仿宋" w:cs="仿宋"/>
                <w:sz w:val="24"/>
                <w:szCs w:val="20"/>
                <w:highlight w:val="none"/>
              </w:rPr>
              <w:t>………</w:t>
            </w:r>
          </w:p>
        </w:tc>
        <w:tc>
          <w:tcPr>
            <w:tcW w:w="3296" w:type="dxa"/>
            <w:vAlign w:val="top"/>
          </w:tcPr>
          <w:p>
            <w:pPr>
              <w:spacing w:line="380" w:lineRule="exact"/>
              <w:rPr>
                <w:rFonts w:ascii="仿宋" w:hAnsi="仿宋" w:eastAsia="仿宋" w:cs="仿宋"/>
                <w:sz w:val="24"/>
                <w:szCs w:val="20"/>
                <w:highlight w:val="none"/>
              </w:rPr>
            </w:pPr>
          </w:p>
        </w:tc>
        <w:tc>
          <w:tcPr>
            <w:tcW w:w="1251" w:type="dxa"/>
            <w:vAlign w:val="top"/>
          </w:tcPr>
          <w:p>
            <w:pPr>
              <w:spacing w:line="380" w:lineRule="exact"/>
              <w:rPr>
                <w:rFonts w:ascii="仿宋" w:hAnsi="仿宋" w:eastAsia="仿宋" w:cs="仿宋"/>
                <w:sz w:val="24"/>
                <w:szCs w:val="20"/>
                <w:highlight w:val="none"/>
              </w:rPr>
            </w:pPr>
          </w:p>
        </w:tc>
        <w:tc>
          <w:tcPr>
            <w:tcW w:w="1963" w:type="dxa"/>
            <w:vAlign w:val="top"/>
          </w:tcPr>
          <w:p>
            <w:pPr>
              <w:spacing w:line="380" w:lineRule="exact"/>
              <w:rPr>
                <w:rFonts w:ascii="仿宋" w:hAnsi="仿宋" w:eastAsia="仿宋" w:cs="仿宋"/>
                <w:sz w:val="24"/>
                <w:szCs w:val="20"/>
                <w:highlight w:val="none"/>
              </w:rPr>
            </w:pPr>
          </w:p>
        </w:tc>
        <w:tc>
          <w:tcPr>
            <w:tcW w:w="1251" w:type="dxa"/>
            <w:vAlign w:val="top"/>
          </w:tcPr>
          <w:p>
            <w:pPr>
              <w:spacing w:line="380" w:lineRule="exact"/>
              <w:rPr>
                <w:rFonts w:ascii="仿宋" w:hAnsi="仿宋" w:eastAsia="仿宋" w:cs="仿宋"/>
                <w:sz w:val="24"/>
                <w:szCs w:val="20"/>
                <w:highlight w:val="none"/>
              </w:rPr>
            </w:pPr>
          </w:p>
        </w:tc>
      </w:tr>
    </w:tbl>
    <w:p>
      <w:pPr>
        <w:spacing w:line="380" w:lineRule="exact"/>
        <w:rPr>
          <w:rFonts w:ascii="仿宋" w:hAnsi="仿宋" w:eastAsia="仿宋" w:cs="仿宋"/>
          <w:szCs w:val="20"/>
          <w:highlight w:val="none"/>
        </w:rPr>
      </w:pPr>
      <w:r>
        <w:rPr>
          <w:rFonts w:hint="eastAsia" w:ascii="仿宋" w:hAnsi="仿宋" w:eastAsia="仿宋" w:cs="仿宋"/>
          <w:szCs w:val="20"/>
          <w:highlight w:val="none"/>
        </w:rPr>
        <w:t xml:space="preserve">   此表可向下延伸。</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注：投标人（仅限于投标人自己实施的）以上业绩需提供有关书面证明材料。“中标金额”需提供中标通知书或成交合同复印件；“验收结果”需提供用户单位书面证明材料。</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3" w:name="_Toc10015_WPSOffice_Level2"/>
      <w:bookmarkStart w:id="364" w:name="_Toc32375"/>
      <w:bookmarkStart w:id="365" w:name="_Toc22369"/>
      <w:bookmarkStart w:id="366" w:name="_Toc288"/>
      <w:bookmarkStart w:id="367" w:name="_Toc1365"/>
      <w:bookmarkStart w:id="368" w:name="_Toc29509"/>
      <w:bookmarkStart w:id="369" w:name="_Toc19247"/>
      <w:bookmarkStart w:id="370" w:name="_Toc21899"/>
      <w:bookmarkStart w:id="371" w:name="_Toc27671"/>
      <w:bookmarkStart w:id="372" w:name="_Toc17340"/>
      <w:bookmarkStart w:id="373" w:name="_Toc5115"/>
      <w:bookmarkStart w:id="374" w:name="_Toc5813"/>
      <w:bookmarkStart w:id="375" w:name="_Toc25174"/>
      <w:bookmarkStart w:id="376" w:name="_Toc531"/>
      <w:bookmarkStart w:id="377" w:name="_Toc8343"/>
    </w:p>
    <w:p>
      <w:pPr>
        <w:jc w:val="center"/>
        <w:outlineLvl w:val="1"/>
        <w:rPr>
          <w:rFonts w:ascii="仿宋" w:hAnsi="仿宋" w:eastAsia="仿宋" w:cs="仿宋"/>
          <w:b/>
          <w:bCs/>
          <w:sz w:val="32"/>
          <w:szCs w:val="32"/>
          <w:highlight w:val="none"/>
        </w:rPr>
      </w:pPr>
    </w:p>
    <w:p>
      <w:pPr>
        <w:jc w:val="center"/>
        <w:outlineLvl w:val="1"/>
        <w:rPr>
          <w:rFonts w:ascii="仿宋" w:hAnsi="仿宋" w:eastAsia="仿宋" w:cs="仿宋"/>
          <w:b/>
          <w:bCs/>
          <w:sz w:val="32"/>
          <w:szCs w:val="32"/>
          <w:highlight w:val="none"/>
        </w:rPr>
      </w:pPr>
    </w:p>
    <w:bookmarkEnd w:id="363"/>
    <w:p>
      <w:pPr>
        <w:pStyle w:val="4"/>
        <w:numPr>
          <w:ilvl w:val="0"/>
          <w:numId w:val="0"/>
        </w:numPr>
        <w:spacing w:before="0" w:line="240" w:lineRule="atLeast"/>
        <w:jc w:val="center"/>
        <w:rPr>
          <w:rFonts w:hint="eastAsia" w:ascii="仿宋" w:hAnsi="仿宋" w:eastAsia="仿宋" w:cs="仿宋"/>
          <w:sz w:val="30"/>
          <w:szCs w:val="30"/>
          <w:highlight w:val="none"/>
        </w:rPr>
      </w:pPr>
      <w:bookmarkStart w:id="378" w:name="_Toc14965"/>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十一</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投标人企业（单位）类型声明函</w:t>
      </w:r>
      <w:bookmarkEnd w:id="378"/>
    </w:p>
    <w:p>
      <w:pPr>
        <w:numPr>
          <w:ilvl w:val="0"/>
          <w:numId w:val="0"/>
        </w:numPr>
        <w:ind w:firstLine="4200" w:firstLineChars="2000"/>
        <w:rPr>
          <w:rFonts w:hint="eastAsia" w:eastAsia="宋体"/>
          <w:lang w:eastAsia="zh-CN"/>
        </w:rPr>
      </w:pPr>
      <w:r>
        <w:rPr>
          <w:rFonts w:hint="eastAsia"/>
          <w:lang w:eastAsia="zh-CN"/>
        </w:rPr>
        <w:t>（</w:t>
      </w:r>
      <w:r>
        <w:rPr>
          <w:rFonts w:hint="eastAsia"/>
          <w:lang w:val="en-US" w:eastAsia="zh-CN"/>
        </w:rPr>
        <w:t>若有请如实填写</w:t>
      </w:r>
      <w:r>
        <w:rPr>
          <w:rFonts w:hint="eastAsia"/>
          <w:lang w:eastAsia="zh-CN"/>
        </w:rPr>
        <w:t>）</w:t>
      </w:r>
    </w:p>
    <w:p>
      <w:pPr>
        <w:spacing w:line="240" w:lineRule="atLeast"/>
        <w:ind w:left="1080" w:leftChars="257" w:hanging="540"/>
        <w:jc w:val="center"/>
        <w:rPr>
          <w:rFonts w:ascii="仿宋_GB2312" w:hAnsi="Arial" w:eastAsia="仿宋_GB2312"/>
          <w:b/>
          <w:kern w:val="0"/>
          <w:sz w:val="24"/>
          <w:szCs w:val="20"/>
          <w:highlight w:val="none"/>
        </w:rPr>
      </w:pPr>
    </w:p>
    <w:p>
      <w:pPr>
        <w:spacing w:line="380" w:lineRule="exact"/>
        <w:ind w:firstLine="420" w:firstLineChars="200"/>
        <w:rPr>
          <w:rFonts w:ascii="仿宋" w:hAnsi="仿宋" w:eastAsia="仿宋" w:cs="仿宋"/>
          <w:szCs w:val="20"/>
          <w:highlight w:val="none"/>
        </w:rPr>
      </w:pPr>
      <w:r>
        <w:rPr>
          <w:rFonts w:hint="eastAsia" w:ascii="仿宋" w:hAnsi="仿宋" w:eastAsia="仿宋" w:cs="仿宋"/>
          <w:szCs w:val="20"/>
          <w:highlight w:val="none"/>
        </w:rPr>
        <w:t>本企业（单位）郑重声明下列事项（按照实际情况勾选或填空）：</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1、□本企业（单位）为直接投标人提供本企业（单位）制造的货物。</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根据《工业和信息化部、国家统计局、国家发展和改革委员会、财政部关于印发中小企业划型标准规定的通知》（工信部联企业[2011]300号）规定的划分标准，本企业为______（请填写：中型、小型、微型）企业。</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（2） 本企业        （请填写：是、不是）监狱企业。后附省级以上监狱管理局、戒毒管理局（含新疆生产建设兵团）出具的属于监狱企业的证明文件。</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（3） 根据《关于促进残疾人就业政府采购政策的通知》（财库〔2017〕141号）。本单位        （请填写：是、不是）残疾人福利性单位。</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2、□本企业（单位）为代理商，提供其他______（请填写：中型、小型、微型）企业、监狱企业或残疾人福利性单位制造的货物。本条所称货物不包括使用大型企业注册商标的货物。（后附制造商企业（单位）类型声明函）</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3、□本企业（单位）为联合体一方，提供本企业（单位）制造的货物，由本企业（单位）承担工程、提供服务。本企业（单位）提供协议合同金额占到共同投标协议合同总金额的比例为       。</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　　本企业（单位）对上述声明的真实性负责。如有虚假，将依法承担相应责任。</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 xml:space="preserve">投标人名称（盖单位章）：___________   ___ </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 xml:space="preserve">日　期：____________                     </w:t>
      </w:r>
    </w:p>
    <w:p>
      <w:pPr>
        <w:spacing w:line="380" w:lineRule="exact"/>
        <w:rPr>
          <w:rFonts w:ascii="仿宋" w:hAnsi="仿宋" w:eastAsia="仿宋" w:cs="仿宋"/>
          <w:szCs w:val="20"/>
          <w:highlight w:val="none"/>
        </w:rPr>
      </w:pPr>
    </w:p>
    <w:p>
      <w:pPr>
        <w:spacing w:line="380" w:lineRule="exact"/>
        <w:rPr>
          <w:rFonts w:ascii="仿宋" w:hAnsi="仿宋" w:eastAsia="仿宋" w:cs="仿宋"/>
          <w:szCs w:val="20"/>
          <w:highlight w:val="none"/>
        </w:rPr>
      </w:pPr>
      <w:r>
        <w:rPr>
          <w:rFonts w:hint="eastAsia" w:ascii="仿宋" w:hAnsi="仿宋" w:eastAsia="仿宋" w:cs="仿宋"/>
          <w:szCs w:val="20"/>
          <w:highlight w:val="none"/>
        </w:rPr>
        <w:t>　</w:t>
      </w:r>
    </w:p>
    <w:p>
      <w:pPr>
        <w:spacing w:line="380" w:lineRule="exact"/>
        <w:jc w:val="center"/>
        <w:rPr>
          <w:rFonts w:hint="eastAsia" w:ascii="仿宋" w:hAnsi="仿宋" w:eastAsia="仿宋" w:cs="仿宋"/>
          <w:b/>
          <w:bCs/>
          <w:sz w:val="30"/>
          <w:szCs w:val="30"/>
          <w:highlight w:val="none"/>
        </w:rPr>
      </w:pPr>
      <w:bookmarkStart w:id="379" w:name="_Toc11803"/>
      <w:bookmarkStart w:id="380" w:name="_Toc10977"/>
      <w:bookmarkStart w:id="381" w:name="_Toc515647824"/>
      <w:bookmarkStart w:id="382" w:name="_Toc13776"/>
      <w:r>
        <w:rPr>
          <w:rFonts w:hint="eastAsia" w:ascii="仿宋" w:hAnsi="仿宋" w:eastAsia="仿宋" w:cs="仿宋"/>
          <w:b/>
          <w:bCs/>
          <w:sz w:val="30"/>
          <w:szCs w:val="30"/>
          <w:highlight w:val="none"/>
        </w:rPr>
        <w:br w:type="textWrapping"/>
      </w:r>
    </w:p>
    <w:p>
      <w:pPr>
        <w:spacing w:line="380" w:lineRule="exact"/>
        <w:jc w:val="center"/>
        <w:rPr>
          <w:rFonts w:hint="eastAsia" w:ascii="仿宋" w:hAnsi="仿宋" w:eastAsia="仿宋" w:cs="仿宋"/>
          <w:b/>
          <w:bCs/>
          <w:sz w:val="30"/>
          <w:szCs w:val="30"/>
          <w:highlight w:val="none"/>
        </w:rPr>
      </w:pPr>
    </w:p>
    <w:p>
      <w:pPr>
        <w:spacing w:line="380" w:lineRule="exact"/>
        <w:jc w:val="center"/>
        <w:rPr>
          <w:rFonts w:hint="eastAsia" w:ascii="仿宋" w:hAnsi="仿宋" w:eastAsia="仿宋" w:cs="仿宋"/>
          <w:b/>
          <w:bCs/>
          <w:sz w:val="30"/>
          <w:szCs w:val="30"/>
          <w:highlight w:val="none"/>
        </w:rPr>
      </w:pPr>
    </w:p>
    <w:p>
      <w:pPr>
        <w:spacing w:line="38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十二</w:t>
      </w:r>
      <w:r>
        <w:rPr>
          <w:rFonts w:hint="eastAsia" w:ascii="仿宋" w:hAnsi="仿宋" w:eastAsia="仿宋" w:cs="仿宋"/>
          <w:b/>
          <w:bCs/>
          <w:sz w:val="30"/>
          <w:szCs w:val="30"/>
          <w:highlight w:val="none"/>
        </w:rPr>
        <w:t>）制造商企业（单位）类型声明函</w:t>
      </w:r>
      <w:bookmarkEnd w:id="379"/>
      <w:bookmarkEnd w:id="380"/>
      <w:bookmarkEnd w:id="381"/>
      <w:bookmarkEnd w:id="382"/>
    </w:p>
    <w:p>
      <w:pPr>
        <w:numPr>
          <w:ilvl w:val="0"/>
          <w:numId w:val="0"/>
        </w:numPr>
        <w:ind w:firstLine="4200" w:firstLineChars="2000"/>
        <w:rPr>
          <w:rFonts w:hint="eastAsia" w:eastAsia="宋体"/>
          <w:lang w:eastAsia="zh-CN"/>
        </w:rPr>
      </w:pPr>
      <w:r>
        <w:rPr>
          <w:rFonts w:hint="eastAsia"/>
          <w:lang w:eastAsia="zh-CN"/>
        </w:rPr>
        <w:t>（</w:t>
      </w:r>
      <w:r>
        <w:rPr>
          <w:rFonts w:hint="eastAsia"/>
          <w:lang w:val="en-US" w:eastAsia="zh-CN"/>
        </w:rPr>
        <w:t>若有请如实填写</w:t>
      </w:r>
      <w:r>
        <w:rPr>
          <w:rFonts w:hint="eastAsia"/>
          <w:lang w:eastAsia="zh-CN"/>
        </w:rPr>
        <w:t>）</w:t>
      </w:r>
    </w:p>
    <w:p>
      <w:pPr>
        <w:spacing w:line="240" w:lineRule="atLeast"/>
        <w:ind w:left="1080" w:leftChars="257" w:hanging="540"/>
        <w:jc w:val="center"/>
        <w:rPr>
          <w:rFonts w:ascii="仿宋_GB2312" w:hAnsi="Arial" w:eastAsia="仿宋_GB2312"/>
          <w:b/>
          <w:kern w:val="0"/>
          <w:sz w:val="24"/>
          <w:szCs w:val="20"/>
          <w:highlight w:val="none"/>
        </w:rPr>
      </w:pPr>
    </w:p>
    <w:p>
      <w:pPr>
        <w:spacing w:line="380" w:lineRule="exact"/>
        <w:ind w:firstLine="420" w:firstLineChars="200"/>
        <w:rPr>
          <w:rFonts w:ascii="仿宋" w:hAnsi="仿宋" w:eastAsia="仿宋" w:cs="仿宋"/>
          <w:szCs w:val="20"/>
          <w:highlight w:val="none"/>
        </w:rPr>
      </w:pPr>
      <w:r>
        <w:rPr>
          <w:rFonts w:hint="eastAsia" w:ascii="仿宋" w:hAnsi="仿宋" w:eastAsia="仿宋" w:cs="仿宋"/>
          <w:szCs w:val="20"/>
          <w:highlight w:val="none"/>
        </w:rPr>
        <w:t>本企业（单位）作为______单位的______ 项目的设备制造商，参加政府采购活动。根据《政府采购促进中小企业发展暂行办法》（财库[2011]181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本企业为______（请填写：中型、小型、微型）企业。</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本企业        （请填写：是、不是）监狱企业。后附省级以上监狱管理局、戒毒管理局（含新疆生产建设兵团）出具的属于监狱企业的证明文件。</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本单位为        （请填写：是、不是）残疾人福利性单位。</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本企业（单位）提供本企业（单位）制造的货物。</w:t>
      </w:r>
    </w:p>
    <w:p>
      <w:pPr>
        <w:spacing w:line="380" w:lineRule="exact"/>
        <w:rPr>
          <w:rFonts w:ascii="仿宋" w:hAnsi="仿宋" w:eastAsia="仿宋" w:cs="仿宋"/>
          <w:szCs w:val="20"/>
          <w:highlight w:val="none"/>
        </w:rPr>
      </w:pPr>
      <w:r>
        <w:rPr>
          <w:rFonts w:hint="eastAsia" w:ascii="仿宋" w:hAnsi="仿宋" w:eastAsia="仿宋" w:cs="仿宋"/>
          <w:szCs w:val="20"/>
          <w:highlight w:val="none"/>
        </w:rPr>
        <w:t>本企业（单位）对上述声明的真实性负责。如有虚假，将依法承担相应责任。</w:t>
      </w:r>
    </w:p>
    <w:p>
      <w:pPr>
        <w:spacing w:line="380" w:lineRule="exact"/>
        <w:rPr>
          <w:rFonts w:ascii="宋体" w:hAnsi="宋体" w:cs="宋体"/>
          <w:kern w:val="0"/>
          <w:sz w:val="24"/>
          <w:highlight w:val="none"/>
        </w:rPr>
      </w:pPr>
      <w:r>
        <w:rPr>
          <w:rFonts w:hint="eastAsia" w:ascii="仿宋" w:hAnsi="仿宋" w:eastAsia="仿宋" w:cs="仿宋"/>
          <w:szCs w:val="20"/>
          <w:highlight w:val="none"/>
        </w:rPr>
        <w:t>本声明函经制造商和投标人共同盖章生效。</w:t>
      </w:r>
    </w:p>
    <w:p>
      <w:pPr>
        <w:widowControl/>
        <w:spacing w:before="100" w:beforeAutospacing="1" w:after="100" w:afterAutospacing="1" w:line="330" w:lineRule="atLeast"/>
        <w:ind w:firstLine="3120" w:firstLineChars="1300"/>
        <w:jc w:val="left"/>
        <w:rPr>
          <w:rFonts w:ascii="仿宋" w:hAnsi="仿宋" w:eastAsia="仿宋" w:cs="宋体"/>
          <w:kern w:val="0"/>
          <w:sz w:val="24"/>
          <w:highlight w:val="none"/>
        </w:rPr>
      </w:pPr>
      <w:r>
        <w:rPr>
          <w:rFonts w:hint="eastAsia" w:ascii="仿宋" w:hAnsi="仿宋" w:eastAsia="仿宋" w:cs="宋体"/>
          <w:kern w:val="0"/>
          <w:sz w:val="24"/>
          <w:highlight w:val="none"/>
          <w:u w:val="single" w:color="FFFFFF"/>
        </w:rPr>
        <w:t>制造商名称（盖单位章）</w:t>
      </w:r>
      <w:r>
        <w:rPr>
          <w:rFonts w:hint="eastAsia" w:ascii="仿宋" w:hAnsi="仿宋" w:eastAsia="仿宋" w:cs="宋体"/>
          <w:kern w:val="0"/>
          <w:sz w:val="24"/>
          <w:highlight w:val="none"/>
        </w:rPr>
        <w:t xml:space="preserve">：                 </w:t>
      </w:r>
    </w:p>
    <w:p>
      <w:pPr>
        <w:widowControl/>
        <w:spacing w:before="100" w:beforeAutospacing="1" w:after="100" w:afterAutospacing="1" w:line="330" w:lineRule="atLeast"/>
        <w:ind w:firstLine="3120" w:firstLineChars="1300"/>
        <w:jc w:val="left"/>
        <w:rPr>
          <w:rFonts w:ascii="仿宋" w:hAnsi="仿宋" w:eastAsia="仿宋" w:cs="宋体"/>
          <w:kern w:val="0"/>
          <w:sz w:val="24"/>
          <w:highlight w:val="none"/>
        </w:rPr>
      </w:pPr>
      <w:r>
        <w:rPr>
          <w:rFonts w:hint="eastAsia" w:ascii="仿宋" w:hAnsi="仿宋" w:eastAsia="仿宋" w:cs="宋体"/>
          <w:kern w:val="0"/>
          <w:sz w:val="24"/>
          <w:highlight w:val="none"/>
        </w:rPr>
        <w:t>投标人</w:t>
      </w:r>
      <w:r>
        <w:rPr>
          <w:rFonts w:ascii="仿宋" w:hAnsi="仿宋" w:eastAsia="仿宋" w:cs="宋体"/>
          <w:kern w:val="0"/>
          <w:sz w:val="24"/>
          <w:highlight w:val="none"/>
        </w:rPr>
        <w:t>名称（盖</w:t>
      </w:r>
      <w:r>
        <w:rPr>
          <w:rFonts w:hint="eastAsia" w:ascii="仿宋" w:hAnsi="仿宋" w:eastAsia="仿宋" w:cs="宋体"/>
          <w:kern w:val="0"/>
          <w:sz w:val="24"/>
          <w:highlight w:val="none"/>
        </w:rPr>
        <w:t>单位</w:t>
      </w:r>
      <w:r>
        <w:rPr>
          <w:rFonts w:ascii="仿宋" w:hAnsi="仿宋" w:eastAsia="仿宋" w:cs="宋体"/>
          <w:kern w:val="0"/>
          <w:sz w:val="24"/>
          <w:highlight w:val="none"/>
        </w:rPr>
        <w:t>章）：</w:t>
      </w:r>
      <w:r>
        <w:rPr>
          <w:rFonts w:hint="eastAsia" w:ascii="仿宋" w:hAnsi="仿宋" w:eastAsia="仿宋" w:cs="宋体"/>
          <w:kern w:val="0"/>
          <w:sz w:val="24"/>
          <w:highlight w:val="none"/>
        </w:rPr>
        <w:t>___________   ___</w:t>
      </w:r>
    </w:p>
    <w:p>
      <w:pPr>
        <w:widowControl/>
        <w:spacing w:before="100" w:beforeAutospacing="1" w:after="100" w:afterAutospacing="1" w:line="330" w:lineRule="atLeast"/>
        <w:ind w:firstLine="3120" w:firstLineChars="1300"/>
        <w:jc w:val="left"/>
        <w:rPr>
          <w:highlight w:val="none"/>
        </w:rPr>
      </w:pPr>
      <w:r>
        <w:rPr>
          <w:rFonts w:ascii="仿宋" w:hAnsi="仿宋" w:eastAsia="仿宋" w:cs="宋体"/>
          <w:kern w:val="0"/>
          <w:sz w:val="24"/>
          <w:highlight w:val="none"/>
        </w:rPr>
        <w:t>日　期：</w:t>
      </w:r>
      <w:r>
        <w:rPr>
          <w:rFonts w:hint="eastAsia" w:ascii="仿宋" w:hAnsi="仿宋" w:eastAsia="仿宋" w:cs="宋体"/>
          <w:kern w:val="0"/>
          <w:sz w:val="24"/>
          <w:highlight w:val="none"/>
        </w:rPr>
        <w:t xml:space="preserve">____________                     </w:t>
      </w:r>
    </w:p>
    <w:p>
      <w:pPr>
        <w:pStyle w:val="4"/>
        <w:spacing w:before="0" w:line="240" w:lineRule="atLeast"/>
        <w:rPr>
          <w:rFonts w:hint="eastAsia" w:ascii="仿宋" w:hAnsi="仿宋" w:eastAsia="仿宋" w:cs="仿宋"/>
          <w:sz w:val="30"/>
          <w:szCs w:val="30"/>
          <w:highlight w:val="none"/>
        </w:rPr>
      </w:pPr>
      <w:bookmarkStart w:id="383" w:name="_Toc19284"/>
      <w:bookmarkStart w:id="384" w:name="_Toc5160"/>
      <w:bookmarkStart w:id="385" w:name="_Toc515647825"/>
      <w:bookmarkStart w:id="386" w:name="_Toc24603"/>
      <w:bookmarkStart w:id="387" w:name="_Toc23068"/>
      <w:bookmarkStart w:id="388" w:name="OLE_LINK14"/>
      <w:bookmarkStart w:id="389" w:name="OLE_LINK13"/>
    </w:p>
    <w:p>
      <w:pPr>
        <w:pStyle w:val="4"/>
        <w:spacing w:before="0" w:line="240" w:lineRule="atLeast"/>
        <w:ind w:firstLine="2711" w:firstLineChars="900"/>
        <w:rPr>
          <w:rFonts w:ascii="仿宋" w:hAnsi="仿宋" w:eastAsia="仿宋" w:cs="仿宋"/>
          <w:sz w:val="30"/>
          <w:szCs w:val="30"/>
          <w:highlight w:val="none"/>
        </w:rPr>
      </w:pPr>
      <w:r>
        <w:rPr>
          <w:rFonts w:hint="eastAsia" w:ascii="仿宋" w:hAnsi="仿宋" w:eastAsia="仿宋" w:cs="仿宋"/>
          <w:sz w:val="30"/>
          <w:szCs w:val="30"/>
          <w:highlight w:val="none"/>
        </w:rPr>
        <w:t>（十</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rPr>
        <w:t>）残疾人福利性单位声明函</w:t>
      </w:r>
      <w:bookmarkEnd w:id="383"/>
      <w:bookmarkEnd w:id="384"/>
      <w:bookmarkEnd w:id="385"/>
      <w:bookmarkEnd w:id="386"/>
      <w:bookmarkEnd w:id="387"/>
    </w:p>
    <w:bookmarkEnd w:id="388"/>
    <w:bookmarkEnd w:id="389"/>
    <w:p>
      <w:pPr>
        <w:numPr>
          <w:ilvl w:val="0"/>
          <w:numId w:val="0"/>
        </w:numPr>
        <w:ind w:firstLine="4200" w:firstLineChars="2000"/>
        <w:rPr>
          <w:rFonts w:hint="eastAsia" w:eastAsia="宋体"/>
          <w:lang w:eastAsia="zh-CN"/>
        </w:rPr>
      </w:pPr>
      <w:r>
        <w:rPr>
          <w:rFonts w:hint="eastAsia"/>
          <w:lang w:eastAsia="zh-CN"/>
        </w:rPr>
        <w:t>（</w:t>
      </w:r>
      <w:r>
        <w:rPr>
          <w:rFonts w:hint="eastAsia"/>
          <w:lang w:val="en-US" w:eastAsia="zh-CN"/>
        </w:rPr>
        <w:t>若有请如实填写</w:t>
      </w:r>
      <w:r>
        <w:rPr>
          <w:rFonts w:hint="eastAsia"/>
          <w:lang w:eastAsia="zh-CN"/>
        </w:rPr>
        <w:t>）</w:t>
      </w:r>
    </w:p>
    <w:p>
      <w:pPr>
        <w:spacing w:line="240" w:lineRule="atLeast"/>
        <w:ind w:left="1080" w:leftChars="257" w:hanging="540"/>
        <w:jc w:val="center"/>
        <w:rPr>
          <w:rFonts w:ascii="仿宋_GB2312" w:hAnsi="Arial" w:eastAsia="仿宋_GB2312"/>
          <w:kern w:val="0"/>
          <w:sz w:val="24"/>
          <w:szCs w:val="20"/>
          <w:highlight w:val="none"/>
        </w:rPr>
      </w:pPr>
    </w:p>
    <w:p>
      <w:pPr>
        <w:spacing w:line="380" w:lineRule="exact"/>
        <w:ind w:firstLine="420" w:firstLineChars="200"/>
        <w:rPr>
          <w:rFonts w:ascii="仿宋" w:hAnsi="仿宋" w:eastAsia="仿宋" w:cs="仿宋"/>
          <w:szCs w:val="20"/>
          <w:highlight w:val="none"/>
        </w:rPr>
      </w:pPr>
      <w:r>
        <w:rPr>
          <w:rFonts w:hint="eastAsia" w:ascii="仿宋" w:hAnsi="仿宋" w:eastAsia="仿宋" w:cs="仿宋"/>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80" w:lineRule="exact"/>
        <w:ind w:firstLine="420" w:firstLineChars="200"/>
        <w:rPr>
          <w:rFonts w:ascii="仿宋" w:hAnsi="仿宋" w:eastAsia="仿宋" w:cs="仿宋"/>
          <w:szCs w:val="20"/>
          <w:highlight w:val="none"/>
        </w:rPr>
      </w:pPr>
      <w:r>
        <w:rPr>
          <w:rFonts w:hint="eastAsia" w:ascii="仿宋" w:hAnsi="仿宋" w:eastAsia="仿宋" w:cs="仿宋"/>
          <w:szCs w:val="20"/>
          <w:highlight w:val="none"/>
        </w:rPr>
        <w:t>本单位对上述声明的真实性负责。如有虚假，将依法承担相应责任。</w:t>
      </w:r>
    </w:p>
    <w:p>
      <w:pPr>
        <w:spacing w:line="380" w:lineRule="exact"/>
        <w:ind w:firstLine="420" w:firstLineChars="200"/>
        <w:rPr>
          <w:rFonts w:ascii="仿宋" w:hAnsi="仿宋" w:eastAsia="仿宋" w:cs="仿宋"/>
          <w:szCs w:val="20"/>
          <w:highlight w:val="none"/>
        </w:rPr>
      </w:pPr>
    </w:p>
    <w:p>
      <w:pPr>
        <w:spacing w:line="380" w:lineRule="exact"/>
        <w:ind w:firstLine="420" w:firstLineChars="200"/>
        <w:rPr>
          <w:rFonts w:ascii="仿宋" w:hAnsi="仿宋" w:eastAsia="仿宋" w:cs="仿宋"/>
          <w:szCs w:val="20"/>
          <w:highlight w:val="none"/>
        </w:rPr>
      </w:pPr>
    </w:p>
    <w:p>
      <w:pPr>
        <w:spacing w:line="380" w:lineRule="exact"/>
        <w:ind w:firstLine="420" w:firstLineChars="200"/>
        <w:rPr>
          <w:rFonts w:ascii="仿宋" w:hAnsi="仿宋" w:eastAsia="仿宋" w:cs="仿宋"/>
          <w:szCs w:val="20"/>
          <w:highlight w:val="none"/>
        </w:rPr>
      </w:pPr>
      <w:r>
        <w:rPr>
          <w:rFonts w:hint="eastAsia" w:ascii="仿宋" w:hAnsi="仿宋" w:eastAsia="仿宋" w:cs="仿宋"/>
          <w:szCs w:val="20"/>
          <w:highlight w:val="none"/>
        </w:rPr>
        <w:t xml:space="preserve">              残疾人福利性单位名称（盖单位章）：______________</w:t>
      </w:r>
    </w:p>
    <w:p>
      <w:pPr>
        <w:spacing w:line="380" w:lineRule="exact"/>
        <w:ind w:firstLine="420" w:firstLineChars="200"/>
        <w:rPr>
          <w:rFonts w:ascii="仿宋" w:hAnsi="仿宋" w:eastAsia="仿宋" w:cs="仿宋"/>
          <w:szCs w:val="20"/>
          <w:highlight w:val="none"/>
        </w:rPr>
      </w:pPr>
      <w:r>
        <w:rPr>
          <w:rFonts w:hint="eastAsia" w:ascii="仿宋" w:hAnsi="仿宋" w:eastAsia="仿宋" w:cs="仿宋"/>
          <w:szCs w:val="20"/>
          <w:highlight w:val="none"/>
        </w:rPr>
        <w:t xml:space="preserve">         日  期：_____________________________________________</w:t>
      </w:r>
    </w:p>
    <w:p>
      <w:pPr>
        <w:spacing w:line="240" w:lineRule="atLeast"/>
        <w:ind w:left="1080" w:leftChars="257" w:hanging="540"/>
        <w:jc w:val="center"/>
        <w:rPr>
          <w:rFonts w:ascii="仿宋_GB2312" w:hAnsi="Arial" w:eastAsia="仿宋_GB2312"/>
          <w:b/>
          <w:kern w:val="0"/>
          <w:sz w:val="24"/>
          <w:szCs w:val="20"/>
          <w:highlight w:val="none"/>
        </w:rPr>
      </w:pPr>
    </w:p>
    <w:p>
      <w:pPr>
        <w:rPr>
          <w:rFonts w:ascii="仿宋" w:hAnsi="仿宋" w:eastAsia="仿宋" w:cs="仿宋"/>
          <w:b/>
          <w:bCs/>
          <w:sz w:val="24"/>
          <w:szCs w:val="24"/>
          <w:highlight w:val="none"/>
        </w:rPr>
      </w:pP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Pr>
        <w:rPr>
          <w:rFonts w:hint="eastAsia" w:ascii="宋体" w:hAnsi="宋体" w:eastAsia="宋体" w:cs="Times New Roman"/>
          <w:b/>
          <w:sz w:val="32"/>
          <w:szCs w:val="32"/>
          <w:highlight w:val="none"/>
        </w:rPr>
      </w:pPr>
    </w:p>
    <w:p>
      <w:pPr>
        <w:rPr>
          <w:rFonts w:ascii="仿宋_GB2312" w:hAnsi="宋体" w:eastAsia="仿宋_GB2312" w:cs="Times New Roman"/>
          <w:b/>
          <w:szCs w:val="21"/>
          <w:highlight w:val="none"/>
        </w:rPr>
      </w:pPr>
      <w:r>
        <w:rPr>
          <w:rFonts w:hint="eastAsia" w:ascii="宋体" w:hAnsi="宋体" w:eastAsia="宋体" w:cs="Times New Roman"/>
          <w:b/>
          <w:sz w:val="32"/>
          <w:szCs w:val="32"/>
          <w:highlight w:val="none"/>
        </w:rPr>
        <w:t>附表一采购项目验收单</w:t>
      </w:r>
    </w:p>
    <w:tbl>
      <w:tblPr>
        <w:tblStyle w:val="20"/>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80"/>
        <w:gridCol w:w="177"/>
        <w:gridCol w:w="1233"/>
        <w:gridCol w:w="704"/>
        <w:gridCol w:w="1381"/>
        <w:gridCol w:w="1485"/>
        <w:gridCol w:w="658"/>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项目名称</w:t>
            </w:r>
          </w:p>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及编号</w:t>
            </w:r>
          </w:p>
        </w:tc>
        <w:tc>
          <w:tcPr>
            <w:tcW w:w="7912" w:type="dxa"/>
            <w:gridSpan w:val="7"/>
            <w:vAlign w:val="center"/>
          </w:tcPr>
          <w:p>
            <w:pPr>
              <w:jc w:val="center"/>
              <w:rPr>
                <w:rFonts w:ascii="仿宋" w:hAnsi="仿宋" w:eastAsia="仿宋" w:cs="仿宋"/>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采购人</w:t>
            </w:r>
          </w:p>
        </w:tc>
        <w:tc>
          <w:tcPr>
            <w:tcW w:w="3495" w:type="dxa"/>
            <w:gridSpan w:val="4"/>
            <w:vAlign w:val="center"/>
          </w:tcPr>
          <w:p>
            <w:pPr>
              <w:jc w:val="center"/>
              <w:rPr>
                <w:rFonts w:ascii="仿宋" w:hAnsi="仿宋" w:eastAsia="仿宋" w:cs="仿宋"/>
                <w:b/>
                <w:sz w:val="24"/>
                <w:szCs w:val="20"/>
                <w:highlight w:val="none"/>
              </w:rPr>
            </w:pPr>
          </w:p>
        </w:tc>
        <w:tc>
          <w:tcPr>
            <w:tcW w:w="1485" w:type="dxa"/>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项目负责人</w:t>
            </w:r>
          </w:p>
        </w:tc>
        <w:tc>
          <w:tcPr>
            <w:tcW w:w="2932" w:type="dxa"/>
            <w:gridSpan w:val="2"/>
            <w:vAlign w:val="center"/>
          </w:tcPr>
          <w:p>
            <w:pPr>
              <w:jc w:val="center"/>
              <w:rPr>
                <w:rFonts w:ascii="仿宋" w:hAnsi="仿宋" w:eastAsia="仿宋" w:cs="仿宋"/>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中标(成交)供应商</w:t>
            </w:r>
          </w:p>
        </w:tc>
        <w:tc>
          <w:tcPr>
            <w:tcW w:w="3495" w:type="dxa"/>
            <w:gridSpan w:val="4"/>
            <w:vAlign w:val="center"/>
          </w:tcPr>
          <w:p>
            <w:pPr>
              <w:jc w:val="center"/>
              <w:rPr>
                <w:rFonts w:ascii="仿宋" w:hAnsi="仿宋" w:eastAsia="仿宋" w:cs="仿宋"/>
                <w:b/>
                <w:bCs/>
                <w:sz w:val="24"/>
                <w:szCs w:val="20"/>
                <w:highlight w:val="none"/>
              </w:rPr>
            </w:pPr>
          </w:p>
        </w:tc>
        <w:tc>
          <w:tcPr>
            <w:tcW w:w="1485" w:type="dxa"/>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采购方式</w:t>
            </w:r>
          </w:p>
        </w:tc>
        <w:tc>
          <w:tcPr>
            <w:tcW w:w="2932" w:type="dxa"/>
            <w:gridSpan w:val="2"/>
            <w:vAlign w:val="center"/>
          </w:tcPr>
          <w:p>
            <w:pPr>
              <w:jc w:val="center"/>
              <w:rPr>
                <w:rFonts w:ascii="仿宋" w:hAnsi="仿宋" w:eastAsia="仿宋" w:cs="仿宋"/>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合同完</w:t>
            </w:r>
          </w:p>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成时间</w:t>
            </w:r>
          </w:p>
        </w:tc>
        <w:tc>
          <w:tcPr>
            <w:tcW w:w="3495" w:type="dxa"/>
            <w:gridSpan w:val="4"/>
            <w:vAlign w:val="center"/>
          </w:tcPr>
          <w:p>
            <w:pPr>
              <w:jc w:val="center"/>
              <w:rPr>
                <w:rFonts w:ascii="仿宋" w:hAnsi="仿宋" w:eastAsia="仿宋" w:cs="仿宋"/>
                <w:b/>
                <w:sz w:val="24"/>
                <w:szCs w:val="20"/>
                <w:highlight w:val="none"/>
              </w:rPr>
            </w:pPr>
          </w:p>
        </w:tc>
        <w:tc>
          <w:tcPr>
            <w:tcW w:w="1485" w:type="dxa"/>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项目验</w:t>
            </w:r>
          </w:p>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收时间</w:t>
            </w:r>
          </w:p>
        </w:tc>
        <w:tc>
          <w:tcPr>
            <w:tcW w:w="2932" w:type="dxa"/>
            <w:gridSpan w:val="2"/>
            <w:vAlign w:val="center"/>
          </w:tcPr>
          <w:p>
            <w:pPr>
              <w:jc w:val="center"/>
              <w:rPr>
                <w:rFonts w:ascii="仿宋" w:hAnsi="仿宋" w:eastAsia="仿宋" w:cs="仿宋"/>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8"/>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中标(成交)设备</w:t>
            </w:r>
          </w:p>
        </w:tc>
        <w:tc>
          <w:tcPr>
            <w:tcW w:w="2274" w:type="dxa"/>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9" w:type="dxa"/>
            <w:vAlign w:val="center"/>
          </w:tcPr>
          <w:p>
            <w:pPr>
              <w:jc w:val="center"/>
              <w:rPr>
                <w:rFonts w:ascii="仿宋" w:hAnsi="仿宋" w:eastAsia="仿宋" w:cs="仿宋"/>
                <w:b/>
                <w:sz w:val="24"/>
                <w:szCs w:val="20"/>
                <w:highlight w:val="none"/>
              </w:rPr>
            </w:pPr>
            <w:r>
              <w:rPr>
                <w:rFonts w:hint="eastAsia" w:ascii="仿宋" w:hAnsi="仿宋" w:eastAsia="仿宋" w:cs="仿宋"/>
                <w:b/>
                <w:sz w:val="24"/>
                <w:szCs w:val="20"/>
                <w:highlight w:val="none"/>
              </w:rPr>
              <w:t>序号</w:t>
            </w:r>
          </w:p>
        </w:tc>
        <w:tc>
          <w:tcPr>
            <w:tcW w:w="1057" w:type="dxa"/>
            <w:gridSpan w:val="2"/>
            <w:vAlign w:val="center"/>
          </w:tcPr>
          <w:p>
            <w:pPr>
              <w:widowControl/>
              <w:jc w:val="center"/>
              <w:rPr>
                <w:rFonts w:ascii="仿宋" w:hAnsi="仿宋" w:eastAsia="仿宋" w:cs="仿宋"/>
                <w:b/>
                <w:bCs/>
                <w:kern w:val="0"/>
                <w:sz w:val="24"/>
                <w:szCs w:val="20"/>
                <w:highlight w:val="none"/>
              </w:rPr>
            </w:pPr>
            <w:r>
              <w:rPr>
                <w:rFonts w:hint="eastAsia" w:ascii="仿宋" w:hAnsi="仿宋" w:eastAsia="仿宋" w:cs="仿宋"/>
                <w:b/>
                <w:bCs/>
                <w:kern w:val="0"/>
                <w:sz w:val="24"/>
                <w:szCs w:val="20"/>
                <w:highlight w:val="none"/>
              </w:rPr>
              <w:t>设备</w:t>
            </w:r>
          </w:p>
          <w:p>
            <w:pPr>
              <w:widowControl/>
              <w:jc w:val="center"/>
              <w:rPr>
                <w:rFonts w:ascii="仿宋" w:hAnsi="仿宋" w:eastAsia="仿宋" w:cs="仿宋"/>
                <w:b/>
                <w:bCs/>
                <w:kern w:val="0"/>
                <w:sz w:val="24"/>
                <w:szCs w:val="20"/>
                <w:highlight w:val="none"/>
              </w:rPr>
            </w:pPr>
            <w:r>
              <w:rPr>
                <w:rFonts w:hint="eastAsia" w:ascii="仿宋" w:hAnsi="仿宋" w:eastAsia="仿宋" w:cs="仿宋"/>
                <w:b/>
                <w:bCs/>
                <w:kern w:val="0"/>
                <w:sz w:val="24"/>
                <w:szCs w:val="20"/>
                <w:highlight w:val="none"/>
              </w:rPr>
              <w:t>名称</w:t>
            </w:r>
          </w:p>
        </w:tc>
        <w:tc>
          <w:tcPr>
            <w:tcW w:w="1233" w:type="dxa"/>
            <w:vAlign w:val="center"/>
          </w:tcPr>
          <w:p>
            <w:pPr>
              <w:jc w:val="center"/>
              <w:rPr>
                <w:rFonts w:ascii="仿宋" w:hAnsi="仿宋" w:eastAsia="仿宋" w:cs="仿宋"/>
                <w:b/>
                <w:bCs/>
                <w:kern w:val="0"/>
                <w:sz w:val="24"/>
                <w:szCs w:val="20"/>
                <w:highlight w:val="none"/>
              </w:rPr>
            </w:pPr>
            <w:r>
              <w:rPr>
                <w:rFonts w:hint="eastAsia" w:ascii="仿宋" w:hAnsi="仿宋" w:eastAsia="仿宋" w:cs="仿宋"/>
                <w:b/>
                <w:bCs/>
                <w:kern w:val="0"/>
                <w:sz w:val="24"/>
                <w:szCs w:val="20"/>
                <w:highlight w:val="none"/>
              </w:rPr>
              <w:t>制造商</w:t>
            </w:r>
          </w:p>
        </w:tc>
        <w:tc>
          <w:tcPr>
            <w:tcW w:w="704" w:type="dxa"/>
            <w:vAlign w:val="center"/>
          </w:tcPr>
          <w:p>
            <w:pPr>
              <w:widowControl/>
              <w:jc w:val="center"/>
              <w:rPr>
                <w:rFonts w:ascii="仿宋" w:hAnsi="仿宋" w:eastAsia="仿宋" w:cs="仿宋"/>
                <w:b/>
                <w:bCs/>
                <w:kern w:val="0"/>
                <w:sz w:val="24"/>
                <w:szCs w:val="20"/>
                <w:highlight w:val="none"/>
              </w:rPr>
            </w:pPr>
            <w:r>
              <w:rPr>
                <w:rFonts w:hint="eastAsia" w:ascii="仿宋" w:hAnsi="仿宋" w:eastAsia="仿宋" w:cs="仿宋"/>
                <w:b/>
                <w:bCs/>
                <w:kern w:val="0"/>
                <w:sz w:val="24"/>
                <w:szCs w:val="20"/>
                <w:highlight w:val="none"/>
              </w:rPr>
              <w:t>数量</w:t>
            </w:r>
          </w:p>
        </w:tc>
        <w:tc>
          <w:tcPr>
            <w:tcW w:w="3524" w:type="dxa"/>
            <w:gridSpan w:val="3"/>
            <w:vAlign w:val="center"/>
          </w:tcPr>
          <w:p>
            <w:pPr>
              <w:widowControl/>
              <w:jc w:val="center"/>
              <w:rPr>
                <w:rFonts w:ascii="仿宋" w:hAnsi="仿宋" w:eastAsia="仿宋" w:cs="仿宋"/>
                <w:b/>
                <w:bCs/>
                <w:kern w:val="0"/>
                <w:sz w:val="24"/>
                <w:szCs w:val="20"/>
                <w:highlight w:val="none"/>
              </w:rPr>
            </w:pPr>
            <w:r>
              <w:rPr>
                <w:rFonts w:hint="eastAsia" w:ascii="仿宋" w:hAnsi="仿宋" w:eastAsia="仿宋" w:cs="仿宋"/>
                <w:b/>
                <w:bCs/>
                <w:kern w:val="0"/>
                <w:sz w:val="24"/>
                <w:szCs w:val="20"/>
                <w:highlight w:val="none"/>
              </w:rPr>
              <w:t>规格参数</w:t>
            </w:r>
          </w:p>
        </w:tc>
        <w:tc>
          <w:tcPr>
            <w:tcW w:w="2274" w:type="dxa"/>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47" w:type="dxa"/>
            <w:gridSpan w:val="8"/>
            <w:vAlign w:val="center"/>
          </w:tcPr>
          <w:p>
            <w:pPr>
              <w:jc w:val="center"/>
              <w:rPr>
                <w:rFonts w:ascii="仿宋" w:hAnsi="仿宋" w:eastAsia="仿宋" w:cs="仿宋"/>
                <w:b/>
                <w:sz w:val="28"/>
                <w:szCs w:val="28"/>
                <w:highlight w:val="none"/>
              </w:rPr>
            </w:pPr>
            <w:r>
              <w:rPr>
                <w:rFonts w:hint="eastAsia" w:ascii="仿宋" w:hAnsi="仿宋" w:eastAsia="仿宋" w:cs="仿宋"/>
                <w:b/>
                <w:sz w:val="28"/>
                <w:szCs w:val="28"/>
                <w:highlight w:val="none"/>
              </w:rPr>
              <w:t>详见《中标（成交）通知书》采购清单</w:t>
            </w:r>
          </w:p>
        </w:tc>
        <w:tc>
          <w:tcPr>
            <w:tcW w:w="2274" w:type="dxa"/>
            <w:vAlign w:val="top"/>
          </w:tcPr>
          <w:p>
            <w:pP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vMerge w:val="restart"/>
            <w:vAlign w:val="center"/>
          </w:tcPr>
          <w:p>
            <w:pPr>
              <w:ind w:left="103" w:leftChars="49"/>
              <w:jc w:val="center"/>
              <w:rPr>
                <w:rFonts w:ascii="仿宋" w:hAnsi="仿宋" w:eastAsia="仿宋" w:cs="仿宋"/>
                <w:b/>
                <w:sz w:val="24"/>
                <w:szCs w:val="20"/>
                <w:highlight w:val="none"/>
              </w:rPr>
            </w:pPr>
            <w:r>
              <w:rPr>
                <w:rFonts w:hint="eastAsia" w:ascii="仿宋" w:hAnsi="仿宋" w:eastAsia="仿宋" w:cs="仿宋"/>
                <w:b/>
                <w:sz w:val="24"/>
                <w:szCs w:val="20"/>
                <w:highlight w:val="none"/>
              </w:rPr>
              <w:t>验收小组</w:t>
            </w:r>
          </w:p>
        </w:tc>
        <w:tc>
          <w:tcPr>
            <w:tcW w:w="2290" w:type="dxa"/>
            <w:gridSpan w:val="3"/>
            <w:vAlign w:val="center"/>
          </w:tcPr>
          <w:p>
            <w:pPr>
              <w:spacing w:line="320" w:lineRule="exact"/>
              <w:jc w:val="center"/>
              <w:rPr>
                <w:rFonts w:ascii="仿宋" w:hAnsi="仿宋" w:eastAsia="仿宋" w:cs="仿宋"/>
                <w:b/>
                <w:sz w:val="24"/>
                <w:szCs w:val="20"/>
                <w:highlight w:val="none"/>
              </w:rPr>
            </w:pPr>
            <w:r>
              <w:rPr>
                <w:rFonts w:hint="eastAsia" w:ascii="仿宋" w:hAnsi="仿宋" w:eastAsia="仿宋" w:cs="仿宋"/>
                <w:b/>
                <w:sz w:val="24"/>
                <w:szCs w:val="20"/>
                <w:highlight w:val="none"/>
              </w:rPr>
              <w:t>采购人代表</w:t>
            </w:r>
          </w:p>
        </w:tc>
        <w:tc>
          <w:tcPr>
            <w:tcW w:w="6502" w:type="dxa"/>
            <w:gridSpan w:val="5"/>
            <w:vAlign w:val="center"/>
          </w:tcPr>
          <w:p>
            <w:pP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9" w:type="dxa"/>
            <w:vMerge w:val="continue"/>
            <w:vAlign w:val="center"/>
          </w:tcPr>
          <w:p>
            <w:pPr>
              <w:ind w:left="103" w:leftChars="49"/>
              <w:jc w:val="center"/>
              <w:rPr>
                <w:rFonts w:ascii="仿宋" w:hAnsi="仿宋" w:eastAsia="仿宋" w:cs="仿宋"/>
                <w:b/>
                <w:sz w:val="24"/>
                <w:szCs w:val="20"/>
                <w:highlight w:val="none"/>
              </w:rPr>
            </w:pPr>
          </w:p>
        </w:tc>
        <w:tc>
          <w:tcPr>
            <w:tcW w:w="2290" w:type="dxa"/>
            <w:gridSpan w:val="3"/>
            <w:vAlign w:val="center"/>
          </w:tcPr>
          <w:p>
            <w:pPr>
              <w:spacing w:line="320" w:lineRule="exact"/>
              <w:jc w:val="center"/>
              <w:rPr>
                <w:rFonts w:ascii="仿宋" w:hAnsi="仿宋" w:eastAsia="仿宋" w:cs="仿宋"/>
                <w:b/>
                <w:sz w:val="24"/>
                <w:szCs w:val="20"/>
                <w:highlight w:val="none"/>
              </w:rPr>
            </w:pPr>
            <w:r>
              <w:rPr>
                <w:rFonts w:hint="eastAsia" w:ascii="仿宋" w:hAnsi="仿宋" w:eastAsia="仿宋" w:cs="仿宋"/>
                <w:b/>
                <w:sz w:val="24"/>
                <w:szCs w:val="20"/>
                <w:highlight w:val="none"/>
              </w:rPr>
              <w:t>专业技术或</w:t>
            </w:r>
          </w:p>
          <w:p>
            <w:pPr>
              <w:spacing w:line="320" w:lineRule="exact"/>
              <w:jc w:val="center"/>
              <w:rPr>
                <w:rFonts w:ascii="仿宋" w:hAnsi="仿宋" w:eastAsia="仿宋" w:cs="仿宋"/>
                <w:b/>
                <w:sz w:val="24"/>
                <w:szCs w:val="20"/>
                <w:highlight w:val="none"/>
              </w:rPr>
            </w:pPr>
            <w:r>
              <w:rPr>
                <w:rFonts w:hint="eastAsia" w:ascii="仿宋" w:hAnsi="仿宋" w:eastAsia="仿宋" w:cs="仿宋"/>
                <w:b/>
                <w:sz w:val="24"/>
                <w:szCs w:val="20"/>
                <w:highlight w:val="none"/>
              </w:rPr>
              <w:t>使用人员</w:t>
            </w:r>
          </w:p>
        </w:tc>
        <w:tc>
          <w:tcPr>
            <w:tcW w:w="6502" w:type="dxa"/>
            <w:gridSpan w:val="5"/>
            <w:vAlign w:val="center"/>
          </w:tcPr>
          <w:p>
            <w:pP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9" w:type="dxa"/>
            <w:vMerge w:val="continue"/>
            <w:vAlign w:val="center"/>
          </w:tcPr>
          <w:p>
            <w:pPr>
              <w:ind w:left="103" w:leftChars="49"/>
              <w:jc w:val="center"/>
              <w:rPr>
                <w:rFonts w:ascii="仿宋" w:hAnsi="仿宋" w:eastAsia="仿宋" w:cs="仿宋"/>
                <w:b/>
                <w:sz w:val="24"/>
                <w:szCs w:val="20"/>
                <w:highlight w:val="none"/>
              </w:rPr>
            </w:pPr>
          </w:p>
        </w:tc>
        <w:tc>
          <w:tcPr>
            <w:tcW w:w="2290" w:type="dxa"/>
            <w:gridSpan w:val="3"/>
            <w:vAlign w:val="center"/>
          </w:tcPr>
          <w:p>
            <w:pPr>
              <w:spacing w:line="320" w:lineRule="exact"/>
              <w:jc w:val="center"/>
              <w:rPr>
                <w:rFonts w:ascii="仿宋" w:hAnsi="仿宋" w:eastAsia="仿宋" w:cs="仿宋"/>
                <w:b/>
                <w:sz w:val="24"/>
                <w:szCs w:val="20"/>
                <w:highlight w:val="none"/>
              </w:rPr>
            </w:pPr>
            <w:r>
              <w:rPr>
                <w:rFonts w:hint="eastAsia" w:ascii="仿宋" w:hAnsi="仿宋" w:eastAsia="仿宋" w:cs="仿宋"/>
                <w:b/>
                <w:sz w:val="24"/>
                <w:szCs w:val="20"/>
                <w:highlight w:val="none"/>
              </w:rPr>
              <w:t>验收监督人员</w:t>
            </w:r>
          </w:p>
        </w:tc>
        <w:tc>
          <w:tcPr>
            <w:tcW w:w="6502" w:type="dxa"/>
            <w:gridSpan w:val="5"/>
            <w:vAlign w:val="center"/>
          </w:tcPr>
          <w:p>
            <w:pPr>
              <w:rPr>
                <w:rFonts w:ascii="仿宋" w:hAnsi="仿宋" w:eastAsia="仿宋" w:cs="仿宋"/>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9" w:type="dxa"/>
            <w:vMerge w:val="continue"/>
            <w:vAlign w:val="center"/>
          </w:tcPr>
          <w:p>
            <w:pPr>
              <w:ind w:left="103" w:leftChars="49"/>
              <w:jc w:val="center"/>
              <w:rPr>
                <w:rFonts w:ascii="仿宋" w:hAnsi="仿宋" w:eastAsia="仿宋" w:cs="仿宋"/>
                <w:b/>
                <w:sz w:val="24"/>
                <w:szCs w:val="20"/>
                <w:highlight w:val="none"/>
              </w:rPr>
            </w:pPr>
          </w:p>
        </w:tc>
        <w:tc>
          <w:tcPr>
            <w:tcW w:w="2290" w:type="dxa"/>
            <w:gridSpan w:val="3"/>
            <w:vAlign w:val="center"/>
          </w:tcPr>
          <w:p>
            <w:pPr>
              <w:spacing w:line="320" w:lineRule="exact"/>
              <w:jc w:val="center"/>
              <w:rPr>
                <w:rFonts w:ascii="仿宋" w:hAnsi="仿宋" w:eastAsia="仿宋" w:cs="仿宋"/>
                <w:b/>
                <w:sz w:val="24"/>
                <w:szCs w:val="20"/>
                <w:highlight w:val="none"/>
              </w:rPr>
            </w:pPr>
            <w:r>
              <w:rPr>
                <w:rFonts w:hint="eastAsia" w:ascii="仿宋" w:hAnsi="仿宋" w:eastAsia="仿宋" w:cs="仿宋"/>
                <w:b/>
                <w:sz w:val="24"/>
                <w:szCs w:val="20"/>
                <w:highlight w:val="none"/>
              </w:rPr>
              <w:t>项目验收意见</w:t>
            </w:r>
          </w:p>
        </w:tc>
        <w:tc>
          <w:tcPr>
            <w:tcW w:w="6502" w:type="dxa"/>
            <w:gridSpan w:val="5"/>
            <w:vAlign w:val="center"/>
          </w:tcPr>
          <w:p>
            <w:pPr>
              <w:rPr>
                <w:rFonts w:ascii="仿宋" w:hAnsi="仿宋" w:eastAsia="仿宋" w:cs="仿宋"/>
                <w:b/>
                <w:sz w:val="28"/>
                <w:szCs w:val="28"/>
                <w:highlight w:val="none"/>
              </w:rPr>
            </w:pPr>
            <w:r>
              <w:rPr>
                <w:rFonts w:hint="eastAsia" w:ascii="仿宋" w:hAnsi="仿宋" w:eastAsia="仿宋" w:cs="仿宋"/>
                <w:b/>
                <w:sz w:val="24"/>
                <w:szCs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321" w:type="dxa"/>
            <w:gridSpan w:val="9"/>
            <w:vAlign w:val="center"/>
          </w:tcPr>
          <w:p>
            <w:pPr>
              <w:rPr>
                <w:rFonts w:ascii="仿宋" w:hAnsi="仿宋" w:eastAsia="仿宋" w:cs="仿宋"/>
                <w:b/>
                <w:sz w:val="24"/>
                <w:szCs w:val="20"/>
                <w:highlight w:val="none"/>
              </w:rPr>
            </w:pPr>
            <w:r>
              <w:rPr>
                <w:rFonts w:hint="eastAsia" w:ascii="仿宋" w:hAnsi="仿宋" w:eastAsia="仿宋" w:cs="仿宋"/>
                <w:b/>
                <w:sz w:val="24"/>
                <w:szCs w:val="20"/>
                <w:highlight w:val="none"/>
              </w:rPr>
              <w:t>供应商意见：（是否属实）</w:t>
            </w:r>
          </w:p>
          <w:p>
            <w:pPr>
              <w:rPr>
                <w:rFonts w:ascii="仿宋" w:hAnsi="仿宋" w:eastAsia="仿宋" w:cs="仿宋"/>
                <w:b/>
                <w:sz w:val="24"/>
                <w:szCs w:val="20"/>
                <w:highlight w:val="none"/>
              </w:rPr>
            </w:pPr>
          </w:p>
          <w:p>
            <w:pPr>
              <w:rPr>
                <w:rFonts w:ascii="仿宋" w:hAnsi="仿宋" w:eastAsia="仿宋" w:cs="仿宋"/>
                <w:b/>
                <w:sz w:val="24"/>
                <w:szCs w:val="20"/>
                <w:highlight w:val="none"/>
              </w:rPr>
            </w:pPr>
            <w:r>
              <w:rPr>
                <w:rFonts w:hint="eastAsia" w:ascii="仿宋" w:hAnsi="仿宋" w:eastAsia="仿宋" w:cs="仿宋"/>
                <w:b/>
                <w:sz w:val="24"/>
                <w:szCs w:val="20"/>
                <w:highlight w:val="none"/>
              </w:rPr>
              <w:t>供应商代表（签字）：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9321" w:type="dxa"/>
            <w:gridSpan w:val="9"/>
            <w:tcBorders>
              <w:right w:val="single" w:color="auto" w:sz="4" w:space="0"/>
            </w:tcBorders>
            <w:vAlign w:val="top"/>
          </w:tcPr>
          <w:p>
            <w:pPr>
              <w:jc w:val="left"/>
              <w:rPr>
                <w:rFonts w:ascii="仿宋" w:hAnsi="仿宋" w:eastAsia="仿宋" w:cs="仿宋"/>
                <w:b/>
                <w:sz w:val="24"/>
                <w:szCs w:val="20"/>
                <w:highlight w:val="none"/>
              </w:rPr>
            </w:pPr>
          </w:p>
          <w:p>
            <w:pPr>
              <w:jc w:val="left"/>
              <w:rPr>
                <w:rFonts w:ascii="仿宋" w:hAnsi="仿宋" w:eastAsia="仿宋" w:cs="仿宋"/>
                <w:b/>
                <w:sz w:val="24"/>
                <w:szCs w:val="20"/>
                <w:highlight w:val="none"/>
              </w:rPr>
            </w:pPr>
            <w:r>
              <w:rPr>
                <w:rFonts w:hint="eastAsia" w:ascii="仿宋" w:hAnsi="仿宋" w:eastAsia="仿宋" w:cs="仿宋"/>
                <w:b/>
                <w:sz w:val="24"/>
                <w:szCs w:val="20"/>
                <w:highlight w:val="none"/>
              </w:rPr>
              <w:t>采购人意见:</w:t>
            </w:r>
          </w:p>
          <w:p>
            <w:pPr>
              <w:ind w:firstLine="1771" w:firstLineChars="735"/>
              <w:jc w:val="left"/>
              <w:rPr>
                <w:rFonts w:ascii="仿宋" w:hAnsi="仿宋" w:eastAsia="仿宋" w:cs="仿宋"/>
                <w:b/>
                <w:sz w:val="24"/>
                <w:szCs w:val="20"/>
                <w:highlight w:val="none"/>
              </w:rPr>
            </w:pPr>
          </w:p>
          <w:p>
            <w:pPr>
              <w:ind w:firstLine="2976" w:firstLineChars="1235"/>
              <w:rPr>
                <w:rFonts w:ascii="仿宋" w:hAnsi="仿宋" w:eastAsia="仿宋" w:cs="仿宋"/>
                <w:b/>
                <w:sz w:val="24"/>
                <w:szCs w:val="20"/>
                <w:highlight w:val="none"/>
              </w:rPr>
            </w:pPr>
            <w:r>
              <w:rPr>
                <w:rFonts w:hint="eastAsia" w:ascii="仿宋" w:hAnsi="仿宋" w:eastAsia="仿宋" w:cs="仿宋"/>
                <w:b/>
                <w:sz w:val="24"/>
                <w:szCs w:val="20"/>
                <w:highlight w:val="none"/>
              </w:rPr>
              <w:t>(是否合格)</w:t>
            </w:r>
          </w:p>
          <w:p>
            <w:pPr>
              <w:ind w:firstLine="1771" w:firstLineChars="735"/>
              <w:jc w:val="left"/>
              <w:rPr>
                <w:rFonts w:ascii="仿宋" w:hAnsi="仿宋" w:eastAsia="仿宋" w:cs="仿宋"/>
                <w:b/>
                <w:sz w:val="24"/>
                <w:szCs w:val="20"/>
                <w:highlight w:val="none"/>
              </w:rPr>
            </w:pPr>
          </w:p>
          <w:p>
            <w:pPr>
              <w:ind w:firstLine="1771" w:firstLineChars="735"/>
              <w:rPr>
                <w:rFonts w:ascii="仿宋" w:hAnsi="仿宋" w:eastAsia="仿宋" w:cs="仿宋"/>
                <w:b/>
                <w:sz w:val="24"/>
                <w:szCs w:val="20"/>
                <w:highlight w:val="none"/>
              </w:rPr>
            </w:pPr>
            <w:r>
              <w:rPr>
                <w:rFonts w:hint="eastAsia" w:ascii="仿宋" w:hAnsi="仿宋" w:eastAsia="仿宋" w:cs="仿宋"/>
                <w:b/>
                <w:sz w:val="24"/>
                <w:szCs w:val="20"/>
                <w:highlight w:val="none"/>
              </w:rPr>
              <w:t xml:space="preserve">                             采购人公章</w:t>
            </w:r>
          </w:p>
          <w:p>
            <w:pPr>
              <w:ind w:firstLine="1771" w:firstLineChars="735"/>
              <w:jc w:val="center"/>
              <w:rPr>
                <w:rFonts w:ascii="仿宋" w:hAnsi="仿宋" w:eastAsia="仿宋" w:cs="仿宋"/>
                <w:b/>
                <w:sz w:val="24"/>
                <w:szCs w:val="20"/>
                <w:highlight w:val="none"/>
              </w:rPr>
            </w:pPr>
          </w:p>
          <w:p>
            <w:pPr>
              <w:ind w:firstLine="1771" w:firstLineChars="735"/>
              <w:rPr>
                <w:rFonts w:ascii="仿宋" w:hAnsi="仿宋" w:eastAsia="仿宋" w:cs="仿宋"/>
                <w:b/>
                <w:sz w:val="24"/>
                <w:szCs w:val="20"/>
                <w:highlight w:val="none"/>
              </w:rPr>
            </w:pPr>
            <w:r>
              <w:rPr>
                <w:rFonts w:hint="eastAsia" w:ascii="仿宋" w:hAnsi="仿宋" w:eastAsia="仿宋" w:cs="仿宋"/>
                <w:b/>
                <w:sz w:val="24"/>
                <w:szCs w:val="20"/>
                <w:highlight w:val="none"/>
              </w:rPr>
              <w:t xml:space="preserve">                         20    年   月  日</w:t>
            </w:r>
          </w:p>
        </w:tc>
      </w:tr>
    </w:tbl>
    <w:p>
      <w:pP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备注:1.采购人自行组织验收。2.采购人视项目具体情况,应缴请纪检监察、审计、人员进行监督并在“验收监督人员”一览中签字。3.本验收单一式四联，采购人2联、采购代理机构1联、中标（成交）供应商1联。</w:t>
      </w:r>
    </w:p>
    <w:p>
      <w:pPr>
        <w:jc w:val="left"/>
        <w:outlineLvl w:val="0"/>
        <w:rPr>
          <w:rFonts w:ascii="宋体" w:hAnsi="宋体" w:eastAsia="宋体" w:cs="宋体"/>
          <w:b/>
          <w:bCs/>
          <w:sz w:val="32"/>
          <w:szCs w:val="32"/>
          <w:highlight w:val="none"/>
        </w:rPr>
      </w:pPr>
    </w:p>
    <w:p>
      <w:pPr>
        <w:tabs>
          <w:tab w:val="left" w:pos="360"/>
        </w:tabs>
        <w:outlineLvl w:val="0"/>
        <w:rPr>
          <w:rFonts w:hint="eastAsia" w:ascii="宋体" w:hAnsi="宋体" w:eastAsia="宋体" w:cs="宋体"/>
          <w:b/>
          <w:bCs/>
          <w:sz w:val="32"/>
          <w:szCs w:val="32"/>
          <w:highlight w:val="none"/>
        </w:rPr>
      </w:pPr>
      <w:bookmarkStart w:id="390" w:name="_Toc19561"/>
    </w:p>
    <w:p>
      <w:pPr>
        <w:tabs>
          <w:tab w:val="left" w:pos="360"/>
        </w:tabs>
        <w:outlineLvl w:val="0"/>
        <w:rPr>
          <w:rFonts w:ascii="宋体" w:hAnsi="宋体" w:eastAsia="宋体" w:cs="宋体"/>
          <w:b/>
          <w:bCs/>
          <w:sz w:val="32"/>
          <w:szCs w:val="32"/>
          <w:highlight w:val="none"/>
        </w:rPr>
      </w:pPr>
      <w:r>
        <w:rPr>
          <w:rFonts w:hint="eastAsia" w:ascii="宋体" w:hAnsi="宋体" w:eastAsia="宋体" w:cs="宋体"/>
          <w:b/>
          <w:bCs/>
          <w:sz w:val="32"/>
          <w:szCs w:val="32"/>
          <w:highlight w:val="none"/>
        </w:rPr>
        <w:t>附表二、采购履约保证金退付申请单</w:t>
      </w:r>
      <w:bookmarkEnd w:id="390"/>
    </w:p>
    <w:p>
      <w:pPr>
        <w:widowControl/>
        <w:spacing w:line="440" w:lineRule="exact"/>
        <w:rPr>
          <w:rFonts w:ascii="宋体" w:hAnsi="宋体" w:eastAsia="宋体" w:cs="宋体"/>
          <w:b/>
          <w:bCs/>
          <w:color w:val="000000"/>
          <w:kern w:val="0"/>
          <w:sz w:val="24"/>
          <w:szCs w:val="24"/>
          <w:highlight w:val="none"/>
        </w:rPr>
      </w:pPr>
      <w:bookmarkStart w:id="391" w:name="_Toc11364"/>
      <w:bookmarkStart w:id="392" w:name="_Toc12352"/>
      <w:bookmarkStart w:id="393" w:name="_Toc20004"/>
      <w:r>
        <w:rPr>
          <w:rFonts w:hint="eastAsia" w:ascii="仿宋" w:hAnsi="仿宋" w:eastAsia="仿宋" w:cs="Times New Roman"/>
          <w:sz w:val="24"/>
          <w:szCs w:val="20"/>
          <w:highlight w:val="none"/>
          <w:lang w:val="en-US" w:eastAsia="zh-CN"/>
        </w:rPr>
        <w:t>伊犁哈萨克自治州友谊医院</w:t>
      </w:r>
      <w:r>
        <w:rPr>
          <w:rFonts w:hint="eastAsia" w:ascii="宋体" w:hAnsi="宋体" w:eastAsia="宋体" w:cs="宋体"/>
          <w:b/>
          <w:bCs/>
          <w:color w:val="000000"/>
          <w:kern w:val="0"/>
          <w:sz w:val="24"/>
          <w:szCs w:val="24"/>
          <w:highlight w:val="none"/>
        </w:rPr>
        <w:t>：</w:t>
      </w:r>
      <w:bookmarkEnd w:id="391"/>
    </w:p>
    <w:p>
      <w:pPr>
        <w:widowControl/>
        <w:autoSpaceDN w:val="0"/>
        <w:spacing w:line="440" w:lineRule="exact"/>
        <w:ind w:firstLine="470" w:firstLineChars="196"/>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我公司已按合同规定对</w:t>
      </w:r>
      <w:r>
        <w:rPr>
          <w:rFonts w:hint="eastAsia" w:ascii="仿宋" w:hAnsi="仿宋" w:eastAsia="仿宋" w:cs="宋体"/>
          <w:color w:val="000000"/>
          <w:kern w:val="0"/>
          <w:sz w:val="24"/>
          <w:szCs w:val="24"/>
          <w:highlight w:val="none"/>
          <w:u w:val="single"/>
        </w:rPr>
        <w:t>（单位）               （项目名称、标段号 ）XJDB-20</w:t>
      </w:r>
      <w:r>
        <w:rPr>
          <w:rFonts w:hint="eastAsia" w:ascii="仿宋" w:hAnsi="仿宋" w:eastAsia="仿宋" w:cs="宋体"/>
          <w:color w:val="000000"/>
          <w:kern w:val="0"/>
          <w:sz w:val="24"/>
          <w:szCs w:val="24"/>
          <w:highlight w:val="none"/>
          <w:u w:val="single"/>
          <w:lang w:val="en-US" w:eastAsia="zh-CN"/>
        </w:rPr>
        <w:t>20</w:t>
      </w:r>
      <w:r>
        <w:rPr>
          <w:rFonts w:hint="eastAsia" w:ascii="仿宋" w:hAnsi="仿宋" w:eastAsia="仿宋" w:cs="宋体"/>
          <w:color w:val="000000"/>
          <w:kern w:val="0"/>
          <w:sz w:val="24"/>
          <w:szCs w:val="24"/>
          <w:highlight w:val="none"/>
          <w:u w:val="single"/>
        </w:rPr>
        <w:t xml:space="preserve"> GK -  )</w:t>
      </w:r>
      <w:r>
        <w:rPr>
          <w:rFonts w:hint="eastAsia" w:ascii="仿宋" w:hAnsi="仿宋" w:eastAsia="仿宋" w:cs="宋体"/>
          <w:color w:val="000000"/>
          <w:kern w:val="0"/>
          <w:sz w:val="24"/>
          <w:szCs w:val="24"/>
          <w:highlight w:val="none"/>
        </w:rPr>
        <w:t>履约完毕（采购验收单附后），本项目中标（成交）金额</w:t>
      </w:r>
      <w:r>
        <w:rPr>
          <w:rFonts w:hint="eastAsia" w:ascii="仿宋" w:hAnsi="仿宋" w:eastAsia="仿宋" w:cs="宋体"/>
          <w:color w:val="000000"/>
          <w:kern w:val="0"/>
          <w:sz w:val="24"/>
          <w:szCs w:val="24"/>
          <w:highlight w:val="none"/>
          <w:u w:val="single"/>
        </w:rPr>
        <w:t xml:space="preserve">                元</w:t>
      </w:r>
      <w:r>
        <w:rPr>
          <w:rFonts w:hint="eastAsia" w:ascii="仿宋" w:hAnsi="仿宋" w:eastAsia="仿宋" w:cs="宋体"/>
          <w:color w:val="000000"/>
          <w:kern w:val="0"/>
          <w:sz w:val="24"/>
          <w:szCs w:val="24"/>
          <w:highlight w:val="none"/>
        </w:rPr>
        <w:t>,已交纳履约保证金</w:t>
      </w:r>
      <w:r>
        <w:rPr>
          <w:rFonts w:hint="eastAsia" w:ascii="仿宋" w:hAnsi="仿宋" w:eastAsia="仿宋" w:cs="宋体"/>
          <w:color w:val="000000"/>
          <w:kern w:val="0"/>
          <w:sz w:val="24"/>
          <w:szCs w:val="24"/>
          <w:highlight w:val="none"/>
          <w:u w:val="single"/>
        </w:rPr>
        <w:t xml:space="preserve">                元</w:t>
      </w:r>
      <w:r>
        <w:rPr>
          <w:rFonts w:hint="eastAsia" w:ascii="仿宋" w:hAnsi="仿宋" w:eastAsia="仿宋" w:cs="宋体"/>
          <w:color w:val="000000"/>
          <w:kern w:val="0"/>
          <w:sz w:val="24"/>
          <w:szCs w:val="24"/>
          <w:highlight w:val="none"/>
        </w:rPr>
        <w:t>，现申请退付履约保证金,请按有关规定给予办理。</w:t>
      </w:r>
    </w:p>
    <w:p>
      <w:pPr>
        <w:widowControl/>
        <w:autoSpaceDN w:val="0"/>
        <w:spacing w:line="440" w:lineRule="exact"/>
        <w:ind w:firstLine="472" w:firstLineChars="196"/>
        <w:jc w:val="left"/>
        <w:rPr>
          <w:rFonts w:ascii="仿宋" w:hAnsi="仿宋" w:eastAsia="仿宋" w:cs="Times New Roman"/>
          <w:color w:val="333333"/>
          <w:kern w:val="0"/>
          <w:sz w:val="24"/>
          <w:szCs w:val="24"/>
          <w:highlight w:val="none"/>
        </w:rPr>
      </w:pPr>
      <w:bookmarkStart w:id="394" w:name="_Toc2304"/>
      <w:r>
        <w:rPr>
          <w:rFonts w:hint="eastAsia" w:ascii="仿宋" w:hAnsi="仿宋" w:eastAsia="仿宋" w:cs="Times New Roman"/>
          <w:b/>
          <w:bCs/>
          <w:color w:val="333333"/>
          <w:kern w:val="0"/>
          <w:sz w:val="24"/>
          <w:szCs w:val="24"/>
          <w:highlight w:val="none"/>
        </w:rPr>
        <w:t>收 款  单 位：</w:t>
      </w:r>
      <w:bookmarkEnd w:id="394"/>
    </w:p>
    <w:p>
      <w:pPr>
        <w:widowControl/>
        <w:autoSpaceDN w:val="0"/>
        <w:spacing w:line="440" w:lineRule="exact"/>
        <w:ind w:firstLine="472" w:firstLineChars="196"/>
        <w:jc w:val="left"/>
        <w:rPr>
          <w:rFonts w:ascii="仿宋" w:hAnsi="仿宋" w:eastAsia="仿宋" w:cs="Times New Roman"/>
          <w:color w:val="333333"/>
          <w:kern w:val="0"/>
          <w:sz w:val="24"/>
          <w:szCs w:val="24"/>
          <w:highlight w:val="none"/>
        </w:rPr>
      </w:pPr>
      <w:bookmarkStart w:id="395" w:name="_Toc326"/>
      <w:r>
        <w:rPr>
          <w:rFonts w:hint="eastAsia" w:ascii="仿宋" w:hAnsi="仿宋" w:eastAsia="仿宋" w:cs="Times New Roman"/>
          <w:b/>
          <w:bCs/>
          <w:color w:val="333333"/>
          <w:kern w:val="0"/>
          <w:sz w:val="24"/>
          <w:szCs w:val="24"/>
          <w:highlight w:val="none"/>
        </w:rPr>
        <w:t>银 行  账 号</w:t>
      </w:r>
      <w:r>
        <w:rPr>
          <w:rFonts w:hint="eastAsia" w:ascii="仿宋" w:hAnsi="仿宋" w:eastAsia="仿宋" w:cs="Times New Roman"/>
          <w:color w:val="333333"/>
          <w:kern w:val="0"/>
          <w:sz w:val="24"/>
          <w:szCs w:val="24"/>
          <w:highlight w:val="none"/>
        </w:rPr>
        <w:t>：</w:t>
      </w:r>
      <w:bookmarkEnd w:id="395"/>
    </w:p>
    <w:p>
      <w:pPr>
        <w:widowControl/>
        <w:autoSpaceDN w:val="0"/>
        <w:spacing w:line="440" w:lineRule="exact"/>
        <w:ind w:firstLine="472" w:firstLineChars="196"/>
        <w:jc w:val="left"/>
        <w:rPr>
          <w:rFonts w:ascii="仿宋" w:hAnsi="仿宋" w:eastAsia="仿宋" w:cs="Times New Roman"/>
          <w:color w:val="333333"/>
          <w:kern w:val="0"/>
          <w:sz w:val="24"/>
          <w:szCs w:val="24"/>
          <w:highlight w:val="none"/>
        </w:rPr>
      </w:pPr>
      <w:bookmarkStart w:id="396" w:name="_Toc14681"/>
      <w:r>
        <w:rPr>
          <w:rFonts w:hint="eastAsia" w:ascii="仿宋" w:hAnsi="仿宋" w:eastAsia="仿宋" w:cs="Times New Roman"/>
          <w:b/>
          <w:bCs/>
          <w:color w:val="333333"/>
          <w:kern w:val="0"/>
          <w:sz w:val="24"/>
          <w:szCs w:val="24"/>
          <w:highlight w:val="none"/>
        </w:rPr>
        <w:t>开户银行全称:</w:t>
      </w:r>
      <w:bookmarkEnd w:id="396"/>
    </w:p>
    <w:p>
      <w:pPr>
        <w:widowControl/>
        <w:autoSpaceDN w:val="0"/>
        <w:spacing w:line="440" w:lineRule="exact"/>
        <w:ind w:firstLine="472" w:firstLineChars="196"/>
        <w:jc w:val="left"/>
        <w:rPr>
          <w:rFonts w:ascii="仿宋" w:hAnsi="仿宋" w:eastAsia="仿宋" w:cs="Times New Roman"/>
          <w:color w:val="333333"/>
          <w:kern w:val="0"/>
          <w:sz w:val="24"/>
          <w:szCs w:val="24"/>
          <w:highlight w:val="none"/>
        </w:rPr>
      </w:pPr>
      <w:bookmarkStart w:id="397" w:name="_Toc3296"/>
      <w:r>
        <w:rPr>
          <w:rFonts w:hint="eastAsia" w:ascii="仿宋" w:hAnsi="仿宋" w:eastAsia="仿宋" w:cs="Times New Roman"/>
          <w:b/>
          <w:bCs/>
          <w:color w:val="333333"/>
          <w:kern w:val="0"/>
          <w:sz w:val="24"/>
          <w:szCs w:val="24"/>
          <w:highlight w:val="none"/>
        </w:rPr>
        <w:t>退付金额(大写)</w:t>
      </w:r>
      <w:r>
        <w:rPr>
          <w:rFonts w:hint="eastAsia" w:ascii="仿宋" w:hAnsi="仿宋" w:eastAsia="仿宋" w:cs="Times New Roman"/>
          <w:color w:val="333333"/>
          <w:kern w:val="0"/>
          <w:sz w:val="24"/>
          <w:szCs w:val="24"/>
          <w:highlight w:val="none"/>
        </w:rPr>
        <w:t>：</w:t>
      </w:r>
      <w:bookmarkEnd w:id="397"/>
    </w:p>
    <w:p>
      <w:pPr>
        <w:widowControl/>
        <w:autoSpaceDN w:val="0"/>
        <w:spacing w:line="440" w:lineRule="exact"/>
        <w:ind w:firstLine="482" w:firstLineChars="200"/>
        <w:jc w:val="left"/>
        <w:rPr>
          <w:rFonts w:ascii="仿宋" w:hAnsi="仿宋" w:eastAsia="仿宋" w:cs="Times New Roman"/>
          <w:b/>
          <w:color w:val="333333"/>
          <w:kern w:val="0"/>
          <w:sz w:val="24"/>
          <w:szCs w:val="24"/>
          <w:highlight w:val="none"/>
        </w:rPr>
      </w:pPr>
      <w:bookmarkStart w:id="398" w:name="_Toc17333"/>
      <w:r>
        <w:rPr>
          <w:rFonts w:hint="eastAsia" w:ascii="仿宋" w:hAnsi="仿宋" w:eastAsia="仿宋" w:cs="Times New Roman"/>
          <w:b/>
          <w:bCs/>
          <w:color w:val="333333"/>
          <w:kern w:val="0"/>
          <w:sz w:val="24"/>
          <w:szCs w:val="24"/>
          <w:highlight w:val="none"/>
        </w:rPr>
        <w:t>法定代表授权人：联系电话</w:t>
      </w:r>
      <w:r>
        <w:rPr>
          <w:rFonts w:hint="eastAsia" w:ascii="仿宋" w:hAnsi="仿宋" w:eastAsia="仿宋" w:cs="Times New Roman"/>
          <w:color w:val="333333"/>
          <w:kern w:val="0"/>
          <w:sz w:val="24"/>
          <w:szCs w:val="24"/>
          <w:highlight w:val="none"/>
        </w:rPr>
        <w:t>：</w:t>
      </w:r>
      <w:bookmarkEnd w:id="398"/>
    </w:p>
    <w:p>
      <w:pPr>
        <w:widowControl/>
        <w:autoSpaceDN w:val="0"/>
        <w:spacing w:line="440" w:lineRule="exact"/>
        <w:ind w:firstLine="4337" w:firstLineChars="1800"/>
        <w:jc w:val="left"/>
        <w:rPr>
          <w:rFonts w:ascii="仿宋" w:hAnsi="仿宋" w:eastAsia="仿宋" w:cs="Times New Roman"/>
          <w:b/>
          <w:color w:val="333333"/>
          <w:kern w:val="0"/>
          <w:sz w:val="24"/>
          <w:szCs w:val="24"/>
          <w:highlight w:val="none"/>
        </w:rPr>
      </w:pPr>
      <w:bookmarkStart w:id="399" w:name="_Toc13314"/>
      <w:bookmarkStart w:id="400" w:name="_Toc22502"/>
      <w:bookmarkStart w:id="401" w:name="_Toc14906"/>
      <w:bookmarkStart w:id="402" w:name="_Toc23779"/>
      <w:bookmarkStart w:id="403" w:name="_Toc30653"/>
      <w:bookmarkStart w:id="404" w:name="_Toc10912"/>
    </w:p>
    <w:p>
      <w:pPr>
        <w:widowControl/>
        <w:autoSpaceDN w:val="0"/>
        <w:spacing w:line="440" w:lineRule="exact"/>
        <w:ind w:firstLine="4337" w:firstLineChars="1800"/>
        <w:jc w:val="left"/>
        <w:rPr>
          <w:rFonts w:ascii="仿宋" w:hAnsi="仿宋" w:eastAsia="仿宋" w:cs="Times New Roman"/>
          <w:b/>
          <w:color w:val="333333"/>
          <w:kern w:val="0"/>
          <w:sz w:val="24"/>
          <w:szCs w:val="24"/>
          <w:highlight w:val="none"/>
        </w:rPr>
      </w:pPr>
      <w:r>
        <w:rPr>
          <w:rFonts w:hint="eastAsia" w:ascii="仿宋" w:hAnsi="仿宋" w:eastAsia="仿宋" w:cs="Times New Roman"/>
          <w:b/>
          <w:color w:val="333333"/>
          <w:kern w:val="0"/>
          <w:sz w:val="24"/>
          <w:szCs w:val="24"/>
          <w:highlight w:val="none"/>
        </w:rPr>
        <w:t>中标（成交）供应商公章</w:t>
      </w:r>
      <w:bookmarkEnd w:id="392"/>
      <w:bookmarkEnd w:id="393"/>
      <w:bookmarkEnd w:id="399"/>
      <w:bookmarkEnd w:id="400"/>
      <w:bookmarkEnd w:id="401"/>
      <w:bookmarkEnd w:id="402"/>
      <w:bookmarkEnd w:id="403"/>
      <w:bookmarkEnd w:id="404"/>
    </w:p>
    <w:p>
      <w:pPr>
        <w:widowControl/>
        <w:autoSpaceDN w:val="0"/>
        <w:spacing w:line="440" w:lineRule="exact"/>
        <w:ind w:left="1636" w:leftChars="779" w:firstLine="3836" w:firstLineChars="1592"/>
        <w:jc w:val="left"/>
        <w:rPr>
          <w:rFonts w:ascii="仿宋" w:hAnsi="仿宋" w:eastAsia="仿宋" w:cs="Times New Roman"/>
          <w:b/>
          <w:bCs/>
          <w:color w:val="333333"/>
          <w:kern w:val="0"/>
          <w:sz w:val="24"/>
          <w:szCs w:val="24"/>
          <w:highlight w:val="none"/>
        </w:rPr>
      </w:pPr>
      <w:bookmarkStart w:id="405" w:name="_Toc2596"/>
      <w:bookmarkStart w:id="406" w:name="_Toc8115"/>
      <w:bookmarkStart w:id="407" w:name="_Toc7297"/>
      <w:bookmarkStart w:id="408" w:name="_Toc8836"/>
      <w:bookmarkStart w:id="409" w:name="_Toc16925"/>
      <w:bookmarkStart w:id="410" w:name="_Toc11054"/>
      <w:bookmarkStart w:id="411" w:name="_Toc20490"/>
      <w:bookmarkStart w:id="412" w:name="_Toc25653"/>
      <w:r>
        <w:rPr>
          <w:rFonts w:hint="eastAsia" w:ascii="仿宋" w:hAnsi="仿宋" w:eastAsia="仿宋" w:cs="Times New Roman"/>
          <w:b/>
          <w:color w:val="333333"/>
          <w:kern w:val="0"/>
          <w:sz w:val="24"/>
          <w:szCs w:val="24"/>
          <w:highlight w:val="none"/>
        </w:rPr>
        <w:t>年  月  日</w:t>
      </w:r>
      <w:bookmarkEnd w:id="405"/>
      <w:bookmarkEnd w:id="406"/>
      <w:bookmarkEnd w:id="407"/>
      <w:bookmarkEnd w:id="408"/>
      <w:bookmarkEnd w:id="409"/>
      <w:bookmarkEnd w:id="410"/>
      <w:bookmarkEnd w:id="411"/>
      <w:bookmarkEnd w:id="412"/>
    </w:p>
    <w:tbl>
      <w:tblPr>
        <w:tblStyle w:val="20"/>
        <w:tblpPr w:leftFromText="180" w:rightFromText="180" w:vertAnchor="text" w:horzAnchor="page" w:tblpX="1336" w:tblpY="245"/>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rPr>
        <w:tc>
          <w:tcPr>
            <w:tcW w:w="9343" w:type="dxa"/>
            <w:vAlign w:val="top"/>
          </w:tcPr>
          <w:p>
            <w:pPr>
              <w:rPr>
                <w:rFonts w:ascii="Calibri" w:hAnsi="Calibri" w:eastAsia="宋体" w:cs="Times New Roman"/>
                <w:b/>
                <w:sz w:val="24"/>
                <w:szCs w:val="20"/>
                <w:highlight w:val="none"/>
              </w:rPr>
            </w:pPr>
            <w:r>
              <w:rPr>
                <w:rFonts w:hint="eastAsia" w:ascii="Calibri" w:hAnsi="Calibri" w:eastAsia="宋体" w:cs="Times New Roman"/>
                <w:b/>
                <w:sz w:val="24"/>
                <w:szCs w:val="20"/>
                <w:highlight w:val="none"/>
              </w:rPr>
              <w:t>项目负责人签字：</w:t>
            </w:r>
          </w:p>
          <w:p>
            <w:pPr>
              <w:rPr>
                <w:rFonts w:ascii="Calibri" w:hAnsi="Calibri" w:eastAsia="宋体" w:cs="Times New Roman"/>
                <w:b/>
                <w:sz w:val="24"/>
                <w:szCs w:val="20"/>
                <w:highlight w:val="none"/>
              </w:rPr>
            </w:pPr>
          </w:p>
          <w:p>
            <w:pPr>
              <w:rPr>
                <w:rFonts w:ascii="Calibri" w:hAnsi="Calibri" w:eastAsia="宋体" w:cs="Times New Roman"/>
                <w:b/>
                <w:sz w:val="24"/>
                <w:szCs w:val="20"/>
                <w:highlight w:val="none"/>
              </w:rPr>
            </w:pPr>
            <w:r>
              <w:rPr>
                <w:rFonts w:hint="eastAsia" w:ascii="Calibri" w:hAnsi="Calibri" w:eastAsia="宋体" w:cs="Times New Roman"/>
                <w:b/>
                <w:sz w:val="24"/>
                <w:szCs w:val="20"/>
                <w:highlight w:val="none"/>
              </w:rPr>
              <w:t xml:space="preserve">                         年   月   日</w:t>
            </w:r>
          </w:p>
          <w:p>
            <w:pPr>
              <w:rPr>
                <w:rFonts w:ascii="Calibri" w:hAnsi="Calibri" w:eastAsia="宋体" w:cs="Times New Roman"/>
                <w:b/>
                <w:sz w:val="24"/>
                <w:szCs w:val="20"/>
                <w:highlight w:val="none"/>
              </w:rPr>
            </w:pPr>
          </w:p>
          <w:p>
            <w:pPr>
              <w:rPr>
                <w:rFonts w:ascii="Calibri" w:hAnsi="Calibri" w:eastAsia="宋体" w:cs="Times New Roman"/>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9" w:hRule="atLeast"/>
        </w:trPr>
        <w:tc>
          <w:tcPr>
            <w:tcW w:w="9343" w:type="dxa"/>
            <w:vAlign w:val="top"/>
          </w:tcPr>
          <w:p>
            <w:pPr>
              <w:ind w:firstLine="944" w:firstLineChars="392"/>
              <w:rPr>
                <w:rFonts w:ascii="Calibri" w:hAnsi="Calibri" w:eastAsia="宋体" w:cs="Times New Roman"/>
                <w:b/>
                <w:sz w:val="24"/>
                <w:szCs w:val="20"/>
                <w:highlight w:val="none"/>
              </w:rPr>
            </w:pPr>
            <w:r>
              <w:rPr>
                <w:rFonts w:hint="eastAsia" w:ascii="Calibri" w:hAnsi="Calibri" w:eastAsia="宋体" w:cs="Times New Roman"/>
                <w:b/>
                <w:sz w:val="24"/>
                <w:szCs w:val="20"/>
                <w:highlight w:val="none"/>
              </w:rPr>
              <w:t>履约保证金收款收据原件的粘贴处</w:t>
            </w:r>
          </w:p>
        </w:tc>
      </w:tr>
    </w:tbl>
    <w:p>
      <w:pPr>
        <w:rPr>
          <w:rFonts w:ascii="仿宋_GB2312" w:hAnsi="宋体" w:eastAsia="仿宋_GB2312" w:cs="Times New Roman"/>
          <w:b/>
          <w:szCs w:val="21"/>
          <w:highlight w:val="none"/>
        </w:rPr>
      </w:pPr>
    </w:p>
    <w:p>
      <w:pPr>
        <w:rPr>
          <w:rFonts w:ascii="仿宋_GB2312" w:hAnsi="宋体" w:eastAsia="仿宋_GB2312" w:cs="Times New Roman"/>
          <w:b/>
          <w:szCs w:val="21"/>
          <w:highlight w:val="none"/>
        </w:rPr>
      </w:pPr>
    </w:p>
    <w:p>
      <w:pPr>
        <w:jc w:val="left"/>
        <w:rPr>
          <w:rFonts w:hint="eastAsia" w:ascii="宋体" w:hAnsi="宋体" w:eastAsia="宋体" w:cs="宋体"/>
          <w:b/>
          <w:bCs/>
          <w:sz w:val="32"/>
          <w:szCs w:val="32"/>
          <w:highlight w:val="none"/>
        </w:rPr>
      </w:pPr>
    </w:p>
    <w:p>
      <w:pPr>
        <w:jc w:val="left"/>
        <w:rPr>
          <w:rFonts w:hint="eastAsia" w:ascii="宋体" w:hAnsi="宋体" w:eastAsia="宋体" w:cs="宋体"/>
          <w:b/>
          <w:bCs/>
          <w:sz w:val="32"/>
          <w:szCs w:val="32"/>
          <w:highlight w:val="none"/>
        </w:rPr>
      </w:pPr>
    </w:p>
    <w:p>
      <w:pPr>
        <w:jc w:val="left"/>
        <w:rPr>
          <w:rFonts w:ascii="宋体" w:hAnsi="宋体" w:eastAsia="宋体" w:cs="宋体"/>
          <w:b/>
          <w:bCs/>
          <w:sz w:val="32"/>
          <w:szCs w:val="32"/>
          <w:highlight w:val="none"/>
        </w:rPr>
      </w:pPr>
      <w:r>
        <w:rPr>
          <w:rFonts w:hint="eastAsia" w:ascii="宋体" w:hAnsi="宋体" w:eastAsia="宋体" w:cs="宋体"/>
          <w:b/>
          <w:bCs/>
          <w:sz w:val="32"/>
          <w:szCs w:val="32"/>
          <w:highlight w:val="none"/>
        </w:rPr>
        <w:t>附表三、质疑函范本</w:t>
      </w:r>
    </w:p>
    <w:p>
      <w:pPr>
        <w:adjustRightInd w:val="0"/>
        <w:snapToGrid w:val="0"/>
        <w:spacing w:beforeLines="100"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质疑供应商：</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地址：邮编：</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联系人：联系电话：</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联系电话：</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地址： 邮编：</w:t>
      </w:r>
    </w:p>
    <w:p>
      <w:pPr>
        <w:adjustRightInd w:val="0"/>
        <w:snapToGrid w:val="0"/>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质疑项目的名称：</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质疑项目的编号：包号：</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采购人名称：</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采购文件获取日期：</w:t>
      </w:r>
    </w:p>
    <w:p>
      <w:pPr>
        <w:adjustRightInd w:val="0"/>
        <w:snapToGrid w:val="0"/>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质疑事项1：</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事实依据：</w:t>
      </w:r>
    </w:p>
    <w:p>
      <w:pPr>
        <w:adjustRightInd w:val="0"/>
        <w:snapToGrid w:val="0"/>
        <w:spacing w:line="360" w:lineRule="auto"/>
        <w:rPr>
          <w:rFonts w:ascii="仿宋" w:hAnsi="仿宋" w:eastAsia="仿宋" w:cs="仿宋"/>
          <w:sz w:val="24"/>
          <w:szCs w:val="24"/>
          <w:highlight w:val="none"/>
        </w:rPr>
      </w:pP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法律依据：</w:t>
      </w:r>
    </w:p>
    <w:p>
      <w:pPr>
        <w:adjustRightInd w:val="0"/>
        <w:snapToGrid w:val="0"/>
        <w:spacing w:line="360" w:lineRule="auto"/>
        <w:rPr>
          <w:rFonts w:ascii="仿宋" w:hAnsi="仿宋" w:eastAsia="仿宋" w:cs="仿宋"/>
          <w:sz w:val="24"/>
          <w:szCs w:val="24"/>
          <w:highlight w:val="none"/>
          <w:u w:val="dotted"/>
        </w:rPr>
      </w:pP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w:t>
      </w:r>
    </w:p>
    <w:p>
      <w:pPr>
        <w:adjustRightInd w:val="0"/>
        <w:snapToGrid w:val="0"/>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四、与质疑事项相关的质疑请求</w:t>
      </w:r>
    </w:p>
    <w:p>
      <w:pPr>
        <w:adjustRightInd w:val="0"/>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请求：</w:t>
      </w:r>
    </w:p>
    <w:p>
      <w:pPr>
        <w:rPr>
          <w:rFonts w:ascii="仿宋" w:hAnsi="仿宋" w:eastAsia="仿宋" w:cs="仿宋"/>
          <w:sz w:val="24"/>
          <w:szCs w:val="24"/>
          <w:highlight w:val="none"/>
        </w:rPr>
      </w:pPr>
      <w:r>
        <w:rPr>
          <w:rFonts w:hint="eastAsia" w:ascii="仿宋" w:hAnsi="仿宋" w:eastAsia="仿宋" w:cs="仿宋"/>
          <w:sz w:val="24"/>
          <w:szCs w:val="24"/>
          <w:highlight w:val="none"/>
        </w:rPr>
        <w:t xml:space="preserve">签字(签章)：                   公章：                      </w:t>
      </w:r>
    </w:p>
    <w:p>
      <w:pPr>
        <w:rPr>
          <w:rFonts w:ascii="仿宋" w:hAnsi="仿宋" w:eastAsia="仿宋" w:cs="仿宋"/>
          <w:sz w:val="24"/>
          <w:szCs w:val="24"/>
          <w:highlight w:val="none"/>
        </w:rPr>
      </w:pPr>
      <w:r>
        <w:rPr>
          <w:rFonts w:hint="eastAsia" w:ascii="仿宋" w:hAnsi="仿宋" w:eastAsia="仿宋" w:cs="仿宋"/>
          <w:sz w:val="24"/>
          <w:szCs w:val="24"/>
          <w:highlight w:val="none"/>
        </w:rPr>
        <w:t xml:space="preserve">日期：    </w:t>
      </w:r>
    </w:p>
    <w:p>
      <w:pPr>
        <w:adjustRightInd w:val="0"/>
        <w:snapToGrid w:val="0"/>
        <w:spacing w:line="360" w:lineRule="auto"/>
        <w:rPr>
          <w:rFonts w:ascii="仿宋" w:hAnsi="仿宋" w:eastAsia="仿宋" w:cs="仿宋"/>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质疑函制作说明：</w:t>
      </w:r>
    </w:p>
    <w:p>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1.供应商提出质疑时，应提交质疑函和必要的证明材料。</w:t>
      </w:r>
    </w:p>
    <w:p>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szCs w:val="24"/>
          <w:highlight w:val="none"/>
        </w:rPr>
        <w:t>供应商签署的授权委托书。授权委托书应载明代理人的姓名或者名称、代理事项、具体权限、期限和相关事项。</w:t>
      </w:r>
    </w:p>
    <w:p>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3.质疑供应商若对项目的某一分包进行质疑，质疑函中应列明具体分包号。</w:t>
      </w:r>
    </w:p>
    <w:p>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4.质疑函的质疑事项应具体、明确，并有必要的事实依据和法律依据。</w:t>
      </w:r>
    </w:p>
    <w:p>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5.质疑函的质疑请求应与质疑事项相关。</w:t>
      </w:r>
    </w:p>
    <w:p>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6.质疑供应商为自然人的，质疑函应由本人签字；质疑供应商为法人或者其他组织的，质疑函应由法定代表人、主要负责人，或者其授权代表签字或者盖章，并加盖公章。</w:t>
      </w:r>
    </w:p>
    <w:p>
      <w:pPr>
        <w:rPr>
          <w:rFonts w:ascii="仿宋" w:hAnsi="仿宋" w:eastAsia="仿宋" w:cs="Times New Roman"/>
          <w:sz w:val="24"/>
          <w:szCs w:val="24"/>
        </w:rPr>
      </w:pPr>
    </w:p>
    <w:sectPr>
      <w:footerReference r:id="rId9" w:type="first"/>
      <w:footerReference r:id="rId8" w:type="default"/>
      <w:pgSz w:w="11906" w:h="16838"/>
      <w:pgMar w:top="851" w:right="851" w:bottom="851" w:left="85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ascii="Calibri" w:hAnsi="Calibri" w:eastAsia="宋体" w:cs="黑体"/>
        <w:kern w:val="2"/>
        <w:sz w:val="18"/>
        <w:szCs w:val="18"/>
        <w:lang w:val="en-US" w:eastAsia="zh-CN" w:bidi="ar-SA"/>
      </w:rPr>
      <w:pict>
        <v:shape id="_x0000_s4098" o:spid="_x0000_s4098"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5102"/>
        <w:tab w:val="clear" w:pos="4153"/>
      </w:tabs>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ascii="Calibri" w:hAnsi="Calibri" w:eastAsia="宋体" w:cs="黑体"/>
        <w:kern w:val="2"/>
        <w:sz w:val="18"/>
        <w:szCs w:val="18"/>
        <w:lang w:val="en-US" w:eastAsia="zh-CN" w:bidi="ar-SA"/>
      </w:rPr>
      <w:pict>
        <v:shape id="_x0000_s4100" o:spid="_x0000_s4100" o:spt="202" type="#_x0000_t202" style="position:absolute;left:0pt;margin-left:247pt;margin-top:0pt;height:144pt;width:144p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w:r>
    <w:r>
      <w:rPr>
        <w:rFonts w:hint="eastAsia"/>
      </w:rPr>
      <w:t>1</w: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Calibri" w:hAnsi="Calibri" w:eastAsia="宋体" w:cs="黑体"/>
        <w:kern w:val="2"/>
        <w:sz w:val="18"/>
        <w:szCs w:val="18"/>
        <w:lang w:val="en-US" w:eastAsia="zh-CN" w:bidi="ar-SA"/>
      </w:rPr>
      <w:pict>
        <v:shape id="_x0000_s4099" o:spid="_x0000_s409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pPr>
                <w:r>
                  <w:fldChar w:fldCharType="begin"/>
                </w:r>
                <w:r>
                  <w:instrText xml:space="preserve"> PAGE  \* MERGEFORMAT </w:instrText>
                </w:r>
                <w:r>
                  <w:fldChar w:fldCharType="separate"/>
                </w:r>
                <w:r>
                  <w:rPr>
                    <w:rFonts w:hint="eastAsia"/>
                  </w:rPr>
                  <w:t>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5BAFA"/>
    <w:multiLevelType w:val="singleLevel"/>
    <w:tmpl w:val="A1F5BAFA"/>
    <w:lvl w:ilvl="0" w:tentative="0">
      <w:start w:val="20"/>
      <w:numFmt w:val="decimal"/>
      <w:suff w:val="nothing"/>
      <w:lvlText w:val="%1　"/>
      <w:lvlJc w:val="left"/>
      <w:pPr>
        <w:ind w:left="7108" w:leftChars="0" w:firstLine="0" w:firstLineChars="0"/>
      </w:pPr>
    </w:lvl>
  </w:abstractNum>
  <w:abstractNum w:abstractNumId="1">
    <w:nsid w:val="EB891D12"/>
    <w:multiLevelType w:val="singleLevel"/>
    <w:tmpl w:val="EB891D12"/>
    <w:lvl w:ilvl="0" w:tentative="0">
      <w:start w:val="7"/>
      <w:numFmt w:val="chineseCounting"/>
      <w:suff w:val="nothing"/>
      <w:lvlText w:val="（%1）"/>
      <w:lvlJc w:val="left"/>
      <w:rPr>
        <w:rFonts w:hint="eastAsia"/>
      </w:rPr>
    </w:lvl>
  </w:abstractNum>
  <w:abstractNum w:abstractNumId="2">
    <w:nsid w:val="0000000D"/>
    <w:multiLevelType w:val="multilevel"/>
    <w:tmpl w:val="0000000D"/>
    <w:lvl w:ilvl="0" w:tentative="0">
      <w:start w:val="1"/>
      <w:numFmt w:val="decimal"/>
      <w:lvlText w:val="（%1）"/>
      <w:lvlJc w:val="left"/>
      <w:pPr>
        <w:tabs>
          <w:tab w:val="left" w:pos="1245"/>
        </w:tabs>
        <w:ind w:left="1245" w:hanging="69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581229A"/>
    <w:multiLevelType w:val="singleLevel"/>
    <w:tmpl w:val="1581229A"/>
    <w:lvl w:ilvl="0" w:tentative="0">
      <w:start w:val="2"/>
      <w:numFmt w:val="decimal"/>
      <w:suff w:val="nothing"/>
      <w:lvlText w:val="%1、"/>
      <w:lvlJc w:val="left"/>
    </w:lvl>
  </w:abstractNum>
  <w:abstractNum w:abstractNumId="4">
    <w:nsid w:val="1DE21FCE"/>
    <w:multiLevelType w:val="multilevel"/>
    <w:tmpl w:val="1DE21F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4714C35E"/>
    <w:multiLevelType w:val="singleLevel"/>
    <w:tmpl w:val="4714C35E"/>
    <w:lvl w:ilvl="0" w:tentative="0">
      <w:start w:val="1"/>
      <w:numFmt w:val="decimal"/>
      <w:lvlText w:val="%1."/>
      <w:lvlJc w:val="left"/>
      <w:pPr>
        <w:tabs>
          <w:tab w:val="left" w:pos="312"/>
        </w:tabs>
      </w:pPr>
    </w:lvl>
  </w:abstractNum>
  <w:abstractNum w:abstractNumId="6">
    <w:nsid w:val="7D2798B7"/>
    <w:multiLevelType w:val="singleLevel"/>
    <w:tmpl w:val="7D2798B7"/>
    <w:lvl w:ilvl="0" w:tentative="0">
      <w:start w:val="1"/>
      <w:numFmt w:val="decimal"/>
      <w:lvlText w:val="%1."/>
      <w:lvlJc w:val="left"/>
      <w:pPr>
        <w:tabs>
          <w:tab w:val="left" w:pos="312"/>
        </w:tabs>
      </w:p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2B51AD"/>
    <w:rsid w:val="005C2098"/>
    <w:rsid w:val="008B4D94"/>
    <w:rsid w:val="0095207A"/>
    <w:rsid w:val="00A766EC"/>
    <w:rsid w:val="00B320AA"/>
    <w:rsid w:val="00BC54E8"/>
    <w:rsid w:val="00D75593"/>
    <w:rsid w:val="00F937E5"/>
    <w:rsid w:val="010A219D"/>
    <w:rsid w:val="011376A1"/>
    <w:rsid w:val="015F2416"/>
    <w:rsid w:val="01650E42"/>
    <w:rsid w:val="01656568"/>
    <w:rsid w:val="016825A8"/>
    <w:rsid w:val="01771D1C"/>
    <w:rsid w:val="017A7E8C"/>
    <w:rsid w:val="018041DE"/>
    <w:rsid w:val="01880354"/>
    <w:rsid w:val="01985AC8"/>
    <w:rsid w:val="019A7BB9"/>
    <w:rsid w:val="01C55583"/>
    <w:rsid w:val="01CD6566"/>
    <w:rsid w:val="020C1E2B"/>
    <w:rsid w:val="020F0235"/>
    <w:rsid w:val="02361D2C"/>
    <w:rsid w:val="02494171"/>
    <w:rsid w:val="02505F73"/>
    <w:rsid w:val="025B3624"/>
    <w:rsid w:val="025F043D"/>
    <w:rsid w:val="02824E21"/>
    <w:rsid w:val="028E5A8A"/>
    <w:rsid w:val="02C75596"/>
    <w:rsid w:val="03421698"/>
    <w:rsid w:val="034D385E"/>
    <w:rsid w:val="03576B1A"/>
    <w:rsid w:val="035949DD"/>
    <w:rsid w:val="0369424C"/>
    <w:rsid w:val="03F46FA0"/>
    <w:rsid w:val="040658E9"/>
    <w:rsid w:val="04196A12"/>
    <w:rsid w:val="041D750B"/>
    <w:rsid w:val="043357E2"/>
    <w:rsid w:val="043B55DD"/>
    <w:rsid w:val="0440084C"/>
    <w:rsid w:val="045F3E92"/>
    <w:rsid w:val="046B5201"/>
    <w:rsid w:val="04B23025"/>
    <w:rsid w:val="04C617E0"/>
    <w:rsid w:val="04D97C35"/>
    <w:rsid w:val="04DA00AC"/>
    <w:rsid w:val="04E2228A"/>
    <w:rsid w:val="04E7105E"/>
    <w:rsid w:val="04EF4AA3"/>
    <w:rsid w:val="04FD483B"/>
    <w:rsid w:val="05111DB0"/>
    <w:rsid w:val="052747AA"/>
    <w:rsid w:val="05306851"/>
    <w:rsid w:val="0547670E"/>
    <w:rsid w:val="05751019"/>
    <w:rsid w:val="0591747D"/>
    <w:rsid w:val="059D2187"/>
    <w:rsid w:val="05BC49AA"/>
    <w:rsid w:val="05C731D8"/>
    <w:rsid w:val="05C76D4C"/>
    <w:rsid w:val="05D52F48"/>
    <w:rsid w:val="05DD49C9"/>
    <w:rsid w:val="05E72FF2"/>
    <w:rsid w:val="05FD37DE"/>
    <w:rsid w:val="05FE6D85"/>
    <w:rsid w:val="061F1C1C"/>
    <w:rsid w:val="0627139B"/>
    <w:rsid w:val="063479DF"/>
    <w:rsid w:val="063E6B75"/>
    <w:rsid w:val="065729F3"/>
    <w:rsid w:val="066148B9"/>
    <w:rsid w:val="067B17F8"/>
    <w:rsid w:val="06822295"/>
    <w:rsid w:val="06BA709A"/>
    <w:rsid w:val="06C5136C"/>
    <w:rsid w:val="06DD7035"/>
    <w:rsid w:val="06E77E9C"/>
    <w:rsid w:val="0715233A"/>
    <w:rsid w:val="071C4968"/>
    <w:rsid w:val="07301B46"/>
    <w:rsid w:val="073074F8"/>
    <w:rsid w:val="074317FD"/>
    <w:rsid w:val="07857088"/>
    <w:rsid w:val="078A7BD3"/>
    <w:rsid w:val="078B2CCC"/>
    <w:rsid w:val="07910105"/>
    <w:rsid w:val="0798284C"/>
    <w:rsid w:val="07DF6848"/>
    <w:rsid w:val="07FC1E52"/>
    <w:rsid w:val="08602F1C"/>
    <w:rsid w:val="086D086A"/>
    <w:rsid w:val="08725C86"/>
    <w:rsid w:val="088E00AD"/>
    <w:rsid w:val="088E2FB2"/>
    <w:rsid w:val="089423BF"/>
    <w:rsid w:val="08D47483"/>
    <w:rsid w:val="08DC4CEC"/>
    <w:rsid w:val="09046405"/>
    <w:rsid w:val="09093BFC"/>
    <w:rsid w:val="091F5262"/>
    <w:rsid w:val="09536B71"/>
    <w:rsid w:val="095C37BE"/>
    <w:rsid w:val="09910B82"/>
    <w:rsid w:val="099D0A98"/>
    <w:rsid w:val="09C74452"/>
    <w:rsid w:val="09D74A0C"/>
    <w:rsid w:val="09E609B8"/>
    <w:rsid w:val="09EC7DA5"/>
    <w:rsid w:val="09FB21E2"/>
    <w:rsid w:val="0A041680"/>
    <w:rsid w:val="0A053E03"/>
    <w:rsid w:val="0A255BF4"/>
    <w:rsid w:val="0A2E479A"/>
    <w:rsid w:val="0A376A32"/>
    <w:rsid w:val="0A5E185F"/>
    <w:rsid w:val="0A8F3A0B"/>
    <w:rsid w:val="0A93637B"/>
    <w:rsid w:val="0AB4143B"/>
    <w:rsid w:val="0AC20FD0"/>
    <w:rsid w:val="0AC6098E"/>
    <w:rsid w:val="0AD23A0B"/>
    <w:rsid w:val="0ADB7BA8"/>
    <w:rsid w:val="0B426BFF"/>
    <w:rsid w:val="0B4A7F8B"/>
    <w:rsid w:val="0B7E4661"/>
    <w:rsid w:val="0B8D6DD9"/>
    <w:rsid w:val="0B9614BE"/>
    <w:rsid w:val="0BA10F01"/>
    <w:rsid w:val="0BB1173A"/>
    <w:rsid w:val="0BB51FD5"/>
    <w:rsid w:val="0BC85AD7"/>
    <w:rsid w:val="0BFB6358"/>
    <w:rsid w:val="0C064E70"/>
    <w:rsid w:val="0C2D6EA4"/>
    <w:rsid w:val="0C342F35"/>
    <w:rsid w:val="0C3E4B62"/>
    <w:rsid w:val="0C535831"/>
    <w:rsid w:val="0C6679D2"/>
    <w:rsid w:val="0C676F41"/>
    <w:rsid w:val="0C68349E"/>
    <w:rsid w:val="0C7D3F0A"/>
    <w:rsid w:val="0C7D6EB7"/>
    <w:rsid w:val="0CBA3E17"/>
    <w:rsid w:val="0CED233F"/>
    <w:rsid w:val="0D280E73"/>
    <w:rsid w:val="0D29210B"/>
    <w:rsid w:val="0D802716"/>
    <w:rsid w:val="0D88314B"/>
    <w:rsid w:val="0D8A4635"/>
    <w:rsid w:val="0D931CF8"/>
    <w:rsid w:val="0DCD0C05"/>
    <w:rsid w:val="0DEC7524"/>
    <w:rsid w:val="0E066454"/>
    <w:rsid w:val="0E170DC2"/>
    <w:rsid w:val="0E1C502F"/>
    <w:rsid w:val="0E1F3660"/>
    <w:rsid w:val="0E2D2ABA"/>
    <w:rsid w:val="0E347F94"/>
    <w:rsid w:val="0E386620"/>
    <w:rsid w:val="0E412B87"/>
    <w:rsid w:val="0E686C91"/>
    <w:rsid w:val="0E700A00"/>
    <w:rsid w:val="0E7C7688"/>
    <w:rsid w:val="0E851AE9"/>
    <w:rsid w:val="0EBB2E51"/>
    <w:rsid w:val="0ECB1C78"/>
    <w:rsid w:val="0EDD33E1"/>
    <w:rsid w:val="0EF445F9"/>
    <w:rsid w:val="0F117C55"/>
    <w:rsid w:val="0F183C20"/>
    <w:rsid w:val="0F2B3A11"/>
    <w:rsid w:val="0F30529A"/>
    <w:rsid w:val="0F404902"/>
    <w:rsid w:val="0F4B1490"/>
    <w:rsid w:val="0F5E5E0B"/>
    <w:rsid w:val="0F8D5E84"/>
    <w:rsid w:val="0F977D43"/>
    <w:rsid w:val="0F9C59C4"/>
    <w:rsid w:val="0FA77EEC"/>
    <w:rsid w:val="0FAA6A30"/>
    <w:rsid w:val="0FBC40BD"/>
    <w:rsid w:val="0FD85B5D"/>
    <w:rsid w:val="0FDC262F"/>
    <w:rsid w:val="0FEF0516"/>
    <w:rsid w:val="0FF20D6C"/>
    <w:rsid w:val="0FF70804"/>
    <w:rsid w:val="10311AFB"/>
    <w:rsid w:val="103C67F0"/>
    <w:rsid w:val="10467EC1"/>
    <w:rsid w:val="106833BA"/>
    <w:rsid w:val="106F37A0"/>
    <w:rsid w:val="10A723CF"/>
    <w:rsid w:val="10C241BD"/>
    <w:rsid w:val="10DF7541"/>
    <w:rsid w:val="10E86DA5"/>
    <w:rsid w:val="10E91DF7"/>
    <w:rsid w:val="10F54327"/>
    <w:rsid w:val="110B55B1"/>
    <w:rsid w:val="11105BC5"/>
    <w:rsid w:val="115852A9"/>
    <w:rsid w:val="11732CF3"/>
    <w:rsid w:val="118B6354"/>
    <w:rsid w:val="11A40839"/>
    <w:rsid w:val="11B642D7"/>
    <w:rsid w:val="11B97C8C"/>
    <w:rsid w:val="11BD525C"/>
    <w:rsid w:val="11C651EA"/>
    <w:rsid w:val="11E6736D"/>
    <w:rsid w:val="11FA27CA"/>
    <w:rsid w:val="120A3F7C"/>
    <w:rsid w:val="120F5A4B"/>
    <w:rsid w:val="12272914"/>
    <w:rsid w:val="12312C73"/>
    <w:rsid w:val="123741D8"/>
    <w:rsid w:val="12694494"/>
    <w:rsid w:val="126A0BE8"/>
    <w:rsid w:val="127B6E9B"/>
    <w:rsid w:val="12A60B90"/>
    <w:rsid w:val="12AA49F8"/>
    <w:rsid w:val="12AD7AEB"/>
    <w:rsid w:val="12DC1114"/>
    <w:rsid w:val="12F02A25"/>
    <w:rsid w:val="130B18FA"/>
    <w:rsid w:val="130F168A"/>
    <w:rsid w:val="134442A7"/>
    <w:rsid w:val="134501FF"/>
    <w:rsid w:val="135347BE"/>
    <w:rsid w:val="1356249E"/>
    <w:rsid w:val="135E507E"/>
    <w:rsid w:val="13675428"/>
    <w:rsid w:val="13684CFE"/>
    <w:rsid w:val="13913935"/>
    <w:rsid w:val="13960C08"/>
    <w:rsid w:val="13A201C2"/>
    <w:rsid w:val="13B923C5"/>
    <w:rsid w:val="13CE40E8"/>
    <w:rsid w:val="13D0714B"/>
    <w:rsid w:val="13F1129B"/>
    <w:rsid w:val="14012FDA"/>
    <w:rsid w:val="142A2625"/>
    <w:rsid w:val="148F5B52"/>
    <w:rsid w:val="14AE1BEA"/>
    <w:rsid w:val="14B60176"/>
    <w:rsid w:val="14CB6F34"/>
    <w:rsid w:val="14D376EF"/>
    <w:rsid w:val="14DC1AF4"/>
    <w:rsid w:val="153041B0"/>
    <w:rsid w:val="15791116"/>
    <w:rsid w:val="15802C9C"/>
    <w:rsid w:val="158B2D24"/>
    <w:rsid w:val="159557A8"/>
    <w:rsid w:val="159B005B"/>
    <w:rsid w:val="159B6427"/>
    <w:rsid w:val="15AB3005"/>
    <w:rsid w:val="15BC3124"/>
    <w:rsid w:val="15FB7C3D"/>
    <w:rsid w:val="161B61EB"/>
    <w:rsid w:val="16531E32"/>
    <w:rsid w:val="165F1632"/>
    <w:rsid w:val="16932201"/>
    <w:rsid w:val="16935BEA"/>
    <w:rsid w:val="169646A7"/>
    <w:rsid w:val="16BB4869"/>
    <w:rsid w:val="16CF458E"/>
    <w:rsid w:val="16FC49C2"/>
    <w:rsid w:val="170B1D97"/>
    <w:rsid w:val="170F3717"/>
    <w:rsid w:val="174001C7"/>
    <w:rsid w:val="17417503"/>
    <w:rsid w:val="17496D84"/>
    <w:rsid w:val="174E2CAD"/>
    <w:rsid w:val="17522ED4"/>
    <w:rsid w:val="1793491F"/>
    <w:rsid w:val="17A97592"/>
    <w:rsid w:val="17BE5480"/>
    <w:rsid w:val="17CB39ED"/>
    <w:rsid w:val="1811107C"/>
    <w:rsid w:val="18135070"/>
    <w:rsid w:val="183F7C0F"/>
    <w:rsid w:val="184E70A8"/>
    <w:rsid w:val="185B5FFF"/>
    <w:rsid w:val="18B824B5"/>
    <w:rsid w:val="18E77AC1"/>
    <w:rsid w:val="18EB3C08"/>
    <w:rsid w:val="18EC7A71"/>
    <w:rsid w:val="19206F6D"/>
    <w:rsid w:val="192632ED"/>
    <w:rsid w:val="192D2F9E"/>
    <w:rsid w:val="1930573C"/>
    <w:rsid w:val="19395351"/>
    <w:rsid w:val="193F6188"/>
    <w:rsid w:val="1954160B"/>
    <w:rsid w:val="197C1136"/>
    <w:rsid w:val="197E0818"/>
    <w:rsid w:val="19AA335D"/>
    <w:rsid w:val="1A25578E"/>
    <w:rsid w:val="1A5E1C59"/>
    <w:rsid w:val="1A8329FA"/>
    <w:rsid w:val="1A862C63"/>
    <w:rsid w:val="1AB23A8A"/>
    <w:rsid w:val="1AB42651"/>
    <w:rsid w:val="1AD14FFB"/>
    <w:rsid w:val="1AF84DDC"/>
    <w:rsid w:val="1B1707D5"/>
    <w:rsid w:val="1B21757E"/>
    <w:rsid w:val="1B4F0257"/>
    <w:rsid w:val="1B605B27"/>
    <w:rsid w:val="1BDC06AF"/>
    <w:rsid w:val="1BE60757"/>
    <w:rsid w:val="1C186A38"/>
    <w:rsid w:val="1C246AFD"/>
    <w:rsid w:val="1C2D5486"/>
    <w:rsid w:val="1C492209"/>
    <w:rsid w:val="1C5F7614"/>
    <w:rsid w:val="1C6F7772"/>
    <w:rsid w:val="1CA06721"/>
    <w:rsid w:val="1CA9568D"/>
    <w:rsid w:val="1D0777A8"/>
    <w:rsid w:val="1D1B5227"/>
    <w:rsid w:val="1D3B3710"/>
    <w:rsid w:val="1D682795"/>
    <w:rsid w:val="1D777203"/>
    <w:rsid w:val="1D8F444D"/>
    <w:rsid w:val="1D9073F6"/>
    <w:rsid w:val="1D9E5109"/>
    <w:rsid w:val="1DAB7306"/>
    <w:rsid w:val="1DC70E25"/>
    <w:rsid w:val="1DC920E3"/>
    <w:rsid w:val="1DCB721D"/>
    <w:rsid w:val="1DE57361"/>
    <w:rsid w:val="1DE80843"/>
    <w:rsid w:val="1DEE22A8"/>
    <w:rsid w:val="1E507FDD"/>
    <w:rsid w:val="1E7939AA"/>
    <w:rsid w:val="1E9A0AF1"/>
    <w:rsid w:val="1EA1656E"/>
    <w:rsid w:val="1EAF7E8E"/>
    <w:rsid w:val="1EBB360B"/>
    <w:rsid w:val="1EBC2EB4"/>
    <w:rsid w:val="1ECD7FF1"/>
    <w:rsid w:val="1EDE7954"/>
    <w:rsid w:val="1EF068EE"/>
    <w:rsid w:val="1EF077C8"/>
    <w:rsid w:val="1F0540EC"/>
    <w:rsid w:val="1F1651FE"/>
    <w:rsid w:val="1F3632B7"/>
    <w:rsid w:val="1F3A2332"/>
    <w:rsid w:val="1F4D50AD"/>
    <w:rsid w:val="1F576CAF"/>
    <w:rsid w:val="1F8117D6"/>
    <w:rsid w:val="1F966745"/>
    <w:rsid w:val="1FDF1621"/>
    <w:rsid w:val="1FE21FA3"/>
    <w:rsid w:val="1FF92A9A"/>
    <w:rsid w:val="2006234E"/>
    <w:rsid w:val="20596192"/>
    <w:rsid w:val="20634122"/>
    <w:rsid w:val="20871FD6"/>
    <w:rsid w:val="209C7EA7"/>
    <w:rsid w:val="20AE7BE7"/>
    <w:rsid w:val="20BD2592"/>
    <w:rsid w:val="20BE44FC"/>
    <w:rsid w:val="20C71A59"/>
    <w:rsid w:val="20CD6057"/>
    <w:rsid w:val="20F55DDB"/>
    <w:rsid w:val="21006C6F"/>
    <w:rsid w:val="21133941"/>
    <w:rsid w:val="212A6CB9"/>
    <w:rsid w:val="21452B17"/>
    <w:rsid w:val="2149205A"/>
    <w:rsid w:val="21512BF6"/>
    <w:rsid w:val="21670061"/>
    <w:rsid w:val="216B55F5"/>
    <w:rsid w:val="218E7346"/>
    <w:rsid w:val="21901C13"/>
    <w:rsid w:val="219B4DF1"/>
    <w:rsid w:val="21B0608E"/>
    <w:rsid w:val="21B70825"/>
    <w:rsid w:val="21CD1BCB"/>
    <w:rsid w:val="21FA4934"/>
    <w:rsid w:val="22017753"/>
    <w:rsid w:val="220D36B2"/>
    <w:rsid w:val="2214626C"/>
    <w:rsid w:val="222D67AE"/>
    <w:rsid w:val="22350191"/>
    <w:rsid w:val="22446FA9"/>
    <w:rsid w:val="226426FD"/>
    <w:rsid w:val="227D29A6"/>
    <w:rsid w:val="22893B74"/>
    <w:rsid w:val="22A92D3D"/>
    <w:rsid w:val="230654C4"/>
    <w:rsid w:val="23404042"/>
    <w:rsid w:val="235E00E7"/>
    <w:rsid w:val="23902C5A"/>
    <w:rsid w:val="23C34B5E"/>
    <w:rsid w:val="23C35C30"/>
    <w:rsid w:val="23EE6260"/>
    <w:rsid w:val="2418456B"/>
    <w:rsid w:val="242A22D5"/>
    <w:rsid w:val="2443614D"/>
    <w:rsid w:val="244760C4"/>
    <w:rsid w:val="246951E8"/>
    <w:rsid w:val="246E70C6"/>
    <w:rsid w:val="247E463A"/>
    <w:rsid w:val="24C31C7A"/>
    <w:rsid w:val="24CF70E6"/>
    <w:rsid w:val="24E41F9F"/>
    <w:rsid w:val="24FA0C2A"/>
    <w:rsid w:val="250709D7"/>
    <w:rsid w:val="2520102D"/>
    <w:rsid w:val="25262446"/>
    <w:rsid w:val="2535301F"/>
    <w:rsid w:val="25410195"/>
    <w:rsid w:val="25532705"/>
    <w:rsid w:val="2579321E"/>
    <w:rsid w:val="25B10115"/>
    <w:rsid w:val="25B478B1"/>
    <w:rsid w:val="25C016EE"/>
    <w:rsid w:val="25C47C5E"/>
    <w:rsid w:val="25CB5B73"/>
    <w:rsid w:val="26117A51"/>
    <w:rsid w:val="26171B6F"/>
    <w:rsid w:val="26220C79"/>
    <w:rsid w:val="26746D14"/>
    <w:rsid w:val="26942464"/>
    <w:rsid w:val="26DE1346"/>
    <w:rsid w:val="26DF0C06"/>
    <w:rsid w:val="26E17B5E"/>
    <w:rsid w:val="26E455A0"/>
    <w:rsid w:val="26EB3EBC"/>
    <w:rsid w:val="273A69A0"/>
    <w:rsid w:val="274C4EE2"/>
    <w:rsid w:val="27952A05"/>
    <w:rsid w:val="279A72ED"/>
    <w:rsid w:val="27B103D2"/>
    <w:rsid w:val="27DC3C60"/>
    <w:rsid w:val="27DC4D54"/>
    <w:rsid w:val="27DE59C8"/>
    <w:rsid w:val="27EC673A"/>
    <w:rsid w:val="28440FCA"/>
    <w:rsid w:val="289E4CE4"/>
    <w:rsid w:val="28AD1A7B"/>
    <w:rsid w:val="28B4606C"/>
    <w:rsid w:val="28C92E03"/>
    <w:rsid w:val="28CF680C"/>
    <w:rsid w:val="29083F00"/>
    <w:rsid w:val="29363CA1"/>
    <w:rsid w:val="294137A2"/>
    <w:rsid w:val="29573AC1"/>
    <w:rsid w:val="2968540F"/>
    <w:rsid w:val="2978473A"/>
    <w:rsid w:val="297C28FB"/>
    <w:rsid w:val="297F2255"/>
    <w:rsid w:val="29AE07E9"/>
    <w:rsid w:val="29C3438D"/>
    <w:rsid w:val="29CA2F97"/>
    <w:rsid w:val="29DD62E6"/>
    <w:rsid w:val="2A02177D"/>
    <w:rsid w:val="2A1F58D8"/>
    <w:rsid w:val="2A2D0F84"/>
    <w:rsid w:val="2A576353"/>
    <w:rsid w:val="2A604C14"/>
    <w:rsid w:val="2A654AC4"/>
    <w:rsid w:val="2A8604A3"/>
    <w:rsid w:val="2A890B19"/>
    <w:rsid w:val="2A8C29B5"/>
    <w:rsid w:val="2AA42BF4"/>
    <w:rsid w:val="2AA763F9"/>
    <w:rsid w:val="2AAB7462"/>
    <w:rsid w:val="2AD37AA5"/>
    <w:rsid w:val="2AE27AFA"/>
    <w:rsid w:val="2AE41A36"/>
    <w:rsid w:val="2AE520AD"/>
    <w:rsid w:val="2AFA0717"/>
    <w:rsid w:val="2AFA5374"/>
    <w:rsid w:val="2AFF6153"/>
    <w:rsid w:val="2B084AB7"/>
    <w:rsid w:val="2B0D0D8E"/>
    <w:rsid w:val="2B2F3670"/>
    <w:rsid w:val="2B356D99"/>
    <w:rsid w:val="2B5E4CD2"/>
    <w:rsid w:val="2B6412E3"/>
    <w:rsid w:val="2B7A0F8E"/>
    <w:rsid w:val="2B821EAC"/>
    <w:rsid w:val="2B8354EB"/>
    <w:rsid w:val="2B8A13A4"/>
    <w:rsid w:val="2B944B53"/>
    <w:rsid w:val="2BA85BB6"/>
    <w:rsid w:val="2BCE2B78"/>
    <w:rsid w:val="2BCF1947"/>
    <w:rsid w:val="2BD01DBA"/>
    <w:rsid w:val="2BE240B0"/>
    <w:rsid w:val="2BE94639"/>
    <w:rsid w:val="2BF97685"/>
    <w:rsid w:val="2BFF2DBD"/>
    <w:rsid w:val="2C1F076B"/>
    <w:rsid w:val="2C2B6576"/>
    <w:rsid w:val="2C44600B"/>
    <w:rsid w:val="2C52544F"/>
    <w:rsid w:val="2C611208"/>
    <w:rsid w:val="2C6F23AC"/>
    <w:rsid w:val="2C85509B"/>
    <w:rsid w:val="2C877179"/>
    <w:rsid w:val="2C9B46AE"/>
    <w:rsid w:val="2CA36A3C"/>
    <w:rsid w:val="2CF6246F"/>
    <w:rsid w:val="2D1C7330"/>
    <w:rsid w:val="2D46162C"/>
    <w:rsid w:val="2D6B5CA4"/>
    <w:rsid w:val="2D77301E"/>
    <w:rsid w:val="2D9A4444"/>
    <w:rsid w:val="2DAC4E08"/>
    <w:rsid w:val="2DBB6FA6"/>
    <w:rsid w:val="2DD22BDD"/>
    <w:rsid w:val="2DD236B2"/>
    <w:rsid w:val="2E033867"/>
    <w:rsid w:val="2E0A007B"/>
    <w:rsid w:val="2E0E5FD2"/>
    <w:rsid w:val="2E17449B"/>
    <w:rsid w:val="2E345D26"/>
    <w:rsid w:val="2E46595E"/>
    <w:rsid w:val="2E4F51D9"/>
    <w:rsid w:val="2E8015F3"/>
    <w:rsid w:val="2EA940C8"/>
    <w:rsid w:val="2EB20716"/>
    <w:rsid w:val="2ECB0BB3"/>
    <w:rsid w:val="2ECD1F37"/>
    <w:rsid w:val="2ED10DCA"/>
    <w:rsid w:val="2F17183F"/>
    <w:rsid w:val="2F4242F0"/>
    <w:rsid w:val="2F610B7A"/>
    <w:rsid w:val="2F7317C6"/>
    <w:rsid w:val="2FA400DF"/>
    <w:rsid w:val="2FAF6333"/>
    <w:rsid w:val="2FD80A51"/>
    <w:rsid w:val="2FDD7022"/>
    <w:rsid w:val="300F0838"/>
    <w:rsid w:val="300F1B62"/>
    <w:rsid w:val="30105C96"/>
    <w:rsid w:val="303E3931"/>
    <w:rsid w:val="30615BA9"/>
    <w:rsid w:val="30923FD2"/>
    <w:rsid w:val="3098181F"/>
    <w:rsid w:val="30AD141E"/>
    <w:rsid w:val="30AF4540"/>
    <w:rsid w:val="30C22E0E"/>
    <w:rsid w:val="30FE046B"/>
    <w:rsid w:val="31417467"/>
    <w:rsid w:val="31441803"/>
    <w:rsid w:val="31773287"/>
    <w:rsid w:val="3180471A"/>
    <w:rsid w:val="318115B7"/>
    <w:rsid w:val="318269EE"/>
    <w:rsid w:val="318A2CEF"/>
    <w:rsid w:val="31906CEE"/>
    <w:rsid w:val="31933C16"/>
    <w:rsid w:val="31A85571"/>
    <w:rsid w:val="31D7487B"/>
    <w:rsid w:val="320831A7"/>
    <w:rsid w:val="32130E88"/>
    <w:rsid w:val="322C716D"/>
    <w:rsid w:val="32310EFF"/>
    <w:rsid w:val="324834D0"/>
    <w:rsid w:val="324A76C7"/>
    <w:rsid w:val="324E06B7"/>
    <w:rsid w:val="326F1CC2"/>
    <w:rsid w:val="327A1361"/>
    <w:rsid w:val="32B472E5"/>
    <w:rsid w:val="32C87BF0"/>
    <w:rsid w:val="32DA28E7"/>
    <w:rsid w:val="33047647"/>
    <w:rsid w:val="33161AFD"/>
    <w:rsid w:val="335613F9"/>
    <w:rsid w:val="335A5497"/>
    <w:rsid w:val="336467BA"/>
    <w:rsid w:val="339E22CC"/>
    <w:rsid w:val="33A20E09"/>
    <w:rsid w:val="33AA4F1F"/>
    <w:rsid w:val="33CA20CB"/>
    <w:rsid w:val="33E01370"/>
    <w:rsid w:val="33E0321E"/>
    <w:rsid w:val="33E57FC9"/>
    <w:rsid w:val="33E94CD7"/>
    <w:rsid w:val="34086972"/>
    <w:rsid w:val="34092B00"/>
    <w:rsid w:val="340C2F6C"/>
    <w:rsid w:val="341A3B90"/>
    <w:rsid w:val="347162F6"/>
    <w:rsid w:val="34827BD4"/>
    <w:rsid w:val="348E0F50"/>
    <w:rsid w:val="348E390E"/>
    <w:rsid w:val="349E33D7"/>
    <w:rsid w:val="34A53F37"/>
    <w:rsid w:val="34A83942"/>
    <w:rsid w:val="34BD3F21"/>
    <w:rsid w:val="34C01E80"/>
    <w:rsid w:val="34C60513"/>
    <w:rsid w:val="34CA681E"/>
    <w:rsid w:val="34D6166C"/>
    <w:rsid w:val="34DE2BF7"/>
    <w:rsid w:val="35077BEE"/>
    <w:rsid w:val="351962B2"/>
    <w:rsid w:val="351A4704"/>
    <w:rsid w:val="352E2B06"/>
    <w:rsid w:val="35362E88"/>
    <w:rsid w:val="356035AE"/>
    <w:rsid w:val="356B4BAE"/>
    <w:rsid w:val="357871E4"/>
    <w:rsid w:val="35A711FE"/>
    <w:rsid w:val="35DA3D25"/>
    <w:rsid w:val="35FA4C33"/>
    <w:rsid w:val="35FB32F9"/>
    <w:rsid w:val="364D0223"/>
    <w:rsid w:val="368F2E9B"/>
    <w:rsid w:val="36AF61C1"/>
    <w:rsid w:val="36C63E63"/>
    <w:rsid w:val="36CA1050"/>
    <w:rsid w:val="36DF073C"/>
    <w:rsid w:val="36E01492"/>
    <w:rsid w:val="36EE0D79"/>
    <w:rsid w:val="3704738C"/>
    <w:rsid w:val="372D7C39"/>
    <w:rsid w:val="373207B7"/>
    <w:rsid w:val="374A0C46"/>
    <w:rsid w:val="37911649"/>
    <w:rsid w:val="37992A31"/>
    <w:rsid w:val="37D070D2"/>
    <w:rsid w:val="37E76D86"/>
    <w:rsid w:val="37FC21A4"/>
    <w:rsid w:val="37FE2A3B"/>
    <w:rsid w:val="380940A5"/>
    <w:rsid w:val="38186A11"/>
    <w:rsid w:val="38431F05"/>
    <w:rsid w:val="384B65DB"/>
    <w:rsid w:val="384C0B02"/>
    <w:rsid w:val="384C63E0"/>
    <w:rsid w:val="384F24C2"/>
    <w:rsid w:val="385E351D"/>
    <w:rsid w:val="38605C0F"/>
    <w:rsid w:val="38675673"/>
    <w:rsid w:val="38955891"/>
    <w:rsid w:val="389A1043"/>
    <w:rsid w:val="38A86AFC"/>
    <w:rsid w:val="38DB5355"/>
    <w:rsid w:val="390811DC"/>
    <w:rsid w:val="39172736"/>
    <w:rsid w:val="39497AFC"/>
    <w:rsid w:val="3964335F"/>
    <w:rsid w:val="397A373C"/>
    <w:rsid w:val="398340D2"/>
    <w:rsid w:val="39A61471"/>
    <w:rsid w:val="39DA5A46"/>
    <w:rsid w:val="39DD054D"/>
    <w:rsid w:val="3A0B2FA2"/>
    <w:rsid w:val="3A0C6BC1"/>
    <w:rsid w:val="3A2D0D0F"/>
    <w:rsid w:val="3A641566"/>
    <w:rsid w:val="3A766001"/>
    <w:rsid w:val="3A934784"/>
    <w:rsid w:val="3AAC7D5F"/>
    <w:rsid w:val="3AB2271E"/>
    <w:rsid w:val="3ACB4178"/>
    <w:rsid w:val="3ADA4626"/>
    <w:rsid w:val="3AF21FB6"/>
    <w:rsid w:val="3B2F5B11"/>
    <w:rsid w:val="3B792110"/>
    <w:rsid w:val="3B7D6EA3"/>
    <w:rsid w:val="3B8F34B8"/>
    <w:rsid w:val="3B9D7036"/>
    <w:rsid w:val="3BA83CBF"/>
    <w:rsid w:val="3BB01C55"/>
    <w:rsid w:val="3C2911FB"/>
    <w:rsid w:val="3C2D2972"/>
    <w:rsid w:val="3C487D31"/>
    <w:rsid w:val="3C6C0773"/>
    <w:rsid w:val="3C8613BF"/>
    <w:rsid w:val="3C883F13"/>
    <w:rsid w:val="3C9F192B"/>
    <w:rsid w:val="3CB854AB"/>
    <w:rsid w:val="3CDA6064"/>
    <w:rsid w:val="3D190C9E"/>
    <w:rsid w:val="3D307EB8"/>
    <w:rsid w:val="3D5949F1"/>
    <w:rsid w:val="3D5D40AF"/>
    <w:rsid w:val="3D662831"/>
    <w:rsid w:val="3D6918D7"/>
    <w:rsid w:val="3D784EE5"/>
    <w:rsid w:val="3DB3007A"/>
    <w:rsid w:val="3DB723FC"/>
    <w:rsid w:val="3DD16AF6"/>
    <w:rsid w:val="3DD50E6F"/>
    <w:rsid w:val="3DDC0B3F"/>
    <w:rsid w:val="3DDC23CD"/>
    <w:rsid w:val="3DEA5864"/>
    <w:rsid w:val="3E0A5292"/>
    <w:rsid w:val="3E112406"/>
    <w:rsid w:val="3E255805"/>
    <w:rsid w:val="3E4E472D"/>
    <w:rsid w:val="3E6919CE"/>
    <w:rsid w:val="3E7C3192"/>
    <w:rsid w:val="3EBD360C"/>
    <w:rsid w:val="3EC50A8B"/>
    <w:rsid w:val="3EF25620"/>
    <w:rsid w:val="3F0624D2"/>
    <w:rsid w:val="3F270BC5"/>
    <w:rsid w:val="3F3F7420"/>
    <w:rsid w:val="3F5F4CCF"/>
    <w:rsid w:val="3F691783"/>
    <w:rsid w:val="3F735AD6"/>
    <w:rsid w:val="3F831BEE"/>
    <w:rsid w:val="3FB30217"/>
    <w:rsid w:val="3FC343B9"/>
    <w:rsid w:val="3FEC5FE8"/>
    <w:rsid w:val="3FF26A01"/>
    <w:rsid w:val="40284B68"/>
    <w:rsid w:val="40300FD4"/>
    <w:rsid w:val="40380DDE"/>
    <w:rsid w:val="403902C6"/>
    <w:rsid w:val="403F1759"/>
    <w:rsid w:val="40660813"/>
    <w:rsid w:val="406A2BA8"/>
    <w:rsid w:val="406B4B1D"/>
    <w:rsid w:val="40795DF3"/>
    <w:rsid w:val="40881802"/>
    <w:rsid w:val="40BE1389"/>
    <w:rsid w:val="40EE048B"/>
    <w:rsid w:val="40F57469"/>
    <w:rsid w:val="410E236C"/>
    <w:rsid w:val="41265127"/>
    <w:rsid w:val="413C43E5"/>
    <w:rsid w:val="415657AD"/>
    <w:rsid w:val="415B0433"/>
    <w:rsid w:val="416D2B62"/>
    <w:rsid w:val="41756391"/>
    <w:rsid w:val="41771512"/>
    <w:rsid w:val="4178708B"/>
    <w:rsid w:val="417C7A6C"/>
    <w:rsid w:val="41904A70"/>
    <w:rsid w:val="41EE21E8"/>
    <w:rsid w:val="42080B28"/>
    <w:rsid w:val="420F146B"/>
    <w:rsid w:val="422A4E6A"/>
    <w:rsid w:val="428A412B"/>
    <w:rsid w:val="42906646"/>
    <w:rsid w:val="42FA15F0"/>
    <w:rsid w:val="43335817"/>
    <w:rsid w:val="433821EA"/>
    <w:rsid w:val="433F48FD"/>
    <w:rsid w:val="434635C6"/>
    <w:rsid w:val="438C19B4"/>
    <w:rsid w:val="43921663"/>
    <w:rsid w:val="439A1E0E"/>
    <w:rsid w:val="439B4E6A"/>
    <w:rsid w:val="43B86243"/>
    <w:rsid w:val="43D026F8"/>
    <w:rsid w:val="43D57C29"/>
    <w:rsid w:val="43FC29E5"/>
    <w:rsid w:val="440F007C"/>
    <w:rsid w:val="4414155A"/>
    <w:rsid w:val="44240A76"/>
    <w:rsid w:val="44285328"/>
    <w:rsid w:val="44346252"/>
    <w:rsid w:val="44540F17"/>
    <w:rsid w:val="445D4EEE"/>
    <w:rsid w:val="44683F9A"/>
    <w:rsid w:val="449F6260"/>
    <w:rsid w:val="44AA140B"/>
    <w:rsid w:val="44AC70AB"/>
    <w:rsid w:val="44BD5B89"/>
    <w:rsid w:val="44C33F31"/>
    <w:rsid w:val="44CE4BBE"/>
    <w:rsid w:val="44DD2C36"/>
    <w:rsid w:val="44DD51C3"/>
    <w:rsid w:val="44E42189"/>
    <w:rsid w:val="44E81F7A"/>
    <w:rsid w:val="45037ADE"/>
    <w:rsid w:val="45051456"/>
    <w:rsid w:val="4534729F"/>
    <w:rsid w:val="455550AB"/>
    <w:rsid w:val="458B0741"/>
    <w:rsid w:val="459070B8"/>
    <w:rsid w:val="45C356B9"/>
    <w:rsid w:val="45C707E7"/>
    <w:rsid w:val="45CA5D75"/>
    <w:rsid w:val="45EF1287"/>
    <w:rsid w:val="45F22F9C"/>
    <w:rsid w:val="460440D8"/>
    <w:rsid w:val="460A558E"/>
    <w:rsid w:val="460D577D"/>
    <w:rsid w:val="461806EE"/>
    <w:rsid w:val="4665507F"/>
    <w:rsid w:val="46977ECC"/>
    <w:rsid w:val="46AE01DF"/>
    <w:rsid w:val="46CB5794"/>
    <w:rsid w:val="46CF3407"/>
    <w:rsid w:val="46E64178"/>
    <w:rsid w:val="46E91964"/>
    <w:rsid w:val="46EC44A6"/>
    <w:rsid w:val="4708025C"/>
    <w:rsid w:val="474C12BC"/>
    <w:rsid w:val="475E5A8E"/>
    <w:rsid w:val="4772178C"/>
    <w:rsid w:val="47776750"/>
    <w:rsid w:val="47904952"/>
    <w:rsid w:val="479C6E1E"/>
    <w:rsid w:val="47AB188A"/>
    <w:rsid w:val="47AD3D6D"/>
    <w:rsid w:val="47B81AB5"/>
    <w:rsid w:val="47D07020"/>
    <w:rsid w:val="47DB5895"/>
    <w:rsid w:val="48277C60"/>
    <w:rsid w:val="4829731A"/>
    <w:rsid w:val="483150B1"/>
    <w:rsid w:val="48475861"/>
    <w:rsid w:val="48AC7739"/>
    <w:rsid w:val="48B434BF"/>
    <w:rsid w:val="48B44685"/>
    <w:rsid w:val="48DD2A4B"/>
    <w:rsid w:val="491129BB"/>
    <w:rsid w:val="4913061A"/>
    <w:rsid w:val="491E508F"/>
    <w:rsid w:val="49256537"/>
    <w:rsid w:val="492D61B5"/>
    <w:rsid w:val="492D6994"/>
    <w:rsid w:val="493A3180"/>
    <w:rsid w:val="497109EF"/>
    <w:rsid w:val="498D334D"/>
    <w:rsid w:val="499464E5"/>
    <w:rsid w:val="49C04A3C"/>
    <w:rsid w:val="49C23108"/>
    <w:rsid w:val="49EE5BEF"/>
    <w:rsid w:val="49F70AC1"/>
    <w:rsid w:val="4A000431"/>
    <w:rsid w:val="4A107A80"/>
    <w:rsid w:val="4A2D0D54"/>
    <w:rsid w:val="4A2F6602"/>
    <w:rsid w:val="4A3A2314"/>
    <w:rsid w:val="4A444F53"/>
    <w:rsid w:val="4A573752"/>
    <w:rsid w:val="4A6E6861"/>
    <w:rsid w:val="4AB92405"/>
    <w:rsid w:val="4AE72891"/>
    <w:rsid w:val="4AF503A6"/>
    <w:rsid w:val="4B204E94"/>
    <w:rsid w:val="4B4256EB"/>
    <w:rsid w:val="4B430411"/>
    <w:rsid w:val="4B697EC4"/>
    <w:rsid w:val="4B6C4C1F"/>
    <w:rsid w:val="4BA40333"/>
    <w:rsid w:val="4BA459D7"/>
    <w:rsid w:val="4BC3380D"/>
    <w:rsid w:val="4BD8487F"/>
    <w:rsid w:val="4BED0735"/>
    <w:rsid w:val="4BFD15E4"/>
    <w:rsid w:val="4C104E64"/>
    <w:rsid w:val="4C150EB3"/>
    <w:rsid w:val="4C2D3271"/>
    <w:rsid w:val="4C441C7A"/>
    <w:rsid w:val="4C4E2067"/>
    <w:rsid w:val="4C5B2BFB"/>
    <w:rsid w:val="4C833EA8"/>
    <w:rsid w:val="4C9E3B3E"/>
    <w:rsid w:val="4CC27BF1"/>
    <w:rsid w:val="4D056F48"/>
    <w:rsid w:val="4D0F1189"/>
    <w:rsid w:val="4D1C3D15"/>
    <w:rsid w:val="4D23643C"/>
    <w:rsid w:val="4D2E152A"/>
    <w:rsid w:val="4D3D4D23"/>
    <w:rsid w:val="4D5525B1"/>
    <w:rsid w:val="4D5E37DD"/>
    <w:rsid w:val="4D692F63"/>
    <w:rsid w:val="4D876BDC"/>
    <w:rsid w:val="4D8A3572"/>
    <w:rsid w:val="4D913549"/>
    <w:rsid w:val="4D934D55"/>
    <w:rsid w:val="4D955073"/>
    <w:rsid w:val="4DBD507B"/>
    <w:rsid w:val="4DCA5887"/>
    <w:rsid w:val="4DE703EE"/>
    <w:rsid w:val="4DE955E3"/>
    <w:rsid w:val="4DF00801"/>
    <w:rsid w:val="4E4A4897"/>
    <w:rsid w:val="4E527A2F"/>
    <w:rsid w:val="4E5D38EB"/>
    <w:rsid w:val="4E93490C"/>
    <w:rsid w:val="4E9974EE"/>
    <w:rsid w:val="4EAB0F98"/>
    <w:rsid w:val="4EAB2738"/>
    <w:rsid w:val="4EB351B6"/>
    <w:rsid w:val="4ECD39B0"/>
    <w:rsid w:val="4EDC0B8E"/>
    <w:rsid w:val="4EEB385C"/>
    <w:rsid w:val="4EF66275"/>
    <w:rsid w:val="4F0745F8"/>
    <w:rsid w:val="4F1310B4"/>
    <w:rsid w:val="4F7C173A"/>
    <w:rsid w:val="4F8F582C"/>
    <w:rsid w:val="4FCA20F3"/>
    <w:rsid w:val="4FD62A35"/>
    <w:rsid w:val="500712F4"/>
    <w:rsid w:val="502E13BC"/>
    <w:rsid w:val="50340BDD"/>
    <w:rsid w:val="504B10C3"/>
    <w:rsid w:val="5057415D"/>
    <w:rsid w:val="50763A7E"/>
    <w:rsid w:val="507C20F1"/>
    <w:rsid w:val="508617EB"/>
    <w:rsid w:val="509062C9"/>
    <w:rsid w:val="5099512D"/>
    <w:rsid w:val="50A03C40"/>
    <w:rsid w:val="50F031C9"/>
    <w:rsid w:val="50FA0A7C"/>
    <w:rsid w:val="511A7CFB"/>
    <w:rsid w:val="512C393A"/>
    <w:rsid w:val="51684969"/>
    <w:rsid w:val="518101CE"/>
    <w:rsid w:val="51851AE2"/>
    <w:rsid w:val="51AC1368"/>
    <w:rsid w:val="51BD2FA5"/>
    <w:rsid w:val="52133D3E"/>
    <w:rsid w:val="521F6986"/>
    <w:rsid w:val="52205A6B"/>
    <w:rsid w:val="52434056"/>
    <w:rsid w:val="525D7449"/>
    <w:rsid w:val="52680D43"/>
    <w:rsid w:val="52A8615E"/>
    <w:rsid w:val="52B7108F"/>
    <w:rsid w:val="52E8693D"/>
    <w:rsid w:val="531277FD"/>
    <w:rsid w:val="532760E3"/>
    <w:rsid w:val="532F0D45"/>
    <w:rsid w:val="53326730"/>
    <w:rsid w:val="533C1E58"/>
    <w:rsid w:val="5340068B"/>
    <w:rsid w:val="535656B1"/>
    <w:rsid w:val="53717C57"/>
    <w:rsid w:val="537F7B73"/>
    <w:rsid w:val="53BF7775"/>
    <w:rsid w:val="53C24810"/>
    <w:rsid w:val="53D24F08"/>
    <w:rsid w:val="53D77CFC"/>
    <w:rsid w:val="53DB1FAB"/>
    <w:rsid w:val="53DB24F3"/>
    <w:rsid w:val="53E66897"/>
    <w:rsid w:val="53F51DFF"/>
    <w:rsid w:val="54166896"/>
    <w:rsid w:val="54360956"/>
    <w:rsid w:val="54461E20"/>
    <w:rsid w:val="54484919"/>
    <w:rsid w:val="5462088F"/>
    <w:rsid w:val="546A18BC"/>
    <w:rsid w:val="547619FE"/>
    <w:rsid w:val="549235D8"/>
    <w:rsid w:val="5492430B"/>
    <w:rsid w:val="549614A3"/>
    <w:rsid w:val="54B20830"/>
    <w:rsid w:val="54BE7FC7"/>
    <w:rsid w:val="54CC7B87"/>
    <w:rsid w:val="54D432A3"/>
    <w:rsid w:val="54DF5B24"/>
    <w:rsid w:val="54E35D1D"/>
    <w:rsid w:val="54EB2732"/>
    <w:rsid w:val="54EC6FD0"/>
    <w:rsid w:val="554C284E"/>
    <w:rsid w:val="55506CB4"/>
    <w:rsid w:val="55AD7EF0"/>
    <w:rsid w:val="55B404E4"/>
    <w:rsid w:val="55DF1C70"/>
    <w:rsid w:val="55FD3DE5"/>
    <w:rsid w:val="560B2A63"/>
    <w:rsid w:val="562F4C93"/>
    <w:rsid w:val="563453DE"/>
    <w:rsid w:val="563F58A0"/>
    <w:rsid w:val="565613FB"/>
    <w:rsid w:val="565D3C5A"/>
    <w:rsid w:val="5684329A"/>
    <w:rsid w:val="56866DDF"/>
    <w:rsid w:val="56A54004"/>
    <w:rsid w:val="56DE265F"/>
    <w:rsid w:val="56FB7796"/>
    <w:rsid w:val="570A789C"/>
    <w:rsid w:val="572419F9"/>
    <w:rsid w:val="57273CDE"/>
    <w:rsid w:val="5767084A"/>
    <w:rsid w:val="57675486"/>
    <w:rsid w:val="576D181D"/>
    <w:rsid w:val="577E0195"/>
    <w:rsid w:val="579B080E"/>
    <w:rsid w:val="57D27D41"/>
    <w:rsid w:val="57EB1663"/>
    <w:rsid w:val="57F40803"/>
    <w:rsid w:val="57F631E3"/>
    <w:rsid w:val="57F63B81"/>
    <w:rsid w:val="57FC5DA1"/>
    <w:rsid w:val="580644E2"/>
    <w:rsid w:val="581C6513"/>
    <w:rsid w:val="584F4397"/>
    <w:rsid w:val="585A0D8F"/>
    <w:rsid w:val="588D708F"/>
    <w:rsid w:val="58C56522"/>
    <w:rsid w:val="59084B2C"/>
    <w:rsid w:val="59170AC5"/>
    <w:rsid w:val="59194FFA"/>
    <w:rsid w:val="592C4027"/>
    <w:rsid w:val="592D1BC0"/>
    <w:rsid w:val="595A12E9"/>
    <w:rsid w:val="597D2AC4"/>
    <w:rsid w:val="59C54E3E"/>
    <w:rsid w:val="5A1E5267"/>
    <w:rsid w:val="5A283C86"/>
    <w:rsid w:val="5A307CDA"/>
    <w:rsid w:val="5A45373A"/>
    <w:rsid w:val="5A4A6E00"/>
    <w:rsid w:val="5A611B69"/>
    <w:rsid w:val="5AD61FCC"/>
    <w:rsid w:val="5ADC7A30"/>
    <w:rsid w:val="5B171BF0"/>
    <w:rsid w:val="5B1F2037"/>
    <w:rsid w:val="5B381D57"/>
    <w:rsid w:val="5B745A01"/>
    <w:rsid w:val="5B815974"/>
    <w:rsid w:val="5BA84372"/>
    <w:rsid w:val="5BB91435"/>
    <w:rsid w:val="5BBB4848"/>
    <w:rsid w:val="5BBC3ADF"/>
    <w:rsid w:val="5BBC78E8"/>
    <w:rsid w:val="5C1924BC"/>
    <w:rsid w:val="5C345FBC"/>
    <w:rsid w:val="5C38607A"/>
    <w:rsid w:val="5C3F3549"/>
    <w:rsid w:val="5C434B19"/>
    <w:rsid w:val="5C4A4F88"/>
    <w:rsid w:val="5C7B2626"/>
    <w:rsid w:val="5C8753B8"/>
    <w:rsid w:val="5C9C7CE8"/>
    <w:rsid w:val="5CA507C3"/>
    <w:rsid w:val="5CA635B0"/>
    <w:rsid w:val="5CA70DC2"/>
    <w:rsid w:val="5D030937"/>
    <w:rsid w:val="5D0C50BA"/>
    <w:rsid w:val="5D143A15"/>
    <w:rsid w:val="5D176723"/>
    <w:rsid w:val="5D3527E7"/>
    <w:rsid w:val="5D490D59"/>
    <w:rsid w:val="5D684DDB"/>
    <w:rsid w:val="5D706776"/>
    <w:rsid w:val="5D9C040A"/>
    <w:rsid w:val="5DB33BC2"/>
    <w:rsid w:val="5DC64E65"/>
    <w:rsid w:val="5DDA2135"/>
    <w:rsid w:val="5DF67486"/>
    <w:rsid w:val="5E0A0A81"/>
    <w:rsid w:val="5E295086"/>
    <w:rsid w:val="5E351D04"/>
    <w:rsid w:val="5E490A33"/>
    <w:rsid w:val="5E7C7B26"/>
    <w:rsid w:val="5E907612"/>
    <w:rsid w:val="5EA67E30"/>
    <w:rsid w:val="5EEC01A5"/>
    <w:rsid w:val="5F12377E"/>
    <w:rsid w:val="5F5A0902"/>
    <w:rsid w:val="5F6631BF"/>
    <w:rsid w:val="5F8B4B39"/>
    <w:rsid w:val="5FA4213E"/>
    <w:rsid w:val="5FCF7751"/>
    <w:rsid w:val="5FFC5FF3"/>
    <w:rsid w:val="601B05A0"/>
    <w:rsid w:val="60296118"/>
    <w:rsid w:val="602A4A0A"/>
    <w:rsid w:val="602C1428"/>
    <w:rsid w:val="60416335"/>
    <w:rsid w:val="605B212C"/>
    <w:rsid w:val="60B22147"/>
    <w:rsid w:val="60C06C2F"/>
    <w:rsid w:val="61301244"/>
    <w:rsid w:val="613C402E"/>
    <w:rsid w:val="615E457B"/>
    <w:rsid w:val="61627788"/>
    <w:rsid w:val="6173615D"/>
    <w:rsid w:val="6178693A"/>
    <w:rsid w:val="6184173A"/>
    <w:rsid w:val="6187546E"/>
    <w:rsid w:val="61AB4D2A"/>
    <w:rsid w:val="61AF741C"/>
    <w:rsid w:val="61BB3567"/>
    <w:rsid w:val="61C55D09"/>
    <w:rsid w:val="61D3727D"/>
    <w:rsid w:val="61D858AC"/>
    <w:rsid w:val="61E96F4D"/>
    <w:rsid w:val="61F33FC4"/>
    <w:rsid w:val="620B3555"/>
    <w:rsid w:val="621B78E0"/>
    <w:rsid w:val="6226140D"/>
    <w:rsid w:val="623A71AE"/>
    <w:rsid w:val="624C7E87"/>
    <w:rsid w:val="62A3410F"/>
    <w:rsid w:val="62C11E9D"/>
    <w:rsid w:val="62D03209"/>
    <w:rsid w:val="62D554BD"/>
    <w:rsid w:val="62E23370"/>
    <w:rsid w:val="62E546E1"/>
    <w:rsid w:val="62EF3BCA"/>
    <w:rsid w:val="630162BD"/>
    <w:rsid w:val="630E4B70"/>
    <w:rsid w:val="632335C7"/>
    <w:rsid w:val="632B3B76"/>
    <w:rsid w:val="63495B44"/>
    <w:rsid w:val="63497B5A"/>
    <w:rsid w:val="634D3E3C"/>
    <w:rsid w:val="636860DF"/>
    <w:rsid w:val="63730790"/>
    <w:rsid w:val="637536FD"/>
    <w:rsid w:val="6397793C"/>
    <w:rsid w:val="63AF5CAD"/>
    <w:rsid w:val="63E55721"/>
    <w:rsid w:val="63F630DE"/>
    <w:rsid w:val="6423336C"/>
    <w:rsid w:val="642C4105"/>
    <w:rsid w:val="643B771B"/>
    <w:rsid w:val="64436735"/>
    <w:rsid w:val="64475B6E"/>
    <w:rsid w:val="646531B1"/>
    <w:rsid w:val="646F0BCA"/>
    <w:rsid w:val="64730113"/>
    <w:rsid w:val="648A12AB"/>
    <w:rsid w:val="649065D7"/>
    <w:rsid w:val="649F0D21"/>
    <w:rsid w:val="64A75316"/>
    <w:rsid w:val="64D35864"/>
    <w:rsid w:val="64D63FF5"/>
    <w:rsid w:val="64F8546C"/>
    <w:rsid w:val="651E74C5"/>
    <w:rsid w:val="652E2735"/>
    <w:rsid w:val="65407695"/>
    <w:rsid w:val="65652954"/>
    <w:rsid w:val="657A5DAB"/>
    <w:rsid w:val="65820764"/>
    <w:rsid w:val="65BD51BE"/>
    <w:rsid w:val="65C55A95"/>
    <w:rsid w:val="65D05B29"/>
    <w:rsid w:val="65D756AF"/>
    <w:rsid w:val="65DD16D6"/>
    <w:rsid w:val="65E63217"/>
    <w:rsid w:val="65F12B73"/>
    <w:rsid w:val="65F82138"/>
    <w:rsid w:val="661776A5"/>
    <w:rsid w:val="666A3731"/>
    <w:rsid w:val="66862423"/>
    <w:rsid w:val="66B26C9E"/>
    <w:rsid w:val="66E909C3"/>
    <w:rsid w:val="66FC54CA"/>
    <w:rsid w:val="670C6FCC"/>
    <w:rsid w:val="670D78A3"/>
    <w:rsid w:val="673116A9"/>
    <w:rsid w:val="67320D86"/>
    <w:rsid w:val="673A4495"/>
    <w:rsid w:val="67457087"/>
    <w:rsid w:val="675B5CD2"/>
    <w:rsid w:val="676D4A21"/>
    <w:rsid w:val="67743C2E"/>
    <w:rsid w:val="67782383"/>
    <w:rsid w:val="67971E6A"/>
    <w:rsid w:val="67D66C2F"/>
    <w:rsid w:val="67E32CC4"/>
    <w:rsid w:val="67E67579"/>
    <w:rsid w:val="680B2001"/>
    <w:rsid w:val="68151E96"/>
    <w:rsid w:val="68220960"/>
    <w:rsid w:val="68334B46"/>
    <w:rsid w:val="68487F13"/>
    <w:rsid w:val="685561A3"/>
    <w:rsid w:val="6859281F"/>
    <w:rsid w:val="68620324"/>
    <w:rsid w:val="68641B31"/>
    <w:rsid w:val="68680353"/>
    <w:rsid w:val="686B59E0"/>
    <w:rsid w:val="687B18A4"/>
    <w:rsid w:val="68B31A2F"/>
    <w:rsid w:val="68E927C9"/>
    <w:rsid w:val="68F556FC"/>
    <w:rsid w:val="690A6B95"/>
    <w:rsid w:val="693041B5"/>
    <w:rsid w:val="693918E3"/>
    <w:rsid w:val="695E2CBC"/>
    <w:rsid w:val="69694226"/>
    <w:rsid w:val="69816785"/>
    <w:rsid w:val="69960D43"/>
    <w:rsid w:val="69D0227A"/>
    <w:rsid w:val="69D41B10"/>
    <w:rsid w:val="69E7240F"/>
    <w:rsid w:val="6A0920FC"/>
    <w:rsid w:val="6A0F19F2"/>
    <w:rsid w:val="6A251F0F"/>
    <w:rsid w:val="6A3B6FA9"/>
    <w:rsid w:val="6A7313C5"/>
    <w:rsid w:val="6A76683A"/>
    <w:rsid w:val="6A921FA8"/>
    <w:rsid w:val="6A9B6781"/>
    <w:rsid w:val="6AA748DA"/>
    <w:rsid w:val="6AAC1371"/>
    <w:rsid w:val="6AC92C22"/>
    <w:rsid w:val="6AD45EC1"/>
    <w:rsid w:val="6AEB58DE"/>
    <w:rsid w:val="6AF26029"/>
    <w:rsid w:val="6B045EE7"/>
    <w:rsid w:val="6B0512A5"/>
    <w:rsid w:val="6B0F0F88"/>
    <w:rsid w:val="6B3C66FF"/>
    <w:rsid w:val="6B4161BD"/>
    <w:rsid w:val="6B493781"/>
    <w:rsid w:val="6B4B1DDD"/>
    <w:rsid w:val="6B5528BD"/>
    <w:rsid w:val="6B5E2CDA"/>
    <w:rsid w:val="6B621E0C"/>
    <w:rsid w:val="6B8030F5"/>
    <w:rsid w:val="6BAD0271"/>
    <w:rsid w:val="6BD60EEB"/>
    <w:rsid w:val="6BEE3CC0"/>
    <w:rsid w:val="6BF71579"/>
    <w:rsid w:val="6BFA5804"/>
    <w:rsid w:val="6BFD46FA"/>
    <w:rsid w:val="6C3306A4"/>
    <w:rsid w:val="6C3E63DC"/>
    <w:rsid w:val="6C424009"/>
    <w:rsid w:val="6C5B3716"/>
    <w:rsid w:val="6C622062"/>
    <w:rsid w:val="6C667D0B"/>
    <w:rsid w:val="6C865580"/>
    <w:rsid w:val="6C8D1DF7"/>
    <w:rsid w:val="6C8E7C14"/>
    <w:rsid w:val="6CA66C23"/>
    <w:rsid w:val="6CB520C1"/>
    <w:rsid w:val="6D2215A7"/>
    <w:rsid w:val="6D652726"/>
    <w:rsid w:val="6D835216"/>
    <w:rsid w:val="6DC363D4"/>
    <w:rsid w:val="6DC808EA"/>
    <w:rsid w:val="6DC87989"/>
    <w:rsid w:val="6DD860E4"/>
    <w:rsid w:val="6DED216E"/>
    <w:rsid w:val="6DF1641B"/>
    <w:rsid w:val="6E0B1CBE"/>
    <w:rsid w:val="6E45159D"/>
    <w:rsid w:val="6E6F3A87"/>
    <w:rsid w:val="6E8A2715"/>
    <w:rsid w:val="6E955A76"/>
    <w:rsid w:val="6E9C51BA"/>
    <w:rsid w:val="6E9E7E78"/>
    <w:rsid w:val="6EA516E5"/>
    <w:rsid w:val="6EEE2ADC"/>
    <w:rsid w:val="6EF627F8"/>
    <w:rsid w:val="6F140343"/>
    <w:rsid w:val="6F1A6BD6"/>
    <w:rsid w:val="6F430610"/>
    <w:rsid w:val="6F7F6239"/>
    <w:rsid w:val="6F8C13A2"/>
    <w:rsid w:val="6F9F2DAE"/>
    <w:rsid w:val="6FF77399"/>
    <w:rsid w:val="70021770"/>
    <w:rsid w:val="700A7DB6"/>
    <w:rsid w:val="70200776"/>
    <w:rsid w:val="7035594B"/>
    <w:rsid w:val="70513EC8"/>
    <w:rsid w:val="707B7F9E"/>
    <w:rsid w:val="70895462"/>
    <w:rsid w:val="70966E98"/>
    <w:rsid w:val="70A3551E"/>
    <w:rsid w:val="70B756ED"/>
    <w:rsid w:val="70C23486"/>
    <w:rsid w:val="70C96F58"/>
    <w:rsid w:val="70D62197"/>
    <w:rsid w:val="70EC608E"/>
    <w:rsid w:val="70F70F5A"/>
    <w:rsid w:val="71006352"/>
    <w:rsid w:val="71334749"/>
    <w:rsid w:val="713A506B"/>
    <w:rsid w:val="713C22BA"/>
    <w:rsid w:val="71543824"/>
    <w:rsid w:val="716428E7"/>
    <w:rsid w:val="717B48BA"/>
    <w:rsid w:val="71971F5C"/>
    <w:rsid w:val="71AA6188"/>
    <w:rsid w:val="71AE72C6"/>
    <w:rsid w:val="71C43062"/>
    <w:rsid w:val="71C82137"/>
    <w:rsid w:val="71EF7DB4"/>
    <w:rsid w:val="720B2B10"/>
    <w:rsid w:val="723E67FF"/>
    <w:rsid w:val="72457F73"/>
    <w:rsid w:val="72532ADF"/>
    <w:rsid w:val="725D6829"/>
    <w:rsid w:val="72603A6C"/>
    <w:rsid w:val="72686E96"/>
    <w:rsid w:val="726957B4"/>
    <w:rsid w:val="72756B50"/>
    <w:rsid w:val="72A24600"/>
    <w:rsid w:val="72C90BA4"/>
    <w:rsid w:val="72D70BBD"/>
    <w:rsid w:val="72EF0BE9"/>
    <w:rsid w:val="72F860D9"/>
    <w:rsid w:val="72FD7D17"/>
    <w:rsid w:val="7307505E"/>
    <w:rsid w:val="734F03EB"/>
    <w:rsid w:val="73570151"/>
    <w:rsid w:val="735B3EDE"/>
    <w:rsid w:val="73610B23"/>
    <w:rsid w:val="73715681"/>
    <w:rsid w:val="7380381E"/>
    <w:rsid w:val="73810775"/>
    <w:rsid w:val="739E02F6"/>
    <w:rsid w:val="739F60A9"/>
    <w:rsid w:val="73A47DA0"/>
    <w:rsid w:val="73B264D6"/>
    <w:rsid w:val="73CA1D68"/>
    <w:rsid w:val="73DC6099"/>
    <w:rsid w:val="73FC6A55"/>
    <w:rsid w:val="7421558E"/>
    <w:rsid w:val="74274828"/>
    <w:rsid w:val="74592A60"/>
    <w:rsid w:val="746C529A"/>
    <w:rsid w:val="746F6684"/>
    <w:rsid w:val="749D5F34"/>
    <w:rsid w:val="74B449D5"/>
    <w:rsid w:val="74B6661F"/>
    <w:rsid w:val="74BB4292"/>
    <w:rsid w:val="74BF16B0"/>
    <w:rsid w:val="74C51E5D"/>
    <w:rsid w:val="74D51383"/>
    <w:rsid w:val="74FE10DF"/>
    <w:rsid w:val="753C00E5"/>
    <w:rsid w:val="75520CDF"/>
    <w:rsid w:val="75674CFA"/>
    <w:rsid w:val="75676DCD"/>
    <w:rsid w:val="756B4204"/>
    <w:rsid w:val="75B77899"/>
    <w:rsid w:val="75C61791"/>
    <w:rsid w:val="75EA7F85"/>
    <w:rsid w:val="75FB1A13"/>
    <w:rsid w:val="763A5ADE"/>
    <w:rsid w:val="765009E3"/>
    <w:rsid w:val="76650257"/>
    <w:rsid w:val="76855028"/>
    <w:rsid w:val="76A11DEF"/>
    <w:rsid w:val="76A90806"/>
    <w:rsid w:val="76AB15A7"/>
    <w:rsid w:val="76AF2221"/>
    <w:rsid w:val="76BB37A0"/>
    <w:rsid w:val="76C75BDA"/>
    <w:rsid w:val="76E4724D"/>
    <w:rsid w:val="76F33EDC"/>
    <w:rsid w:val="772C2C13"/>
    <w:rsid w:val="773D398C"/>
    <w:rsid w:val="7743694D"/>
    <w:rsid w:val="77772EFA"/>
    <w:rsid w:val="779067F3"/>
    <w:rsid w:val="77C418A8"/>
    <w:rsid w:val="77D900C1"/>
    <w:rsid w:val="77E1115B"/>
    <w:rsid w:val="77E8539E"/>
    <w:rsid w:val="784136C2"/>
    <w:rsid w:val="78506A5C"/>
    <w:rsid w:val="786C7EA5"/>
    <w:rsid w:val="789C1D7A"/>
    <w:rsid w:val="78A22E64"/>
    <w:rsid w:val="78BC1C39"/>
    <w:rsid w:val="78BC37D9"/>
    <w:rsid w:val="78E663DB"/>
    <w:rsid w:val="78FC3ADF"/>
    <w:rsid w:val="79130908"/>
    <w:rsid w:val="792736B5"/>
    <w:rsid w:val="79375CD8"/>
    <w:rsid w:val="79754FEF"/>
    <w:rsid w:val="7997519F"/>
    <w:rsid w:val="799A174D"/>
    <w:rsid w:val="79A05BFC"/>
    <w:rsid w:val="79FD4329"/>
    <w:rsid w:val="7A101216"/>
    <w:rsid w:val="7A3942BF"/>
    <w:rsid w:val="7A3E45EB"/>
    <w:rsid w:val="7A8228BD"/>
    <w:rsid w:val="7AB62749"/>
    <w:rsid w:val="7AD67F63"/>
    <w:rsid w:val="7AE23A17"/>
    <w:rsid w:val="7AE2544A"/>
    <w:rsid w:val="7AF40F48"/>
    <w:rsid w:val="7AFF44D7"/>
    <w:rsid w:val="7B0901EE"/>
    <w:rsid w:val="7B1F55DA"/>
    <w:rsid w:val="7B863F57"/>
    <w:rsid w:val="7BCD162F"/>
    <w:rsid w:val="7BEB7DEF"/>
    <w:rsid w:val="7BFC4DA4"/>
    <w:rsid w:val="7C2522D4"/>
    <w:rsid w:val="7C6161C3"/>
    <w:rsid w:val="7C7676D8"/>
    <w:rsid w:val="7C7B56E0"/>
    <w:rsid w:val="7C8D12FA"/>
    <w:rsid w:val="7C9B2660"/>
    <w:rsid w:val="7CA23A46"/>
    <w:rsid w:val="7CA46084"/>
    <w:rsid w:val="7CA46244"/>
    <w:rsid w:val="7CA75D91"/>
    <w:rsid w:val="7CB95D06"/>
    <w:rsid w:val="7CC035B8"/>
    <w:rsid w:val="7CCC3935"/>
    <w:rsid w:val="7D17527D"/>
    <w:rsid w:val="7D341E91"/>
    <w:rsid w:val="7D4A63BD"/>
    <w:rsid w:val="7D5169AE"/>
    <w:rsid w:val="7D7302F7"/>
    <w:rsid w:val="7D833C6F"/>
    <w:rsid w:val="7DA01573"/>
    <w:rsid w:val="7DA845D7"/>
    <w:rsid w:val="7DCE7BA7"/>
    <w:rsid w:val="7DE13900"/>
    <w:rsid w:val="7DF74C1A"/>
    <w:rsid w:val="7DFB63C1"/>
    <w:rsid w:val="7E1360A7"/>
    <w:rsid w:val="7E3716B3"/>
    <w:rsid w:val="7E585419"/>
    <w:rsid w:val="7E5B4E54"/>
    <w:rsid w:val="7E854E68"/>
    <w:rsid w:val="7E990515"/>
    <w:rsid w:val="7EAB0007"/>
    <w:rsid w:val="7EB3525E"/>
    <w:rsid w:val="7EC6564A"/>
    <w:rsid w:val="7ED8706A"/>
    <w:rsid w:val="7EDD7BB2"/>
    <w:rsid w:val="7F204C44"/>
    <w:rsid w:val="7F2364AE"/>
    <w:rsid w:val="7F357520"/>
    <w:rsid w:val="7F6A4E0D"/>
    <w:rsid w:val="7F7F529B"/>
    <w:rsid w:val="7F930143"/>
    <w:rsid w:val="7FC62462"/>
    <w:rsid w:val="7FCA2A8F"/>
    <w:rsid w:val="7FD758EE"/>
    <w:rsid w:val="7FDA2D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50"/>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2">
    <w:name w:val="heading 3"/>
    <w:basedOn w:val="1"/>
    <w:next w:val="1"/>
    <w:link w:val="52"/>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Body Text"/>
    <w:basedOn w:val="1"/>
    <w:link w:val="57"/>
    <w:unhideWhenUsed/>
    <w:qFormat/>
    <w:uiPriority w:val="99"/>
    <w:pPr>
      <w:spacing w:after="120"/>
    </w:pPr>
  </w:style>
  <w:style w:type="paragraph" w:styleId="8">
    <w:name w:val="Body Text Indent"/>
    <w:basedOn w:val="1"/>
    <w:qFormat/>
    <w:uiPriority w:val="0"/>
    <w:pPr>
      <w:ind w:firstLine="630"/>
    </w:pPr>
    <w:rPr>
      <w:rFonts w:eastAsia="楷体_GB2312"/>
      <w:sz w:val="30"/>
      <w:szCs w:val="20"/>
    </w:rPr>
  </w:style>
  <w:style w:type="paragraph" w:styleId="9">
    <w:name w:val="Plain Text"/>
    <w:basedOn w:val="1"/>
    <w:qFormat/>
    <w:uiPriority w:val="0"/>
    <w:rPr>
      <w:rFonts w:ascii="宋体" w:hAnsi="Courier New"/>
      <w:szCs w:val="20"/>
    </w:rPr>
  </w:style>
  <w:style w:type="paragraph" w:styleId="10">
    <w:name w:val="Body Text Indent 2"/>
    <w:basedOn w:val="1"/>
    <w:link w:val="55"/>
    <w:qFormat/>
    <w:uiPriority w:val="99"/>
    <w:pPr>
      <w:ind w:firstLine="480"/>
    </w:pPr>
    <w:rPr>
      <w:rFonts w:ascii="宋体" w:hAnsi="宋体"/>
      <w:sz w:val="30"/>
      <w:szCs w:val="24"/>
    </w:rPr>
  </w:style>
  <w:style w:type="paragraph" w:styleId="11">
    <w:name w:val="Balloon Text"/>
    <w:basedOn w:val="1"/>
    <w:link w:val="51"/>
    <w:unhideWhenUsed/>
    <w:qFormat/>
    <w:uiPriority w:val="99"/>
    <w:rPr>
      <w:sz w:val="18"/>
      <w:szCs w:val="18"/>
    </w:rPr>
  </w:style>
  <w:style w:type="paragraph" w:styleId="12">
    <w:name w:val="footer"/>
    <w:basedOn w:val="1"/>
    <w:link w:val="48"/>
    <w:unhideWhenUsed/>
    <w:qFormat/>
    <w:uiPriority w:val="99"/>
    <w:pPr>
      <w:tabs>
        <w:tab w:val="center" w:pos="4153"/>
        <w:tab w:val="right" w:pos="8306"/>
      </w:tabs>
      <w:snapToGrid w:val="0"/>
      <w:jc w:val="left"/>
    </w:pPr>
    <w:rPr>
      <w:sz w:val="18"/>
      <w:szCs w:val="18"/>
    </w:rPr>
  </w:style>
  <w:style w:type="paragraph" w:styleId="13">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16">
    <w:name w:val="toc 2"/>
    <w:basedOn w:val="1"/>
    <w:next w:val="1"/>
    <w:semiHidden/>
    <w:unhideWhenUsed/>
    <w:qFormat/>
    <w:uiPriority w:val="39"/>
    <w:pPr>
      <w:ind w:left="420" w:leftChars="200"/>
    </w:pPr>
  </w:style>
  <w:style w:type="paragraph" w:styleId="17">
    <w:name w:val="Normal (Web)"/>
    <w:basedOn w:val="1"/>
    <w:link w:val="54"/>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8">
    <w:name w:val="Title"/>
    <w:basedOn w:val="1"/>
    <w:link w:val="58"/>
    <w:qFormat/>
    <w:uiPriority w:val="0"/>
    <w:pPr>
      <w:jc w:val="center"/>
    </w:pPr>
    <w:rPr>
      <w:rFonts w:ascii="宋体" w:hAnsi="宋体" w:eastAsia="宋体" w:cs="Times New Roman"/>
      <w:b/>
      <w:sz w:val="32"/>
      <w:szCs w:val="24"/>
    </w:rPr>
  </w:style>
  <w:style w:type="paragraph" w:styleId="19">
    <w:name w:val="Body Text First Indent 2"/>
    <w:basedOn w:val="8"/>
    <w:qFormat/>
    <w:uiPriority w:val="0"/>
    <w:pPr>
      <w:ind w:firstLine="420" w:firstLineChars="200"/>
    </w:pPr>
    <w:rPr>
      <w:kern w:val="0"/>
      <w:sz w:val="20"/>
      <w:szCs w:val="24"/>
    </w:rPr>
  </w:style>
  <w:style w:type="table" w:styleId="21">
    <w:name w:val="Table Grid"/>
    <w:basedOn w:val="2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unhideWhenUsed/>
    <w:qFormat/>
    <w:uiPriority w:val="99"/>
    <w:rPr>
      <w:color w:val="0000FF"/>
      <w:u w:val="single"/>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Char"/>
    <w:basedOn w:val="1"/>
    <w:qFormat/>
    <w:uiPriority w:val="0"/>
    <w:pPr>
      <w:spacing w:line="240" w:lineRule="atLeast"/>
      <w:ind w:left="420" w:firstLine="420"/>
    </w:pPr>
    <w:rPr>
      <w:rFonts w:ascii="Calibri" w:hAnsi="Calibri" w:eastAsia="宋体" w:cs="Times New Roman"/>
      <w:kern w:val="0"/>
      <w:szCs w:val="21"/>
    </w:rPr>
  </w:style>
  <w:style w:type="paragraph" w:customStyle="1" w:styleId="28">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9">
    <w:name w:val="Char1"/>
    <w:basedOn w:val="1"/>
    <w:qFormat/>
    <w:uiPriority w:val="0"/>
    <w:pPr>
      <w:spacing w:line="240" w:lineRule="atLeast"/>
      <w:ind w:left="420" w:firstLine="420"/>
    </w:pPr>
    <w:rPr>
      <w:rFonts w:ascii="Calibri" w:hAnsi="Calibri" w:eastAsia="宋体" w:cs="Times New Roman"/>
      <w:kern w:val="0"/>
      <w:szCs w:val="21"/>
    </w:rPr>
  </w:style>
  <w:style w:type="paragraph" w:customStyle="1" w:styleId="30">
    <w:name w:val="列出段落1"/>
    <w:basedOn w:val="1"/>
    <w:qFormat/>
    <w:uiPriority w:val="99"/>
    <w:pPr>
      <w:ind w:firstLine="420" w:firstLineChars="200"/>
    </w:pPr>
  </w:style>
  <w:style w:type="paragraph" w:customStyle="1" w:styleId="31">
    <w:name w:val="WPSOffice手动目录 1"/>
    <w:qFormat/>
    <w:uiPriority w:val="0"/>
    <w:rPr>
      <w:rFonts w:ascii="Calibri" w:hAnsi="Calibri" w:eastAsia="宋体" w:cs="Times New Roman"/>
      <w:lang w:val="en-US" w:eastAsia="zh-CN" w:bidi="ar-SA"/>
    </w:rPr>
  </w:style>
  <w:style w:type="paragraph" w:customStyle="1" w:styleId="32">
    <w:name w:val="WPSOffice手动目录 2"/>
    <w:qFormat/>
    <w:uiPriority w:val="0"/>
    <w:pPr>
      <w:ind w:left="200" w:leftChars="200"/>
    </w:pPr>
    <w:rPr>
      <w:rFonts w:ascii="Calibri" w:hAnsi="Calibri" w:eastAsia="宋体" w:cs="Times New Roman"/>
      <w:lang w:val="en-US" w:eastAsia="zh-CN" w:bidi="ar-SA"/>
    </w:rPr>
  </w:style>
  <w:style w:type="paragraph" w:customStyle="1" w:styleId="33">
    <w:name w:val="Char2"/>
    <w:basedOn w:val="1"/>
    <w:qFormat/>
    <w:uiPriority w:val="0"/>
    <w:pPr>
      <w:spacing w:line="240" w:lineRule="atLeast"/>
      <w:ind w:left="420" w:firstLine="420"/>
    </w:pPr>
    <w:rPr>
      <w:rFonts w:ascii="Calibri" w:hAnsi="Calibri" w:eastAsia="宋体" w:cs="Times New Roman"/>
      <w:kern w:val="0"/>
      <w:szCs w:val="21"/>
    </w:rPr>
  </w:style>
  <w:style w:type="paragraph" w:customStyle="1" w:styleId="34">
    <w:name w:val="Char3"/>
    <w:basedOn w:val="1"/>
    <w:qFormat/>
    <w:uiPriority w:val="0"/>
    <w:pPr>
      <w:spacing w:line="240" w:lineRule="atLeast"/>
      <w:ind w:left="420" w:firstLine="420"/>
    </w:pPr>
    <w:rPr>
      <w:rFonts w:ascii="Calibri" w:hAnsi="Calibri" w:eastAsia="宋体" w:cs="Times New Roman"/>
      <w:kern w:val="0"/>
      <w:szCs w:val="21"/>
    </w:rPr>
  </w:style>
  <w:style w:type="paragraph" w:customStyle="1" w:styleId="35">
    <w:name w:val="采购二级"/>
    <w:basedOn w:val="1"/>
    <w:link w:val="53"/>
    <w:qFormat/>
    <w:uiPriority w:val="0"/>
    <w:pPr>
      <w:snapToGrid w:val="0"/>
      <w:spacing w:line="560" w:lineRule="exact"/>
      <w:ind w:firstLine="480" w:firstLineChars="200"/>
      <w:outlineLvl w:val="1"/>
    </w:pPr>
    <w:rPr>
      <w:rFonts w:ascii="仿宋" w:hAnsi="仿宋" w:eastAsia="仿宋"/>
      <w:b/>
      <w:sz w:val="24"/>
      <w:szCs w:val="24"/>
    </w:rPr>
  </w:style>
  <w:style w:type="paragraph" w:customStyle="1" w:styleId="36">
    <w:name w:val="Char4"/>
    <w:basedOn w:val="1"/>
    <w:qFormat/>
    <w:uiPriority w:val="0"/>
    <w:pPr>
      <w:spacing w:line="240" w:lineRule="atLeast"/>
      <w:ind w:left="420" w:firstLine="420"/>
    </w:pPr>
    <w:rPr>
      <w:rFonts w:ascii="Calibri" w:hAnsi="Calibri" w:eastAsia="宋体" w:cs="Times New Roman"/>
      <w:kern w:val="0"/>
      <w:szCs w:val="21"/>
    </w:rPr>
  </w:style>
  <w:style w:type="paragraph" w:customStyle="1" w:styleId="37">
    <w:name w:val="Char5"/>
    <w:basedOn w:val="1"/>
    <w:qFormat/>
    <w:uiPriority w:val="0"/>
    <w:pPr>
      <w:spacing w:line="240" w:lineRule="atLeast"/>
      <w:ind w:left="420" w:firstLine="420"/>
    </w:pPr>
    <w:rPr>
      <w:rFonts w:ascii="Calibri" w:hAnsi="Calibri" w:eastAsia="宋体" w:cs="Times New Roman"/>
      <w:kern w:val="0"/>
      <w:szCs w:val="21"/>
    </w:rPr>
  </w:style>
  <w:style w:type="paragraph" w:customStyle="1" w:styleId="38">
    <w:name w:val="Char6"/>
    <w:basedOn w:val="1"/>
    <w:qFormat/>
    <w:uiPriority w:val="0"/>
    <w:pPr>
      <w:spacing w:line="240" w:lineRule="atLeast"/>
      <w:ind w:left="420" w:firstLine="420"/>
    </w:pPr>
    <w:rPr>
      <w:rFonts w:ascii="Calibri" w:hAnsi="Calibri" w:eastAsia="宋体" w:cs="Times New Roman"/>
      <w:kern w:val="0"/>
      <w:szCs w:val="21"/>
    </w:rPr>
  </w:style>
  <w:style w:type="paragraph" w:customStyle="1" w:styleId="39">
    <w:name w:val="Char7"/>
    <w:basedOn w:val="1"/>
    <w:qFormat/>
    <w:uiPriority w:val="0"/>
    <w:pPr>
      <w:spacing w:line="240" w:lineRule="atLeast"/>
      <w:ind w:left="420" w:firstLine="420"/>
    </w:pPr>
    <w:rPr>
      <w:rFonts w:ascii="Calibri" w:hAnsi="Calibri" w:eastAsia="宋体" w:cs="Times New Roman"/>
      <w:kern w:val="0"/>
      <w:szCs w:val="21"/>
    </w:rPr>
  </w:style>
  <w:style w:type="paragraph" w:customStyle="1" w:styleId="40">
    <w:name w:val="Char8"/>
    <w:basedOn w:val="1"/>
    <w:qFormat/>
    <w:uiPriority w:val="0"/>
    <w:pPr>
      <w:spacing w:line="240" w:lineRule="atLeast"/>
      <w:ind w:left="420" w:firstLine="420"/>
    </w:pPr>
    <w:rPr>
      <w:rFonts w:ascii="Calibri" w:hAnsi="Calibri" w:eastAsia="宋体" w:cs="Times New Roman"/>
      <w:kern w:val="0"/>
      <w:szCs w:val="21"/>
    </w:rPr>
  </w:style>
  <w:style w:type="paragraph" w:customStyle="1" w:styleId="41">
    <w:name w:val="Char9"/>
    <w:basedOn w:val="1"/>
    <w:qFormat/>
    <w:uiPriority w:val="0"/>
    <w:pPr>
      <w:spacing w:line="240" w:lineRule="atLeast"/>
      <w:ind w:left="420" w:firstLine="420"/>
    </w:pPr>
    <w:rPr>
      <w:rFonts w:ascii="Calibri" w:hAnsi="Calibri" w:eastAsia="宋体" w:cs="Times New Roman"/>
      <w:kern w:val="0"/>
      <w:szCs w:val="21"/>
    </w:rPr>
  </w:style>
  <w:style w:type="paragraph" w:customStyle="1" w:styleId="42">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43">
    <w:name w:val="列出段落2"/>
    <w:basedOn w:val="1"/>
    <w:qFormat/>
    <w:uiPriority w:val="0"/>
    <w:pPr>
      <w:ind w:firstLine="420" w:firstLineChars="200"/>
    </w:pPr>
    <w:rPr>
      <w:rFonts w:ascii="Calibri" w:hAnsi="Calibri" w:eastAsia="宋体" w:cs="Times New Roman"/>
      <w:szCs w:val="21"/>
    </w:rPr>
  </w:style>
  <w:style w:type="paragraph" w:customStyle="1" w:styleId="44">
    <w:name w:val="List Paragraph"/>
    <w:basedOn w:val="1"/>
    <w:unhideWhenUsed/>
    <w:qFormat/>
    <w:uiPriority w:val="99"/>
    <w:pPr>
      <w:ind w:firstLine="420" w:firstLineChars="200"/>
    </w:pPr>
  </w:style>
  <w:style w:type="paragraph" w:customStyle="1" w:styleId="45">
    <w:name w:val="Char Char Char Char Char Char Char"/>
    <w:basedOn w:val="1"/>
    <w:qFormat/>
    <w:uiPriority w:val="0"/>
    <w:rPr>
      <w:rFonts w:ascii="Times New Roman" w:hAnsi="Times New Roman" w:eastAsia="宋体" w:cs="Times New Roman"/>
      <w:szCs w:val="24"/>
    </w:rPr>
  </w:style>
  <w:style w:type="paragraph" w:customStyle="1" w:styleId="46">
    <w:name w:val="Char Char Char Char Char Char Char1"/>
    <w:basedOn w:val="1"/>
    <w:qFormat/>
    <w:uiPriority w:val="0"/>
    <w:rPr>
      <w:rFonts w:ascii="Times New Roman" w:hAnsi="Times New Roman" w:eastAsia="宋体" w:cs="Times New Roman"/>
      <w:szCs w:val="24"/>
    </w:rPr>
  </w:style>
  <w:style w:type="character" w:customStyle="1" w:styleId="47">
    <w:name w:val="页眉 Char"/>
    <w:basedOn w:val="22"/>
    <w:link w:val="13"/>
    <w:qFormat/>
    <w:uiPriority w:val="99"/>
    <w:rPr>
      <w:sz w:val="18"/>
      <w:szCs w:val="18"/>
    </w:rPr>
  </w:style>
  <w:style w:type="character" w:customStyle="1" w:styleId="48">
    <w:name w:val="页脚 Char"/>
    <w:basedOn w:val="22"/>
    <w:link w:val="12"/>
    <w:qFormat/>
    <w:uiPriority w:val="99"/>
    <w:rPr>
      <w:sz w:val="18"/>
      <w:szCs w:val="18"/>
    </w:rPr>
  </w:style>
  <w:style w:type="character" w:customStyle="1" w:styleId="49">
    <w:name w:val="标题 1 Char"/>
    <w:basedOn w:val="22"/>
    <w:link w:val="3"/>
    <w:qFormat/>
    <w:uiPriority w:val="9"/>
    <w:rPr>
      <w:b/>
      <w:bCs/>
      <w:kern w:val="44"/>
      <w:sz w:val="44"/>
      <w:szCs w:val="44"/>
    </w:rPr>
  </w:style>
  <w:style w:type="character" w:customStyle="1" w:styleId="50">
    <w:name w:val="标题 2 Char"/>
    <w:basedOn w:val="22"/>
    <w:link w:val="4"/>
    <w:qFormat/>
    <w:uiPriority w:val="9"/>
    <w:rPr>
      <w:rFonts w:ascii="Cambria" w:hAnsi="Cambria" w:eastAsia="宋体" w:cs="黑体"/>
      <w:b/>
      <w:bCs/>
      <w:sz w:val="32"/>
      <w:szCs w:val="32"/>
    </w:rPr>
  </w:style>
  <w:style w:type="character" w:customStyle="1" w:styleId="51">
    <w:name w:val="批注框文本 Char"/>
    <w:basedOn w:val="22"/>
    <w:link w:val="11"/>
    <w:semiHidden/>
    <w:qFormat/>
    <w:uiPriority w:val="99"/>
    <w:rPr>
      <w:sz w:val="18"/>
      <w:szCs w:val="18"/>
    </w:rPr>
  </w:style>
  <w:style w:type="character" w:customStyle="1" w:styleId="52">
    <w:name w:val="标题 3 Char"/>
    <w:basedOn w:val="22"/>
    <w:link w:val="2"/>
    <w:qFormat/>
    <w:uiPriority w:val="9"/>
    <w:rPr>
      <w:b/>
      <w:bCs/>
      <w:sz w:val="32"/>
      <w:szCs w:val="32"/>
    </w:rPr>
  </w:style>
  <w:style w:type="character" w:customStyle="1" w:styleId="53">
    <w:name w:val="采购二级 Char"/>
    <w:link w:val="35"/>
    <w:qFormat/>
    <w:locked/>
    <w:uiPriority w:val="0"/>
    <w:rPr>
      <w:rFonts w:ascii="仿宋" w:hAnsi="仿宋" w:eastAsia="仿宋"/>
      <w:b/>
      <w:kern w:val="2"/>
      <w:sz w:val="24"/>
      <w:szCs w:val="24"/>
    </w:rPr>
  </w:style>
  <w:style w:type="character" w:customStyle="1" w:styleId="54">
    <w:name w:val="普通(网站) Char"/>
    <w:link w:val="17"/>
    <w:qFormat/>
    <w:uiPriority w:val="0"/>
    <w:rPr>
      <w:rFonts w:ascii="宋体" w:hAnsi="宋体" w:cs="宋体"/>
      <w:color w:val="000000"/>
      <w:sz w:val="24"/>
      <w:szCs w:val="24"/>
    </w:rPr>
  </w:style>
  <w:style w:type="character" w:customStyle="1" w:styleId="55">
    <w:name w:val="正文文本缩进 2 Char"/>
    <w:link w:val="10"/>
    <w:qFormat/>
    <w:locked/>
    <w:uiPriority w:val="99"/>
    <w:rPr>
      <w:rFonts w:ascii="宋体" w:hAnsi="宋体"/>
      <w:kern w:val="2"/>
      <w:sz w:val="30"/>
      <w:szCs w:val="24"/>
    </w:rPr>
  </w:style>
  <w:style w:type="character" w:customStyle="1" w:styleId="56">
    <w:name w:val="正文文本缩进 2 Char1"/>
    <w:basedOn w:val="22"/>
    <w:semiHidden/>
    <w:qFormat/>
    <w:uiPriority w:val="99"/>
    <w:rPr>
      <w:kern w:val="2"/>
      <w:sz w:val="21"/>
      <w:szCs w:val="22"/>
    </w:rPr>
  </w:style>
  <w:style w:type="character" w:customStyle="1" w:styleId="57">
    <w:name w:val="正文文本 Char"/>
    <w:basedOn w:val="22"/>
    <w:link w:val="7"/>
    <w:qFormat/>
    <w:uiPriority w:val="99"/>
    <w:rPr>
      <w:kern w:val="2"/>
      <w:sz w:val="21"/>
      <w:szCs w:val="22"/>
    </w:rPr>
  </w:style>
  <w:style w:type="character" w:customStyle="1" w:styleId="58">
    <w:name w:val="标题 Char"/>
    <w:basedOn w:val="22"/>
    <w:link w:val="18"/>
    <w:qFormat/>
    <w:uiPriority w:val="0"/>
    <w:rPr>
      <w:rFonts w:ascii="宋体" w:hAnsi="宋体"/>
      <w:b/>
      <w:kern w:val="2"/>
      <w:sz w:val="32"/>
      <w:szCs w:val="24"/>
    </w:rPr>
  </w:style>
  <w:style w:type="character" w:customStyle="1" w:styleId="59">
    <w:name w:val="font21"/>
    <w:basedOn w:val="22"/>
    <w:qFormat/>
    <w:uiPriority w:val="0"/>
    <w:rPr>
      <w:rFonts w:hint="eastAsia" w:ascii="宋体" w:hAnsi="宋体" w:eastAsia="宋体" w:cs="宋体"/>
      <w:color w:val="000000"/>
      <w:sz w:val="24"/>
      <w:szCs w:val="24"/>
      <w:u w:val="none"/>
    </w:rPr>
  </w:style>
  <w:style w:type="paragraph" w:customStyle="1" w:styleId="60">
    <w:name w:val="列出段落"/>
    <w:basedOn w:val="1"/>
    <w:qFormat/>
    <w:uiPriority w:val="99"/>
    <w:pPr>
      <w:widowControl/>
      <w:spacing w:after="160" w:line="259" w:lineRule="auto"/>
      <w:ind w:left="720"/>
      <w:contextualSpacing/>
      <w:jc w:val="left"/>
    </w:pPr>
    <w:rPr>
      <w:rFonts w:ascii="Calibri" w:hAnsi="Calibri" w:eastAsia="等线"/>
      <w:kern w:val="0"/>
      <w:sz w:val="22"/>
      <w:szCs w:val="22"/>
    </w:rPr>
  </w:style>
  <w:style w:type="paragraph" w:customStyle="1" w:styleId="61">
    <w:name w:val="_Style 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2">
    <w:name w:val="Table Paragraph"/>
    <w:basedOn w:val="1"/>
    <w:qFormat/>
    <w:uiPriority w:val="1"/>
    <w:pPr>
      <w:spacing w:line="292" w:lineRule="exact"/>
      <w:ind w:left="1506"/>
    </w:pPr>
    <w:rPr>
      <w:rFonts w:ascii="微软雅黑" w:hAnsi="微软雅黑" w:eastAsia="微软雅黑" w:cs="微软雅黑"/>
    </w:rPr>
  </w:style>
  <w:style w:type="paragraph" w:customStyle="1" w:styleId="6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8971</Words>
  <Characters>51135</Characters>
  <Lines>426</Lines>
  <Paragraphs>119</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2020-03-12T10:44:00Z</dcterms:created>
  <dc:creator>Lenovo</dc:creator>
  <cp:lastModifiedBy>新疆鼎标招投标代理公司</cp:lastModifiedBy>
  <cp:lastPrinted>2020-12-14T03:05:00Z</cp:lastPrinted>
  <dcterms:modified xsi:type="dcterms:W3CDTF">2020-12-17T04:02:41Z</dcterms:modified>
  <dc:title>伊犁州新华医院钬激光外科手术系统采购项目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