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87055">
      <w:pPr>
        <w:spacing w:line="240" w:lineRule="atLeast"/>
        <w:jc w:val="center"/>
        <w:rPr>
          <w:rFonts w:hint="eastAsia" w:ascii="仿宋" w:hAnsi="仿宋" w:eastAsia="仿宋" w:cs="仿宋"/>
          <w:b/>
          <w:bCs w:val="0"/>
          <w:color w:val="auto"/>
          <w:sz w:val="32"/>
          <w:szCs w:val="32"/>
          <w:highlight w:val="none"/>
          <w:lang w:eastAsia="zh-CN"/>
        </w:rPr>
      </w:pPr>
    </w:p>
    <w:p w14:paraId="2458B0B0">
      <w:pPr>
        <w:spacing w:line="240" w:lineRule="atLeast"/>
        <w:jc w:val="center"/>
        <w:rPr>
          <w:rFonts w:hint="eastAsia" w:ascii="仿宋" w:hAnsi="仿宋" w:eastAsia="仿宋" w:cs="仿宋"/>
          <w:b/>
          <w:bCs w:val="0"/>
          <w:color w:val="auto"/>
          <w:sz w:val="32"/>
          <w:szCs w:val="32"/>
          <w:highlight w:val="none"/>
          <w:lang w:eastAsia="zh-CN"/>
        </w:rPr>
      </w:pPr>
      <w:r>
        <w:rPr>
          <w:rFonts w:hint="eastAsia" w:ascii="仿宋" w:hAnsi="仿宋" w:eastAsia="仿宋" w:cs="仿宋"/>
          <w:b/>
          <w:bCs w:val="0"/>
          <w:color w:val="auto"/>
          <w:sz w:val="32"/>
          <w:szCs w:val="32"/>
          <w:highlight w:val="none"/>
          <w:lang w:eastAsia="zh-CN"/>
        </w:rPr>
        <w:t>麦盖提县防灾减灾能力提升项目-有机肥采购</w:t>
      </w:r>
    </w:p>
    <w:p w14:paraId="29A64EE9">
      <w:pPr>
        <w:spacing w:line="240" w:lineRule="atLeast"/>
        <w:jc w:val="center"/>
        <w:rPr>
          <w:rFonts w:hint="default" w:ascii="仿宋" w:hAnsi="仿宋" w:eastAsia="仿宋" w:cs="仿宋"/>
          <w:b/>
          <w:bCs w:val="0"/>
          <w:color w:val="auto"/>
          <w:sz w:val="32"/>
          <w:szCs w:val="32"/>
          <w:highlight w:val="none"/>
          <w:lang w:val="en-US" w:eastAsia="zh-CN"/>
        </w:rPr>
      </w:pPr>
    </w:p>
    <w:p w14:paraId="43BFA5B8">
      <w:pPr>
        <w:spacing w:line="240" w:lineRule="atLeast"/>
        <w:jc w:val="center"/>
        <w:rPr>
          <w:rFonts w:hint="eastAsia" w:ascii="仿宋" w:hAnsi="仿宋" w:eastAsia="仿宋" w:cs="仿宋"/>
          <w:b/>
          <w:bCs w:val="0"/>
          <w:color w:val="auto"/>
          <w:sz w:val="32"/>
          <w:szCs w:val="32"/>
          <w:highlight w:val="none"/>
          <w:lang w:val="en-US" w:eastAsia="zh-CN"/>
        </w:rPr>
      </w:pPr>
    </w:p>
    <w:p w14:paraId="55CF5E7A">
      <w:pPr>
        <w:spacing w:line="240" w:lineRule="atLeast"/>
        <w:jc w:val="center"/>
        <w:rPr>
          <w:rFonts w:hint="eastAsia" w:ascii="仿宋" w:hAnsi="仿宋" w:eastAsia="仿宋" w:cs="仿宋"/>
          <w:bCs/>
          <w:color w:val="auto"/>
          <w:sz w:val="32"/>
          <w:szCs w:val="32"/>
          <w:highlight w:val="none"/>
        </w:rPr>
      </w:pPr>
      <w:r>
        <w:rPr>
          <w:rFonts w:hint="eastAsia" w:ascii="仿宋" w:hAnsi="仿宋" w:eastAsia="仿宋" w:cs="仿宋"/>
          <w:b/>
          <w:bCs w:val="0"/>
          <w:color w:val="auto"/>
          <w:sz w:val="32"/>
          <w:szCs w:val="32"/>
          <w:highlight w:val="none"/>
        </w:rPr>
        <w:t>公开招标文件</w:t>
      </w:r>
    </w:p>
    <w:p w14:paraId="26F4971C">
      <w:pPr>
        <w:spacing w:line="240" w:lineRule="atLeast"/>
        <w:ind w:left="1079" w:leftChars="257" w:hanging="540"/>
        <w:jc w:val="both"/>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18454647">
      <w:pPr>
        <w:spacing w:line="240" w:lineRule="atLeast"/>
        <w:ind w:left="1079" w:leftChars="257" w:hanging="540"/>
        <w:jc w:val="both"/>
        <w:rPr>
          <w:rFonts w:hint="eastAsia" w:ascii="仿宋" w:hAnsi="仿宋" w:eastAsia="仿宋" w:cs="仿宋"/>
          <w:b/>
          <w:color w:val="auto"/>
          <w:sz w:val="28"/>
          <w:highlight w:val="none"/>
          <w:lang w:val="en-US" w:eastAsia="zh-CN"/>
        </w:rPr>
      </w:pPr>
    </w:p>
    <w:p w14:paraId="43E0622D">
      <w:pPr>
        <w:spacing w:line="240" w:lineRule="atLeast"/>
        <w:ind w:left="1079" w:leftChars="257" w:hanging="540"/>
        <w:jc w:val="both"/>
        <w:rPr>
          <w:rFonts w:hint="eastAsia" w:ascii="仿宋" w:hAnsi="仿宋" w:eastAsia="仿宋" w:cs="仿宋"/>
          <w:b/>
          <w:color w:val="auto"/>
          <w:sz w:val="28"/>
          <w:highlight w:val="none"/>
          <w:lang w:val="en-US" w:eastAsia="zh-CN"/>
        </w:rPr>
      </w:pPr>
    </w:p>
    <w:p w14:paraId="24E897DF">
      <w:pPr>
        <w:pStyle w:val="4"/>
        <w:rPr>
          <w:rFonts w:hint="eastAsia" w:ascii="仿宋" w:hAnsi="仿宋" w:eastAsia="仿宋" w:cs="仿宋"/>
          <w:b/>
          <w:color w:val="auto"/>
          <w:sz w:val="28"/>
          <w:highlight w:val="none"/>
        </w:rPr>
      </w:pPr>
    </w:p>
    <w:p w14:paraId="2A1BDEC7">
      <w:pPr>
        <w:rPr>
          <w:rFonts w:hint="eastAsia" w:ascii="仿宋" w:hAnsi="仿宋" w:eastAsia="仿宋" w:cs="仿宋"/>
          <w:color w:val="auto"/>
          <w:highlight w:val="none"/>
        </w:rPr>
      </w:pPr>
    </w:p>
    <w:p w14:paraId="3ED8C38B">
      <w:pPr>
        <w:spacing w:line="240" w:lineRule="atLeast"/>
        <w:ind w:left="1079" w:leftChars="257" w:hanging="540"/>
        <w:jc w:val="center"/>
        <w:rPr>
          <w:rFonts w:hint="eastAsia" w:ascii="仿宋" w:hAnsi="仿宋" w:eastAsia="仿宋" w:cs="仿宋"/>
          <w:b/>
          <w:color w:val="auto"/>
          <w:sz w:val="48"/>
          <w:szCs w:val="48"/>
          <w:highlight w:val="none"/>
        </w:rPr>
      </w:pPr>
      <w:r>
        <w:rPr>
          <w:rFonts w:hint="eastAsia" w:ascii="仿宋" w:hAnsi="仿宋" w:eastAsia="仿宋" w:cs="仿宋"/>
          <w:b/>
          <w:bCs/>
          <w:color w:val="auto"/>
          <w:kern w:val="0"/>
          <w:sz w:val="32"/>
          <w:szCs w:val="32"/>
          <w:highlight w:val="none"/>
          <w:shd w:val="clear" w:color="auto" w:fill="FFFFFF"/>
        </w:rPr>
        <w:t>项目编号：</w:t>
      </w:r>
      <w:r>
        <w:rPr>
          <w:rFonts w:hint="eastAsia" w:ascii="仿宋" w:hAnsi="仿宋" w:eastAsia="仿宋" w:cs="仿宋"/>
          <w:b/>
          <w:bCs/>
          <w:color w:val="auto"/>
          <w:kern w:val="0"/>
          <w:sz w:val="32"/>
          <w:szCs w:val="32"/>
          <w:highlight w:val="none"/>
          <w:shd w:val="clear" w:color="auto" w:fill="FFFFFF"/>
          <w:lang w:val="en-US" w:eastAsia="zh-CN"/>
        </w:rPr>
        <w:t xml:space="preserve"> </w:t>
      </w:r>
      <w:r>
        <w:rPr>
          <w:rFonts w:hint="eastAsia" w:ascii="仿宋" w:hAnsi="仿宋" w:eastAsia="仿宋" w:cs="仿宋"/>
          <w:b/>
          <w:color w:val="auto"/>
          <w:sz w:val="32"/>
          <w:highlight w:val="none"/>
          <w:lang w:val="en-US" w:eastAsia="zh-CN"/>
        </w:rPr>
        <w:t>XJBS（MGT)-202507-GK号</w:t>
      </w:r>
    </w:p>
    <w:p w14:paraId="09143009">
      <w:pPr>
        <w:spacing w:line="240" w:lineRule="atLeast"/>
        <w:ind w:left="1079" w:leftChars="257" w:hanging="540"/>
        <w:jc w:val="center"/>
        <w:rPr>
          <w:rFonts w:hint="eastAsia" w:ascii="仿宋" w:hAnsi="仿宋" w:eastAsia="仿宋" w:cs="仿宋"/>
          <w:b/>
          <w:color w:val="auto"/>
          <w:sz w:val="48"/>
          <w:szCs w:val="48"/>
          <w:highlight w:val="none"/>
        </w:rPr>
      </w:pPr>
    </w:p>
    <w:p w14:paraId="21F94B60">
      <w:pPr>
        <w:spacing w:line="240" w:lineRule="atLeast"/>
        <w:ind w:left="1079" w:leftChars="257" w:hanging="540"/>
        <w:jc w:val="center"/>
        <w:rPr>
          <w:rFonts w:hint="eastAsia" w:ascii="仿宋" w:hAnsi="仿宋" w:eastAsia="仿宋" w:cs="仿宋"/>
          <w:b/>
          <w:color w:val="auto"/>
          <w:sz w:val="48"/>
          <w:szCs w:val="48"/>
          <w:highlight w:val="none"/>
        </w:rPr>
      </w:pPr>
      <w:bookmarkStart w:id="0" w:name="_Toc17488"/>
      <w:bookmarkStart w:id="1" w:name="_Toc9761"/>
      <w:r>
        <w:rPr>
          <w:rFonts w:hint="eastAsia" w:ascii="仿宋" w:hAnsi="仿宋" w:eastAsia="仿宋" w:cs="仿宋"/>
          <w:b/>
          <w:color w:val="auto"/>
          <w:sz w:val="48"/>
          <w:szCs w:val="48"/>
          <w:highlight w:val="none"/>
        </w:rPr>
        <w:t>第一册</w:t>
      </w:r>
      <w:bookmarkEnd w:id="0"/>
      <w:bookmarkEnd w:id="1"/>
    </w:p>
    <w:p w14:paraId="5648DCA4">
      <w:pPr>
        <w:spacing w:line="240" w:lineRule="atLeast"/>
        <w:ind w:left="1079" w:leftChars="257" w:hanging="540"/>
        <w:jc w:val="center"/>
        <w:rPr>
          <w:rFonts w:hint="eastAsia" w:ascii="仿宋" w:hAnsi="仿宋" w:eastAsia="仿宋" w:cs="仿宋"/>
          <w:b/>
          <w:color w:val="auto"/>
          <w:sz w:val="52"/>
          <w:highlight w:val="none"/>
        </w:rPr>
      </w:pPr>
    </w:p>
    <w:p w14:paraId="227F19E2">
      <w:pPr>
        <w:spacing w:line="240" w:lineRule="atLeast"/>
        <w:ind w:left="1079" w:leftChars="257" w:hanging="540"/>
        <w:jc w:val="center"/>
        <w:rPr>
          <w:rFonts w:hint="eastAsia" w:ascii="仿宋" w:hAnsi="仿宋" w:eastAsia="仿宋" w:cs="仿宋"/>
          <w:b/>
          <w:color w:val="auto"/>
          <w:sz w:val="52"/>
          <w:highlight w:val="none"/>
        </w:rPr>
      </w:pPr>
    </w:p>
    <w:p w14:paraId="75F0B9C4">
      <w:pPr>
        <w:spacing w:line="720" w:lineRule="auto"/>
        <w:ind w:firstLine="897" w:firstLineChars="299"/>
        <w:rPr>
          <w:rFonts w:hint="eastAsia" w:ascii="仿宋" w:hAnsi="仿宋" w:eastAsia="仿宋" w:cs="仿宋"/>
          <w:b/>
          <w:bCs/>
          <w:color w:val="auto"/>
          <w:sz w:val="30"/>
          <w:szCs w:val="30"/>
          <w:highlight w:val="none"/>
          <w:u w:val="single"/>
        </w:rPr>
      </w:pPr>
      <w:bookmarkStart w:id="2" w:name="_Toc26642"/>
      <w:bookmarkStart w:id="3" w:name="_Toc20774"/>
      <w:r>
        <w:rPr>
          <w:rFonts w:hint="eastAsia" w:ascii="仿宋" w:hAnsi="仿宋" w:eastAsia="仿宋" w:cs="仿宋"/>
          <w:b/>
          <w:bCs/>
          <w:color w:val="auto"/>
          <w:sz w:val="30"/>
          <w:szCs w:val="30"/>
          <w:highlight w:val="none"/>
        </w:rPr>
        <w:t>采  购 单 位：</w:t>
      </w:r>
      <w:bookmarkEnd w:id="2"/>
      <w:bookmarkEnd w:id="3"/>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lang w:eastAsia="zh-CN"/>
        </w:rPr>
        <w:t>麦盖提县供销社</w:t>
      </w:r>
      <w:r>
        <w:rPr>
          <w:rFonts w:hint="eastAsia" w:ascii="仿宋" w:hAnsi="仿宋" w:eastAsia="仿宋" w:cs="仿宋"/>
          <w:b/>
          <w:bCs/>
          <w:color w:val="auto"/>
          <w:sz w:val="30"/>
          <w:szCs w:val="30"/>
          <w:highlight w:val="none"/>
          <w:u w:val="single"/>
        </w:rPr>
        <w:t xml:space="preserve">  </w:t>
      </w:r>
    </w:p>
    <w:p w14:paraId="4C3904A9">
      <w:pPr>
        <w:spacing w:line="720" w:lineRule="auto"/>
        <w:ind w:firstLine="897" w:firstLineChars="299"/>
        <w:rPr>
          <w:rFonts w:hint="eastAsia"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采购代理机构：</w:t>
      </w:r>
      <w:r>
        <w:rPr>
          <w:rFonts w:hint="eastAsia" w:ascii="仿宋" w:hAnsi="仿宋" w:eastAsia="仿宋" w:cs="仿宋"/>
          <w:b/>
          <w:bCs/>
          <w:color w:val="auto"/>
          <w:sz w:val="30"/>
          <w:szCs w:val="30"/>
          <w:highlight w:val="none"/>
          <w:u w:val="single"/>
          <w:lang w:eastAsia="zh-CN"/>
        </w:rPr>
        <w:t>新疆标晟工程管理咨询有限责任公司</w:t>
      </w:r>
      <w:r>
        <w:rPr>
          <w:rFonts w:hint="eastAsia" w:ascii="仿宋" w:hAnsi="仿宋" w:eastAsia="仿宋" w:cs="仿宋"/>
          <w:b/>
          <w:bCs/>
          <w:color w:val="auto"/>
          <w:sz w:val="30"/>
          <w:szCs w:val="30"/>
          <w:highlight w:val="none"/>
          <w:u w:val="single"/>
        </w:rPr>
        <w:t xml:space="preserve">  </w:t>
      </w:r>
    </w:p>
    <w:p w14:paraId="34B0C09F">
      <w:pPr>
        <w:spacing w:line="720" w:lineRule="auto"/>
        <w:ind w:firstLine="897" w:firstLineChars="299"/>
        <w:rPr>
          <w:rFonts w:hint="eastAsia" w:ascii="仿宋" w:hAnsi="仿宋" w:eastAsia="仿宋" w:cs="仿宋"/>
          <w:b/>
          <w:color w:val="auto"/>
          <w:szCs w:val="21"/>
          <w:highlight w:val="none"/>
          <w:lang w:eastAsia="zh-CN"/>
        </w:rPr>
      </w:pPr>
      <w:r>
        <w:rPr>
          <w:rFonts w:hint="eastAsia" w:ascii="仿宋" w:hAnsi="仿宋" w:eastAsia="仿宋" w:cs="仿宋"/>
          <w:b/>
          <w:bCs/>
          <w:color w:val="auto"/>
          <w:sz w:val="30"/>
          <w:szCs w:val="30"/>
          <w:highlight w:val="none"/>
        </w:rPr>
        <w:t>发  出 日 期：</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kern w:val="0"/>
          <w:sz w:val="30"/>
          <w:szCs w:val="30"/>
          <w:highlight w:val="none"/>
          <w:u w:val="single"/>
          <w:lang w:val="en-US" w:eastAsia="zh-CN"/>
        </w:rPr>
        <w:t>2025年6月</w:t>
      </w:r>
    </w:p>
    <w:p w14:paraId="6358D9F2">
      <w:pPr>
        <w:spacing w:line="240" w:lineRule="atLeast"/>
        <w:ind w:left="1079" w:leftChars="257" w:hanging="540"/>
        <w:rPr>
          <w:rFonts w:hint="eastAsia" w:ascii="仿宋" w:hAnsi="仿宋" w:eastAsia="仿宋" w:cs="仿宋"/>
          <w:b/>
          <w:color w:val="auto"/>
          <w:szCs w:val="21"/>
          <w:highlight w:val="none"/>
        </w:rPr>
      </w:pPr>
    </w:p>
    <w:p w14:paraId="40685308">
      <w:pPr>
        <w:rPr>
          <w:rFonts w:hint="eastAsia" w:ascii="仿宋" w:hAnsi="仿宋" w:eastAsia="仿宋" w:cs="仿宋"/>
          <w:color w:val="auto"/>
          <w:highlight w:val="none"/>
        </w:rPr>
      </w:pPr>
    </w:p>
    <w:p w14:paraId="3A01EC8A">
      <w:pPr>
        <w:spacing w:line="240" w:lineRule="atLeast"/>
        <w:ind w:left="1079" w:leftChars="257" w:hanging="540"/>
        <w:jc w:val="center"/>
        <w:rPr>
          <w:rFonts w:hint="eastAsia" w:ascii="仿宋" w:hAnsi="仿宋" w:eastAsia="仿宋" w:cs="仿宋"/>
          <w:color w:val="auto"/>
          <w:highlight w:val="none"/>
        </w:rPr>
      </w:pPr>
      <w:r>
        <w:rPr>
          <w:rFonts w:hint="eastAsia" w:ascii="仿宋" w:hAnsi="仿宋" w:eastAsia="仿宋" w:cs="仿宋"/>
          <w:b/>
          <w:color w:val="auto"/>
          <w:sz w:val="52"/>
          <w:highlight w:val="none"/>
        </w:rPr>
        <w:br w:type="page"/>
      </w:r>
      <w:r>
        <w:rPr>
          <w:rFonts w:hint="eastAsia" w:ascii="仿宋" w:hAnsi="仿宋" w:eastAsia="仿宋" w:cs="仿宋"/>
          <w:color w:val="auto"/>
          <w:sz w:val="30"/>
          <w:szCs w:val="30"/>
          <w:highlight w:val="none"/>
        </w:rPr>
        <w:t>目录</w:t>
      </w:r>
    </w:p>
    <w:p w14:paraId="06E97752">
      <w:pPr>
        <w:pStyle w:val="14"/>
        <w:tabs>
          <w:tab w:val="right" w:leader="dot" w:pos="9072"/>
        </w:tabs>
        <w:rPr>
          <w:rFonts w:hint="eastAsia" w:ascii="仿宋" w:hAnsi="仿宋" w:eastAsia="仿宋" w:cs="仿宋"/>
          <w:sz w:val="28"/>
          <w:szCs w:val="28"/>
        </w:rPr>
      </w:pPr>
      <w:r>
        <w:rPr>
          <w:rFonts w:hint="eastAsia" w:ascii="仿宋" w:hAnsi="仿宋" w:eastAsia="仿宋" w:cs="仿宋"/>
          <w:b/>
          <w:color w:val="auto"/>
          <w:sz w:val="32"/>
          <w:highlight w:val="none"/>
        </w:rPr>
        <w:fldChar w:fldCharType="begin"/>
      </w:r>
      <w:r>
        <w:rPr>
          <w:rFonts w:hint="eastAsia" w:ascii="仿宋" w:hAnsi="仿宋" w:eastAsia="仿宋" w:cs="仿宋"/>
          <w:b/>
          <w:color w:val="auto"/>
          <w:sz w:val="32"/>
          <w:highlight w:val="none"/>
        </w:rPr>
        <w:instrText xml:space="preserve">TOC \o "1-2" \h \u </w:instrText>
      </w:r>
      <w:r>
        <w:rPr>
          <w:rFonts w:hint="eastAsia" w:ascii="仿宋" w:hAnsi="仿宋" w:eastAsia="仿宋" w:cs="仿宋"/>
          <w:b/>
          <w:color w:val="auto"/>
          <w:sz w:val="32"/>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_Toc21346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rPr>
        <w:t>第一章</w:t>
      </w:r>
      <w:r>
        <w:rPr>
          <w:rFonts w:hint="eastAsia" w:ascii="仿宋" w:hAnsi="仿宋" w:eastAsia="仿宋" w:cs="仿宋"/>
          <w:sz w:val="28"/>
          <w:szCs w:val="28"/>
          <w:highlight w:val="none"/>
        </w:rPr>
        <w:t xml:space="preserve">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_Toc21346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5C320B9">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_Toc25958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   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_Toc25958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F71F436">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_Toc29365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   招标文件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_Toc29365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6A2C4604">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_Toc24808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   投标文件的编制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_Toc24808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3347472">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_Toc29532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投标文件的递交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_Toc29532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6F3849BC">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_Toc1672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五   开标及评标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_Toc1672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C14BE1E">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_Toc2135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六   确定中标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_Toc2135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6DD667B">
      <w:pPr>
        <w:pStyle w:val="14"/>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_Toc15054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rPr>
        <w:t>第二章  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_Toc15054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45FDD5F">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_Toc21974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第一部分 开标一览表及资格证明文件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_Toc21974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E00778F">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_Toc24069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  开标一览表（投标文件格式一）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_Toc24069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146A52C7">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_Toc22232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法人或者非法人组织的营业执照等证明文件或自然人的身份证明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_Toc22232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774E25E">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_Toc8368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  法定代表人授权书(投标文件格式二，自然人投标的无需提供)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_Toc8368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16A56D71">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_Toc11489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  社会保障资金的缴纳记录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_Toc11489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6E7B1CC3">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_Toc30479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   依法缴纳税收的证明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_Toc30479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4D078907">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_Toc2163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  投标保证金缴纳凭证复印件或投标担保函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70D298A">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_Toc4083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  参加政府采购活动前3年内在经营活动中没有重大违法记录的书面声明反商业受贿承诺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_Toc4083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FE09A55">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_Toc25631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以采购代理机构于投标截止日当天查询结果为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_Toc25631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FF1C335">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_Toc3717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   投标人须知资料表要求的其他资格证明文件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_Toc3717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AB86E82">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_Toc9672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第二部分  商务及技术文件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_Toc9672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76B732B7">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_Toc15120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   政府采购诚信投标承诺书（投标文件格式三）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_Toc15120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7B8E0D8E">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_Toc20146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投标书（投标文件格式四）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_Toc20146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F92626C">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_Toc11083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   投标保证金缴纳凭证复印件或投标担保函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_Toc11083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06E044EB">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_Toc22841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   投标分项报价表（投标文件格式六）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_Toc22841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136146CC">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_Toc9649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 xml:space="preserve">   技术规格偏离表（投标文件格式八）</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_Toc9649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6AA5D33B">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_Toc6448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 xml:space="preserve">   商务条款偏离表（投标文件格式九）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_Toc6448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084031F9">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_Toc24815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-1  中小企业声明函（投标文件格式十）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_Toc24815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DDC7B73">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_Toc23598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-2   残疾人福利性单位声明函（投标文件格式十一）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_Toc23598 \h </w:instrText>
      </w:r>
      <w:r>
        <w:rPr>
          <w:rFonts w:hint="eastAsia" w:ascii="仿宋" w:hAnsi="仿宋" w:eastAsia="仿宋" w:cs="仿宋"/>
          <w:sz w:val="28"/>
          <w:szCs w:val="28"/>
        </w:rPr>
        <w:fldChar w:fldCharType="separate"/>
      </w:r>
      <w:r>
        <w:rPr>
          <w:rFonts w:hint="eastAsia" w:ascii="仿宋" w:hAnsi="仿宋" w:eastAsia="仿宋" w:cs="仿宋"/>
          <w:sz w:val="28"/>
          <w:szCs w:val="28"/>
        </w:rPr>
        <w:t>58</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D00DA18">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_Toc1904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 xml:space="preserve">   投标人关联单位的说明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_Toc1904 \h </w:instrText>
      </w:r>
      <w:r>
        <w:rPr>
          <w:rFonts w:hint="eastAsia" w:ascii="仿宋" w:hAnsi="仿宋" w:eastAsia="仿宋" w:cs="仿宋"/>
          <w:sz w:val="28"/>
          <w:szCs w:val="28"/>
        </w:rPr>
        <w:fldChar w:fldCharType="separate"/>
      </w:r>
      <w:r>
        <w:rPr>
          <w:rFonts w:hint="eastAsia" w:ascii="仿宋" w:hAnsi="仿宋" w:eastAsia="仿宋" w:cs="仿宋"/>
          <w:sz w:val="28"/>
          <w:szCs w:val="28"/>
        </w:rPr>
        <w:t>58</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6B7C838F">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_Toc12631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 xml:space="preserve"> 申  明  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_Toc12631 \h </w:instrText>
      </w:r>
      <w:r>
        <w:rPr>
          <w:rFonts w:hint="eastAsia" w:ascii="仿宋" w:hAnsi="仿宋" w:eastAsia="仿宋" w:cs="仿宋"/>
          <w:sz w:val="28"/>
          <w:szCs w:val="28"/>
        </w:rPr>
        <w:fldChar w:fldCharType="separate"/>
      </w:r>
      <w:r>
        <w:rPr>
          <w:rFonts w:hint="eastAsia" w:ascii="仿宋" w:hAnsi="仿宋" w:eastAsia="仿宋" w:cs="仿宋"/>
          <w:sz w:val="28"/>
          <w:szCs w:val="28"/>
        </w:rPr>
        <w:t>59</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5D5C3C4">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_Toc26763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 xml:space="preserve">   自觉抵制招标领域商业贿赂行为承诺书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_Toc26763 \h </w:instrText>
      </w:r>
      <w:r>
        <w:rPr>
          <w:rFonts w:hint="eastAsia" w:ascii="仿宋" w:hAnsi="仿宋" w:eastAsia="仿宋" w:cs="仿宋"/>
          <w:sz w:val="28"/>
          <w:szCs w:val="28"/>
        </w:rPr>
        <w:fldChar w:fldCharType="separate"/>
      </w:r>
      <w:r>
        <w:rPr>
          <w:rFonts w:hint="eastAsia" w:ascii="仿宋" w:hAnsi="仿宋" w:eastAsia="仿宋" w:cs="仿宋"/>
          <w:sz w:val="28"/>
          <w:szCs w:val="28"/>
        </w:rPr>
        <w:t>60</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66F096B7">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_Toc15461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 xml:space="preserve">   投标人没有被限制或取消投标资格的承诺函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_Toc15461 \h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C0980A0">
      <w:pPr>
        <w:pStyle w:val="15"/>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_Toc19426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、投标人需要补充的其他文件和说明。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_Toc19426 \h </w:instrText>
      </w:r>
      <w:r>
        <w:rPr>
          <w:rFonts w:hint="eastAsia" w:ascii="仿宋" w:hAnsi="仿宋" w:eastAsia="仿宋" w:cs="仿宋"/>
          <w:sz w:val="28"/>
          <w:szCs w:val="28"/>
        </w:rPr>
        <w:fldChar w:fldCharType="separate"/>
      </w:r>
      <w:r>
        <w:rPr>
          <w:rFonts w:hint="eastAsia" w:ascii="仿宋" w:hAnsi="仿宋" w:eastAsia="仿宋" w:cs="仿宋"/>
          <w:sz w:val="28"/>
          <w:szCs w:val="28"/>
        </w:rPr>
        <w:t>63</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B21D971">
      <w:pPr>
        <w:pStyle w:val="14"/>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_Toc2954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rPr>
        <w:t>第三章  投标邀请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_Toc2954 \h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601F5CD">
      <w:pPr>
        <w:pStyle w:val="14"/>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_Toc21460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rPr>
        <w:t>第四章  投标人须知资料表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_Toc21460 \h </w:instrText>
      </w:r>
      <w:r>
        <w:rPr>
          <w:rFonts w:hint="eastAsia" w:ascii="仿宋" w:hAnsi="仿宋" w:eastAsia="仿宋" w:cs="仿宋"/>
          <w:sz w:val="28"/>
          <w:szCs w:val="28"/>
        </w:rPr>
        <w:fldChar w:fldCharType="separate"/>
      </w:r>
      <w:r>
        <w:rPr>
          <w:rFonts w:hint="eastAsia" w:ascii="仿宋" w:hAnsi="仿宋" w:eastAsia="仿宋" w:cs="仿宋"/>
          <w:sz w:val="28"/>
          <w:szCs w:val="28"/>
        </w:rPr>
        <w:t>69</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77D0690">
      <w:pPr>
        <w:pStyle w:val="14"/>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_Toc6646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rPr>
        <w:t>第五章  货物需求一览表及技术规格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_Toc6646 \h </w:instrText>
      </w:r>
      <w:r>
        <w:rPr>
          <w:rFonts w:hint="eastAsia" w:ascii="仿宋" w:hAnsi="仿宋" w:eastAsia="仿宋" w:cs="仿宋"/>
          <w:sz w:val="28"/>
          <w:szCs w:val="28"/>
        </w:rPr>
        <w:fldChar w:fldCharType="separate"/>
      </w:r>
      <w:r>
        <w:rPr>
          <w:rFonts w:hint="eastAsia" w:ascii="仿宋" w:hAnsi="仿宋" w:eastAsia="仿宋" w:cs="仿宋"/>
          <w:sz w:val="28"/>
          <w:szCs w:val="28"/>
        </w:rPr>
        <w:t>- 76 -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09BB5C3C">
      <w:pPr>
        <w:pStyle w:val="14"/>
        <w:tabs>
          <w:tab w:val="right" w:leader="dot" w:pos="9072"/>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_Toc11528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rPr>
        <w:t>第六章  评标方法和标准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_Toc11528 \h </w:instrText>
      </w:r>
      <w:r>
        <w:rPr>
          <w:rFonts w:hint="eastAsia" w:ascii="仿宋" w:hAnsi="仿宋" w:eastAsia="仿宋" w:cs="仿宋"/>
          <w:sz w:val="28"/>
          <w:szCs w:val="28"/>
        </w:rPr>
        <w:fldChar w:fldCharType="separate"/>
      </w:r>
      <w:r>
        <w:rPr>
          <w:rFonts w:hint="eastAsia" w:ascii="仿宋" w:hAnsi="仿宋" w:eastAsia="仿宋" w:cs="仿宋"/>
          <w:sz w:val="28"/>
          <w:szCs w:val="28"/>
        </w:rPr>
        <w:t>- 79 -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8F6E5ED">
      <w:pPr>
        <w:pStyle w:val="14"/>
        <w:tabs>
          <w:tab w:val="right" w:leader="dot" w:pos="9072"/>
        </w:tabs>
        <w:rPr>
          <w:rFonts w:hint="eastAsia" w:ascii="仿宋" w:hAnsi="仿宋" w:eastAsia="仿宋" w:cs="仿宋"/>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_Toc23508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rPr>
        <w:t>第七章  政府采购合同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_Toc23508 \h </w:instrText>
      </w:r>
      <w:r>
        <w:rPr>
          <w:rFonts w:hint="eastAsia" w:ascii="仿宋" w:hAnsi="仿宋" w:eastAsia="仿宋" w:cs="仿宋"/>
          <w:sz w:val="28"/>
          <w:szCs w:val="28"/>
        </w:rPr>
        <w:fldChar w:fldCharType="separate"/>
      </w:r>
      <w:r>
        <w:rPr>
          <w:rFonts w:hint="eastAsia" w:ascii="仿宋" w:hAnsi="仿宋" w:eastAsia="仿宋" w:cs="仿宋"/>
          <w:sz w:val="28"/>
          <w:szCs w:val="28"/>
        </w:rPr>
        <w:t>- 88 -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1A9F8D6F">
      <w:pPr>
        <w:pStyle w:val="4"/>
        <w:ind w:left="0" w:leftChars="0" w:firstLine="0" w:firstLineChars="0"/>
        <w:rPr>
          <w:rFonts w:hint="eastAsia" w:ascii="仿宋" w:hAnsi="仿宋" w:eastAsia="仿宋" w:cs="仿宋"/>
          <w:b/>
          <w:color w:val="auto"/>
          <w:sz w:val="32"/>
          <w:highlight w:val="none"/>
        </w:rPr>
        <w:sectPr>
          <w:headerReference r:id="rId3" w:type="default"/>
          <w:footerReference r:id="rId4" w:type="default"/>
          <w:pgSz w:w="11906" w:h="16838"/>
          <w:pgMar w:top="1417" w:right="1417" w:bottom="1417" w:left="1417" w:header="851" w:footer="992" w:gutter="0"/>
          <w:pgNumType w:start="1"/>
          <w:cols w:space="720" w:num="1"/>
          <w:docGrid w:type="linesAndChars" w:linePitch="312" w:charSpace="0"/>
        </w:sectPr>
      </w:pPr>
      <w:r>
        <w:rPr>
          <w:rFonts w:hint="eastAsia" w:ascii="仿宋" w:hAnsi="仿宋" w:eastAsia="仿宋" w:cs="仿宋"/>
          <w:color w:val="auto"/>
          <w:highlight w:val="none"/>
        </w:rPr>
        <w:fldChar w:fldCharType="end"/>
      </w:r>
    </w:p>
    <w:p w14:paraId="749205CA">
      <w:pPr>
        <w:pStyle w:val="2"/>
        <w:tabs>
          <w:tab w:val="left" w:pos="0"/>
        </w:tabs>
        <w:spacing w:before="0" w:after="0" w:line="240" w:lineRule="atLeast"/>
        <w:rPr>
          <w:rFonts w:hint="eastAsia" w:ascii="仿宋" w:hAnsi="仿宋" w:eastAsia="仿宋" w:cs="仿宋"/>
          <w:color w:val="auto"/>
          <w:highlight w:val="none"/>
        </w:rPr>
      </w:pPr>
      <w:bookmarkStart w:id="4" w:name="_Toc25861"/>
      <w:bookmarkStart w:id="5" w:name="_Toc216582804"/>
      <w:bookmarkStart w:id="6" w:name="_Toc21346"/>
      <w:bookmarkStart w:id="7" w:name="_Toc29085"/>
      <w:bookmarkStart w:id="8" w:name="_Toc9228"/>
      <w:bookmarkStart w:id="9" w:name="_Toc8409"/>
      <w:r>
        <w:rPr>
          <w:rFonts w:hint="eastAsia" w:ascii="仿宋" w:hAnsi="仿宋" w:eastAsia="仿宋" w:cs="仿宋"/>
          <w:color w:val="auto"/>
          <w:kern w:val="0"/>
          <w:szCs w:val="21"/>
          <w:highlight w:val="none"/>
        </w:rPr>
        <w:t>第一章</w:t>
      </w:r>
      <w:r>
        <w:rPr>
          <w:rFonts w:hint="eastAsia" w:ascii="仿宋" w:hAnsi="仿宋" w:eastAsia="仿宋" w:cs="仿宋"/>
          <w:color w:val="auto"/>
          <w:highlight w:val="none"/>
        </w:rPr>
        <w:t xml:space="preserve">  </w:t>
      </w:r>
      <w:bookmarkStart w:id="10" w:name="_Toc518923059"/>
      <w:r>
        <w:rPr>
          <w:rFonts w:hint="eastAsia" w:ascii="仿宋" w:hAnsi="仿宋" w:eastAsia="仿宋" w:cs="仿宋"/>
          <w:color w:val="auto"/>
          <w:highlight w:val="none"/>
        </w:rPr>
        <w:t>投标人须知</w:t>
      </w:r>
      <w:bookmarkEnd w:id="4"/>
      <w:bookmarkEnd w:id="5"/>
      <w:bookmarkEnd w:id="6"/>
      <w:bookmarkEnd w:id="7"/>
      <w:bookmarkEnd w:id="8"/>
      <w:bookmarkEnd w:id="9"/>
      <w:bookmarkEnd w:id="10"/>
    </w:p>
    <w:p w14:paraId="2847CB23">
      <w:pPr>
        <w:pStyle w:val="3"/>
        <w:spacing w:before="0" w:line="240" w:lineRule="atLeast"/>
        <w:ind w:left="1079" w:leftChars="257" w:hanging="540"/>
        <w:rPr>
          <w:rFonts w:hint="eastAsia" w:ascii="仿宋" w:hAnsi="仿宋" w:eastAsia="仿宋" w:cs="仿宋"/>
          <w:color w:val="auto"/>
          <w:sz w:val="28"/>
          <w:szCs w:val="28"/>
          <w:highlight w:val="none"/>
        </w:rPr>
      </w:pPr>
      <w:bookmarkStart w:id="11" w:name="_Toc520356143"/>
      <w:bookmarkStart w:id="12" w:name="_Toc216582805"/>
      <w:bookmarkStart w:id="13" w:name="_Toc9485"/>
      <w:bookmarkStart w:id="14" w:name="_Toc518923060"/>
      <w:bookmarkStart w:id="15" w:name="_Toc23800"/>
      <w:bookmarkStart w:id="16" w:name="_Toc25958"/>
      <w:bookmarkStart w:id="17" w:name="_Toc21942"/>
      <w:bookmarkStart w:id="18" w:name="_Toc24888"/>
      <w:r>
        <w:rPr>
          <w:rFonts w:hint="eastAsia" w:ascii="仿宋" w:hAnsi="仿宋" w:eastAsia="仿宋" w:cs="仿宋"/>
          <w:color w:val="auto"/>
          <w:sz w:val="28"/>
          <w:szCs w:val="28"/>
          <w:highlight w:val="none"/>
        </w:rPr>
        <w:t xml:space="preserve">一   </w:t>
      </w:r>
      <w:bookmarkEnd w:id="11"/>
      <w:bookmarkEnd w:id="12"/>
      <w:r>
        <w:rPr>
          <w:rFonts w:hint="eastAsia" w:ascii="仿宋" w:hAnsi="仿宋" w:eastAsia="仿宋" w:cs="仿宋"/>
          <w:color w:val="auto"/>
          <w:sz w:val="28"/>
          <w:szCs w:val="28"/>
          <w:highlight w:val="none"/>
        </w:rPr>
        <w:t>总  则</w:t>
      </w:r>
      <w:bookmarkEnd w:id="13"/>
      <w:bookmarkEnd w:id="14"/>
      <w:bookmarkEnd w:id="15"/>
      <w:bookmarkEnd w:id="16"/>
      <w:bookmarkEnd w:id="17"/>
      <w:bookmarkEnd w:id="18"/>
    </w:p>
    <w:p w14:paraId="6AC686FE">
      <w:pPr>
        <w:pStyle w:val="6"/>
        <w:spacing w:before="0" w:after="0" w:line="240" w:lineRule="atLeast"/>
        <w:rPr>
          <w:rFonts w:hint="eastAsia" w:ascii="仿宋" w:hAnsi="仿宋" w:eastAsia="仿宋" w:cs="仿宋"/>
          <w:color w:val="auto"/>
          <w:sz w:val="28"/>
          <w:szCs w:val="28"/>
          <w:highlight w:val="none"/>
          <w:u w:val="none"/>
        </w:rPr>
      </w:pPr>
      <w:bookmarkStart w:id="19" w:name="_Toc520356144"/>
      <w:bookmarkStart w:id="20" w:name="_Toc515647758"/>
      <w:bookmarkStart w:id="21" w:name="_Toc32189"/>
      <w:bookmarkStart w:id="22" w:name="_Toc11364"/>
      <w:bookmarkStart w:id="23" w:name="_Toc5999"/>
      <w:bookmarkStart w:id="24" w:name="_Ref467306676"/>
      <w:bookmarkStart w:id="25" w:name="_Toc518923071"/>
      <w:bookmarkStart w:id="26" w:name="_Toc15487"/>
      <w:bookmarkStart w:id="27" w:name="_Toc520356152"/>
      <w:bookmarkStart w:id="28" w:name="_Toc516367022"/>
      <w:bookmarkStart w:id="29" w:name="_Ref467306195"/>
      <w:r>
        <w:rPr>
          <w:rFonts w:hint="eastAsia" w:ascii="仿宋" w:hAnsi="仿宋" w:eastAsia="仿宋" w:cs="仿宋"/>
          <w:color w:val="auto"/>
          <w:sz w:val="28"/>
          <w:szCs w:val="28"/>
          <w:highlight w:val="none"/>
          <w:u w:val="none"/>
        </w:rPr>
        <w:t>1.采购人、采购代理机构及</w:t>
      </w:r>
      <w:bookmarkEnd w:id="19"/>
      <w:r>
        <w:rPr>
          <w:rFonts w:hint="eastAsia" w:ascii="仿宋" w:hAnsi="仿宋" w:eastAsia="仿宋" w:cs="仿宋"/>
          <w:color w:val="auto"/>
          <w:sz w:val="28"/>
          <w:szCs w:val="28"/>
          <w:highlight w:val="none"/>
          <w:u w:val="none"/>
        </w:rPr>
        <w:t>投标人</w:t>
      </w:r>
      <w:bookmarkEnd w:id="20"/>
      <w:bookmarkEnd w:id="21"/>
      <w:bookmarkEnd w:id="22"/>
      <w:bookmarkEnd w:id="23"/>
    </w:p>
    <w:p w14:paraId="35316591">
      <w:pPr>
        <w:numPr>
          <w:ilvl w:val="1"/>
          <w:numId w:val="1"/>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采购人：是指依法开展政府采购活动的国家机关、事业单位、团体组织。</w:t>
      </w:r>
    </w:p>
    <w:p w14:paraId="2B3125FD">
      <w:pPr>
        <w:tabs>
          <w:tab w:val="left" w:pos="0"/>
        </w:tabs>
        <w:spacing w:line="240" w:lineRule="atLeast"/>
        <w:ind w:left="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本项目的采购人见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26709B03">
      <w:pPr>
        <w:numPr>
          <w:ilvl w:val="1"/>
          <w:numId w:val="1"/>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采购代理机构：是指在集中采购机构或从事采购代理业务的社会中介机构。本项目的采购代理机构见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0A2B220F">
      <w:pPr>
        <w:numPr>
          <w:ilvl w:val="1"/>
          <w:numId w:val="1"/>
        </w:numPr>
        <w:spacing w:line="240" w:lineRule="atLeast"/>
        <w:ind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投标人：是指向采购人提供货物、工程或者服务的法人、非法人组织或者自然人。本项目的投标人及其投标货物须满足以下条件：</w:t>
      </w:r>
    </w:p>
    <w:p w14:paraId="2C61FF91">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在中华人民共和国境内注册，能够独立承担民事责任，有生产或供应能力的本国供应商。</w:t>
      </w:r>
    </w:p>
    <w:p w14:paraId="1713FEE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  具备《中华人民共和国政府采购法》第二十二条关于供应商条件的规定，遵守本项目采购人本级和上级财政部门政府采购的有关规定。</w:t>
      </w:r>
    </w:p>
    <w:p w14:paraId="3B3CDC3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   以采购代理机构认可的方式获得了本项目的招标文件。</w:t>
      </w:r>
    </w:p>
    <w:p w14:paraId="344A06F9">
      <w:pPr>
        <w:spacing w:line="240" w:lineRule="atLeast"/>
        <w:ind w:left="900" w:hanging="1050" w:hangingChars="375"/>
        <w:outlineLvl w:val="2"/>
        <w:rPr>
          <w:rFonts w:hint="eastAsia" w:ascii="仿宋" w:hAnsi="仿宋" w:eastAsia="仿宋" w:cs="仿宋"/>
          <w:color w:val="auto"/>
          <w:sz w:val="28"/>
          <w:szCs w:val="28"/>
          <w:highlight w:val="none"/>
        </w:rPr>
      </w:pPr>
      <w:bookmarkStart w:id="30" w:name="_Toc25862"/>
      <w:r>
        <w:rPr>
          <w:rFonts w:hint="eastAsia" w:ascii="仿宋" w:hAnsi="仿宋" w:eastAsia="仿宋" w:cs="仿宋"/>
          <w:color w:val="auto"/>
          <w:sz w:val="28"/>
          <w:szCs w:val="28"/>
          <w:highlight w:val="none"/>
        </w:rPr>
        <w:t>1.3.4   符合</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中规定的其他要求。</w:t>
      </w:r>
      <w:bookmarkEnd w:id="30"/>
    </w:p>
    <w:p w14:paraId="42CBDD3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中写明允许采购进口产品，投标人应保证所投产品可履行合法报通关手续进入中国关境内。</w:t>
      </w:r>
    </w:p>
    <w:p w14:paraId="2FB6E66B">
      <w:pPr>
        <w:spacing w:line="240" w:lineRule="atLeast"/>
        <w:ind w:left="898" w:leftChars="4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中未写明允许采购进口产品，如投标人所投产品为进口产品，其投标将被认定为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46C20BE">
      <w:pPr>
        <w:spacing w:line="240" w:lineRule="atLeast"/>
        <w:ind w:left="840" w:hanging="980" w:hangingChars="350"/>
        <w:rPr>
          <w:rFonts w:hint="eastAsia" w:ascii="仿宋" w:hAnsi="仿宋" w:eastAsia="仿宋" w:cs="仿宋"/>
          <w:b/>
          <w:bCs/>
          <w:color w:val="FF0000"/>
          <w:sz w:val="28"/>
          <w:szCs w:val="28"/>
          <w:highlight w:val="lightGray"/>
        </w:rPr>
      </w:pPr>
    </w:p>
    <w:p w14:paraId="6557828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如</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中允许联合体投标，对联合体规定如下：</w:t>
      </w:r>
    </w:p>
    <w:p w14:paraId="1920AD6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两个以上供应商可以组成一个投标联合体，以一个投标人的身份投标。</w:t>
      </w:r>
    </w:p>
    <w:p w14:paraId="5E377A7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联合体各方均应符合《中华人民共和国政府采购法》第二十二条规定的条件。</w:t>
      </w:r>
    </w:p>
    <w:p w14:paraId="13DE40E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   采购人根据采购项目对投标人的特殊要求，联合体中至少应当有一方符合相关规定。</w:t>
      </w:r>
    </w:p>
    <w:p w14:paraId="2BD22B88">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   联合体各方应签订共同投标协议，明确约定联合体各方承担的工作和相应的责任，并将共同投标协议连同作为投标文件第一部分的内容提交。</w:t>
      </w:r>
    </w:p>
    <w:p w14:paraId="6E679EE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53B1097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  联合体中有同类资质的供应商按照联合体分工承担相同工作的，按照较低的资质等级确定联合体的资质等级。</w:t>
      </w:r>
    </w:p>
    <w:p w14:paraId="4586F66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8D0164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   对联合体投标的其他资格要求见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229C8AF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单位负责人为同一人或者存在直接控股、管理关系的不同供应商，其相关投标将被认定为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AAD13F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D727FC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投标人在投标过程中不得向采购人提供、给予任何有价值的物品，影响其正常决策行为。一经发现，其将被认定为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7107D27">
      <w:pPr>
        <w:pStyle w:val="6"/>
        <w:spacing w:before="0" w:after="0" w:line="240" w:lineRule="atLeast"/>
        <w:rPr>
          <w:rFonts w:hint="eastAsia" w:ascii="仿宋" w:hAnsi="仿宋" w:eastAsia="仿宋" w:cs="仿宋"/>
          <w:color w:val="auto"/>
          <w:sz w:val="28"/>
          <w:szCs w:val="28"/>
          <w:highlight w:val="none"/>
          <w:u w:val="none"/>
        </w:rPr>
      </w:pPr>
      <w:bookmarkStart w:id="31" w:name="_Toc4322"/>
      <w:bookmarkStart w:id="32" w:name="_Toc8265"/>
      <w:bookmarkStart w:id="33" w:name="_Toc515647759"/>
      <w:bookmarkStart w:id="34" w:name="_Toc5286"/>
      <w:bookmarkStart w:id="35" w:name="_Toc12139"/>
      <w:r>
        <w:rPr>
          <w:rFonts w:hint="eastAsia" w:ascii="仿宋" w:hAnsi="仿宋" w:eastAsia="仿宋" w:cs="仿宋"/>
          <w:color w:val="auto"/>
          <w:sz w:val="28"/>
          <w:szCs w:val="28"/>
          <w:highlight w:val="none"/>
          <w:u w:val="none"/>
        </w:rPr>
        <w:t>2.资金来源</w:t>
      </w:r>
      <w:bookmarkEnd w:id="31"/>
      <w:bookmarkEnd w:id="32"/>
      <w:bookmarkEnd w:id="33"/>
      <w:bookmarkEnd w:id="34"/>
      <w:bookmarkEnd w:id="35"/>
    </w:p>
    <w:p w14:paraId="6AD580E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本项目的采购人已获得足以支付本次招标后所签订的合同项下的资金（包括财政性资金和本项目采购中无法与财政性资金分割的非财政性资金）。</w:t>
      </w:r>
    </w:p>
    <w:p w14:paraId="75BFADF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项目预算金额和分项或分包最高限价</w:t>
      </w:r>
      <w:r>
        <w:rPr>
          <w:rFonts w:hint="eastAsia" w:ascii="仿宋" w:hAnsi="仿宋" w:eastAsia="仿宋" w:cs="仿宋"/>
          <w:b/>
          <w:bCs/>
          <w:color w:val="auto"/>
          <w:sz w:val="28"/>
          <w:szCs w:val="28"/>
          <w:highlight w:val="none"/>
          <w:u w:val="single"/>
        </w:rPr>
        <w:t>见投标人须知资料表</w:t>
      </w:r>
      <w:r>
        <w:rPr>
          <w:rFonts w:hint="eastAsia" w:ascii="仿宋" w:hAnsi="仿宋" w:eastAsia="仿宋" w:cs="仿宋"/>
          <w:color w:val="auto"/>
          <w:sz w:val="28"/>
          <w:szCs w:val="28"/>
          <w:highlight w:val="none"/>
        </w:rPr>
        <w:t>。</w:t>
      </w:r>
    </w:p>
    <w:p w14:paraId="1837BDC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投标人报价超过招标文件规定的预算金额或者分项、分包最高限价的，其投标将被认定为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5AC5F3A">
      <w:pPr>
        <w:pStyle w:val="6"/>
        <w:spacing w:before="0" w:after="0" w:line="240" w:lineRule="atLeast"/>
        <w:rPr>
          <w:rFonts w:hint="eastAsia" w:ascii="仿宋" w:hAnsi="仿宋" w:eastAsia="仿宋" w:cs="仿宋"/>
          <w:color w:val="auto"/>
          <w:sz w:val="28"/>
          <w:szCs w:val="28"/>
          <w:highlight w:val="none"/>
          <w:u w:val="none"/>
        </w:rPr>
      </w:pPr>
      <w:bookmarkStart w:id="36" w:name="_Toc15936"/>
      <w:bookmarkStart w:id="37" w:name="_Toc520356145"/>
      <w:bookmarkStart w:id="38" w:name="_Toc20526"/>
      <w:bookmarkStart w:id="39" w:name="_Toc11639"/>
      <w:bookmarkStart w:id="40" w:name="_Toc515647760"/>
      <w:bookmarkStart w:id="41" w:name="_Toc13828"/>
      <w:r>
        <w:rPr>
          <w:rFonts w:hint="eastAsia" w:ascii="仿宋" w:hAnsi="仿宋" w:eastAsia="仿宋" w:cs="仿宋"/>
          <w:color w:val="auto"/>
          <w:sz w:val="28"/>
          <w:szCs w:val="28"/>
          <w:highlight w:val="none"/>
          <w:u w:val="none"/>
        </w:rPr>
        <w:t>3.投标费用</w:t>
      </w:r>
      <w:bookmarkEnd w:id="36"/>
      <w:bookmarkEnd w:id="37"/>
      <w:bookmarkEnd w:id="38"/>
      <w:bookmarkEnd w:id="39"/>
      <w:bookmarkEnd w:id="40"/>
      <w:bookmarkEnd w:id="41"/>
    </w:p>
    <w:p w14:paraId="440C1A5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不论投标的结果如何，投标人应承担所有与准备和参加投标有关的费用。</w:t>
      </w:r>
    </w:p>
    <w:p w14:paraId="303D4A5F">
      <w:pPr>
        <w:pStyle w:val="6"/>
        <w:spacing w:before="0" w:after="0" w:line="240" w:lineRule="atLeast"/>
        <w:rPr>
          <w:rFonts w:hint="eastAsia" w:ascii="仿宋" w:hAnsi="仿宋" w:eastAsia="仿宋" w:cs="仿宋"/>
          <w:color w:val="auto"/>
          <w:sz w:val="28"/>
          <w:szCs w:val="28"/>
          <w:highlight w:val="none"/>
          <w:u w:val="none"/>
        </w:rPr>
      </w:pPr>
      <w:bookmarkStart w:id="42" w:name="_Toc515647761"/>
      <w:bookmarkStart w:id="43" w:name="_Toc32665"/>
      <w:bookmarkStart w:id="44" w:name="_Toc15805"/>
      <w:bookmarkStart w:id="45" w:name="_Toc4463"/>
      <w:bookmarkStart w:id="46" w:name="_Toc6116"/>
      <w:r>
        <w:rPr>
          <w:rFonts w:hint="eastAsia" w:ascii="仿宋" w:hAnsi="仿宋" w:eastAsia="仿宋" w:cs="仿宋"/>
          <w:color w:val="auto"/>
          <w:sz w:val="28"/>
          <w:szCs w:val="28"/>
          <w:highlight w:val="none"/>
          <w:u w:val="none"/>
        </w:rPr>
        <w:t>4.适用法律</w:t>
      </w:r>
      <w:bookmarkEnd w:id="42"/>
      <w:bookmarkEnd w:id="43"/>
      <w:bookmarkEnd w:id="44"/>
      <w:bookmarkEnd w:id="45"/>
      <w:bookmarkEnd w:id="46"/>
    </w:p>
    <w:p w14:paraId="04CBDC9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6DFD75B1">
      <w:pPr>
        <w:spacing w:line="240" w:lineRule="atLeast"/>
        <w:rPr>
          <w:rFonts w:hint="eastAsia" w:ascii="仿宋" w:hAnsi="仿宋" w:eastAsia="仿宋" w:cs="仿宋"/>
          <w:color w:val="auto"/>
          <w:sz w:val="28"/>
          <w:szCs w:val="28"/>
          <w:highlight w:val="none"/>
        </w:rPr>
      </w:pPr>
    </w:p>
    <w:p w14:paraId="0F4328C0">
      <w:pPr>
        <w:pStyle w:val="3"/>
        <w:spacing w:before="0" w:line="240" w:lineRule="atLeast"/>
        <w:ind w:left="1079" w:leftChars="257" w:hanging="540"/>
        <w:rPr>
          <w:rFonts w:hint="eastAsia" w:ascii="仿宋" w:hAnsi="仿宋" w:eastAsia="仿宋" w:cs="仿宋"/>
          <w:color w:val="auto"/>
          <w:sz w:val="28"/>
          <w:szCs w:val="28"/>
          <w:highlight w:val="none"/>
        </w:rPr>
      </w:pPr>
      <w:bookmarkStart w:id="47" w:name="_Toc21310"/>
      <w:bookmarkStart w:id="48" w:name="_Toc18283"/>
      <w:bookmarkStart w:id="49" w:name="_Toc19602"/>
      <w:bookmarkStart w:id="50" w:name="_Toc809"/>
      <w:bookmarkStart w:id="51" w:name="_Toc520356146"/>
      <w:bookmarkStart w:id="52" w:name="_Toc518923065"/>
      <w:bookmarkStart w:id="53" w:name="_Toc216582806"/>
      <w:bookmarkStart w:id="54" w:name="_Toc29365"/>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二   招标文件</w:t>
      </w:r>
      <w:bookmarkEnd w:id="47"/>
      <w:bookmarkEnd w:id="48"/>
      <w:bookmarkEnd w:id="49"/>
      <w:bookmarkEnd w:id="50"/>
      <w:bookmarkEnd w:id="51"/>
      <w:bookmarkEnd w:id="52"/>
      <w:bookmarkEnd w:id="53"/>
      <w:bookmarkEnd w:id="54"/>
    </w:p>
    <w:p w14:paraId="27603FC7">
      <w:pPr>
        <w:pStyle w:val="4"/>
        <w:rPr>
          <w:rFonts w:hint="eastAsia" w:ascii="仿宋" w:hAnsi="仿宋" w:eastAsia="仿宋" w:cs="仿宋"/>
          <w:color w:val="auto"/>
          <w:sz w:val="28"/>
          <w:szCs w:val="28"/>
          <w:highlight w:val="none"/>
        </w:rPr>
      </w:pPr>
    </w:p>
    <w:bookmarkEnd w:id="24"/>
    <w:bookmarkEnd w:id="25"/>
    <w:bookmarkEnd w:id="26"/>
    <w:bookmarkEnd w:id="27"/>
    <w:bookmarkEnd w:id="28"/>
    <w:bookmarkEnd w:id="29"/>
    <w:p w14:paraId="399F1CD4">
      <w:pPr>
        <w:pStyle w:val="6"/>
        <w:spacing w:before="0" w:after="0" w:line="240" w:lineRule="atLeast"/>
        <w:rPr>
          <w:rFonts w:hint="eastAsia" w:ascii="仿宋" w:hAnsi="仿宋" w:eastAsia="仿宋" w:cs="仿宋"/>
          <w:color w:val="auto"/>
          <w:sz w:val="28"/>
          <w:szCs w:val="28"/>
          <w:highlight w:val="none"/>
          <w:u w:val="none"/>
        </w:rPr>
      </w:pPr>
      <w:bookmarkStart w:id="55" w:name="_Toc4671"/>
      <w:bookmarkStart w:id="56" w:name="_Toc25743"/>
      <w:bookmarkStart w:id="57" w:name="_Toc515647763"/>
      <w:bookmarkStart w:id="58" w:name="_Toc520356147"/>
      <w:bookmarkStart w:id="59" w:name="_Toc14084"/>
      <w:bookmarkStart w:id="60" w:name="_Toc23949"/>
      <w:r>
        <w:rPr>
          <w:rFonts w:hint="eastAsia" w:ascii="仿宋" w:hAnsi="仿宋" w:eastAsia="仿宋" w:cs="仿宋"/>
          <w:color w:val="auto"/>
          <w:sz w:val="28"/>
          <w:szCs w:val="28"/>
          <w:highlight w:val="none"/>
          <w:u w:val="none"/>
        </w:rPr>
        <w:t>5.招标文件构成</w:t>
      </w:r>
      <w:bookmarkEnd w:id="55"/>
      <w:bookmarkEnd w:id="56"/>
      <w:bookmarkEnd w:id="57"/>
      <w:bookmarkEnd w:id="58"/>
      <w:bookmarkEnd w:id="59"/>
      <w:bookmarkEnd w:id="60"/>
    </w:p>
    <w:p w14:paraId="70B069A8">
      <w:pPr>
        <w:spacing w:line="240" w:lineRule="atLeast"/>
        <w:ind w:left="900" w:hanging="1050" w:hangingChars="375"/>
        <w:outlineLvl w:val="2"/>
        <w:rPr>
          <w:rFonts w:hint="eastAsia" w:ascii="仿宋" w:hAnsi="仿宋" w:eastAsia="仿宋" w:cs="仿宋"/>
          <w:color w:val="auto"/>
          <w:sz w:val="28"/>
          <w:szCs w:val="28"/>
          <w:highlight w:val="none"/>
        </w:rPr>
      </w:pPr>
      <w:bookmarkStart w:id="61" w:name="_Toc23436"/>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招标文件分为三册共7章，内容如下：</w:t>
      </w:r>
      <w:bookmarkEnd w:id="61"/>
    </w:p>
    <w:p w14:paraId="6652B7F7">
      <w:pPr>
        <w:spacing w:line="240" w:lineRule="atLeast"/>
        <w:ind w:left="1108" w:leftChars="428" w:hanging="210" w:hanging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第一册</w:t>
      </w:r>
    </w:p>
    <w:p w14:paraId="1C3BD5E2">
      <w:pPr>
        <w:numPr>
          <w:ilvl w:val="0"/>
          <w:numId w:val="2"/>
        </w:numPr>
        <w:tabs>
          <w:tab w:val="left" w:pos="0"/>
        </w:tabs>
        <w:spacing w:line="240" w:lineRule="atLeast"/>
        <w:ind w:hanging="82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w:t>
      </w:r>
    </w:p>
    <w:p w14:paraId="5005833F">
      <w:pPr>
        <w:numPr>
          <w:ilvl w:val="0"/>
          <w:numId w:val="2"/>
        </w:numPr>
        <w:spacing w:line="240" w:lineRule="atLeast"/>
        <w:ind w:left="1080" w:leftChars="429"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投标文件格式</w:t>
      </w:r>
    </w:p>
    <w:p w14:paraId="51F07AFC">
      <w:pPr>
        <w:spacing w:line="240" w:lineRule="atLeast"/>
        <w:ind w:left="1080" w:leftChars="429"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第二册</w:t>
      </w:r>
    </w:p>
    <w:p w14:paraId="076B3F98">
      <w:pPr>
        <w:numPr>
          <w:ilvl w:val="0"/>
          <w:numId w:val="2"/>
        </w:numPr>
        <w:spacing w:line="240" w:lineRule="atLeast"/>
        <w:ind w:left="1080" w:leftChars="429"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投标邀请</w:t>
      </w:r>
    </w:p>
    <w:p w14:paraId="41E5A041">
      <w:pPr>
        <w:numPr>
          <w:ilvl w:val="0"/>
          <w:numId w:val="2"/>
        </w:numPr>
        <w:spacing w:line="240" w:lineRule="atLeast"/>
        <w:ind w:left="1080" w:leftChars="429"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投标人须知资料表</w:t>
      </w:r>
    </w:p>
    <w:p w14:paraId="5E847C96">
      <w:pPr>
        <w:numPr>
          <w:ilvl w:val="0"/>
          <w:numId w:val="2"/>
        </w:numPr>
        <w:spacing w:line="240" w:lineRule="atLeast"/>
        <w:ind w:left="1080" w:leftChars="429"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货物需求一览表及技术规格</w:t>
      </w:r>
    </w:p>
    <w:p w14:paraId="2D3298C8">
      <w:pPr>
        <w:numPr>
          <w:ilvl w:val="0"/>
          <w:numId w:val="2"/>
        </w:numPr>
        <w:spacing w:line="240" w:lineRule="atLeast"/>
        <w:ind w:left="1080" w:leftChars="429"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评标方法和标准</w:t>
      </w:r>
    </w:p>
    <w:p w14:paraId="2C8C870A">
      <w:pPr>
        <w:spacing w:line="240" w:lineRule="atLeast"/>
        <w:ind w:left="9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第三册</w:t>
      </w:r>
    </w:p>
    <w:p w14:paraId="2EA77B1E">
      <w:pPr>
        <w:numPr>
          <w:ilvl w:val="0"/>
          <w:numId w:val="2"/>
        </w:numPr>
        <w:spacing w:line="240" w:lineRule="atLeast"/>
        <w:ind w:left="718" w:leftChars="342"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政府采购合同格式</w:t>
      </w:r>
    </w:p>
    <w:p w14:paraId="0A9B4058">
      <w:pPr>
        <w:spacing w:line="240" w:lineRule="atLeast"/>
        <w:ind w:left="900" w:hanging="1050" w:hangingChars="375"/>
        <w:outlineLvl w:val="2"/>
        <w:rPr>
          <w:rFonts w:hint="eastAsia" w:ascii="仿宋" w:hAnsi="仿宋" w:eastAsia="仿宋" w:cs="仿宋"/>
          <w:color w:val="auto"/>
          <w:sz w:val="28"/>
          <w:szCs w:val="28"/>
          <w:highlight w:val="none"/>
        </w:rPr>
      </w:pPr>
      <w:bookmarkStart w:id="62" w:name="_Toc22542"/>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如本文件的前后内容不一致，以最后描述为准。</w:t>
      </w:r>
      <w:bookmarkEnd w:id="62"/>
    </w:p>
    <w:p w14:paraId="4A542E6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02D4EA7">
      <w:pPr>
        <w:pStyle w:val="6"/>
        <w:spacing w:before="0" w:after="0" w:line="240" w:lineRule="atLeast"/>
        <w:rPr>
          <w:rFonts w:hint="eastAsia" w:ascii="仿宋" w:hAnsi="仿宋" w:eastAsia="仿宋" w:cs="仿宋"/>
          <w:color w:val="auto"/>
          <w:sz w:val="28"/>
          <w:szCs w:val="28"/>
          <w:highlight w:val="none"/>
          <w:u w:val="none"/>
        </w:rPr>
      </w:pPr>
      <w:bookmarkStart w:id="63" w:name="_Toc520356148"/>
      <w:bookmarkStart w:id="64" w:name="_Toc515904805"/>
      <w:bookmarkStart w:id="65" w:name="_Toc18488"/>
      <w:bookmarkStart w:id="66" w:name="_Toc9232"/>
      <w:bookmarkStart w:id="67" w:name="_Toc1922"/>
      <w:bookmarkStart w:id="68" w:name="_Toc26044"/>
      <w:r>
        <w:rPr>
          <w:rFonts w:hint="eastAsia" w:ascii="仿宋" w:hAnsi="仿宋" w:eastAsia="仿宋" w:cs="仿宋"/>
          <w:color w:val="auto"/>
          <w:sz w:val="28"/>
          <w:szCs w:val="28"/>
          <w:highlight w:val="none"/>
          <w:u w:val="none"/>
        </w:rPr>
        <w:t>6.招标文件的澄清</w:t>
      </w:r>
      <w:bookmarkEnd w:id="63"/>
      <w:bookmarkEnd w:id="64"/>
      <w:r>
        <w:rPr>
          <w:rFonts w:hint="eastAsia" w:ascii="仿宋" w:hAnsi="仿宋" w:eastAsia="仿宋" w:cs="仿宋"/>
          <w:color w:val="auto"/>
          <w:sz w:val="28"/>
          <w:szCs w:val="28"/>
          <w:highlight w:val="none"/>
          <w:u w:val="none"/>
        </w:rPr>
        <w:t>与修改</w:t>
      </w:r>
      <w:bookmarkEnd w:id="65"/>
      <w:bookmarkEnd w:id="66"/>
      <w:bookmarkEnd w:id="67"/>
      <w:bookmarkEnd w:id="68"/>
    </w:p>
    <w:p w14:paraId="73C88220">
      <w:pPr>
        <w:pStyle w:val="4"/>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    为了保证对招标文件的澄清和修改满足法律的时限要求，任何要求对招标文件进行澄清的投标人，均应在投标截止期十五日前，以书面形式将澄清要求通知采购人或采购代理机构。</w:t>
      </w:r>
    </w:p>
    <w:p w14:paraId="7605561F">
      <w:pPr>
        <w:pStyle w:val="4"/>
        <w:ind w:left="840" w:hanging="980" w:hangingChars="350"/>
        <w:rPr>
          <w:rFonts w:hint="eastAsia" w:ascii="仿宋" w:hAnsi="仿宋" w:eastAsia="仿宋" w:cs="仿宋"/>
          <w:color w:val="auto"/>
          <w:sz w:val="28"/>
          <w:szCs w:val="28"/>
          <w:highlight w:val="none"/>
        </w:rPr>
      </w:pPr>
      <w:bookmarkStart w:id="69" w:name="_Ref467378678"/>
      <w:bookmarkStart w:id="70" w:name="_Toc520356149"/>
      <w:bookmarkStart w:id="71" w:name="_Toc515904806"/>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14:paraId="3D806DDB">
      <w:pPr>
        <w:pStyle w:val="4"/>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1248EB57">
      <w:pPr>
        <w:pStyle w:val="6"/>
        <w:tabs>
          <w:tab w:val="left" w:pos="900"/>
        </w:tabs>
        <w:spacing w:before="0" w:after="0" w:line="240" w:lineRule="atLeast"/>
        <w:rPr>
          <w:rFonts w:hint="eastAsia" w:ascii="仿宋" w:hAnsi="仿宋" w:eastAsia="仿宋" w:cs="仿宋"/>
          <w:color w:val="auto"/>
          <w:sz w:val="28"/>
          <w:szCs w:val="28"/>
          <w:highlight w:val="none"/>
          <w:u w:val="none"/>
        </w:rPr>
      </w:pPr>
      <w:bookmarkStart w:id="72" w:name="_Toc25635"/>
      <w:bookmarkStart w:id="73" w:name="_Toc11039"/>
      <w:bookmarkStart w:id="74" w:name="_Toc14569"/>
      <w:bookmarkStart w:id="75" w:name="_Toc12448"/>
      <w:r>
        <w:rPr>
          <w:rFonts w:hint="eastAsia" w:ascii="仿宋" w:hAnsi="仿宋" w:eastAsia="仿宋" w:cs="仿宋"/>
          <w:color w:val="auto"/>
          <w:sz w:val="28"/>
          <w:szCs w:val="28"/>
          <w:highlight w:val="none"/>
          <w:u w:val="none"/>
        </w:rPr>
        <w:t>7</w:t>
      </w:r>
      <w:bookmarkEnd w:id="69"/>
      <w:bookmarkEnd w:id="70"/>
      <w:bookmarkEnd w:id="71"/>
      <w:r>
        <w:rPr>
          <w:rFonts w:hint="eastAsia" w:ascii="仿宋" w:hAnsi="仿宋" w:eastAsia="仿宋" w:cs="仿宋"/>
          <w:color w:val="auto"/>
          <w:sz w:val="28"/>
          <w:szCs w:val="28"/>
          <w:highlight w:val="none"/>
          <w:u w:val="none"/>
        </w:rPr>
        <w:t>.投标截止时间的顺延</w:t>
      </w:r>
      <w:bookmarkEnd w:id="72"/>
      <w:bookmarkEnd w:id="73"/>
      <w:bookmarkEnd w:id="74"/>
      <w:bookmarkEnd w:id="75"/>
    </w:p>
    <w:p w14:paraId="3E27C11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为使投标人准备投标时有足够的时间对招标文件的澄清或者修改部分进行研究，采购人将依法决定是否顺延投标截止时间。</w:t>
      </w:r>
    </w:p>
    <w:p w14:paraId="4C9011E4">
      <w:pPr>
        <w:spacing w:line="240" w:lineRule="atLeast"/>
        <w:ind w:left="900" w:hanging="1050" w:hangingChars="375"/>
        <w:rPr>
          <w:rFonts w:hint="eastAsia" w:ascii="仿宋" w:hAnsi="仿宋" w:eastAsia="仿宋" w:cs="仿宋"/>
          <w:color w:val="auto"/>
          <w:sz w:val="28"/>
          <w:szCs w:val="28"/>
          <w:highlight w:val="none"/>
        </w:rPr>
      </w:pPr>
    </w:p>
    <w:p w14:paraId="022CC212">
      <w:pPr>
        <w:pStyle w:val="3"/>
        <w:tabs>
          <w:tab w:val="left" w:pos="900"/>
        </w:tabs>
        <w:spacing w:before="0" w:line="240" w:lineRule="atLeast"/>
        <w:ind w:left="1079" w:leftChars="257" w:hanging="540"/>
        <w:rPr>
          <w:rFonts w:hint="eastAsia" w:ascii="仿宋" w:hAnsi="仿宋" w:eastAsia="仿宋" w:cs="仿宋"/>
          <w:color w:val="auto"/>
          <w:sz w:val="28"/>
          <w:szCs w:val="28"/>
          <w:highlight w:val="none"/>
        </w:rPr>
      </w:pPr>
      <w:bookmarkStart w:id="76" w:name="_Toc516367020"/>
      <w:bookmarkStart w:id="77" w:name="_Toc216582807"/>
      <w:bookmarkStart w:id="78" w:name="_Toc24808"/>
      <w:bookmarkStart w:id="79" w:name="_Toc515647766"/>
      <w:bookmarkStart w:id="80" w:name="_Toc30808"/>
      <w:bookmarkStart w:id="81" w:name="_Toc520356150"/>
      <w:bookmarkStart w:id="82" w:name="_Toc31466"/>
      <w:bookmarkStart w:id="83" w:name="_Toc7636"/>
      <w:r>
        <w:rPr>
          <w:rFonts w:hint="eastAsia" w:ascii="仿宋" w:hAnsi="仿宋" w:eastAsia="仿宋" w:cs="仿宋"/>
          <w:color w:val="auto"/>
          <w:sz w:val="28"/>
          <w:szCs w:val="28"/>
          <w:highlight w:val="none"/>
        </w:rPr>
        <w:t>三   投标文件</w:t>
      </w:r>
      <w:bookmarkEnd w:id="76"/>
      <w:r>
        <w:rPr>
          <w:rFonts w:hint="eastAsia" w:ascii="仿宋" w:hAnsi="仿宋" w:eastAsia="仿宋" w:cs="仿宋"/>
          <w:color w:val="auto"/>
          <w:sz w:val="28"/>
          <w:szCs w:val="28"/>
          <w:highlight w:val="none"/>
        </w:rPr>
        <w:t>的编制</w:t>
      </w:r>
      <w:bookmarkEnd w:id="77"/>
      <w:bookmarkEnd w:id="78"/>
      <w:bookmarkEnd w:id="79"/>
      <w:bookmarkEnd w:id="80"/>
      <w:bookmarkEnd w:id="81"/>
      <w:bookmarkEnd w:id="82"/>
      <w:bookmarkEnd w:id="83"/>
    </w:p>
    <w:p w14:paraId="4172DE36">
      <w:pPr>
        <w:pStyle w:val="6"/>
        <w:tabs>
          <w:tab w:val="left" w:pos="900"/>
        </w:tabs>
        <w:spacing w:before="0" w:after="0" w:line="240" w:lineRule="atLeast"/>
        <w:rPr>
          <w:rFonts w:hint="eastAsia" w:ascii="仿宋" w:hAnsi="仿宋" w:eastAsia="仿宋" w:cs="仿宋"/>
          <w:color w:val="auto"/>
          <w:sz w:val="28"/>
          <w:szCs w:val="28"/>
          <w:highlight w:val="none"/>
          <w:u w:val="none"/>
        </w:rPr>
      </w:pPr>
      <w:bookmarkStart w:id="84" w:name="_Toc520356151"/>
      <w:bookmarkStart w:id="85" w:name="_Toc515647767"/>
      <w:bookmarkStart w:id="86" w:name="_Toc10741"/>
      <w:bookmarkStart w:id="87" w:name="_Toc516367021"/>
      <w:bookmarkStart w:id="88" w:name="_Toc3553"/>
      <w:bookmarkStart w:id="89" w:name="_Toc30570"/>
      <w:bookmarkStart w:id="90" w:name="_Toc7786"/>
      <w:r>
        <w:rPr>
          <w:rFonts w:hint="eastAsia" w:ascii="仿宋" w:hAnsi="仿宋" w:eastAsia="仿宋" w:cs="仿宋"/>
          <w:color w:val="auto"/>
          <w:sz w:val="28"/>
          <w:szCs w:val="28"/>
          <w:highlight w:val="none"/>
          <w:u w:val="none"/>
        </w:rPr>
        <w:t>8.</w:t>
      </w: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投标范围及投标文件中标准和计量单位的使用</w:t>
      </w:r>
      <w:bookmarkEnd w:id="84"/>
      <w:bookmarkEnd w:id="85"/>
      <w:bookmarkEnd w:id="86"/>
      <w:bookmarkEnd w:id="87"/>
      <w:bookmarkEnd w:id="88"/>
      <w:bookmarkEnd w:id="89"/>
      <w:bookmarkEnd w:id="90"/>
    </w:p>
    <w:p w14:paraId="7BB98C3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项目有分包的，投标人可对招标文件其中某一个或几个分包货物进行投标，除非在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中另有规定。</w:t>
      </w:r>
    </w:p>
    <w:p w14:paraId="3BF0A8F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投标人应当对所投分包招标文件中“</w:t>
      </w:r>
      <w:r>
        <w:rPr>
          <w:rFonts w:hint="eastAsia" w:ascii="仿宋" w:hAnsi="仿宋" w:eastAsia="仿宋" w:cs="仿宋"/>
          <w:color w:val="auto"/>
          <w:sz w:val="28"/>
          <w:szCs w:val="28"/>
          <w:highlight w:val="none"/>
          <w:lang w:eastAsia="zh-CN"/>
        </w:rPr>
        <w:t>货物需求一览表及技术规格</w:t>
      </w:r>
      <w:r>
        <w:rPr>
          <w:rFonts w:hint="eastAsia" w:ascii="仿宋" w:hAnsi="仿宋" w:eastAsia="仿宋" w:cs="仿宋"/>
          <w:color w:val="auto"/>
          <w:sz w:val="28"/>
          <w:szCs w:val="28"/>
          <w:highlight w:val="none"/>
        </w:rPr>
        <w:t>”所列的所有内容进行投标，如仅响应某一包中的部分内容，其该包投标将被认定为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A8FD01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无论招标文件第5章货物需求一览表及技术规格中是否要求，投标人所投货物均应符合国家强制性标准。</w:t>
      </w:r>
    </w:p>
    <w:p w14:paraId="7E48852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     除招标文件中有特殊要求外，投标文件中所使用的计量单位，应采用中华人民共和国法定计量单位。</w:t>
      </w:r>
    </w:p>
    <w:p w14:paraId="263EF6D5">
      <w:pPr>
        <w:pStyle w:val="6"/>
        <w:tabs>
          <w:tab w:val="left" w:pos="900"/>
        </w:tabs>
        <w:spacing w:before="0" w:after="0" w:line="240" w:lineRule="atLeast"/>
        <w:rPr>
          <w:rFonts w:hint="eastAsia" w:ascii="仿宋" w:hAnsi="仿宋" w:eastAsia="仿宋" w:cs="仿宋"/>
          <w:color w:val="auto"/>
          <w:sz w:val="28"/>
          <w:szCs w:val="28"/>
          <w:highlight w:val="none"/>
          <w:u w:val="none"/>
        </w:rPr>
      </w:pPr>
      <w:bookmarkStart w:id="91" w:name="_Toc18692"/>
      <w:bookmarkStart w:id="92" w:name="_Toc27072"/>
      <w:bookmarkStart w:id="93" w:name="_Toc28307"/>
      <w:bookmarkStart w:id="94" w:name="_Toc515647768"/>
      <w:bookmarkStart w:id="95" w:name="_Toc10364"/>
      <w:r>
        <w:rPr>
          <w:rFonts w:hint="eastAsia" w:ascii="仿宋" w:hAnsi="仿宋" w:eastAsia="仿宋" w:cs="仿宋"/>
          <w:color w:val="auto"/>
          <w:sz w:val="28"/>
          <w:szCs w:val="28"/>
          <w:highlight w:val="none"/>
          <w:u w:val="none"/>
        </w:rPr>
        <w:t>9.投标文件构成</w:t>
      </w:r>
      <w:bookmarkEnd w:id="91"/>
      <w:bookmarkEnd w:id="92"/>
      <w:bookmarkEnd w:id="93"/>
      <w:bookmarkEnd w:id="94"/>
      <w:bookmarkEnd w:id="95"/>
    </w:p>
    <w:p w14:paraId="6817727C">
      <w:pPr>
        <w:spacing w:line="240" w:lineRule="atLeast"/>
        <w:ind w:left="900" w:hanging="1050" w:hangingChars="375"/>
        <w:rPr>
          <w:rFonts w:hint="eastAsia" w:ascii="仿宋" w:hAnsi="仿宋" w:eastAsia="仿宋" w:cs="仿宋"/>
          <w:b/>
          <w:bCs/>
          <w:color w:val="auto"/>
          <w:sz w:val="28"/>
          <w:szCs w:val="28"/>
          <w:highlight w:val="none"/>
        </w:rPr>
      </w:pPr>
      <w:bookmarkStart w:id="96" w:name="_Ref467052588"/>
      <w:bookmarkStart w:id="97" w:name="_Toc13143"/>
      <w:bookmarkStart w:id="98" w:name="_Toc520356153"/>
      <w:bookmarkStart w:id="99" w:name="_Toc516367023"/>
      <w:bookmarkStart w:id="100" w:name="_Toc10379"/>
      <w:bookmarkStart w:id="101" w:name="_Toc4601"/>
      <w:bookmarkStart w:id="102" w:name="_Toc515647769"/>
      <w:r>
        <w:rPr>
          <w:rFonts w:hint="eastAsia" w:ascii="仿宋" w:hAnsi="仿宋" w:eastAsia="仿宋" w:cs="仿宋"/>
          <w:color w:val="auto"/>
          <w:sz w:val="28"/>
          <w:szCs w:val="28"/>
          <w:highlight w:val="none"/>
        </w:rPr>
        <w:t>9.1</w:t>
      </w:r>
      <w:bookmarkEnd w:id="96"/>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18B576A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w:t>
      </w:r>
      <w:r>
        <w:rPr>
          <w:rFonts w:hint="eastAsia" w:ascii="仿宋" w:hAnsi="仿宋" w:eastAsia="仿宋" w:cs="仿宋"/>
          <w:b/>
          <w:bCs/>
          <w:color w:val="auto"/>
          <w:sz w:val="28"/>
          <w:szCs w:val="28"/>
          <w:highlight w:val="none"/>
        </w:rPr>
        <w:t xml:space="preserve">    逾期上传投标文件的、未按规定方式上传的电子响应文件，采购单位不予受理。</w:t>
      </w:r>
    </w:p>
    <w:p w14:paraId="19AA4012">
      <w:pPr>
        <w:pStyle w:val="6"/>
        <w:tabs>
          <w:tab w:val="left" w:pos="900"/>
        </w:tabs>
        <w:spacing w:before="0" w:after="0" w:line="240" w:lineRule="atLeast"/>
        <w:rPr>
          <w:rFonts w:hint="eastAsia" w:ascii="仿宋" w:hAnsi="仿宋" w:eastAsia="仿宋" w:cs="仿宋"/>
          <w:color w:val="auto"/>
          <w:sz w:val="28"/>
          <w:szCs w:val="28"/>
          <w:highlight w:val="none"/>
          <w:u w:val="none"/>
        </w:rPr>
      </w:pPr>
      <w:bookmarkStart w:id="103" w:name="_Toc2829"/>
      <w:r>
        <w:rPr>
          <w:rFonts w:hint="eastAsia" w:ascii="仿宋" w:hAnsi="仿宋" w:eastAsia="仿宋" w:cs="仿宋"/>
          <w:color w:val="auto"/>
          <w:sz w:val="28"/>
          <w:szCs w:val="28"/>
          <w:highlight w:val="none"/>
          <w:u w:val="none"/>
        </w:rPr>
        <w:t>10.</w:t>
      </w: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证明投标标的的合格性和符合招标文件规定的技术文件</w:t>
      </w:r>
      <w:bookmarkEnd w:id="97"/>
      <w:bookmarkEnd w:id="98"/>
      <w:bookmarkEnd w:id="99"/>
      <w:bookmarkEnd w:id="100"/>
      <w:bookmarkEnd w:id="101"/>
      <w:bookmarkEnd w:id="102"/>
      <w:bookmarkEnd w:id="103"/>
    </w:p>
    <w:p w14:paraId="7B2A79B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投标人应提交证明文件，证明其投标内容符合招标文件规定。该证明文件是投标文件的一部分。</w:t>
      </w:r>
    </w:p>
    <w:p w14:paraId="5D07AB25">
      <w:pPr>
        <w:spacing w:line="240" w:lineRule="atLeast"/>
        <w:ind w:left="900" w:hanging="1050" w:hangingChars="375"/>
        <w:outlineLvl w:val="2"/>
        <w:rPr>
          <w:rFonts w:hint="eastAsia" w:ascii="仿宋" w:hAnsi="仿宋" w:eastAsia="仿宋" w:cs="仿宋"/>
          <w:color w:val="auto"/>
          <w:sz w:val="28"/>
          <w:szCs w:val="28"/>
          <w:highlight w:val="none"/>
        </w:rPr>
      </w:pPr>
      <w:bookmarkStart w:id="104" w:name="_Ref467306244"/>
      <w:bookmarkStart w:id="105" w:name="_Toc17241"/>
      <w:bookmarkStart w:id="106" w:name="_Toc22804"/>
      <w:bookmarkStart w:id="107" w:name="_Toc28361"/>
      <w:r>
        <w:rPr>
          <w:rFonts w:hint="eastAsia" w:ascii="仿宋" w:hAnsi="仿宋" w:eastAsia="仿宋" w:cs="仿宋"/>
          <w:color w:val="auto"/>
          <w:sz w:val="28"/>
          <w:szCs w:val="28"/>
          <w:highlight w:val="none"/>
        </w:rPr>
        <w:t>10.2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上款所述的证明文件，可以是文字资料、图纸和数据</w:t>
      </w:r>
      <w:bookmarkEnd w:id="104"/>
      <w:r>
        <w:rPr>
          <w:rFonts w:hint="eastAsia" w:ascii="仿宋" w:hAnsi="仿宋" w:eastAsia="仿宋" w:cs="仿宋"/>
          <w:color w:val="auto"/>
          <w:sz w:val="28"/>
          <w:szCs w:val="28"/>
          <w:highlight w:val="none"/>
        </w:rPr>
        <w:t>。</w:t>
      </w:r>
      <w:bookmarkEnd w:id="105"/>
      <w:bookmarkEnd w:id="106"/>
      <w:bookmarkEnd w:id="107"/>
    </w:p>
    <w:p w14:paraId="5C90401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10.3   </w:t>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3F78A47C">
      <w:pPr>
        <w:pStyle w:val="6"/>
        <w:spacing w:before="0" w:after="0" w:line="240" w:lineRule="atLeast"/>
        <w:rPr>
          <w:rFonts w:hint="eastAsia" w:ascii="仿宋" w:hAnsi="仿宋" w:eastAsia="仿宋" w:cs="仿宋"/>
          <w:color w:val="auto"/>
          <w:sz w:val="28"/>
          <w:szCs w:val="28"/>
          <w:highlight w:val="none"/>
          <w:u w:val="none"/>
        </w:rPr>
      </w:pPr>
      <w:bookmarkStart w:id="108" w:name="_Toc19624"/>
      <w:bookmarkStart w:id="109" w:name="_Toc520356155"/>
      <w:bookmarkStart w:id="110" w:name="_Toc23231"/>
      <w:bookmarkStart w:id="111" w:name="_Toc28569"/>
      <w:bookmarkStart w:id="112" w:name="_Toc515647770"/>
      <w:bookmarkStart w:id="113" w:name="_Toc2248"/>
      <w:r>
        <w:rPr>
          <w:rFonts w:hint="eastAsia" w:ascii="仿宋" w:hAnsi="仿宋" w:eastAsia="仿宋" w:cs="仿宋"/>
          <w:color w:val="auto"/>
          <w:sz w:val="28"/>
          <w:szCs w:val="28"/>
          <w:highlight w:val="none"/>
          <w:u w:val="none"/>
        </w:rPr>
        <w:t>11.投标报价</w:t>
      </w:r>
      <w:bookmarkEnd w:id="108"/>
      <w:bookmarkEnd w:id="109"/>
      <w:bookmarkEnd w:id="110"/>
      <w:bookmarkEnd w:id="111"/>
      <w:bookmarkEnd w:id="112"/>
      <w:bookmarkEnd w:id="113"/>
    </w:p>
    <w:p w14:paraId="37EAB41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329CF5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投标人应在投标分项报价表上标明投标货物及相关服务的单价（如适用）和总价，并由法定代表人或其授权代表签署。</w:t>
      </w:r>
    </w:p>
    <w:p w14:paraId="5E113C38">
      <w:pPr>
        <w:spacing w:line="240" w:lineRule="atLeast"/>
        <w:ind w:left="900" w:hanging="1050" w:hangingChars="375"/>
        <w:outlineLvl w:val="2"/>
        <w:rPr>
          <w:rFonts w:hint="eastAsia" w:ascii="仿宋" w:hAnsi="仿宋" w:eastAsia="仿宋" w:cs="仿宋"/>
          <w:color w:val="auto"/>
          <w:sz w:val="28"/>
          <w:szCs w:val="28"/>
          <w:highlight w:val="none"/>
        </w:rPr>
      </w:pPr>
      <w:bookmarkStart w:id="114" w:name="_Toc8270"/>
      <w:r>
        <w:rPr>
          <w:rFonts w:hint="eastAsia" w:ascii="仿宋" w:hAnsi="仿宋" w:eastAsia="仿宋" w:cs="仿宋"/>
          <w:color w:val="auto"/>
          <w:sz w:val="28"/>
          <w:szCs w:val="28"/>
          <w:highlight w:val="none"/>
        </w:rPr>
        <w:t>11.3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投标分项报价表上的价格应按下列方式填写：</w:t>
      </w:r>
      <w:bookmarkEnd w:id="114"/>
    </w:p>
    <w:p w14:paraId="493F0D4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11.3.1  投标货物（包括备品备件、专用工具等）的出厂价（包括已在中国国内的进口货物完税后的仓库交货价、展室交货价或货架交货价），投标货物安装、调试、检验、技术服务和培训等费用；</w:t>
      </w:r>
    </w:p>
    <w:p w14:paraId="6D2C7D4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11.3.2  货物运至最终目的地的运输费和保险费用。</w:t>
      </w:r>
    </w:p>
    <w:p w14:paraId="3DC5C7E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9959B8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每种货物只能有一个投标报价。采购人不接受具有附加条件的报价。</w:t>
      </w:r>
    </w:p>
    <w:p w14:paraId="6E8B103B">
      <w:pPr>
        <w:pStyle w:val="6"/>
        <w:spacing w:before="0" w:after="0" w:line="240" w:lineRule="atLeast"/>
        <w:rPr>
          <w:rFonts w:hint="eastAsia" w:ascii="仿宋" w:hAnsi="仿宋" w:eastAsia="仿宋" w:cs="仿宋"/>
          <w:color w:val="auto"/>
          <w:sz w:val="28"/>
          <w:szCs w:val="28"/>
          <w:highlight w:val="none"/>
          <w:u w:val="none"/>
        </w:rPr>
      </w:pPr>
      <w:bookmarkStart w:id="115" w:name="_Toc3890"/>
      <w:bookmarkStart w:id="116" w:name="_Toc515647771"/>
      <w:bookmarkStart w:id="117" w:name="_Ref467306513"/>
      <w:bookmarkStart w:id="118" w:name="_Toc520356156"/>
      <w:bookmarkStart w:id="119" w:name="_Toc17788"/>
      <w:bookmarkStart w:id="120" w:name="_Toc11514"/>
      <w:bookmarkStart w:id="121" w:name="_Toc22212"/>
      <w:r>
        <w:rPr>
          <w:rFonts w:hint="eastAsia" w:ascii="仿宋" w:hAnsi="仿宋" w:eastAsia="仿宋" w:cs="仿宋"/>
          <w:color w:val="auto"/>
          <w:sz w:val="28"/>
          <w:szCs w:val="28"/>
          <w:highlight w:val="none"/>
          <w:u w:val="none"/>
        </w:rPr>
        <w:t>12.投标保证金</w:t>
      </w:r>
      <w:bookmarkEnd w:id="115"/>
      <w:bookmarkEnd w:id="116"/>
      <w:bookmarkEnd w:id="117"/>
      <w:bookmarkEnd w:id="118"/>
      <w:bookmarkEnd w:id="119"/>
      <w:bookmarkEnd w:id="120"/>
      <w:bookmarkEnd w:id="121"/>
    </w:p>
    <w:p w14:paraId="6CB0F8E3">
      <w:pPr>
        <w:spacing w:line="240" w:lineRule="atLeast"/>
        <w:ind w:left="900" w:hanging="1050" w:hangingChars="375"/>
        <w:rPr>
          <w:rFonts w:hint="eastAsia" w:ascii="仿宋" w:hAnsi="仿宋" w:eastAsia="仿宋" w:cs="仿宋"/>
          <w:color w:val="auto"/>
          <w:sz w:val="28"/>
          <w:szCs w:val="28"/>
          <w:highlight w:val="none"/>
        </w:rPr>
      </w:pPr>
      <w:bookmarkStart w:id="122" w:name="_Ref467306302"/>
      <w:r>
        <w:rPr>
          <w:rFonts w:hint="eastAsia" w:ascii="仿宋" w:hAnsi="仿宋" w:eastAsia="仿宋" w:cs="仿宋"/>
          <w:color w:val="auto"/>
          <w:sz w:val="28"/>
          <w:szCs w:val="28"/>
          <w:highlight w:val="none"/>
        </w:rPr>
        <w:t>12.1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中规定的投标保证金</w:t>
      </w:r>
      <w:bookmarkEnd w:id="122"/>
      <w:r>
        <w:rPr>
          <w:rFonts w:hint="eastAsia" w:ascii="仿宋" w:hAnsi="仿宋" w:eastAsia="仿宋" w:cs="仿宋"/>
          <w:color w:val="auto"/>
          <w:sz w:val="28"/>
          <w:szCs w:val="28"/>
          <w:highlight w:val="none"/>
        </w:rPr>
        <w:t>，并作为其投标的一部分。</w:t>
      </w:r>
    </w:p>
    <w:p w14:paraId="0AF8850A">
      <w:pPr>
        <w:spacing w:line="240" w:lineRule="atLeast"/>
        <w:ind w:left="900" w:hanging="1050" w:hangingChars="375"/>
        <w:outlineLvl w:val="2"/>
        <w:rPr>
          <w:rFonts w:hint="eastAsia" w:ascii="仿宋" w:hAnsi="仿宋" w:eastAsia="仿宋" w:cs="仿宋"/>
          <w:color w:val="auto"/>
          <w:sz w:val="28"/>
          <w:szCs w:val="28"/>
          <w:highlight w:val="none"/>
        </w:rPr>
      </w:pPr>
      <w:bookmarkStart w:id="123" w:name="_Toc12331"/>
      <w:r>
        <w:rPr>
          <w:rFonts w:hint="eastAsia" w:ascii="仿宋" w:hAnsi="仿宋" w:eastAsia="仿宋" w:cs="仿宋"/>
          <w:color w:val="auto"/>
          <w:sz w:val="28"/>
          <w:szCs w:val="28"/>
          <w:highlight w:val="none"/>
        </w:rPr>
        <w:t>12.2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投标人存在下列情形的，投标保证金不予退还：</w:t>
      </w:r>
      <w:bookmarkEnd w:id="123"/>
    </w:p>
    <w:p w14:paraId="3415AE05">
      <w:pPr>
        <w:pStyle w:val="10"/>
        <w:tabs>
          <w:tab w:val="left" w:pos="2240"/>
        </w:tabs>
        <w:spacing w:line="240" w:lineRule="atLeast"/>
        <w:ind w:left="1129" w:leftChars="371" w:hanging="350" w:hangingChars="1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（1）在投标有效期内，撤销投标的；</w:t>
      </w:r>
    </w:p>
    <w:p w14:paraId="642511CB">
      <w:pPr>
        <w:pStyle w:val="10"/>
        <w:tabs>
          <w:tab w:val="left" w:pos="2240"/>
        </w:tabs>
        <w:spacing w:line="240" w:lineRule="atLeast"/>
        <w:ind w:left="1129" w:leftChars="371" w:hanging="350" w:hangingChars="1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（2）中标后不按本须知第30条的规定与采购人签订合同的；</w:t>
      </w:r>
    </w:p>
    <w:p w14:paraId="0ACFFEE0">
      <w:pPr>
        <w:pStyle w:val="10"/>
        <w:tabs>
          <w:tab w:val="left" w:pos="2240"/>
        </w:tabs>
        <w:spacing w:line="240" w:lineRule="atLeast"/>
        <w:ind w:left="1129" w:leftChars="371" w:hanging="350" w:hangingChars="1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（3）中标后不按本须知第31条的规定提交履约保证金的；</w:t>
      </w:r>
    </w:p>
    <w:p w14:paraId="457369DF">
      <w:pPr>
        <w:pStyle w:val="10"/>
        <w:tabs>
          <w:tab w:val="left" w:pos="2240"/>
        </w:tabs>
        <w:spacing w:line="240" w:lineRule="atLeast"/>
        <w:ind w:left="1129" w:leftChars="371" w:hanging="350" w:hangingChars="1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（4）存在其他违法违规行为的。</w:t>
      </w:r>
    </w:p>
    <w:p w14:paraId="477A4A96">
      <w:pPr>
        <w:spacing w:line="240" w:lineRule="atLeast"/>
        <w:ind w:left="900" w:hanging="1050" w:hangingChars="375"/>
        <w:rPr>
          <w:rFonts w:hint="eastAsia" w:ascii="仿宋" w:hAnsi="仿宋" w:eastAsia="仿宋" w:cs="仿宋"/>
          <w:color w:val="auto"/>
          <w:sz w:val="28"/>
          <w:szCs w:val="28"/>
          <w:highlight w:val="none"/>
        </w:rPr>
      </w:pPr>
      <w:bookmarkStart w:id="124" w:name="_Ref467306336"/>
      <w:r>
        <w:rPr>
          <w:rFonts w:hint="eastAsia" w:ascii="仿宋" w:hAnsi="仿宋" w:eastAsia="仿宋" w:cs="仿宋"/>
          <w:color w:val="auto"/>
          <w:sz w:val="28"/>
          <w:szCs w:val="28"/>
          <w:highlight w:val="none"/>
        </w:rPr>
        <w:t>12.3</w:t>
      </w:r>
      <w:r>
        <w:rPr>
          <w:rFonts w:hint="eastAsia" w:ascii="仿宋" w:hAnsi="仿宋" w:eastAsia="仿宋" w:cs="仿宋"/>
          <w:color w:val="auto"/>
          <w:sz w:val="28"/>
          <w:szCs w:val="28"/>
          <w:highlight w:val="none"/>
        </w:rPr>
        <w:tab/>
      </w:r>
      <w:bookmarkEnd w:id="124"/>
      <w:r>
        <w:rPr>
          <w:rFonts w:hint="eastAsia" w:ascii="仿宋" w:hAnsi="仿宋" w:eastAsia="仿宋" w:cs="仿宋"/>
          <w:color w:val="auto"/>
          <w:sz w:val="28"/>
          <w:szCs w:val="28"/>
          <w:highlight w:val="none"/>
        </w:rPr>
        <w:t>政府采购信用担保试点范围内的项目，接受符合财政部门规定的政府采购投标担保函原件。</w:t>
      </w:r>
    </w:p>
    <w:p w14:paraId="12AE853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投标人未按本须知第12.1和12.3条规定提交投标保证金的，其投标将被认定为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46EE22E7">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12.4.1  采用电汇形式的，一般可以实时入账。</w:t>
      </w:r>
    </w:p>
    <w:p w14:paraId="57271F4B">
      <w:pPr>
        <w:spacing w:line="240" w:lineRule="atLeast"/>
        <w:ind w:left="960" w:hanging="1120" w:hangingChars="4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2FACFD8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联合体投标的，可以由联合体中的一方或者共同提交投标保证金。以一方名义提交投标保证金的，对联合体各方均具有约束力。</w:t>
      </w:r>
    </w:p>
    <w:p w14:paraId="2AF173D9">
      <w:pPr>
        <w:spacing w:line="240" w:lineRule="atLeast"/>
        <w:ind w:left="900" w:hanging="1050" w:hangingChars="375"/>
        <w:outlineLvl w:val="2"/>
        <w:rPr>
          <w:rFonts w:hint="eastAsia" w:ascii="仿宋" w:hAnsi="仿宋" w:eastAsia="仿宋" w:cs="仿宋"/>
          <w:color w:val="auto"/>
          <w:sz w:val="28"/>
          <w:szCs w:val="28"/>
          <w:highlight w:val="none"/>
        </w:rPr>
      </w:pPr>
      <w:bookmarkStart w:id="125" w:name="_Toc29255"/>
      <w:r>
        <w:rPr>
          <w:rFonts w:hint="eastAsia" w:ascii="仿宋" w:hAnsi="仿宋" w:eastAsia="仿宋" w:cs="仿宋"/>
          <w:color w:val="auto"/>
          <w:sz w:val="28"/>
          <w:szCs w:val="28"/>
          <w:highlight w:val="none"/>
        </w:rPr>
        <w:t>12.6</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投标保证金的退还</w:t>
      </w:r>
      <w:bookmarkEnd w:id="125"/>
    </w:p>
    <w:p w14:paraId="5808AE6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12.6.1  中标人应在与采购人签订合同之日起5个工作日内，及时联系保证金收受机构办理投标保证金无息退还手续。</w:t>
      </w:r>
    </w:p>
    <w:p w14:paraId="46FC8003">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12.6.2  未中标投标人的投标保证金将在中标通知书发出之日暨中标结果公告公布之日起5个工作日内无息退还。投标人应及时联系保证金收受机构办理退还投标保证金手续。</w:t>
      </w:r>
    </w:p>
    <w:p w14:paraId="6E43A237">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12.6.3  政府采购投标担保函不予退回。</w:t>
      </w:r>
    </w:p>
    <w:p w14:paraId="5C5B78C3">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12.7    因投标人自身原因导致无法及时退还的，采购人或采购代理机构将不承担相应责任。</w:t>
      </w:r>
    </w:p>
    <w:p w14:paraId="220291D5">
      <w:pPr>
        <w:pStyle w:val="6"/>
        <w:spacing w:before="0" w:after="0" w:line="240" w:lineRule="atLeast"/>
        <w:rPr>
          <w:rFonts w:hint="eastAsia" w:ascii="仿宋" w:hAnsi="仿宋" w:eastAsia="仿宋" w:cs="仿宋"/>
          <w:color w:val="auto"/>
          <w:sz w:val="28"/>
          <w:szCs w:val="28"/>
          <w:highlight w:val="none"/>
          <w:u w:val="none"/>
        </w:rPr>
      </w:pPr>
      <w:bookmarkStart w:id="126" w:name="_Toc515647772"/>
      <w:bookmarkStart w:id="127" w:name="_Toc22901"/>
      <w:bookmarkStart w:id="128" w:name="_Toc13067"/>
      <w:bookmarkStart w:id="129" w:name="_Toc32569"/>
      <w:bookmarkStart w:id="130" w:name="_Toc520356157"/>
      <w:r>
        <w:rPr>
          <w:rFonts w:hint="eastAsia" w:ascii="仿宋" w:hAnsi="仿宋" w:eastAsia="仿宋" w:cs="仿宋"/>
          <w:color w:val="auto"/>
          <w:sz w:val="28"/>
          <w:szCs w:val="28"/>
          <w:highlight w:val="none"/>
          <w:u w:val="none"/>
        </w:rPr>
        <w:t>13.投标有效期</w:t>
      </w:r>
      <w:bookmarkEnd w:id="126"/>
      <w:bookmarkEnd w:id="127"/>
      <w:bookmarkEnd w:id="128"/>
      <w:bookmarkEnd w:id="129"/>
      <w:bookmarkEnd w:id="130"/>
    </w:p>
    <w:p w14:paraId="7166A1C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中规定时间内保持有效。投标有效期不满足要求的投标，其投标将被认定为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7BC3F5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58C3E971">
      <w:pPr>
        <w:pStyle w:val="6"/>
        <w:spacing w:before="0" w:after="0" w:line="240" w:lineRule="atLeast"/>
        <w:rPr>
          <w:rFonts w:hint="eastAsia" w:ascii="仿宋" w:hAnsi="仿宋" w:eastAsia="仿宋" w:cs="仿宋"/>
          <w:color w:val="auto"/>
          <w:sz w:val="28"/>
          <w:szCs w:val="28"/>
          <w:highlight w:val="none"/>
          <w:u w:val="none"/>
        </w:rPr>
      </w:pPr>
      <w:bookmarkStart w:id="131" w:name="_Toc520356158"/>
      <w:bookmarkStart w:id="132" w:name="_Toc14566"/>
      <w:bookmarkStart w:id="133" w:name="_Toc17074"/>
      <w:bookmarkStart w:id="134" w:name="_Toc515647773"/>
      <w:bookmarkStart w:id="135" w:name="_Toc493"/>
      <w:bookmarkStart w:id="136" w:name="_Toc17609"/>
      <w:r>
        <w:rPr>
          <w:rFonts w:hint="eastAsia" w:ascii="仿宋" w:hAnsi="仿宋" w:eastAsia="仿宋" w:cs="仿宋"/>
          <w:color w:val="auto"/>
          <w:sz w:val="28"/>
          <w:szCs w:val="28"/>
          <w:highlight w:val="none"/>
          <w:u w:val="none"/>
        </w:rPr>
        <w:t>14.投标文件的签署</w:t>
      </w:r>
      <w:bookmarkEnd w:id="131"/>
      <w:r>
        <w:rPr>
          <w:rFonts w:hint="eastAsia" w:ascii="仿宋" w:hAnsi="仿宋" w:eastAsia="仿宋" w:cs="仿宋"/>
          <w:color w:val="auto"/>
          <w:sz w:val="28"/>
          <w:szCs w:val="28"/>
          <w:highlight w:val="none"/>
          <w:u w:val="none"/>
        </w:rPr>
        <w:t>及规定</w:t>
      </w:r>
      <w:bookmarkEnd w:id="132"/>
      <w:bookmarkEnd w:id="133"/>
      <w:bookmarkEnd w:id="134"/>
      <w:bookmarkEnd w:id="135"/>
      <w:bookmarkEnd w:id="136"/>
    </w:p>
    <w:p w14:paraId="7DEB1D9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r>
        <w:rPr>
          <w:rFonts w:hint="eastAsia" w:ascii="仿宋" w:hAnsi="仿宋" w:eastAsia="仿宋" w:cs="仿宋"/>
          <w:color w:val="auto"/>
          <w:sz w:val="28"/>
          <w:szCs w:val="28"/>
          <w:highlight w:val="none"/>
        </w:rPr>
        <w:tab/>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738D32B5">
      <w:pPr>
        <w:spacing w:line="240" w:lineRule="atLeast"/>
        <w:ind w:left="900" w:hanging="1050" w:hangingChars="375"/>
        <w:rPr>
          <w:rFonts w:hint="eastAsia" w:ascii="仿宋" w:hAnsi="仿宋" w:eastAsia="仿宋" w:cs="仿宋"/>
          <w:color w:val="auto"/>
          <w:sz w:val="28"/>
          <w:szCs w:val="28"/>
          <w:highlight w:val="none"/>
        </w:rPr>
      </w:pPr>
    </w:p>
    <w:p w14:paraId="16305862">
      <w:pPr>
        <w:pStyle w:val="3"/>
        <w:spacing w:before="0" w:line="240" w:lineRule="atLeast"/>
        <w:ind w:left="1079" w:leftChars="257" w:hanging="540"/>
        <w:rPr>
          <w:rFonts w:hint="eastAsia" w:ascii="仿宋" w:hAnsi="仿宋" w:eastAsia="仿宋" w:cs="仿宋"/>
          <w:color w:val="auto"/>
          <w:sz w:val="28"/>
          <w:szCs w:val="28"/>
          <w:highlight w:val="none"/>
        </w:rPr>
      </w:pPr>
      <w:bookmarkStart w:id="137" w:name="_Toc520356159"/>
      <w:bookmarkStart w:id="138" w:name="_Toc216582808"/>
      <w:bookmarkStart w:id="139" w:name="_Toc11179"/>
      <w:bookmarkStart w:id="140" w:name="_Toc29532"/>
      <w:bookmarkStart w:id="141" w:name="_Toc16865"/>
      <w:bookmarkStart w:id="142" w:name="_Toc25925"/>
      <w:bookmarkStart w:id="143" w:name="_Toc515647774"/>
      <w:bookmarkStart w:id="144" w:name="_Toc30354"/>
      <w:r>
        <w:rPr>
          <w:rFonts w:hint="eastAsia" w:ascii="仿宋" w:hAnsi="仿宋" w:eastAsia="仿宋" w:cs="仿宋"/>
          <w:color w:val="auto"/>
          <w:sz w:val="28"/>
          <w:szCs w:val="28"/>
          <w:highlight w:val="none"/>
        </w:rPr>
        <w:t>四</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投标文件的递交</w:t>
      </w:r>
      <w:bookmarkEnd w:id="137"/>
      <w:bookmarkEnd w:id="138"/>
      <w:bookmarkEnd w:id="139"/>
      <w:bookmarkEnd w:id="140"/>
      <w:bookmarkEnd w:id="141"/>
      <w:bookmarkEnd w:id="142"/>
      <w:bookmarkEnd w:id="143"/>
      <w:bookmarkEnd w:id="144"/>
    </w:p>
    <w:p w14:paraId="77CF7CF0">
      <w:pPr>
        <w:pStyle w:val="6"/>
        <w:spacing w:before="0" w:after="0" w:line="240" w:lineRule="atLeast"/>
        <w:rPr>
          <w:rFonts w:hint="eastAsia" w:ascii="仿宋" w:hAnsi="仿宋" w:eastAsia="仿宋" w:cs="仿宋"/>
          <w:color w:val="auto"/>
          <w:sz w:val="28"/>
          <w:szCs w:val="28"/>
          <w:highlight w:val="none"/>
          <w:u w:val="none"/>
        </w:rPr>
      </w:pPr>
      <w:bookmarkStart w:id="145" w:name="_Toc26195"/>
      <w:bookmarkStart w:id="146" w:name="_Toc6343"/>
      <w:bookmarkStart w:id="147" w:name="_Toc32337"/>
      <w:bookmarkStart w:id="148" w:name="_Toc520356160"/>
      <w:bookmarkStart w:id="149" w:name="_Toc515647775"/>
      <w:bookmarkStart w:id="150" w:name="_Toc21645"/>
      <w:r>
        <w:rPr>
          <w:rFonts w:hint="eastAsia" w:ascii="仿宋" w:hAnsi="仿宋" w:eastAsia="仿宋" w:cs="仿宋"/>
          <w:color w:val="auto"/>
          <w:sz w:val="28"/>
          <w:szCs w:val="28"/>
          <w:highlight w:val="none"/>
          <w:u w:val="none"/>
        </w:rPr>
        <w:t>15.投标文件的密封和标记</w:t>
      </w:r>
      <w:bookmarkEnd w:id="145"/>
      <w:bookmarkEnd w:id="146"/>
      <w:bookmarkEnd w:id="147"/>
      <w:bookmarkEnd w:id="148"/>
      <w:bookmarkEnd w:id="149"/>
      <w:bookmarkEnd w:id="150"/>
    </w:p>
    <w:p w14:paraId="21A88D31">
      <w:pPr>
        <w:tabs>
          <w:tab w:val="left" w:pos="-200"/>
          <w:tab w:val="left" w:pos="5580"/>
        </w:tabs>
        <w:spacing w:line="240" w:lineRule="atLeast"/>
        <w:ind w:left="960" w:hanging="1120" w:hangingChars="400"/>
        <w:jc w:val="left"/>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 xml:space="preserve">15.1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695063C3">
      <w:pPr>
        <w:spacing w:line="240" w:lineRule="atLeast"/>
        <w:ind w:left="960" w:hanging="1120" w:hangingChars="400"/>
        <w:rPr>
          <w:rFonts w:hint="eastAsia" w:ascii="仿宋" w:hAnsi="仿宋" w:eastAsia="仿宋" w:cs="仿宋"/>
          <w:color w:val="auto"/>
          <w:sz w:val="28"/>
          <w:szCs w:val="28"/>
          <w:highlight w:val="none"/>
        </w:rPr>
      </w:pPr>
      <w:bookmarkStart w:id="151" w:name="_Toc28106"/>
      <w:r>
        <w:rPr>
          <w:rFonts w:hint="eastAsia" w:ascii="仿宋" w:hAnsi="仿宋" w:eastAsia="仿宋" w:cs="仿宋"/>
          <w:color w:val="auto"/>
          <w:sz w:val="28"/>
          <w:szCs w:val="28"/>
          <w:highlight w:val="none"/>
        </w:rPr>
        <w:t xml:space="preserve">15.2   </w:t>
      </w:r>
      <w:bookmarkEnd w:id="151"/>
      <w:r>
        <w:rPr>
          <w:rFonts w:hint="eastAsia" w:ascii="仿宋" w:hAnsi="仿宋" w:eastAsia="仿宋" w:cs="仿宋"/>
          <w:color w:val="auto"/>
          <w:sz w:val="28"/>
          <w:szCs w:val="28"/>
          <w:highlight w:val="none"/>
        </w:rPr>
        <w:t>供应商因自身原因导致电子投标文件无法导入电子评标系统的，该响应文件视为</w:t>
      </w:r>
      <w:r>
        <w:rPr>
          <w:rFonts w:hint="eastAsia" w:ascii="仿宋" w:hAnsi="仿宋" w:eastAsia="仿宋" w:cs="仿宋"/>
          <w:b/>
          <w:bCs/>
          <w:color w:val="auto"/>
          <w:sz w:val="28"/>
          <w:szCs w:val="28"/>
          <w:highlight w:val="none"/>
        </w:rPr>
        <w:t>无效文件</w:t>
      </w:r>
      <w:r>
        <w:rPr>
          <w:rFonts w:hint="eastAsia" w:ascii="仿宋" w:hAnsi="仿宋" w:eastAsia="仿宋" w:cs="仿宋"/>
          <w:color w:val="auto"/>
          <w:sz w:val="28"/>
          <w:szCs w:val="28"/>
          <w:highlight w:val="none"/>
        </w:rPr>
        <w:t>。</w:t>
      </w:r>
    </w:p>
    <w:p w14:paraId="41851A2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电子投标文件具有法律效力,与其他形式的响应文件在内容和格式上等同，若投标文件与招标文件要求不一致，其内容影响成交结果时，责任由供应商自行承担。</w:t>
      </w:r>
    </w:p>
    <w:p w14:paraId="291E151A">
      <w:pPr>
        <w:pStyle w:val="6"/>
        <w:spacing w:before="0" w:after="0" w:line="240" w:lineRule="atLeast"/>
        <w:rPr>
          <w:rFonts w:hint="eastAsia" w:ascii="仿宋" w:hAnsi="仿宋" w:eastAsia="仿宋" w:cs="仿宋"/>
          <w:color w:val="auto"/>
          <w:sz w:val="28"/>
          <w:szCs w:val="28"/>
          <w:highlight w:val="none"/>
          <w:u w:val="none"/>
        </w:rPr>
      </w:pPr>
      <w:bookmarkStart w:id="152" w:name="_Toc1456"/>
      <w:bookmarkStart w:id="153" w:name="_Toc9840"/>
      <w:bookmarkStart w:id="154" w:name="_Toc12751"/>
      <w:bookmarkStart w:id="155" w:name="_Toc515647776"/>
      <w:bookmarkStart w:id="156" w:name="_Toc520356161"/>
      <w:bookmarkStart w:id="157" w:name="_Toc24017"/>
      <w:r>
        <w:rPr>
          <w:rFonts w:hint="eastAsia" w:ascii="仿宋" w:hAnsi="仿宋" w:eastAsia="仿宋" w:cs="仿宋"/>
          <w:color w:val="auto"/>
          <w:sz w:val="28"/>
          <w:szCs w:val="28"/>
          <w:highlight w:val="none"/>
          <w:u w:val="none"/>
        </w:rPr>
        <w:t>16.投标截止</w:t>
      </w:r>
      <w:bookmarkEnd w:id="152"/>
      <w:bookmarkEnd w:id="153"/>
      <w:bookmarkEnd w:id="154"/>
      <w:bookmarkEnd w:id="155"/>
      <w:bookmarkEnd w:id="156"/>
      <w:bookmarkEnd w:id="157"/>
    </w:p>
    <w:p w14:paraId="5F082D3E">
      <w:pPr>
        <w:spacing w:line="240" w:lineRule="atLeast"/>
        <w:ind w:left="900" w:hanging="1050" w:hangingChars="3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16.1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中规定的截止时间前，将投标文件递交到招标公告中规定的地点。</w:t>
      </w:r>
      <w:r>
        <w:rPr>
          <w:rFonts w:hint="eastAsia" w:ascii="仿宋" w:hAnsi="仿宋" w:eastAsia="仿宋" w:cs="仿宋"/>
          <w:b/>
          <w:bCs/>
          <w:color w:val="auto"/>
          <w:sz w:val="28"/>
          <w:szCs w:val="28"/>
          <w:highlight w:val="none"/>
        </w:rPr>
        <w:t>解密时间30分钟，逾期未解密的视为投标无效。</w:t>
      </w:r>
    </w:p>
    <w:p w14:paraId="47204AE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采购人和采购代理机构有权按本须知的规定，延迟投标截止时间。在此情况下，采购人、采购代理机构和投标人受投标截止时间制约的所有权利和义务均应延长至新的截止时间。</w:t>
      </w:r>
    </w:p>
    <w:p w14:paraId="1B1B4B68">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采购人和采购代理机构将拒绝接收在投标截止时间后上传的投标文件</w:t>
      </w:r>
    </w:p>
    <w:p w14:paraId="0987433C">
      <w:pPr>
        <w:pStyle w:val="6"/>
        <w:spacing w:before="0" w:after="0" w:line="240" w:lineRule="atLeast"/>
        <w:rPr>
          <w:rFonts w:hint="eastAsia" w:ascii="仿宋" w:hAnsi="仿宋" w:eastAsia="仿宋" w:cs="仿宋"/>
          <w:color w:val="auto"/>
          <w:sz w:val="28"/>
          <w:szCs w:val="28"/>
          <w:highlight w:val="none"/>
          <w:u w:val="none"/>
        </w:rPr>
      </w:pPr>
      <w:bookmarkStart w:id="158" w:name="_Toc21703"/>
      <w:bookmarkStart w:id="159" w:name="_Toc18537"/>
      <w:bookmarkStart w:id="160" w:name="_Toc24785"/>
      <w:bookmarkStart w:id="161" w:name="_Toc515647777"/>
      <w:bookmarkStart w:id="162" w:name="_Toc520356162"/>
      <w:bookmarkStart w:id="163" w:name="_Toc24275"/>
      <w:r>
        <w:rPr>
          <w:rFonts w:hint="eastAsia" w:ascii="仿宋" w:hAnsi="仿宋" w:eastAsia="仿宋" w:cs="仿宋"/>
          <w:color w:val="auto"/>
          <w:sz w:val="28"/>
          <w:szCs w:val="28"/>
          <w:highlight w:val="none"/>
          <w:u w:val="none"/>
        </w:rPr>
        <w:t>17.投标文件的接收、修改与撤回</w:t>
      </w:r>
      <w:bookmarkEnd w:id="158"/>
      <w:bookmarkEnd w:id="159"/>
      <w:bookmarkEnd w:id="160"/>
      <w:bookmarkEnd w:id="161"/>
      <w:bookmarkEnd w:id="162"/>
      <w:bookmarkEnd w:id="163"/>
    </w:p>
    <w:p w14:paraId="5B50B010">
      <w:pPr>
        <w:spacing w:line="240" w:lineRule="atLeast"/>
        <w:ind w:left="900" w:hanging="1050" w:hangingChars="375"/>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17.1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在投标截止时间后上传投标文件的，采购人和采购代理机构将</w:t>
      </w:r>
      <w:r>
        <w:rPr>
          <w:rFonts w:hint="eastAsia" w:ascii="仿宋" w:hAnsi="仿宋" w:eastAsia="仿宋" w:cs="仿宋"/>
          <w:b/>
          <w:bCs/>
          <w:color w:val="auto"/>
          <w:sz w:val="28"/>
          <w:szCs w:val="28"/>
          <w:highlight w:val="none"/>
        </w:rPr>
        <w:t>拒绝接收</w:t>
      </w:r>
      <w:r>
        <w:rPr>
          <w:rFonts w:hint="eastAsia" w:ascii="仿宋" w:hAnsi="仿宋" w:eastAsia="仿宋" w:cs="仿宋"/>
          <w:color w:val="auto"/>
          <w:sz w:val="28"/>
          <w:szCs w:val="28"/>
          <w:highlight w:val="none"/>
        </w:rPr>
        <w:t>。</w:t>
      </w:r>
    </w:p>
    <w:p w14:paraId="665578B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采购人或者采购代理机构收到投标文件后，应当如实记载投标文件的送达时间和密封情况，并向投标人出具以下签收回执。</w:t>
      </w:r>
    </w:p>
    <w:p w14:paraId="2DC1B3F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递交投标文件以后，如果投标人要进行修改或撤回投标，须提出书面申请并在投标截止时间前上传至</w:t>
      </w:r>
      <w:r>
        <w:rPr>
          <w:rFonts w:hint="eastAsia" w:ascii="仿宋" w:hAnsi="仿宋" w:eastAsia="仿宋" w:cs="仿宋"/>
          <w:b/>
          <w:bCs/>
          <w:color w:val="auto"/>
          <w:sz w:val="28"/>
          <w:szCs w:val="28"/>
          <w:highlight w:val="none"/>
        </w:rPr>
        <w:t>新疆政采云平台https://www.zcygov.cn</w:t>
      </w:r>
      <w:r>
        <w:rPr>
          <w:rFonts w:hint="eastAsia" w:ascii="仿宋" w:hAnsi="仿宋" w:eastAsia="仿宋" w:cs="仿宋"/>
          <w:color w:val="auto"/>
          <w:sz w:val="28"/>
          <w:szCs w:val="28"/>
          <w:highlight w:val="none"/>
        </w:rPr>
        <w:t>，投标人对投标文件的修改或撤回通知应按本须知规定编制、密封、标记。采购人和采购代理机构将予以接收，并视为投标文件的组成部分。</w:t>
      </w:r>
    </w:p>
    <w:p w14:paraId="678B365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在投标截止期之后，采购人和采购代理机构不接受投标人主动对其投标文件做任何修改。</w:t>
      </w:r>
    </w:p>
    <w:p w14:paraId="79AA6E3A">
      <w:pPr>
        <w:spacing w:line="240" w:lineRule="atLeast"/>
        <w:ind w:left="900" w:hanging="1050" w:hangingChars="375"/>
        <w:outlineLvl w:val="2"/>
        <w:rPr>
          <w:rFonts w:hint="eastAsia" w:ascii="仿宋" w:hAnsi="仿宋" w:eastAsia="仿宋" w:cs="仿宋"/>
          <w:color w:val="auto"/>
          <w:sz w:val="28"/>
          <w:szCs w:val="28"/>
          <w:highlight w:val="none"/>
        </w:rPr>
      </w:pPr>
      <w:bookmarkStart w:id="164" w:name="_Toc26872"/>
      <w:bookmarkStart w:id="165" w:name="_Toc13495"/>
      <w:bookmarkStart w:id="166" w:name="_Toc19583"/>
      <w:r>
        <w:rPr>
          <w:rFonts w:hint="eastAsia" w:ascii="仿宋" w:hAnsi="仿宋" w:eastAsia="仿宋" w:cs="仿宋"/>
          <w:color w:val="auto"/>
          <w:sz w:val="28"/>
          <w:szCs w:val="28"/>
          <w:highlight w:val="none"/>
        </w:rPr>
        <w:t>17.5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采购人和采购代理机构对所接收投标文件概不退回。</w:t>
      </w:r>
      <w:bookmarkEnd w:id="164"/>
      <w:bookmarkEnd w:id="165"/>
      <w:bookmarkEnd w:id="166"/>
    </w:p>
    <w:p w14:paraId="095D402F">
      <w:pPr>
        <w:pStyle w:val="3"/>
        <w:spacing w:before="0" w:line="240" w:lineRule="atLeast"/>
        <w:ind w:left="1079" w:leftChars="257" w:hanging="540"/>
        <w:rPr>
          <w:rFonts w:hint="eastAsia" w:ascii="仿宋" w:hAnsi="仿宋" w:eastAsia="仿宋" w:cs="仿宋"/>
          <w:color w:val="auto"/>
          <w:sz w:val="28"/>
          <w:szCs w:val="28"/>
          <w:highlight w:val="none"/>
        </w:rPr>
      </w:pPr>
      <w:bookmarkStart w:id="167" w:name="_Toc520356163"/>
      <w:bookmarkStart w:id="168" w:name="_Toc1672"/>
      <w:bookmarkStart w:id="169" w:name="_Toc12436"/>
      <w:bookmarkStart w:id="170" w:name="_Toc20246"/>
      <w:bookmarkStart w:id="171" w:name="_Toc515647778"/>
      <w:bookmarkStart w:id="172" w:name="_Toc28398"/>
      <w:bookmarkStart w:id="173" w:name="_Toc216582809"/>
      <w:bookmarkStart w:id="174" w:name="_Toc16700"/>
      <w:r>
        <w:rPr>
          <w:rFonts w:hint="eastAsia" w:ascii="仿宋" w:hAnsi="仿宋" w:eastAsia="仿宋" w:cs="仿宋"/>
          <w:color w:val="auto"/>
          <w:sz w:val="28"/>
          <w:szCs w:val="28"/>
          <w:highlight w:val="none"/>
        </w:rPr>
        <w:t>五   开标及评标</w:t>
      </w:r>
      <w:bookmarkEnd w:id="167"/>
      <w:bookmarkEnd w:id="168"/>
      <w:bookmarkEnd w:id="169"/>
      <w:bookmarkEnd w:id="170"/>
      <w:bookmarkEnd w:id="171"/>
      <w:bookmarkEnd w:id="172"/>
      <w:bookmarkEnd w:id="173"/>
      <w:bookmarkEnd w:id="174"/>
    </w:p>
    <w:p w14:paraId="01B1B013">
      <w:pPr>
        <w:pStyle w:val="6"/>
        <w:numPr>
          <w:ilvl w:val="0"/>
          <w:numId w:val="3"/>
        </w:numPr>
        <w:spacing w:line="240" w:lineRule="atLeast"/>
        <w:rPr>
          <w:rFonts w:hint="eastAsia" w:ascii="仿宋" w:hAnsi="仿宋" w:eastAsia="仿宋" w:cs="仿宋"/>
          <w:color w:val="auto"/>
          <w:sz w:val="28"/>
          <w:szCs w:val="28"/>
          <w:highlight w:val="none"/>
        </w:rPr>
      </w:pPr>
      <w:bookmarkStart w:id="175" w:name="_Toc7186"/>
      <w:bookmarkStart w:id="176" w:name="_Toc17257"/>
      <w:bookmarkStart w:id="177" w:name="_Toc6884"/>
      <w:bookmarkStart w:id="178" w:name="_Toc25345"/>
      <w:bookmarkStart w:id="179" w:name="_Toc515647779"/>
      <w:bookmarkStart w:id="180" w:name="_Toc520356164"/>
      <w:r>
        <w:rPr>
          <w:rFonts w:hint="eastAsia" w:ascii="仿宋" w:hAnsi="仿宋" w:eastAsia="仿宋" w:cs="仿宋"/>
          <w:color w:val="auto"/>
          <w:sz w:val="28"/>
          <w:szCs w:val="28"/>
          <w:highlight w:val="none"/>
          <w:u w:val="none"/>
        </w:rPr>
        <w:t>开标</w:t>
      </w:r>
      <w:bookmarkEnd w:id="175"/>
      <w:bookmarkEnd w:id="176"/>
      <w:bookmarkEnd w:id="177"/>
      <w:bookmarkEnd w:id="178"/>
      <w:bookmarkEnd w:id="179"/>
      <w:bookmarkEnd w:id="180"/>
    </w:p>
    <w:p w14:paraId="7658E897">
      <w:pPr>
        <w:spacing w:line="240" w:lineRule="atLeast"/>
        <w:ind w:left="900" w:hanging="1050" w:hangingChars="375"/>
        <w:rPr>
          <w:rFonts w:hint="eastAsia" w:ascii="仿宋" w:hAnsi="仿宋" w:eastAsia="仿宋" w:cs="仿宋"/>
          <w:color w:val="auto"/>
          <w:sz w:val="28"/>
          <w:szCs w:val="28"/>
          <w:highlight w:val="none"/>
        </w:rPr>
      </w:pPr>
      <w:bookmarkStart w:id="181" w:name="_Toc520356165"/>
      <w:bookmarkStart w:id="182" w:name="_Toc31290"/>
      <w:bookmarkStart w:id="183" w:name="_Toc19296"/>
      <w:bookmarkStart w:id="184" w:name="_Toc21372"/>
      <w:bookmarkStart w:id="185" w:name="_Toc515647780"/>
      <w:r>
        <w:rPr>
          <w:rFonts w:hint="eastAsia" w:ascii="仿宋" w:hAnsi="仿宋" w:eastAsia="仿宋" w:cs="仿宋"/>
          <w:color w:val="auto"/>
          <w:sz w:val="28"/>
          <w:szCs w:val="28"/>
          <w:highlight w:val="none"/>
        </w:rPr>
        <w:t>18.1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中规定的开标时间和地点组织公开开标并邀请所有投标人代表参加。投标人不足3家的，不得开标。</w:t>
      </w:r>
    </w:p>
    <w:p w14:paraId="29B1C694">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w:t>
      </w:r>
      <w:r>
        <w:rPr>
          <w:rFonts w:hint="eastAsia" w:ascii="仿宋" w:hAnsi="仿宋" w:eastAsia="仿宋" w:cs="仿宋"/>
          <w:b/>
          <w:bCs/>
          <w:color w:val="auto"/>
          <w:sz w:val="28"/>
          <w:szCs w:val="28"/>
          <w:highlight w:val="none"/>
        </w:rPr>
        <w:t>逾期未解密的视为投标无效。</w:t>
      </w:r>
    </w:p>
    <w:p w14:paraId="48862D2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采购人或采购代理机构将对开标过程进行记录，</w:t>
      </w:r>
      <w:r>
        <w:rPr>
          <w:rFonts w:hint="eastAsia" w:ascii="仿宋" w:hAnsi="仿宋" w:eastAsia="仿宋" w:cs="仿宋"/>
          <w:color w:val="auto"/>
          <w:sz w:val="28"/>
          <w:szCs w:val="28"/>
          <w:highlight w:val="none"/>
          <w:lang w:bidi="ar"/>
        </w:rPr>
        <w:t>由各供应商代表和相关工作人员在政采云不见面开标大厅平台进行网上签字确认</w:t>
      </w:r>
      <w:r>
        <w:rPr>
          <w:rFonts w:hint="eastAsia" w:ascii="仿宋" w:hAnsi="仿宋" w:eastAsia="仿宋" w:cs="仿宋"/>
          <w:color w:val="auto"/>
          <w:sz w:val="28"/>
          <w:szCs w:val="28"/>
          <w:highlight w:val="none"/>
        </w:rPr>
        <w:t>，并存档备查。</w:t>
      </w:r>
    </w:p>
    <w:p w14:paraId="3190E66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投标人代表对开标过程和开标记录有疑义，以及认为采购人、采购代理机构相关工作人员有需要回避的情形的，应当场提出询问或者回避申请。</w:t>
      </w:r>
    </w:p>
    <w:p w14:paraId="732E610D">
      <w:pPr>
        <w:pStyle w:val="6"/>
        <w:spacing w:before="0" w:after="0" w:line="240" w:lineRule="atLeast"/>
        <w:rPr>
          <w:rFonts w:hint="eastAsia" w:ascii="仿宋" w:hAnsi="仿宋" w:eastAsia="仿宋" w:cs="仿宋"/>
          <w:color w:val="auto"/>
          <w:sz w:val="28"/>
          <w:szCs w:val="28"/>
          <w:highlight w:val="none"/>
          <w:u w:val="none"/>
        </w:rPr>
      </w:pPr>
      <w:bookmarkStart w:id="186" w:name="_Toc17338"/>
      <w:r>
        <w:rPr>
          <w:rFonts w:hint="eastAsia" w:ascii="仿宋" w:hAnsi="仿宋" w:eastAsia="仿宋" w:cs="仿宋"/>
          <w:color w:val="auto"/>
          <w:sz w:val="28"/>
          <w:szCs w:val="28"/>
          <w:highlight w:val="none"/>
          <w:u w:val="none"/>
        </w:rPr>
        <w:t>19.</w:t>
      </w:r>
      <w:bookmarkEnd w:id="181"/>
      <w:r>
        <w:rPr>
          <w:rFonts w:hint="eastAsia" w:ascii="仿宋" w:hAnsi="仿宋" w:eastAsia="仿宋" w:cs="仿宋"/>
          <w:color w:val="auto"/>
          <w:sz w:val="28"/>
          <w:szCs w:val="28"/>
          <w:highlight w:val="none"/>
          <w:u w:val="none"/>
        </w:rPr>
        <w:t>资格审查及组建评标委员会</w:t>
      </w:r>
      <w:bookmarkEnd w:id="182"/>
      <w:bookmarkEnd w:id="183"/>
      <w:bookmarkEnd w:id="184"/>
      <w:bookmarkEnd w:id="185"/>
      <w:bookmarkEnd w:id="186"/>
    </w:p>
    <w:p w14:paraId="016D8FAF">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次开标为线上全流程电子标，资格审查人员为评审小组，评审小组依据法律法规和招标文件中规定的内容，对投标人的资格进行审查。未通过资格审查的投标人不进入评标；进入评标的投标人不足3家的，不得评标。</w:t>
      </w:r>
    </w:p>
    <w:p w14:paraId="281B82EF">
      <w:pPr>
        <w:spacing w:line="240" w:lineRule="atLeast"/>
        <w:ind w:left="857" w:leftChars="2" w:hanging="853"/>
        <w:rPr>
          <w:rFonts w:hint="eastAsia" w:ascii="仿宋" w:hAnsi="仿宋" w:eastAsia="仿宋" w:cs="仿宋"/>
          <w:b/>
          <w:iCs/>
          <w:color w:val="auto"/>
          <w:sz w:val="28"/>
          <w:szCs w:val="28"/>
          <w:highlight w:val="none"/>
        </w:rPr>
      </w:pPr>
      <w:r>
        <w:rPr>
          <w:rFonts w:hint="eastAsia" w:ascii="仿宋" w:hAnsi="仿宋" w:eastAsia="仿宋" w:cs="仿宋"/>
          <w:b/>
          <w:iCs/>
          <w:color w:val="auto"/>
          <w:sz w:val="28"/>
          <w:szCs w:val="28"/>
          <w:highlight w:val="none"/>
        </w:rPr>
        <w:t>通过资格审查的投标人少于不足三家的，不得评标。</w:t>
      </w:r>
    </w:p>
    <w:p w14:paraId="4A543300">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   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F6B1D5D">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10C43B75">
      <w:pPr>
        <w:spacing w:line="240" w:lineRule="atLeast"/>
        <w:ind w:left="850" w:leftChars="401" w:hanging="8" w:hangingChars="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以联合体形式参加投标的，联合体任何成员存在以上不良信用记录的，联合体投标将被认定为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4616450B">
      <w:pPr>
        <w:pStyle w:val="4"/>
        <w:ind w:left="850" w:hanging="991" w:hangingChars="354"/>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19.2.2 查询及记录方式：采购人或采购代理机构经办人将查询网页打印、签字并存档备查。投标人不良信用记录以采购人或采购代理机构查询结果为准。</w:t>
      </w:r>
    </w:p>
    <w:p w14:paraId="03443D22">
      <w:pPr>
        <w:pStyle w:val="4"/>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在本招标文件规定的查询时间之后，网站信息发生的任何变更均不再作为评标依据。</w:t>
      </w:r>
    </w:p>
    <w:p w14:paraId="39A25256">
      <w:pPr>
        <w:pStyle w:val="4"/>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投标人自行提供的与网站信息不一致的其他证明材料亦不作为资格审查依据。</w:t>
      </w:r>
    </w:p>
    <w:p w14:paraId="208DED58">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19.3   按照《中华人民共和国政府采购法》、《中华人民共和国政府采购法实施条例》及本项目本级和上级财政部门的有关规定依法组建的评标委员会，负责评标工作。</w:t>
      </w:r>
      <w:bookmarkStart w:id="187" w:name="_Toc520356166"/>
      <w:r>
        <w:rPr>
          <w:rFonts w:hint="eastAsia" w:ascii="仿宋" w:hAnsi="仿宋" w:eastAsia="仿宋" w:cs="仿宋"/>
          <w:b/>
          <w:bCs/>
          <w:iCs/>
          <w:color w:val="auto"/>
          <w:sz w:val="28"/>
          <w:szCs w:val="28"/>
          <w:highlight w:val="none"/>
          <w:u w:val="single"/>
        </w:rPr>
        <w:t>本项目评标委员会由</w:t>
      </w:r>
      <w:r>
        <w:rPr>
          <w:rFonts w:hint="eastAsia" w:ascii="仿宋" w:hAnsi="仿宋" w:eastAsia="仿宋" w:cs="仿宋"/>
          <w:b/>
          <w:bCs/>
          <w:iCs/>
          <w:color w:val="auto"/>
          <w:sz w:val="28"/>
          <w:szCs w:val="28"/>
          <w:highlight w:val="none"/>
          <w:u w:val="single"/>
          <w:lang w:val="en-US" w:eastAsia="zh-CN"/>
        </w:rPr>
        <w:t>5</w:t>
      </w:r>
      <w:r>
        <w:rPr>
          <w:rFonts w:hint="eastAsia" w:ascii="仿宋" w:hAnsi="仿宋" w:eastAsia="仿宋" w:cs="仿宋"/>
          <w:b/>
          <w:bCs/>
          <w:iCs/>
          <w:color w:val="auto"/>
          <w:sz w:val="28"/>
          <w:szCs w:val="28"/>
          <w:highlight w:val="none"/>
          <w:u w:val="single"/>
        </w:rPr>
        <w:t>人单数组成，其中：</w:t>
      </w:r>
      <w:r>
        <w:rPr>
          <w:rFonts w:hint="eastAsia" w:ascii="仿宋" w:hAnsi="仿宋" w:eastAsia="仿宋" w:cs="仿宋"/>
          <w:b/>
          <w:bCs/>
          <w:iCs/>
          <w:color w:val="auto"/>
          <w:sz w:val="28"/>
          <w:szCs w:val="28"/>
          <w:highlight w:val="lightGray"/>
          <w:u w:val="single"/>
        </w:rPr>
        <w:t>业主代表</w:t>
      </w:r>
      <w:r>
        <w:rPr>
          <w:rFonts w:hint="eastAsia" w:ascii="仿宋" w:hAnsi="仿宋" w:eastAsia="仿宋" w:cs="仿宋"/>
          <w:b/>
          <w:bCs/>
          <w:iCs/>
          <w:color w:val="auto"/>
          <w:sz w:val="28"/>
          <w:szCs w:val="28"/>
          <w:highlight w:val="lightGray"/>
          <w:u w:val="single"/>
          <w:lang w:val="en-US" w:eastAsia="zh-CN"/>
        </w:rPr>
        <w:t>1</w:t>
      </w:r>
      <w:r>
        <w:rPr>
          <w:rFonts w:hint="eastAsia" w:ascii="仿宋" w:hAnsi="仿宋" w:eastAsia="仿宋" w:cs="仿宋"/>
          <w:b/>
          <w:bCs/>
          <w:iCs/>
          <w:color w:val="auto"/>
          <w:sz w:val="28"/>
          <w:szCs w:val="28"/>
          <w:highlight w:val="lightGray"/>
          <w:u w:val="single"/>
        </w:rPr>
        <w:t>人</w:t>
      </w:r>
      <w:r>
        <w:rPr>
          <w:rFonts w:hint="eastAsia" w:ascii="仿宋" w:hAnsi="仿宋" w:eastAsia="仿宋" w:cs="仿宋"/>
          <w:b/>
          <w:bCs/>
          <w:iCs/>
          <w:color w:val="auto"/>
          <w:sz w:val="28"/>
          <w:szCs w:val="28"/>
          <w:highlight w:val="none"/>
          <w:u w:val="single"/>
        </w:rPr>
        <w:t>，评委</w:t>
      </w:r>
      <w:r>
        <w:rPr>
          <w:rFonts w:hint="eastAsia" w:ascii="仿宋" w:hAnsi="仿宋" w:eastAsia="仿宋" w:cs="仿宋"/>
          <w:b/>
          <w:bCs/>
          <w:iCs/>
          <w:color w:val="auto"/>
          <w:sz w:val="28"/>
          <w:szCs w:val="28"/>
          <w:highlight w:val="none"/>
          <w:u w:val="single"/>
          <w:lang w:val="en-US" w:eastAsia="zh-CN"/>
        </w:rPr>
        <w:t>4</w:t>
      </w:r>
      <w:r>
        <w:rPr>
          <w:rFonts w:hint="eastAsia" w:ascii="仿宋" w:hAnsi="仿宋" w:eastAsia="仿宋" w:cs="仿宋"/>
          <w:b/>
          <w:bCs/>
          <w:iCs/>
          <w:color w:val="auto"/>
          <w:sz w:val="28"/>
          <w:szCs w:val="28"/>
          <w:highlight w:val="none"/>
          <w:u w:val="single"/>
        </w:rPr>
        <w:t>人（政采云专家库随机抽取）。</w:t>
      </w:r>
    </w:p>
    <w:p w14:paraId="2C07956C">
      <w:pPr>
        <w:pStyle w:val="6"/>
        <w:spacing w:before="0" w:after="0" w:line="240" w:lineRule="atLeast"/>
        <w:rPr>
          <w:rFonts w:hint="eastAsia" w:ascii="仿宋" w:hAnsi="仿宋" w:eastAsia="仿宋" w:cs="仿宋"/>
          <w:b w:val="0"/>
          <w:bCs/>
          <w:color w:val="auto"/>
          <w:sz w:val="28"/>
          <w:szCs w:val="28"/>
          <w:highlight w:val="none"/>
          <w:bdr w:val="single" w:color="auto" w:sz="4" w:space="0"/>
        </w:rPr>
      </w:pPr>
      <w:bookmarkStart w:id="188" w:name="_Toc26332"/>
      <w:bookmarkStart w:id="189" w:name="_Toc19838"/>
      <w:bookmarkStart w:id="190" w:name="_Toc515647781"/>
      <w:bookmarkStart w:id="191" w:name="_Toc28479"/>
      <w:bookmarkStart w:id="192" w:name="_Toc19949"/>
      <w:r>
        <w:rPr>
          <w:rFonts w:hint="eastAsia" w:ascii="仿宋" w:hAnsi="仿宋" w:eastAsia="仿宋" w:cs="仿宋"/>
          <w:color w:val="auto"/>
          <w:sz w:val="28"/>
          <w:szCs w:val="28"/>
          <w:highlight w:val="none"/>
          <w:u w:val="none"/>
        </w:rPr>
        <w:t>20.投标文件</w:t>
      </w:r>
      <w:bookmarkEnd w:id="187"/>
      <w:r>
        <w:rPr>
          <w:rFonts w:hint="eastAsia" w:ascii="仿宋" w:hAnsi="仿宋" w:eastAsia="仿宋" w:cs="仿宋"/>
          <w:color w:val="auto"/>
          <w:sz w:val="28"/>
          <w:szCs w:val="28"/>
          <w:highlight w:val="none"/>
          <w:u w:val="none"/>
        </w:rPr>
        <w:t>符合性审查与澄清</w:t>
      </w:r>
      <w:bookmarkEnd w:id="188"/>
      <w:bookmarkEnd w:id="189"/>
      <w:bookmarkEnd w:id="190"/>
      <w:bookmarkEnd w:id="191"/>
      <w:bookmarkEnd w:id="192"/>
    </w:p>
    <w:p w14:paraId="4838B68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20.1   符合性审查是指依据招标文件的规定，从投标文件的有效性和完整性对招标文件的响应程度进行审查，以确定是否对招标文件的实质性要求做出响应。</w:t>
      </w:r>
      <w:bookmarkStart w:id="193" w:name="_Hlt522424701"/>
      <w:bookmarkEnd w:id="193"/>
      <w:bookmarkStart w:id="194" w:name="_Toc520356167"/>
    </w:p>
    <w:p w14:paraId="0982A98B">
      <w:pPr>
        <w:spacing w:line="240" w:lineRule="atLeast"/>
        <w:ind w:left="900" w:hanging="1050" w:hangingChars="375"/>
        <w:outlineLvl w:val="2"/>
        <w:rPr>
          <w:rFonts w:hint="eastAsia" w:ascii="仿宋" w:hAnsi="仿宋" w:eastAsia="仿宋" w:cs="仿宋"/>
          <w:color w:val="auto"/>
          <w:sz w:val="28"/>
          <w:szCs w:val="28"/>
          <w:highlight w:val="none"/>
        </w:rPr>
      </w:pPr>
      <w:bookmarkStart w:id="195" w:name="_Toc29259"/>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投标文件的澄清</w:t>
      </w:r>
      <w:bookmarkEnd w:id="195"/>
    </w:p>
    <w:p w14:paraId="3A7A6DC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6803C87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20.2.2  投标人的的澄清、说明或补正将作为投标文件的一部分。</w:t>
      </w:r>
    </w:p>
    <w:p w14:paraId="3ACFD434">
      <w:pPr>
        <w:spacing w:line="240" w:lineRule="atLeast"/>
        <w:ind w:left="900" w:hanging="1050" w:hangingChars="375"/>
        <w:outlineLvl w:val="2"/>
        <w:rPr>
          <w:rFonts w:hint="eastAsia" w:ascii="仿宋" w:hAnsi="仿宋" w:eastAsia="仿宋" w:cs="仿宋"/>
          <w:color w:val="auto"/>
          <w:sz w:val="28"/>
          <w:szCs w:val="28"/>
          <w:highlight w:val="none"/>
        </w:rPr>
      </w:pPr>
      <w:bookmarkStart w:id="196" w:name="_Toc4292"/>
      <w:r>
        <w:rPr>
          <w:rFonts w:hint="eastAsia" w:ascii="仿宋" w:hAnsi="仿宋" w:eastAsia="仿宋" w:cs="仿宋"/>
          <w:color w:val="auto"/>
          <w:sz w:val="28"/>
          <w:szCs w:val="28"/>
          <w:highlight w:val="none"/>
        </w:rPr>
        <w:t>20.3  投标文件报价出现前后不一致的，按照下列规定修正：</w:t>
      </w:r>
      <w:bookmarkEnd w:id="196"/>
    </w:p>
    <w:p w14:paraId="1E79DE62">
      <w:pPr>
        <w:spacing w:line="240" w:lineRule="atLeast"/>
        <w:ind w:left="1020" w:hanging="1190" w:hangingChars="4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（一）投标文件中开标一览表（报价表）内容与投标文件中相应内容不一致的，以开标一览表（报价表）为准；</w:t>
      </w:r>
    </w:p>
    <w:p w14:paraId="304B754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（二）大写金额和小写金额不一致的，以大写金额为准；</w:t>
      </w:r>
    </w:p>
    <w:p w14:paraId="05064627">
      <w:pPr>
        <w:spacing w:line="240" w:lineRule="atLeast"/>
        <w:ind w:left="1020" w:hanging="1190" w:hangingChars="4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（三）单价金额小数点或者百分比有明显错位的，以开标一览表的总价为准，并修改单价；</w:t>
      </w:r>
    </w:p>
    <w:p w14:paraId="4AEC340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（四）总价金额与按单价汇总金额不一致的，以单价金额计算结果为准。</w:t>
      </w:r>
    </w:p>
    <w:p w14:paraId="44654E4D">
      <w:pPr>
        <w:spacing w:line="240" w:lineRule="atLeast"/>
        <w:ind w:left="992" w:leftChars="-28"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A3A878A">
      <w:pPr>
        <w:spacing w:line="240" w:lineRule="atLeast"/>
        <w:ind w:left="735" w:leftChars="350" w:firstLine="140" w:firstLine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对不同文字文本投标文件的解释发生异议的，以中文文本为准。</w:t>
      </w:r>
    </w:p>
    <w:p w14:paraId="10396E7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   如一个分包内只有一种产品，不同投标人所投产品为同一品牌的，按如下方式处理：</w:t>
      </w:r>
    </w:p>
    <w:p w14:paraId="05EFDBE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48877BB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0AAC9B3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20.5   如一个分包内包含多种产品的，采购人或采购代理机构将在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中载明核心产品，多家投标人提供的核心产品品牌相同的，按第20.4条规定处理。</w:t>
      </w:r>
    </w:p>
    <w:p w14:paraId="1A977F9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0A4EACA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BE37E09">
      <w:pPr>
        <w:pStyle w:val="6"/>
        <w:spacing w:before="0" w:after="0" w:line="240" w:lineRule="atLeast"/>
        <w:rPr>
          <w:rFonts w:hint="eastAsia" w:ascii="仿宋" w:hAnsi="仿宋" w:eastAsia="仿宋" w:cs="仿宋"/>
          <w:color w:val="auto"/>
          <w:sz w:val="28"/>
          <w:szCs w:val="28"/>
          <w:highlight w:val="none"/>
          <w:u w:val="none"/>
        </w:rPr>
      </w:pPr>
      <w:bookmarkStart w:id="197" w:name="_Toc21804"/>
      <w:bookmarkStart w:id="198" w:name="_Toc6364"/>
      <w:bookmarkStart w:id="199" w:name="_Toc515647782"/>
      <w:bookmarkStart w:id="200" w:name="_Toc18529"/>
      <w:r>
        <w:rPr>
          <w:rFonts w:hint="eastAsia" w:ascii="仿宋" w:hAnsi="仿宋" w:eastAsia="仿宋" w:cs="仿宋"/>
          <w:color w:val="auto"/>
          <w:sz w:val="28"/>
          <w:szCs w:val="28"/>
          <w:highlight w:val="none"/>
          <w:u w:val="none"/>
        </w:rPr>
        <w:t>21.投标偏离</w:t>
      </w:r>
      <w:bookmarkEnd w:id="197"/>
      <w:bookmarkEnd w:id="198"/>
      <w:bookmarkEnd w:id="199"/>
      <w:bookmarkEnd w:id="200"/>
    </w:p>
    <w:p w14:paraId="3EA98522">
      <w:pPr>
        <w:spacing w:line="240" w:lineRule="atLeast"/>
        <w:ind w:left="954" w:leftChars="99" w:hanging="747" w:hangingChars="2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评标委员会可以接受投标文件中不构成实质性偏离的不正规或不一致。</w:t>
      </w:r>
    </w:p>
    <w:p w14:paraId="53FDE661">
      <w:pPr>
        <w:pStyle w:val="6"/>
        <w:spacing w:before="0" w:after="0" w:line="240" w:lineRule="atLeast"/>
        <w:rPr>
          <w:rFonts w:hint="eastAsia" w:ascii="仿宋" w:hAnsi="仿宋" w:eastAsia="仿宋" w:cs="仿宋"/>
          <w:color w:val="auto"/>
          <w:sz w:val="28"/>
          <w:szCs w:val="28"/>
          <w:highlight w:val="none"/>
          <w:u w:val="none"/>
        </w:rPr>
      </w:pPr>
      <w:bookmarkStart w:id="201" w:name="_Toc515647783"/>
      <w:bookmarkStart w:id="202" w:name="_Toc6092"/>
      <w:bookmarkStart w:id="203" w:name="_Toc4950"/>
      <w:bookmarkStart w:id="204" w:name="_Toc5418"/>
      <w:bookmarkStart w:id="205" w:name="_Toc23936"/>
      <w:r>
        <w:rPr>
          <w:rFonts w:hint="eastAsia" w:ascii="仿宋" w:hAnsi="仿宋" w:eastAsia="仿宋" w:cs="仿宋"/>
          <w:color w:val="auto"/>
          <w:sz w:val="28"/>
          <w:szCs w:val="28"/>
          <w:highlight w:val="none"/>
          <w:u w:val="none"/>
        </w:rPr>
        <w:t>22.投标</w:t>
      </w:r>
      <w:bookmarkEnd w:id="201"/>
      <w:r>
        <w:rPr>
          <w:rFonts w:hint="eastAsia" w:ascii="仿宋" w:hAnsi="仿宋" w:eastAsia="仿宋" w:cs="仿宋"/>
          <w:color w:val="auto"/>
          <w:sz w:val="28"/>
          <w:szCs w:val="28"/>
          <w:highlight w:val="none"/>
          <w:u w:val="none"/>
        </w:rPr>
        <w:t>无效</w:t>
      </w:r>
      <w:bookmarkEnd w:id="202"/>
      <w:bookmarkEnd w:id="203"/>
      <w:bookmarkEnd w:id="204"/>
      <w:bookmarkEnd w:id="205"/>
    </w:p>
    <w:p w14:paraId="106CC6E0">
      <w:pPr>
        <w:spacing w:line="240" w:lineRule="atLeast"/>
        <w:ind w:left="1002" w:leftChars="-23"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。投标人不得通过修正或撤销不符合要求的偏离，从而使其投标成为实质上响应的投标。</w:t>
      </w:r>
    </w:p>
    <w:p w14:paraId="6FACAD35">
      <w:pPr>
        <w:spacing w:line="240" w:lineRule="atLeast"/>
        <w:ind w:left="791" w:leftChars="3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评标委员会决定投标的响应性只根据招标文件要求、投标文件内容及财政主管部门指定相关信息发布媒体。</w:t>
      </w:r>
    </w:p>
    <w:p w14:paraId="1667860C">
      <w:pPr>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22.2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rPr>
        <w:t>如发现下列情况之一的，其投标将被认定为</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w:t>
      </w:r>
      <w:r>
        <w:rPr>
          <w:rFonts w:hint="eastAsia" w:ascii="仿宋" w:hAnsi="仿宋" w:eastAsia="仿宋" w:cs="仿宋"/>
          <w:b/>
          <w:color w:val="auto"/>
          <w:sz w:val="28"/>
          <w:szCs w:val="28"/>
          <w:highlight w:val="none"/>
          <w:u w:val="single"/>
        </w:rPr>
        <w:t>以下情形应当在招标文件中规定，并以醒目的方式标明</w:t>
      </w:r>
      <w:r>
        <w:rPr>
          <w:rFonts w:hint="eastAsia" w:ascii="仿宋" w:hAnsi="仿宋" w:eastAsia="仿宋" w:cs="仿宋"/>
          <w:color w:val="auto"/>
          <w:sz w:val="28"/>
          <w:szCs w:val="28"/>
          <w:highlight w:val="none"/>
          <w:u w:val="single"/>
        </w:rPr>
        <w:t>）</w:t>
      </w:r>
    </w:p>
    <w:p w14:paraId="4388E6DD">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未按招标文件规定的形式和金额提交投标保证金的；</w:t>
      </w:r>
    </w:p>
    <w:p w14:paraId="46E0C442">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未按照招标文件规定要求签署、盖章的；</w:t>
      </w:r>
    </w:p>
    <w:p w14:paraId="55CC6D23">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未满足招标文件中技术条款的实质性要求；</w:t>
      </w:r>
    </w:p>
    <w:p w14:paraId="11CA1A65">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与其他投标人串通投标，或者与招标人串通投标；</w:t>
      </w:r>
    </w:p>
    <w:p w14:paraId="59EA9EB4">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属于招标文件规定的其他</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情形；</w:t>
      </w:r>
    </w:p>
    <w:p w14:paraId="089C2F77">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评标委员会认为投标人的报价明显低于其他通过符合性检查投标人的报价，有可能影响履约的，且投标人未按照规定证明其报价合理性的；</w:t>
      </w:r>
    </w:p>
    <w:p w14:paraId="53CC84D0">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投标文件含有采购人不能接受的附加条件的；</w:t>
      </w:r>
    </w:p>
    <w:p w14:paraId="1B5C8C17">
      <w:pPr>
        <w:numPr>
          <w:ilvl w:val="0"/>
          <w:numId w:val="4"/>
        </w:numPr>
        <w:tabs>
          <w:tab w:val="left" w:pos="0"/>
        </w:tabs>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不符合法规和招标文件中规定的其他实质性要求的。</w:t>
      </w:r>
    </w:p>
    <w:p w14:paraId="710D2259">
      <w:pPr>
        <w:pStyle w:val="6"/>
        <w:spacing w:before="0" w:after="0" w:line="240" w:lineRule="atLeast"/>
        <w:rPr>
          <w:rFonts w:hint="eastAsia" w:ascii="仿宋" w:hAnsi="仿宋" w:eastAsia="仿宋" w:cs="仿宋"/>
          <w:color w:val="auto"/>
          <w:sz w:val="28"/>
          <w:szCs w:val="28"/>
          <w:highlight w:val="none"/>
          <w:u w:val="none"/>
        </w:rPr>
      </w:pPr>
      <w:bookmarkStart w:id="206" w:name="_Toc22941"/>
      <w:bookmarkStart w:id="207" w:name="_Toc10111"/>
      <w:bookmarkStart w:id="208" w:name="_Toc515647784"/>
      <w:bookmarkStart w:id="209" w:name="_Toc13652"/>
      <w:bookmarkStart w:id="210" w:name="_Toc8521"/>
      <w:r>
        <w:rPr>
          <w:rFonts w:hint="eastAsia" w:ascii="仿宋" w:hAnsi="仿宋" w:eastAsia="仿宋" w:cs="仿宋"/>
          <w:color w:val="auto"/>
          <w:sz w:val="28"/>
          <w:szCs w:val="28"/>
          <w:highlight w:val="none"/>
          <w:u w:val="none"/>
        </w:rPr>
        <w:t>23.</w:t>
      </w:r>
      <w:bookmarkEnd w:id="194"/>
      <w:r>
        <w:rPr>
          <w:rFonts w:hint="eastAsia" w:ascii="仿宋" w:hAnsi="仿宋" w:eastAsia="仿宋" w:cs="仿宋"/>
          <w:color w:val="auto"/>
          <w:sz w:val="28"/>
          <w:szCs w:val="28"/>
          <w:highlight w:val="none"/>
          <w:u w:val="none"/>
        </w:rPr>
        <w:t>比较与评价</w:t>
      </w:r>
      <w:bookmarkEnd w:id="206"/>
      <w:bookmarkEnd w:id="207"/>
      <w:bookmarkEnd w:id="208"/>
      <w:bookmarkEnd w:id="209"/>
      <w:bookmarkEnd w:id="210"/>
    </w:p>
    <w:p w14:paraId="16D554B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经符合性审查合格的投标文件，评标委员会将根据招标文件确定的评标方法和标准，对其技术部分和商务部分作进一步的比较和评价。</w:t>
      </w:r>
    </w:p>
    <w:p w14:paraId="3F9DEE3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23.2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评标严格按照招标文件的要求和条件进行。根据实际情况，在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中规定采用下列一种评标方法，详细评标标准见招标文件第六章：</w:t>
      </w:r>
    </w:p>
    <w:p w14:paraId="130E5EF6">
      <w:pPr>
        <w:pStyle w:val="10"/>
        <w:spacing w:line="240" w:lineRule="atLeast"/>
        <w:ind w:left="899" w:leftChars="342" w:hanging="18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最低评标价法，是指投标文件满足招标文件全部实质性要求，且投标报价最低的投标人为中标候选人的评标方法。</w:t>
      </w:r>
    </w:p>
    <w:p w14:paraId="52314576">
      <w:pPr>
        <w:pStyle w:val="10"/>
        <w:spacing w:line="240" w:lineRule="atLeast"/>
        <w:ind w:left="898" w:leftChars="342"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综合评分法，是指投标文件满足招标文件全部实质性要求，且按照评审因素的量化指标评审得分最高的投标人为中标候选人的评标方法。</w:t>
      </w:r>
    </w:p>
    <w:p w14:paraId="41797F2E">
      <w:pPr>
        <w:pStyle w:val="10"/>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23.3   </w:t>
      </w:r>
      <w:r>
        <w:rPr>
          <w:rFonts w:hint="eastAsia" w:ascii="仿宋" w:hAnsi="仿宋" w:eastAsia="仿宋" w:cs="仿宋"/>
          <w:color w:val="auto"/>
          <w:sz w:val="28"/>
          <w:szCs w:val="28"/>
          <w:highlight w:val="none"/>
          <w:u w:val="single"/>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5A80EA8D">
      <w:pPr>
        <w:pStyle w:val="6"/>
        <w:spacing w:before="0" w:after="0" w:line="240" w:lineRule="atLeast"/>
        <w:rPr>
          <w:rFonts w:hint="eastAsia" w:ascii="仿宋" w:hAnsi="仿宋" w:eastAsia="仿宋" w:cs="仿宋"/>
          <w:color w:val="auto"/>
          <w:sz w:val="28"/>
          <w:szCs w:val="28"/>
          <w:highlight w:val="none"/>
          <w:u w:val="none"/>
        </w:rPr>
      </w:pPr>
      <w:bookmarkStart w:id="211" w:name="_Toc520356168"/>
      <w:bookmarkStart w:id="212" w:name="_Toc515647785"/>
      <w:bookmarkStart w:id="213" w:name="_Toc20227"/>
      <w:bookmarkStart w:id="214" w:name="_Toc31728"/>
      <w:bookmarkStart w:id="215" w:name="_Toc9378"/>
      <w:bookmarkStart w:id="216" w:name="_Toc19395"/>
      <w:r>
        <w:rPr>
          <w:rFonts w:hint="eastAsia" w:ascii="仿宋" w:hAnsi="仿宋" w:eastAsia="仿宋" w:cs="仿宋"/>
          <w:color w:val="auto"/>
          <w:sz w:val="28"/>
          <w:szCs w:val="28"/>
          <w:highlight w:val="none"/>
          <w:u w:val="none"/>
        </w:rPr>
        <w:t>24</w:t>
      </w:r>
      <w:bookmarkEnd w:id="211"/>
      <w:r>
        <w:rPr>
          <w:rFonts w:hint="eastAsia" w:ascii="仿宋" w:hAnsi="仿宋" w:eastAsia="仿宋" w:cs="仿宋"/>
          <w:color w:val="auto"/>
          <w:sz w:val="28"/>
          <w:szCs w:val="28"/>
          <w:highlight w:val="none"/>
          <w:u w:val="none"/>
        </w:rPr>
        <w:t>.废标</w:t>
      </w:r>
      <w:bookmarkEnd w:id="212"/>
      <w:bookmarkEnd w:id="213"/>
      <w:bookmarkEnd w:id="214"/>
      <w:bookmarkEnd w:id="215"/>
      <w:bookmarkEnd w:id="216"/>
    </w:p>
    <w:p w14:paraId="34627640">
      <w:pPr>
        <w:spacing w:line="240" w:lineRule="atLeast"/>
        <w:ind w:left="907" w:leftChars="399" w:hanging="70" w:hangingChars="2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出现下列情形之一，将导致项目废标： </w:t>
      </w:r>
    </w:p>
    <w:p w14:paraId="7A4C3E95">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（1）符合专业条件的供应商或者对招标文件做实质性响应的供应商不足三家；</w:t>
      </w:r>
    </w:p>
    <w:p w14:paraId="0D384B40">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（2）出现影响采购公正的违法、违规行为的；</w:t>
      </w:r>
    </w:p>
    <w:p w14:paraId="381577C3">
      <w:pPr>
        <w:spacing w:line="240" w:lineRule="atLeast"/>
        <w:ind w:firstLine="980" w:firstLineChars="35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（3）投标人的报价均超过了采购预算，采购人不能支付的；</w:t>
      </w:r>
    </w:p>
    <w:p w14:paraId="7BA12375">
      <w:pPr>
        <w:spacing w:line="240" w:lineRule="atLeast"/>
        <w:ind w:firstLine="980" w:firstLine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 xml:space="preserve">（4）因重大变故，采购任务取消的。 </w:t>
      </w:r>
      <w:r>
        <w:rPr>
          <w:rFonts w:hint="eastAsia" w:ascii="仿宋" w:hAnsi="仿宋" w:eastAsia="仿宋" w:cs="仿宋"/>
          <w:color w:val="auto"/>
          <w:sz w:val="28"/>
          <w:szCs w:val="28"/>
          <w:highlight w:val="none"/>
        </w:rPr>
        <w:t xml:space="preserve">  </w:t>
      </w:r>
    </w:p>
    <w:p w14:paraId="1F23AAE4">
      <w:pPr>
        <w:pStyle w:val="6"/>
        <w:spacing w:before="0" w:after="0" w:line="240" w:lineRule="atLeast"/>
        <w:rPr>
          <w:rFonts w:hint="eastAsia" w:ascii="仿宋" w:hAnsi="仿宋" w:eastAsia="仿宋" w:cs="仿宋"/>
          <w:color w:val="auto"/>
          <w:sz w:val="28"/>
          <w:szCs w:val="28"/>
          <w:highlight w:val="none"/>
          <w:u w:val="none"/>
        </w:rPr>
      </w:pPr>
      <w:bookmarkStart w:id="217" w:name="_Toc31289"/>
      <w:bookmarkStart w:id="218" w:name="_Toc24972"/>
      <w:bookmarkStart w:id="219" w:name="_Toc11175"/>
      <w:bookmarkStart w:id="220" w:name="_Toc5790"/>
      <w:bookmarkStart w:id="221" w:name="_Toc515647786"/>
      <w:bookmarkStart w:id="222" w:name="_Toc520356169"/>
      <w:r>
        <w:rPr>
          <w:rFonts w:hint="eastAsia" w:ascii="仿宋" w:hAnsi="仿宋" w:eastAsia="仿宋" w:cs="仿宋"/>
          <w:color w:val="auto"/>
          <w:sz w:val="28"/>
          <w:szCs w:val="28"/>
          <w:highlight w:val="none"/>
          <w:u w:val="none"/>
        </w:rPr>
        <w:t>25.保密原则</w:t>
      </w:r>
      <w:bookmarkEnd w:id="217"/>
      <w:bookmarkEnd w:id="218"/>
      <w:bookmarkEnd w:id="219"/>
      <w:bookmarkEnd w:id="220"/>
      <w:bookmarkEnd w:id="221"/>
    </w:p>
    <w:p w14:paraId="2AF93723">
      <w:pPr>
        <w:spacing w:line="240" w:lineRule="atLeast"/>
        <w:ind w:left="900" w:hanging="1050" w:hangingChars="375"/>
        <w:outlineLvl w:val="2"/>
        <w:rPr>
          <w:rFonts w:hint="eastAsia" w:ascii="仿宋" w:hAnsi="仿宋" w:eastAsia="仿宋" w:cs="仿宋"/>
          <w:color w:val="auto"/>
          <w:sz w:val="28"/>
          <w:szCs w:val="28"/>
          <w:highlight w:val="none"/>
        </w:rPr>
      </w:pPr>
      <w:bookmarkStart w:id="223" w:name="_Toc29389"/>
      <w:r>
        <w:rPr>
          <w:rFonts w:hint="eastAsia" w:ascii="仿宋" w:hAnsi="仿宋" w:eastAsia="仿宋" w:cs="仿宋"/>
          <w:color w:val="auto"/>
          <w:sz w:val="28"/>
          <w:szCs w:val="28"/>
          <w:highlight w:val="none"/>
        </w:rPr>
        <w:t>25.1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评标将在严格保密的情况下进行。</w:t>
      </w:r>
      <w:bookmarkEnd w:id="223"/>
    </w:p>
    <w:p w14:paraId="04B27C5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政府采购评审专家应当遵守评审工作纪律，不得泄露评审文件、评审情况和评审中获悉的商业秘密。</w:t>
      </w:r>
    </w:p>
    <w:p w14:paraId="392CE608">
      <w:pPr>
        <w:spacing w:line="240" w:lineRule="atLeast"/>
        <w:ind w:left="1079" w:leftChars="257" w:hanging="540"/>
        <w:rPr>
          <w:rFonts w:hint="eastAsia" w:ascii="仿宋" w:hAnsi="仿宋" w:eastAsia="仿宋" w:cs="仿宋"/>
          <w:color w:val="auto"/>
          <w:sz w:val="28"/>
          <w:szCs w:val="28"/>
          <w:highlight w:val="none"/>
        </w:rPr>
      </w:pPr>
    </w:p>
    <w:p w14:paraId="2AB63328">
      <w:pPr>
        <w:pStyle w:val="3"/>
        <w:spacing w:before="0" w:line="240" w:lineRule="atLeast"/>
        <w:ind w:left="1079" w:leftChars="257" w:hanging="540"/>
        <w:rPr>
          <w:rFonts w:hint="eastAsia" w:ascii="仿宋" w:hAnsi="仿宋" w:eastAsia="仿宋" w:cs="仿宋"/>
          <w:color w:val="auto"/>
          <w:sz w:val="28"/>
          <w:szCs w:val="28"/>
          <w:highlight w:val="none"/>
        </w:rPr>
      </w:pPr>
      <w:bookmarkStart w:id="224" w:name="_Toc23904"/>
      <w:bookmarkStart w:id="225" w:name="_Toc2153"/>
      <w:bookmarkStart w:id="226" w:name="_Toc15596"/>
      <w:bookmarkStart w:id="227" w:name="_Toc216582810"/>
      <w:bookmarkStart w:id="228" w:name="_Toc12143"/>
      <w:bookmarkStart w:id="229" w:name="_Toc2135"/>
      <w:bookmarkStart w:id="230" w:name="_Toc515647787"/>
      <w:r>
        <w:rPr>
          <w:rFonts w:hint="eastAsia" w:ascii="仿宋" w:hAnsi="仿宋" w:eastAsia="仿宋" w:cs="仿宋"/>
          <w:color w:val="auto"/>
          <w:sz w:val="28"/>
          <w:szCs w:val="28"/>
          <w:highlight w:val="none"/>
        </w:rPr>
        <w:t xml:space="preserve">六   </w:t>
      </w:r>
      <w:bookmarkEnd w:id="222"/>
      <w:r>
        <w:rPr>
          <w:rFonts w:hint="eastAsia" w:ascii="仿宋" w:hAnsi="仿宋" w:eastAsia="仿宋" w:cs="仿宋"/>
          <w:color w:val="auto"/>
          <w:sz w:val="28"/>
          <w:szCs w:val="28"/>
          <w:highlight w:val="none"/>
        </w:rPr>
        <w:t>确定中标</w:t>
      </w:r>
      <w:bookmarkEnd w:id="224"/>
      <w:bookmarkEnd w:id="225"/>
      <w:bookmarkEnd w:id="226"/>
      <w:bookmarkEnd w:id="227"/>
      <w:bookmarkEnd w:id="228"/>
      <w:bookmarkEnd w:id="229"/>
      <w:bookmarkEnd w:id="230"/>
    </w:p>
    <w:p w14:paraId="064FE29F">
      <w:pPr>
        <w:pStyle w:val="6"/>
        <w:spacing w:before="0" w:after="0" w:line="240" w:lineRule="atLeast"/>
        <w:rPr>
          <w:rFonts w:hint="eastAsia" w:ascii="仿宋" w:hAnsi="仿宋" w:eastAsia="仿宋" w:cs="仿宋"/>
          <w:color w:val="auto"/>
          <w:sz w:val="28"/>
          <w:szCs w:val="28"/>
          <w:highlight w:val="none"/>
          <w:u w:val="none"/>
        </w:rPr>
      </w:pPr>
      <w:bookmarkStart w:id="231" w:name="_Ref467307010"/>
      <w:bookmarkStart w:id="232" w:name="_Toc515647788"/>
      <w:bookmarkStart w:id="233" w:name="_Toc23617"/>
      <w:bookmarkStart w:id="234" w:name="_Toc28066"/>
      <w:bookmarkStart w:id="235" w:name="_Toc23762"/>
      <w:bookmarkStart w:id="236" w:name="_Toc520356170"/>
      <w:bookmarkStart w:id="237" w:name="_Toc17332"/>
      <w:r>
        <w:rPr>
          <w:rFonts w:hint="eastAsia" w:ascii="仿宋" w:hAnsi="仿宋" w:eastAsia="仿宋" w:cs="仿宋"/>
          <w:color w:val="auto"/>
          <w:sz w:val="28"/>
          <w:szCs w:val="28"/>
          <w:highlight w:val="none"/>
          <w:u w:val="none"/>
        </w:rPr>
        <w:t>26.中标候选人的确定原则及标准</w:t>
      </w:r>
      <w:bookmarkEnd w:id="231"/>
      <w:bookmarkEnd w:id="232"/>
      <w:bookmarkEnd w:id="233"/>
      <w:bookmarkEnd w:id="234"/>
      <w:bookmarkEnd w:id="235"/>
      <w:bookmarkEnd w:id="236"/>
      <w:bookmarkEnd w:id="237"/>
    </w:p>
    <w:p w14:paraId="4655A1D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除第28条规定外，对实质上响应招标文件的投标人按下列方法进行排序，确定投标候选人：</w:t>
      </w:r>
    </w:p>
    <w:p w14:paraId="5E95181F">
      <w:pPr>
        <w:spacing w:line="240" w:lineRule="atLeast"/>
        <w:ind w:left="901"/>
        <w:rPr>
          <w:rFonts w:hint="eastAsia" w:ascii="仿宋" w:hAnsi="仿宋" w:eastAsia="仿宋" w:cs="仿宋"/>
          <w:color w:val="auto"/>
          <w:sz w:val="28"/>
          <w:szCs w:val="28"/>
          <w:highlight w:val="none"/>
        </w:rPr>
      </w:pPr>
      <w:bookmarkStart w:id="238" w:name="_Toc520356171"/>
      <w:bookmarkStart w:id="239" w:name="_Toc515647789"/>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BB00379">
      <w:pPr>
        <w:spacing w:line="240" w:lineRule="atLeast"/>
        <w:ind w:left="9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（2）采用综合评分法的，评标结果按评审后得分由高到低顺序排列。得分相同的，按修正和扣除后的投标报价由低到高顺序排列。得分与投标报价均相同的处理方式详见招标文件第6章。</w:t>
      </w:r>
    </w:p>
    <w:p w14:paraId="77367778">
      <w:pPr>
        <w:pStyle w:val="6"/>
        <w:tabs>
          <w:tab w:val="left" w:pos="900"/>
        </w:tabs>
        <w:spacing w:before="0" w:after="0" w:line="240" w:lineRule="atLeast"/>
        <w:rPr>
          <w:rFonts w:hint="eastAsia" w:ascii="仿宋" w:hAnsi="仿宋" w:eastAsia="仿宋" w:cs="仿宋"/>
          <w:color w:val="auto"/>
          <w:sz w:val="28"/>
          <w:szCs w:val="28"/>
          <w:highlight w:val="none"/>
          <w:u w:val="none"/>
        </w:rPr>
      </w:pPr>
      <w:bookmarkStart w:id="240" w:name="_Toc23951"/>
      <w:bookmarkStart w:id="241" w:name="_Toc9653"/>
      <w:bookmarkStart w:id="242" w:name="_Toc19950"/>
      <w:bookmarkStart w:id="243" w:name="_Toc15456"/>
      <w:r>
        <w:rPr>
          <w:rFonts w:hint="eastAsia" w:ascii="仿宋" w:hAnsi="仿宋" w:eastAsia="仿宋" w:cs="仿宋"/>
          <w:color w:val="auto"/>
          <w:sz w:val="28"/>
          <w:szCs w:val="28"/>
          <w:highlight w:val="none"/>
          <w:u w:val="none"/>
        </w:rPr>
        <w:t>27</w:t>
      </w:r>
      <w:bookmarkEnd w:id="238"/>
      <w:r>
        <w:rPr>
          <w:rFonts w:hint="eastAsia" w:ascii="仿宋" w:hAnsi="仿宋" w:eastAsia="仿宋" w:cs="仿宋"/>
          <w:color w:val="auto"/>
          <w:sz w:val="28"/>
          <w:szCs w:val="28"/>
          <w:highlight w:val="none"/>
          <w:u w:val="none"/>
        </w:rPr>
        <w:t>.确定中标候选人和中标人</w:t>
      </w:r>
      <w:bookmarkEnd w:id="239"/>
      <w:bookmarkEnd w:id="240"/>
      <w:bookmarkEnd w:id="241"/>
      <w:bookmarkEnd w:id="242"/>
      <w:bookmarkEnd w:id="243"/>
    </w:p>
    <w:p w14:paraId="2B8CCE1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评标委员会将根据评标标准，按</w:t>
      </w:r>
      <w:r>
        <w:rPr>
          <w:rFonts w:hint="eastAsia" w:ascii="仿宋" w:hAnsi="仿宋" w:eastAsia="仿宋" w:cs="仿宋"/>
          <w:b/>
          <w:bCs/>
          <w:color w:val="auto"/>
          <w:sz w:val="28"/>
          <w:szCs w:val="28"/>
          <w:highlight w:val="none"/>
          <w:u w:val="single"/>
        </w:rPr>
        <w:t>投标人须知资料表中</w:t>
      </w:r>
      <w:r>
        <w:rPr>
          <w:rFonts w:hint="eastAsia" w:ascii="仿宋" w:hAnsi="仿宋" w:eastAsia="仿宋" w:cs="仿宋"/>
          <w:color w:val="auto"/>
          <w:sz w:val="28"/>
          <w:szCs w:val="28"/>
          <w:highlight w:val="none"/>
        </w:rPr>
        <w:t>规定数量推荐中标候选人；或根据采购人的委托，直接确定中标人。</w:t>
      </w:r>
    </w:p>
    <w:p w14:paraId="0956F485">
      <w:pPr>
        <w:pStyle w:val="6"/>
        <w:tabs>
          <w:tab w:val="left" w:pos="900"/>
        </w:tabs>
        <w:spacing w:before="0" w:after="0" w:line="240" w:lineRule="atLeast"/>
        <w:rPr>
          <w:rFonts w:hint="eastAsia" w:ascii="仿宋" w:hAnsi="仿宋" w:eastAsia="仿宋" w:cs="仿宋"/>
          <w:color w:val="auto"/>
          <w:sz w:val="28"/>
          <w:szCs w:val="28"/>
          <w:highlight w:val="none"/>
          <w:u w:val="none"/>
        </w:rPr>
      </w:pPr>
      <w:bookmarkStart w:id="244" w:name="_Toc520356173"/>
      <w:bookmarkStart w:id="245" w:name="_Ref467306874"/>
      <w:bookmarkStart w:id="246" w:name="_Toc8389"/>
      <w:bookmarkStart w:id="247" w:name="_Toc28562"/>
      <w:bookmarkStart w:id="248" w:name="_Toc13827"/>
      <w:bookmarkStart w:id="249" w:name="_Toc13782"/>
      <w:bookmarkStart w:id="250" w:name="_Toc515647790"/>
      <w:r>
        <w:rPr>
          <w:rFonts w:hint="eastAsia" w:ascii="仿宋" w:hAnsi="仿宋" w:eastAsia="仿宋" w:cs="仿宋"/>
          <w:color w:val="auto"/>
          <w:sz w:val="28"/>
          <w:szCs w:val="28"/>
          <w:highlight w:val="none"/>
          <w:u w:val="none"/>
        </w:rPr>
        <w:t>28.</w:t>
      </w:r>
      <w:bookmarkEnd w:id="244"/>
      <w:bookmarkEnd w:id="245"/>
      <w:r>
        <w:rPr>
          <w:rFonts w:hint="eastAsia" w:ascii="仿宋" w:hAnsi="仿宋" w:eastAsia="仿宋" w:cs="仿宋"/>
          <w:color w:val="auto"/>
          <w:sz w:val="28"/>
          <w:szCs w:val="28"/>
          <w:highlight w:val="none"/>
          <w:u w:val="none"/>
        </w:rPr>
        <w:t>采购任务取消</w:t>
      </w:r>
      <w:bookmarkEnd w:id="246"/>
      <w:bookmarkEnd w:id="247"/>
      <w:bookmarkEnd w:id="248"/>
      <w:bookmarkEnd w:id="249"/>
      <w:bookmarkEnd w:id="250"/>
    </w:p>
    <w:p w14:paraId="2087621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因重大变故采购任务取消时，采购人有权拒绝任何投标人中标，且对受影响的投标人不承担任何责任。</w:t>
      </w:r>
      <w:bookmarkStart w:id="251" w:name="_Toc520356174"/>
    </w:p>
    <w:p w14:paraId="253B1439">
      <w:pPr>
        <w:pStyle w:val="6"/>
        <w:spacing w:before="0" w:after="0" w:line="240" w:lineRule="atLeast"/>
        <w:rPr>
          <w:rFonts w:hint="eastAsia" w:ascii="仿宋" w:hAnsi="仿宋" w:eastAsia="仿宋" w:cs="仿宋"/>
          <w:color w:val="auto"/>
          <w:sz w:val="28"/>
          <w:szCs w:val="28"/>
          <w:highlight w:val="none"/>
          <w:u w:val="none"/>
        </w:rPr>
      </w:pPr>
      <w:bookmarkStart w:id="252" w:name="_Toc15891"/>
      <w:bookmarkStart w:id="253" w:name="_Toc30170"/>
      <w:bookmarkStart w:id="254" w:name="_Toc31099"/>
      <w:bookmarkStart w:id="255" w:name="_Toc31142"/>
      <w:bookmarkStart w:id="256" w:name="_Toc515647791"/>
      <w:r>
        <w:rPr>
          <w:rFonts w:hint="eastAsia" w:ascii="仿宋" w:hAnsi="仿宋" w:eastAsia="仿宋" w:cs="仿宋"/>
          <w:color w:val="auto"/>
          <w:sz w:val="28"/>
          <w:szCs w:val="28"/>
          <w:highlight w:val="none"/>
          <w:u w:val="none"/>
        </w:rPr>
        <w:t>29.中标通知书</w:t>
      </w:r>
      <w:bookmarkEnd w:id="251"/>
      <w:r>
        <w:rPr>
          <w:rFonts w:hint="eastAsia" w:ascii="仿宋" w:hAnsi="仿宋" w:eastAsia="仿宋" w:cs="仿宋"/>
          <w:color w:val="auto"/>
          <w:sz w:val="28"/>
          <w:szCs w:val="28"/>
          <w:highlight w:val="none"/>
          <w:u w:val="none"/>
        </w:rPr>
        <w:t>和招标结果通知书</w:t>
      </w:r>
      <w:bookmarkEnd w:id="252"/>
      <w:bookmarkEnd w:id="253"/>
      <w:bookmarkEnd w:id="254"/>
      <w:bookmarkEnd w:id="255"/>
      <w:bookmarkEnd w:id="256"/>
    </w:p>
    <w:p w14:paraId="37C4B19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在投标有效期内，中标人确定后，采购人或者采购代理机构发布中标公告，同时以书面形式向中标人发出中标通知书。</w:t>
      </w:r>
    </w:p>
    <w:p w14:paraId="0BF23DAC">
      <w:pPr>
        <w:spacing w:line="240" w:lineRule="atLeast"/>
        <w:ind w:left="900" w:hanging="1050" w:hangingChars="375"/>
        <w:outlineLvl w:val="2"/>
        <w:rPr>
          <w:rFonts w:hint="eastAsia" w:ascii="仿宋" w:hAnsi="仿宋" w:eastAsia="仿宋" w:cs="仿宋"/>
          <w:color w:val="auto"/>
          <w:sz w:val="28"/>
          <w:szCs w:val="28"/>
          <w:highlight w:val="none"/>
        </w:rPr>
      </w:pPr>
      <w:bookmarkStart w:id="257" w:name="_Toc10021"/>
      <w:r>
        <w:rPr>
          <w:rFonts w:hint="eastAsia" w:ascii="仿宋" w:hAnsi="仿宋" w:eastAsia="仿宋" w:cs="仿宋"/>
          <w:color w:val="auto"/>
          <w:sz w:val="28"/>
          <w:szCs w:val="28"/>
          <w:highlight w:val="none"/>
        </w:rPr>
        <w:t>29.2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中标通知书是合同的组成部分。</w:t>
      </w:r>
      <w:bookmarkEnd w:id="257"/>
    </w:p>
    <w:p w14:paraId="6C6DF90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29.3    招标结果通知书和中标通知书同时发出。招标结果通知书中将告知未通过资格审查的投标人未通过的原因；采用综合评分法评审的，还将告知未中标人本人的评审得分和排序。</w:t>
      </w:r>
    </w:p>
    <w:p w14:paraId="75ECEDB5">
      <w:pPr>
        <w:pStyle w:val="6"/>
        <w:spacing w:before="0" w:after="0" w:line="240" w:lineRule="atLeast"/>
        <w:rPr>
          <w:rFonts w:hint="eastAsia" w:ascii="仿宋" w:hAnsi="仿宋" w:eastAsia="仿宋" w:cs="仿宋"/>
          <w:color w:val="auto"/>
          <w:sz w:val="28"/>
          <w:szCs w:val="28"/>
          <w:highlight w:val="none"/>
          <w:u w:val="none"/>
        </w:rPr>
      </w:pPr>
      <w:bookmarkStart w:id="258" w:name="_Toc790"/>
      <w:bookmarkStart w:id="259" w:name="_Toc1948"/>
      <w:bookmarkStart w:id="260" w:name="_Ref467306978"/>
      <w:bookmarkStart w:id="261" w:name="_Toc520356175"/>
      <w:bookmarkStart w:id="262" w:name="_Ref467307062"/>
      <w:bookmarkStart w:id="263" w:name="_Ref467307204"/>
      <w:bookmarkStart w:id="264" w:name="_Toc7779"/>
      <w:bookmarkStart w:id="265" w:name="_Toc515647792"/>
      <w:bookmarkStart w:id="266" w:name="_Ref467306377"/>
      <w:bookmarkStart w:id="267" w:name="_Toc14795"/>
      <w:r>
        <w:rPr>
          <w:rFonts w:hint="eastAsia" w:ascii="仿宋" w:hAnsi="仿宋" w:eastAsia="仿宋" w:cs="仿宋"/>
          <w:color w:val="auto"/>
          <w:sz w:val="28"/>
          <w:szCs w:val="28"/>
          <w:highlight w:val="none"/>
          <w:u w:val="none"/>
        </w:rPr>
        <w:t>30.签订合同</w:t>
      </w:r>
      <w:bookmarkEnd w:id="258"/>
      <w:bookmarkEnd w:id="259"/>
      <w:bookmarkEnd w:id="260"/>
      <w:bookmarkEnd w:id="261"/>
      <w:bookmarkEnd w:id="262"/>
      <w:bookmarkEnd w:id="263"/>
      <w:bookmarkEnd w:id="264"/>
      <w:bookmarkEnd w:id="265"/>
      <w:bookmarkEnd w:id="266"/>
      <w:bookmarkEnd w:id="267"/>
    </w:p>
    <w:p w14:paraId="186EAE9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中标人应当自发出中标通知书之日起30日内，与采购人签订合同。</w:t>
      </w:r>
    </w:p>
    <w:p w14:paraId="0026241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30.2</w:t>
      </w:r>
      <w:r>
        <w:rPr>
          <w:rFonts w:hint="eastAsia" w:ascii="仿宋" w:hAnsi="仿宋" w:eastAsia="仿宋" w:cs="仿宋"/>
          <w:color w:val="auto"/>
          <w:sz w:val="28"/>
          <w:szCs w:val="28"/>
          <w:highlight w:val="none"/>
        </w:rPr>
        <w:tab/>
      </w:r>
      <w:bookmarkStart w:id="268" w:name="_Ref467306425"/>
      <w:bookmarkStart w:id="269" w:name="_Toc520356176"/>
      <w:bookmarkStart w:id="270" w:name="_Ref467307090"/>
      <w:r>
        <w:rPr>
          <w:rFonts w:hint="eastAsia" w:ascii="仿宋" w:hAnsi="仿宋" w:eastAsia="仿宋" w:cs="仿宋"/>
          <w:color w:val="auto"/>
          <w:sz w:val="28"/>
          <w:szCs w:val="28"/>
          <w:highlight w:val="none"/>
        </w:rPr>
        <w:t>招标文件、中标人的投标文件及其澄清文件等，均为签订合同的依据。</w:t>
      </w:r>
    </w:p>
    <w:p w14:paraId="4BB65C9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30.3   中标人拒绝与采购人签订合同的，采购人可以按照评审报告推荐的中标候选人名单排序，确定下一中标候选人为中标人，也可以重新开展政府采购活动。</w:t>
      </w:r>
    </w:p>
    <w:p w14:paraId="2B9838B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30.4   当出现法规规定的</w:t>
      </w:r>
      <w:r>
        <w:rPr>
          <w:rFonts w:hint="eastAsia" w:ascii="仿宋" w:hAnsi="仿宋" w:eastAsia="仿宋" w:cs="仿宋"/>
          <w:b/>
          <w:color w:val="auto"/>
          <w:sz w:val="28"/>
          <w:szCs w:val="28"/>
          <w:highlight w:val="none"/>
        </w:rPr>
        <w:t>中标无效或中标结果无效</w:t>
      </w:r>
      <w:r>
        <w:rPr>
          <w:rFonts w:hint="eastAsia" w:ascii="仿宋" w:hAnsi="仿宋" w:eastAsia="仿宋" w:cs="仿宋"/>
          <w:color w:val="auto"/>
          <w:sz w:val="28"/>
          <w:szCs w:val="28"/>
          <w:highlight w:val="none"/>
        </w:rPr>
        <w:t>情形时，采购人可与排名下一位的中标候选人另行签订合同，或依法重新开展采购活动。</w:t>
      </w:r>
    </w:p>
    <w:p w14:paraId="44B6B76B">
      <w:pPr>
        <w:pStyle w:val="6"/>
        <w:spacing w:before="0" w:after="0" w:line="240" w:lineRule="atLeast"/>
        <w:rPr>
          <w:rFonts w:hint="eastAsia" w:ascii="仿宋" w:hAnsi="仿宋" w:eastAsia="仿宋" w:cs="仿宋"/>
          <w:color w:val="auto"/>
          <w:sz w:val="28"/>
          <w:szCs w:val="28"/>
          <w:highlight w:val="none"/>
          <w:u w:val="none"/>
        </w:rPr>
      </w:pPr>
      <w:bookmarkStart w:id="271" w:name="_Toc7188"/>
      <w:bookmarkStart w:id="272" w:name="_Toc29920"/>
      <w:bookmarkStart w:id="273" w:name="_Toc515647793"/>
      <w:bookmarkStart w:id="274" w:name="_Toc22555"/>
      <w:bookmarkStart w:id="275" w:name="_Toc14080"/>
      <w:r>
        <w:rPr>
          <w:rFonts w:hint="eastAsia" w:ascii="仿宋" w:hAnsi="仿宋" w:eastAsia="仿宋" w:cs="仿宋"/>
          <w:color w:val="auto"/>
          <w:sz w:val="28"/>
          <w:szCs w:val="28"/>
          <w:highlight w:val="none"/>
          <w:u w:val="none"/>
        </w:rPr>
        <w:t>31.履约保证金</w:t>
      </w:r>
      <w:bookmarkEnd w:id="268"/>
      <w:bookmarkEnd w:id="269"/>
      <w:bookmarkEnd w:id="270"/>
      <w:bookmarkEnd w:id="271"/>
      <w:bookmarkEnd w:id="272"/>
      <w:bookmarkEnd w:id="273"/>
      <w:bookmarkEnd w:id="274"/>
      <w:bookmarkEnd w:id="275"/>
    </w:p>
    <w:p w14:paraId="03155CB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规定向采购人缴纳履约保证金（如采用保函形式，格式见本章附件1）。</w:t>
      </w:r>
    </w:p>
    <w:p w14:paraId="3D3015D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政府采购利用担保试点范围内的项目，除31.1规定的情形外，中标人也可以按照财政部门的规定，向采购人提供合格的履约担保函（格式见本章附件2）。</w:t>
      </w:r>
    </w:p>
    <w:p w14:paraId="1C43095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   如果中标人没有按照上述履约保证金的规定执行，将视为放弃中标资格，中标人的投标保证金将不予退还。在此情况下，采购人可确定下一候选人为中标人，也可以重新开展采购活动。</w:t>
      </w:r>
    </w:p>
    <w:p w14:paraId="136A8657">
      <w:pPr>
        <w:pStyle w:val="6"/>
        <w:spacing w:before="0" w:after="0" w:line="240" w:lineRule="atLeast"/>
        <w:rPr>
          <w:rFonts w:hint="eastAsia" w:ascii="仿宋" w:hAnsi="仿宋" w:eastAsia="仿宋" w:cs="仿宋"/>
          <w:color w:val="auto"/>
          <w:sz w:val="28"/>
          <w:szCs w:val="28"/>
          <w:highlight w:val="none"/>
          <w:u w:val="none"/>
        </w:rPr>
      </w:pPr>
      <w:bookmarkStart w:id="276" w:name="_Toc29408"/>
      <w:bookmarkStart w:id="277" w:name="_Toc515647794"/>
      <w:bookmarkStart w:id="278" w:name="_Toc31936"/>
      <w:bookmarkStart w:id="279" w:name="_Toc3090"/>
      <w:bookmarkStart w:id="280" w:name="_Toc7174"/>
      <w:r>
        <w:rPr>
          <w:rFonts w:hint="eastAsia" w:ascii="仿宋" w:hAnsi="仿宋" w:eastAsia="仿宋" w:cs="仿宋"/>
          <w:color w:val="auto"/>
          <w:sz w:val="28"/>
          <w:szCs w:val="28"/>
          <w:highlight w:val="none"/>
          <w:u w:val="none"/>
        </w:rPr>
        <w:t>32.中标服务费</w:t>
      </w:r>
      <w:bookmarkEnd w:id="276"/>
      <w:bookmarkEnd w:id="277"/>
      <w:bookmarkEnd w:id="278"/>
      <w:bookmarkEnd w:id="279"/>
      <w:bookmarkEnd w:id="280"/>
    </w:p>
    <w:p w14:paraId="4AC10B99">
      <w:pPr>
        <w:spacing w:line="240" w:lineRule="atLeast"/>
        <w:ind w:left="910" w:leftChars="200" w:hanging="490" w:hangingChars="1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中标人须按照</w:t>
      </w:r>
      <w:r>
        <w:rPr>
          <w:rFonts w:hint="eastAsia" w:ascii="仿宋" w:hAnsi="仿宋" w:eastAsia="仿宋" w:cs="仿宋"/>
          <w:b/>
          <w:bCs/>
          <w:color w:val="auto"/>
          <w:sz w:val="28"/>
          <w:szCs w:val="28"/>
          <w:highlight w:val="none"/>
          <w:u w:val="single"/>
        </w:rPr>
        <w:t>投标须知资料表</w:t>
      </w:r>
      <w:r>
        <w:rPr>
          <w:rFonts w:hint="eastAsia" w:ascii="仿宋" w:hAnsi="仿宋" w:eastAsia="仿宋" w:cs="仿宋"/>
          <w:color w:val="auto"/>
          <w:sz w:val="28"/>
          <w:szCs w:val="28"/>
          <w:highlight w:val="none"/>
        </w:rPr>
        <w:t>规定，向采购代理机构支付中标服务费。</w:t>
      </w:r>
    </w:p>
    <w:p w14:paraId="61E595DD">
      <w:pPr>
        <w:pStyle w:val="6"/>
        <w:spacing w:before="0" w:after="0" w:line="240" w:lineRule="atLeast"/>
        <w:rPr>
          <w:rFonts w:hint="eastAsia" w:ascii="仿宋" w:hAnsi="仿宋" w:eastAsia="仿宋" w:cs="仿宋"/>
          <w:color w:val="auto"/>
          <w:sz w:val="28"/>
          <w:szCs w:val="28"/>
          <w:highlight w:val="none"/>
          <w:u w:val="none"/>
        </w:rPr>
      </w:pPr>
      <w:bookmarkStart w:id="281" w:name="_Toc18671"/>
      <w:bookmarkStart w:id="282" w:name="_Toc13588"/>
      <w:bookmarkStart w:id="283" w:name="_Toc515647795"/>
      <w:bookmarkStart w:id="284" w:name="_Toc7049"/>
      <w:r>
        <w:rPr>
          <w:rFonts w:hint="eastAsia" w:ascii="仿宋" w:hAnsi="仿宋" w:eastAsia="仿宋" w:cs="仿宋"/>
          <w:color w:val="auto"/>
          <w:sz w:val="28"/>
          <w:szCs w:val="28"/>
          <w:highlight w:val="none"/>
          <w:u w:val="none"/>
        </w:rPr>
        <w:t>33.政府采购信用担保</w:t>
      </w:r>
      <w:bookmarkEnd w:id="281"/>
      <w:bookmarkEnd w:id="282"/>
      <w:bookmarkEnd w:id="283"/>
      <w:bookmarkEnd w:id="284"/>
    </w:p>
    <w:p w14:paraId="471826C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   本项目是否属于信用担保试点范围见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157965EB">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   如属于政府采购信用担保试点范围内，中小型企业投标人可以自由按照财政部门的规定，采用投标担保、履约担保和融资担保。</w:t>
      </w:r>
    </w:p>
    <w:p w14:paraId="087EE5B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33.2.1 投标人递交的投标担保函和履约担保函应符合本招标文件的规定。</w:t>
      </w:r>
    </w:p>
    <w:p w14:paraId="7FF9D19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33.2.2 中标人可以采取融资担保的形式为政府采购项目履约进行融资。</w:t>
      </w:r>
    </w:p>
    <w:p w14:paraId="3827DC1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33.2.3 合格的政府采购专业信用担保机构名单见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67CD54EA">
      <w:pPr>
        <w:pStyle w:val="6"/>
        <w:spacing w:before="0" w:after="0" w:line="240" w:lineRule="atLeast"/>
        <w:rPr>
          <w:rFonts w:hint="eastAsia" w:ascii="仿宋" w:hAnsi="仿宋" w:eastAsia="仿宋" w:cs="仿宋"/>
          <w:color w:val="auto"/>
          <w:sz w:val="28"/>
          <w:szCs w:val="28"/>
          <w:highlight w:val="none"/>
          <w:u w:val="none"/>
        </w:rPr>
      </w:pPr>
      <w:bookmarkStart w:id="285" w:name="_Toc2133"/>
      <w:bookmarkStart w:id="286" w:name="_Toc23999"/>
      <w:bookmarkStart w:id="287" w:name="_Toc19863"/>
      <w:bookmarkStart w:id="288" w:name="_Toc515647796"/>
      <w:bookmarkStart w:id="289" w:name="_Toc27198"/>
      <w:r>
        <w:rPr>
          <w:rFonts w:hint="eastAsia" w:ascii="仿宋" w:hAnsi="仿宋" w:eastAsia="仿宋" w:cs="仿宋"/>
          <w:color w:val="auto"/>
          <w:sz w:val="28"/>
          <w:szCs w:val="28"/>
          <w:highlight w:val="none"/>
          <w:u w:val="none"/>
        </w:rPr>
        <w:t>34.廉洁自律规定</w:t>
      </w:r>
      <w:bookmarkEnd w:id="285"/>
      <w:bookmarkEnd w:id="286"/>
      <w:bookmarkEnd w:id="287"/>
      <w:bookmarkEnd w:id="288"/>
      <w:bookmarkEnd w:id="289"/>
    </w:p>
    <w:p w14:paraId="6A8E94C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采购代理机构工作人员不得以不正当手段获取政府采购代理业务，不得与采购人、供应商恶意串通操纵政府采购活动。</w:t>
      </w:r>
    </w:p>
    <w:p w14:paraId="569360D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   采购代理机构工作人员不得接受采购人或者供应商组织的宴请、旅游、娱乐，不得收受礼品、现金、有价证券等，不得向采购人或者供应商报销应当由个人承担的费用。</w:t>
      </w:r>
    </w:p>
    <w:p w14:paraId="12B8FF4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34.3   为强化采购代理机构内部监督机制，供应商可按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single"/>
        </w:rPr>
        <w:t>中的</w:t>
      </w:r>
      <w:r>
        <w:rPr>
          <w:rFonts w:hint="eastAsia" w:ascii="仿宋" w:hAnsi="仿宋" w:eastAsia="仿宋" w:cs="仿宋"/>
          <w:color w:val="auto"/>
          <w:sz w:val="28"/>
          <w:szCs w:val="28"/>
          <w:highlight w:val="none"/>
        </w:rPr>
        <w:t>监督电话和邮箱，反映采购代理机构的廉洁自律等问题。</w:t>
      </w:r>
    </w:p>
    <w:p w14:paraId="579D43CF">
      <w:pPr>
        <w:pStyle w:val="6"/>
        <w:spacing w:before="0" w:after="0" w:line="240" w:lineRule="atLeast"/>
        <w:rPr>
          <w:rFonts w:hint="eastAsia" w:ascii="仿宋" w:hAnsi="仿宋" w:eastAsia="仿宋" w:cs="仿宋"/>
          <w:color w:val="auto"/>
          <w:sz w:val="28"/>
          <w:szCs w:val="28"/>
          <w:highlight w:val="none"/>
          <w:u w:val="none"/>
        </w:rPr>
      </w:pPr>
      <w:bookmarkStart w:id="290" w:name="_Toc25480"/>
      <w:bookmarkStart w:id="291" w:name="_Toc10437"/>
      <w:bookmarkStart w:id="292" w:name="_Toc515647797"/>
      <w:bookmarkStart w:id="293" w:name="_Toc11586"/>
      <w:bookmarkStart w:id="294" w:name="_Toc1575"/>
      <w:r>
        <w:rPr>
          <w:rFonts w:hint="eastAsia" w:ascii="仿宋" w:hAnsi="仿宋" w:eastAsia="仿宋" w:cs="仿宋"/>
          <w:color w:val="auto"/>
          <w:sz w:val="28"/>
          <w:szCs w:val="28"/>
          <w:highlight w:val="none"/>
          <w:u w:val="none"/>
        </w:rPr>
        <w:t>35.人员回避</w:t>
      </w:r>
      <w:bookmarkEnd w:id="290"/>
      <w:bookmarkEnd w:id="291"/>
      <w:bookmarkEnd w:id="292"/>
      <w:bookmarkEnd w:id="293"/>
      <w:bookmarkEnd w:id="294"/>
    </w:p>
    <w:p w14:paraId="05830DE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投标人认为采购人员及其相关人员有法律法规所列与其他供应商有利害关系的，可以向采购人或采购代理机构书面提出回避申请，并说明理由。</w:t>
      </w:r>
    </w:p>
    <w:p w14:paraId="40D43060">
      <w:pPr>
        <w:pStyle w:val="6"/>
        <w:spacing w:before="0" w:after="0" w:line="240" w:lineRule="atLeast"/>
        <w:rPr>
          <w:rFonts w:hint="eastAsia" w:ascii="仿宋" w:hAnsi="仿宋" w:eastAsia="仿宋" w:cs="仿宋"/>
          <w:color w:val="auto"/>
          <w:sz w:val="28"/>
          <w:szCs w:val="28"/>
          <w:highlight w:val="none"/>
          <w:u w:val="none"/>
        </w:rPr>
      </w:pPr>
      <w:bookmarkStart w:id="295" w:name="_Toc515647798"/>
      <w:bookmarkStart w:id="296" w:name="_Toc10700"/>
      <w:bookmarkStart w:id="297" w:name="_Toc3789"/>
      <w:bookmarkStart w:id="298" w:name="_Toc11115"/>
      <w:bookmarkStart w:id="299" w:name="_Toc1148"/>
      <w:r>
        <w:rPr>
          <w:rFonts w:hint="eastAsia" w:ascii="仿宋" w:hAnsi="仿宋" w:eastAsia="仿宋" w:cs="仿宋"/>
          <w:color w:val="auto"/>
          <w:sz w:val="28"/>
          <w:szCs w:val="28"/>
          <w:highlight w:val="none"/>
          <w:u w:val="none"/>
        </w:rPr>
        <w:t>36.质疑与接收</w:t>
      </w:r>
      <w:bookmarkEnd w:id="295"/>
      <w:bookmarkEnd w:id="296"/>
      <w:bookmarkEnd w:id="297"/>
      <w:bookmarkEnd w:id="298"/>
      <w:bookmarkEnd w:id="299"/>
    </w:p>
    <w:p w14:paraId="41D34557">
      <w:pPr>
        <w:spacing w:line="240" w:lineRule="atLeast"/>
        <w:ind w:left="968" w:leftChars="68" w:hanging="826" w:hanging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8A7DB10">
      <w:pPr>
        <w:spacing w:line="240" w:lineRule="atLeast"/>
        <w:ind w:left="968" w:leftChars="68" w:hanging="826" w:hanging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36.2  质疑供应商应按照财政部制定的《政府采购质疑函范本》格式（可从财政部官方网站下载）和《政府采购质疑和投诉办法》的要求，在法定质疑期内以书面形式提出质疑，针对同一采购程序环节的质疑应一次性提出。</w:t>
      </w:r>
    </w:p>
    <w:p w14:paraId="229EAE8D">
      <w:pPr>
        <w:spacing w:line="240" w:lineRule="atLeast"/>
        <w:ind w:left="851" w:leftChars="405" w:hanging="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超出法定质疑期的、重复提出的、分次提出的或内容、形式不符合《政府采购质疑和投诉办法》的，质疑供应商将依法承担不利后果。</w:t>
      </w:r>
    </w:p>
    <w:p w14:paraId="77534AF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36.3  采购代理机构质疑函接收部门、联系电话和通讯地址, 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none"/>
        </w:rPr>
        <w:t>。</w:t>
      </w:r>
    </w:p>
    <w:p w14:paraId="61BE5BEC">
      <w:pPr>
        <w:pStyle w:val="3"/>
        <w:spacing w:before="0" w:line="240" w:lineRule="atLeast"/>
        <w:ind w:left="1079" w:leftChars="257" w:hanging="540"/>
        <w:rPr>
          <w:rFonts w:hint="eastAsia" w:ascii="仿宋" w:hAnsi="仿宋" w:eastAsia="仿宋" w:cs="仿宋"/>
          <w:b w:val="0"/>
          <w:color w:val="auto"/>
          <w:sz w:val="24"/>
          <w:highlight w:val="none"/>
        </w:rPr>
      </w:pPr>
      <w:r>
        <w:rPr>
          <w:rFonts w:hint="eastAsia" w:ascii="仿宋" w:hAnsi="仿宋" w:eastAsia="仿宋" w:cs="仿宋"/>
          <w:color w:val="auto"/>
          <w:highlight w:val="none"/>
        </w:rPr>
        <w:br w:type="page"/>
      </w:r>
      <w:bookmarkStart w:id="300" w:name="_Toc518923103"/>
      <w:bookmarkStart w:id="301" w:name="_Toc23678"/>
      <w:bookmarkStart w:id="302" w:name="_Toc3083"/>
      <w:bookmarkStart w:id="303" w:name="_Toc23883"/>
      <w:bookmarkStart w:id="304" w:name="_Toc16420"/>
      <w:bookmarkStart w:id="305" w:name="_Toc30751"/>
      <w:r>
        <w:rPr>
          <w:rFonts w:hint="eastAsia" w:ascii="仿宋" w:hAnsi="仿宋" w:eastAsia="仿宋" w:cs="仿宋"/>
          <w:color w:val="auto"/>
          <w:szCs w:val="24"/>
          <w:highlight w:val="none"/>
        </w:rPr>
        <w:t>附件1：履约保证金保函（格式）</w:t>
      </w:r>
      <w:bookmarkEnd w:id="300"/>
      <w:bookmarkEnd w:id="301"/>
      <w:bookmarkEnd w:id="302"/>
      <w:bookmarkEnd w:id="303"/>
      <w:bookmarkEnd w:id="304"/>
      <w:bookmarkEnd w:id="305"/>
    </w:p>
    <w:p w14:paraId="7D325F26">
      <w:pPr>
        <w:pStyle w:val="10"/>
        <w:spacing w:line="240" w:lineRule="atLeast"/>
        <w:ind w:left="1079" w:leftChars="257" w:hanging="540"/>
        <w:rPr>
          <w:rFonts w:hint="eastAsia" w:ascii="仿宋" w:hAnsi="仿宋" w:eastAsia="仿宋" w:cs="仿宋"/>
          <w:b/>
          <w:color w:val="auto"/>
          <w:sz w:val="24"/>
          <w:highlight w:val="none"/>
        </w:rPr>
      </w:pPr>
    </w:p>
    <w:p w14:paraId="74518482">
      <w:pPr>
        <w:pStyle w:val="10"/>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（中标后开具）</w:t>
      </w:r>
    </w:p>
    <w:p w14:paraId="55BE6695">
      <w:pPr>
        <w:pStyle w:val="10"/>
        <w:spacing w:line="240" w:lineRule="atLeast"/>
        <w:ind w:left="1079" w:leftChars="257" w:hanging="540"/>
        <w:rPr>
          <w:rFonts w:hint="eastAsia" w:ascii="仿宋" w:hAnsi="仿宋" w:eastAsia="仿宋" w:cs="仿宋"/>
          <w:b/>
          <w:color w:val="auto"/>
          <w:sz w:val="24"/>
          <w:highlight w:val="none"/>
        </w:rPr>
      </w:pPr>
    </w:p>
    <w:p w14:paraId="1157E2D7">
      <w:pPr>
        <w:pStyle w:val="10"/>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 (</w:t>
      </w:r>
      <w:r>
        <w:rPr>
          <w:rFonts w:hint="eastAsia" w:ascii="仿宋" w:hAnsi="仿宋" w:eastAsia="仿宋" w:cs="仿宋"/>
          <w:i/>
          <w:color w:val="auto"/>
          <w:sz w:val="28"/>
          <w:szCs w:val="28"/>
          <w:highlight w:val="none"/>
          <w:u w:val="single"/>
        </w:rPr>
        <w:t>买方名称</w:t>
      </w:r>
      <w:r>
        <w:rPr>
          <w:rFonts w:hint="eastAsia" w:ascii="仿宋" w:hAnsi="仿宋" w:eastAsia="仿宋" w:cs="仿宋"/>
          <w:color w:val="auto"/>
          <w:sz w:val="28"/>
          <w:szCs w:val="28"/>
          <w:highlight w:val="none"/>
        </w:rPr>
        <w:t>)</w:t>
      </w:r>
    </w:p>
    <w:p w14:paraId="6E7DE7C5">
      <w:pPr>
        <w:pStyle w:val="10"/>
        <w:spacing w:line="240" w:lineRule="atLeast"/>
        <w:ind w:left="1079" w:leftChars="257" w:hanging="54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号合同履约保函</w:t>
      </w:r>
    </w:p>
    <w:p w14:paraId="1D423FE1">
      <w:pPr>
        <w:pStyle w:val="10"/>
        <w:spacing w:line="240" w:lineRule="atLeast"/>
        <w:ind w:left="1079" w:leftChars="257" w:hanging="540"/>
        <w:jc w:val="center"/>
        <w:rPr>
          <w:rFonts w:hint="eastAsia" w:ascii="仿宋" w:hAnsi="仿宋" w:eastAsia="仿宋" w:cs="仿宋"/>
          <w:color w:val="auto"/>
          <w:sz w:val="28"/>
          <w:szCs w:val="28"/>
          <w:highlight w:val="none"/>
        </w:rPr>
      </w:pPr>
    </w:p>
    <w:p w14:paraId="2EE36E80">
      <w:pPr>
        <w:pStyle w:val="10"/>
        <w:spacing w:line="240" w:lineRule="atLeast"/>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本保函作为贵方与(</w:t>
      </w:r>
      <w:r>
        <w:rPr>
          <w:rFonts w:hint="eastAsia" w:ascii="仿宋" w:hAnsi="仿宋" w:eastAsia="仿宋" w:cs="仿宋"/>
          <w:i/>
          <w:color w:val="auto"/>
          <w:sz w:val="28"/>
          <w:szCs w:val="28"/>
          <w:highlight w:val="none"/>
          <w:u w:val="single"/>
        </w:rPr>
        <w:t>卖方名称</w:t>
      </w:r>
      <w:r>
        <w:rPr>
          <w:rFonts w:hint="eastAsia" w:ascii="仿宋" w:hAnsi="仿宋" w:eastAsia="仿宋" w:cs="仿宋"/>
          <w:color w:val="auto"/>
          <w:sz w:val="28"/>
          <w:szCs w:val="28"/>
          <w:highlight w:val="none"/>
        </w:rPr>
        <w:t>)(以下简称卖方)于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项目(以下简称项目)项下提供(</w:t>
      </w:r>
      <w:r>
        <w:rPr>
          <w:rFonts w:hint="eastAsia" w:ascii="仿宋" w:hAnsi="仿宋" w:eastAsia="仿宋" w:cs="仿宋"/>
          <w:i/>
          <w:color w:val="auto"/>
          <w:sz w:val="28"/>
          <w:szCs w:val="28"/>
          <w:highlight w:val="none"/>
          <w:u w:val="single"/>
        </w:rPr>
        <w:t>货物名称</w:t>
      </w:r>
      <w:r>
        <w:rPr>
          <w:rFonts w:hint="eastAsia" w:ascii="仿宋" w:hAnsi="仿宋" w:eastAsia="仿宋" w:cs="仿宋"/>
          <w:color w:val="auto"/>
          <w:sz w:val="28"/>
          <w:szCs w:val="28"/>
          <w:highlight w:val="none"/>
        </w:rPr>
        <w:t>)(以下简称货物)签订的(</w:t>
      </w:r>
      <w:r>
        <w:rPr>
          <w:rFonts w:hint="eastAsia" w:ascii="仿宋" w:hAnsi="仿宋" w:eastAsia="仿宋" w:cs="仿宋"/>
          <w:i/>
          <w:color w:val="auto"/>
          <w:sz w:val="28"/>
          <w:szCs w:val="28"/>
          <w:highlight w:val="none"/>
          <w:u w:val="single"/>
        </w:rPr>
        <w:t>合同号</w:t>
      </w:r>
      <w:r>
        <w:rPr>
          <w:rFonts w:hint="eastAsia" w:ascii="仿宋" w:hAnsi="仿宋" w:eastAsia="仿宋" w:cs="仿宋"/>
          <w:color w:val="auto"/>
          <w:sz w:val="28"/>
          <w:szCs w:val="28"/>
          <w:highlight w:val="none"/>
        </w:rPr>
        <w:t>)号合同的履约保函。</w:t>
      </w:r>
    </w:p>
    <w:p w14:paraId="0123D7D3">
      <w:pPr>
        <w:pStyle w:val="10"/>
        <w:spacing w:line="240" w:lineRule="atLeas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i/>
          <w:color w:val="auto"/>
          <w:sz w:val="28"/>
          <w:szCs w:val="28"/>
          <w:highlight w:val="none"/>
          <w:u w:val="single"/>
        </w:rPr>
        <w:t>出具保函的银行名称</w:t>
      </w:r>
      <w:r>
        <w:rPr>
          <w:rFonts w:hint="eastAsia" w:ascii="仿宋" w:hAnsi="仿宋" w:eastAsia="仿宋" w:cs="仿宋"/>
          <w:color w:val="auto"/>
          <w:sz w:val="28"/>
          <w:szCs w:val="28"/>
          <w:highlight w:val="none"/>
        </w:rPr>
        <w:t>)(以下简称银行)无条件地、不可撤销地具结保证本行、其继承人和受让人无追索地向贵方以(</w:t>
      </w:r>
      <w:r>
        <w:rPr>
          <w:rFonts w:hint="eastAsia" w:ascii="仿宋" w:hAnsi="仿宋" w:eastAsia="仿宋" w:cs="仿宋"/>
          <w:i/>
          <w:color w:val="auto"/>
          <w:sz w:val="28"/>
          <w:szCs w:val="28"/>
          <w:highlight w:val="none"/>
          <w:u w:val="single"/>
        </w:rPr>
        <w:t>货币名称</w:t>
      </w:r>
      <w:r>
        <w:rPr>
          <w:rFonts w:hint="eastAsia" w:ascii="仿宋" w:hAnsi="仿宋" w:eastAsia="仿宋" w:cs="仿宋"/>
          <w:color w:val="auto"/>
          <w:sz w:val="28"/>
          <w:szCs w:val="28"/>
          <w:highlight w:val="none"/>
        </w:rPr>
        <w:t>)支付总额不超过(</w:t>
      </w:r>
      <w:r>
        <w:rPr>
          <w:rFonts w:hint="eastAsia" w:ascii="仿宋" w:hAnsi="仿宋" w:eastAsia="仿宋" w:cs="仿宋"/>
          <w:i/>
          <w:color w:val="auto"/>
          <w:sz w:val="28"/>
          <w:szCs w:val="28"/>
          <w:highlight w:val="none"/>
          <w:u w:val="single"/>
        </w:rPr>
        <w:t>货币数量</w:t>
      </w:r>
      <w:r>
        <w:rPr>
          <w:rFonts w:hint="eastAsia" w:ascii="仿宋" w:hAnsi="仿宋" w:eastAsia="仿宋" w:cs="仿宋"/>
          <w:color w:val="auto"/>
          <w:sz w:val="28"/>
          <w:szCs w:val="28"/>
          <w:highlight w:val="none"/>
        </w:rPr>
        <w:t>),即相当于合同价格的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%,并以此约定如下:</w:t>
      </w:r>
    </w:p>
    <w:p w14:paraId="3562C5CE">
      <w:pPr>
        <w:pStyle w:val="10"/>
        <w:spacing w:line="240" w:lineRule="atLeast"/>
        <w:ind w:left="539" w:left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0D1C7016">
      <w:pPr>
        <w:pStyle w:val="10"/>
        <w:spacing w:line="240" w:lineRule="atLeast"/>
        <w:ind w:left="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2.本保函项下的任何支付应为免税和净值。对于现有或将来的税收、关税、收费、费用扣减或预提税款，不论这些款项是何种性质和由谁征收，都不应从本保函项下的支付中扣除。</w:t>
      </w:r>
    </w:p>
    <w:p w14:paraId="0DE57B99">
      <w:pPr>
        <w:pStyle w:val="10"/>
        <w:spacing w:line="240" w:lineRule="atLeast"/>
        <w:ind w:left="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846604B">
      <w:pPr>
        <w:pStyle w:val="10"/>
        <w:spacing w:line="240" w:lineRule="atLeast"/>
        <w:ind w:left="1079" w:leftChars="257" w:hanging="540"/>
        <w:outlineLvl w:val="1"/>
        <w:rPr>
          <w:rFonts w:hint="eastAsia" w:ascii="仿宋" w:hAnsi="仿宋" w:eastAsia="仿宋" w:cs="仿宋"/>
          <w:color w:val="auto"/>
          <w:sz w:val="28"/>
          <w:szCs w:val="28"/>
          <w:highlight w:val="none"/>
        </w:rPr>
      </w:pPr>
      <w:bookmarkStart w:id="306" w:name="_Toc21375"/>
      <w:bookmarkStart w:id="307" w:name="_Toc1076"/>
      <w:r>
        <w:rPr>
          <w:rFonts w:hint="eastAsia" w:ascii="仿宋" w:hAnsi="仿宋" w:eastAsia="仿宋" w:cs="仿宋"/>
          <w:color w:val="auto"/>
          <w:sz w:val="28"/>
          <w:szCs w:val="28"/>
          <w:highlight w:val="none"/>
        </w:rPr>
        <w:t>4.本保函在本合同规定的保证期期满前完全有效。</w:t>
      </w:r>
      <w:bookmarkEnd w:id="306"/>
      <w:bookmarkEnd w:id="307"/>
    </w:p>
    <w:p w14:paraId="11075783">
      <w:pPr>
        <w:pStyle w:val="10"/>
        <w:spacing w:line="240" w:lineRule="atLeast"/>
        <w:ind w:left="1079" w:leftChars="257" w:hanging="540"/>
        <w:rPr>
          <w:rFonts w:hint="eastAsia" w:ascii="仿宋" w:hAnsi="仿宋" w:eastAsia="仿宋" w:cs="仿宋"/>
          <w:color w:val="auto"/>
          <w:sz w:val="28"/>
          <w:szCs w:val="28"/>
          <w:highlight w:val="none"/>
        </w:rPr>
      </w:pPr>
    </w:p>
    <w:p w14:paraId="41065963">
      <w:pPr>
        <w:pStyle w:val="10"/>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谨启</w:t>
      </w:r>
    </w:p>
    <w:p w14:paraId="7DCA4966">
      <w:pPr>
        <w:pStyle w:val="10"/>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出具保函银行名称：</w:t>
      </w:r>
      <w:r>
        <w:rPr>
          <w:rFonts w:hint="eastAsia" w:ascii="仿宋" w:hAnsi="仿宋" w:eastAsia="仿宋" w:cs="仿宋"/>
          <w:color w:val="auto"/>
          <w:sz w:val="28"/>
          <w:szCs w:val="28"/>
          <w:highlight w:val="none"/>
          <w:u w:val="single"/>
        </w:rPr>
        <w:t xml:space="preserve">                             </w:t>
      </w:r>
    </w:p>
    <w:p w14:paraId="4CB156B1">
      <w:pPr>
        <w:pStyle w:val="10"/>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签字人姓名和职务：</w:t>
      </w:r>
      <w:r>
        <w:rPr>
          <w:rFonts w:hint="eastAsia" w:ascii="仿宋" w:hAnsi="仿宋" w:eastAsia="仿宋" w:cs="仿宋"/>
          <w:color w:val="auto"/>
          <w:sz w:val="28"/>
          <w:szCs w:val="28"/>
          <w:highlight w:val="none"/>
          <w:u w:val="single"/>
        </w:rPr>
        <w:t xml:space="preserve">                             </w:t>
      </w:r>
    </w:p>
    <w:p w14:paraId="22DECDCA">
      <w:pPr>
        <w:pStyle w:val="10"/>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签字人签名：</w:t>
      </w:r>
      <w:r>
        <w:rPr>
          <w:rFonts w:hint="eastAsia" w:ascii="仿宋" w:hAnsi="仿宋" w:eastAsia="仿宋" w:cs="仿宋"/>
          <w:color w:val="auto"/>
          <w:sz w:val="28"/>
          <w:szCs w:val="28"/>
          <w:highlight w:val="none"/>
          <w:u w:val="single"/>
        </w:rPr>
        <w:t xml:space="preserve">                                   </w:t>
      </w:r>
    </w:p>
    <w:p w14:paraId="5EB23D2C">
      <w:pPr>
        <w:pStyle w:val="10"/>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5AF36632">
      <w:pPr>
        <w:pStyle w:val="3"/>
        <w:spacing w:before="0" w:line="240" w:lineRule="atLeast"/>
        <w:ind w:left="1079" w:leftChars="257" w:hanging="540"/>
        <w:rPr>
          <w:rFonts w:hint="eastAsia" w:ascii="仿宋" w:hAnsi="仿宋" w:eastAsia="仿宋" w:cs="仿宋"/>
          <w:color w:val="auto"/>
          <w:szCs w:val="24"/>
          <w:highlight w:val="none"/>
        </w:rPr>
      </w:pPr>
      <w:r>
        <w:rPr>
          <w:rFonts w:hint="eastAsia" w:ascii="仿宋" w:hAnsi="仿宋" w:eastAsia="仿宋" w:cs="仿宋"/>
          <w:color w:val="auto"/>
          <w:highlight w:val="none"/>
        </w:rPr>
        <w:br w:type="page"/>
      </w:r>
      <w:bookmarkStart w:id="308" w:name="_Toc16707"/>
      <w:bookmarkStart w:id="309" w:name="_Toc27581"/>
      <w:bookmarkStart w:id="310" w:name="_Toc21744"/>
      <w:bookmarkStart w:id="311" w:name="_Toc20951"/>
      <w:bookmarkStart w:id="312" w:name="_Toc27788"/>
      <w:bookmarkStart w:id="313" w:name="_Toc518923104"/>
      <w:r>
        <w:rPr>
          <w:rFonts w:hint="eastAsia" w:ascii="仿宋" w:hAnsi="仿宋" w:eastAsia="仿宋" w:cs="仿宋"/>
          <w:color w:val="auto"/>
          <w:szCs w:val="24"/>
          <w:highlight w:val="none"/>
        </w:rPr>
        <w:t>附件2：履约担保函格式</w:t>
      </w:r>
      <w:bookmarkEnd w:id="308"/>
      <w:bookmarkEnd w:id="309"/>
      <w:bookmarkEnd w:id="310"/>
      <w:bookmarkEnd w:id="311"/>
      <w:bookmarkEnd w:id="312"/>
      <w:bookmarkEnd w:id="313"/>
    </w:p>
    <w:p w14:paraId="37DF2456">
      <w:pPr>
        <w:pStyle w:val="3"/>
        <w:spacing w:before="0" w:line="240" w:lineRule="atLeast"/>
        <w:ind w:left="1079" w:leftChars="257" w:hanging="540"/>
        <w:rPr>
          <w:rFonts w:hint="eastAsia" w:ascii="仿宋" w:hAnsi="仿宋" w:eastAsia="仿宋" w:cs="仿宋"/>
          <w:b w:val="0"/>
          <w:color w:val="auto"/>
          <w:highlight w:val="none"/>
        </w:rPr>
      </w:pPr>
      <w:bookmarkStart w:id="314" w:name="_Toc13191"/>
      <w:bookmarkStart w:id="315" w:name="_Toc515647801"/>
      <w:bookmarkStart w:id="316" w:name="_Toc162"/>
      <w:bookmarkStart w:id="317" w:name="_Toc9735"/>
      <w:bookmarkStart w:id="318" w:name="_Toc13962"/>
      <w:bookmarkStart w:id="319" w:name="_Toc30861"/>
      <w:bookmarkStart w:id="320" w:name="_Toc7209"/>
      <w:r>
        <w:rPr>
          <w:rFonts w:hint="eastAsia" w:ascii="仿宋" w:hAnsi="仿宋" w:eastAsia="仿宋" w:cs="仿宋"/>
          <w:color w:val="auto"/>
          <w:szCs w:val="24"/>
          <w:highlight w:val="none"/>
        </w:rPr>
        <w:t>（采用政府采购信用担保形式时使用）</w:t>
      </w:r>
      <w:bookmarkEnd w:id="314"/>
      <w:bookmarkEnd w:id="315"/>
      <w:bookmarkEnd w:id="316"/>
      <w:bookmarkEnd w:id="317"/>
      <w:bookmarkEnd w:id="318"/>
      <w:bookmarkEnd w:id="319"/>
      <w:bookmarkEnd w:id="320"/>
    </w:p>
    <w:p w14:paraId="75D70723">
      <w:pPr>
        <w:spacing w:line="240" w:lineRule="atLeast"/>
        <w:ind w:left="1079" w:leftChars="257" w:hanging="540"/>
        <w:rPr>
          <w:rFonts w:hint="eastAsia" w:ascii="仿宋" w:hAnsi="仿宋" w:eastAsia="仿宋" w:cs="仿宋"/>
          <w:b/>
          <w:color w:val="auto"/>
          <w:kern w:val="0"/>
          <w:sz w:val="24"/>
          <w:szCs w:val="20"/>
          <w:highlight w:val="none"/>
        </w:rPr>
      </w:pPr>
    </w:p>
    <w:p w14:paraId="348FDEF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政府采购履约担保函（项目用）</w:t>
      </w:r>
    </w:p>
    <w:p w14:paraId="19C1BB2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编号：</w:t>
      </w:r>
    </w:p>
    <w:p w14:paraId="169A39ED">
      <w:pPr>
        <w:rPr>
          <w:rFonts w:hint="eastAsia" w:ascii="仿宋" w:hAnsi="仿宋" w:eastAsia="仿宋" w:cs="仿宋"/>
          <w:color w:val="auto"/>
          <w:sz w:val="28"/>
          <w:szCs w:val="28"/>
          <w:highlight w:val="none"/>
        </w:rPr>
      </w:pPr>
    </w:p>
    <w:p w14:paraId="1E3D8FE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w:t>
      </w:r>
    </w:p>
    <w:p w14:paraId="6F458208">
      <w:pPr>
        <w:rPr>
          <w:rFonts w:hint="eastAsia" w:ascii="仿宋" w:hAnsi="仿宋" w:eastAsia="仿宋" w:cs="仿宋"/>
          <w:color w:val="auto"/>
          <w:sz w:val="28"/>
          <w:szCs w:val="28"/>
          <w:highlight w:val="none"/>
        </w:rPr>
      </w:pPr>
    </w:p>
    <w:p w14:paraId="256A353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鉴于你方与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（以下简称供应商）于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日签定编号为   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政府采购合同》（以下简称主合同），且依据该合同的约定，供应商应在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p>
    <w:p w14:paraId="1397646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日前向你方交纳履约保证金，且可以履约担保函的形式交纳履约保证金。应供应商的申请，我方以保证的方式向你方提供如下履约保证金担保：</w:t>
      </w:r>
    </w:p>
    <w:p w14:paraId="386C3B68">
      <w:pPr>
        <w:ind w:firstLine="560" w:firstLineChars="200"/>
        <w:outlineLvl w:val="2"/>
        <w:rPr>
          <w:rFonts w:hint="eastAsia" w:ascii="仿宋" w:hAnsi="仿宋" w:eastAsia="仿宋" w:cs="仿宋"/>
          <w:color w:val="auto"/>
          <w:sz w:val="28"/>
          <w:szCs w:val="28"/>
          <w:highlight w:val="none"/>
        </w:rPr>
      </w:pPr>
      <w:bookmarkStart w:id="321" w:name="_Toc16807"/>
      <w:r>
        <w:rPr>
          <w:rFonts w:hint="eastAsia" w:ascii="仿宋" w:hAnsi="仿宋" w:eastAsia="仿宋" w:cs="仿宋"/>
          <w:color w:val="auto"/>
          <w:sz w:val="28"/>
          <w:szCs w:val="28"/>
          <w:highlight w:val="none"/>
        </w:rPr>
        <w:t>一、保证责任的情形及保证金额</w:t>
      </w:r>
      <w:bookmarkEnd w:id="321"/>
    </w:p>
    <w:p w14:paraId="4D9C0FC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（一）在供应商出现下列情形之一时，我方承担保证责任：</w:t>
      </w:r>
    </w:p>
    <w:p w14:paraId="1C69F68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1．将中标项目转让给他人，或者在投标文件中未说明，且未经采购招标机构人同意，将中标项目分包给他人的；</w:t>
      </w:r>
    </w:p>
    <w:p w14:paraId="6CF4BAAD">
      <w:pPr>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322" w:name="_Toc9861"/>
      <w:bookmarkStart w:id="323" w:name="_Toc2434"/>
      <w:bookmarkStart w:id="324" w:name="_Toc30650"/>
      <w:r>
        <w:rPr>
          <w:rFonts w:hint="eastAsia" w:ascii="仿宋" w:hAnsi="仿宋" w:eastAsia="仿宋" w:cs="仿宋"/>
          <w:color w:val="auto"/>
          <w:sz w:val="28"/>
          <w:szCs w:val="28"/>
          <w:highlight w:val="none"/>
        </w:rPr>
        <w:t>2．主合同约定的应当缴纳履约保证金的情形:</w:t>
      </w:r>
      <w:bookmarkEnd w:id="322"/>
      <w:bookmarkEnd w:id="323"/>
      <w:bookmarkEnd w:id="324"/>
      <w:r>
        <w:rPr>
          <w:rFonts w:hint="eastAsia" w:ascii="仿宋" w:hAnsi="仿宋" w:eastAsia="仿宋" w:cs="仿宋"/>
          <w:color w:val="auto"/>
          <w:sz w:val="28"/>
          <w:szCs w:val="28"/>
          <w:highlight w:val="none"/>
        </w:rPr>
        <w:t xml:space="preserve"> </w:t>
      </w:r>
    </w:p>
    <w:p w14:paraId="68D8A84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（1）未按主合同约定的质量、数量和期限供应货物/提供服务/完成工程的；</w:t>
      </w:r>
    </w:p>
    <w:p w14:paraId="1D0D18E9">
      <w:pPr>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2EDF2F9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（二）我方的保证范围是主合同约定的合同价款总额的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%数额为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），币种为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。（即主合同履约保证金金额）</w:t>
      </w:r>
    </w:p>
    <w:p w14:paraId="6771393B">
      <w:pPr>
        <w:ind w:firstLine="560" w:firstLineChars="200"/>
        <w:outlineLvl w:val="2"/>
        <w:rPr>
          <w:rFonts w:hint="eastAsia" w:ascii="仿宋" w:hAnsi="仿宋" w:eastAsia="仿宋" w:cs="仿宋"/>
          <w:color w:val="auto"/>
          <w:sz w:val="28"/>
          <w:szCs w:val="28"/>
          <w:highlight w:val="none"/>
        </w:rPr>
      </w:pPr>
      <w:bookmarkStart w:id="325" w:name="_Toc16733"/>
      <w:r>
        <w:rPr>
          <w:rFonts w:hint="eastAsia" w:ascii="仿宋" w:hAnsi="仿宋" w:eastAsia="仿宋" w:cs="仿宋"/>
          <w:color w:val="auto"/>
          <w:sz w:val="28"/>
          <w:szCs w:val="28"/>
          <w:highlight w:val="none"/>
        </w:rPr>
        <w:t>二、保证的方式及保证期间</w:t>
      </w:r>
      <w:bookmarkEnd w:id="325"/>
    </w:p>
    <w:p w14:paraId="4616B9D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364AD00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我方保证的期间为：自本合同生效之日起至供应商按照主合同约定的供货/完工期限届满后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日内。</w:t>
      </w:r>
    </w:p>
    <w:p w14:paraId="331F9B3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如果供应商未按主合同约定向贵方供应货物/提供服务/完成工程的，由我方在保证金额内向你方支付上述款项。</w:t>
      </w:r>
    </w:p>
    <w:p w14:paraId="38597E24">
      <w:pPr>
        <w:ind w:firstLine="560" w:firstLineChars="200"/>
        <w:outlineLvl w:val="2"/>
        <w:rPr>
          <w:rFonts w:hint="eastAsia" w:ascii="仿宋" w:hAnsi="仿宋" w:eastAsia="仿宋" w:cs="仿宋"/>
          <w:color w:val="auto"/>
          <w:sz w:val="28"/>
          <w:szCs w:val="28"/>
          <w:highlight w:val="none"/>
        </w:rPr>
      </w:pPr>
      <w:bookmarkStart w:id="326" w:name="_Toc19668"/>
      <w:r>
        <w:rPr>
          <w:rFonts w:hint="eastAsia" w:ascii="仿宋" w:hAnsi="仿宋" w:eastAsia="仿宋" w:cs="仿宋"/>
          <w:color w:val="auto"/>
          <w:sz w:val="28"/>
          <w:szCs w:val="28"/>
          <w:highlight w:val="none"/>
        </w:rPr>
        <w:t>三、承担保证责任的程序</w:t>
      </w:r>
      <w:bookmarkEnd w:id="326"/>
    </w:p>
    <w:p w14:paraId="04A4427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1．你方要求我方承担保证责任的，应在本保函保证期间内向我方发出书面索赔通知。索赔通知应写明要求索赔的金额，支付款项应到达的帐号。并附有证明供应商违约事实的证明材料。</w:t>
      </w:r>
    </w:p>
    <w:p w14:paraId="1A0AB0C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如果你方与供应商因货物质量问题产生争议，你方还需同时提供</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部门出具的质量检测报告，或经诉讼（仲裁）程序裁决后的裁决书、调解书，本保证人即按照检测结果或裁决书、调解书决定是否承担保证责任。</w:t>
      </w:r>
    </w:p>
    <w:p w14:paraId="284C3F8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我方收到你方的书面索赔通知及相应证明材料，在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工作日内进行核定后按照本保函的承诺承担保证责任。</w:t>
      </w:r>
    </w:p>
    <w:p w14:paraId="3AC468AD">
      <w:pPr>
        <w:ind w:firstLine="560" w:firstLineChars="200"/>
        <w:outlineLvl w:val="2"/>
        <w:rPr>
          <w:rFonts w:hint="eastAsia" w:ascii="仿宋" w:hAnsi="仿宋" w:eastAsia="仿宋" w:cs="仿宋"/>
          <w:color w:val="auto"/>
          <w:sz w:val="28"/>
          <w:szCs w:val="28"/>
          <w:highlight w:val="none"/>
        </w:rPr>
      </w:pPr>
      <w:bookmarkStart w:id="327" w:name="_Toc11641"/>
      <w:r>
        <w:rPr>
          <w:rFonts w:hint="eastAsia" w:ascii="仿宋" w:hAnsi="仿宋" w:eastAsia="仿宋" w:cs="仿宋"/>
          <w:color w:val="auto"/>
          <w:sz w:val="28"/>
          <w:szCs w:val="28"/>
          <w:highlight w:val="none"/>
        </w:rPr>
        <w:t>四、保证责任的终止</w:t>
      </w:r>
      <w:bookmarkEnd w:id="327"/>
    </w:p>
    <w:p w14:paraId="4F5CD9E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B12913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2．我方按照本保函向你方履行了保证责任后，自我方向你方支付款项（支付款项从我方账户划出）之日起，保证责任即终止。</w:t>
      </w:r>
    </w:p>
    <w:p w14:paraId="6FB0BAE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3．按照法律法规的规定或出现应终止我方保证责任的其它情形的，我方在本保函项下的保证责任亦终止。</w:t>
      </w:r>
    </w:p>
    <w:p w14:paraId="155C684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3267E7E">
      <w:pPr>
        <w:ind w:firstLine="560" w:firstLineChars="200"/>
        <w:outlineLvl w:val="2"/>
        <w:rPr>
          <w:rFonts w:hint="eastAsia" w:ascii="仿宋" w:hAnsi="仿宋" w:eastAsia="仿宋" w:cs="仿宋"/>
          <w:color w:val="auto"/>
          <w:sz w:val="28"/>
          <w:szCs w:val="28"/>
          <w:highlight w:val="none"/>
        </w:rPr>
      </w:pPr>
      <w:bookmarkStart w:id="328" w:name="_Toc3542"/>
      <w:r>
        <w:rPr>
          <w:rFonts w:hint="eastAsia" w:ascii="仿宋" w:hAnsi="仿宋" w:eastAsia="仿宋" w:cs="仿宋"/>
          <w:color w:val="auto"/>
          <w:sz w:val="28"/>
          <w:szCs w:val="28"/>
          <w:highlight w:val="none"/>
        </w:rPr>
        <w:t>五、免责条款</w:t>
      </w:r>
      <w:bookmarkEnd w:id="328"/>
    </w:p>
    <w:p w14:paraId="2DE5274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1．因你方违反主合同约定致使供应商不能履行义务的，我方不承担保证责任。</w:t>
      </w:r>
    </w:p>
    <w:p w14:paraId="64EFD1B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2．依照法律法规的规定或你方与供应商的另行约定，全部或者部分免除供应商应缴纳的保证金义务的，我方亦免除相应的保证责任。</w:t>
      </w:r>
    </w:p>
    <w:p w14:paraId="25AB544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3．因不可抗力造成供应商不能履行供货义务的，我方不承担保证责任。</w:t>
      </w:r>
    </w:p>
    <w:p w14:paraId="165AF212">
      <w:pPr>
        <w:ind w:firstLine="560" w:firstLineChars="200"/>
        <w:outlineLvl w:val="2"/>
        <w:rPr>
          <w:rFonts w:hint="eastAsia" w:ascii="仿宋" w:hAnsi="仿宋" w:eastAsia="仿宋" w:cs="仿宋"/>
          <w:color w:val="auto"/>
          <w:sz w:val="28"/>
          <w:szCs w:val="28"/>
          <w:highlight w:val="none"/>
        </w:rPr>
      </w:pPr>
      <w:bookmarkStart w:id="329" w:name="_Toc908"/>
      <w:r>
        <w:rPr>
          <w:rFonts w:hint="eastAsia" w:ascii="仿宋" w:hAnsi="仿宋" w:eastAsia="仿宋" w:cs="仿宋"/>
          <w:color w:val="auto"/>
          <w:sz w:val="28"/>
          <w:szCs w:val="28"/>
          <w:highlight w:val="none"/>
        </w:rPr>
        <w:t>六、争议的解决</w:t>
      </w:r>
      <w:bookmarkEnd w:id="329"/>
    </w:p>
    <w:p w14:paraId="608C63F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2ED5E2FE">
      <w:pPr>
        <w:ind w:firstLine="560" w:firstLineChars="200"/>
        <w:outlineLvl w:val="2"/>
        <w:rPr>
          <w:rFonts w:hint="eastAsia" w:ascii="仿宋" w:hAnsi="仿宋" w:eastAsia="仿宋" w:cs="仿宋"/>
          <w:color w:val="auto"/>
          <w:sz w:val="28"/>
          <w:szCs w:val="28"/>
          <w:highlight w:val="none"/>
        </w:rPr>
      </w:pPr>
      <w:bookmarkStart w:id="330" w:name="_Toc17651"/>
      <w:r>
        <w:rPr>
          <w:rFonts w:hint="eastAsia" w:ascii="仿宋" w:hAnsi="仿宋" w:eastAsia="仿宋" w:cs="仿宋"/>
          <w:color w:val="auto"/>
          <w:sz w:val="28"/>
          <w:szCs w:val="28"/>
          <w:highlight w:val="none"/>
        </w:rPr>
        <w:t>七、保函的生效</w:t>
      </w:r>
      <w:bookmarkEnd w:id="330"/>
    </w:p>
    <w:p w14:paraId="53E6760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本保函自我方加盖公章之日起生效。                            </w:t>
      </w:r>
    </w:p>
    <w:p w14:paraId="7D43CFF5">
      <w:pPr>
        <w:rPr>
          <w:rFonts w:hint="eastAsia" w:ascii="仿宋" w:hAnsi="仿宋" w:eastAsia="仿宋" w:cs="仿宋"/>
          <w:color w:val="auto"/>
          <w:sz w:val="28"/>
          <w:szCs w:val="28"/>
          <w:highlight w:val="none"/>
        </w:rPr>
      </w:pPr>
    </w:p>
    <w:p w14:paraId="60484E25">
      <w:pPr>
        <w:rPr>
          <w:rFonts w:hint="eastAsia" w:ascii="仿宋" w:hAnsi="仿宋" w:eastAsia="仿宋" w:cs="仿宋"/>
          <w:color w:val="auto"/>
          <w:sz w:val="28"/>
          <w:szCs w:val="28"/>
          <w:highlight w:val="none"/>
        </w:rPr>
      </w:pPr>
    </w:p>
    <w:p w14:paraId="08464902">
      <w:pPr>
        <w:ind w:firstLine="4480" w:firstLineChars="1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71CB19EE">
      <w:pPr>
        <w:ind w:firstLine="4480" w:firstLineChars="1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30CA97C6">
      <w:pPr>
        <w:rPr>
          <w:rFonts w:hint="eastAsia" w:ascii="仿宋" w:hAnsi="仿宋" w:eastAsia="仿宋" w:cs="仿宋"/>
          <w:color w:val="auto"/>
          <w:sz w:val="28"/>
          <w:szCs w:val="28"/>
          <w:highlight w:val="none"/>
        </w:rPr>
      </w:pPr>
    </w:p>
    <w:p w14:paraId="41029B63">
      <w:pPr>
        <w:pStyle w:val="4"/>
        <w:spacing w:line="240" w:lineRule="atLeast"/>
        <w:ind w:firstLine="0"/>
        <w:rPr>
          <w:rFonts w:hint="eastAsia" w:ascii="仿宋" w:hAnsi="仿宋" w:eastAsia="仿宋" w:cs="仿宋"/>
          <w:color w:val="auto"/>
          <w:kern w:val="2"/>
          <w:szCs w:val="24"/>
          <w:highlight w:val="none"/>
        </w:rPr>
      </w:pPr>
      <w:r>
        <w:rPr>
          <w:rFonts w:hint="eastAsia" w:ascii="仿宋" w:hAnsi="仿宋" w:eastAsia="仿宋" w:cs="仿宋"/>
          <w:b/>
          <w:color w:val="auto"/>
          <w:highlight w:val="none"/>
        </w:rPr>
        <w:br w:type="page"/>
      </w:r>
    </w:p>
    <w:p w14:paraId="468DFCA4">
      <w:pPr>
        <w:pStyle w:val="2"/>
        <w:tabs>
          <w:tab w:val="left" w:pos="0"/>
        </w:tabs>
        <w:spacing w:before="0" w:after="0" w:line="240" w:lineRule="atLeast"/>
        <w:rPr>
          <w:rFonts w:hint="eastAsia" w:ascii="仿宋" w:hAnsi="仿宋" w:eastAsia="仿宋" w:cs="仿宋"/>
          <w:color w:val="auto"/>
          <w:kern w:val="0"/>
          <w:szCs w:val="21"/>
          <w:highlight w:val="none"/>
        </w:rPr>
      </w:pPr>
      <w:bookmarkStart w:id="331" w:name="_Toc14838"/>
      <w:bookmarkStart w:id="332" w:name="_Toc216582812"/>
      <w:bookmarkStart w:id="333" w:name="_Toc16529"/>
      <w:bookmarkStart w:id="334" w:name="_Toc15054"/>
      <w:bookmarkStart w:id="335" w:name="_Toc9300"/>
      <w:r>
        <w:rPr>
          <w:rFonts w:hint="eastAsia" w:ascii="仿宋" w:hAnsi="仿宋" w:eastAsia="仿宋" w:cs="仿宋"/>
          <w:color w:val="auto"/>
          <w:kern w:val="0"/>
          <w:szCs w:val="21"/>
          <w:highlight w:val="none"/>
        </w:rPr>
        <w:t xml:space="preserve">第二章  </w:t>
      </w:r>
      <w:bookmarkStart w:id="336" w:name="_Toc518923106"/>
      <w:bookmarkStart w:id="337" w:name="_Toc6923"/>
      <w:r>
        <w:rPr>
          <w:rFonts w:hint="eastAsia" w:ascii="仿宋" w:hAnsi="仿宋" w:eastAsia="仿宋" w:cs="仿宋"/>
          <w:color w:val="auto"/>
          <w:kern w:val="0"/>
          <w:szCs w:val="21"/>
          <w:highlight w:val="none"/>
        </w:rPr>
        <w:t>投标文件格式</w:t>
      </w:r>
      <w:bookmarkEnd w:id="331"/>
      <w:bookmarkEnd w:id="332"/>
      <w:bookmarkEnd w:id="333"/>
      <w:bookmarkEnd w:id="334"/>
      <w:bookmarkEnd w:id="335"/>
      <w:bookmarkEnd w:id="336"/>
      <w:bookmarkEnd w:id="337"/>
    </w:p>
    <w:p w14:paraId="3E4C3A2B">
      <w:pPr>
        <w:pStyle w:val="3"/>
        <w:spacing w:before="0" w:line="240" w:lineRule="atLeast"/>
        <w:ind w:left="1079" w:leftChars="257" w:hanging="540"/>
        <w:rPr>
          <w:rFonts w:hint="eastAsia" w:ascii="仿宋" w:hAnsi="仿宋" w:eastAsia="仿宋" w:cs="仿宋"/>
          <w:color w:val="auto"/>
          <w:sz w:val="28"/>
          <w:szCs w:val="28"/>
          <w:highlight w:val="none"/>
        </w:rPr>
      </w:pPr>
      <w:bookmarkStart w:id="338" w:name="_Toc15142"/>
      <w:bookmarkStart w:id="339" w:name="_Toc20451"/>
      <w:bookmarkStart w:id="340" w:name="_Toc14820"/>
      <w:bookmarkStart w:id="341" w:name="_Toc21974"/>
      <w:bookmarkStart w:id="342" w:name="_Toc518923107"/>
      <w:bookmarkStart w:id="343" w:name="_Toc5991"/>
      <w:r>
        <w:rPr>
          <w:rFonts w:hint="eastAsia" w:ascii="仿宋" w:hAnsi="仿宋" w:eastAsia="仿宋" w:cs="仿宋"/>
          <w:color w:val="auto"/>
          <w:sz w:val="28"/>
          <w:szCs w:val="28"/>
          <w:highlight w:val="none"/>
        </w:rPr>
        <w:t>第一部分 开标一览表及资格证明文件</w:t>
      </w:r>
      <w:bookmarkEnd w:id="338"/>
      <w:bookmarkEnd w:id="339"/>
      <w:bookmarkEnd w:id="340"/>
      <w:bookmarkEnd w:id="341"/>
      <w:bookmarkEnd w:id="342"/>
      <w:bookmarkEnd w:id="343"/>
    </w:p>
    <w:p w14:paraId="4C9ADDDE">
      <w:pPr>
        <w:numPr>
          <w:ilvl w:val="0"/>
          <w:numId w:val="5"/>
        </w:numPr>
        <w:rPr>
          <w:rFonts w:hint="eastAsia" w:ascii="仿宋" w:hAnsi="仿宋" w:eastAsia="仿宋" w:cs="仿宋"/>
          <w:color w:val="auto"/>
          <w:sz w:val="28"/>
          <w:szCs w:val="28"/>
          <w:highlight w:val="none"/>
        </w:rPr>
      </w:pPr>
      <w:bookmarkStart w:id="344" w:name="_Toc1642"/>
      <w:r>
        <w:rPr>
          <w:rFonts w:hint="eastAsia" w:ascii="仿宋" w:hAnsi="仿宋" w:eastAsia="仿宋" w:cs="仿宋"/>
          <w:color w:val="auto"/>
          <w:sz w:val="28"/>
          <w:szCs w:val="28"/>
          <w:highlight w:val="none"/>
        </w:rPr>
        <w:t>合格有效的法人或者非法人组织营业执照;</w:t>
      </w:r>
    </w:p>
    <w:p w14:paraId="739D415F">
      <w:pPr>
        <w:numPr>
          <w:ilvl w:val="0"/>
          <w:numId w:val="5"/>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法定代表人授权书及被委托人身份证（法定代表人投标提供法定代表人身份证明及身份证）</w:t>
      </w:r>
    </w:p>
    <w:p w14:paraId="5D5D10C9">
      <w:pPr>
        <w:numPr>
          <w:ilvl w:val="0"/>
          <w:numId w:val="5"/>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参与政府采购活动前3年内未被列入失信、重大税收违法案件、财政部门禁止参加政府采购活动的承诺书；</w:t>
      </w:r>
    </w:p>
    <w:p w14:paraId="2FEBFA5A">
      <w:pPr>
        <w:numPr>
          <w:ilvl w:val="0"/>
          <w:numId w:val="5"/>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投标单位需提供202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年1月至今任一月的税收和社保缴纳记录；税收可提供由投标单位所在地税务部门出具的“0”申报证明或无欠税证明。（原件、复印件、影印件均可，留存复印件或影印件</w:t>
      </w:r>
      <w:r>
        <w:rPr>
          <w:rFonts w:hint="eastAsia" w:ascii="仿宋" w:hAnsi="仿宋" w:eastAsia="仿宋" w:cs="仿宋"/>
          <w:color w:val="auto"/>
          <w:sz w:val="28"/>
          <w:szCs w:val="28"/>
          <w:highlight w:val="none"/>
          <w:lang w:eastAsia="zh-CN"/>
        </w:rPr>
        <w:t>）</w:t>
      </w:r>
    </w:p>
    <w:p w14:paraId="1890891C">
      <w:pPr>
        <w:numPr>
          <w:ilvl w:val="0"/>
          <w:numId w:val="5"/>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2022、2023或2024任一</w:t>
      </w:r>
      <w:r>
        <w:rPr>
          <w:rFonts w:hint="eastAsia" w:ascii="仿宋" w:hAnsi="仿宋" w:eastAsia="仿宋" w:cs="仿宋"/>
          <w:color w:val="auto"/>
          <w:sz w:val="28"/>
          <w:szCs w:val="28"/>
          <w:highlight w:val="none"/>
        </w:rPr>
        <w:t>年度由第三方财务审计机构出具及在注册会计师行业统一监管平台备案赋码的财务审计报告或新成立的企业提供银行出具的近三个月（连续三个月是指2025年3月-2025年5月）的资信证明；</w:t>
      </w:r>
    </w:p>
    <w:p w14:paraId="5A69FC6C">
      <w:pPr>
        <w:numPr>
          <w:ilvl w:val="0"/>
          <w:numId w:val="5"/>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投标单位（供应商）其法人参加本次采购活动前三年内，在经营活动中没有重大违法记录的声明及对本次项目《反商业贿赂承诺书》；</w:t>
      </w:r>
    </w:p>
    <w:p w14:paraId="798B2B5E">
      <w:pPr>
        <w:numPr>
          <w:ilvl w:val="0"/>
          <w:numId w:val="5"/>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4FF18655">
      <w:pPr>
        <w:numPr>
          <w:ilvl w:val="0"/>
          <w:numId w:val="5"/>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供应商须具有国家级平台备案的投标产品证明材料及第三方机构出具的合格的产品检测报告。</w:t>
      </w:r>
    </w:p>
    <w:p w14:paraId="6BB52602">
      <w:pPr>
        <w:numPr>
          <w:ilvl w:val="0"/>
          <w:numId w:val="5"/>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投标保证金缴纳有效证明</w:t>
      </w:r>
      <w:r>
        <w:rPr>
          <w:rFonts w:hint="eastAsia" w:ascii="仿宋" w:hAnsi="仿宋" w:eastAsia="仿宋" w:cs="仿宋"/>
          <w:color w:val="auto"/>
          <w:sz w:val="28"/>
          <w:szCs w:val="28"/>
          <w:highlight w:val="none"/>
          <w:lang w:eastAsia="zh-CN"/>
        </w:rPr>
        <w:t>。</w:t>
      </w:r>
    </w:p>
    <w:p w14:paraId="7E3C6FCB">
      <w:pPr>
        <w:tabs>
          <w:tab w:val="left" w:pos="5580"/>
        </w:tabs>
        <w:spacing w:line="240" w:lineRule="atLeast"/>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、投标人须知资料表要求的其他资格证明文件</w:t>
      </w:r>
      <w:bookmarkEnd w:id="344"/>
    </w:p>
    <w:p w14:paraId="7CDE6769">
      <w:pPr>
        <w:pStyle w:val="3"/>
        <w:spacing w:before="0" w:line="240" w:lineRule="atLeast"/>
        <w:ind w:left="1079" w:leftChars="257" w:hanging="540"/>
        <w:rPr>
          <w:rFonts w:hint="eastAsia" w:ascii="仿宋" w:hAnsi="仿宋" w:eastAsia="仿宋" w:cs="仿宋"/>
          <w:color w:val="auto"/>
          <w:sz w:val="28"/>
          <w:szCs w:val="28"/>
          <w:highlight w:val="none"/>
        </w:rPr>
      </w:pPr>
      <w:bookmarkStart w:id="345" w:name="_Toc7749"/>
      <w:bookmarkStart w:id="346" w:name="_Toc24069"/>
      <w:bookmarkStart w:id="347" w:name="_Toc518923108"/>
      <w:bookmarkStart w:id="348" w:name="_Toc30400"/>
      <w:bookmarkStart w:id="349" w:name="_Toc29377"/>
      <w:bookmarkStart w:id="350" w:name="_Toc5917"/>
      <w:r>
        <w:rPr>
          <w:rFonts w:hint="eastAsia" w:ascii="仿宋" w:hAnsi="仿宋" w:eastAsia="仿宋" w:cs="仿宋"/>
          <w:color w:val="auto"/>
          <w:sz w:val="28"/>
          <w:szCs w:val="28"/>
          <w:highlight w:val="none"/>
        </w:rPr>
        <w:t>1  开标一览表（投标文件格式一）</w:t>
      </w:r>
      <w:bookmarkEnd w:id="345"/>
      <w:bookmarkEnd w:id="346"/>
      <w:bookmarkEnd w:id="347"/>
      <w:bookmarkEnd w:id="348"/>
      <w:bookmarkEnd w:id="349"/>
      <w:bookmarkEnd w:id="350"/>
    </w:p>
    <w:p w14:paraId="1E5750F1">
      <w:pPr>
        <w:pStyle w:val="10"/>
        <w:tabs>
          <w:tab w:val="left" w:pos="5580"/>
        </w:tabs>
        <w:spacing w:line="240" w:lineRule="atLeast"/>
        <w:ind w:left="268" w:leftChars="128"/>
        <w:rPr>
          <w:rFonts w:hint="eastAsia" w:ascii="仿宋" w:hAnsi="仿宋" w:eastAsia="仿宋" w:cs="仿宋"/>
          <w:color w:val="auto"/>
          <w:sz w:val="28"/>
          <w:szCs w:val="28"/>
          <w:highlight w:val="none"/>
        </w:rPr>
      </w:pPr>
    </w:p>
    <w:p w14:paraId="463F986E">
      <w:pPr>
        <w:pStyle w:val="10"/>
        <w:tabs>
          <w:tab w:val="left" w:pos="5580"/>
        </w:tabs>
        <w:spacing w:line="240" w:lineRule="atLeast"/>
        <w:ind w:left="268" w:leftChars="128"/>
        <w:rPr>
          <w:rFonts w:hint="eastAsia" w:ascii="仿宋" w:hAnsi="仿宋" w:eastAsia="仿宋" w:cs="仿宋"/>
          <w:color w:val="auto"/>
          <w:sz w:val="28"/>
          <w:szCs w:val="28"/>
          <w:highlight w:val="none"/>
        </w:rPr>
      </w:pPr>
    </w:p>
    <w:p w14:paraId="32B82D40">
      <w:pPr>
        <w:pStyle w:val="4"/>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bookmarkStart w:id="351" w:name="_Hlt520356241"/>
      <w:bookmarkEnd w:id="351"/>
      <w:bookmarkStart w:id="352" w:name="_Toc494296984"/>
      <w:bookmarkStart w:id="353" w:name="_Toc480942349"/>
      <w:bookmarkStart w:id="354" w:name="_Ref467988698"/>
      <w:bookmarkStart w:id="355" w:name="_Toc520356217"/>
      <w:bookmarkStart w:id="356" w:name="_Toc216582813"/>
      <w:r>
        <w:rPr>
          <w:rFonts w:hint="eastAsia" w:ascii="仿宋" w:hAnsi="仿宋" w:eastAsia="仿宋" w:cs="仿宋"/>
          <w:b/>
          <w:color w:val="auto"/>
          <w:sz w:val="28"/>
          <w:szCs w:val="28"/>
          <w:highlight w:val="none"/>
        </w:rPr>
        <w:t>开标一览表</w:t>
      </w:r>
      <w:bookmarkEnd w:id="352"/>
      <w:r>
        <w:rPr>
          <w:rFonts w:hint="eastAsia" w:ascii="仿宋" w:hAnsi="仿宋" w:eastAsia="仿宋" w:cs="仿宋"/>
          <w:b/>
          <w:color w:val="auto"/>
          <w:sz w:val="28"/>
          <w:szCs w:val="28"/>
          <w:highlight w:val="none"/>
        </w:rPr>
        <w:cr/>
      </w:r>
    </w:p>
    <w:p w14:paraId="0E7B2DBE">
      <w:pPr>
        <w:pStyle w:val="4"/>
        <w:tabs>
          <w:tab w:val="left" w:pos="5580"/>
        </w:tabs>
        <w:spacing w:line="240" w:lineRule="atLeast"/>
        <w:ind w:left="1079" w:leftChars="257" w:hanging="540"/>
        <w:rPr>
          <w:rFonts w:hint="eastAsia" w:ascii="仿宋" w:hAnsi="仿宋" w:eastAsia="仿宋" w:cs="仿宋"/>
          <w:color w:val="auto"/>
          <w:sz w:val="28"/>
          <w:szCs w:val="28"/>
          <w:highlight w:val="none"/>
        </w:rPr>
      </w:pPr>
    </w:p>
    <w:p w14:paraId="426493B0">
      <w:pPr>
        <w:tabs>
          <w:tab w:val="left" w:pos="1800"/>
          <w:tab w:val="left" w:pos="5580"/>
        </w:tabs>
        <w:spacing w:line="240" w:lineRule="atLeast"/>
        <w:ind w:left="1079" w:leftChars="257" w:right="-867" w:rightChars="-413"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招标编号：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分包号：      </w:t>
      </w:r>
    </w:p>
    <w:p w14:paraId="1D5C1427">
      <w:pPr>
        <w:tabs>
          <w:tab w:val="left" w:pos="1800"/>
          <w:tab w:val="left" w:pos="5580"/>
        </w:tabs>
        <w:spacing w:line="240" w:lineRule="atLeast"/>
        <w:ind w:left="1079" w:leftChars="257" w:right="-867" w:rightChars="-413"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报价单位：人民币</w:t>
      </w:r>
      <w:r>
        <w:rPr>
          <w:rFonts w:hint="eastAsia" w:ascii="仿宋" w:hAnsi="仿宋" w:eastAsia="仿宋" w:cs="仿宋"/>
          <w:b/>
          <w:color w:val="auto"/>
          <w:sz w:val="28"/>
          <w:szCs w:val="28"/>
          <w:highlight w:val="none"/>
        </w:rPr>
        <w:t xml:space="preserve">    元</w:t>
      </w:r>
    </w:p>
    <w:tbl>
      <w:tblPr>
        <w:tblStyle w:val="19"/>
        <w:tblW w:w="9498" w:type="dxa"/>
        <w:tblInd w:w="0" w:type="dxa"/>
        <w:tblLayout w:type="fixed"/>
        <w:tblCellMar>
          <w:top w:w="0" w:type="dxa"/>
          <w:left w:w="0" w:type="dxa"/>
          <w:bottom w:w="0" w:type="dxa"/>
          <w:right w:w="0" w:type="dxa"/>
        </w:tblCellMar>
      </w:tblPr>
      <w:tblGrid>
        <w:gridCol w:w="1517"/>
        <w:gridCol w:w="3006"/>
        <w:gridCol w:w="1882"/>
        <w:gridCol w:w="1865"/>
        <w:gridCol w:w="1228"/>
      </w:tblGrid>
      <w:tr w14:paraId="3BF53CB3">
        <w:tblPrEx>
          <w:tblCellMar>
            <w:top w:w="0" w:type="dxa"/>
            <w:left w:w="0" w:type="dxa"/>
            <w:bottom w:w="0" w:type="dxa"/>
            <w:right w:w="0" w:type="dxa"/>
          </w:tblCellMar>
        </w:tblPrEx>
        <w:trPr>
          <w:trHeight w:val="731" w:hRule="atLeast"/>
        </w:trPr>
        <w:tc>
          <w:tcPr>
            <w:tcW w:w="1517" w:type="dxa"/>
            <w:tcBorders>
              <w:top w:val="single" w:color="auto" w:sz="4" w:space="0"/>
              <w:left w:val="single" w:color="auto" w:sz="4" w:space="0"/>
              <w:bottom w:val="single" w:color="auto" w:sz="8" w:space="0"/>
              <w:right w:val="single" w:color="auto" w:sz="4" w:space="0"/>
            </w:tcBorders>
            <w:noWrap w:val="0"/>
            <w:vAlign w:val="center"/>
          </w:tcPr>
          <w:p w14:paraId="732AE17C">
            <w:pPr>
              <w:tabs>
                <w:tab w:val="left" w:pos="5580"/>
              </w:tabs>
              <w:spacing w:line="240" w:lineRule="atLeast"/>
              <w:ind w:right="-19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3006" w:type="dxa"/>
            <w:tcBorders>
              <w:top w:val="single" w:color="auto" w:sz="4" w:space="0"/>
              <w:left w:val="single" w:color="auto" w:sz="8" w:space="0"/>
              <w:bottom w:val="single" w:color="auto" w:sz="8" w:space="0"/>
              <w:right w:val="single" w:color="auto" w:sz="4" w:space="0"/>
            </w:tcBorders>
            <w:noWrap w:val="0"/>
            <w:vAlign w:val="center"/>
          </w:tcPr>
          <w:p w14:paraId="6F4188A4">
            <w:pPr>
              <w:tabs>
                <w:tab w:val="left" w:pos="5580"/>
              </w:tabs>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tc>
        <w:tc>
          <w:tcPr>
            <w:tcW w:w="1882" w:type="dxa"/>
            <w:tcBorders>
              <w:top w:val="single" w:color="auto" w:sz="8" w:space="0"/>
              <w:left w:val="nil"/>
              <w:bottom w:val="single" w:color="auto" w:sz="8" w:space="0"/>
              <w:right w:val="single" w:color="auto" w:sz="4" w:space="0"/>
            </w:tcBorders>
            <w:noWrap w:val="0"/>
            <w:vAlign w:val="center"/>
          </w:tcPr>
          <w:p w14:paraId="15DDE83E">
            <w:pPr>
              <w:tabs>
                <w:tab w:val="left" w:pos="5580"/>
              </w:tabs>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交货期限</w:t>
            </w:r>
          </w:p>
        </w:tc>
        <w:tc>
          <w:tcPr>
            <w:tcW w:w="1865" w:type="dxa"/>
            <w:tcBorders>
              <w:top w:val="single" w:color="auto" w:sz="8" w:space="0"/>
              <w:left w:val="nil"/>
              <w:bottom w:val="single" w:color="auto" w:sz="8" w:space="0"/>
              <w:right w:val="single" w:color="auto" w:sz="4" w:space="0"/>
            </w:tcBorders>
            <w:noWrap w:val="0"/>
            <w:vAlign w:val="center"/>
          </w:tcPr>
          <w:p w14:paraId="5B152C83">
            <w:pPr>
              <w:tabs>
                <w:tab w:val="left" w:pos="5580"/>
              </w:tabs>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p>
        </w:tc>
        <w:tc>
          <w:tcPr>
            <w:tcW w:w="1228" w:type="dxa"/>
            <w:tcBorders>
              <w:top w:val="single" w:color="auto" w:sz="8" w:space="0"/>
              <w:left w:val="single" w:color="auto" w:sz="4" w:space="0"/>
              <w:bottom w:val="single" w:color="auto" w:sz="8" w:space="0"/>
              <w:right w:val="single" w:color="auto" w:sz="8" w:space="0"/>
            </w:tcBorders>
            <w:noWrap w:val="0"/>
            <w:vAlign w:val="center"/>
          </w:tcPr>
          <w:p w14:paraId="588865F8">
            <w:pPr>
              <w:tabs>
                <w:tab w:val="left" w:pos="5580"/>
              </w:tabs>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3948D23B">
        <w:tblPrEx>
          <w:tblCellMar>
            <w:top w:w="0" w:type="dxa"/>
            <w:left w:w="0" w:type="dxa"/>
            <w:bottom w:w="0" w:type="dxa"/>
            <w:right w:w="0" w:type="dxa"/>
          </w:tblCellMar>
        </w:tblPrEx>
        <w:trPr>
          <w:cantSplit/>
          <w:trHeight w:val="1792" w:hRule="atLeast"/>
        </w:trPr>
        <w:tc>
          <w:tcPr>
            <w:tcW w:w="1517" w:type="dxa"/>
            <w:tcBorders>
              <w:top w:val="single" w:color="auto" w:sz="8" w:space="0"/>
              <w:left w:val="single" w:color="auto" w:sz="4" w:space="0"/>
              <w:bottom w:val="single" w:color="auto" w:sz="4" w:space="0"/>
              <w:right w:val="single" w:color="auto" w:sz="4" w:space="0"/>
            </w:tcBorders>
            <w:noWrap w:val="0"/>
            <w:vAlign w:val="center"/>
          </w:tcPr>
          <w:p w14:paraId="7430BF0F">
            <w:pPr>
              <w:tabs>
                <w:tab w:val="left" w:pos="5580"/>
              </w:tabs>
              <w:spacing w:line="240" w:lineRule="atLeast"/>
              <w:ind w:left="1079" w:leftChars="257" w:hanging="540"/>
              <w:jc w:val="center"/>
              <w:rPr>
                <w:rFonts w:hint="eastAsia" w:ascii="仿宋" w:hAnsi="仿宋" w:eastAsia="仿宋" w:cs="仿宋"/>
                <w:color w:val="auto"/>
                <w:sz w:val="28"/>
                <w:szCs w:val="28"/>
                <w:highlight w:val="none"/>
              </w:rPr>
            </w:pPr>
          </w:p>
        </w:tc>
        <w:tc>
          <w:tcPr>
            <w:tcW w:w="3006" w:type="dxa"/>
            <w:tcBorders>
              <w:top w:val="single" w:color="auto" w:sz="8" w:space="0"/>
              <w:left w:val="single" w:color="auto" w:sz="8" w:space="0"/>
              <w:bottom w:val="single" w:color="auto" w:sz="4" w:space="0"/>
              <w:right w:val="single" w:color="auto" w:sz="4" w:space="0"/>
            </w:tcBorders>
            <w:noWrap w:val="0"/>
            <w:vAlign w:val="center"/>
          </w:tcPr>
          <w:p w14:paraId="77F52CA0">
            <w:pPr>
              <w:tabs>
                <w:tab w:val="left" w:pos="5580"/>
              </w:tabs>
              <w:spacing w:line="240" w:lineRule="atLeas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p w14:paraId="33695998">
            <w:pPr>
              <w:tabs>
                <w:tab w:val="left" w:pos="5580"/>
              </w:tabs>
              <w:spacing w:line="240" w:lineRule="atLeas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1882" w:type="dxa"/>
            <w:tcBorders>
              <w:top w:val="single" w:color="auto" w:sz="8" w:space="0"/>
              <w:left w:val="nil"/>
              <w:bottom w:val="single" w:color="auto" w:sz="4" w:space="0"/>
              <w:right w:val="single" w:color="auto" w:sz="4" w:space="0"/>
            </w:tcBorders>
            <w:noWrap w:val="0"/>
            <w:vAlign w:val="center"/>
          </w:tcPr>
          <w:p w14:paraId="24ECD5B4">
            <w:pPr>
              <w:tabs>
                <w:tab w:val="left" w:pos="5580"/>
              </w:tabs>
              <w:spacing w:line="240" w:lineRule="atLeast"/>
              <w:ind w:left="1079" w:leftChars="257" w:hanging="540"/>
              <w:jc w:val="center"/>
              <w:rPr>
                <w:rFonts w:hint="eastAsia" w:ascii="仿宋" w:hAnsi="仿宋" w:eastAsia="仿宋" w:cs="仿宋"/>
                <w:color w:val="auto"/>
                <w:sz w:val="28"/>
                <w:szCs w:val="28"/>
                <w:highlight w:val="none"/>
              </w:rPr>
            </w:pPr>
          </w:p>
        </w:tc>
        <w:tc>
          <w:tcPr>
            <w:tcW w:w="1865" w:type="dxa"/>
            <w:tcBorders>
              <w:top w:val="single" w:color="auto" w:sz="8" w:space="0"/>
              <w:left w:val="nil"/>
              <w:bottom w:val="single" w:color="auto" w:sz="4" w:space="0"/>
              <w:right w:val="single" w:color="auto" w:sz="4" w:space="0"/>
            </w:tcBorders>
            <w:noWrap w:val="0"/>
            <w:vAlign w:val="center"/>
          </w:tcPr>
          <w:p w14:paraId="6D2345A0">
            <w:pPr>
              <w:tabs>
                <w:tab w:val="left" w:pos="5580"/>
              </w:tabs>
              <w:spacing w:line="240" w:lineRule="atLeast"/>
              <w:ind w:left="1079" w:leftChars="257" w:hanging="540"/>
              <w:jc w:val="center"/>
              <w:rPr>
                <w:rFonts w:hint="eastAsia" w:ascii="仿宋" w:hAnsi="仿宋" w:eastAsia="仿宋" w:cs="仿宋"/>
                <w:color w:val="auto"/>
                <w:sz w:val="28"/>
                <w:szCs w:val="28"/>
                <w:highlight w:val="none"/>
              </w:rPr>
            </w:pPr>
          </w:p>
        </w:tc>
        <w:tc>
          <w:tcPr>
            <w:tcW w:w="1228" w:type="dxa"/>
            <w:tcBorders>
              <w:top w:val="single" w:color="auto" w:sz="8" w:space="0"/>
              <w:left w:val="single" w:color="auto" w:sz="4" w:space="0"/>
              <w:bottom w:val="single" w:color="auto" w:sz="4" w:space="0"/>
              <w:right w:val="single" w:color="auto" w:sz="8" w:space="0"/>
            </w:tcBorders>
            <w:noWrap w:val="0"/>
            <w:vAlign w:val="center"/>
          </w:tcPr>
          <w:p w14:paraId="60204CFD">
            <w:pPr>
              <w:tabs>
                <w:tab w:val="left" w:pos="5580"/>
              </w:tabs>
              <w:spacing w:line="240" w:lineRule="atLeast"/>
              <w:ind w:left="1079" w:leftChars="257" w:hanging="540"/>
              <w:jc w:val="center"/>
              <w:rPr>
                <w:rFonts w:hint="eastAsia" w:ascii="仿宋" w:hAnsi="仿宋" w:eastAsia="仿宋" w:cs="仿宋"/>
                <w:color w:val="auto"/>
                <w:sz w:val="28"/>
                <w:szCs w:val="28"/>
                <w:highlight w:val="none"/>
              </w:rPr>
            </w:pPr>
          </w:p>
        </w:tc>
      </w:tr>
    </w:tbl>
    <w:p w14:paraId="1CADFD50">
      <w:pPr>
        <w:pStyle w:val="10"/>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39B23D34">
      <w:pPr>
        <w:pStyle w:val="10"/>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27E05582">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投标人名称（单位章）：</w:t>
      </w:r>
      <w:r>
        <w:rPr>
          <w:rFonts w:hint="eastAsia" w:ascii="仿宋" w:hAnsi="仿宋" w:eastAsia="仿宋" w:cs="仿宋"/>
          <w:color w:val="auto"/>
          <w:sz w:val="28"/>
          <w:szCs w:val="28"/>
          <w:highlight w:val="none"/>
          <w:u w:val="single"/>
        </w:rPr>
        <w:t xml:space="preserve">                       </w:t>
      </w:r>
    </w:p>
    <w:p w14:paraId="42C11D69">
      <w:pPr>
        <w:pStyle w:val="10"/>
        <w:tabs>
          <w:tab w:val="left" w:pos="5580"/>
        </w:tabs>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法定代表人(签字及盖章):</w:t>
      </w:r>
      <w:r>
        <w:rPr>
          <w:rFonts w:hint="eastAsia" w:ascii="仿宋" w:hAnsi="仿宋" w:eastAsia="仿宋" w:cs="仿宋"/>
          <w:color w:val="auto"/>
          <w:sz w:val="28"/>
          <w:szCs w:val="28"/>
          <w:highlight w:val="none"/>
          <w:u w:val="single"/>
        </w:rPr>
        <w:tab/>
      </w:r>
    </w:p>
    <w:p w14:paraId="378FF005">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1460F7FC">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5FC566B5">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注:1、此表应按投标人须知的规定装订密封。</w:t>
      </w:r>
    </w:p>
    <w:p w14:paraId="0C5D914D">
      <w:pPr>
        <w:pStyle w:val="10"/>
        <w:tabs>
          <w:tab w:val="left" w:pos="5580"/>
        </w:tabs>
        <w:spacing w:line="240" w:lineRule="atLeast"/>
        <w:ind w:left="1108" w:leftChars="428" w:hanging="210" w:hanging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2、此表中，每个分包的投标总价应和投标分项报价表的总价相一致。</w:t>
      </w:r>
    </w:p>
    <w:p w14:paraId="1F187EB9">
      <w:pPr>
        <w:pStyle w:val="3"/>
        <w:spacing w:before="0"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357" w:name="_Toc265"/>
      <w:bookmarkStart w:id="358" w:name="_Toc26337"/>
      <w:bookmarkStart w:id="359" w:name="_Toc18015"/>
      <w:bookmarkStart w:id="360" w:name="_Toc518923109"/>
      <w:bookmarkStart w:id="361" w:name="_Toc32096"/>
      <w:bookmarkStart w:id="362" w:name="_Toc22232"/>
      <w:r>
        <w:rPr>
          <w:rFonts w:hint="eastAsia" w:ascii="仿宋" w:hAnsi="仿宋" w:eastAsia="仿宋" w:cs="仿宋"/>
          <w:color w:val="auto"/>
          <w:sz w:val="28"/>
          <w:szCs w:val="28"/>
          <w:highlight w:val="none"/>
        </w:rPr>
        <w:t>2  法人或者非法人组织的营业执照等证明文件或自然人的身份证明</w:t>
      </w:r>
      <w:bookmarkEnd w:id="357"/>
      <w:bookmarkEnd w:id="358"/>
      <w:bookmarkEnd w:id="359"/>
      <w:bookmarkEnd w:id="360"/>
      <w:bookmarkEnd w:id="361"/>
      <w:bookmarkEnd w:id="362"/>
    </w:p>
    <w:p w14:paraId="58D131EE">
      <w:pPr>
        <w:pStyle w:val="10"/>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35E1FF0E">
      <w:pPr>
        <w:pStyle w:val="10"/>
        <w:tabs>
          <w:tab w:val="left" w:pos="5580"/>
        </w:tabs>
        <w:spacing w:line="240" w:lineRule="atLeast"/>
        <w:ind w:left="1079" w:leftChars="257" w:hanging="540"/>
        <w:rPr>
          <w:rFonts w:hint="eastAsia" w:ascii="仿宋" w:hAnsi="仿宋" w:eastAsia="仿宋" w:cs="仿宋"/>
          <w:b/>
          <w:color w:val="auto"/>
          <w:sz w:val="28"/>
          <w:szCs w:val="28"/>
          <w:highlight w:val="none"/>
        </w:rPr>
      </w:pPr>
    </w:p>
    <w:p w14:paraId="6CB7884E">
      <w:pPr>
        <w:pStyle w:val="10"/>
        <w:tabs>
          <w:tab w:val="left" w:pos="5580"/>
        </w:tabs>
        <w:spacing w:line="240" w:lineRule="atLeast"/>
        <w:ind w:left="1079" w:leftChars="257" w:hanging="540"/>
        <w:rPr>
          <w:rFonts w:hint="eastAsia" w:ascii="仿宋" w:hAnsi="仿宋" w:eastAsia="仿宋" w:cs="仿宋"/>
          <w:b/>
          <w:color w:val="auto"/>
          <w:sz w:val="28"/>
          <w:szCs w:val="28"/>
          <w:highlight w:val="none"/>
        </w:rPr>
      </w:pPr>
    </w:p>
    <w:p w14:paraId="65D64CB8">
      <w:pPr>
        <w:pStyle w:val="10"/>
        <w:tabs>
          <w:tab w:val="left" w:pos="5580"/>
        </w:tabs>
        <w:spacing w:line="240" w:lineRule="atLeast"/>
        <w:ind w:left="1079" w:leftChars="257" w:hanging="540"/>
        <w:rPr>
          <w:rFonts w:hint="eastAsia" w:ascii="仿宋" w:hAnsi="仿宋" w:eastAsia="仿宋" w:cs="仿宋"/>
          <w:b/>
          <w:color w:val="auto"/>
          <w:sz w:val="28"/>
          <w:szCs w:val="28"/>
          <w:highlight w:val="none"/>
        </w:rPr>
      </w:pPr>
    </w:p>
    <w:p w14:paraId="18382C05">
      <w:pPr>
        <w:pStyle w:val="10"/>
        <w:tabs>
          <w:tab w:val="left" w:pos="5580"/>
        </w:tabs>
        <w:spacing w:line="240" w:lineRule="atLeast"/>
        <w:ind w:left="1079" w:leftChars="257" w:hanging="540"/>
        <w:rPr>
          <w:rFonts w:hint="eastAsia" w:ascii="仿宋" w:hAnsi="仿宋" w:eastAsia="仿宋" w:cs="仿宋"/>
          <w:b/>
          <w:color w:val="auto"/>
          <w:sz w:val="28"/>
          <w:szCs w:val="28"/>
          <w:highlight w:val="none"/>
        </w:rPr>
      </w:pPr>
    </w:p>
    <w:p w14:paraId="0924B62C">
      <w:pPr>
        <w:pStyle w:val="10"/>
        <w:tabs>
          <w:tab w:val="left" w:pos="5580"/>
        </w:tabs>
        <w:spacing w:line="240" w:lineRule="atLeast"/>
        <w:ind w:left="1079" w:leftChars="257" w:hanging="540"/>
        <w:rPr>
          <w:rFonts w:hint="eastAsia" w:ascii="仿宋" w:hAnsi="仿宋" w:eastAsia="仿宋" w:cs="仿宋"/>
          <w:b/>
          <w:color w:val="auto"/>
          <w:sz w:val="28"/>
          <w:szCs w:val="28"/>
          <w:highlight w:val="none"/>
        </w:rPr>
      </w:pPr>
    </w:p>
    <w:p w14:paraId="554C1656">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说明：1.提供有效的营业执照等证明文件复印件，复印件上应加盖本单位章。</w:t>
      </w:r>
    </w:p>
    <w:p w14:paraId="27E9BF06">
      <w:pPr>
        <w:pStyle w:val="10"/>
        <w:tabs>
          <w:tab w:val="left" w:pos="5580"/>
        </w:tabs>
        <w:spacing w:line="240" w:lineRule="atLeast"/>
        <w:ind w:left="1079" w:leftChars="257" w:hanging="540"/>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363" w:name="_Toc11055"/>
      <w:r>
        <w:rPr>
          <w:rFonts w:hint="eastAsia" w:ascii="仿宋" w:hAnsi="仿宋" w:eastAsia="仿宋" w:cs="仿宋"/>
          <w:color w:val="auto"/>
          <w:sz w:val="28"/>
          <w:szCs w:val="28"/>
          <w:highlight w:val="none"/>
        </w:rPr>
        <w:t>2. 投标人为自然人的，应提供身份证明的复印件。</w:t>
      </w:r>
      <w:bookmarkEnd w:id="363"/>
    </w:p>
    <w:p w14:paraId="13E1C8C0">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3.联合体投标应提供联合体各方满足以上要求的证明文件。</w:t>
      </w:r>
    </w:p>
    <w:p w14:paraId="20092265">
      <w:pPr>
        <w:pStyle w:val="10"/>
        <w:tabs>
          <w:tab w:val="left" w:pos="5580"/>
        </w:tabs>
        <w:spacing w:line="240" w:lineRule="atLeast"/>
        <w:ind w:left="1079" w:leftChars="257" w:hanging="540"/>
        <w:jc w:val="center"/>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br w:type="page"/>
      </w:r>
      <w:bookmarkStart w:id="364" w:name="_Toc22501"/>
      <w:bookmarkStart w:id="365" w:name="_Toc518923110"/>
      <w:bookmarkStart w:id="366" w:name="_Toc21926"/>
      <w:bookmarkStart w:id="367" w:name="_Toc13266"/>
      <w:bookmarkStart w:id="368" w:name="_Toc8368"/>
      <w:bookmarkStart w:id="369" w:name="_Toc19142"/>
      <w:r>
        <w:rPr>
          <w:rFonts w:hint="eastAsia" w:ascii="仿宋" w:hAnsi="仿宋" w:eastAsia="仿宋" w:cs="仿宋"/>
          <w:b/>
          <w:bCs/>
          <w:color w:val="auto"/>
          <w:sz w:val="28"/>
          <w:szCs w:val="28"/>
          <w:highlight w:val="none"/>
        </w:rPr>
        <w:t>3  法定代表人授权书(投标文件格式二，自然人投标的无需提供)</w:t>
      </w:r>
      <w:bookmarkEnd w:id="364"/>
      <w:bookmarkEnd w:id="365"/>
      <w:bookmarkEnd w:id="366"/>
      <w:bookmarkEnd w:id="367"/>
      <w:bookmarkEnd w:id="368"/>
      <w:bookmarkEnd w:id="369"/>
    </w:p>
    <w:p w14:paraId="068E875C">
      <w:pPr>
        <w:pStyle w:val="10"/>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cr/>
      </w:r>
    </w:p>
    <w:p w14:paraId="2AF6DDFA">
      <w:pPr>
        <w:pStyle w:val="10"/>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xml:space="preserve">    本授权书声明：注册于</w:t>
      </w:r>
      <w:r>
        <w:rPr>
          <w:rFonts w:hint="eastAsia" w:ascii="仿宋" w:hAnsi="仿宋" w:eastAsia="仿宋" w:cs="仿宋"/>
          <w:color w:val="auto"/>
          <w:sz w:val="28"/>
          <w:szCs w:val="28"/>
          <w:highlight w:val="none"/>
          <w:u w:val="single"/>
        </w:rPr>
        <w:t>（国家或地区的名称）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投标人</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法人代表姓名、职务</w:t>
      </w:r>
      <w:r>
        <w:rPr>
          <w:rFonts w:hint="eastAsia" w:ascii="仿宋" w:hAnsi="仿宋" w:eastAsia="仿宋" w:cs="仿宋"/>
          <w:color w:val="auto"/>
          <w:sz w:val="28"/>
          <w:szCs w:val="28"/>
          <w:highlight w:val="none"/>
        </w:rPr>
        <w:t>）代表我单位授权（</w:t>
      </w:r>
      <w:r>
        <w:rPr>
          <w:rFonts w:hint="eastAsia" w:ascii="仿宋" w:hAnsi="仿宋" w:eastAsia="仿宋" w:cs="仿宋"/>
          <w:i/>
          <w:color w:val="auto"/>
          <w:sz w:val="28"/>
          <w:szCs w:val="28"/>
          <w:highlight w:val="none"/>
          <w:u w:val="single"/>
        </w:rPr>
        <w:t>单位名称</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被授权人的姓名、职务</w:t>
      </w:r>
      <w:r>
        <w:rPr>
          <w:rFonts w:hint="eastAsia" w:ascii="仿宋" w:hAnsi="仿宋" w:eastAsia="仿宋" w:cs="仿宋"/>
          <w:color w:val="auto"/>
          <w:sz w:val="28"/>
          <w:szCs w:val="28"/>
          <w:highlight w:val="none"/>
        </w:rPr>
        <w:t>）为我单位的合法代理人，就（</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合同名称</w:t>
      </w:r>
      <w:r>
        <w:rPr>
          <w:rFonts w:hint="eastAsia" w:ascii="仿宋" w:hAnsi="仿宋" w:eastAsia="仿宋" w:cs="仿宋"/>
          <w:color w:val="auto"/>
          <w:sz w:val="28"/>
          <w:szCs w:val="28"/>
          <w:highlight w:val="none"/>
        </w:rPr>
        <w:t>）投标，以我单位名义处理一切与之有关的事务。</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w:t>
      </w:r>
    </w:p>
    <w:p w14:paraId="689D50F1">
      <w:pPr>
        <w:pStyle w:val="10"/>
        <w:tabs>
          <w:tab w:val="left" w:pos="5580"/>
        </w:tabs>
        <w:spacing w:line="240" w:lineRule="atLeast"/>
        <w:ind w:left="649" w:leftChars="276" w:hanging="70" w:hangingChars="25"/>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本授权书于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日签字生效,特此声明。</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lang w:eastAsia="zh-CN"/>
        </w:rPr>
        <w:t>附；法人身份证正反面及被授权人身份证正反面</w:t>
      </w:r>
    </w:p>
    <w:p w14:paraId="2FC323F3">
      <w:pPr>
        <w:pStyle w:val="10"/>
        <w:tabs>
          <w:tab w:val="left" w:pos="5580"/>
        </w:tabs>
        <w:spacing w:line="240" w:lineRule="atLeast"/>
        <w:ind w:left="-539" w:leftChars="-257" w:firstLine="1050" w:firstLineChars="375"/>
        <w:rPr>
          <w:rFonts w:hint="eastAsia" w:ascii="仿宋" w:hAnsi="仿宋" w:eastAsia="仿宋" w:cs="仿宋"/>
          <w:color w:val="auto"/>
          <w:sz w:val="28"/>
          <w:szCs w:val="28"/>
          <w:highlight w:val="none"/>
        </w:rPr>
      </w:pPr>
    </w:p>
    <w:p w14:paraId="64538467">
      <w:pPr>
        <w:pStyle w:val="10"/>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投标人（盖单位章）：</w:t>
      </w:r>
      <w:r>
        <w:rPr>
          <w:rFonts w:hint="eastAsia" w:ascii="仿宋" w:hAnsi="仿宋" w:eastAsia="仿宋" w:cs="仿宋"/>
          <w:color w:val="auto"/>
          <w:sz w:val="28"/>
          <w:szCs w:val="28"/>
          <w:highlight w:val="none"/>
          <w:u w:val="single"/>
        </w:rPr>
        <w:t xml:space="preserve">                            </w:t>
      </w:r>
    </w:p>
    <w:p w14:paraId="3D6A05E8">
      <w:pPr>
        <w:pStyle w:val="10"/>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法定代表人(签字或签章)：</w:t>
      </w:r>
      <w:r>
        <w:rPr>
          <w:rFonts w:hint="eastAsia" w:ascii="仿宋" w:hAnsi="仿宋" w:eastAsia="仿宋" w:cs="仿宋"/>
          <w:color w:val="auto"/>
          <w:sz w:val="28"/>
          <w:szCs w:val="28"/>
          <w:highlight w:val="none"/>
          <w:u w:val="single"/>
        </w:rPr>
        <w:t xml:space="preserve">                        </w:t>
      </w:r>
    </w:p>
    <w:p w14:paraId="373F0CE7">
      <w:pPr>
        <w:pStyle w:val="10"/>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6A7819CD">
      <w:pPr>
        <w:pStyle w:val="10"/>
        <w:tabs>
          <w:tab w:val="left" w:pos="5580"/>
        </w:tabs>
        <w:spacing w:line="240" w:lineRule="atLeast"/>
        <w:ind w:firstLine="420"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委托代理人（签字）：</w:t>
      </w:r>
      <w:r>
        <w:rPr>
          <w:rFonts w:hint="eastAsia" w:ascii="仿宋" w:hAnsi="仿宋" w:eastAsia="仿宋" w:cs="仿宋"/>
          <w:color w:val="auto"/>
          <w:sz w:val="28"/>
          <w:szCs w:val="28"/>
          <w:highlight w:val="none"/>
          <w:u w:val="single"/>
        </w:rPr>
        <w:t xml:space="preserve">                            </w:t>
      </w:r>
    </w:p>
    <w:p w14:paraId="29154006">
      <w:pPr>
        <w:pStyle w:val="10"/>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0E1BF10">
      <w:pPr>
        <w:pStyle w:val="10"/>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详细通讯地址：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7DCE6463">
      <w:pPr>
        <w:pStyle w:val="10"/>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政 编 码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79EEC91E">
      <w:pPr>
        <w:pStyle w:val="10"/>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13945CAD">
      <w:pPr>
        <w:pStyle w:val="10"/>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1E9293ED">
      <w:pPr>
        <w:pStyle w:val="10"/>
        <w:tabs>
          <w:tab w:val="left" w:pos="5580"/>
        </w:tabs>
        <w:spacing w:line="240" w:lineRule="atLeast"/>
        <w:ind w:left="-539" w:leftChars="-257" w:firstLine="1050" w:firstLineChars="375"/>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bookmarkStart w:id="370" w:name="_Toc1705"/>
      <w:bookmarkStart w:id="371" w:name="_Toc26512"/>
      <w:bookmarkStart w:id="372" w:name="_Toc1517"/>
      <w:bookmarkStart w:id="373" w:name="_Toc23836"/>
      <w:r>
        <w:rPr>
          <w:rFonts w:hint="eastAsia" w:ascii="仿宋" w:hAnsi="仿宋" w:eastAsia="仿宋" w:cs="仿宋"/>
          <w:b/>
          <w:color w:val="FF0000"/>
          <w:kern w:val="0"/>
          <w:sz w:val="28"/>
          <w:szCs w:val="28"/>
          <w:highlight w:val="none"/>
        </w:rPr>
        <w:t xml:space="preserve">4  </w:t>
      </w:r>
      <w:bookmarkEnd w:id="370"/>
      <w:bookmarkEnd w:id="371"/>
      <w:bookmarkEnd w:id="372"/>
      <w:bookmarkEnd w:id="373"/>
      <w:r>
        <w:rPr>
          <w:rFonts w:hint="eastAsia" w:ascii="仿宋" w:hAnsi="仿宋" w:eastAsia="仿宋" w:cs="仿宋"/>
          <w:b/>
          <w:color w:val="auto"/>
          <w:kern w:val="0"/>
          <w:sz w:val="28"/>
          <w:szCs w:val="28"/>
          <w:highlight w:val="none"/>
        </w:rPr>
        <w:t>提供</w:t>
      </w:r>
      <w:r>
        <w:rPr>
          <w:rFonts w:hint="eastAsia" w:ascii="仿宋" w:hAnsi="仿宋" w:eastAsia="仿宋" w:cs="仿宋"/>
          <w:b/>
          <w:color w:val="auto"/>
          <w:kern w:val="0"/>
          <w:sz w:val="28"/>
          <w:szCs w:val="28"/>
          <w:highlight w:val="none"/>
          <w:lang w:eastAsia="zh-CN"/>
        </w:rPr>
        <w:t>2022、2023或2024任一</w:t>
      </w:r>
      <w:r>
        <w:rPr>
          <w:rFonts w:hint="eastAsia" w:ascii="仿宋" w:hAnsi="仿宋" w:eastAsia="仿宋" w:cs="仿宋"/>
          <w:b/>
          <w:color w:val="auto"/>
          <w:kern w:val="0"/>
          <w:sz w:val="28"/>
          <w:szCs w:val="28"/>
          <w:highlight w:val="none"/>
        </w:rPr>
        <w:t>年度由第三方财务审计机构出具及在注册会计师行业统一监管平台备案赋码的财务审计报告或新成立的企业提供银行出具的近三个月（连续三个月是指2025年3月-2025年5月）的资信证明；</w:t>
      </w:r>
    </w:p>
    <w:p w14:paraId="5AFDA904">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0750C10B">
      <w:pPr>
        <w:tabs>
          <w:tab w:val="left" w:pos="3060"/>
          <w:tab w:val="left" w:pos="5580"/>
        </w:tabs>
        <w:spacing w:line="240" w:lineRule="atLeast"/>
        <w:ind w:left="1079" w:leftChars="257" w:hanging="540"/>
        <w:rPr>
          <w:rFonts w:hint="eastAsia" w:ascii="仿宋" w:hAnsi="仿宋" w:eastAsia="仿宋" w:cs="仿宋"/>
          <w:b/>
          <w:color w:val="auto"/>
          <w:sz w:val="28"/>
          <w:szCs w:val="28"/>
          <w:highlight w:val="none"/>
        </w:rPr>
      </w:pPr>
    </w:p>
    <w:p w14:paraId="2451CC03">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417AD1D9">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14:paraId="01AF9102">
      <w:pPr>
        <w:tabs>
          <w:tab w:val="left" w:pos="5580"/>
        </w:tabs>
        <w:spacing w:line="240" w:lineRule="atLeast"/>
        <w:ind w:left="1079" w:leftChars="257" w:hanging="54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kern w:val="0"/>
          <w:sz w:val="28"/>
          <w:szCs w:val="28"/>
          <w:highlight w:val="none"/>
          <w:lang w:val="en-US" w:eastAsia="zh-CN" w:bidi="ar"/>
        </w:rPr>
        <w:t>投标人应按照相关法规规定如实作出说明。</w:t>
      </w:r>
    </w:p>
    <w:p w14:paraId="6DE2BAAA">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、如果是联合体投标，联合体各方均需提供上述证明。</w:t>
      </w:r>
    </w:p>
    <w:p w14:paraId="665D7072">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、如采用合格的投标担保函的，可提供投标担保函复印件替代。</w:t>
      </w:r>
    </w:p>
    <w:p w14:paraId="3A430732">
      <w:pPr>
        <w:tabs>
          <w:tab w:val="left" w:pos="5580"/>
        </w:tabs>
        <w:spacing w:line="240" w:lineRule="atLeast"/>
        <w:ind w:left="1079" w:leftChars="257" w:hanging="540"/>
        <w:rPr>
          <w:rFonts w:hint="eastAsia" w:ascii="仿宋" w:hAnsi="仿宋" w:eastAsia="仿宋" w:cs="仿宋"/>
          <w:color w:val="auto"/>
          <w:sz w:val="28"/>
          <w:szCs w:val="28"/>
          <w:highlight w:val="none"/>
        </w:rPr>
        <w:sectPr>
          <w:pgSz w:w="11906" w:h="16838"/>
          <w:pgMar w:top="1417" w:right="1417" w:bottom="1417" w:left="1417" w:header="851" w:footer="992" w:gutter="0"/>
          <w:pgNumType w:start="1"/>
          <w:cols w:space="720" w:num="1"/>
          <w:docGrid w:type="linesAndChars" w:linePitch="312" w:charSpace="0"/>
        </w:sectPr>
      </w:pPr>
    </w:p>
    <w:p w14:paraId="2BC76F91">
      <w:pPr>
        <w:ind w:firstLine="7700" w:firstLineChars="2750"/>
        <w:rPr>
          <w:rFonts w:hint="eastAsia" w:ascii="仿宋" w:hAnsi="仿宋" w:eastAsia="仿宋" w:cs="仿宋"/>
          <w:color w:val="auto"/>
          <w:sz w:val="28"/>
          <w:szCs w:val="28"/>
          <w:highlight w:val="none"/>
        </w:rPr>
      </w:pPr>
    </w:p>
    <w:p w14:paraId="233F35DA">
      <w:pPr>
        <w:pStyle w:val="3"/>
        <w:spacing w:before="0" w:line="240" w:lineRule="atLeast"/>
        <w:ind w:left="1079" w:leftChars="257" w:hanging="540"/>
        <w:rPr>
          <w:rFonts w:hint="eastAsia" w:ascii="仿宋" w:hAnsi="仿宋" w:eastAsia="仿宋" w:cs="仿宋"/>
          <w:color w:val="auto"/>
          <w:sz w:val="28"/>
          <w:szCs w:val="28"/>
          <w:highlight w:val="none"/>
        </w:rPr>
      </w:pPr>
      <w:bookmarkStart w:id="374" w:name="_Toc11489"/>
      <w:bookmarkStart w:id="375" w:name="_Toc27589"/>
      <w:bookmarkStart w:id="376" w:name="_Toc12056"/>
      <w:bookmarkStart w:id="377" w:name="_Toc21730"/>
      <w:bookmarkStart w:id="378" w:name="_Toc518923111"/>
      <w:bookmarkStart w:id="379" w:name="_Toc5949"/>
      <w:r>
        <w:rPr>
          <w:rFonts w:hint="eastAsia" w:ascii="仿宋" w:hAnsi="仿宋" w:eastAsia="仿宋" w:cs="仿宋"/>
          <w:color w:val="auto"/>
          <w:sz w:val="28"/>
          <w:szCs w:val="28"/>
          <w:highlight w:val="none"/>
        </w:rPr>
        <w:t>5  社会保障资金的缴纳记录</w:t>
      </w:r>
      <w:bookmarkEnd w:id="374"/>
      <w:bookmarkEnd w:id="375"/>
      <w:bookmarkEnd w:id="376"/>
      <w:bookmarkEnd w:id="377"/>
      <w:bookmarkEnd w:id="378"/>
      <w:bookmarkEnd w:id="379"/>
    </w:p>
    <w:p w14:paraId="798B2A2F">
      <w:pPr>
        <w:pStyle w:val="10"/>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459E5BAC">
      <w:pPr>
        <w:pStyle w:val="10"/>
        <w:tabs>
          <w:tab w:val="left" w:pos="5580"/>
        </w:tabs>
        <w:spacing w:line="240" w:lineRule="atLeast"/>
        <w:ind w:left="540"/>
        <w:rPr>
          <w:rFonts w:hint="eastAsia" w:ascii="仿宋" w:hAnsi="仿宋" w:eastAsia="仿宋" w:cs="仿宋"/>
          <w:b/>
          <w:color w:val="auto"/>
          <w:sz w:val="28"/>
          <w:szCs w:val="28"/>
          <w:highlight w:val="none"/>
        </w:rPr>
      </w:pPr>
    </w:p>
    <w:p w14:paraId="7A33EE2D">
      <w:pPr>
        <w:pStyle w:val="10"/>
        <w:tabs>
          <w:tab w:val="left" w:pos="5580"/>
        </w:tabs>
        <w:spacing w:line="240" w:lineRule="atLeast"/>
        <w:ind w:left="540"/>
        <w:rPr>
          <w:rFonts w:hint="eastAsia" w:ascii="仿宋" w:hAnsi="仿宋" w:eastAsia="仿宋" w:cs="仿宋"/>
          <w:b/>
          <w:color w:val="auto"/>
          <w:sz w:val="28"/>
          <w:szCs w:val="28"/>
          <w:highlight w:val="none"/>
        </w:rPr>
      </w:pPr>
    </w:p>
    <w:p w14:paraId="43505066">
      <w:pPr>
        <w:pStyle w:val="10"/>
        <w:tabs>
          <w:tab w:val="left" w:pos="5580"/>
        </w:tabs>
        <w:spacing w:line="240" w:lineRule="atLeast"/>
        <w:ind w:left="540"/>
        <w:rPr>
          <w:rFonts w:hint="eastAsia" w:ascii="仿宋" w:hAnsi="仿宋" w:eastAsia="仿宋" w:cs="仿宋"/>
          <w:b/>
          <w:color w:val="auto"/>
          <w:sz w:val="28"/>
          <w:szCs w:val="28"/>
          <w:highlight w:val="none"/>
        </w:rPr>
      </w:pPr>
    </w:p>
    <w:p w14:paraId="420355C1">
      <w:pPr>
        <w:pStyle w:val="10"/>
        <w:tabs>
          <w:tab w:val="left" w:pos="5580"/>
        </w:tabs>
        <w:spacing w:line="240" w:lineRule="atLeast"/>
        <w:ind w:left="540"/>
        <w:rPr>
          <w:rFonts w:hint="eastAsia" w:ascii="仿宋" w:hAnsi="仿宋" w:eastAsia="仿宋" w:cs="仿宋"/>
          <w:b/>
          <w:color w:val="auto"/>
          <w:sz w:val="28"/>
          <w:szCs w:val="28"/>
          <w:highlight w:val="none"/>
        </w:rPr>
      </w:pPr>
    </w:p>
    <w:p w14:paraId="35AE6ABB">
      <w:pPr>
        <w:pStyle w:val="10"/>
        <w:tabs>
          <w:tab w:val="left" w:pos="5580"/>
        </w:tabs>
        <w:spacing w:line="240" w:lineRule="atLeast"/>
        <w:ind w:left="540"/>
        <w:rPr>
          <w:rFonts w:hint="eastAsia" w:ascii="仿宋" w:hAnsi="仿宋" w:eastAsia="仿宋" w:cs="仿宋"/>
          <w:b/>
          <w:color w:val="auto"/>
          <w:sz w:val="28"/>
          <w:szCs w:val="28"/>
          <w:highlight w:val="none"/>
        </w:rPr>
      </w:pPr>
    </w:p>
    <w:p w14:paraId="1963EC0C">
      <w:pPr>
        <w:pStyle w:val="10"/>
        <w:tabs>
          <w:tab w:val="left" w:pos="5580"/>
        </w:tabs>
        <w:spacing w:line="240" w:lineRule="atLeast"/>
        <w:ind w:left="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7B268153">
      <w:pPr>
        <w:pStyle w:val="10"/>
        <w:tabs>
          <w:tab w:val="left" w:pos="5580"/>
        </w:tabs>
        <w:spacing w:line="240" w:lineRule="atLeast"/>
        <w:ind w:left="1079" w:leftChars="257" w:hanging="540"/>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380" w:name="_Toc3350"/>
      <w:r>
        <w:rPr>
          <w:rFonts w:hint="eastAsia" w:ascii="仿宋" w:hAnsi="仿宋" w:eastAsia="仿宋" w:cs="仿宋"/>
          <w:color w:val="auto"/>
          <w:sz w:val="28"/>
          <w:szCs w:val="28"/>
          <w:highlight w:val="none"/>
        </w:rPr>
        <w:t>2.复印件上应加盖本单位章。</w:t>
      </w:r>
      <w:bookmarkEnd w:id="380"/>
    </w:p>
    <w:p w14:paraId="51E6C911">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76F7DBE9">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73BDBA97">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3B7B7282">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381C4204">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1B1B0A21">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18CE50E4">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5121698C">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3D84DF51">
      <w:pPr>
        <w:pStyle w:val="3"/>
        <w:spacing w:before="0" w:line="240" w:lineRule="atLeast"/>
        <w:ind w:left="1079" w:leftChars="257" w:hanging="540"/>
        <w:rPr>
          <w:rFonts w:hint="eastAsia" w:ascii="仿宋" w:hAnsi="仿宋" w:eastAsia="仿宋" w:cs="仿宋"/>
          <w:color w:val="auto"/>
          <w:sz w:val="28"/>
          <w:szCs w:val="28"/>
          <w:highlight w:val="none"/>
        </w:rPr>
      </w:pPr>
      <w:bookmarkStart w:id="381" w:name="_Toc19657"/>
      <w:bookmarkStart w:id="382" w:name="_Toc26488"/>
      <w:bookmarkStart w:id="383" w:name="_Toc10796"/>
      <w:r>
        <w:rPr>
          <w:rFonts w:hint="eastAsia" w:ascii="仿宋" w:hAnsi="仿宋" w:eastAsia="仿宋" w:cs="仿宋"/>
          <w:color w:val="auto"/>
          <w:sz w:val="28"/>
          <w:szCs w:val="28"/>
          <w:highlight w:val="none"/>
        </w:rPr>
        <w:br w:type="page"/>
      </w:r>
      <w:bookmarkStart w:id="384" w:name="_Toc30479"/>
      <w:r>
        <w:rPr>
          <w:rFonts w:hint="eastAsia" w:ascii="仿宋" w:hAnsi="仿宋" w:eastAsia="仿宋" w:cs="仿宋"/>
          <w:color w:val="auto"/>
          <w:sz w:val="28"/>
          <w:szCs w:val="28"/>
          <w:highlight w:val="none"/>
        </w:rPr>
        <w:t>6   依法缴纳税收的证明</w:t>
      </w:r>
      <w:bookmarkEnd w:id="381"/>
      <w:bookmarkEnd w:id="382"/>
      <w:bookmarkEnd w:id="383"/>
      <w:bookmarkEnd w:id="384"/>
    </w:p>
    <w:p w14:paraId="5019122B">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433F8A09">
      <w:pPr>
        <w:pStyle w:val="10"/>
        <w:tabs>
          <w:tab w:val="left" w:pos="5580"/>
        </w:tabs>
        <w:spacing w:line="240" w:lineRule="atLeast"/>
        <w:ind w:left="540"/>
        <w:rPr>
          <w:rFonts w:hint="eastAsia" w:ascii="仿宋" w:hAnsi="仿宋" w:eastAsia="仿宋" w:cs="仿宋"/>
          <w:b/>
          <w:color w:val="auto"/>
          <w:sz w:val="28"/>
          <w:szCs w:val="28"/>
          <w:highlight w:val="none"/>
        </w:rPr>
      </w:pPr>
    </w:p>
    <w:p w14:paraId="3551726F">
      <w:pPr>
        <w:pStyle w:val="10"/>
        <w:tabs>
          <w:tab w:val="left" w:pos="5580"/>
        </w:tabs>
        <w:spacing w:line="240" w:lineRule="atLeast"/>
        <w:ind w:left="540"/>
        <w:rPr>
          <w:rFonts w:hint="eastAsia" w:ascii="仿宋" w:hAnsi="仿宋" w:eastAsia="仿宋" w:cs="仿宋"/>
          <w:b/>
          <w:color w:val="auto"/>
          <w:sz w:val="28"/>
          <w:szCs w:val="28"/>
          <w:highlight w:val="none"/>
        </w:rPr>
      </w:pPr>
    </w:p>
    <w:p w14:paraId="028958ED">
      <w:pPr>
        <w:pStyle w:val="10"/>
        <w:tabs>
          <w:tab w:val="left" w:pos="5580"/>
        </w:tabs>
        <w:spacing w:line="240" w:lineRule="atLeast"/>
        <w:ind w:left="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273D8C7E">
      <w:pPr>
        <w:pStyle w:val="10"/>
        <w:tabs>
          <w:tab w:val="left" w:pos="5580"/>
        </w:tabs>
        <w:spacing w:line="240" w:lineRule="atLeast"/>
        <w:ind w:left="1079" w:leftChars="257" w:hanging="540"/>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385" w:name="_Toc23136"/>
      <w:r>
        <w:rPr>
          <w:rFonts w:hint="eastAsia" w:ascii="仿宋" w:hAnsi="仿宋" w:eastAsia="仿宋" w:cs="仿宋"/>
          <w:color w:val="auto"/>
          <w:sz w:val="28"/>
          <w:szCs w:val="28"/>
          <w:highlight w:val="none"/>
        </w:rPr>
        <w:t>2.复印件上应加盖本单位章。</w:t>
      </w:r>
      <w:bookmarkEnd w:id="385"/>
    </w:p>
    <w:p w14:paraId="1FEE36DA">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61F2C03B">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39B8320D">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1544A8A5">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51B76CE1">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0FEE8F99">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1E0CE312">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684B93A6">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66C7DBCB">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3F89EA57">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1E8AC117">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14F89D06">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1516B0F0">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1D0DD3A6">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27DDE5ED">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3554EEA3">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74B6DDA8">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6091B0ED">
      <w:pPr>
        <w:pStyle w:val="3"/>
        <w:spacing w:before="0" w:line="240" w:lineRule="atLeast"/>
        <w:ind w:left="1079" w:leftChars="257" w:hanging="540"/>
        <w:rPr>
          <w:rFonts w:hint="eastAsia" w:ascii="仿宋" w:hAnsi="仿宋" w:eastAsia="仿宋" w:cs="仿宋"/>
          <w:color w:val="auto"/>
          <w:sz w:val="28"/>
          <w:szCs w:val="28"/>
          <w:highlight w:val="none"/>
        </w:rPr>
      </w:pPr>
      <w:bookmarkStart w:id="386" w:name="_Toc2163"/>
      <w:bookmarkStart w:id="387" w:name="_Toc32379"/>
      <w:bookmarkStart w:id="388" w:name="_Toc31238"/>
      <w:bookmarkStart w:id="389" w:name="_Toc515647809"/>
      <w:bookmarkStart w:id="390" w:name="_Toc28445"/>
      <w:bookmarkStart w:id="391" w:name="_Toc11047"/>
      <w:r>
        <w:rPr>
          <w:rFonts w:hint="eastAsia" w:ascii="仿宋" w:hAnsi="仿宋" w:eastAsia="仿宋" w:cs="仿宋"/>
          <w:color w:val="auto"/>
          <w:sz w:val="28"/>
          <w:szCs w:val="28"/>
          <w:highlight w:val="none"/>
        </w:rPr>
        <w:t>7  投标保证金缴纳凭证复印件或投标担保函</w:t>
      </w:r>
      <w:bookmarkEnd w:id="386"/>
      <w:bookmarkEnd w:id="387"/>
      <w:bookmarkEnd w:id="388"/>
      <w:bookmarkEnd w:id="389"/>
      <w:bookmarkEnd w:id="390"/>
      <w:bookmarkEnd w:id="391"/>
    </w:p>
    <w:p w14:paraId="4F14AB1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p>
    <w:p w14:paraId="3E8F14EE">
      <w:pPr>
        <w:spacing w:line="240" w:lineRule="atLeast"/>
        <w:ind w:left="1079" w:leftChars="257" w:hanging="540"/>
        <w:jc w:val="center"/>
        <w:rPr>
          <w:rFonts w:hint="eastAsia" w:ascii="仿宋" w:hAnsi="仿宋" w:eastAsia="仿宋" w:cs="仿宋"/>
          <w:color w:val="auto"/>
          <w:sz w:val="28"/>
          <w:szCs w:val="28"/>
          <w:highlight w:val="none"/>
        </w:rPr>
      </w:pPr>
    </w:p>
    <w:p w14:paraId="2E53323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政府采购投标担保函 （项目用）（投标文件格式三）</w:t>
      </w:r>
    </w:p>
    <w:p w14:paraId="3DACC88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567D8F6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77276A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3AB7E9BA">
      <w:pPr>
        <w:rPr>
          <w:rFonts w:hint="eastAsia" w:ascii="仿宋" w:hAnsi="仿宋" w:eastAsia="仿宋" w:cs="仿宋"/>
          <w:color w:val="auto"/>
          <w:sz w:val="28"/>
          <w:szCs w:val="28"/>
          <w:highlight w:val="none"/>
        </w:rPr>
      </w:pPr>
    </w:p>
    <w:p w14:paraId="70432A3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26E2ED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768C2F2F">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51ED542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207DFE9B">
      <w:pPr>
        <w:ind w:firstLine="560" w:firstLineChars="200"/>
        <w:outlineLvl w:val="2"/>
        <w:rPr>
          <w:rFonts w:hint="eastAsia" w:ascii="仿宋" w:hAnsi="仿宋" w:eastAsia="仿宋" w:cs="仿宋"/>
          <w:color w:val="auto"/>
          <w:sz w:val="28"/>
          <w:szCs w:val="28"/>
          <w:highlight w:val="none"/>
        </w:rPr>
      </w:pPr>
      <w:bookmarkStart w:id="392" w:name="_Toc21176"/>
      <w:r>
        <w:rPr>
          <w:rFonts w:hint="eastAsia" w:ascii="仿宋" w:hAnsi="仿宋" w:eastAsia="仿宋" w:cs="仿宋"/>
          <w:color w:val="auto"/>
          <w:sz w:val="28"/>
          <w:szCs w:val="28"/>
          <w:highlight w:val="none"/>
        </w:rPr>
        <w:t>2．招标文件规定的投标人应当缴纳保证金的其他情形。</w:t>
      </w:r>
      <w:bookmarkEnd w:id="392"/>
    </w:p>
    <w:p w14:paraId="4AC24232">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5B01F3A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249B9C7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6F06119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597CF89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1BC59FA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383F69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4B67E50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4A094C6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5047784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315D8E0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58150A6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019D690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2EC90DD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5B55BF3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01CD565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298AE61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2623EAE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4A7018E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42256D2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5A97D3C2">
      <w:pPr>
        <w:rPr>
          <w:rFonts w:hint="eastAsia" w:ascii="仿宋" w:hAnsi="仿宋" w:eastAsia="仿宋" w:cs="仿宋"/>
          <w:color w:val="auto"/>
          <w:sz w:val="28"/>
          <w:szCs w:val="28"/>
          <w:highlight w:val="none"/>
        </w:rPr>
      </w:pPr>
    </w:p>
    <w:p w14:paraId="3257EEA1">
      <w:pPr>
        <w:rPr>
          <w:rFonts w:hint="eastAsia" w:ascii="仿宋" w:hAnsi="仿宋" w:eastAsia="仿宋" w:cs="仿宋"/>
          <w:color w:val="auto"/>
          <w:sz w:val="28"/>
          <w:szCs w:val="28"/>
          <w:highlight w:val="none"/>
        </w:rPr>
      </w:pPr>
    </w:p>
    <w:p w14:paraId="19CD972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保证人：（公章）                              </w:t>
      </w:r>
    </w:p>
    <w:p w14:paraId="7C7BE391">
      <w:pPr>
        <w:pStyle w:val="10"/>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07DFA603">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39202F3E">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78D21972">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5C0356B4">
      <w:pPr>
        <w:pStyle w:val="3"/>
        <w:spacing w:before="0"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393" w:name="_Toc518923112"/>
      <w:bookmarkStart w:id="394" w:name="_Toc16858"/>
      <w:bookmarkStart w:id="395" w:name="_Toc24259"/>
      <w:bookmarkStart w:id="396" w:name="_Toc4083"/>
      <w:bookmarkStart w:id="397" w:name="_Toc17295"/>
      <w:bookmarkStart w:id="398" w:name="_Toc28482"/>
      <w:r>
        <w:rPr>
          <w:rFonts w:hint="eastAsia" w:ascii="仿宋" w:hAnsi="仿宋" w:eastAsia="仿宋" w:cs="仿宋"/>
          <w:color w:val="auto"/>
          <w:sz w:val="28"/>
          <w:szCs w:val="28"/>
          <w:highlight w:val="none"/>
        </w:rPr>
        <w:t>8  参加政府采购活动前3年内</w:t>
      </w:r>
      <w:bookmarkEnd w:id="393"/>
      <w:bookmarkStart w:id="399" w:name="_Toc518923113"/>
      <w:r>
        <w:rPr>
          <w:rFonts w:hint="eastAsia" w:ascii="仿宋" w:hAnsi="仿宋" w:eastAsia="仿宋" w:cs="仿宋"/>
          <w:color w:val="auto"/>
          <w:sz w:val="28"/>
          <w:szCs w:val="28"/>
          <w:highlight w:val="none"/>
        </w:rPr>
        <w:t>在经营活动中没有重大违法记录的书面声明</w:t>
      </w:r>
      <w:bookmarkEnd w:id="394"/>
      <w:bookmarkEnd w:id="399"/>
      <w:r>
        <w:rPr>
          <w:rFonts w:hint="eastAsia" w:ascii="仿宋" w:hAnsi="仿宋" w:eastAsia="仿宋" w:cs="仿宋"/>
          <w:color w:val="auto"/>
          <w:sz w:val="28"/>
          <w:szCs w:val="28"/>
          <w:highlight w:val="none"/>
        </w:rPr>
        <w:t>反商业受贿承诺</w:t>
      </w:r>
      <w:bookmarkEnd w:id="395"/>
      <w:bookmarkEnd w:id="396"/>
      <w:bookmarkEnd w:id="397"/>
      <w:bookmarkEnd w:id="398"/>
    </w:p>
    <w:p w14:paraId="0B178D8B">
      <w:pPr>
        <w:pStyle w:val="10"/>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41435217">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7425CAE2">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1D7CF6C8">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说明：1.投标人应按照相关法规规定如实作出说明。</w:t>
      </w:r>
    </w:p>
    <w:p w14:paraId="62DFE83D">
      <w:pPr>
        <w:pStyle w:val="10"/>
        <w:tabs>
          <w:tab w:val="left" w:pos="5580"/>
        </w:tabs>
        <w:spacing w:line="240" w:lineRule="atLeast"/>
        <w:ind w:left="644" w:leftChars="307"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2．按照招标文件的规定加盖本单位章（自然人投标的无需盖章，需要签字）。</w:t>
      </w:r>
    </w:p>
    <w:p w14:paraId="7B6437CD">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464DAD8C">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7BAFFFD9">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4A6D7019">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254B5415">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5722E339">
      <w:pPr>
        <w:pStyle w:val="3"/>
        <w:spacing w:before="0" w:line="240" w:lineRule="atLeast"/>
        <w:ind w:left="1079" w:leftChars="257" w:hanging="540"/>
        <w:jc w:val="left"/>
        <w:rPr>
          <w:rFonts w:hint="eastAsia" w:ascii="仿宋" w:hAnsi="仿宋" w:eastAsia="仿宋" w:cs="仿宋"/>
          <w:color w:val="auto"/>
          <w:sz w:val="28"/>
          <w:szCs w:val="28"/>
          <w:highlight w:val="none"/>
        </w:rPr>
      </w:pPr>
      <w:bookmarkStart w:id="400" w:name="_Toc24642"/>
      <w:bookmarkStart w:id="401" w:name="_Toc273"/>
      <w:bookmarkStart w:id="402" w:name="_Toc8049"/>
      <w:bookmarkStart w:id="403" w:name="_Toc25631"/>
      <w:r>
        <w:rPr>
          <w:rFonts w:hint="eastAsia" w:ascii="仿宋" w:hAnsi="仿宋" w:eastAsia="仿宋" w:cs="仿宋"/>
          <w:color w:val="auto"/>
          <w:sz w:val="28"/>
          <w:szCs w:val="28"/>
          <w:highlight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以采购代理机构于投标截止日当天查询结果为准）；</w:t>
      </w:r>
      <w:bookmarkEnd w:id="400"/>
      <w:bookmarkEnd w:id="401"/>
      <w:bookmarkEnd w:id="402"/>
      <w:bookmarkEnd w:id="403"/>
    </w:p>
    <w:p w14:paraId="33AEE5A7">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5169F919">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说明</w:t>
      </w:r>
      <w:r>
        <w:rPr>
          <w:rFonts w:hint="eastAsia" w:ascii="仿宋" w:hAnsi="仿宋" w:eastAsia="仿宋" w:cs="仿宋"/>
          <w:color w:val="auto"/>
          <w:sz w:val="28"/>
          <w:szCs w:val="28"/>
          <w:highlight w:val="none"/>
        </w:rPr>
        <w:t>：网站搜索页输入供应商名称，打印</w:t>
      </w:r>
    </w:p>
    <w:p w14:paraId="5F3DC80B">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783CAB14">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522BC423">
      <w:pPr>
        <w:pStyle w:val="10"/>
        <w:tabs>
          <w:tab w:val="left" w:pos="5580"/>
        </w:tabs>
        <w:spacing w:line="240" w:lineRule="atLeast"/>
        <w:ind w:left="1079" w:leftChars="257" w:hanging="54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 xml:space="preserve"> </w:t>
      </w:r>
      <w:bookmarkStart w:id="404" w:name="_Toc9691"/>
      <w:bookmarkStart w:id="405" w:name="_Toc3717"/>
      <w:bookmarkStart w:id="406" w:name="_Toc518923114"/>
      <w:bookmarkStart w:id="407" w:name="_Toc25803"/>
      <w:bookmarkStart w:id="408" w:name="_Toc28996"/>
      <w:bookmarkStart w:id="409" w:name="_Toc26030"/>
      <w:r>
        <w:rPr>
          <w:rFonts w:hint="eastAsia" w:ascii="仿宋" w:hAnsi="仿宋" w:eastAsia="仿宋" w:cs="仿宋"/>
          <w:b/>
          <w:bCs/>
          <w:color w:val="auto"/>
          <w:sz w:val="28"/>
          <w:szCs w:val="28"/>
          <w:highlight w:val="none"/>
        </w:rPr>
        <w:t>10   投标人须知资料表要求的其他资格证明文件</w:t>
      </w:r>
      <w:bookmarkEnd w:id="404"/>
      <w:bookmarkEnd w:id="405"/>
      <w:bookmarkEnd w:id="406"/>
      <w:bookmarkEnd w:id="407"/>
      <w:bookmarkEnd w:id="408"/>
      <w:bookmarkEnd w:id="409"/>
    </w:p>
    <w:p w14:paraId="10BCE5F0">
      <w:pPr>
        <w:spacing w:line="240" w:lineRule="atLeast"/>
        <w:ind w:left="1079" w:leftChars="257" w:hanging="540"/>
        <w:jc w:val="center"/>
        <w:rPr>
          <w:rFonts w:hint="eastAsia" w:ascii="仿宋" w:hAnsi="仿宋" w:eastAsia="仿宋" w:cs="仿宋"/>
          <w:b/>
          <w:bCs/>
          <w:color w:val="auto"/>
          <w:sz w:val="28"/>
          <w:szCs w:val="28"/>
          <w:highlight w:val="none"/>
        </w:rPr>
      </w:pPr>
    </w:p>
    <w:p w14:paraId="045D39CB">
      <w:pPr>
        <w:spacing w:line="240" w:lineRule="atLeast"/>
        <w:ind w:left="1079" w:leftChars="257" w:hanging="540"/>
        <w:jc w:val="center"/>
        <w:rPr>
          <w:rFonts w:hint="eastAsia" w:ascii="仿宋" w:hAnsi="仿宋" w:eastAsia="仿宋" w:cs="仿宋"/>
          <w:b/>
          <w:bCs/>
          <w:color w:val="auto"/>
          <w:sz w:val="28"/>
          <w:szCs w:val="28"/>
          <w:highlight w:val="none"/>
        </w:rPr>
      </w:pPr>
    </w:p>
    <w:p w14:paraId="7EF01564">
      <w:pPr>
        <w:spacing w:line="240" w:lineRule="atLeast"/>
        <w:ind w:left="1079" w:leftChars="257" w:hanging="540"/>
        <w:jc w:val="center"/>
        <w:rPr>
          <w:rFonts w:hint="eastAsia" w:ascii="仿宋" w:hAnsi="仿宋" w:eastAsia="仿宋" w:cs="仿宋"/>
          <w:b/>
          <w:bCs/>
          <w:color w:val="auto"/>
          <w:sz w:val="28"/>
          <w:szCs w:val="28"/>
          <w:highlight w:val="none"/>
        </w:rPr>
      </w:pPr>
    </w:p>
    <w:p w14:paraId="1652DEFE">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说明：1.应提供</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要求的其他资格证明文件。</w:t>
      </w:r>
    </w:p>
    <w:p w14:paraId="63E81F9A">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2.复印件上应加盖本单位章（自然人投标的无需盖章，需要签字）。</w:t>
      </w:r>
    </w:p>
    <w:p w14:paraId="7E0F3850">
      <w:pPr>
        <w:pStyle w:val="3"/>
        <w:spacing w:before="0" w:line="240" w:lineRule="atLeast"/>
        <w:ind w:left="1079" w:leftChars="257" w:hanging="540"/>
        <w:rPr>
          <w:rFonts w:hint="eastAsia" w:ascii="仿宋" w:hAnsi="仿宋" w:eastAsia="仿宋" w:cs="仿宋"/>
          <w:color w:val="auto"/>
          <w:sz w:val="28"/>
          <w:szCs w:val="28"/>
          <w:highlight w:val="none"/>
        </w:rPr>
      </w:pPr>
      <w:bookmarkStart w:id="410" w:name="_Toc19030"/>
      <w:bookmarkStart w:id="411" w:name="_Toc10561"/>
      <w:bookmarkStart w:id="412" w:name="_Toc518923115"/>
      <w:bookmarkStart w:id="413" w:name="_Toc9079"/>
      <w:bookmarkStart w:id="414" w:name="_Toc16844"/>
      <w:r>
        <w:rPr>
          <w:rFonts w:hint="eastAsia" w:ascii="仿宋" w:hAnsi="仿宋" w:eastAsia="仿宋" w:cs="仿宋"/>
          <w:color w:val="auto"/>
          <w:sz w:val="24"/>
          <w:highlight w:val="none"/>
        </w:rPr>
        <w:br w:type="page"/>
      </w:r>
      <w:bookmarkStart w:id="415" w:name="_Toc9672"/>
      <w:r>
        <w:rPr>
          <w:rFonts w:hint="eastAsia" w:ascii="仿宋" w:hAnsi="仿宋" w:eastAsia="仿宋" w:cs="仿宋"/>
          <w:color w:val="auto"/>
          <w:sz w:val="28"/>
          <w:szCs w:val="28"/>
          <w:highlight w:val="none"/>
        </w:rPr>
        <w:t>第二部分  商务及技术文件</w:t>
      </w:r>
      <w:bookmarkEnd w:id="410"/>
      <w:bookmarkEnd w:id="411"/>
      <w:bookmarkEnd w:id="412"/>
      <w:bookmarkEnd w:id="413"/>
      <w:bookmarkEnd w:id="414"/>
      <w:bookmarkEnd w:id="415"/>
    </w:p>
    <w:p w14:paraId="4736E672">
      <w:pPr>
        <w:pStyle w:val="10"/>
        <w:ind w:left="1079" w:leftChars="257" w:hanging="540"/>
        <w:rPr>
          <w:rFonts w:hint="eastAsia" w:ascii="仿宋" w:hAnsi="仿宋" w:eastAsia="仿宋" w:cs="仿宋"/>
          <w:color w:val="auto"/>
          <w:sz w:val="28"/>
          <w:szCs w:val="28"/>
          <w:highlight w:val="none"/>
        </w:rPr>
      </w:pPr>
    </w:p>
    <w:p w14:paraId="138CE136">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1、政府采购诚信投标承诺书（投标文件格式三）</w:t>
      </w:r>
    </w:p>
    <w:p w14:paraId="54904C74">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2、投标书（投标文件格式四）</w:t>
      </w:r>
    </w:p>
    <w:p w14:paraId="5928BC21">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3、投标保证金缴纳凭证复印件或政府采购投标担保函（投标文件格式五）</w:t>
      </w:r>
    </w:p>
    <w:p w14:paraId="6AD6E9E5">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4、投标分项报价表（投标文件格式六）</w:t>
      </w:r>
    </w:p>
    <w:p w14:paraId="5EA99E36">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、技术规格偏离表（投标文件格式八）</w:t>
      </w:r>
    </w:p>
    <w:p w14:paraId="08425567">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、商务条款偏离表（投标文件格式九）</w:t>
      </w:r>
    </w:p>
    <w:p w14:paraId="6E8E2326">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-1中小企业声明（投标文件格式十）</w:t>
      </w:r>
    </w:p>
    <w:p w14:paraId="77E509EC">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残疾人福利性单位声明函（投标文件格式十一）</w:t>
      </w:r>
    </w:p>
    <w:p w14:paraId="6D58D11E">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、投标人关联单位的说明（格式自拟）</w:t>
      </w:r>
    </w:p>
    <w:p w14:paraId="77E1F15F">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、申  明  函</w:t>
      </w:r>
    </w:p>
    <w:p w14:paraId="540FF9C5">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、自觉抵制招标领域商业贿赂行为承诺书</w:t>
      </w:r>
    </w:p>
    <w:p w14:paraId="40E327E4">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、投标人没有被限制或取消投标资格的承诺函</w:t>
      </w:r>
    </w:p>
    <w:p w14:paraId="6DB841F6">
      <w:pPr>
        <w:pStyle w:val="10"/>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、投标人需要补充的其他文件和说明。</w:t>
      </w:r>
    </w:p>
    <w:p w14:paraId="1ADD6D6F">
      <w:pPr>
        <w:pStyle w:val="10"/>
        <w:ind w:left="1079" w:leftChars="257" w:hanging="540"/>
        <w:rPr>
          <w:rFonts w:hint="eastAsia" w:ascii="仿宋" w:hAnsi="仿宋" w:eastAsia="仿宋" w:cs="仿宋"/>
          <w:color w:val="auto"/>
          <w:sz w:val="28"/>
          <w:szCs w:val="28"/>
          <w:highlight w:val="none"/>
        </w:rPr>
      </w:pPr>
    </w:p>
    <w:p w14:paraId="25DDFB98">
      <w:pPr>
        <w:pStyle w:val="10"/>
        <w:ind w:left="310" w:leftChars="148" w:firstLine="228"/>
        <w:rPr>
          <w:rFonts w:hint="eastAsia" w:ascii="仿宋" w:hAnsi="仿宋" w:eastAsia="仿宋" w:cs="仿宋"/>
          <w:color w:val="auto"/>
          <w:sz w:val="28"/>
          <w:szCs w:val="28"/>
          <w:highlight w:val="none"/>
        </w:rPr>
      </w:pPr>
    </w:p>
    <w:p w14:paraId="00AF2E70">
      <w:pPr>
        <w:pStyle w:val="10"/>
        <w:ind w:left="310" w:leftChars="148" w:firstLine="2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注∶以上内容根据本招标文件第六章评标办法及其他相关要求自行编制。</w:t>
      </w:r>
    </w:p>
    <w:p w14:paraId="0B270439">
      <w:pPr>
        <w:pStyle w:val="10"/>
        <w:ind w:left="1079" w:leftChars="257" w:hanging="540"/>
        <w:rPr>
          <w:rFonts w:hint="eastAsia" w:ascii="仿宋" w:hAnsi="仿宋" w:eastAsia="仿宋" w:cs="仿宋"/>
          <w:color w:val="auto"/>
          <w:sz w:val="28"/>
          <w:szCs w:val="28"/>
          <w:highlight w:val="none"/>
        </w:rPr>
      </w:pPr>
    </w:p>
    <w:p w14:paraId="7B4203BD">
      <w:pPr>
        <w:pStyle w:val="3"/>
        <w:spacing w:before="0"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416" w:name="_Toc15120"/>
      <w:bookmarkStart w:id="417" w:name="_Toc5354"/>
      <w:bookmarkStart w:id="418" w:name="_Toc1064"/>
      <w:bookmarkStart w:id="419" w:name="_Toc3718"/>
      <w:r>
        <w:rPr>
          <w:rFonts w:hint="eastAsia" w:ascii="仿宋" w:hAnsi="仿宋" w:eastAsia="仿宋" w:cs="仿宋"/>
          <w:color w:val="auto"/>
          <w:sz w:val="28"/>
          <w:szCs w:val="28"/>
          <w:highlight w:val="none"/>
        </w:rPr>
        <w:t>1   政府采购诚信投标承诺书（投标文件格式三）</w:t>
      </w:r>
      <w:bookmarkEnd w:id="416"/>
      <w:bookmarkEnd w:id="417"/>
      <w:bookmarkEnd w:id="418"/>
      <w:bookmarkEnd w:id="419"/>
    </w:p>
    <w:p w14:paraId="5D3183E0">
      <w:pPr>
        <w:pStyle w:val="12"/>
        <w:widowControl/>
        <w:spacing w:before="0" w:beforeAutospacing="0" w:after="0" w:afterAutospacing="0" w:line="360" w:lineRule="auto"/>
        <w:rPr>
          <w:rFonts w:hint="eastAsia" w:ascii="仿宋" w:hAnsi="仿宋" w:eastAsia="仿宋" w:cs="仿宋"/>
          <w:color w:val="auto"/>
          <w:sz w:val="28"/>
          <w:szCs w:val="28"/>
          <w:highlight w:val="none"/>
          <w:u w:val="single"/>
        </w:rPr>
      </w:pPr>
    </w:p>
    <w:p w14:paraId="2B1A3505">
      <w:pPr>
        <w:pStyle w:val="12"/>
        <w:widowControl/>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（采购人）</w:t>
      </w:r>
      <w:r>
        <w:rPr>
          <w:rFonts w:hint="eastAsia" w:ascii="仿宋" w:hAnsi="仿宋" w:eastAsia="仿宋" w:cs="仿宋"/>
          <w:color w:val="auto"/>
          <w:sz w:val="28"/>
          <w:szCs w:val="28"/>
          <w:highlight w:val="none"/>
        </w:rPr>
        <w:t>∶</w:t>
      </w:r>
    </w:p>
    <w:p w14:paraId="2BDB634A">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（投标人名称）已详细阅读了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）招标文件，自愿参加本次投标，现就有关事项郑重承诺如下∶</w:t>
      </w:r>
    </w:p>
    <w:p w14:paraId="4FF4887A">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3DE7ACD8">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遵纪守法，公平竞争。不与其他投标人相互串通、哄抬价格，不排挤其他投标人，不损害招标人的合法权益；不向招标人、招标代理机构、评标委员会成员等及其他参与招标活动的人员行贿或采用其他不正当手段谋取中标。</w:t>
      </w:r>
    </w:p>
    <w:p w14:paraId="1872DC1E">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捏造事实或借用他人名义进行虚假、恶意质疑和投诉，不以质疑或投诉为名排挤竞争对手，干扰政府采购秩序。如在投标过程和公示期间需要投诉，则保证按照《中华人民共和国招标投标法》的要求进行。投诉的内容和程序符合法律法规的规定，投诉材料加盖企业公章或由法定代表人或授权委托人签字，并附有相关身份证明复印件；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w:t>
      </w:r>
    </w:p>
    <w:p w14:paraId="3D4770F9">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若中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14:paraId="299A81ED">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有违反以上承诺内容的行为，我公司自愿接受取消投标资格、记入信用档案，没收投标保证金、媒体通报、1～3年内禁止参与新疆维吾尔自治区政府采购活动等处罚；如已中标的，自动放弃中标资格，并承担全部法律责任；给招标人造成损失的，依法承担赔偿责任。</w:t>
      </w:r>
    </w:p>
    <w:p w14:paraId="2E253910">
      <w:pPr>
        <w:pStyle w:val="12"/>
        <w:widowControl/>
        <w:spacing w:before="0" w:beforeAutospacing="0" w:after="0" w:afterAutospacing="0"/>
        <w:ind w:firstLine="744" w:firstLineChars="266"/>
        <w:rPr>
          <w:rFonts w:hint="eastAsia" w:ascii="仿宋" w:hAnsi="仿宋" w:eastAsia="仿宋" w:cs="仿宋"/>
          <w:color w:val="auto"/>
          <w:sz w:val="28"/>
          <w:szCs w:val="28"/>
          <w:highlight w:val="none"/>
        </w:rPr>
      </w:pPr>
    </w:p>
    <w:p w14:paraId="73B579F0">
      <w:pPr>
        <w:pStyle w:val="12"/>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14:paraId="7E1C9F5C">
      <w:pPr>
        <w:pStyle w:val="12"/>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p>
    <w:p w14:paraId="03AE3BC1">
      <w:pPr>
        <w:pStyle w:val="12"/>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53BFBA66">
      <w:pPr>
        <w:pStyle w:val="3"/>
        <w:spacing w:before="0" w:line="240" w:lineRule="atLeast"/>
        <w:ind w:left="1079" w:leftChars="257" w:hanging="540"/>
        <w:rPr>
          <w:rFonts w:hint="eastAsia" w:ascii="仿宋" w:hAnsi="仿宋" w:eastAsia="仿宋" w:cs="仿宋"/>
          <w:color w:val="auto"/>
          <w:sz w:val="28"/>
          <w:szCs w:val="28"/>
          <w:highlight w:val="none"/>
        </w:rPr>
      </w:pPr>
      <w:bookmarkStart w:id="420" w:name="_Toc21378"/>
      <w:bookmarkStart w:id="421" w:name="_Toc518923116"/>
      <w:bookmarkStart w:id="422" w:name="_Toc1006"/>
      <w:bookmarkStart w:id="423" w:name="_Toc26126"/>
      <w:bookmarkStart w:id="424" w:name="_Toc22989"/>
      <w:r>
        <w:rPr>
          <w:rFonts w:hint="eastAsia" w:ascii="仿宋" w:hAnsi="仿宋" w:eastAsia="仿宋" w:cs="仿宋"/>
          <w:color w:val="auto"/>
          <w:sz w:val="28"/>
          <w:szCs w:val="28"/>
          <w:highlight w:val="none"/>
        </w:rPr>
        <w:br w:type="page"/>
      </w:r>
      <w:bookmarkStart w:id="425" w:name="_Toc20146"/>
      <w:r>
        <w:rPr>
          <w:rFonts w:hint="eastAsia" w:ascii="仿宋" w:hAnsi="仿宋" w:eastAsia="仿宋" w:cs="仿宋"/>
          <w:color w:val="auto"/>
          <w:sz w:val="28"/>
          <w:szCs w:val="28"/>
          <w:highlight w:val="none"/>
        </w:rPr>
        <w:t xml:space="preserve">2   </w:t>
      </w:r>
      <w:bookmarkStart w:id="426" w:name="_Hlt520355504"/>
      <w:bookmarkEnd w:id="426"/>
      <w:r>
        <w:rPr>
          <w:rFonts w:hint="eastAsia" w:ascii="仿宋" w:hAnsi="仿宋" w:eastAsia="仿宋" w:cs="仿宋"/>
          <w:color w:val="auto"/>
          <w:sz w:val="28"/>
          <w:szCs w:val="28"/>
          <w:highlight w:val="none"/>
        </w:rPr>
        <w:t>投标</w:t>
      </w:r>
      <w:bookmarkEnd w:id="353"/>
      <w:bookmarkEnd w:id="354"/>
      <w:r>
        <w:rPr>
          <w:rFonts w:hint="eastAsia" w:ascii="仿宋" w:hAnsi="仿宋" w:eastAsia="仿宋" w:cs="仿宋"/>
          <w:color w:val="auto"/>
          <w:sz w:val="28"/>
          <w:szCs w:val="28"/>
          <w:highlight w:val="none"/>
        </w:rPr>
        <w:t>书</w:t>
      </w:r>
      <w:bookmarkEnd w:id="355"/>
      <w:r>
        <w:rPr>
          <w:rFonts w:hint="eastAsia" w:ascii="仿宋" w:hAnsi="仿宋" w:eastAsia="仿宋" w:cs="仿宋"/>
          <w:color w:val="auto"/>
          <w:sz w:val="28"/>
          <w:szCs w:val="28"/>
          <w:highlight w:val="none"/>
        </w:rPr>
        <w:t>（投标文件格式四）</w:t>
      </w:r>
      <w:bookmarkEnd w:id="356"/>
      <w:bookmarkEnd w:id="420"/>
      <w:bookmarkEnd w:id="421"/>
      <w:bookmarkEnd w:id="422"/>
      <w:bookmarkEnd w:id="423"/>
      <w:bookmarkEnd w:id="424"/>
      <w:bookmarkEnd w:id="425"/>
    </w:p>
    <w:p w14:paraId="666D0290">
      <w:pPr>
        <w:tabs>
          <w:tab w:val="left" w:pos="5580"/>
        </w:tabs>
        <w:spacing w:line="240" w:lineRule="atLeast"/>
        <w:ind w:left="1079" w:leftChars="257" w:hanging="540"/>
        <w:rPr>
          <w:rFonts w:hint="eastAsia" w:ascii="仿宋" w:hAnsi="仿宋" w:eastAsia="仿宋" w:cs="仿宋"/>
          <w:color w:val="auto"/>
          <w:sz w:val="28"/>
          <w:szCs w:val="28"/>
          <w:highlight w:val="none"/>
        </w:rPr>
      </w:pPr>
    </w:p>
    <w:p w14:paraId="27281A76">
      <w:pPr>
        <w:tabs>
          <w:tab w:val="left" w:pos="5580"/>
        </w:tabs>
        <w:spacing w:line="240" w:lineRule="atLeast"/>
        <w:ind w:left="1080" w:hanging="1080"/>
        <w:rPr>
          <w:rFonts w:hint="eastAsia" w:ascii="仿宋" w:hAnsi="仿宋" w:eastAsia="仿宋" w:cs="仿宋"/>
          <w:color w:val="auto"/>
          <w:sz w:val="28"/>
          <w:szCs w:val="28"/>
          <w:highlight w:val="none"/>
        </w:rPr>
      </w:pPr>
      <w:bookmarkStart w:id="427" w:name="_Hlt520356243"/>
      <w:bookmarkEnd w:id="427"/>
      <w:bookmarkStart w:id="428" w:name="_Hlt520355938"/>
      <w:bookmarkEnd w:id="428"/>
      <w:bookmarkStart w:id="429" w:name="_Toc216582815"/>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采购代理机构</w:t>
      </w:r>
    </w:p>
    <w:p w14:paraId="7A6B8065">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5521CD05">
      <w:pPr>
        <w:pStyle w:val="10"/>
        <w:tabs>
          <w:tab w:val="left" w:pos="5580"/>
        </w:tabs>
        <w:spacing w:line="240" w:lineRule="atLeast"/>
        <w:ind w:left="2" w:leftChars="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根据贵方(</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)项目的投标邀请(</w:t>
      </w:r>
      <w:r>
        <w:rPr>
          <w:rFonts w:hint="eastAsia" w:ascii="仿宋" w:hAnsi="仿宋" w:eastAsia="仿宋" w:cs="仿宋"/>
          <w:i/>
          <w:color w:val="auto"/>
          <w:sz w:val="28"/>
          <w:szCs w:val="28"/>
          <w:highlight w:val="none"/>
          <w:u w:val="single"/>
        </w:rPr>
        <w:t>招标编号</w:t>
      </w:r>
      <w:r>
        <w:rPr>
          <w:rFonts w:hint="eastAsia" w:ascii="仿宋" w:hAnsi="仿宋" w:eastAsia="仿宋" w:cs="仿宋"/>
          <w:color w:val="auto"/>
          <w:sz w:val="28"/>
          <w:szCs w:val="28"/>
          <w:highlight w:val="none"/>
        </w:rPr>
        <w:t>),签字代表(</w:t>
      </w:r>
      <w:r>
        <w:rPr>
          <w:rFonts w:hint="eastAsia" w:ascii="仿宋" w:hAnsi="仿宋" w:eastAsia="仿宋" w:cs="仿宋"/>
          <w:i/>
          <w:color w:val="auto"/>
          <w:sz w:val="28"/>
          <w:szCs w:val="28"/>
          <w:highlight w:val="none"/>
          <w:u w:val="single"/>
        </w:rPr>
        <w:t>姓名、职务</w:t>
      </w:r>
      <w:r>
        <w:rPr>
          <w:rFonts w:hint="eastAsia" w:ascii="仿宋" w:hAnsi="仿宋" w:eastAsia="仿宋" w:cs="仿宋"/>
          <w:color w:val="auto"/>
          <w:sz w:val="28"/>
          <w:szCs w:val="28"/>
          <w:highlight w:val="none"/>
        </w:rPr>
        <w:t>)经正式授权并代表投标人（</w:t>
      </w:r>
      <w:r>
        <w:rPr>
          <w:rFonts w:hint="eastAsia" w:ascii="仿宋" w:hAnsi="仿宋" w:eastAsia="仿宋" w:cs="仿宋"/>
          <w:i/>
          <w:color w:val="auto"/>
          <w:sz w:val="28"/>
          <w:szCs w:val="28"/>
          <w:highlight w:val="none"/>
          <w:u w:val="single"/>
        </w:rPr>
        <w:t>名称、地址</w:t>
      </w:r>
      <w:r>
        <w:rPr>
          <w:rFonts w:hint="eastAsia" w:ascii="仿宋" w:hAnsi="仿宋" w:eastAsia="仿宋" w:cs="仿宋"/>
          <w:color w:val="auto"/>
          <w:sz w:val="28"/>
          <w:szCs w:val="28"/>
          <w:highlight w:val="none"/>
        </w:rPr>
        <w:t>）提交文件，并以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形式出具的金额为人民币</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元的投标保证金。</w:t>
      </w:r>
    </w:p>
    <w:p w14:paraId="4D131C25">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据此，签字代表宣布同意如下：</w:t>
      </w:r>
    </w:p>
    <w:p w14:paraId="3ED11622">
      <w:pPr>
        <w:pStyle w:val="10"/>
        <w:tabs>
          <w:tab w:val="left" w:pos="720"/>
          <w:tab w:val="left" w:pos="900"/>
        </w:tabs>
        <w:spacing w:line="240" w:lineRule="atLeast"/>
        <w:ind w:left="768" w:leftChars="257" w:hanging="22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（1）附投标价格表中规定的应提供货物的投标总价详见开标一览表，</w:t>
      </w:r>
      <w:r>
        <w:rPr>
          <w:rFonts w:hint="eastAsia" w:ascii="仿宋" w:hAnsi="仿宋" w:eastAsia="仿宋" w:cs="仿宋"/>
          <w:color w:val="auto"/>
          <w:sz w:val="28"/>
          <w:szCs w:val="28"/>
          <w:highlight w:val="none"/>
          <w:u w:val="single"/>
        </w:rPr>
        <w:t>其中由</w:t>
      </w:r>
      <w:r>
        <w:rPr>
          <w:rFonts w:hint="eastAsia" w:ascii="仿宋" w:hAnsi="仿宋" w:eastAsia="仿宋" w:cs="仿宋"/>
          <w:color w:val="auto"/>
          <w:sz w:val="28"/>
          <w:szCs w:val="28"/>
          <w:highlight w:val="none"/>
          <w:u w:val="single"/>
          <w:lang w:eastAsia="zh-CN"/>
        </w:rPr>
        <w:t>中</w:t>
      </w:r>
      <w:r>
        <w:rPr>
          <w:rFonts w:hint="eastAsia" w:ascii="仿宋" w:hAnsi="仿宋" w:eastAsia="仿宋" w:cs="仿宋"/>
          <w:color w:val="auto"/>
          <w:sz w:val="28"/>
          <w:szCs w:val="28"/>
          <w:highlight w:val="none"/>
          <w:u w:val="single"/>
        </w:rPr>
        <w:t>小型和</w:t>
      </w:r>
      <w:r>
        <w:rPr>
          <w:rFonts w:hint="eastAsia" w:ascii="仿宋" w:hAnsi="仿宋" w:eastAsia="仿宋" w:cs="仿宋"/>
          <w:color w:val="auto"/>
          <w:sz w:val="28"/>
          <w:szCs w:val="28"/>
          <w:highlight w:val="none"/>
        </w:rPr>
        <w:t>微型企业制造产品的价格为</w:t>
      </w:r>
      <w:r>
        <w:rPr>
          <w:rFonts w:hint="eastAsia" w:ascii="仿宋" w:hAnsi="仿宋" w:eastAsia="仿宋" w:cs="仿宋"/>
          <w:color w:val="auto"/>
          <w:sz w:val="28"/>
          <w:szCs w:val="28"/>
          <w:highlight w:val="none"/>
          <w:u w:val="single"/>
        </w:rPr>
        <w:t>　　  （用文字和数字表示），占投标总价   %</w:t>
      </w:r>
      <w:r>
        <w:rPr>
          <w:rFonts w:hint="eastAsia" w:ascii="仿宋" w:hAnsi="仿宋" w:eastAsia="仿宋" w:cs="仿宋"/>
          <w:color w:val="auto"/>
          <w:sz w:val="28"/>
          <w:szCs w:val="28"/>
          <w:highlight w:val="none"/>
        </w:rPr>
        <w:t>。</w:t>
      </w:r>
    </w:p>
    <w:p w14:paraId="21E27CFF">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（2）本投标有效期为自投标截止之日起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个日历日。</w:t>
      </w:r>
    </w:p>
    <w:p w14:paraId="702B69F6">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（3）联合体中的大中型企业和其他自然人、法人或者非法人组织，与联合体中的小型、微型企业之间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存在、不存在）投资关系（如果是联合体的话）。</w:t>
      </w:r>
    </w:p>
    <w:p w14:paraId="3263A421">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（4）已详细审查全部招标文件，包括所有补充通知（如果有的话），完全理解并同意放弃对这方面有不明、误解和质疑的权力。</w:t>
      </w:r>
    </w:p>
    <w:p w14:paraId="50CA7E73">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（5）在规定的开标时间后，遵守招标文件中有关保证金的规定。</w:t>
      </w:r>
    </w:p>
    <w:p w14:paraId="239D54E6">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（6）我方不是为本项目提供整体设计、规范编制或者项目管理、监理、检测等服务的供应商，我方不是采购代理机构的附属机构。</w:t>
      </w:r>
    </w:p>
    <w:p w14:paraId="6825C91A">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（7）在领取中标通知书的同时按招标文件规定的形式，向贵方一次性支付中标服务费。</w:t>
      </w:r>
    </w:p>
    <w:p w14:paraId="242DFEC6">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（8）按照贵方可能要求，提供与其投标有关的一切数据或资料，完全理解贵方不一定接受最低价的投标或收到的任何投标。</w:t>
      </w:r>
    </w:p>
    <w:p w14:paraId="41D389F2">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（9）按照招标文件的规定履行合同责任和义务。</w:t>
      </w:r>
    </w:p>
    <w:p w14:paraId="1569EABD">
      <w:pPr>
        <w:pStyle w:val="10"/>
        <w:tabs>
          <w:tab w:val="left" w:pos="5580"/>
        </w:tabs>
        <w:spacing w:line="240" w:lineRule="atLeast"/>
        <w:ind w:left="394" w:leftChars="68" w:hanging="252" w:hangingChars="9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与本投标有关的一切正式往来信函请寄：</w:t>
      </w:r>
    </w:p>
    <w:p w14:paraId="45A6B0C8">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14:paraId="61539E58">
      <w:pPr>
        <w:pStyle w:val="10"/>
        <w:tabs>
          <w:tab w:val="left" w:pos="5580"/>
        </w:tabs>
        <w:spacing w:line="240" w:lineRule="atLeast"/>
        <w:ind w:left="1079" w:leftChars="257"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电子函件</w:t>
      </w:r>
      <w:r>
        <w:rPr>
          <w:rFonts w:hint="eastAsia" w:ascii="仿宋" w:hAnsi="仿宋" w:eastAsia="仿宋" w:cs="仿宋"/>
          <w:color w:val="auto"/>
          <w:sz w:val="28"/>
          <w:szCs w:val="28"/>
          <w:highlight w:val="none"/>
          <w:u w:val="single"/>
        </w:rPr>
        <w:t xml:space="preserve">                         </w:t>
      </w:r>
    </w:p>
    <w:p w14:paraId="71419941">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14:paraId="226FF080">
      <w:pPr>
        <w:pStyle w:val="10"/>
        <w:tabs>
          <w:tab w:val="left" w:pos="5580"/>
        </w:tabs>
        <w:spacing w:line="240" w:lineRule="atLeast"/>
        <w:ind w:left="1079" w:leftChars="257" w:hanging="54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法定代表人或其委托代理人签字</w:t>
      </w:r>
      <w:r>
        <w:rPr>
          <w:rFonts w:hint="eastAsia" w:ascii="仿宋" w:hAnsi="仿宋" w:eastAsia="仿宋" w:cs="仿宋"/>
          <w:color w:val="auto"/>
          <w:sz w:val="28"/>
          <w:szCs w:val="28"/>
          <w:highlight w:val="none"/>
          <w:u w:val="single"/>
          <w:lang w:val="en-US" w:eastAsia="zh-CN"/>
        </w:rPr>
        <w:t xml:space="preserve">                          </w:t>
      </w:r>
    </w:p>
    <w:p w14:paraId="3B5EEB83">
      <w:pPr>
        <w:pStyle w:val="10"/>
        <w:tabs>
          <w:tab w:val="left" w:pos="5580"/>
        </w:tabs>
        <w:spacing w:line="240" w:lineRule="atLeast"/>
        <w:ind w:left="1079" w:leftChars="257" w:hanging="54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投标人名称（全称）</w:t>
      </w:r>
      <w:r>
        <w:rPr>
          <w:rFonts w:hint="eastAsia" w:ascii="仿宋" w:hAnsi="仿宋" w:eastAsia="仿宋" w:cs="仿宋"/>
          <w:color w:val="auto"/>
          <w:sz w:val="28"/>
          <w:szCs w:val="28"/>
          <w:highlight w:val="none"/>
          <w:u w:val="single"/>
          <w:lang w:val="en-US" w:eastAsia="zh-CN"/>
        </w:rPr>
        <w:t xml:space="preserve">                                    </w:t>
      </w:r>
    </w:p>
    <w:p w14:paraId="334386FA">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投标人开户银行（全称）</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3D59A5B6">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投标人银行帐号</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p>
    <w:p w14:paraId="0A4D1141">
      <w:pPr>
        <w:pStyle w:val="10"/>
        <w:tabs>
          <w:tab w:val="left" w:pos="5580"/>
        </w:tabs>
        <w:spacing w:line="240" w:lineRule="atLeast"/>
        <w:ind w:left="1079" w:leftChars="257" w:hanging="54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投标人单位章</w:t>
      </w:r>
      <w:r>
        <w:rPr>
          <w:rFonts w:hint="eastAsia" w:ascii="仿宋" w:hAnsi="仿宋" w:eastAsia="仿宋" w:cs="仿宋"/>
          <w:color w:val="auto"/>
          <w:sz w:val="28"/>
          <w:szCs w:val="28"/>
          <w:highlight w:val="none"/>
          <w:u w:val="single"/>
          <w:lang w:val="en-US" w:eastAsia="zh-CN"/>
        </w:rPr>
        <w:t xml:space="preserve">                                          </w:t>
      </w:r>
    </w:p>
    <w:p w14:paraId="1650926F">
      <w:pPr>
        <w:pStyle w:val="10"/>
        <w:tabs>
          <w:tab w:val="left" w:pos="5580"/>
        </w:tabs>
        <w:spacing w:line="240" w:lineRule="atLeast"/>
        <w:ind w:left="1079" w:leftChars="257" w:hanging="54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期</w:t>
      </w:r>
      <w:r>
        <w:rPr>
          <w:rFonts w:hint="eastAsia" w:ascii="仿宋" w:hAnsi="仿宋" w:eastAsia="仿宋" w:cs="仿宋"/>
          <w:color w:val="auto"/>
          <w:sz w:val="28"/>
          <w:szCs w:val="28"/>
          <w:highlight w:val="none"/>
          <w:u w:val="single"/>
          <w:lang w:val="en-US" w:eastAsia="zh-CN"/>
        </w:rPr>
        <w:t xml:space="preserve">                                               </w:t>
      </w:r>
    </w:p>
    <w:p w14:paraId="2DD6D143">
      <w:pPr>
        <w:pStyle w:val="3"/>
        <w:spacing w:before="0"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430" w:name="_Toc9148"/>
      <w:bookmarkStart w:id="431" w:name="_Toc518923117"/>
      <w:bookmarkStart w:id="432" w:name="_Toc24886"/>
      <w:bookmarkStart w:id="433" w:name="_Toc4197"/>
      <w:bookmarkStart w:id="434" w:name="_Toc26673"/>
      <w:bookmarkStart w:id="435" w:name="_Toc11083"/>
      <w:r>
        <w:rPr>
          <w:rFonts w:hint="eastAsia" w:ascii="仿宋" w:hAnsi="仿宋" w:eastAsia="仿宋" w:cs="仿宋"/>
          <w:color w:val="auto"/>
          <w:sz w:val="28"/>
          <w:szCs w:val="28"/>
          <w:highlight w:val="none"/>
        </w:rPr>
        <w:t>3   投标保证金缴纳凭证复印件或投标担保函</w:t>
      </w:r>
      <w:bookmarkEnd w:id="430"/>
      <w:bookmarkEnd w:id="431"/>
      <w:bookmarkEnd w:id="432"/>
      <w:bookmarkEnd w:id="433"/>
      <w:bookmarkEnd w:id="434"/>
      <w:bookmarkEnd w:id="435"/>
    </w:p>
    <w:p w14:paraId="56CC446E">
      <w:pPr>
        <w:ind w:firstLine="560" w:firstLineChars="200"/>
        <w:rPr>
          <w:rFonts w:hint="eastAsia" w:ascii="仿宋" w:hAnsi="仿宋" w:eastAsia="仿宋" w:cs="仿宋"/>
          <w:color w:val="auto"/>
          <w:sz w:val="28"/>
          <w:szCs w:val="28"/>
          <w:highlight w:val="none"/>
        </w:rPr>
      </w:pPr>
      <w:bookmarkStart w:id="436" w:name="_Toc494296991"/>
      <w:bookmarkStart w:id="437" w:name="_Toc494296665"/>
      <w:r>
        <w:rPr>
          <w:rFonts w:hint="eastAsia" w:ascii="仿宋" w:hAnsi="仿宋" w:eastAsia="仿宋" w:cs="仿宋"/>
          <w:color w:val="auto"/>
          <w:sz w:val="28"/>
          <w:szCs w:val="28"/>
          <w:highlight w:val="none"/>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五）,将原件装订在本部分正本中。</w:t>
      </w:r>
      <w:bookmarkEnd w:id="436"/>
      <w:bookmarkEnd w:id="437"/>
    </w:p>
    <w:p w14:paraId="4EEE33C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（项目用）（投标文件格式五）</w:t>
      </w:r>
    </w:p>
    <w:p w14:paraId="625C86A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43E909D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563A8F7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235D5B8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0AFBCA3C">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5139C15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08E47C52">
      <w:pPr>
        <w:ind w:firstLine="560" w:firstLineChars="200"/>
        <w:outlineLvl w:val="2"/>
        <w:rPr>
          <w:rFonts w:hint="eastAsia" w:ascii="仿宋" w:hAnsi="仿宋" w:eastAsia="仿宋" w:cs="仿宋"/>
          <w:color w:val="auto"/>
          <w:sz w:val="28"/>
          <w:szCs w:val="28"/>
          <w:highlight w:val="none"/>
        </w:rPr>
      </w:pPr>
      <w:bookmarkStart w:id="438" w:name="_Toc31028"/>
      <w:r>
        <w:rPr>
          <w:rFonts w:hint="eastAsia" w:ascii="仿宋" w:hAnsi="仿宋" w:eastAsia="仿宋" w:cs="仿宋"/>
          <w:color w:val="auto"/>
          <w:sz w:val="28"/>
          <w:szCs w:val="28"/>
          <w:highlight w:val="none"/>
        </w:rPr>
        <w:t>2．招标文件规定的投标人应当缴纳保证金的其他情形。</w:t>
      </w:r>
      <w:bookmarkEnd w:id="438"/>
    </w:p>
    <w:p w14:paraId="7A1E6E2E">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16E3F9B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2137A14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6444C7E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40EBE95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64C4460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1D5C41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11E8CE2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37FB89F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1D39417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4B620C5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1D4D9F6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5E725B5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1E304AC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756CA0E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7EE24B7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0CEC736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650EED2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40A784F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2BD0740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382A0534">
      <w:pPr>
        <w:rPr>
          <w:rFonts w:hint="eastAsia" w:ascii="仿宋" w:hAnsi="仿宋" w:eastAsia="仿宋" w:cs="仿宋"/>
          <w:color w:val="auto"/>
          <w:sz w:val="28"/>
          <w:szCs w:val="28"/>
          <w:highlight w:val="none"/>
        </w:rPr>
      </w:pPr>
    </w:p>
    <w:p w14:paraId="78BD9949">
      <w:pPr>
        <w:rPr>
          <w:rFonts w:hint="eastAsia" w:ascii="仿宋" w:hAnsi="仿宋" w:eastAsia="仿宋" w:cs="仿宋"/>
          <w:color w:val="auto"/>
          <w:sz w:val="28"/>
          <w:szCs w:val="28"/>
          <w:highlight w:val="none"/>
        </w:rPr>
      </w:pPr>
    </w:p>
    <w:p w14:paraId="1FED09C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保证人：（公章）                               </w:t>
      </w:r>
    </w:p>
    <w:p w14:paraId="6A891FE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6E477993">
      <w:pPr>
        <w:ind w:firstLine="7700" w:firstLineChars="2750"/>
        <w:rPr>
          <w:rFonts w:hint="eastAsia" w:ascii="仿宋" w:hAnsi="仿宋" w:eastAsia="仿宋" w:cs="仿宋"/>
          <w:color w:val="auto"/>
          <w:sz w:val="28"/>
          <w:szCs w:val="28"/>
          <w:highlight w:val="none"/>
        </w:rPr>
        <w:sectPr>
          <w:footerReference r:id="rId7" w:type="first"/>
          <w:footerReference r:id="rId5" w:type="default"/>
          <w:footerReference r:id="rId6" w:type="even"/>
          <w:pgSz w:w="11906" w:h="16838"/>
          <w:pgMar w:top="1417" w:right="1417" w:bottom="1417" w:left="1417" w:header="851" w:footer="992" w:gutter="0"/>
          <w:cols w:space="720" w:num="1"/>
          <w:docGrid w:type="linesAndChars" w:linePitch="312" w:charSpace="0"/>
        </w:sectPr>
      </w:pPr>
    </w:p>
    <w:p w14:paraId="2DDF8A38">
      <w:pPr>
        <w:pStyle w:val="3"/>
        <w:spacing w:before="0" w:line="240" w:lineRule="atLeast"/>
        <w:ind w:left="1080" w:leftChars="257" w:hanging="540"/>
        <w:rPr>
          <w:rFonts w:hint="eastAsia" w:ascii="仿宋" w:hAnsi="仿宋" w:eastAsia="仿宋" w:cs="仿宋"/>
          <w:color w:val="auto"/>
          <w:sz w:val="28"/>
          <w:szCs w:val="28"/>
          <w:highlight w:val="none"/>
        </w:rPr>
      </w:pPr>
      <w:bookmarkStart w:id="439" w:name="_Toc1893"/>
      <w:bookmarkStart w:id="440" w:name="_Toc12912"/>
      <w:bookmarkStart w:id="441" w:name="_Toc22841"/>
      <w:bookmarkStart w:id="442" w:name="_Toc10740"/>
      <w:bookmarkStart w:id="443" w:name="_Toc22442"/>
      <w:bookmarkStart w:id="444" w:name="_Toc518923118"/>
      <w:r>
        <w:rPr>
          <w:rFonts w:hint="eastAsia" w:ascii="仿宋" w:hAnsi="仿宋" w:eastAsia="仿宋" w:cs="仿宋"/>
          <w:color w:val="auto"/>
          <w:sz w:val="28"/>
          <w:szCs w:val="28"/>
          <w:highlight w:val="none"/>
        </w:rPr>
        <w:t>4   投标分项报价表</w:t>
      </w:r>
      <w:bookmarkEnd w:id="429"/>
      <w:r>
        <w:rPr>
          <w:rFonts w:hint="eastAsia" w:ascii="仿宋" w:hAnsi="仿宋" w:eastAsia="仿宋" w:cs="仿宋"/>
          <w:color w:val="auto"/>
          <w:sz w:val="28"/>
          <w:szCs w:val="28"/>
          <w:highlight w:val="none"/>
        </w:rPr>
        <w:t>（投标文件格式六）</w:t>
      </w:r>
      <w:bookmarkEnd w:id="439"/>
      <w:bookmarkEnd w:id="440"/>
      <w:bookmarkEnd w:id="441"/>
      <w:bookmarkEnd w:id="442"/>
      <w:bookmarkEnd w:id="443"/>
      <w:bookmarkEnd w:id="444"/>
    </w:p>
    <w:p w14:paraId="18980C1E">
      <w:pPr>
        <w:pStyle w:val="10"/>
        <w:spacing w:line="240" w:lineRule="atLeast"/>
        <w:ind w:left="1080" w:leftChars="257" w:hanging="540"/>
        <w:rPr>
          <w:rFonts w:hint="eastAsia" w:ascii="仿宋" w:hAnsi="仿宋" w:eastAsia="仿宋" w:cs="仿宋"/>
          <w:color w:val="auto"/>
          <w:sz w:val="24"/>
          <w:highlight w:val="none"/>
        </w:rPr>
      </w:pPr>
    </w:p>
    <w:p w14:paraId="34ED14EF">
      <w:pPr>
        <w:pStyle w:val="10"/>
        <w:spacing w:line="240" w:lineRule="atLeast"/>
        <w:ind w:left="1080" w:leftChars="257" w:hanging="540"/>
        <w:rPr>
          <w:rFonts w:hint="eastAsia" w:ascii="仿宋" w:hAnsi="仿宋" w:eastAsia="仿宋" w:cs="仿宋"/>
          <w:color w:val="auto"/>
          <w:sz w:val="24"/>
          <w:highlight w:val="none"/>
        </w:rPr>
      </w:pPr>
    </w:p>
    <w:p w14:paraId="16735B4F">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包号: 　 　报价单位：人民币  </w:t>
      </w:r>
      <w:r>
        <w:rPr>
          <w:rFonts w:hint="eastAsia" w:ascii="仿宋" w:hAnsi="仿宋" w:eastAsia="仿宋" w:cs="仿宋"/>
          <w:b/>
          <w:bCs/>
          <w:color w:val="auto"/>
          <w:sz w:val="24"/>
          <w:highlight w:val="none"/>
        </w:rPr>
        <w:t xml:space="preserve"> 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50"/>
        <w:gridCol w:w="2173"/>
        <w:gridCol w:w="1553"/>
        <w:gridCol w:w="1330"/>
        <w:gridCol w:w="1259"/>
        <w:gridCol w:w="1293"/>
        <w:gridCol w:w="1879"/>
        <w:gridCol w:w="1069"/>
      </w:tblGrid>
      <w:tr w14:paraId="6AAA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08" w:type="dxa"/>
            <w:noWrap w:val="0"/>
            <w:vAlign w:val="center"/>
          </w:tcPr>
          <w:p w14:paraId="4EBF2926">
            <w:pPr>
              <w:pStyle w:val="10"/>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750" w:type="dxa"/>
            <w:noWrap w:val="0"/>
            <w:vAlign w:val="center"/>
          </w:tcPr>
          <w:p w14:paraId="4636A110">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2173" w:type="dxa"/>
            <w:noWrap w:val="0"/>
            <w:vAlign w:val="center"/>
          </w:tcPr>
          <w:p w14:paraId="1D3B0DED">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w:t>
            </w:r>
          </w:p>
        </w:tc>
        <w:tc>
          <w:tcPr>
            <w:tcW w:w="1553" w:type="dxa"/>
            <w:noWrap w:val="0"/>
            <w:vAlign w:val="center"/>
          </w:tcPr>
          <w:p w14:paraId="1ED909E1">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w:t>
            </w:r>
          </w:p>
        </w:tc>
        <w:tc>
          <w:tcPr>
            <w:tcW w:w="1330" w:type="dxa"/>
            <w:noWrap w:val="0"/>
            <w:vAlign w:val="center"/>
          </w:tcPr>
          <w:p w14:paraId="6FA7E326">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w:t>
            </w:r>
          </w:p>
        </w:tc>
        <w:tc>
          <w:tcPr>
            <w:tcW w:w="1259" w:type="dxa"/>
            <w:noWrap w:val="0"/>
            <w:vAlign w:val="center"/>
          </w:tcPr>
          <w:p w14:paraId="6C846657">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1293" w:type="dxa"/>
            <w:noWrap w:val="0"/>
            <w:vAlign w:val="center"/>
          </w:tcPr>
          <w:p w14:paraId="2FB2D5B2">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1879" w:type="dxa"/>
            <w:noWrap w:val="0"/>
            <w:vAlign w:val="center"/>
          </w:tcPr>
          <w:p w14:paraId="42C528A3">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1069" w:type="dxa"/>
            <w:noWrap w:val="0"/>
            <w:vAlign w:val="center"/>
          </w:tcPr>
          <w:p w14:paraId="486C08E3">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7900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noWrap w:val="0"/>
            <w:vAlign w:val="center"/>
          </w:tcPr>
          <w:p w14:paraId="00B29CC1">
            <w:pPr>
              <w:pStyle w:val="10"/>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50" w:type="dxa"/>
            <w:noWrap w:val="0"/>
            <w:vAlign w:val="center"/>
          </w:tcPr>
          <w:p w14:paraId="79FA0FC5">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173" w:type="dxa"/>
            <w:noWrap w:val="0"/>
            <w:vAlign w:val="center"/>
          </w:tcPr>
          <w:p w14:paraId="66653DD2">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5550EEF6">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3825CDDA">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177735ED">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09D16A7E">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1CDC9714">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2AA352AC">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39E3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2681D6E3">
            <w:pPr>
              <w:pStyle w:val="10"/>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750" w:type="dxa"/>
            <w:noWrap w:val="0"/>
            <w:vAlign w:val="center"/>
          </w:tcPr>
          <w:p w14:paraId="024F2DF6">
            <w:pPr>
              <w:pStyle w:val="10"/>
              <w:spacing w:line="240" w:lineRule="atLeast"/>
              <w:jc w:val="center"/>
              <w:rPr>
                <w:rFonts w:hint="eastAsia" w:ascii="仿宋" w:hAnsi="仿宋" w:eastAsia="仿宋" w:cs="仿宋"/>
                <w:color w:val="auto"/>
                <w:sz w:val="24"/>
                <w:highlight w:val="none"/>
                <w:lang w:val="en-US" w:eastAsia="zh-CN"/>
              </w:rPr>
            </w:pPr>
          </w:p>
        </w:tc>
        <w:tc>
          <w:tcPr>
            <w:tcW w:w="2173" w:type="dxa"/>
            <w:noWrap w:val="0"/>
            <w:vAlign w:val="center"/>
          </w:tcPr>
          <w:p w14:paraId="3674D7F5">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54F2CEBE">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3814D8B1">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1DF16A03">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599239B5">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6244581F">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36078547">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67AA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59C14172">
            <w:pPr>
              <w:pStyle w:val="10"/>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750" w:type="dxa"/>
            <w:noWrap w:val="0"/>
            <w:vAlign w:val="center"/>
          </w:tcPr>
          <w:p w14:paraId="4C1CCC6C">
            <w:pPr>
              <w:pStyle w:val="10"/>
              <w:spacing w:line="240" w:lineRule="atLeast"/>
              <w:jc w:val="center"/>
              <w:rPr>
                <w:rFonts w:hint="eastAsia" w:ascii="仿宋" w:hAnsi="仿宋" w:eastAsia="仿宋" w:cs="仿宋"/>
                <w:color w:val="auto"/>
                <w:sz w:val="24"/>
                <w:highlight w:val="none"/>
                <w:lang w:val="en-US" w:eastAsia="zh-CN"/>
              </w:rPr>
            </w:pPr>
          </w:p>
        </w:tc>
        <w:tc>
          <w:tcPr>
            <w:tcW w:w="2173" w:type="dxa"/>
            <w:noWrap w:val="0"/>
            <w:vAlign w:val="center"/>
          </w:tcPr>
          <w:p w14:paraId="197A8130">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7D07ECA5">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52F63FF3">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4CB28125">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00FA8F3C">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703EC78F">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230A6789">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584B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1C872896">
            <w:pPr>
              <w:pStyle w:val="10"/>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750" w:type="dxa"/>
            <w:noWrap w:val="0"/>
            <w:vAlign w:val="center"/>
          </w:tcPr>
          <w:p w14:paraId="2316F823">
            <w:pPr>
              <w:pStyle w:val="10"/>
              <w:spacing w:line="240" w:lineRule="atLeast"/>
              <w:jc w:val="center"/>
              <w:rPr>
                <w:rFonts w:hint="eastAsia" w:ascii="仿宋" w:hAnsi="仿宋" w:eastAsia="仿宋" w:cs="仿宋"/>
                <w:color w:val="auto"/>
                <w:sz w:val="24"/>
                <w:highlight w:val="none"/>
                <w:lang w:val="en-US" w:eastAsia="zh-CN"/>
              </w:rPr>
            </w:pPr>
          </w:p>
        </w:tc>
        <w:tc>
          <w:tcPr>
            <w:tcW w:w="2173" w:type="dxa"/>
            <w:noWrap w:val="0"/>
            <w:vAlign w:val="center"/>
          </w:tcPr>
          <w:p w14:paraId="254B88DC">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36A2E57B">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3DD6E3C7">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6741A387">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2F8A9D79">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5978CF87">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30D71BF2">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294F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8" w:type="dxa"/>
            <w:noWrap w:val="0"/>
            <w:vAlign w:val="center"/>
          </w:tcPr>
          <w:p w14:paraId="797B5226">
            <w:pPr>
              <w:pStyle w:val="10"/>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750" w:type="dxa"/>
            <w:noWrap w:val="0"/>
            <w:vAlign w:val="center"/>
          </w:tcPr>
          <w:p w14:paraId="081529A7">
            <w:pPr>
              <w:pStyle w:val="10"/>
              <w:spacing w:line="240" w:lineRule="atLeast"/>
              <w:jc w:val="center"/>
              <w:rPr>
                <w:rFonts w:hint="eastAsia" w:ascii="仿宋" w:hAnsi="仿宋" w:eastAsia="仿宋" w:cs="仿宋"/>
                <w:color w:val="auto"/>
                <w:sz w:val="24"/>
                <w:highlight w:val="none"/>
                <w:lang w:val="en-US" w:eastAsia="zh-CN"/>
              </w:rPr>
            </w:pPr>
          </w:p>
        </w:tc>
        <w:tc>
          <w:tcPr>
            <w:tcW w:w="2173" w:type="dxa"/>
            <w:noWrap w:val="0"/>
            <w:vAlign w:val="center"/>
          </w:tcPr>
          <w:p w14:paraId="237BD9D3">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0149F7FA">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10D77136">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33A82D49">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560F5E52">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444441EE">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253E44C8">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0E6D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5ED49351">
            <w:pPr>
              <w:pStyle w:val="10"/>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50" w:type="dxa"/>
            <w:noWrap w:val="0"/>
            <w:vAlign w:val="center"/>
          </w:tcPr>
          <w:p w14:paraId="01983B27">
            <w:pPr>
              <w:pStyle w:val="10"/>
              <w:spacing w:line="240" w:lineRule="atLeast"/>
              <w:jc w:val="center"/>
              <w:rPr>
                <w:rFonts w:hint="eastAsia" w:ascii="仿宋" w:hAnsi="仿宋" w:eastAsia="仿宋" w:cs="仿宋"/>
                <w:color w:val="auto"/>
                <w:sz w:val="24"/>
                <w:highlight w:val="none"/>
                <w:lang w:val="en-US" w:eastAsia="zh-CN"/>
              </w:rPr>
            </w:pPr>
          </w:p>
        </w:tc>
        <w:tc>
          <w:tcPr>
            <w:tcW w:w="2173" w:type="dxa"/>
            <w:noWrap w:val="0"/>
            <w:vAlign w:val="center"/>
          </w:tcPr>
          <w:p w14:paraId="4C86ED45">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7CC004B8">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5415AB14">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5E76560D">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602CE824">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651E54F0">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6CA4B672">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6D1C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266" w:type="dxa"/>
            <w:gridSpan w:val="7"/>
            <w:noWrap w:val="0"/>
            <w:vAlign w:val="center"/>
          </w:tcPr>
          <w:p w14:paraId="1137668E">
            <w:pPr>
              <w:pStyle w:val="10"/>
              <w:spacing w:line="240" w:lineRule="atLeast"/>
              <w:ind w:left="1080" w:leftChars="257"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2948" w:type="dxa"/>
            <w:gridSpan w:val="2"/>
            <w:noWrap w:val="0"/>
            <w:vAlign w:val="center"/>
          </w:tcPr>
          <w:p w14:paraId="47FE05B7">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r>
    </w:tbl>
    <w:p w14:paraId="32789959">
      <w:pPr>
        <w:pStyle w:val="10"/>
        <w:spacing w:line="240" w:lineRule="atLeast"/>
        <w:ind w:left="1080" w:leftChars="257" w:hanging="540"/>
        <w:rPr>
          <w:rFonts w:hint="eastAsia" w:ascii="仿宋" w:hAnsi="仿宋" w:eastAsia="仿宋" w:cs="仿宋"/>
          <w:color w:val="auto"/>
          <w:sz w:val="24"/>
          <w:highlight w:val="none"/>
        </w:rPr>
      </w:pPr>
    </w:p>
    <w:p w14:paraId="512975C0">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36178E00">
      <w:pPr>
        <w:pStyle w:val="10"/>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227B15E9">
      <w:pPr>
        <w:pStyle w:val="10"/>
        <w:spacing w:line="240" w:lineRule="atLeast"/>
        <w:ind w:left="1080" w:leftChars="257" w:hanging="540"/>
        <w:rPr>
          <w:rFonts w:hint="eastAsia" w:ascii="仿宋" w:hAnsi="仿宋" w:eastAsia="仿宋" w:cs="仿宋"/>
          <w:color w:val="auto"/>
          <w:sz w:val="24"/>
          <w:highlight w:val="none"/>
        </w:rPr>
      </w:pPr>
    </w:p>
    <w:p w14:paraId="14FE93B8">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注:1.如果投标人认为需要，每种货物填写一份该表。</w:t>
      </w:r>
    </w:p>
    <w:p w14:paraId="06C7B183">
      <w:pPr>
        <w:pStyle w:val="10"/>
        <w:spacing w:line="240" w:lineRule="atLeast"/>
        <w:ind w:left="1079" w:leftChars="428" w:hanging="180" w:hangingChars="75"/>
        <w:outlineLvl w:val="2"/>
        <w:rPr>
          <w:rFonts w:hint="eastAsia" w:ascii="仿宋" w:hAnsi="仿宋" w:eastAsia="仿宋" w:cs="仿宋"/>
          <w:color w:val="auto"/>
          <w:sz w:val="24"/>
          <w:highlight w:val="none"/>
        </w:rPr>
      </w:pPr>
      <w:bookmarkStart w:id="445" w:name="_Toc19384"/>
      <w:r>
        <w:rPr>
          <w:rFonts w:hint="eastAsia" w:ascii="仿宋" w:hAnsi="仿宋" w:eastAsia="仿宋" w:cs="仿宋"/>
          <w:color w:val="auto"/>
          <w:sz w:val="24"/>
          <w:highlight w:val="none"/>
        </w:rPr>
        <w:t>2.如果按单价计算的结果与总价不一致,以单价为准修正总价。</w:t>
      </w:r>
      <w:bookmarkEnd w:id="445"/>
    </w:p>
    <w:p w14:paraId="42797536">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3.如果不提供详细分项报价将视为没有实质性响应招标文件。</w:t>
      </w:r>
    </w:p>
    <w:p w14:paraId="604ECEEE">
      <w:pPr>
        <w:pStyle w:val="10"/>
        <w:spacing w:line="240" w:lineRule="atLeast"/>
        <w:ind w:left="1080" w:leftChars="257" w:hanging="54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446" w:name="_Toc13679"/>
      <w:r>
        <w:rPr>
          <w:rFonts w:hint="eastAsia" w:ascii="仿宋" w:hAnsi="仿宋" w:eastAsia="仿宋" w:cs="仿宋"/>
          <w:color w:val="auto"/>
          <w:sz w:val="24"/>
          <w:highlight w:val="none"/>
        </w:rPr>
        <w:t>4.上述各项的详细分项报价，应另页描述。</w:t>
      </w:r>
      <w:bookmarkEnd w:id="446"/>
    </w:p>
    <w:p w14:paraId="7D9C8272">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5.如果开标一览表（报价表）内容与投标文件中明细表内容不一致的，以开标一览表（报价表）内容为准。</w:t>
      </w:r>
    </w:p>
    <w:p w14:paraId="003C3713">
      <w:pPr>
        <w:pStyle w:val="10"/>
        <w:spacing w:line="240" w:lineRule="atLeast"/>
        <w:rPr>
          <w:rFonts w:hint="eastAsia" w:ascii="仿宋" w:hAnsi="仿宋" w:eastAsia="仿宋" w:cs="仿宋"/>
          <w:color w:val="auto"/>
          <w:sz w:val="24"/>
          <w:highlight w:val="none"/>
        </w:rPr>
      </w:pPr>
    </w:p>
    <w:p w14:paraId="68E0A1DA">
      <w:pPr>
        <w:pStyle w:val="10"/>
        <w:spacing w:line="240" w:lineRule="atLeast"/>
        <w:rPr>
          <w:rFonts w:hint="eastAsia" w:ascii="仿宋" w:hAnsi="仿宋" w:eastAsia="仿宋" w:cs="仿宋"/>
          <w:color w:val="auto"/>
          <w:sz w:val="24"/>
          <w:highlight w:val="none"/>
        </w:rPr>
        <w:sectPr>
          <w:headerReference r:id="rId8" w:type="default"/>
          <w:footerReference r:id="rId10" w:type="default"/>
          <w:headerReference r:id="rId9" w:type="even"/>
          <w:footerReference r:id="rId11" w:type="even"/>
          <w:pgSz w:w="16838" w:h="11906" w:orient="landscape"/>
          <w:pgMar w:top="1417" w:right="1417" w:bottom="1417" w:left="1417" w:header="851" w:footer="992" w:gutter="0"/>
          <w:cols w:space="720" w:num="1"/>
          <w:docGrid w:linePitch="312" w:charSpace="0"/>
        </w:sectPr>
      </w:pPr>
    </w:p>
    <w:p w14:paraId="59458341">
      <w:pPr>
        <w:pStyle w:val="3"/>
        <w:spacing w:before="0" w:line="240" w:lineRule="atLeast"/>
        <w:ind w:left="1080" w:leftChars="257" w:hanging="540"/>
        <w:rPr>
          <w:rFonts w:hint="eastAsia" w:ascii="仿宋" w:hAnsi="仿宋" w:eastAsia="仿宋" w:cs="仿宋"/>
          <w:color w:val="auto"/>
          <w:sz w:val="28"/>
          <w:szCs w:val="28"/>
          <w:highlight w:val="none"/>
        </w:rPr>
      </w:pPr>
      <w:bookmarkStart w:id="447" w:name="_Toc9649"/>
      <w:bookmarkStart w:id="448" w:name="_Toc27767"/>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技术规格偏离表（投标文件格式八）</w:t>
      </w:r>
      <w:bookmarkEnd w:id="447"/>
      <w:bookmarkEnd w:id="448"/>
    </w:p>
    <w:p w14:paraId="6A34D37A">
      <w:pPr>
        <w:pStyle w:val="10"/>
        <w:spacing w:line="240" w:lineRule="atLeast"/>
        <w:ind w:left="1080" w:leftChars="257" w:hanging="540"/>
        <w:rPr>
          <w:rFonts w:hint="eastAsia" w:ascii="仿宋" w:hAnsi="仿宋" w:eastAsia="仿宋" w:cs="仿宋"/>
          <w:color w:val="auto"/>
          <w:sz w:val="24"/>
          <w:highlight w:val="none"/>
        </w:rPr>
      </w:pPr>
    </w:p>
    <w:p w14:paraId="199DC700">
      <w:pPr>
        <w:pStyle w:val="10"/>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6975267B">
      <w:pPr>
        <w:pStyle w:val="10"/>
        <w:spacing w:line="240" w:lineRule="atLeast"/>
        <w:ind w:left="1080" w:leftChars="257" w:hanging="540"/>
        <w:rPr>
          <w:rFonts w:hint="eastAsia" w:ascii="仿宋" w:hAnsi="仿宋" w:eastAsia="仿宋" w:cs="仿宋"/>
          <w:color w:val="auto"/>
          <w:sz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4598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09B78303">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14:paraId="4E18D037">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340" w:type="dxa"/>
            <w:noWrap w:val="0"/>
            <w:vAlign w:val="center"/>
          </w:tcPr>
          <w:p w14:paraId="3E45594C">
            <w:pPr>
              <w:pStyle w:val="10"/>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1260" w:type="dxa"/>
            <w:noWrap w:val="0"/>
            <w:vAlign w:val="center"/>
          </w:tcPr>
          <w:p w14:paraId="2369A96C">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60" w:type="dxa"/>
            <w:noWrap w:val="0"/>
            <w:vAlign w:val="center"/>
          </w:tcPr>
          <w:p w14:paraId="4C5D585F">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900" w:type="dxa"/>
            <w:noWrap w:val="0"/>
            <w:vAlign w:val="center"/>
          </w:tcPr>
          <w:p w14:paraId="563D1B17">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900" w:type="dxa"/>
            <w:noWrap w:val="0"/>
            <w:vAlign w:val="center"/>
          </w:tcPr>
          <w:p w14:paraId="3D34526D">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4D9C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D93EFBB">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B636CB3">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2597B52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BDB30CF">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E60700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65D6A1D">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4DC6AB49">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1F47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B902E2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0315D1E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650CF276">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9979A5B">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09B0DF1F">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E92F99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B9C9839">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6AC0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E9A8B26">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F036F5F">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071863D6">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504C81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2A0A1E3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E1C1AC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5BF7CE64">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0AD6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24ADE6D">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3A78C821">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66B27D2F">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0CCD6C2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762F5B0C">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5A811C69">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4381C4A">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15BD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5555C35">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89DCDCC">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3199A50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3943F70">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1C89E7D9">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A2A464D">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4BCA5204">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71C4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B984A7B">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0001369D">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144CAFB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6D78046">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3FF7B82F">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9E4EBE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5F7DB2D">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16EC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B7D9739">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13A8D1B3">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75EE8983">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2AD8856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069E1AC1">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649C2F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AC11C4A">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4DDB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E6F01D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1CF5D375">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38FD8D7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000286E1">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19A057B0">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E232BA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78B763DC">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2751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1AE4919">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6F8643B">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6FA6746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D833D41">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2F80BEB5">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70EBA2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746EA937">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2AFF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EEDEF46">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7AFB79B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37BF9206">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2DFC591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70C5E5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171B8F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2D2AB32">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5CC0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25678FA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0835B6E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07B4C320">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18F7032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983E40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E71BB3B">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7676DC09">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1592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5D56C66">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47E5C5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6A2E86E3">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8E166CD">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17E3DE4B">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A2DD76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247241F">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5D4B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401682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1AE4BF1">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4C4D6140">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96E90DB">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3A79E500">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432C6DC">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7BC7D44B">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4F15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4F33B26">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64AD38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4387F5D9">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79CFF83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29B7C35">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59D8C4B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081BA69">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7706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FCDAA9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362301EC">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58276721">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38DEE82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CB9A13B">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D03AC90">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40CFD309">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290F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FE8CEE9">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7A8741DE">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5C0F7C79">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2416F0AD">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3F700D5E">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61ED4C30">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7818FAB9">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2238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9312E2C">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95C62F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340" w:type="dxa"/>
            <w:noWrap w:val="0"/>
            <w:vAlign w:val="top"/>
          </w:tcPr>
          <w:p w14:paraId="786CB4AE">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209E51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7076878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72968565">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55507445">
            <w:pPr>
              <w:pStyle w:val="10"/>
              <w:spacing w:line="240" w:lineRule="atLeast"/>
              <w:ind w:left="1080" w:leftChars="257" w:hanging="540"/>
              <w:rPr>
                <w:rFonts w:hint="eastAsia" w:ascii="仿宋" w:hAnsi="仿宋" w:eastAsia="仿宋" w:cs="仿宋"/>
                <w:color w:val="auto"/>
                <w:sz w:val="24"/>
                <w:highlight w:val="none"/>
                <w:lang w:val="en-US" w:eastAsia="zh-CN"/>
              </w:rPr>
            </w:pPr>
          </w:p>
        </w:tc>
      </w:tr>
    </w:tbl>
    <w:p w14:paraId="696D5BD5">
      <w:pPr>
        <w:pStyle w:val="10"/>
        <w:spacing w:line="240" w:lineRule="atLeast"/>
        <w:ind w:left="1080" w:leftChars="257" w:hanging="540"/>
        <w:rPr>
          <w:rFonts w:hint="eastAsia" w:ascii="仿宋" w:hAnsi="仿宋" w:eastAsia="仿宋" w:cs="仿宋"/>
          <w:color w:val="auto"/>
          <w:sz w:val="24"/>
          <w:highlight w:val="none"/>
        </w:rPr>
      </w:pPr>
    </w:p>
    <w:p w14:paraId="0CAF8D88">
      <w:pPr>
        <w:pStyle w:val="10"/>
        <w:spacing w:line="240" w:lineRule="atLeast"/>
        <w:ind w:left="1080" w:leftChars="257" w:hanging="540"/>
        <w:rPr>
          <w:rFonts w:hint="eastAsia" w:ascii="仿宋" w:hAnsi="仿宋" w:eastAsia="仿宋" w:cs="仿宋"/>
          <w:color w:val="auto"/>
          <w:sz w:val="24"/>
          <w:highlight w:val="none"/>
        </w:rPr>
      </w:pPr>
    </w:p>
    <w:p w14:paraId="414F79C9">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2C9A5C33">
      <w:pPr>
        <w:pStyle w:val="10"/>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546A6813">
      <w:pPr>
        <w:pStyle w:val="10"/>
        <w:spacing w:line="240" w:lineRule="atLeast"/>
        <w:ind w:left="1080" w:leftChars="257" w:hanging="540"/>
        <w:rPr>
          <w:rFonts w:hint="eastAsia" w:ascii="仿宋" w:hAnsi="仿宋" w:eastAsia="仿宋" w:cs="仿宋"/>
          <w:color w:val="auto"/>
          <w:sz w:val="24"/>
          <w:highlight w:val="none"/>
        </w:rPr>
      </w:pPr>
    </w:p>
    <w:p w14:paraId="1EDA5707">
      <w:pPr>
        <w:pStyle w:val="10"/>
        <w:spacing w:line="240" w:lineRule="atLeast"/>
        <w:ind w:left="1080" w:leftChars="257" w:hanging="540"/>
        <w:rPr>
          <w:rFonts w:hint="eastAsia" w:ascii="仿宋" w:hAnsi="仿宋" w:eastAsia="仿宋" w:cs="仿宋"/>
          <w:color w:val="auto"/>
          <w:sz w:val="24"/>
          <w:highlight w:val="none"/>
        </w:rPr>
      </w:pPr>
    </w:p>
    <w:p w14:paraId="07AF5927">
      <w:pPr>
        <w:pStyle w:val="10"/>
        <w:spacing w:line="240" w:lineRule="atLeast"/>
        <w:ind w:left="1080" w:leftChars="257" w:hanging="540"/>
        <w:rPr>
          <w:rFonts w:hint="eastAsia" w:ascii="仿宋" w:hAnsi="仿宋" w:eastAsia="仿宋" w:cs="仿宋"/>
          <w:color w:val="auto"/>
          <w:sz w:val="24"/>
          <w:highlight w:val="none"/>
        </w:rPr>
      </w:pPr>
    </w:p>
    <w:p w14:paraId="1EC4040A">
      <w:pPr>
        <w:pStyle w:val="10"/>
        <w:spacing w:line="240" w:lineRule="atLeast"/>
        <w:ind w:left="1080" w:leftChars="257" w:hanging="540"/>
        <w:rPr>
          <w:rFonts w:hint="eastAsia" w:ascii="仿宋" w:hAnsi="仿宋" w:eastAsia="仿宋" w:cs="仿宋"/>
          <w:color w:val="auto"/>
          <w:sz w:val="24"/>
          <w:highlight w:val="none"/>
        </w:rPr>
      </w:pPr>
    </w:p>
    <w:p w14:paraId="5BAB7B12">
      <w:pPr>
        <w:pStyle w:val="10"/>
        <w:spacing w:line="240" w:lineRule="atLeast"/>
        <w:ind w:left="1080" w:leftChars="257" w:hanging="540"/>
        <w:rPr>
          <w:rFonts w:hint="eastAsia" w:ascii="仿宋" w:hAnsi="仿宋" w:eastAsia="仿宋" w:cs="仿宋"/>
          <w:color w:val="auto"/>
          <w:sz w:val="24"/>
          <w:highlight w:val="none"/>
        </w:rPr>
      </w:pPr>
    </w:p>
    <w:p w14:paraId="29A029E6">
      <w:pPr>
        <w:pStyle w:val="3"/>
        <w:spacing w:before="0" w:line="240" w:lineRule="atLeast"/>
        <w:ind w:left="1080" w:leftChars="257" w:hanging="540"/>
        <w:rPr>
          <w:rFonts w:hint="eastAsia" w:ascii="仿宋" w:hAnsi="仿宋" w:eastAsia="仿宋" w:cs="仿宋"/>
          <w:color w:val="auto"/>
          <w:sz w:val="28"/>
          <w:szCs w:val="28"/>
          <w:highlight w:val="none"/>
        </w:rPr>
      </w:pPr>
      <w:bookmarkStart w:id="449" w:name="_Toc216582818"/>
      <w:bookmarkStart w:id="450" w:name="_Toc6448"/>
      <w:bookmarkStart w:id="451" w:name="_Toc9031"/>
      <w:bookmarkStart w:id="452" w:name="_Toc8079"/>
      <w:bookmarkStart w:id="453" w:name="_Toc518923119"/>
      <w:bookmarkStart w:id="454" w:name="_Toc14704"/>
      <w:bookmarkStart w:id="455" w:name="_Toc12649"/>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商务条款偏离表</w:t>
      </w:r>
      <w:bookmarkEnd w:id="449"/>
      <w:r>
        <w:rPr>
          <w:rFonts w:hint="eastAsia" w:ascii="仿宋" w:hAnsi="仿宋" w:eastAsia="仿宋" w:cs="仿宋"/>
          <w:color w:val="auto"/>
          <w:sz w:val="28"/>
          <w:szCs w:val="28"/>
          <w:highlight w:val="none"/>
        </w:rPr>
        <w:t>（投标文件格式九）</w:t>
      </w:r>
      <w:bookmarkEnd w:id="450"/>
      <w:bookmarkEnd w:id="451"/>
      <w:bookmarkEnd w:id="452"/>
      <w:bookmarkEnd w:id="453"/>
      <w:bookmarkEnd w:id="454"/>
      <w:bookmarkEnd w:id="455"/>
    </w:p>
    <w:p w14:paraId="770DEC68">
      <w:pPr>
        <w:pStyle w:val="10"/>
        <w:spacing w:line="240" w:lineRule="atLeast"/>
        <w:ind w:left="1080" w:leftChars="257" w:hanging="540"/>
        <w:rPr>
          <w:rFonts w:hint="eastAsia" w:ascii="仿宋" w:hAnsi="仿宋" w:eastAsia="仿宋" w:cs="仿宋"/>
          <w:color w:val="auto"/>
          <w:sz w:val="28"/>
          <w:szCs w:val="28"/>
          <w:highlight w:val="none"/>
        </w:rPr>
      </w:pPr>
    </w:p>
    <w:p w14:paraId="206A6169">
      <w:pPr>
        <w:pStyle w:val="10"/>
        <w:spacing w:line="240" w:lineRule="atLeast"/>
        <w:ind w:left="1080" w:leftChars="257" w:hanging="540"/>
        <w:rPr>
          <w:rFonts w:hint="eastAsia" w:ascii="仿宋" w:hAnsi="仿宋" w:eastAsia="仿宋" w:cs="仿宋"/>
          <w:color w:val="auto"/>
          <w:sz w:val="24"/>
          <w:highlight w:val="none"/>
        </w:rPr>
      </w:pPr>
    </w:p>
    <w:p w14:paraId="4440988A">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338C32EA">
      <w:pPr>
        <w:pStyle w:val="10"/>
        <w:spacing w:line="240" w:lineRule="atLeast"/>
        <w:ind w:left="1080" w:leftChars="257" w:hanging="540"/>
        <w:rPr>
          <w:rFonts w:hint="eastAsia" w:ascii="仿宋" w:hAnsi="仿宋" w:eastAsia="仿宋" w:cs="仿宋"/>
          <w:color w:val="auto"/>
          <w:sz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570F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67EBB8A">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40" w:type="dxa"/>
            <w:noWrap w:val="0"/>
            <w:vAlign w:val="top"/>
          </w:tcPr>
          <w:p w14:paraId="201C6D7A">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2520" w:type="dxa"/>
            <w:noWrap w:val="0"/>
            <w:vAlign w:val="top"/>
          </w:tcPr>
          <w:p w14:paraId="309D7AFB">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招标文件的商务条款</w:t>
            </w:r>
          </w:p>
        </w:tc>
        <w:tc>
          <w:tcPr>
            <w:tcW w:w="2520" w:type="dxa"/>
            <w:noWrap w:val="0"/>
            <w:vAlign w:val="top"/>
          </w:tcPr>
          <w:p w14:paraId="0AA56687">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投标文件的商务条款</w:t>
            </w:r>
          </w:p>
        </w:tc>
        <w:tc>
          <w:tcPr>
            <w:tcW w:w="900" w:type="dxa"/>
            <w:noWrap w:val="0"/>
            <w:vAlign w:val="top"/>
          </w:tcPr>
          <w:p w14:paraId="5E19217E">
            <w:pPr>
              <w:pStyle w:val="10"/>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78D6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D3B54E5">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00A7B3A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2F68FF3D">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2520" w:type="dxa"/>
            <w:noWrap w:val="0"/>
            <w:vAlign w:val="top"/>
          </w:tcPr>
          <w:p w14:paraId="679073BF">
            <w:pPr>
              <w:pStyle w:val="10"/>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900" w:type="dxa"/>
            <w:noWrap w:val="0"/>
            <w:vAlign w:val="top"/>
          </w:tcPr>
          <w:p w14:paraId="2F4E97A7">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7842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02C53E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5E57FD5D">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08439DB0">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950DA9D">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D0BFF08">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0EEC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667416F">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14C5D2FD">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62F0911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5DA22049">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9FD2C7E">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2298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C711E65">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35A5811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49D29146">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0B0530B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DAD87DA">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056D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2E0001C">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05D2581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412EF3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C9051ED">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EB6BAFF">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642E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415AF4B">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3D153B55">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BBA5FDF">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2F3887E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660EA03E">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0F2C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962E1C0">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0080D9BC">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3821A5B">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001EB9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7FC4690">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4BD6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647B32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492B428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B8A37FF">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5FAFAEE3">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68A4BB0">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3F10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D102E8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3720FC5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93AAC8C">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4CA386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FEC84B1">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54F1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47728B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1E2009DA">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5A5512E">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6CC6302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4B53EDB">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0C67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4BBC96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7947828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0D67B090">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8728205">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7EE4340E">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7DE6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EB03F01">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457A149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2EBAD7CC">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2745B50">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765EC5B">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154B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4B56A5">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19C5CC8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5AC54C75">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AE207EB">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64EF2BD9">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20C3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0CBF7F8">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746A639F">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F371EB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44D855F1">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76C24F1F">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4F05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1F1EB7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666E7F5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64D07FEC">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5E0D93C6">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764600A3">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4B9A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F4AFD71">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113DF953">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DCFA721">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320A7E6">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C9D6ACE">
            <w:pPr>
              <w:pStyle w:val="10"/>
              <w:spacing w:line="240" w:lineRule="atLeast"/>
              <w:ind w:left="1080" w:leftChars="257" w:hanging="540"/>
              <w:rPr>
                <w:rFonts w:hint="eastAsia" w:ascii="仿宋" w:hAnsi="仿宋" w:eastAsia="仿宋" w:cs="仿宋"/>
                <w:color w:val="auto"/>
                <w:sz w:val="24"/>
                <w:highlight w:val="none"/>
                <w:lang w:val="en-US" w:eastAsia="zh-CN"/>
              </w:rPr>
            </w:pPr>
          </w:p>
        </w:tc>
      </w:tr>
      <w:tr w14:paraId="66BA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F23DE13">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0BAFA8C4">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7D35382">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E5BF987">
            <w:pPr>
              <w:pStyle w:val="10"/>
              <w:spacing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6B6B6A6">
            <w:pPr>
              <w:pStyle w:val="10"/>
              <w:spacing w:line="240" w:lineRule="atLeast"/>
              <w:ind w:left="1080" w:leftChars="257" w:hanging="540"/>
              <w:rPr>
                <w:rFonts w:hint="eastAsia" w:ascii="仿宋" w:hAnsi="仿宋" w:eastAsia="仿宋" w:cs="仿宋"/>
                <w:color w:val="auto"/>
                <w:sz w:val="24"/>
                <w:highlight w:val="none"/>
                <w:lang w:val="en-US" w:eastAsia="zh-CN"/>
              </w:rPr>
            </w:pPr>
          </w:p>
        </w:tc>
      </w:tr>
    </w:tbl>
    <w:p w14:paraId="6EE3DDA5">
      <w:pPr>
        <w:pStyle w:val="10"/>
        <w:spacing w:line="240" w:lineRule="atLeast"/>
        <w:ind w:left="1080" w:leftChars="257" w:hanging="540"/>
        <w:rPr>
          <w:rFonts w:hint="eastAsia" w:ascii="仿宋" w:hAnsi="仿宋" w:eastAsia="仿宋" w:cs="仿宋"/>
          <w:color w:val="auto"/>
          <w:sz w:val="24"/>
          <w:highlight w:val="none"/>
        </w:rPr>
      </w:pPr>
    </w:p>
    <w:p w14:paraId="792FFC44">
      <w:pPr>
        <w:pStyle w:val="10"/>
        <w:spacing w:line="240" w:lineRule="atLeast"/>
        <w:ind w:left="1080" w:leftChars="257" w:hanging="540"/>
        <w:rPr>
          <w:rFonts w:hint="eastAsia" w:ascii="仿宋" w:hAnsi="仿宋" w:eastAsia="仿宋" w:cs="仿宋"/>
          <w:color w:val="auto"/>
          <w:sz w:val="24"/>
          <w:highlight w:val="none"/>
        </w:rPr>
      </w:pPr>
    </w:p>
    <w:p w14:paraId="6B28BC44">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10ECE6A">
      <w:pPr>
        <w:pStyle w:val="10"/>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3EEC8114">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br w:type="page"/>
      </w:r>
      <w:bookmarkStart w:id="456" w:name="_Hlt520273711"/>
      <w:bookmarkEnd w:id="456"/>
      <w:bookmarkStart w:id="457" w:name="_Hlt520350957"/>
      <w:bookmarkEnd w:id="457"/>
      <w:bookmarkStart w:id="458" w:name="_Hlt520274393"/>
      <w:bookmarkEnd w:id="458"/>
      <w:bookmarkStart w:id="459" w:name="_Hlt520274407"/>
      <w:bookmarkEnd w:id="459"/>
      <w:bookmarkStart w:id="460" w:name="_Hlt520273973"/>
      <w:bookmarkEnd w:id="460"/>
      <w:bookmarkStart w:id="461" w:name="_Hlt520274911"/>
      <w:bookmarkEnd w:id="461"/>
      <w:bookmarkStart w:id="462" w:name="_Hlt520350918"/>
      <w:bookmarkEnd w:id="462"/>
      <w:bookmarkStart w:id="463" w:name="_Hlt520271212"/>
      <w:bookmarkEnd w:id="463"/>
      <w:bookmarkStart w:id="464" w:name="_Hlt520343392"/>
      <w:bookmarkEnd w:id="464"/>
      <w:bookmarkStart w:id="465" w:name="_Hlt520343000"/>
      <w:bookmarkEnd w:id="465"/>
      <w:bookmarkStart w:id="466" w:name="_Hlt520274065"/>
      <w:bookmarkEnd w:id="466"/>
    </w:p>
    <w:p w14:paraId="07D996EF">
      <w:pPr>
        <w:pStyle w:val="3"/>
        <w:spacing w:before="0" w:line="240" w:lineRule="atLeast"/>
        <w:ind w:firstLine="2530" w:firstLineChars="900"/>
        <w:jc w:val="both"/>
        <w:rPr>
          <w:rFonts w:hint="eastAsia" w:ascii="仿宋" w:hAnsi="仿宋" w:eastAsia="仿宋" w:cs="仿宋"/>
          <w:b w:val="0"/>
          <w:color w:val="auto"/>
          <w:sz w:val="28"/>
          <w:szCs w:val="28"/>
          <w:highlight w:val="none"/>
        </w:rPr>
      </w:pPr>
      <w:bookmarkStart w:id="467" w:name="_Toc518923120"/>
      <w:bookmarkStart w:id="468" w:name="_Toc31214"/>
      <w:bookmarkStart w:id="469" w:name="_Toc4848"/>
      <w:bookmarkStart w:id="470" w:name="_Toc24815"/>
      <w:bookmarkStart w:id="471" w:name="_Toc10272"/>
      <w:bookmarkStart w:id="472" w:name="_Toc480"/>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 xml:space="preserve">-1 </w:t>
      </w:r>
      <w:r>
        <w:rPr>
          <w:rFonts w:hint="eastAsia" w:ascii="仿宋" w:hAnsi="仿宋" w:eastAsia="仿宋" w:cs="仿宋"/>
          <w:b w:val="0"/>
          <w:color w:val="auto"/>
          <w:sz w:val="28"/>
          <w:szCs w:val="28"/>
          <w:highlight w:val="none"/>
        </w:rPr>
        <w:t xml:space="preserve"> </w:t>
      </w:r>
      <w:r>
        <w:rPr>
          <w:rFonts w:hint="eastAsia" w:ascii="仿宋" w:hAnsi="仿宋" w:eastAsia="仿宋" w:cs="仿宋"/>
          <w:color w:val="auto"/>
          <w:sz w:val="28"/>
          <w:szCs w:val="28"/>
          <w:highlight w:val="none"/>
        </w:rPr>
        <w:t>中小企业声明函（投标文件格式十）</w:t>
      </w:r>
      <w:bookmarkEnd w:id="467"/>
      <w:bookmarkEnd w:id="468"/>
      <w:bookmarkEnd w:id="469"/>
      <w:bookmarkEnd w:id="470"/>
      <w:bookmarkEnd w:id="471"/>
      <w:bookmarkEnd w:id="472"/>
    </w:p>
    <w:p w14:paraId="39E9FCAA">
      <w:pPr>
        <w:spacing w:line="240" w:lineRule="atLeast"/>
        <w:ind w:left="1080" w:leftChars="257" w:hanging="540"/>
        <w:jc w:val="center"/>
        <w:rPr>
          <w:rFonts w:hint="eastAsia" w:ascii="仿宋" w:hAnsi="仿宋" w:eastAsia="仿宋" w:cs="仿宋"/>
          <w:b/>
          <w:color w:val="auto"/>
          <w:kern w:val="0"/>
          <w:sz w:val="28"/>
          <w:szCs w:val="28"/>
          <w:highlight w:val="none"/>
        </w:rPr>
      </w:pPr>
    </w:p>
    <w:p w14:paraId="4A12026E">
      <w:pPr>
        <w:pStyle w:val="12"/>
        <w:widowControl/>
        <w:spacing w:before="0" w:beforeAutospacing="0" w:after="0" w:afterAutospacing="0"/>
        <w:ind w:firstLine="420" w:firstLineChars="175"/>
        <w:rPr>
          <w:rFonts w:hint="eastAsia" w:ascii="仿宋" w:hAnsi="仿宋" w:eastAsia="仿宋" w:cs="仿宋"/>
          <w:color w:val="auto"/>
          <w:highlight w:val="none"/>
        </w:rPr>
      </w:pPr>
    </w:p>
    <w:p w14:paraId="203E6752">
      <w:pPr>
        <w:tabs>
          <w:tab w:val="left" w:pos="940"/>
        </w:tabs>
        <w:bidi w:val="0"/>
        <w:jc w:val="center"/>
        <w:rPr>
          <w:rFonts w:hint="eastAsia" w:ascii="仿宋" w:hAnsi="仿宋" w:eastAsia="仿宋" w:cs="仿宋"/>
          <w:color w:val="auto"/>
          <w:sz w:val="24"/>
          <w:szCs w:val="32"/>
          <w:highlight w:val="none"/>
          <w:lang w:eastAsia="zh-CN"/>
        </w:rPr>
      </w:pPr>
      <w:r>
        <w:rPr>
          <w:rFonts w:hint="eastAsia" w:ascii="仿宋" w:hAnsi="仿宋" w:eastAsia="仿宋" w:cs="仿宋"/>
          <w:b/>
          <w:bCs/>
          <w:color w:val="auto"/>
          <w:sz w:val="24"/>
          <w:szCs w:val="32"/>
          <w:highlight w:val="none"/>
          <w:lang w:eastAsia="zh-CN"/>
        </w:rPr>
        <w:t>中小企业声明函（货物）</w:t>
      </w:r>
    </w:p>
    <w:p w14:paraId="76D125AA">
      <w:pPr>
        <w:tabs>
          <w:tab w:val="left" w:pos="940"/>
        </w:tabs>
        <w:bidi w:val="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w:t>
      </w:r>
    </w:p>
    <w:p w14:paraId="004180E5">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4ABA9E30">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1.（标的名称），属于（采购文件中明确的所属行业）；制造商为（企业名称），从业人员  人，营业收入为  万元，资产总额为  万元，属于（中型企业、小型企业、微型企业）；</w:t>
      </w:r>
    </w:p>
    <w:p w14:paraId="0776A3FA">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2. （标的名称），属于（采购文件中明确的所属行业）；制造商为（企业名称），从业人员  人，营业收入为  万元，资产总额为  万元，属于（中型企业、小型企业、微型企业）；</w:t>
      </w:r>
    </w:p>
    <w:p w14:paraId="6A4B72CB">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w:t>
      </w:r>
    </w:p>
    <w:p w14:paraId="5B9A1A38">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以上企业，不属于大企业的分支机构，不存在控股股东为大企业的情形，也不存在与大企业的负责人为同一人的情形。</w:t>
      </w:r>
    </w:p>
    <w:p w14:paraId="3C489B4C">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本企业对上述声明内容的真实性负责。如有虚假，将依法承担相应责任。</w:t>
      </w:r>
    </w:p>
    <w:p w14:paraId="0FBD6E04">
      <w:pPr>
        <w:pStyle w:val="4"/>
        <w:rPr>
          <w:rFonts w:hint="eastAsia" w:ascii="仿宋" w:hAnsi="仿宋" w:eastAsia="仿宋" w:cs="仿宋"/>
          <w:color w:val="auto"/>
          <w:highlight w:val="none"/>
          <w:lang w:eastAsia="zh-CN"/>
        </w:rPr>
      </w:pPr>
    </w:p>
    <w:p w14:paraId="3D14CE3B">
      <w:pPr>
        <w:pStyle w:val="12"/>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 注：1、从业人员、营业收入、资产总额填报上一年度数据，无上一年度数据的新成立企业可不填报。</w:t>
      </w:r>
    </w:p>
    <w:p w14:paraId="016D96F1">
      <w:pPr>
        <w:pStyle w:val="12"/>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2、本项目所属行业为：工业。</w:t>
      </w:r>
    </w:p>
    <w:p w14:paraId="6D9BEC0F">
      <w:pPr>
        <w:widowControl/>
        <w:spacing w:before="100" w:beforeAutospacing="1" w:after="100" w:afterAutospacing="1" w:line="330" w:lineRule="atLeast"/>
        <w:ind w:firstLine="482" w:firstLineChars="200"/>
        <w:jc w:val="left"/>
        <w:rPr>
          <w:rFonts w:hint="eastAsia" w:ascii="仿宋" w:hAnsi="仿宋" w:eastAsia="仿宋" w:cs="仿宋"/>
          <w:b/>
          <w:bCs/>
          <w:color w:val="auto"/>
          <w:kern w:val="0"/>
          <w:sz w:val="24"/>
          <w:highlight w:val="none"/>
          <w:u w:val="none"/>
          <w:lang w:val="en-US" w:eastAsia="zh-CN"/>
        </w:rPr>
      </w:pPr>
    </w:p>
    <w:p w14:paraId="0B228FAD">
      <w:pPr>
        <w:widowControl/>
        <w:spacing w:before="100" w:beforeAutospacing="1" w:after="100" w:afterAutospacing="1" w:line="330" w:lineRule="atLeast"/>
        <w:ind w:firstLine="482" w:firstLineChars="2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u w:val="none"/>
          <w:lang w:val="en-US" w:eastAsia="zh-CN"/>
        </w:rPr>
        <w:t>潜在投标企业属于中小微企业的，请在投标文件中提供“中小企业声明函”，如果未提供，投标企业将承担由此造成的一切不利后果。</w:t>
      </w:r>
    </w:p>
    <w:p w14:paraId="6A5B1878">
      <w:pPr>
        <w:rPr>
          <w:rFonts w:hint="eastAsia" w:ascii="仿宋" w:hAnsi="仿宋" w:eastAsia="仿宋" w:cs="仿宋"/>
          <w:color w:val="auto"/>
          <w:highlight w:val="none"/>
        </w:rPr>
      </w:pPr>
    </w:p>
    <w:p w14:paraId="65FCBE20">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5520" w:firstLineChars="23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企业名称（盖章）：</w:t>
      </w:r>
    </w:p>
    <w:p w14:paraId="32831AE1">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2640" w:firstLineChars="11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日期：</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 </w:t>
      </w:r>
    </w:p>
    <w:p w14:paraId="24C0236F">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p>
    <w:p w14:paraId="0023E633">
      <w:pPr>
        <w:pStyle w:val="4"/>
        <w:rPr>
          <w:rFonts w:hint="eastAsia" w:ascii="仿宋" w:hAnsi="仿宋" w:eastAsia="仿宋" w:cs="仿宋"/>
          <w:color w:val="auto"/>
          <w:highlight w:val="none"/>
          <w:lang w:eastAsia="zh-CN"/>
        </w:rPr>
      </w:pPr>
    </w:p>
    <w:p w14:paraId="5DAB06F0">
      <w:pPr>
        <w:keepNext w:val="0"/>
        <w:keepLines w:val="0"/>
        <w:widowControl/>
        <w:suppressLineNumbers w:val="0"/>
        <w:jc w:val="center"/>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kern w:val="0"/>
          <w:sz w:val="28"/>
          <w:szCs w:val="28"/>
          <w:highlight w:val="none"/>
          <w:lang w:val="en-US" w:eastAsia="zh-CN" w:bidi="ar-SA"/>
        </w:rPr>
        <w:br w:type="page"/>
      </w:r>
      <w:r>
        <w:rPr>
          <w:rFonts w:hint="eastAsia" w:ascii="仿宋" w:hAnsi="仿宋" w:eastAsia="仿宋" w:cs="仿宋"/>
          <w:b/>
          <w:color w:val="auto"/>
          <w:kern w:val="0"/>
          <w:sz w:val="28"/>
          <w:szCs w:val="28"/>
          <w:highlight w:val="none"/>
          <w:lang w:val="en-US" w:eastAsia="zh-CN" w:bidi="ar-SA"/>
        </w:rPr>
        <w:t>制造商企业（单位）类型声明函</w:t>
      </w:r>
    </w:p>
    <w:p w14:paraId="3AE418FC">
      <w:pPr>
        <w:pStyle w:val="12"/>
        <w:widowControl/>
        <w:spacing w:line="420" w:lineRule="atLeast"/>
        <w:ind w:firstLine="960" w:firstLineChars="4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本企业（单位）作为______单位的______ 项目的伴随货物的制造商，参加 </w:t>
      </w:r>
    </w:p>
    <w:p w14:paraId="4B9E012F">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政府采购活动。根据《政府采购促进中小企业发展暂行办法》（财库[2011]181 </w:t>
      </w:r>
    </w:p>
    <w:p w14:paraId="6EA99D31">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号），《工业和信息化部、国家统计局、国家发展和改革委员会、财政部关于印 </w:t>
      </w:r>
    </w:p>
    <w:p w14:paraId="170E4D71">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发中小企业划型标准规定的通知》（工信部联企业[2011]300 号）、《财政部 司 </w:t>
      </w:r>
    </w:p>
    <w:p w14:paraId="72C23CC1">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法部关于政府采购支持监狱企业发展有关问题的通知》（财库〔2014〕68 号） </w:t>
      </w:r>
    </w:p>
    <w:p w14:paraId="113C7093">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以及《关于促进残疾人就业政府采购政策的通知》（财库〔2017〕141 号）的有 </w:t>
      </w:r>
    </w:p>
    <w:p w14:paraId="2C226E38">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关规定，作出如下声明： </w:t>
      </w:r>
    </w:p>
    <w:p w14:paraId="70A3BFE0">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本企业为______（请填写：中型、小型、微型）企业。 </w:t>
      </w:r>
    </w:p>
    <w:p w14:paraId="2F19AB1E">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本企业为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（请填写：是、不是）监狱企业。后附省级以上监狱管理局、戒毒管理局（含新疆生产建设兵团）出具的属于监狱企业的证明文件。 </w:t>
      </w:r>
    </w:p>
    <w:p w14:paraId="58C53A7F">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本单位为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（请填写：是、不是）残疾人福利性单位。 </w:t>
      </w:r>
    </w:p>
    <w:p w14:paraId="61B4DAF8">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本企业（单位）提供企业（单位）制造的货物。 </w:t>
      </w:r>
    </w:p>
    <w:p w14:paraId="17DABD00">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本企业（单位）对上述声明的真实性负责。如有虚假，将依法承担相应责任。 </w:t>
      </w:r>
    </w:p>
    <w:p w14:paraId="3882329B">
      <w:pPr>
        <w:pStyle w:val="12"/>
        <w:widowControl/>
        <w:spacing w:line="420" w:lineRule="atLeas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本声明函经制造商和投标人共同盖章生效。 </w:t>
      </w:r>
    </w:p>
    <w:p w14:paraId="1D7D9606">
      <w:pPr>
        <w:pStyle w:val="12"/>
        <w:widowControl/>
        <w:spacing w:line="420" w:lineRule="atLeast"/>
        <w:ind w:firstLine="3120" w:firstLineChars="1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制造商名称（盖单位章）： </w:t>
      </w:r>
    </w:p>
    <w:p w14:paraId="2293BCE7">
      <w:pPr>
        <w:pStyle w:val="12"/>
        <w:widowControl/>
        <w:spacing w:line="420" w:lineRule="atLeast"/>
        <w:ind w:firstLine="2880" w:firstLineChars="1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投标人名称（盖单位章）： </w:t>
      </w:r>
    </w:p>
    <w:p w14:paraId="2E3D1020">
      <w:pPr>
        <w:pStyle w:val="12"/>
        <w:widowControl/>
        <w:spacing w:line="420" w:lineRule="atLeast"/>
        <w:ind w:firstLine="3360" w:firstLineChars="14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日 期：</w:t>
      </w:r>
    </w:p>
    <w:p w14:paraId="6C96F5D9">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highlight w:val="none"/>
          <w:lang w:val="en-US" w:eastAsia="zh-CN"/>
        </w:rPr>
        <w:br w:type="page"/>
      </w:r>
      <w:r>
        <w:rPr>
          <w:rStyle w:val="22"/>
          <w:rFonts w:hint="eastAsia" w:ascii="仿宋" w:hAnsi="仿宋" w:eastAsia="仿宋" w:cs="仿宋"/>
          <w:color w:val="auto"/>
          <w:highlight w:val="none"/>
        </w:rPr>
        <w:t>附件1：</w:t>
      </w:r>
    </w:p>
    <w:p w14:paraId="118DD655">
      <w:pPr>
        <w:pStyle w:val="12"/>
        <w:widowControl/>
        <w:spacing w:line="420" w:lineRule="atLeast"/>
        <w:ind w:firstLine="420"/>
        <w:jc w:val="center"/>
        <w:rPr>
          <w:rFonts w:hint="eastAsia" w:ascii="仿宋" w:hAnsi="仿宋" w:eastAsia="仿宋" w:cs="仿宋"/>
          <w:color w:val="auto"/>
          <w:sz w:val="27"/>
          <w:szCs w:val="27"/>
          <w:highlight w:val="none"/>
        </w:rPr>
      </w:pPr>
      <w:r>
        <w:rPr>
          <w:rFonts w:hint="eastAsia" w:ascii="仿宋" w:hAnsi="仿宋" w:eastAsia="仿宋" w:cs="仿宋"/>
          <w:color w:val="auto"/>
          <w:highlight w:val="none"/>
        </w:rPr>
        <w:t>中小企业划型标准规定</w:t>
      </w:r>
    </w:p>
    <w:p w14:paraId="699A10D5">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一、根据《中华人民共和国中小企业促进法》和《国务院关于进一步促进中小企业发展的若干意见》(（国发〔2009〕[2009]36号)，制定本规定。</w:t>
      </w:r>
    </w:p>
    <w:p w14:paraId="67189C26">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二、中小企业划分为中型、小型、微型三种类型，具体标准根据企业从业人员、营业收入、资产总额等指标，结合行业特点制定。</w:t>
      </w:r>
    </w:p>
    <w:p w14:paraId="25476BF5">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41611C">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四、各行业划型标准为：</w:t>
      </w:r>
    </w:p>
    <w:p w14:paraId="18360DF1">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（一）农、林、牧、渔业。营业收入20000万元以下的为中小微型企业。其中，营业收入500万元及以上的为中型企业，营业收入50万元及以上的为小型企业，营业收入50万元以下的为微型企业。</w:t>
      </w:r>
    </w:p>
    <w:p w14:paraId="07831021">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9A8121F">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3D0827B">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80FCD8">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2318DB3">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AA33285">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54A6F5">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812E0F1">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53B1ED">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71D0F7">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BEB449">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4C6B889">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B81BA3C">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35C525">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59FC73">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（十六）其他未列明行业。从业人员300人以下的为中小微型企业。其中，从业人员100人及以上的为中型企业；从业人员10人及以上的为小型企业；从业人员10人以下的为微型企业。</w:t>
      </w:r>
    </w:p>
    <w:p w14:paraId="7259AEF1">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五、企业类型的划分以统计部门的统计数据为依据。</w:t>
      </w:r>
    </w:p>
    <w:p w14:paraId="7929052D">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六、本规定适用于在中华人民共和国境内依法设立的各类所有制和各种组织形式的企业。个体工商户和本规定以外的行业，参照本规定进行划型。</w:t>
      </w:r>
    </w:p>
    <w:p w14:paraId="34619E02">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0F7BB5A">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八、本规定由工业和信息化部、国家统计局会同有关部门根据《国民经济行业分类》修订情况和企业发展变化情况适时修订。</w:t>
      </w:r>
    </w:p>
    <w:p w14:paraId="0E23FC3A">
      <w:pPr>
        <w:pStyle w:val="12"/>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九、本规定由工业和信息化部、国家统计局会同有关部门负责解释。</w:t>
      </w:r>
    </w:p>
    <w:p w14:paraId="03C9174E">
      <w:pPr>
        <w:pStyle w:val="4"/>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十、本规定自发布之日起执行，原国家经贸委、原国家计委、财政部和国家统计局2003年颁布的《中小企业标准暂行规定》同时废止。</w:t>
      </w:r>
    </w:p>
    <w:p w14:paraId="29374F56">
      <w:pPr>
        <w:rPr>
          <w:rFonts w:hint="eastAsia" w:ascii="仿宋" w:hAnsi="仿宋" w:eastAsia="仿宋" w:cs="仿宋"/>
          <w:color w:val="auto"/>
          <w:sz w:val="27"/>
          <w:szCs w:val="27"/>
          <w:highlight w:val="none"/>
        </w:rPr>
      </w:pPr>
    </w:p>
    <w:p w14:paraId="4806C712">
      <w:pPr>
        <w:pStyle w:val="4"/>
        <w:rPr>
          <w:rFonts w:hint="eastAsia" w:ascii="仿宋" w:hAnsi="仿宋" w:eastAsia="仿宋" w:cs="仿宋"/>
          <w:color w:val="auto"/>
          <w:sz w:val="27"/>
          <w:szCs w:val="27"/>
          <w:highlight w:val="none"/>
        </w:rPr>
      </w:pPr>
    </w:p>
    <w:p w14:paraId="541FE6DB">
      <w:pPr>
        <w:pStyle w:val="4"/>
        <w:rPr>
          <w:rFonts w:hint="eastAsia" w:ascii="仿宋" w:hAnsi="仿宋" w:eastAsia="仿宋" w:cs="仿宋"/>
          <w:color w:val="auto"/>
          <w:sz w:val="27"/>
          <w:szCs w:val="27"/>
          <w:highlight w:val="none"/>
        </w:rPr>
      </w:pPr>
    </w:p>
    <w:p w14:paraId="4E28DF8A">
      <w:pPr>
        <w:pStyle w:val="4"/>
        <w:rPr>
          <w:rFonts w:hint="eastAsia" w:ascii="仿宋" w:hAnsi="仿宋" w:eastAsia="仿宋" w:cs="仿宋"/>
          <w:color w:val="auto"/>
          <w:sz w:val="27"/>
          <w:szCs w:val="27"/>
          <w:highlight w:val="none"/>
        </w:rPr>
      </w:pPr>
    </w:p>
    <w:p w14:paraId="721333D1">
      <w:pPr>
        <w:pStyle w:val="4"/>
        <w:rPr>
          <w:rFonts w:hint="eastAsia" w:ascii="仿宋" w:hAnsi="仿宋" w:eastAsia="仿宋" w:cs="仿宋"/>
          <w:color w:val="auto"/>
          <w:sz w:val="27"/>
          <w:szCs w:val="27"/>
          <w:highlight w:val="none"/>
        </w:rPr>
      </w:pPr>
    </w:p>
    <w:p w14:paraId="3F8B2CE1">
      <w:pPr>
        <w:pStyle w:val="4"/>
        <w:rPr>
          <w:rFonts w:hint="eastAsia" w:ascii="仿宋" w:hAnsi="仿宋" w:eastAsia="仿宋" w:cs="仿宋"/>
          <w:color w:val="auto"/>
          <w:sz w:val="27"/>
          <w:szCs w:val="27"/>
          <w:highlight w:val="none"/>
        </w:rPr>
      </w:pPr>
    </w:p>
    <w:p w14:paraId="33517B41">
      <w:pPr>
        <w:pStyle w:val="4"/>
        <w:rPr>
          <w:rFonts w:hint="eastAsia" w:ascii="仿宋" w:hAnsi="仿宋" w:eastAsia="仿宋" w:cs="仿宋"/>
          <w:color w:val="auto"/>
          <w:sz w:val="27"/>
          <w:szCs w:val="27"/>
          <w:highlight w:val="none"/>
        </w:rPr>
      </w:pPr>
    </w:p>
    <w:p w14:paraId="497E9D86">
      <w:pPr>
        <w:rPr>
          <w:rFonts w:hint="eastAsia" w:ascii="仿宋" w:hAnsi="仿宋" w:eastAsia="仿宋" w:cs="仿宋"/>
          <w:color w:val="auto"/>
          <w:sz w:val="27"/>
          <w:szCs w:val="27"/>
          <w:highlight w:val="none"/>
        </w:rPr>
      </w:pPr>
    </w:p>
    <w:p w14:paraId="74D8322A">
      <w:pPr>
        <w:pStyle w:val="18"/>
        <w:ind w:firstLine="540"/>
        <w:rPr>
          <w:rFonts w:hint="eastAsia" w:ascii="仿宋" w:hAnsi="仿宋" w:eastAsia="仿宋" w:cs="仿宋"/>
          <w:color w:val="auto"/>
          <w:sz w:val="27"/>
          <w:szCs w:val="27"/>
          <w:highlight w:val="none"/>
        </w:rPr>
      </w:pPr>
    </w:p>
    <w:p w14:paraId="50C3267B">
      <w:pPr>
        <w:pStyle w:val="18"/>
        <w:ind w:firstLine="540"/>
        <w:rPr>
          <w:rFonts w:hint="eastAsia" w:ascii="仿宋" w:hAnsi="仿宋" w:eastAsia="仿宋" w:cs="仿宋"/>
          <w:color w:val="auto"/>
          <w:sz w:val="27"/>
          <w:szCs w:val="27"/>
          <w:highlight w:val="none"/>
        </w:rPr>
      </w:pPr>
    </w:p>
    <w:p w14:paraId="61FBFA92">
      <w:pPr>
        <w:pStyle w:val="18"/>
        <w:ind w:firstLine="540"/>
        <w:rPr>
          <w:rFonts w:hint="eastAsia" w:ascii="仿宋" w:hAnsi="仿宋" w:eastAsia="仿宋" w:cs="仿宋"/>
          <w:color w:val="auto"/>
          <w:sz w:val="27"/>
          <w:szCs w:val="27"/>
          <w:highlight w:val="none"/>
        </w:rPr>
      </w:pPr>
    </w:p>
    <w:p w14:paraId="01BCA38E">
      <w:pPr>
        <w:pStyle w:val="4"/>
        <w:rPr>
          <w:rFonts w:hint="eastAsia" w:ascii="仿宋" w:hAnsi="仿宋" w:eastAsia="仿宋" w:cs="仿宋"/>
          <w:color w:val="auto"/>
          <w:sz w:val="27"/>
          <w:szCs w:val="27"/>
          <w:highlight w:val="none"/>
        </w:rPr>
      </w:pPr>
    </w:p>
    <w:p w14:paraId="38283C45">
      <w:pPr>
        <w:pStyle w:val="3"/>
        <w:spacing w:before="0" w:line="240" w:lineRule="atLeast"/>
        <w:jc w:val="center"/>
        <w:rPr>
          <w:rFonts w:hint="eastAsia" w:ascii="仿宋" w:hAnsi="仿宋" w:eastAsia="仿宋" w:cs="仿宋"/>
          <w:color w:val="auto"/>
          <w:sz w:val="28"/>
          <w:szCs w:val="28"/>
          <w:highlight w:val="none"/>
        </w:rPr>
      </w:pPr>
      <w:bookmarkStart w:id="473" w:name="_Toc31463"/>
      <w:bookmarkStart w:id="474" w:name="_Toc23598"/>
      <w:bookmarkStart w:id="475" w:name="_Toc25667"/>
      <w:bookmarkStart w:id="476" w:name="_Toc515647825"/>
      <w:bookmarkStart w:id="477" w:name="_Toc23068"/>
      <w:bookmarkStart w:id="478" w:name="_Toc9518"/>
      <w:bookmarkStart w:id="479" w:name="_Toc19284"/>
      <w:bookmarkStart w:id="480" w:name="_Toc24603"/>
      <w:bookmarkStart w:id="481" w:name="OLE_LINK13"/>
      <w:bookmarkStart w:id="482" w:name="OLE_LINK14"/>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残疾人福利性单位声明函（投标文件格式十一）</w:t>
      </w:r>
      <w:bookmarkEnd w:id="473"/>
      <w:bookmarkEnd w:id="474"/>
      <w:bookmarkEnd w:id="475"/>
      <w:bookmarkEnd w:id="476"/>
      <w:bookmarkEnd w:id="477"/>
      <w:bookmarkEnd w:id="478"/>
      <w:bookmarkEnd w:id="479"/>
      <w:bookmarkEnd w:id="480"/>
    </w:p>
    <w:bookmarkEnd w:id="481"/>
    <w:bookmarkEnd w:id="482"/>
    <w:p w14:paraId="63722B22">
      <w:pPr>
        <w:spacing w:line="240" w:lineRule="atLeast"/>
        <w:ind w:left="1080" w:leftChars="257" w:hanging="540"/>
        <w:jc w:val="center"/>
        <w:rPr>
          <w:rFonts w:hint="eastAsia" w:ascii="仿宋" w:hAnsi="仿宋" w:eastAsia="仿宋" w:cs="仿宋"/>
          <w:color w:val="auto"/>
          <w:kern w:val="0"/>
          <w:sz w:val="28"/>
          <w:szCs w:val="28"/>
          <w:highlight w:val="none"/>
        </w:rPr>
      </w:pPr>
    </w:p>
    <w:p w14:paraId="40000D6A">
      <w:pPr>
        <w:pStyle w:val="12"/>
        <w:widowControl/>
        <w:spacing w:before="0" w:beforeAutospacing="0" w:after="0" w:afterAutospacing="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（仅适用于残疾人福利性单位）</w:t>
      </w:r>
    </w:p>
    <w:p w14:paraId="6E701ED7">
      <w:pPr>
        <w:pStyle w:val="12"/>
        <w:widowControl/>
        <w:spacing w:before="0" w:beforeAutospacing="0" w:after="0" w:afterAutospacing="0"/>
        <w:rPr>
          <w:rFonts w:hint="eastAsia" w:ascii="仿宋" w:hAnsi="仿宋" w:eastAsia="仿宋" w:cs="仿宋"/>
          <w:color w:val="auto"/>
          <w:sz w:val="28"/>
          <w:szCs w:val="28"/>
          <w:highlight w:val="none"/>
        </w:rPr>
      </w:pPr>
    </w:p>
    <w:p w14:paraId="47521042">
      <w:pPr>
        <w:spacing w:line="240" w:lineRule="atLeast"/>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03B47DE">
      <w:pPr>
        <w:spacing w:line="240" w:lineRule="atLeast"/>
        <w:ind w:left="1080" w:leftChars="257" w:hanging="54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本单位对上述声明的真实性负责。如有虚假，将依法承担相应责任。</w:t>
      </w:r>
    </w:p>
    <w:p w14:paraId="72258405">
      <w:pPr>
        <w:spacing w:line="240" w:lineRule="atLeast"/>
        <w:ind w:left="1080" w:leftChars="257" w:hanging="540"/>
        <w:jc w:val="center"/>
        <w:rPr>
          <w:rFonts w:hint="eastAsia" w:ascii="仿宋" w:hAnsi="仿宋" w:eastAsia="仿宋" w:cs="仿宋"/>
          <w:color w:val="auto"/>
          <w:kern w:val="0"/>
          <w:sz w:val="28"/>
          <w:szCs w:val="28"/>
          <w:highlight w:val="none"/>
        </w:rPr>
      </w:pPr>
    </w:p>
    <w:p w14:paraId="7E8815C1">
      <w:pPr>
        <w:spacing w:line="240" w:lineRule="atLeast"/>
        <w:ind w:left="1080" w:leftChars="257" w:hanging="540"/>
        <w:jc w:val="center"/>
        <w:rPr>
          <w:rFonts w:hint="eastAsia" w:ascii="仿宋" w:hAnsi="仿宋" w:eastAsia="仿宋" w:cs="仿宋"/>
          <w:color w:val="auto"/>
          <w:kern w:val="0"/>
          <w:sz w:val="28"/>
          <w:szCs w:val="28"/>
          <w:highlight w:val="none"/>
        </w:rPr>
      </w:pPr>
    </w:p>
    <w:p w14:paraId="2C7AE2EA">
      <w:pPr>
        <w:spacing w:line="240" w:lineRule="atLeast"/>
        <w:ind w:left="1080" w:leftChars="257" w:hanging="54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残疾人福利性单位名称（盖单位章）：______________</w:t>
      </w:r>
    </w:p>
    <w:p w14:paraId="0F7256E2">
      <w:pPr>
        <w:spacing w:line="240" w:lineRule="atLeast"/>
        <w:ind w:left="1080" w:leftChars="257" w:hanging="54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p w14:paraId="2BEC5AD9">
      <w:pPr>
        <w:spacing w:line="240" w:lineRule="atLeast"/>
        <w:ind w:left="1080" w:leftChars="257" w:hanging="54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  期：</w:t>
      </w:r>
    </w:p>
    <w:p w14:paraId="14A0111C">
      <w:pPr>
        <w:spacing w:line="240" w:lineRule="atLeast"/>
        <w:ind w:left="1080" w:leftChars="257" w:hanging="540"/>
        <w:jc w:val="center"/>
        <w:rPr>
          <w:rFonts w:hint="eastAsia" w:ascii="仿宋" w:hAnsi="仿宋" w:eastAsia="仿宋" w:cs="仿宋"/>
          <w:b/>
          <w:color w:val="auto"/>
          <w:kern w:val="0"/>
          <w:sz w:val="28"/>
          <w:szCs w:val="28"/>
          <w:highlight w:val="none"/>
        </w:rPr>
      </w:pPr>
    </w:p>
    <w:p w14:paraId="0FC8944A">
      <w:pPr>
        <w:spacing w:line="240" w:lineRule="atLeast"/>
        <w:ind w:left="1080" w:leftChars="257" w:hanging="540"/>
        <w:jc w:val="center"/>
        <w:rPr>
          <w:rFonts w:hint="eastAsia" w:ascii="仿宋" w:hAnsi="仿宋" w:eastAsia="仿宋" w:cs="仿宋"/>
          <w:b/>
          <w:color w:val="auto"/>
          <w:kern w:val="0"/>
          <w:sz w:val="28"/>
          <w:szCs w:val="28"/>
          <w:highlight w:val="none"/>
        </w:rPr>
      </w:pPr>
    </w:p>
    <w:p w14:paraId="5BB31CF2">
      <w:pPr>
        <w:pStyle w:val="4"/>
        <w:rPr>
          <w:rFonts w:hint="eastAsia" w:ascii="仿宋" w:hAnsi="仿宋" w:eastAsia="仿宋" w:cs="仿宋"/>
          <w:b/>
          <w:color w:val="auto"/>
          <w:sz w:val="28"/>
          <w:szCs w:val="28"/>
          <w:highlight w:val="none"/>
        </w:rPr>
      </w:pPr>
    </w:p>
    <w:p w14:paraId="0A6A9F90">
      <w:pPr>
        <w:pStyle w:val="3"/>
        <w:spacing w:before="0" w:line="240" w:lineRule="atLeast"/>
        <w:ind w:left="1080" w:leftChars="257" w:hanging="540"/>
        <w:rPr>
          <w:rFonts w:hint="eastAsia" w:ascii="仿宋" w:hAnsi="仿宋" w:eastAsia="仿宋" w:cs="仿宋"/>
          <w:color w:val="auto"/>
          <w:sz w:val="28"/>
          <w:szCs w:val="28"/>
          <w:highlight w:val="none"/>
        </w:rPr>
      </w:pPr>
      <w:bookmarkStart w:id="483" w:name="_Toc3285"/>
      <w:bookmarkStart w:id="484" w:name="_Toc6238"/>
      <w:bookmarkStart w:id="485" w:name="_Toc1624"/>
      <w:bookmarkStart w:id="486" w:name="_Toc518923122"/>
      <w:bookmarkStart w:id="487" w:name="_Toc1904"/>
      <w:bookmarkStart w:id="488" w:name="_Toc11534"/>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 xml:space="preserve">   投标人关联单位的说明</w:t>
      </w:r>
      <w:bookmarkEnd w:id="483"/>
      <w:bookmarkEnd w:id="484"/>
      <w:bookmarkEnd w:id="485"/>
      <w:bookmarkEnd w:id="486"/>
      <w:bookmarkEnd w:id="487"/>
      <w:bookmarkEnd w:id="488"/>
    </w:p>
    <w:p w14:paraId="76BA08D9">
      <w:pPr>
        <w:pStyle w:val="4"/>
        <w:ind w:firstLine="560" w:firstLineChars="200"/>
        <w:rPr>
          <w:rFonts w:hint="eastAsia" w:ascii="仿宋" w:hAnsi="仿宋" w:eastAsia="仿宋" w:cs="仿宋"/>
          <w:color w:val="auto"/>
          <w:sz w:val="28"/>
          <w:szCs w:val="28"/>
          <w:highlight w:val="none"/>
        </w:rPr>
      </w:pPr>
    </w:p>
    <w:p w14:paraId="5FCAA40E">
      <w:pPr>
        <w:pStyle w:val="4"/>
        <w:ind w:firstLine="560" w:firstLineChars="200"/>
        <w:rPr>
          <w:rFonts w:hint="eastAsia" w:ascii="仿宋" w:hAnsi="仿宋" w:eastAsia="仿宋" w:cs="仿宋"/>
          <w:color w:val="auto"/>
          <w:sz w:val="28"/>
          <w:szCs w:val="28"/>
          <w:highlight w:val="none"/>
        </w:rPr>
      </w:pPr>
    </w:p>
    <w:p w14:paraId="1B908E27">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说明：投标人应当如实披露与本单位存在下列关联关系的单位名称：</w:t>
      </w:r>
    </w:p>
    <w:p w14:paraId="19D1ED30">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（1）与投标人单位负责人为同一人的其他单位；</w:t>
      </w:r>
    </w:p>
    <w:p w14:paraId="58BA7370">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（2）与投标人存在直接控股、管理关系的其他单位。</w:t>
      </w:r>
    </w:p>
    <w:p w14:paraId="76D462ED">
      <w:pPr>
        <w:pStyle w:val="4"/>
        <w:jc w:val="center"/>
        <w:rPr>
          <w:rFonts w:hint="eastAsia" w:ascii="仿宋" w:hAnsi="仿宋" w:eastAsia="仿宋" w:cs="仿宋"/>
          <w:color w:val="auto"/>
          <w:sz w:val="28"/>
          <w:szCs w:val="28"/>
          <w:highlight w:val="none"/>
        </w:rPr>
      </w:pPr>
    </w:p>
    <w:p w14:paraId="5F63F957">
      <w:pPr>
        <w:rPr>
          <w:rFonts w:hint="eastAsia" w:ascii="仿宋" w:hAnsi="仿宋" w:eastAsia="仿宋" w:cs="仿宋"/>
          <w:color w:val="auto"/>
          <w:sz w:val="28"/>
          <w:szCs w:val="28"/>
          <w:highlight w:val="none"/>
        </w:rPr>
      </w:pPr>
    </w:p>
    <w:p w14:paraId="79CA90EB">
      <w:pPr>
        <w:rPr>
          <w:rFonts w:hint="eastAsia" w:ascii="仿宋" w:hAnsi="仿宋" w:eastAsia="仿宋" w:cs="仿宋"/>
          <w:color w:val="auto"/>
          <w:sz w:val="28"/>
          <w:szCs w:val="28"/>
          <w:highlight w:val="none"/>
        </w:rPr>
      </w:pPr>
    </w:p>
    <w:p w14:paraId="7EC75126">
      <w:pPr>
        <w:rPr>
          <w:rFonts w:hint="eastAsia" w:ascii="仿宋" w:hAnsi="仿宋" w:eastAsia="仿宋" w:cs="仿宋"/>
          <w:color w:val="auto"/>
          <w:sz w:val="28"/>
          <w:szCs w:val="28"/>
          <w:highlight w:val="none"/>
        </w:rPr>
      </w:pPr>
    </w:p>
    <w:p w14:paraId="19215B11">
      <w:pPr>
        <w:rPr>
          <w:rFonts w:hint="eastAsia" w:ascii="仿宋" w:hAnsi="仿宋" w:eastAsia="仿宋" w:cs="仿宋"/>
          <w:color w:val="auto"/>
          <w:sz w:val="28"/>
          <w:szCs w:val="28"/>
          <w:highlight w:val="none"/>
        </w:rPr>
      </w:pPr>
    </w:p>
    <w:p w14:paraId="32276711">
      <w:pPr>
        <w:pStyle w:val="3"/>
        <w:spacing w:before="0" w:line="240" w:lineRule="atLeast"/>
        <w:ind w:left="1080" w:leftChars="257" w:hanging="540"/>
        <w:rPr>
          <w:rFonts w:hint="eastAsia" w:ascii="仿宋" w:hAnsi="仿宋" w:eastAsia="仿宋" w:cs="仿宋"/>
          <w:color w:val="auto"/>
          <w:sz w:val="28"/>
          <w:szCs w:val="28"/>
          <w:highlight w:val="none"/>
        </w:rPr>
      </w:pPr>
      <w:bookmarkStart w:id="489" w:name="_Toc4090"/>
      <w:bookmarkStart w:id="490" w:name="_Toc13988"/>
      <w:bookmarkStart w:id="491" w:name="_Toc1839"/>
      <w:bookmarkStart w:id="492" w:name="_Toc12631"/>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 xml:space="preserve"> </w:t>
      </w:r>
      <w:bookmarkEnd w:id="489"/>
      <w:bookmarkEnd w:id="490"/>
      <w:bookmarkEnd w:id="491"/>
      <w:bookmarkStart w:id="493" w:name="_Toc16697"/>
      <w:bookmarkStart w:id="494" w:name="_Toc4304"/>
      <w:bookmarkStart w:id="495" w:name="_Toc4403"/>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申  明  函</w:t>
      </w:r>
      <w:bookmarkEnd w:id="492"/>
      <w:bookmarkEnd w:id="493"/>
      <w:bookmarkEnd w:id="494"/>
      <w:bookmarkEnd w:id="495"/>
    </w:p>
    <w:p w14:paraId="1A580530">
      <w:pPr>
        <w:pStyle w:val="12"/>
        <w:widowControl/>
        <w:spacing w:before="0" w:beforeAutospacing="0" w:after="0" w:afterAutospacing="0"/>
        <w:rPr>
          <w:rFonts w:hint="eastAsia" w:ascii="仿宋" w:hAnsi="仿宋" w:eastAsia="仿宋" w:cs="仿宋"/>
          <w:color w:val="auto"/>
          <w:sz w:val="28"/>
          <w:szCs w:val="28"/>
          <w:highlight w:val="none"/>
        </w:rPr>
      </w:pPr>
    </w:p>
    <w:p w14:paraId="40A4F792">
      <w:pPr>
        <w:pStyle w:val="12"/>
        <w:widowControl/>
        <w:spacing w:before="0" w:beforeAutospacing="0" w:after="0" w:afterAutospacing="0"/>
        <w:rPr>
          <w:rFonts w:hint="eastAsia" w:ascii="仿宋" w:hAnsi="仿宋" w:eastAsia="仿宋" w:cs="仿宋"/>
          <w:color w:val="auto"/>
          <w:sz w:val="28"/>
          <w:szCs w:val="28"/>
          <w:highlight w:val="none"/>
        </w:rPr>
      </w:pPr>
    </w:p>
    <w:p w14:paraId="74C66B00">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本公司郑重声明，根据《企业信息公示暂行条例》（国务院令第654号）、《财政部关于在政府采购活动中查询及使用信用记录有关问题的通知》（财库【2016】125号）的要求，本公司作出以下声明。</w:t>
      </w:r>
    </w:p>
    <w:p w14:paraId="57CED47B">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本公司未被列入经营异常名录或严重违法企业的名单、失信被执行人、重大税收违法案件当事人名单、政府采购严重违法失信行为记录名单。</w:t>
      </w:r>
    </w:p>
    <w:p w14:paraId="2A18E84F">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14:paraId="310044F5">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21E362A2">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48867EC5">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523472AD">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4492BEB1">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3DC89740">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4AD35DCD">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4F1C5A54">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1FCFC2CF">
      <w:pPr>
        <w:pStyle w:val="3"/>
        <w:spacing w:before="0" w:line="240" w:lineRule="atLeast"/>
        <w:ind w:left="1080" w:leftChars="257" w:hanging="540"/>
        <w:rPr>
          <w:rFonts w:hint="eastAsia" w:ascii="仿宋" w:hAnsi="仿宋" w:eastAsia="仿宋" w:cs="仿宋"/>
          <w:color w:val="auto"/>
          <w:sz w:val="28"/>
          <w:szCs w:val="28"/>
          <w:highlight w:val="none"/>
        </w:rPr>
      </w:pPr>
      <w:bookmarkStart w:id="496" w:name="_Toc27857"/>
      <w:bookmarkStart w:id="497" w:name="_Toc13302"/>
      <w:bookmarkStart w:id="498" w:name="_Toc8691"/>
      <w:bookmarkStart w:id="499" w:name="_Toc26763"/>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 xml:space="preserve">   自觉抵制招标领域商业贿赂行为承诺书</w:t>
      </w:r>
      <w:bookmarkEnd w:id="496"/>
      <w:bookmarkEnd w:id="497"/>
      <w:bookmarkEnd w:id="498"/>
      <w:bookmarkEnd w:id="499"/>
    </w:p>
    <w:p w14:paraId="4D640731">
      <w:pPr>
        <w:pStyle w:val="12"/>
        <w:widowControl/>
        <w:spacing w:before="0" w:beforeAutospacing="0" w:after="0" w:afterAutospacing="0"/>
        <w:rPr>
          <w:rFonts w:hint="eastAsia" w:ascii="仿宋" w:hAnsi="仿宋" w:eastAsia="仿宋" w:cs="仿宋"/>
          <w:color w:val="auto"/>
          <w:sz w:val="28"/>
          <w:szCs w:val="28"/>
          <w:highlight w:val="none"/>
        </w:rPr>
      </w:pPr>
    </w:p>
    <w:p w14:paraId="0D077219">
      <w:pPr>
        <w:pStyle w:val="12"/>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（招标人名称）：</w:t>
      </w:r>
    </w:p>
    <w:p w14:paraId="365A397D">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14:paraId="25907FCD">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14:paraId="5DF74559">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二、不向采购人、招标公司和评审专家提供任何形式的商业贿赂；对索取或接受商业贿赂的单位和个人，及时向主管部门和纪检监察机关举报。</w:t>
      </w:r>
    </w:p>
    <w:p w14:paraId="5D74BD8B">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三、不以提供虚假资质文件等形式参与招标活动，不以虚假材料谋取中标。四、不采取不正当手段诋毁、排挤其他投标人，与其他参与招标活动投标人保持良性的竞争关系。</w:t>
      </w:r>
    </w:p>
    <w:p w14:paraId="7EE04386">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五、不与采购人、招标公司和评审专家恶意串通，自觉维护招标公平竞争的市场秩序。</w:t>
      </w:r>
    </w:p>
    <w:p w14:paraId="11EE14E4">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六、不与其他投标人串通采取围标、陪标等商业欺诈手段谋取中标，积极维护国家利益、社会公共利益和采购人的合法权益。</w:t>
      </w:r>
    </w:p>
    <w:p w14:paraId="2921E75C">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七、严格履行招标合同约定义务，不在招标合同执行过程中采取降低质量或标准、减少数量、拖延交付时间等方式损害采购人的利益，并自觉承担违约责任。</w:t>
      </w:r>
    </w:p>
    <w:p w14:paraId="1B5B3A0F">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八、自觉接受并积极配合主管部门和纪检监察机关依法实施的监督检查，如实反映情况，及时提供有关证明材料。</w:t>
      </w:r>
    </w:p>
    <w:p w14:paraId="06B8AFBC">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259E315C">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3EC647E3">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2DE85E67">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1449FBF1">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7E59351A">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CC399B6">
      <w:pPr>
        <w:pStyle w:val="3"/>
        <w:spacing w:before="0" w:line="240" w:lineRule="atLeast"/>
        <w:ind w:left="1080" w:leftChars="257" w:hanging="540"/>
        <w:rPr>
          <w:rFonts w:hint="eastAsia" w:ascii="仿宋" w:hAnsi="仿宋" w:eastAsia="仿宋" w:cs="仿宋"/>
          <w:color w:val="auto"/>
          <w:sz w:val="28"/>
          <w:szCs w:val="28"/>
          <w:highlight w:val="none"/>
        </w:rPr>
      </w:pPr>
      <w:bookmarkStart w:id="500" w:name="_Toc21303"/>
      <w:bookmarkStart w:id="501" w:name="_Toc17347"/>
      <w:bookmarkStart w:id="502" w:name="_Toc19859"/>
      <w:r>
        <w:rPr>
          <w:rFonts w:hint="eastAsia" w:ascii="仿宋" w:hAnsi="仿宋" w:eastAsia="仿宋" w:cs="仿宋"/>
          <w:color w:val="auto"/>
          <w:sz w:val="28"/>
          <w:szCs w:val="28"/>
          <w:highlight w:val="none"/>
        </w:rPr>
        <w:br w:type="page"/>
      </w:r>
      <w:bookmarkStart w:id="503" w:name="_Toc15461"/>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   投标人没有被限制或取消投标资格的承诺函</w:t>
      </w:r>
      <w:bookmarkEnd w:id="500"/>
      <w:bookmarkEnd w:id="501"/>
      <w:bookmarkEnd w:id="502"/>
      <w:bookmarkEnd w:id="503"/>
    </w:p>
    <w:p w14:paraId="61AA1825">
      <w:pPr>
        <w:pStyle w:val="12"/>
        <w:widowControl/>
        <w:spacing w:before="0" w:beforeAutospacing="0" w:after="0" w:afterAutospacing="0"/>
        <w:rPr>
          <w:rFonts w:hint="eastAsia" w:ascii="仿宋" w:hAnsi="仿宋" w:eastAsia="仿宋" w:cs="仿宋"/>
          <w:color w:val="auto"/>
          <w:sz w:val="28"/>
          <w:szCs w:val="28"/>
          <w:highlight w:val="none"/>
        </w:rPr>
      </w:pPr>
    </w:p>
    <w:p w14:paraId="1EA2C375">
      <w:pPr>
        <w:pStyle w:val="12"/>
        <w:widowControl/>
        <w:spacing w:before="0" w:beforeAutospacing="0" w:after="0" w:afterAutospacing="0"/>
        <w:rPr>
          <w:rFonts w:hint="eastAsia" w:ascii="仿宋" w:hAnsi="仿宋" w:eastAsia="仿宋" w:cs="仿宋"/>
          <w:color w:val="auto"/>
          <w:sz w:val="28"/>
          <w:szCs w:val="28"/>
          <w:highlight w:val="none"/>
        </w:rPr>
      </w:pPr>
    </w:p>
    <w:p w14:paraId="34FDD2CC">
      <w:pPr>
        <w:pStyle w:val="12"/>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致：（采购人名称）</w:t>
      </w:r>
    </w:p>
    <w:p w14:paraId="0EF02FC8">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（投标人名称）</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u w:val="single"/>
        </w:rPr>
        <w:t xml:space="preserve"> （项目名称、项目编号）</w:t>
      </w:r>
      <w:r>
        <w:rPr>
          <w:rFonts w:hint="eastAsia" w:ascii="仿宋" w:hAnsi="仿宋" w:eastAsia="仿宋" w:cs="仿宋"/>
          <w:color w:val="auto"/>
          <w:sz w:val="28"/>
          <w:szCs w:val="28"/>
          <w:highlight w:val="none"/>
        </w:rPr>
        <w:t>（以下简称“本项目”）的投标人在此郑重承诺∶</w:t>
      </w:r>
    </w:p>
    <w:p w14:paraId="3C943B20">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承诺我方没有违反现行法律、法规及有关规定而被限制投标情形或者没有被有关行政监督部门限制或取消投标资格情形；否则，仍然投标的行为将纳入政府采购诚信评价予以扣分；若中标也自愿接受取消中标资格的处罚。</w:t>
      </w:r>
    </w:p>
    <w:p w14:paraId="201257F6">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29AFFD2B">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675A2809">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14:paraId="7602F468">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6763710A">
      <w:pPr>
        <w:pStyle w:val="12"/>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071A6209">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0EA4E544">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68B233B4">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5207DDE8">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3422D3E5">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175F75E9">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3FC1E60A">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1686551F">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315E4014">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3EE13DCE">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0A3472EB">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69CB9358">
      <w:pPr>
        <w:pStyle w:val="12"/>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25714E93">
      <w:pPr>
        <w:pStyle w:val="12"/>
        <w:widowControl/>
        <w:spacing w:before="0" w:beforeAutospacing="0" w:after="0" w:afterAutospacing="0"/>
        <w:rPr>
          <w:rFonts w:hint="eastAsia" w:ascii="仿宋" w:hAnsi="仿宋" w:eastAsia="仿宋" w:cs="仿宋"/>
          <w:color w:val="auto"/>
          <w:sz w:val="28"/>
          <w:szCs w:val="28"/>
          <w:highlight w:val="none"/>
        </w:rPr>
      </w:pPr>
    </w:p>
    <w:p w14:paraId="4BF23EEC">
      <w:pPr>
        <w:pStyle w:val="12"/>
        <w:widowControl/>
        <w:spacing w:before="0" w:beforeAutospacing="0" w:after="0" w:afterAutospacing="0"/>
        <w:rPr>
          <w:rFonts w:hint="eastAsia" w:ascii="仿宋" w:hAnsi="仿宋" w:eastAsia="仿宋" w:cs="仿宋"/>
          <w:color w:val="auto"/>
          <w:sz w:val="28"/>
          <w:szCs w:val="28"/>
          <w:highlight w:val="none"/>
        </w:rPr>
      </w:pPr>
    </w:p>
    <w:p w14:paraId="3F3C4CDF">
      <w:pPr>
        <w:pStyle w:val="12"/>
        <w:widowControl/>
        <w:spacing w:before="0" w:beforeAutospacing="0" w:after="0" w:afterAutospacing="0"/>
        <w:rPr>
          <w:rFonts w:hint="eastAsia" w:ascii="仿宋" w:hAnsi="仿宋" w:eastAsia="仿宋" w:cs="仿宋"/>
          <w:color w:val="auto"/>
          <w:sz w:val="28"/>
          <w:szCs w:val="28"/>
          <w:highlight w:val="none"/>
        </w:rPr>
      </w:pPr>
    </w:p>
    <w:p w14:paraId="136A338F">
      <w:pPr>
        <w:pStyle w:val="3"/>
        <w:spacing w:before="0" w:line="240" w:lineRule="atLeast"/>
        <w:ind w:left="1080" w:leftChars="257" w:hanging="540"/>
        <w:rPr>
          <w:rFonts w:hint="eastAsia" w:ascii="仿宋" w:hAnsi="仿宋" w:eastAsia="仿宋" w:cs="仿宋"/>
          <w:color w:val="auto"/>
          <w:sz w:val="28"/>
          <w:szCs w:val="28"/>
          <w:highlight w:val="none"/>
        </w:rPr>
      </w:pPr>
      <w:bookmarkStart w:id="504" w:name="_Toc19426"/>
      <w:bookmarkStart w:id="505" w:name="_Toc15877"/>
      <w:bookmarkStart w:id="506" w:name="_Toc30266"/>
      <w:bookmarkStart w:id="507" w:name="_Toc18334"/>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、投标人需要补充的其他文件和说明。</w:t>
      </w:r>
      <w:bookmarkEnd w:id="504"/>
      <w:bookmarkEnd w:id="505"/>
      <w:bookmarkEnd w:id="506"/>
      <w:bookmarkEnd w:id="507"/>
    </w:p>
    <w:p w14:paraId="7A4F366F">
      <w:pPr>
        <w:spacing w:line="240" w:lineRule="atLeast"/>
        <w:ind w:left="1080" w:leftChars="257" w:hanging="540"/>
        <w:jc w:val="center"/>
        <w:rPr>
          <w:rFonts w:hint="eastAsia" w:ascii="仿宋" w:hAnsi="仿宋" w:eastAsia="仿宋" w:cs="仿宋"/>
          <w:color w:val="auto"/>
          <w:sz w:val="24"/>
          <w:highlight w:val="none"/>
        </w:rPr>
      </w:pPr>
    </w:p>
    <w:p w14:paraId="0F1A0673">
      <w:pPr>
        <w:spacing w:line="240" w:lineRule="atLeast"/>
        <w:ind w:left="1080" w:leftChars="257" w:hanging="540"/>
        <w:jc w:val="center"/>
        <w:rPr>
          <w:rFonts w:hint="eastAsia" w:ascii="仿宋" w:hAnsi="仿宋" w:eastAsia="仿宋" w:cs="仿宋"/>
          <w:color w:val="auto"/>
          <w:sz w:val="24"/>
          <w:highlight w:val="none"/>
        </w:rPr>
      </w:pPr>
    </w:p>
    <w:p w14:paraId="423C9E65">
      <w:pPr>
        <w:spacing w:line="240" w:lineRule="atLeast"/>
        <w:ind w:left="1080" w:leftChars="257" w:hanging="540"/>
        <w:jc w:val="center"/>
        <w:rPr>
          <w:rFonts w:hint="eastAsia" w:ascii="仿宋" w:hAnsi="仿宋" w:eastAsia="仿宋" w:cs="仿宋"/>
          <w:color w:val="auto"/>
          <w:sz w:val="24"/>
          <w:highlight w:val="none"/>
        </w:rPr>
      </w:pPr>
    </w:p>
    <w:p w14:paraId="3D25D1B0">
      <w:pPr>
        <w:spacing w:line="240" w:lineRule="atLeast"/>
        <w:ind w:left="1080" w:leftChars="257" w:hanging="540"/>
        <w:jc w:val="center"/>
        <w:rPr>
          <w:rFonts w:hint="eastAsia" w:ascii="仿宋" w:hAnsi="仿宋" w:eastAsia="仿宋" w:cs="仿宋"/>
          <w:color w:val="auto"/>
          <w:sz w:val="24"/>
          <w:highlight w:val="none"/>
        </w:rPr>
      </w:pPr>
    </w:p>
    <w:p w14:paraId="12AAB99F">
      <w:pPr>
        <w:spacing w:line="240" w:lineRule="atLeast"/>
        <w:ind w:left="1080" w:leftChars="257" w:hanging="540"/>
        <w:jc w:val="center"/>
        <w:rPr>
          <w:rFonts w:hint="eastAsia" w:ascii="仿宋" w:hAnsi="仿宋" w:eastAsia="仿宋" w:cs="仿宋"/>
          <w:color w:val="auto"/>
          <w:sz w:val="24"/>
          <w:highlight w:val="none"/>
        </w:rPr>
      </w:pPr>
    </w:p>
    <w:p w14:paraId="29EBB968">
      <w:pPr>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B09E9F4">
      <w:pPr>
        <w:spacing w:line="240" w:lineRule="atLeast"/>
        <w:ind w:left="1080" w:leftChars="257" w:hanging="540"/>
        <w:jc w:val="center"/>
        <w:rPr>
          <w:rFonts w:hint="eastAsia" w:ascii="仿宋" w:hAnsi="仿宋" w:eastAsia="仿宋" w:cs="仿宋"/>
          <w:color w:val="auto"/>
          <w:sz w:val="24"/>
          <w:highlight w:val="none"/>
        </w:rPr>
      </w:pPr>
    </w:p>
    <w:p w14:paraId="44B10AF8">
      <w:pPr>
        <w:spacing w:line="240" w:lineRule="atLeast"/>
        <w:jc w:val="center"/>
        <w:outlineLvl w:val="0"/>
        <w:rPr>
          <w:rFonts w:hint="eastAsia" w:ascii="仿宋" w:hAnsi="仿宋" w:eastAsia="仿宋" w:cs="仿宋"/>
          <w:bCs/>
          <w:color w:val="auto"/>
          <w:sz w:val="56"/>
          <w:szCs w:val="56"/>
          <w:highlight w:val="none"/>
          <w:lang w:eastAsia="zh-CN"/>
        </w:rPr>
      </w:pPr>
    </w:p>
    <w:p w14:paraId="2FF95E9E">
      <w:pPr>
        <w:spacing w:line="240" w:lineRule="atLeast"/>
        <w:jc w:val="center"/>
        <w:outlineLvl w:val="0"/>
        <w:rPr>
          <w:rFonts w:hint="eastAsia" w:ascii="仿宋" w:hAnsi="仿宋" w:eastAsia="仿宋" w:cs="仿宋"/>
          <w:bCs/>
          <w:color w:val="auto"/>
          <w:sz w:val="44"/>
          <w:szCs w:val="44"/>
          <w:highlight w:val="none"/>
          <w:lang w:eastAsia="zh-CN"/>
        </w:rPr>
      </w:pPr>
      <w:bookmarkStart w:id="508" w:name="_Toc16621"/>
      <w:bookmarkStart w:id="509" w:name="_Toc7607"/>
      <w:bookmarkStart w:id="510" w:name="_Toc13290"/>
      <w:r>
        <w:rPr>
          <w:rFonts w:hint="eastAsia" w:ascii="仿宋" w:hAnsi="仿宋" w:eastAsia="仿宋" w:cs="仿宋"/>
          <w:bCs/>
          <w:color w:val="auto"/>
          <w:sz w:val="44"/>
          <w:szCs w:val="44"/>
          <w:highlight w:val="none"/>
          <w:lang w:eastAsia="zh-CN"/>
        </w:rPr>
        <w:t>麦盖提县防灾减灾能力提升项目-有机肥采购</w:t>
      </w:r>
    </w:p>
    <w:p w14:paraId="046C5F26">
      <w:pPr>
        <w:spacing w:line="240" w:lineRule="atLeast"/>
        <w:jc w:val="center"/>
        <w:outlineLvl w:val="0"/>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公开招标文件</w:t>
      </w:r>
      <w:bookmarkEnd w:id="508"/>
      <w:bookmarkEnd w:id="509"/>
      <w:bookmarkEnd w:id="510"/>
    </w:p>
    <w:p w14:paraId="2AA5B3B0">
      <w:pPr>
        <w:spacing w:line="240" w:lineRule="atLeast"/>
        <w:ind w:left="1080" w:leftChars="257" w:hanging="540"/>
        <w:jc w:val="center"/>
        <w:rPr>
          <w:rFonts w:hint="eastAsia" w:ascii="仿宋" w:hAnsi="仿宋" w:eastAsia="仿宋" w:cs="仿宋"/>
          <w:b/>
          <w:color w:val="auto"/>
          <w:sz w:val="28"/>
          <w:highlight w:val="none"/>
        </w:rPr>
      </w:pPr>
    </w:p>
    <w:p w14:paraId="46BE79E1">
      <w:pPr>
        <w:spacing w:line="240" w:lineRule="atLeast"/>
        <w:ind w:left="1080" w:leftChars="257" w:hanging="540"/>
        <w:jc w:val="center"/>
        <w:rPr>
          <w:rFonts w:hint="eastAsia" w:ascii="仿宋" w:hAnsi="仿宋" w:eastAsia="仿宋" w:cs="仿宋"/>
          <w:b/>
          <w:color w:val="auto"/>
          <w:sz w:val="28"/>
          <w:highlight w:val="none"/>
        </w:rPr>
      </w:pPr>
    </w:p>
    <w:p w14:paraId="072EDBD4">
      <w:pPr>
        <w:spacing w:line="240" w:lineRule="atLeast"/>
        <w:ind w:left="1080" w:leftChars="257" w:hanging="540"/>
        <w:jc w:val="center"/>
        <w:rPr>
          <w:rFonts w:hint="eastAsia" w:ascii="仿宋" w:hAnsi="仿宋" w:eastAsia="仿宋" w:cs="仿宋"/>
          <w:color w:val="auto"/>
          <w:sz w:val="24"/>
          <w:highlight w:val="none"/>
        </w:rPr>
      </w:pPr>
    </w:p>
    <w:p w14:paraId="1003F0E5">
      <w:pPr>
        <w:spacing w:line="240" w:lineRule="atLeast"/>
        <w:ind w:left="1080" w:leftChars="257" w:hanging="540"/>
        <w:jc w:val="center"/>
        <w:rPr>
          <w:rFonts w:hint="eastAsia" w:ascii="仿宋" w:hAnsi="仿宋" w:eastAsia="仿宋" w:cs="仿宋"/>
          <w:color w:val="auto"/>
          <w:sz w:val="24"/>
          <w:highlight w:val="none"/>
        </w:rPr>
      </w:pPr>
    </w:p>
    <w:p w14:paraId="0303ECC7">
      <w:pPr>
        <w:spacing w:line="240" w:lineRule="atLeast"/>
        <w:ind w:left="1080" w:leftChars="257" w:hanging="540"/>
        <w:jc w:val="center"/>
        <w:rPr>
          <w:rFonts w:hint="eastAsia" w:ascii="仿宋" w:hAnsi="仿宋" w:eastAsia="仿宋" w:cs="仿宋"/>
          <w:color w:val="auto"/>
          <w:sz w:val="24"/>
          <w:highlight w:val="none"/>
        </w:rPr>
      </w:pPr>
    </w:p>
    <w:p w14:paraId="02CF4C73">
      <w:pPr>
        <w:spacing w:line="240" w:lineRule="atLeast"/>
        <w:ind w:left="1080" w:leftChars="257" w:hanging="540"/>
        <w:rPr>
          <w:rFonts w:hint="eastAsia" w:ascii="仿宋" w:hAnsi="仿宋" w:eastAsia="仿宋" w:cs="仿宋"/>
          <w:b/>
          <w:color w:val="auto"/>
          <w:sz w:val="28"/>
          <w:highlight w:val="none"/>
        </w:rPr>
      </w:pPr>
    </w:p>
    <w:p w14:paraId="56B32A45">
      <w:pPr>
        <w:spacing w:line="240" w:lineRule="atLeast"/>
        <w:ind w:left="1080" w:leftChars="257" w:hanging="54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第二册</w:t>
      </w:r>
    </w:p>
    <w:p w14:paraId="3FAD02DF">
      <w:pPr>
        <w:spacing w:line="240" w:lineRule="atLeast"/>
        <w:ind w:left="-1"/>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招标编号：</w:t>
      </w:r>
      <w:r>
        <w:rPr>
          <w:rFonts w:hint="eastAsia" w:ascii="仿宋" w:hAnsi="仿宋" w:eastAsia="仿宋" w:cs="仿宋"/>
          <w:b/>
          <w:color w:val="auto"/>
          <w:sz w:val="40"/>
          <w:szCs w:val="40"/>
          <w:highlight w:val="none"/>
          <w:lang w:eastAsia="zh-CN"/>
        </w:rPr>
        <w:t>XJBS（MGT)-202507-GK 号</w:t>
      </w:r>
    </w:p>
    <w:p w14:paraId="40C56411">
      <w:pPr>
        <w:spacing w:line="240" w:lineRule="atLeast"/>
        <w:ind w:left="-1"/>
        <w:jc w:val="left"/>
        <w:rPr>
          <w:rFonts w:hint="eastAsia" w:ascii="仿宋" w:hAnsi="仿宋" w:eastAsia="仿宋" w:cs="仿宋"/>
          <w:b/>
          <w:color w:val="auto"/>
          <w:sz w:val="40"/>
          <w:szCs w:val="40"/>
          <w:highlight w:val="none"/>
        </w:rPr>
      </w:pPr>
    </w:p>
    <w:p w14:paraId="6C022F9B">
      <w:pPr>
        <w:spacing w:line="240" w:lineRule="atLeast"/>
        <w:ind w:left="1080" w:leftChars="257" w:hanging="540"/>
        <w:jc w:val="center"/>
        <w:rPr>
          <w:rFonts w:hint="eastAsia" w:ascii="仿宋" w:hAnsi="仿宋" w:eastAsia="仿宋" w:cs="仿宋"/>
          <w:b/>
          <w:color w:val="auto"/>
          <w:sz w:val="52"/>
          <w:highlight w:val="none"/>
        </w:rPr>
      </w:pPr>
    </w:p>
    <w:p w14:paraId="4261EE15">
      <w:pPr>
        <w:pStyle w:val="2"/>
        <w:tabs>
          <w:tab w:val="left" w:pos="0"/>
        </w:tabs>
        <w:spacing w:before="0" w:after="0" w:line="240" w:lineRule="atLeast"/>
        <w:rPr>
          <w:rFonts w:hint="eastAsia" w:ascii="仿宋" w:hAnsi="仿宋" w:eastAsia="仿宋" w:cs="仿宋"/>
          <w:color w:val="auto"/>
          <w:sz w:val="24"/>
          <w:szCs w:val="24"/>
          <w:highlight w:val="none"/>
        </w:rPr>
      </w:pPr>
      <w:r>
        <w:rPr>
          <w:rFonts w:hint="eastAsia" w:ascii="仿宋" w:hAnsi="仿宋" w:eastAsia="仿宋" w:cs="仿宋"/>
          <w:b w:val="0"/>
          <w:color w:val="auto"/>
          <w:sz w:val="52"/>
          <w:highlight w:val="none"/>
        </w:rPr>
        <w:br w:type="page"/>
      </w:r>
      <w:bookmarkStart w:id="511" w:name="_Toc29669"/>
      <w:bookmarkStart w:id="512" w:name="_Toc218935350"/>
      <w:bookmarkStart w:id="513" w:name="_Toc219175634"/>
      <w:bookmarkStart w:id="514" w:name="_Toc3887"/>
      <w:bookmarkStart w:id="515" w:name="_Toc507399902"/>
      <w:bookmarkStart w:id="516" w:name="_Toc9913"/>
      <w:bookmarkStart w:id="517" w:name="_Toc518923124"/>
      <w:bookmarkStart w:id="518" w:name="_Toc2954"/>
      <w:bookmarkStart w:id="519" w:name="_Toc216582822"/>
      <w:bookmarkStart w:id="520" w:name="_Toc20639"/>
      <w:r>
        <w:rPr>
          <w:rFonts w:hint="eastAsia" w:ascii="仿宋" w:hAnsi="仿宋" w:eastAsia="仿宋" w:cs="仿宋"/>
          <w:color w:val="auto"/>
          <w:kern w:val="0"/>
          <w:szCs w:val="21"/>
          <w:highlight w:val="none"/>
        </w:rPr>
        <w:t>第三章  投标邀请</w:t>
      </w:r>
      <w:bookmarkEnd w:id="511"/>
      <w:bookmarkEnd w:id="512"/>
      <w:bookmarkEnd w:id="513"/>
      <w:bookmarkEnd w:id="514"/>
      <w:bookmarkEnd w:id="515"/>
      <w:bookmarkEnd w:id="516"/>
      <w:bookmarkEnd w:id="517"/>
      <w:bookmarkEnd w:id="518"/>
      <w:bookmarkEnd w:id="519"/>
      <w:bookmarkEnd w:id="520"/>
    </w:p>
    <w:p w14:paraId="0FE0534A">
      <w:pPr>
        <w:rPr>
          <w:rFonts w:hint="eastAsia" w:ascii="仿宋" w:hAnsi="仿宋" w:eastAsia="仿宋" w:cs="仿宋"/>
          <w:color w:val="auto"/>
          <w:sz w:val="24"/>
          <w:highlight w:val="none"/>
        </w:rPr>
      </w:pPr>
    </w:p>
    <w:p w14:paraId="264AE181">
      <w:pPr>
        <w:jc w:val="center"/>
        <w:rPr>
          <w:rFonts w:hint="eastAsia" w:ascii="仿宋" w:hAnsi="仿宋" w:eastAsia="仿宋" w:cs="仿宋"/>
          <w:color w:val="auto"/>
          <w:sz w:val="28"/>
          <w:szCs w:val="28"/>
          <w:highlight w:val="none"/>
        </w:rPr>
      </w:pPr>
      <w:bookmarkStart w:id="521" w:name="_Toc28359001"/>
      <w:bookmarkStart w:id="522" w:name="_Toc35393789"/>
      <w:bookmarkStart w:id="523" w:name="_Toc35393793"/>
      <w:bookmarkStart w:id="524" w:name="_Toc35393624"/>
      <w:bookmarkStart w:id="525" w:name="_Toc28359005"/>
      <w:bookmarkStart w:id="526" w:name="_Toc28359082"/>
      <w:r>
        <w:rPr>
          <w:rFonts w:hint="eastAsia" w:ascii="仿宋" w:hAnsi="仿宋" w:eastAsia="仿宋" w:cs="仿宋"/>
          <w:color w:val="auto"/>
          <w:sz w:val="28"/>
          <w:szCs w:val="28"/>
          <w:highlight w:val="none"/>
        </w:rPr>
        <w:t>招标公告</w:t>
      </w:r>
      <w:bookmarkEnd w:id="521"/>
      <w:bookmarkEnd w:id="522"/>
    </w:p>
    <w:p w14:paraId="55D5B60B">
      <w:pPr>
        <w:pBdr>
          <w:top w:val="single" w:color="auto" w:sz="4" w:space="1"/>
          <w:left w:val="single" w:color="auto" w:sz="4" w:space="4"/>
          <w:bottom w:val="single" w:color="auto" w:sz="4" w:space="1"/>
          <w:right w:val="single" w:color="auto" w:sz="4" w:space="4"/>
        </w:pBd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0B5FBCFE">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u w:val="single"/>
          <w:lang w:eastAsia="zh-CN"/>
        </w:rPr>
        <w:t>麦盖提县防灾减灾能力提升项目-有机肥采购</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新疆政府采购网上</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11</w:t>
      </w:r>
      <w:r>
        <w:rPr>
          <w:rFonts w:hint="eastAsia" w:ascii="仿宋" w:hAnsi="仿宋" w:eastAsia="仿宋" w:cs="仿宋"/>
          <w:color w:val="auto"/>
          <w:sz w:val="28"/>
          <w:szCs w:val="28"/>
          <w:highlight w:val="none"/>
          <w:u w:val="single"/>
          <w:lang w:eastAsia="zh-CN"/>
        </w:rPr>
        <w:t>日</w:t>
      </w:r>
      <w:r>
        <w:rPr>
          <w:rFonts w:hint="eastAsia" w:ascii="仿宋" w:hAnsi="仿宋" w:eastAsia="仿宋" w:cs="仿宋"/>
          <w:bCs/>
          <w:color w:val="auto"/>
          <w:sz w:val="28"/>
          <w:szCs w:val="28"/>
          <w:highlight w:val="none"/>
          <w:u w:val="single"/>
        </w:rPr>
        <w:t>11点00分（</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bookmarkEnd w:id="523"/>
    <w:bookmarkEnd w:id="524"/>
    <w:bookmarkEnd w:id="525"/>
    <w:bookmarkEnd w:id="526"/>
    <w:p w14:paraId="1C897130">
      <w:pPr>
        <w:spacing w:line="360" w:lineRule="auto"/>
        <w:rPr>
          <w:rFonts w:hint="eastAsia" w:ascii="仿宋" w:hAnsi="仿宋" w:eastAsia="仿宋" w:cs="仿宋"/>
          <w:color w:val="auto"/>
          <w:sz w:val="28"/>
          <w:szCs w:val="28"/>
          <w:highlight w:val="none"/>
        </w:rPr>
      </w:pPr>
      <w:bookmarkStart w:id="527" w:name="_Toc512937850"/>
      <w:r>
        <w:rPr>
          <w:rFonts w:hint="eastAsia" w:ascii="仿宋" w:hAnsi="仿宋" w:eastAsia="仿宋" w:cs="仿宋"/>
          <w:color w:val="auto"/>
          <w:sz w:val="28"/>
          <w:szCs w:val="28"/>
          <w:highlight w:val="none"/>
        </w:rPr>
        <w:t>一、项目基本情况</w:t>
      </w:r>
    </w:p>
    <w:p w14:paraId="4C7F09E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 xml:space="preserve">XJBS（MGT)-202507-GK </w:t>
      </w:r>
      <w:r>
        <w:rPr>
          <w:rFonts w:hint="eastAsia" w:ascii="仿宋" w:hAnsi="仿宋" w:eastAsia="仿宋" w:cs="仿宋"/>
          <w:color w:val="auto"/>
          <w:sz w:val="28"/>
          <w:szCs w:val="28"/>
          <w:highlight w:val="none"/>
        </w:rPr>
        <w:t>号</w:t>
      </w:r>
    </w:p>
    <w:p w14:paraId="4C54347E">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麦盖提县防灾减灾能力提升项目-有机肥采购</w:t>
      </w:r>
    </w:p>
    <w:p w14:paraId="1310A1A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采购方式：公开招标</w:t>
      </w:r>
    </w:p>
    <w:p w14:paraId="2613CF23">
      <w:pPr>
        <w:spacing w:line="360" w:lineRule="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预算金额（元）：</w:t>
      </w:r>
      <w:r>
        <w:rPr>
          <w:rFonts w:hint="eastAsia" w:ascii="仿宋" w:hAnsi="仿宋" w:eastAsia="仿宋" w:cs="仿宋"/>
          <w:color w:val="auto"/>
          <w:sz w:val="28"/>
          <w:szCs w:val="28"/>
          <w:highlight w:val="none"/>
          <w:lang w:val="en-US" w:eastAsia="zh-CN"/>
        </w:rPr>
        <w:t>4300000</w:t>
      </w:r>
    </w:p>
    <w:p w14:paraId="30DC593C">
      <w:p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最高限价（元）：标项一</w:t>
      </w:r>
      <w:r>
        <w:rPr>
          <w:rFonts w:hint="eastAsia" w:ascii="仿宋" w:hAnsi="仿宋" w:eastAsia="仿宋" w:cs="仿宋"/>
          <w:color w:val="auto"/>
          <w:sz w:val="28"/>
          <w:szCs w:val="28"/>
          <w:highlight w:val="none"/>
          <w:lang w:val="en-US" w:eastAsia="zh-CN"/>
        </w:rPr>
        <w:t>4300000</w:t>
      </w:r>
    </w:p>
    <w:p w14:paraId="1E0762B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14:paraId="63890A51">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标项一</w:t>
      </w:r>
    </w:p>
    <w:p w14:paraId="05ACE3B6">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标项名称:</w:t>
      </w:r>
      <w:r>
        <w:rPr>
          <w:rFonts w:hint="eastAsia" w:ascii="仿宋" w:hAnsi="仿宋" w:eastAsia="仿宋" w:cs="仿宋"/>
          <w:color w:val="auto"/>
          <w:sz w:val="28"/>
          <w:szCs w:val="28"/>
          <w:highlight w:val="none"/>
          <w:lang w:eastAsia="zh-CN"/>
        </w:rPr>
        <w:t>麦盖提县防灾减灾能力提升项目-有机肥采购</w:t>
      </w:r>
    </w:p>
    <w:p w14:paraId="5EB1F0C8">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数量:</w:t>
      </w:r>
      <w:r>
        <w:rPr>
          <w:rFonts w:hint="eastAsia" w:ascii="仿宋" w:hAnsi="仿宋" w:eastAsia="仿宋" w:cs="仿宋"/>
          <w:color w:val="auto"/>
          <w:sz w:val="28"/>
          <w:szCs w:val="28"/>
          <w:highlight w:val="none"/>
          <w:lang w:eastAsia="zh-CN"/>
        </w:rPr>
        <w:t>计划采购</w:t>
      </w:r>
      <w:r>
        <w:rPr>
          <w:rFonts w:hint="eastAsia" w:ascii="仿宋" w:hAnsi="仿宋" w:eastAsia="仿宋" w:cs="仿宋"/>
          <w:color w:val="auto"/>
          <w:sz w:val="28"/>
          <w:szCs w:val="28"/>
          <w:highlight w:val="none"/>
          <w:lang w:val="en-US" w:eastAsia="zh-CN"/>
        </w:rPr>
        <w:t>1011</w:t>
      </w:r>
      <w:r>
        <w:rPr>
          <w:rFonts w:hint="eastAsia" w:ascii="仿宋" w:hAnsi="仿宋" w:eastAsia="仿宋" w:cs="仿宋"/>
          <w:color w:val="auto"/>
          <w:sz w:val="28"/>
          <w:szCs w:val="28"/>
          <w:highlight w:val="none"/>
          <w:lang w:eastAsia="zh-CN"/>
        </w:rPr>
        <w:t>吨有机肥料</w:t>
      </w:r>
    </w:p>
    <w:p w14:paraId="2863BD3D">
      <w:pPr>
        <w:spacing w:line="360" w:lineRule="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预算金额（元）:</w:t>
      </w:r>
      <w:r>
        <w:rPr>
          <w:rFonts w:hint="eastAsia" w:ascii="仿宋" w:hAnsi="仿宋" w:eastAsia="仿宋" w:cs="仿宋"/>
          <w:color w:val="auto"/>
          <w:sz w:val="28"/>
          <w:szCs w:val="28"/>
          <w:highlight w:val="none"/>
          <w:lang w:val="en-US" w:eastAsia="zh-CN"/>
        </w:rPr>
        <w:t>4300000</w:t>
      </w:r>
    </w:p>
    <w:p w14:paraId="60B0022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简要规格描述或项目基本概况介绍、用途：有机肥料</w:t>
      </w:r>
      <w:r>
        <w:rPr>
          <w:rFonts w:hint="eastAsia" w:ascii="仿宋" w:hAnsi="仿宋" w:eastAsia="仿宋" w:cs="仿宋"/>
          <w:color w:val="auto"/>
          <w:sz w:val="28"/>
          <w:szCs w:val="28"/>
          <w:highlight w:val="none"/>
          <w:lang w:val="en-US" w:eastAsia="zh-CN"/>
        </w:rPr>
        <w:t>一批</w:t>
      </w:r>
      <w:r>
        <w:rPr>
          <w:rFonts w:hint="eastAsia" w:ascii="仿宋" w:hAnsi="仿宋" w:eastAsia="仿宋" w:cs="仿宋"/>
          <w:color w:val="auto"/>
          <w:sz w:val="28"/>
          <w:szCs w:val="28"/>
          <w:highlight w:val="none"/>
          <w:lang w:eastAsia="zh-CN"/>
        </w:rPr>
        <w:t>，</w:t>
      </w:r>
      <w:r>
        <w:rPr>
          <w:rFonts w:ascii="仿宋" w:hAnsi="仿宋" w:eastAsia="仿宋" w:cs="仿宋"/>
          <w:i w:val="0"/>
          <w:iCs w:val="0"/>
          <w:caps w:val="0"/>
          <w:color w:val="000000"/>
          <w:spacing w:val="0"/>
          <w:sz w:val="27"/>
          <w:szCs w:val="27"/>
          <w:highlight w:val="none"/>
          <w:shd w:val="clear" w:fill="F7F7F7"/>
        </w:rPr>
        <w:t>具体采购要求详见招标文件。</w:t>
      </w:r>
    </w:p>
    <w:p w14:paraId="0500961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5D1C888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合同履约期限：</w:t>
      </w:r>
      <w:r>
        <w:rPr>
          <w:rFonts w:hint="eastAsia" w:ascii="仿宋" w:hAnsi="仿宋" w:eastAsia="仿宋" w:cs="仿宋"/>
          <w:i w:val="0"/>
          <w:iCs w:val="0"/>
          <w:caps w:val="0"/>
          <w:color w:val="000000"/>
          <w:spacing w:val="0"/>
          <w:sz w:val="27"/>
          <w:szCs w:val="27"/>
        </w:rPr>
        <w:t>合同签订后</w:t>
      </w: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rPr>
        <w:t>天按照甲方需求完成供货</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供货至甲方指定地点</w:t>
      </w:r>
      <w:r>
        <w:rPr>
          <w:rFonts w:ascii="仿宋" w:hAnsi="仿宋" w:eastAsia="仿宋" w:cs="仿宋"/>
          <w:i w:val="0"/>
          <w:iCs w:val="0"/>
          <w:caps w:val="0"/>
          <w:color w:val="000000"/>
          <w:spacing w:val="0"/>
          <w:sz w:val="27"/>
          <w:szCs w:val="27"/>
        </w:rPr>
        <w:t>。</w:t>
      </w:r>
      <w:r>
        <w:rPr>
          <w:rFonts w:hint="eastAsia" w:ascii="仿宋" w:hAnsi="仿宋" w:eastAsia="仿宋" w:cs="仿宋"/>
          <w:color w:val="auto"/>
          <w:sz w:val="28"/>
          <w:szCs w:val="28"/>
          <w:highlight w:val="none"/>
        </w:rPr>
        <w:t>（具体情况由中标单位和采购方在合同约定）。</w:t>
      </w:r>
    </w:p>
    <w:p w14:paraId="16729D3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本项目（否）接受联合体投标。</w:t>
      </w:r>
    </w:p>
    <w:p w14:paraId="67FF53A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二、申请人的资格要求：</w:t>
      </w:r>
    </w:p>
    <w:p w14:paraId="097322D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6877DA81">
      <w:pPr>
        <w:spacing w:line="360" w:lineRule="auto"/>
        <w:rPr>
          <w:rFonts w:hint="eastAsia" w:ascii="仿宋" w:hAnsi="仿宋" w:eastAsia="仿宋" w:cs="仿宋"/>
          <w:color w:val="FF0000"/>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FF0000"/>
          <w:sz w:val="28"/>
          <w:szCs w:val="28"/>
          <w:highlight w:val="none"/>
        </w:rPr>
        <w:t>本项目专门面向中小企业</w:t>
      </w:r>
      <w:r>
        <w:rPr>
          <w:rFonts w:hint="eastAsia" w:ascii="仿宋" w:hAnsi="仿宋" w:eastAsia="仿宋" w:cs="仿宋"/>
          <w:color w:val="FF0000"/>
          <w:sz w:val="28"/>
          <w:szCs w:val="28"/>
          <w:highlight w:val="none"/>
          <w:lang w:eastAsia="zh-CN"/>
        </w:rPr>
        <w:t>；</w:t>
      </w:r>
    </w:p>
    <w:p w14:paraId="5D92492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14:paraId="372F8952">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p>
    <w:p w14:paraId="3144A397">
      <w:p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rPr>
        <w:t>供应商须具有国家级平台备案的投标产品证明材料及第三方机构出具的合格的产品检测报告。</w:t>
      </w:r>
    </w:p>
    <w:p w14:paraId="57EA511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三、获取招标文件</w:t>
      </w:r>
    </w:p>
    <w:p w14:paraId="0F7C8A1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年0</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年0</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日，每天上午10:00至14:00，下午16:00至20:00（北京时间，法定节假日除外）</w:t>
      </w:r>
    </w:p>
    <w:p w14:paraId="1746304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地点：政采云平台线上获取</w:t>
      </w:r>
    </w:p>
    <w:p w14:paraId="3AC7DCA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方式：供应商登录政采云平台https://www.zcygov.cn/在线申请获取采购文件（进入“项目采购”应用，在获取采购文件菜单中选择项目，申请获取采购文件）</w:t>
      </w:r>
    </w:p>
    <w:p w14:paraId="7BE3CC3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售价（元）：0</w:t>
      </w:r>
    </w:p>
    <w:p w14:paraId="289ADBE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四、提交投标文件截止时间、开标时间和地点</w:t>
      </w:r>
    </w:p>
    <w:p w14:paraId="6554E1E0">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提交投标文件截止时间：202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年0</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 11: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0（北京时间）</w:t>
      </w:r>
    </w:p>
    <w:p w14:paraId="41003F0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投标地点：请登录政采云投标客户端投标</w:t>
      </w:r>
    </w:p>
    <w:p w14:paraId="1537860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rPr>
        <w:t xml:space="preserve"> 11: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0（北京时间）</w:t>
      </w:r>
    </w:p>
    <w:p w14:paraId="44664AB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开标地点：政采云平台https://www.zcygov.cn/</w:t>
      </w:r>
    </w:p>
    <w:p w14:paraId="1DBEEEF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五、公告期限</w:t>
      </w:r>
    </w:p>
    <w:p w14:paraId="43FBE17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自本公告发布之日起5个工作日。</w:t>
      </w:r>
    </w:p>
    <w:p w14:paraId="76BFCEE9">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六、其他补充事宜</w:t>
      </w:r>
    </w:p>
    <w:p w14:paraId="3BCCC7C6">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DD9E50C">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2.本项目实行网上投标，采用电子投标文件(供应商须使用CA加密设备通过政采云电子投标客户端制作投标文件)。若供应商参与投标，自行承担投标一切费用。</w:t>
      </w:r>
    </w:p>
    <w:p w14:paraId="797EEBA2">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4A0C25A3">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14:paraId="29DE301A">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5.供应商在开标时须使用制作加密电子投标文件所使用的CA锁及电脑，电脑须提前配置好浏览器（建议使用谷歌浏览器），以便开标时解锁。</w:t>
      </w:r>
    </w:p>
    <w:p w14:paraId="1841E9EB">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14:paraId="544DDD2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33335B3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特别提示：</w:t>
      </w:r>
    </w:p>
    <w:p w14:paraId="733F10D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1、采购限额标准以上，200万元以下的货物和服务采购项目、400万元以下的工程采购项目，适宜由中小企业提供的，采购人应当专门面向中小企业采购。</w:t>
      </w:r>
    </w:p>
    <w:p w14:paraId="6BD7483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2、超过200万元的货物和服务采购项目，预留该部分采购项目预算总额的30%以上专门面向中小企业采购，其中预留给小微企业的比例不低于60%。</w:t>
      </w:r>
    </w:p>
    <w:p w14:paraId="58C50AD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3、超过400万元的工程采购项目中适宜由中小企业提供的，预留该部分采购项目预算总额的40%以上专门面向中小企业采购，其中预留给小微企业的比例不低于60%。</w:t>
      </w:r>
    </w:p>
    <w:p w14:paraId="301EEDE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26B31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D4083B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七、对本次采购提出询问，请按以下方式联系</w:t>
      </w:r>
    </w:p>
    <w:p w14:paraId="79F5E1F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0C4F7FA3">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麦盖提县供销社</w:t>
      </w:r>
    </w:p>
    <w:p w14:paraId="3C38C2A4">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eastAsia="zh-CN"/>
        </w:rPr>
        <w:t>喀什地区麦盖提县文化西路</w:t>
      </w:r>
      <w:r>
        <w:rPr>
          <w:rFonts w:hint="eastAsia" w:ascii="仿宋" w:hAnsi="仿宋" w:eastAsia="仿宋" w:cs="仿宋"/>
          <w:color w:val="auto"/>
          <w:sz w:val="28"/>
          <w:szCs w:val="28"/>
          <w:highlight w:val="none"/>
          <w:lang w:val="en-US" w:eastAsia="zh-CN"/>
        </w:rPr>
        <w:t xml:space="preserve"> </w:t>
      </w:r>
    </w:p>
    <w:p w14:paraId="1B1304FE">
      <w:p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 xml:space="preserve">15770179279 </w:t>
      </w:r>
    </w:p>
    <w:p w14:paraId="50C1947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p>
    <w:p w14:paraId="243C86F4">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新疆标晟工程管理咨询有限责任公司</w:t>
      </w:r>
    </w:p>
    <w:p w14:paraId="59AFCD8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val="en-US" w:eastAsia="zh-CN"/>
        </w:rPr>
        <w:t>新疆喀什地区喀什市中亚商贸第一城2号楼2楼39号</w:t>
      </w:r>
    </w:p>
    <w:p w14:paraId="3EB94357">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eastAsia="zh-CN"/>
        </w:rPr>
        <w:t>15199813636</w:t>
      </w:r>
    </w:p>
    <w:p w14:paraId="47D7F0C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3.项目联系方式</w:t>
      </w:r>
    </w:p>
    <w:p w14:paraId="3B9705FD">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lang w:val="en-US" w:eastAsia="zh-CN"/>
        </w:rPr>
        <w:t>马工</w:t>
      </w:r>
    </w:p>
    <w:p w14:paraId="00648690">
      <w:pPr>
        <w:spacing w:line="360" w:lineRule="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val="en-US" w:eastAsia="zh-CN"/>
        </w:rPr>
        <w:t>13899115110</w:t>
      </w:r>
    </w:p>
    <w:p w14:paraId="2ED1CAA2">
      <w:pPr>
        <w:spacing w:line="360" w:lineRule="auto"/>
        <w:rPr>
          <w:rFonts w:hint="eastAsia" w:ascii="仿宋" w:hAnsi="仿宋" w:eastAsia="仿宋" w:cs="仿宋"/>
          <w:color w:val="auto"/>
          <w:sz w:val="28"/>
          <w:szCs w:val="28"/>
          <w:highlight w:val="none"/>
        </w:rPr>
      </w:pPr>
    </w:p>
    <w:p w14:paraId="6BFCF9EB">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highlight w:val="none"/>
        </w:rPr>
      </w:pPr>
      <w:bookmarkStart w:id="528" w:name="_Toc16057"/>
      <w:bookmarkStart w:id="529" w:name="_Toc8423"/>
      <w:bookmarkStart w:id="530" w:name="_Toc507399903"/>
      <w:bookmarkStart w:id="531" w:name="_Toc216582823"/>
      <w:bookmarkStart w:id="532" w:name="_Toc518923125"/>
      <w:bookmarkStart w:id="533" w:name="_Toc28647"/>
    </w:p>
    <w:p w14:paraId="043DAC8C">
      <w:pPr>
        <w:pStyle w:val="2"/>
        <w:tabs>
          <w:tab w:val="left" w:pos="0"/>
        </w:tabs>
        <w:spacing w:before="0" w:after="0" w:line="240" w:lineRule="atLeast"/>
        <w:rPr>
          <w:rFonts w:hint="eastAsia" w:ascii="仿宋" w:hAnsi="仿宋" w:eastAsia="仿宋" w:cs="仿宋"/>
          <w:color w:val="auto"/>
          <w:kern w:val="0"/>
          <w:szCs w:val="21"/>
          <w:highlight w:val="none"/>
        </w:rPr>
      </w:pPr>
      <w:bookmarkStart w:id="534" w:name="_Toc636"/>
      <w:bookmarkStart w:id="535" w:name="_Toc21460"/>
      <w:r>
        <w:rPr>
          <w:rFonts w:hint="eastAsia" w:ascii="仿宋" w:hAnsi="仿宋" w:eastAsia="仿宋" w:cs="仿宋"/>
          <w:color w:val="auto"/>
          <w:kern w:val="0"/>
          <w:szCs w:val="21"/>
          <w:highlight w:val="none"/>
        </w:rPr>
        <w:t>第四章  投标人须知资料表</w:t>
      </w:r>
      <w:bookmarkEnd w:id="528"/>
      <w:bookmarkEnd w:id="529"/>
      <w:bookmarkEnd w:id="530"/>
      <w:bookmarkEnd w:id="531"/>
      <w:bookmarkEnd w:id="532"/>
      <w:bookmarkEnd w:id="533"/>
      <w:bookmarkEnd w:id="534"/>
      <w:bookmarkEnd w:id="535"/>
    </w:p>
    <w:bookmarkEnd w:id="527"/>
    <w:p w14:paraId="42FD8C27">
      <w:pPr>
        <w:spacing w:line="240" w:lineRule="atLeast"/>
        <w:ind w:left="1080" w:leftChars="257" w:hanging="540"/>
        <w:rPr>
          <w:rFonts w:hint="eastAsia" w:ascii="仿宋" w:hAnsi="仿宋" w:eastAsia="仿宋" w:cs="仿宋"/>
          <w:color w:val="auto"/>
          <w:sz w:val="24"/>
          <w:highlight w:val="none"/>
        </w:rPr>
      </w:pPr>
    </w:p>
    <w:p w14:paraId="56B5C7C3">
      <w:pPr>
        <w:spacing w:line="240" w:lineRule="atLeast"/>
        <w:ind w:firstLine="360" w:firstLineChars="15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本表是本招标项目的具体资料，是对投标人须知的具体补充和修改，如有矛盾，应</w:t>
      </w:r>
      <w:r>
        <w:rPr>
          <w:rFonts w:hint="eastAsia" w:ascii="仿宋" w:hAnsi="仿宋" w:eastAsia="仿宋" w:cs="仿宋"/>
          <w:b/>
          <w:color w:val="auto"/>
          <w:sz w:val="28"/>
          <w:szCs w:val="28"/>
          <w:highlight w:val="none"/>
        </w:rPr>
        <w:t>以本资料表为准</w:t>
      </w:r>
      <w:r>
        <w:rPr>
          <w:rFonts w:hint="eastAsia" w:ascii="仿宋" w:hAnsi="仿宋" w:eastAsia="仿宋" w:cs="仿宋"/>
          <w:color w:val="auto"/>
          <w:sz w:val="28"/>
          <w:szCs w:val="28"/>
          <w:highlight w:val="none"/>
        </w:rPr>
        <w:t>。</w:t>
      </w:r>
    </w:p>
    <w:tbl>
      <w:tblPr>
        <w:tblStyle w:val="19"/>
        <w:tblW w:w="9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27"/>
        <w:gridCol w:w="378"/>
        <w:gridCol w:w="7319"/>
      </w:tblGrid>
      <w:tr w14:paraId="1F897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27" w:type="dxa"/>
            <w:noWrap w:val="0"/>
            <w:vAlign w:val="center"/>
          </w:tcPr>
          <w:p w14:paraId="7EDA9317">
            <w:pPr>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条款号</w:t>
            </w:r>
          </w:p>
        </w:tc>
        <w:tc>
          <w:tcPr>
            <w:tcW w:w="7697" w:type="dxa"/>
            <w:gridSpan w:val="2"/>
            <w:noWrap w:val="0"/>
            <w:vAlign w:val="center"/>
          </w:tcPr>
          <w:p w14:paraId="322EA2E4">
            <w:pPr>
              <w:spacing w:line="240" w:lineRule="atLeast"/>
              <w:ind w:left="1080" w:leftChars="257" w:hanging="54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14:paraId="20D61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27" w:type="dxa"/>
            <w:noWrap w:val="0"/>
            <w:vAlign w:val="center"/>
          </w:tcPr>
          <w:p w14:paraId="4D2361A5">
            <w:pPr>
              <w:spacing w:line="240" w:lineRule="atLeast"/>
              <w:ind w:left="1080"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697" w:type="dxa"/>
            <w:gridSpan w:val="2"/>
            <w:noWrap w:val="0"/>
            <w:vAlign w:val="center"/>
          </w:tcPr>
          <w:p w14:paraId="4A70297C">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eastAsia="zh-CN"/>
              </w:rPr>
              <w:t>麦盖提县供销社</w:t>
            </w:r>
            <w:r>
              <w:rPr>
                <w:rFonts w:hint="eastAsia" w:ascii="仿宋" w:hAnsi="仿宋" w:eastAsia="仿宋" w:cs="仿宋"/>
                <w:color w:val="auto"/>
                <w:sz w:val="28"/>
                <w:szCs w:val="28"/>
                <w:highlight w:val="none"/>
                <w:u w:val="single"/>
              </w:rPr>
              <w:t xml:space="preserve">   </w:t>
            </w:r>
          </w:p>
          <w:p w14:paraId="75CDB690">
            <w:pPr>
              <w:spacing w:line="240" w:lineRule="atLeas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kern w:val="0"/>
                <w:sz w:val="28"/>
                <w:szCs w:val="28"/>
                <w:highlight w:val="none"/>
              </w:rPr>
              <w:t>地  址：</w:t>
            </w:r>
            <w:r>
              <w:rPr>
                <w:rFonts w:hint="eastAsia" w:ascii="仿宋" w:hAnsi="仿宋" w:eastAsia="仿宋" w:cs="仿宋"/>
                <w:color w:val="auto"/>
                <w:sz w:val="28"/>
                <w:szCs w:val="28"/>
                <w:highlight w:val="none"/>
                <w:u w:val="single"/>
                <w:lang w:eastAsia="zh-CN"/>
              </w:rPr>
              <w:t>喀什地区麦盖提县文化西路</w:t>
            </w:r>
            <w:r>
              <w:rPr>
                <w:rFonts w:hint="eastAsia" w:ascii="仿宋" w:hAnsi="仿宋" w:eastAsia="仿宋" w:cs="仿宋"/>
                <w:color w:val="auto"/>
                <w:sz w:val="28"/>
                <w:szCs w:val="28"/>
                <w:highlight w:val="none"/>
                <w:u w:val="single"/>
                <w:lang w:val="en-US" w:eastAsia="zh-CN"/>
              </w:rPr>
              <w:t xml:space="preserve">   </w:t>
            </w:r>
          </w:p>
          <w:p w14:paraId="6268B5AC">
            <w:pPr>
              <w:pStyle w:val="4"/>
              <w:ind w:firstLine="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eastAsia="zh-CN"/>
              </w:rPr>
              <w:t>15770179279</w:t>
            </w:r>
          </w:p>
        </w:tc>
      </w:tr>
      <w:tr w14:paraId="7ACF1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27" w:type="dxa"/>
            <w:noWrap w:val="0"/>
            <w:vAlign w:val="center"/>
          </w:tcPr>
          <w:p w14:paraId="5F3A2C42">
            <w:pPr>
              <w:spacing w:line="240" w:lineRule="atLeast"/>
              <w:ind w:left="1080"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697" w:type="dxa"/>
            <w:gridSpan w:val="2"/>
            <w:noWrap w:val="0"/>
            <w:vAlign w:val="center"/>
          </w:tcPr>
          <w:p w14:paraId="44447792">
            <w:pPr>
              <w:spacing w:line="240" w:lineRule="atLeas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sz w:val="28"/>
                <w:szCs w:val="28"/>
                <w:highlight w:val="none"/>
                <w:u w:val="single"/>
                <w:lang w:eastAsia="zh-CN"/>
              </w:rPr>
              <w:t>新疆标晟工程管理咨询有限责任公司</w:t>
            </w:r>
            <w:r>
              <w:rPr>
                <w:rFonts w:hint="eastAsia" w:ascii="仿宋" w:hAnsi="仿宋" w:eastAsia="仿宋" w:cs="仿宋"/>
                <w:color w:val="auto"/>
                <w:sz w:val="28"/>
                <w:szCs w:val="28"/>
                <w:highlight w:val="none"/>
                <w:u w:val="single"/>
              </w:rPr>
              <w:t xml:space="preserve">       </w:t>
            </w:r>
          </w:p>
          <w:p w14:paraId="0DCEA5CC">
            <w:pPr>
              <w:spacing w:line="240" w:lineRule="atLeas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lang w:val="zh-CN" w:eastAsia="zh-CN"/>
              </w:rPr>
              <w:t>新疆喀什地区喀什市中亚商贸第一城2号楼2楼39号</w:t>
            </w:r>
          </w:p>
          <w:p w14:paraId="1C92723D">
            <w:pPr>
              <w:spacing w:line="240" w:lineRule="atLeas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000000"/>
                <w:sz w:val="28"/>
                <w:szCs w:val="28"/>
                <w:highlight w:val="none"/>
                <w:u w:val="single"/>
                <w:lang w:val="en-US" w:eastAsia="zh-CN"/>
              </w:rPr>
              <w:t>15199813636</w:t>
            </w:r>
          </w:p>
        </w:tc>
      </w:tr>
      <w:tr w14:paraId="26DC0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27" w:type="dxa"/>
            <w:noWrap w:val="0"/>
            <w:vAlign w:val="center"/>
          </w:tcPr>
          <w:p w14:paraId="5E667F27">
            <w:pPr>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7697" w:type="dxa"/>
            <w:gridSpan w:val="2"/>
            <w:noWrap w:val="0"/>
            <w:vAlign w:val="center"/>
          </w:tcPr>
          <w:p w14:paraId="46A7444B">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合格投标人的资格要求：</w:t>
            </w:r>
          </w:p>
          <w:p w14:paraId="136DF82D">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1.符合《中华人民共和国政府采购法》第二十二条的规定,</w:t>
            </w:r>
          </w:p>
          <w:p w14:paraId="74F68236">
            <w:pPr>
              <w:spacing w:line="240" w:lineRule="atLeast"/>
              <w:rPr>
                <w:rFonts w:hint="eastAsia" w:ascii="仿宋" w:hAnsi="仿宋" w:eastAsia="仿宋" w:cs="仿宋"/>
                <w:color w:val="FF0000"/>
                <w:sz w:val="28"/>
                <w:szCs w:val="28"/>
                <w:highlight w:val="lightGray"/>
                <w:lang w:val="en-US"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val="en-US" w:eastAsia="zh-CN"/>
              </w:rPr>
              <w:t>本项目专门面向中小企业</w:t>
            </w:r>
          </w:p>
          <w:p w14:paraId="06BE5ADF">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3.本项目的资格要求:</w:t>
            </w:r>
          </w:p>
          <w:p w14:paraId="7A57A3FB">
            <w:pPr>
              <w:spacing w:line="240" w:lineRule="atLeas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提供经年审合格（三证合一）的营业执照</w:t>
            </w:r>
            <w:r>
              <w:rPr>
                <w:rFonts w:hint="eastAsia" w:ascii="仿宋" w:hAnsi="仿宋" w:eastAsia="仿宋" w:cs="仿宋"/>
                <w:b/>
                <w:bCs/>
                <w:color w:val="auto"/>
                <w:sz w:val="28"/>
                <w:szCs w:val="28"/>
                <w:highlight w:val="none"/>
              </w:rPr>
              <w:t>;</w:t>
            </w:r>
          </w:p>
          <w:p w14:paraId="1C760C38">
            <w:pPr>
              <w:spacing w:line="240" w:lineRule="atLeas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(2)法定代表人授权书及被委托人身份证（法定代表人投标提供法定代表人身份证明及身份证）</w:t>
            </w:r>
          </w:p>
          <w:p w14:paraId="189C5302">
            <w:pPr>
              <w:spacing w:line="240" w:lineRule="atLeas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(3)参与政府采购活动前3年内未被列入失信、重大税收违法案件、财政部门禁止参加政府采购活动的承诺书；</w:t>
            </w:r>
          </w:p>
          <w:p w14:paraId="6ED850A9">
            <w:pPr>
              <w:spacing w:line="240" w:lineRule="atLeas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w:t>
            </w: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有依法缴纳税收和社会保障资金的良好记录；（投标单位需提供202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年1月至今任一月的税收和社保缴纳记录；税收可提供由投标单位所在地税务部门出具的</w:t>
            </w:r>
            <w:r>
              <w:rPr>
                <w:rFonts w:hint="eastAsia" w:ascii="仿宋" w:hAnsi="仿宋" w:eastAsia="仿宋" w:cs="仿宋"/>
                <w:b/>
                <w:bCs/>
                <w:color w:val="auto"/>
                <w:sz w:val="28"/>
                <w:szCs w:val="28"/>
                <w:highlight w:val="none"/>
                <w:lang w:eastAsia="zh-CN"/>
              </w:rPr>
              <w:t>零</w:t>
            </w:r>
            <w:r>
              <w:rPr>
                <w:rFonts w:hint="eastAsia" w:ascii="仿宋" w:hAnsi="仿宋" w:eastAsia="仿宋" w:cs="仿宋"/>
                <w:b/>
                <w:bCs/>
                <w:color w:val="auto"/>
                <w:sz w:val="28"/>
                <w:szCs w:val="28"/>
                <w:highlight w:val="none"/>
              </w:rPr>
              <w:t>申报证明或无欠税证明。（原件、复印件、影印件均可，留存复印件或影印件）</w:t>
            </w:r>
          </w:p>
          <w:p w14:paraId="192FA7E4">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(5)提供</w:t>
            </w:r>
            <w:r>
              <w:rPr>
                <w:rFonts w:hint="eastAsia" w:ascii="仿宋" w:hAnsi="仿宋" w:eastAsia="仿宋" w:cs="仿宋"/>
                <w:b/>
                <w:bCs/>
                <w:color w:val="auto"/>
                <w:sz w:val="28"/>
                <w:szCs w:val="28"/>
                <w:highlight w:val="none"/>
                <w:lang w:eastAsia="zh-CN"/>
              </w:rPr>
              <w:t>2022、2023或2024任一</w:t>
            </w:r>
            <w:r>
              <w:rPr>
                <w:rFonts w:hint="eastAsia" w:ascii="仿宋" w:hAnsi="仿宋" w:eastAsia="仿宋" w:cs="仿宋"/>
                <w:b/>
                <w:bCs/>
                <w:color w:val="auto"/>
                <w:sz w:val="28"/>
                <w:szCs w:val="28"/>
                <w:highlight w:val="none"/>
              </w:rPr>
              <w:t>年度由第三方财务审计机构出具及在注册会计师行业统一监管平台备案赋码的财务审计报告或新成立的企业提供银行出具的近三个月（连续三个月是指2025年</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月-2025年</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月）的资信证明；</w:t>
            </w:r>
          </w:p>
          <w:p w14:paraId="34ED6D59">
            <w:pPr>
              <w:spacing w:line="240" w:lineRule="atLeas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(6)投标单位（供应商）其法人参加本次采购活动前三年内，在经营活动中没有重大违法记录的声明及对本次项目《反商业贿赂承诺书》；</w:t>
            </w:r>
          </w:p>
          <w:p w14:paraId="26AB6B6E">
            <w:pPr>
              <w:spacing w:line="240" w:lineRule="atLeas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0FFDAE7B">
            <w:pPr>
              <w:spacing w:line="240" w:lineRule="atLeas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(8)投标保证金缴纳有效证明</w:t>
            </w:r>
            <w:r>
              <w:rPr>
                <w:rFonts w:hint="eastAsia" w:ascii="仿宋" w:hAnsi="仿宋" w:eastAsia="仿宋" w:cs="仿宋"/>
                <w:b/>
                <w:bCs/>
                <w:color w:val="auto"/>
                <w:sz w:val="28"/>
                <w:szCs w:val="28"/>
                <w:highlight w:val="none"/>
                <w:lang w:eastAsia="zh-CN"/>
              </w:rPr>
              <w:t>；</w:t>
            </w:r>
          </w:p>
          <w:p w14:paraId="4F73F177">
            <w:pPr>
              <w:pStyle w:val="4"/>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供应商应对其提交的资格审查资料的真实性、有效性、清晰度负责，因上述原因导致资格审查不通过的，由供应商自行承担责任。</w:t>
            </w:r>
          </w:p>
        </w:tc>
      </w:tr>
      <w:tr w14:paraId="423D5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27" w:type="dxa"/>
            <w:noWrap w:val="0"/>
            <w:vAlign w:val="center"/>
          </w:tcPr>
          <w:p w14:paraId="54EABC07">
            <w:pPr>
              <w:spacing w:line="240" w:lineRule="atLeast"/>
              <w:ind w:left="1080" w:leftChars="257"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p>
        </w:tc>
        <w:tc>
          <w:tcPr>
            <w:tcW w:w="7697" w:type="dxa"/>
            <w:gridSpan w:val="2"/>
            <w:noWrap w:val="0"/>
            <w:vAlign w:val="center"/>
          </w:tcPr>
          <w:p w14:paraId="6DA25DE2">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是否允许采购进口产品：</w:t>
            </w:r>
            <w:r>
              <w:rPr>
                <w:rFonts w:hint="eastAsia" w:ascii="仿宋" w:hAnsi="仿宋" w:eastAsia="仿宋" w:cs="仿宋"/>
                <w:color w:val="auto"/>
                <w:sz w:val="28"/>
                <w:szCs w:val="28"/>
                <w:highlight w:val="none"/>
                <w:u w:val="single"/>
              </w:rPr>
              <w:t xml:space="preserve">  否  </w:t>
            </w:r>
            <w:r>
              <w:rPr>
                <w:rFonts w:hint="eastAsia" w:ascii="仿宋" w:hAnsi="仿宋" w:eastAsia="仿宋" w:cs="仿宋"/>
                <w:i/>
                <w:color w:val="auto"/>
                <w:sz w:val="28"/>
                <w:szCs w:val="28"/>
                <w:highlight w:val="none"/>
              </w:rPr>
              <w:t>（是、否）</w:t>
            </w:r>
          </w:p>
        </w:tc>
      </w:tr>
      <w:tr w14:paraId="755E4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27" w:type="dxa"/>
            <w:noWrap w:val="0"/>
            <w:vAlign w:val="center"/>
          </w:tcPr>
          <w:p w14:paraId="512CC2E4">
            <w:pPr>
              <w:spacing w:line="240" w:lineRule="atLeast"/>
              <w:ind w:left="1080" w:leftChars="257"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p>
        </w:tc>
        <w:tc>
          <w:tcPr>
            <w:tcW w:w="7697" w:type="dxa"/>
            <w:gridSpan w:val="2"/>
            <w:noWrap w:val="0"/>
            <w:vAlign w:val="center"/>
          </w:tcPr>
          <w:p w14:paraId="05299A6C">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rPr>
              <w:t>是否为专门面向中小企业采购：</w:t>
            </w:r>
            <w:r>
              <w:rPr>
                <w:rFonts w:hint="eastAsia" w:ascii="仿宋" w:hAnsi="仿宋" w:eastAsia="仿宋" w:cs="仿宋"/>
                <w:color w:val="FF0000"/>
                <w:sz w:val="28"/>
                <w:szCs w:val="28"/>
                <w:highlight w:val="none"/>
                <w:u w:val="single"/>
              </w:rPr>
              <w:t xml:space="preserve">  </w:t>
            </w:r>
            <w:r>
              <w:rPr>
                <w:rFonts w:hint="eastAsia" w:ascii="仿宋" w:hAnsi="仿宋" w:eastAsia="仿宋" w:cs="仿宋"/>
                <w:color w:val="FF0000"/>
                <w:sz w:val="28"/>
                <w:szCs w:val="28"/>
                <w:highlight w:val="none"/>
                <w:u w:val="single"/>
                <w:lang w:val="en-US" w:eastAsia="zh-CN"/>
              </w:rPr>
              <w:t>是</w:t>
            </w:r>
            <w:r>
              <w:rPr>
                <w:rFonts w:hint="eastAsia" w:ascii="仿宋" w:hAnsi="仿宋" w:eastAsia="仿宋" w:cs="仿宋"/>
                <w:color w:val="FF0000"/>
                <w:sz w:val="28"/>
                <w:szCs w:val="28"/>
                <w:highlight w:val="none"/>
                <w:u w:val="single"/>
              </w:rPr>
              <w:t xml:space="preserve">  </w:t>
            </w:r>
            <w:r>
              <w:rPr>
                <w:rFonts w:hint="eastAsia" w:ascii="仿宋" w:hAnsi="仿宋" w:eastAsia="仿宋" w:cs="仿宋"/>
                <w:i/>
                <w:color w:val="FF0000"/>
                <w:sz w:val="28"/>
                <w:szCs w:val="28"/>
                <w:highlight w:val="none"/>
              </w:rPr>
              <w:t>（是、否）</w:t>
            </w:r>
          </w:p>
        </w:tc>
      </w:tr>
      <w:tr w14:paraId="50993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27" w:type="dxa"/>
            <w:noWrap w:val="0"/>
            <w:vAlign w:val="center"/>
          </w:tcPr>
          <w:p w14:paraId="44411F58">
            <w:pPr>
              <w:spacing w:line="240" w:lineRule="atLeast"/>
              <w:ind w:left="1080" w:leftChars="257"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7697" w:type="dxa"/>
            <w:gridSpan w:val="2"/>
            <w:noWrap w:val="0"/>
            <w:vAlign w:val="center"/>
          </w:tcPr>
          <w:p w14:paraId="230F58D7">
            <w:pPr>
              <w:spacing w:line="240" w:lineRule="atLeast"/>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lang w:val="en-US" w:eastAsia="zh-CN"/>
              </w:rPr>
              <w:t>本项目中小企业划型标准为：</w:t>
            </w:r>
            <w:r>
              <w:rPr>
                <w:rFonts w:hint="eastAsia" w:ascii="仿宋" w:hAnsi="仿宋" w:eastAsia="仿宋" w:cs="仿宋"/>
                <w:color w:val="000000"/>
                <w:sz w:val="28"/>
                <w:szCs w:val="28"/>
                <w:highlight w:val="none"/>
                <w:u w:val="single"/>
                <w:lang w:val="en-US" w:eastAsia="zh-CN"/>
              </w:rPr>
              <w:t xml:space="preserve"> 工业</w:t>
            </w:r>
            <w:r>
              <w:rPr>
                <w:rFonts w:hint="eastAsia" w:ascii="仿宋" w:hAnsi="仿宋" w:eastAsia="仿宋" w:cs="仿宋"/>
                <w:color w:val="000000"/>
                <w:sz w:val="28"/>
                <w:szCs w:val="28"/>
                <w:highlight w:val="none"/>
                <w:lang w:val="en-US" w:eastAsia="zh-CN"/>
              </w:rPr>
              <w:t>。（具体划分标准详见附件）</w:t>
            </w:r>
          </w:p>
        </w:tc>
      </w:tr>
      <w:tr w14:paraId="491AA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27" w:type="dxa"/>
            <w:noWrap w:val="0"/>
            <w:vAlign w:val="center"/>
          </w:tcPr>
          <w:p w14:paraId="490D8875">
            <w:pPr>
              <w:spacing w:line="240" w:lineRule="atLeast"/>
              <w:ind w:left="1080" w:leftChars="257"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p>
        </w:tc>
        <w:tc>
          <w:tcPr>
            <w:tcW w:w="7697" w:type="dxa"/>
            <w:gridSpan w:val="2"/>
            <w:noWrap w:val="0"/>
            <w:vAlign w:val="center"/>
          </w:tcPr>
          <w:p w14:paraId="166DD6E6">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是否允许联合体投标：</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49A73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27" w:type="dxa"/>
            <w:noWrap w:val="0"/>
            <w:vAlign w:val="center"/>
          </w:tcPr>
          <w:p w14:paraId="6A249AFE">
            <w:pPr>
              <w:spacing w:line="240" w:lineRule="atLeast"/>
              <w:ind w:left="1080" w:leftChars="257"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7697" w:type="dxa"/>
            <w:gridSpan w:val="2"/>
            <w:noWrap w:val="0"/>
            <w:vAlign w:val="center"/>
          </w:tcPr>
          <w:p w14:paraId="097C1377">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联合体的其他资格要求：</w:t>
            </w:r>
            <w:r>
              <w:rPr>
                <w:rFonts w:hint="eastAsia" w:ascii="仿宋" w:hAnsi="仿宋" w:eastAsia="仿宋" w:cs="仿宋"/>
                <w:b/>
                <w:bCs/>
                <w:color w:val="auto"/>
                <w:sz w:val="28"/>
                <w:szCs w:val="28"/>
                <w:highlight w:val="none"/>
                <w:u w:val="single"/>
              </w:rPr>
              <w:t>本项目不接受联合体投标</w:t>
            </w:r>
          </w:p>
        </w:tc>
      </w:tr>
      <w:tr w14:paraId="3A50F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27" w:type="dxa"/>
            <w:noWrap w:val="0"/>
            <w:vAlign w:val="center"/>
          </w:tcPr>
          <w:p w14:paraId="6A6D2296">
            <w:pPr>
              <w:spacing w:line="240" w:lineRule="atLeast"/>
              <w:ind w:left="1080" w:leftChars="257"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p>
        </w:tc>
        <w:tc>
          <w:tcPr>
            <w:tcW w:w="7697" w:type="dxa"/>
            <w:gridSpan w:val="2"/>
            <w:noWrap w:val="0"/>
            <w:vAlign w:val="center"/>
          </w:tcPr>
          <w:p w14:paraId="2CE2466B">
            <w:pPr>
              <w:spacing w:line="240" w:lineRule="atLeas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项目预算金额：</w:t>
            </w:r>
            <w:r>
              <w:rPr>
                <w:rFonts w:hint="eastAsia" w:ascii="仿宋" w:hAnsi="仿宋" w:eastAsia="仿宋" w:cs="仿宋"/>
                <w:b/>
                <w:bCs/>
                <w:color w:val="auto"/>
                <w:sz w:val="28"/>
                <w:szCs w:val="28"/>
                <w:highlight w:val="none"/>
                <w:lang w:val="en-US" w:eastAsia="zh-CN"/>
              </w:rPr>
              <w:t>4300000</w:t>
            </w:r>
            <w:r>
              <w:rPr>
                <w:rFonts w:hint="eastAsia" w:ascii="仿宋" w:hAnsi="仿宋" w:eastAsia="仿宋" w:cs="仿宋"/>
                <w:b/>
                <w:bCs/>
                <w:color w:val="auto"/>
                <w:sz w:val="28"/>
                <w:szCs w:val="28"/>
                <w:highlight w:val="none"/>
              </w:rPr>
              <w:t>元（</w:t>
            </w:r>
            <w:r>
              <w:rPr>
                <w:rFonts w:hint="eastAsia" w:ascii="仿宋" w:hAnsi="仿宋" w:eastAsia="仿宋" w:cs="仿宋"/>
                <w:b/>
                <w:bCs/>
                <w:color w:val="auto"/>
                <w:sz w:val="28"/>
                <w:szCs w:val="28"/>
                <w:highlight w:val="none"/>
                <w:lang w:val="en-US" w:eastAsia="zh-CN"/>
              </w:rPr>
              <w:t>肆佰叁拾万元整</w:t>
            </w:r>
            <w:r>
              <w:rPr>
                <w:rFonts w:hint="eastAsia" w:ascii="仿宋" w:hAnsi="仿宋" w:eastAsia="仿宋" w:cs="仿宋"/>
                <w:b/>
                <w:bCs/>
                <w:color w:val="auto"/>
                <w:sz w:val="28"/>
                <w:szCs w:val="28"/>
                <w:highlight w:val="none"/>
              </w:rPr>
              <w:t>）；</w:t>
            </w:r>
          </w:p>
          <w:p w14:paraId="07650684">
            <w:pPr>
              <w:spacing w:line="240" w:lineRule="atLeas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本</w:t>
            </w:r>
            <w:r>
              <w:rPr>
                <w:rFonts w:hint="eastAsia" w:ascii="仿宋" w:hAnsi="仿宋" w:eastAsia="仿宋" w:cs="仿宋"/>
                <w:b/>
                <w:bCs/>
                <w:color w:val="auto"/>
                <w:sz w:val="28"/>
                <w:szCs w:val="28"/>
                <w:highlight w:val="none"/>
                <w:lang w:eastAsia="zh-CN"/>
              </w:rPr>
              <w:t>项目</w:t>
            </w:r>
            <w:r>
              <w:rPr>
                <w:rFonts w:hint="eastAsia" w:ascii="仿宋" w:hAnsi="仿宋" w:eastAsia="仿宋" w:cs="仿宋"/>
                <w:b/>
                <w:bCs/>
                <w:color w:val="auto"/>
                <w:sz w:val="28"/>
                <w:szCs w:val="28"/>
                <w:highlight w:val="none"/>
              </w:rPr>
              <w:t>最高限价：</w:t>
            </w:r>
            <w:r>
              <w:rPr>
                <w:rFonts w:hint="eastAsia" w:ascii="仿宋" w:hAnsi="仿宋" w:eastAsia="仿宋" w:cs="仿宋"/>
                <w:b/>
                <w:bCs/>
                <w:color w:val="auto"/>
                <w:sz w:val="28"/>
                <w:szCs w:val="28"/>
                <w:highlight w:val="none"/>
                <w:lang w:val="en-US" w:eastAsia="zh-CN"/>
              </w:rPr>
              <w:t>4300000</w:t>
            </w:r>
            <w:r>
              <w:rPr>
                <w:rFonts w:hint="eastAsia" w:ascii="仿宋" w:hAnsi="仿宋" w:eastAsia="仿宋" w:cs="仿宋"/>
                <w:b/>
                <w:bCs/>
                <w:color w:val="auto"/>
                <w:sz w:val="28"/>
                <w:szCs w:val="28"/>
                <w:highlight w:val="none"/>
              </w:rPr>
              <w:t>元（</w:t>
            </w:r>
            <w:r>
              <w:rPr>
                <w:rFonts w:hint="eastAsia" w:ascii="仿宋" w:hAnsi="仿宋" w:eastAsia="仿宋" w:cs="仿宋"/>
                <w:b/>
                <w:bCs/>
                <w:color w:val="auto"/>
                <w:sz w:val="28"/>
                <w:szCs w:val="28"/>
                <w:highlight w:val="none"/>
                <w:lang w:val="en-US" w:eastAsia="zh-CN"/>
              </w:rPr>
              <w:t>肆佰叁拾万元整</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w:t>
            </w:r>
          </w:p>
        </w:tc>
      </w:tr>
      <w:tr w14:paraId="11CF3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27" w:type="dxa"/>
            <w:noWrap w:val="0"/>
            <w:vAlign w:val="center"/>
          </w:tcPr>
          <w:p w14:paraId="592526DD">
            <w:pPr>
              <w:spacing w:line="240" w:lineRule="atLeast"/>
              <w:ind w:left="1080" w:leftChars="257"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7697" w:type="dxa"/>
            <w:gridSpan w:val="2"/>
            <w:noWrap w:val="0"/>
            <w:vAlign w:val="center"/>
          </w:tcPr>
          <w:p w14:paraId="47E337F6">
            <w:pPr>
              <w:spacing w:line="240" w:lineRule="atLeast"/>
              <w:rPr>
                <w:rFonts w:hint="eastAsia" w:ascii="仿宋" w:hAnsi="仿宋" w:eastAsia="仿宋" w:cs="仿宋"/>
                <w:color w:val="auto"/>
                <w:sz w:val="28"/>
                <w:szCs w:val="28"/>
                <w:highlight w:val="none"/>
                <w:lang w:eastAsia="zh-CN"/>
              </w:rPr>
            </w:pPr>
            <w:r>
              <w:rPr>
                <w:rFonts w:hint="eastAsia" w:ascii="仿宋" w:hAnsi="仿宋" w:eastAsia="仿宋" w:cs="仿宋"/>
                <w:color w:val="000000"/>
                <w:sz w:val="28"/>
                <w:szCs w:val="28"/>
                <w:highlight w:val="none"/>
              </w:rPr>
              <w:t>投标商</w:t>
            </w:r>
            <w:r>
              <w:rPr>
                <w:rFonts w:hint="eastAsia" w:ascii="仿宋" w:hAnsi="仿宋" w:eastAsia="仿宋" w:cs="仿宋"/>
                <w:color w:val="000000"/>
                <w:sz w:val="28"/>
                <w:szCs w:val="28"/>
                <w:highlight w:val="none"/>
                <w:lang w:val="en-US" w:eastAsia="zh-CN"/>
              </w:rPr>
              <w:t>可以</w:t>
            </w:r>
            <w:r>
              <w:rPr>
                <w:rFonts w:hint="eastAsia" w:ascii="仿宋" w:hAnsi="仿宋" w:eastAsia="仿宋" w:cs="仿宋"/>
                <w:color w:val="000000"/>
                <w:sz w:val="28"/>
                <w:szCs w:val="28"/>
                <w:highlight w:val="none"/>
              </w:rPr>
              <w:t>对多个分包进行投标，</w:t>
            </w:r>
            <w:r>
              <w:rPr>
                <w:rFonts w:hint="eastAsia" w:ascii="仿宋" w:hAnsi="仿宋" w:eastAsia="仿宋" w:cs="仿宋"/>
                <w:color w:val="000000"/>
                <w:sz w:val="28"/>
                <w:szCs w:val="28"/>
                <w:highlight w:val="none"/>
                <w:lang w:val="en-US" w:eastAsia="zh-CN"/>
              </w:rPr>
              <w:t>但不</w:t>
            </w:r>
            <w:r>
              <w:rPr>
                <w:rFonts w:hint="eastAsia" w:ascii="仿宋" w:hAnsi="仿宋" w:eastAsia="仿宋" w:cs="仿宋"/>
                <w:color w:val="000000"/>
                <w:sz w:val="28"/>
                <w:szCs w:val="28"/>
                <w:highlight w:val="none"/>
              </w:rPr>
              <w:t>可以中标</w:t>
            </w:r>
            <w:r>
              <w:rPr>
                <w:rFonts w:hint="eastAsia" w:ascii="仿宋" w:hAnsi="仿宋" w:eastAsia="仿宋" w:cs="仿宋"/>
                <w:color w:val="000000"/>
                <w:sz w:val="28"/>
                <w:szCs w:val="28"/>
                <w:highlight w:val="none"/>
                <w:lang w:eastAsia="zh-CN"/>
              </w:rPr>
              <w:t>兼中兼得</w:t>
            </w:r>
            <w:r>
              <w:rPr>
                <w:rFonts w:hint="eastAsia" w:ascii="仿宋" w:hAnsi="仿宋" w:eastAsia="仿宋" w:cs="仿宋"/>
                <w:color w:val="000000"/>
                <w:sz w:val="28"/>
                <w:szCs w:val="28"/>
                <w:highlight w:val="none"/>
              </w:rPr>
              <w:t>。</w:t>
            </w:r>
          </w:p>
        </w:tc>
      </w:tr>
      <w:tr w14:paraId="3728E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27" w:type="dxa"/>
            <w:noWrap w:val="0"/>
            <w:vAlign w:val="center"/>
          </w:tcPr>
          <w:p w14:paraId="1D53DA53">
            <w:pPr>
              <w:spacing w:line="240" w:lineRule="atLeast"/>
              <w:ind w:left="1080" w:leftChars="257"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p>
        </w:tc>
        <w:tc>
          <w:tcPr>
            <w:tcW w:w="7697" w:type="dxa"/>
            <w:gridSpan w:val="2"/>
            <w:noWrap w:val="0"/>
            <w:vAlign w:val="center"/>
          </w:tcPr>
          <w:p w14:paraId="33C6D820">
            <w:pPr>
              <w:spacing w:line="240" w:lineRule="auto"/>
              <w:rPr>
                <w:rFonts w:hint="eastAsia" w:ascii="仿宋" w:hAnsi="仿宋" w:eastAsia="仿宋" w:cs="仿宋"/>
                <w:b/>
                <w:bCs/>
                <w:i w:val="0"/>
                <w:iCs w:val="0"/>
                <w:color w:val="auto"/>
                <w:sz w:val="28"/>
                <w:szCs w:val="28"/>
                <w:highlight w:val="none"/>
                <w:u w:val="single"/>
                <w:lang w:eastAsia="zh-CN"/>
              </w:rPr>
            </w:pPr>
            <w:r>
              <w:rPr>
                <w:rFonts w:hint="eastAsia" w:ascii="仿宋" w:hAnsi="仿宋" w:eastAsia="仿宋" w:cs="仿宋"/>
                <w:b/>
                <w:bCs/>
                <w:i w:val="0"/>
                <w:iCs w:val="0"/>
                <w:color w:val="auto"/>
                <w:sz w:val="28"/>
                <w:szCs w:val="28"/>
                <w:highlight w:val="none"/>
                <w:u w:val="single"/>
              </w:rPr>
              <w:t>保证金形式： 电汇、</w:t>
            </w:r>
            <w:r>
              <w:rPr>
                <w:rFonts w:hint="eastAsia" w:ascii="仿宋" w:hAnsi="仿宋" w:eastAsia="仿宋" w:cs="仿宋"/>
                <w:b/>
                <w:bCs/>
                <w:i w:val="0"/>
                <w:iCs w:val="0"/>
                <w:color w:val="auto"/>
                <w:sz w:val="28"/>
                <w:szCs w:val="28"/>
                <w:highlight w:val="none"/>
                <w:u w:val="single"/>
                <w:lang w:eastAsia="zh-CN"/>
              </w:rPr>
              <w:t>网银</w:t>
            </w:r>
            <w:r>
              <w:rPr>
                <w:rFonts w:hint="eastAsia" w:ascii="仿宋" w:hAnsi="仿宋" w:eastAsia="仿宋" w:cs="仿宋"/>
                <w:b/>
                <w:bCs/>
                <w:i w:val="0"/>
                <w:iCs w:val="0"/>
                <w:color w:val="auto"/>
                <w:sz w:val="28"/>
                <w:szCs w:val="28"/>
                <w:highlight w:val="none"/>
                <w:u w:val="single"/>
              </w:rPr>
              <w:t>转账</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u w:val="single"/>
              </w:rPr>
              <w:t>支票、汇票、本票或者金融机构、担保机构出具的保函等</w:t>
            </w:r>
            <w:r>
              <w:rPr>
                <w:rFonts w:hint="eastAsia" w:ascii="仿宋" w:hAnsi="仿宋" w:eastAsia="仿宋" w:cs="仿宋"/>
                <w:b/>
                <w:bCs/>
                <w:i w:val="0"/>
                <w:iCs w:val="0"/>
                <w:color w:val="auto"/>
                <w:sz w:val="28"/>
                <w:szCs w:val="28"/>
                <w:highlight w:val="none"/>
                <w:u w:val="single"/>
                <w:lang w:eastAsia="zh-CN"/>
              </w:rPr>
              <w:t>；</w:t>
            </w:r>
          </w:p>
          <w:p w14:paraId="357AAD28">
            <w:pPr>
              <w:spacing w:line="240" w:lineRule="auto"/>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u w:val="single"/>
              </w:rPr>
              <w:t>保证金数额：</w:t>
            </w:r>
            <w:r>
              <w:rPr>
                <w:rFonts w:hint="eastAsia" w:ascii="仿宋" w:hAnsi="仿宋" w:eastAsia="仿宋" w:cs="仿宋"/>
                <w:b/>
                <w:bCs/>
                <w:i w:val="0"/>
                <w:iCs w:val="0"/>
                <w:color w:val="auto"/>
                <w:sz w:val="28"/>
                <w:szCs w:val="28"/>
                <w:highlight w:val="none"/>
                <w:u w:val="single"/>
                <w:lang w:val="en-US" w:eastAsia="zh-CN"/>
              </w:rPr>
              <w:t xml:space="preserve"> 86000元</w:t>
            </w:r>
            <w:r>
              <w:rPr>
                <w:rFonts w:hint="eastAsia" w:ascii="仿宋" w:hAnsi="仿宋" w:eastAsia="仿宋" w:cs="仿宋"/>
                <w:b/>
                <w:bCs/>
                <w:i w:val="0"/>
                <w:iCs w:val="0"/>
                <w:color w:val="auto"/>
                <w:sz w:val="28"/>
                <w:szCs w:val="28"/>
                <w:highlight w:val="none"/>
                <w:u w:val="single"/>
              </w:rPr>
              <w:t>（大写：</w:t>
            </w:r>
            <w:r>
              <w:rPr>
                <w:rFonts w:hint="eastAsia" w:ascii="仿宋" w:hAnsi="仿宋" w:eastAsia="仿宋" w:cs="仿宋"/>
                <w:b/>
                <w:bCs/>
                <w:i w:val="0"/>
                <w:iCs w:val="0"/>
                <w:color w:val="auto"/>
                <w:sz w:val="28"/>
                <w:szCs w:val="28"/>
                <w:highlight w:val="none"/>
                <w:u w:val="single"/>
                <w:lang w:val="en-US" w:eastAsia="zh-CN"/>
              </w:rPr>
              <w:t>捌万陆仟元整</w:t>
            </w:r>
            <w:r>
              <w:rPr>
                <w:rFonts w:hint="eastAsia" w:ascii="仿宋" w:hAnsi="仿宋" w:eastAsia="仿宋" w:cs="仿宋"/>
                <w:b/>
                <w:bCs/>
                <w:i w:val="0"/>
                <w:iCs w:val="0"/>
                <w:color w:val="auto"/>
                <w:sz w:val="28"/>
                <w:szCs w:val="28"/>
                <w:highlight w:val="none"/>
                <w:u w:val="single"/>
              </w:rPr>
              <w:t>）</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rPr>
              <w:t>（按照各分包控制金额2%以内的整数计算）</w:t>
            </w:r>
          </w:p>
          <w:p w14:paraId="17BA37B3">
            <w:pPr>
              <w:spacing w:line="240" w:lineRule="auto"/>
              <w:rPr>
                <w:rFonts w:hint="eastAsia" w:ascii="仿宋" w:hAnsi="仿宋" w:eastAsia="仿宋" w:cs="仿宋"/>
                <w:b/>
                <w:bCs/>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u w:val="single"/>
                <w:lang w:val="en-US" w:eastAsia="zh-CN"/>
              </w:rPr>
              <w:t>开户名称：新疆标晟工程管理咨询有限责任公司</w:t>
            </w:r>
          </w:p>
          <w:p w14:paraId="0CA1985C">
            <w:pPr>
              <w:spacing w:line="240" w:lineRule="auto"/>
              <w:rPr>
                <w:rFonts w:hint="eastAsia" w:ascii="仿宋" w:hAnsi="仿宋" w:eastAsia="仿宋" w:cs="仿宋"/>
                <w:b/>
                <w:bCs/>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u w:val="single"/>
                <w:lang w:val="en-US" w:eastAsia="zh-CN"/>
              </w:rPr>
              <w:t xml:space="preserve">行号：105896000305  </w:t>
            </w:r>
          </w:p>
          <w:p w14:paraId="1A7DA723">
            <w:pPr>
              <w:spacing w:line="240" w:lineRule="auto"/>
              <w:rPr>
                <w:rFonts w:hint="eastAsia" w:ascii="仿宋" w:hAnsi="仿宋" w:eastAsia="仿宋" w:cs="仿宋"/>
                <w:b/>
                <w:bCs/>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u w:val="single"/>
                <w:lang w:val="en-US" w:eastAsia="zh-CN"/>
              </w:rPr>
              <w:t>开户账号：65050172864100000819</w:t>
            </w:r>
          </w:p>
          <w:p w14:paraId="21E8F8E7">
            <w:pPr>
              <w:spacing w:line="240" w:lineRule="auto"/>
              <w:rPr>
                <w:rFonts w:hint="eastAsia" w:ascii="仿宋" w:hAnsi="仿宋" w:eastAsia="仿宋" w:cs="仿宋"/>
                <w:b/>
                <w:bCs/>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u w:val="single"/>
                <w:lang w:val="en-US" w:eastAsia="zh-CN"/>
              </w:rPr>
              <w:t>开户银行：中国建设银行股份有限公司和田玉都支行</w:t>
            </w:r>
          </w:p>
          <w:p w14:paraId="350D6876">
            <w:pPr>
              <w:spacing w:line="240" w:lineRule="auto"/>
              <w:rPr>
                <w:rFonts w:hint="eastAsia" w:ascii="仿宋" w:hAnsi="仿宋" w:eastAsia="仿宋" w:cs="仿宋"/>
                <w:b/>
                <w:bCs/>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u w:val="single"/>
                <w:lang w:val="en-US" w:eastAsia="zh-CN"/>
              </w:rPr>
              <w:t>1、打款时注明投标保证金项目名称+项目编号。</w:t>
            </w:r>
          </w:p>
          <w:p w14:paraId="662B48B2">
            <w:pPr>
              <w:spacing w:line="240" w:lineRule="auto"/>
              <w:rPr>
                <w:rFonts w:hint="eastAsia" w:ascii="仿宋" w:hAnsi="仿宋" w:eastAsia="仿宋" w:cs="仿宋"/>
                <w:b/>
                <w:bCs/>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u w:val="single"/>
                <w:lang w:val="en-US" w:eastAsia="zh-CN"/>
              </w:rPr>
              <w:t>2、若采用电汇或转账形式，投标保证金须于投标文件递交截止时间前转入以上指定账户；</w:t>
            </w:r>
          </w:p>
          <w:p w14:paraId="53721227">
            <w:pPr>
              <w:spacing w:line="240" w:lineRule="auto"/>
              <w:rPr>
                <w:rFonts w:hint="eastAsia" w:ascii="仿宋" w:hAnsi="仿宋" w:eastAsia="仿宋" w:cs="仿宋"/>
                <w:b/>
                <w:bCs/>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u w:val="single"/>
                <w:lang w:val="en-US" w:eastAsia="zh-CN"/>
              </w:rPr>
              <w:t>3、将投标保证金缴纳凭证制作在响应文件中。</w:t>
            </w:r>
          </w:p>
          <w:p w14:paraId="04C5FCC6">
            <w:pPr>
              <w:spacing w:line="240" w:lineRule="auto"/>
              <w:rPr>
                <w:rFonts w:hint="eastAsia" w:ascii="仿宋" w:hAnsi="仿宋" w:eastAsia="仿宋" w:cs="仿宋"/>
                <w:i/>
                <w:color w:val="auto"/>
                <w:sz w:val="28"/>
                <w:szCs w:val="28"/>
                <w:highlight w:val="none"/>
              </w:rPr>
            </w:pPr>
            <w:r>
              <w:rPr>
                <w:rFonts w:hint="eastAsia" w:ascii="仿宋" w:hAnsi="仿宋" w:eastAsia="仿宋" w:cs="仿宋"/>
                <w:b/>
                <w:bCs/>
                <w:i w:val="0"/>
                <w:iCs w:val="0"/>
                <w:color w:val="auto"/>
                <w:sz w:val="28"/>
                <w:szCs w:val="28"/>
                <w:highlight w:val="none"/>
                <w:u w:val="single"/>
                <w:lang w:val="en-US" w:eastAsia="zh-CN"/>
              </w:rPr>
              <w:t>4、联系电话：15199813636</w:t>
            </w:r>
          </w:p>
        </w:tc>
      </w:tr>
      <w:tr w14:paraId="2FC77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27" w:type="dxa"/>
            <w:noWrap w:val="0"/>
            <w:vAlign w:val="center"/>
          </w:tcPr>
          <w:p w14:paraId="46EFE9DB">
            <w:pPr>
              <w:spacing w:line="240" w:lineRule="atLeast"/>
              <w:ind w:left="1080" w:leftChars="257"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p>
        </w:tc>
        <w:tc>
          <w:tcPr>
            <w:tcW w:w="7697" w:type="dxa"/>
            <w:gridSpan w:val="2"/>
            <w:noWrap w:val="0"/>
            <w:vAlign w:val="center"/>
          </w:tcPr>
          <w:p w14:paraId="3728F356">
            <w:pPr>
              <w:spacing w:line="240" w:lineRule="atLeas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投标有效期：</w:t>
            </w:r>
            <w:r>
              <w:rPr>
                <w:rFonts w:hint="eastAsia" w:ascii="仿宋" w:hAnsi="仿宋" w:eastAsia="仿宋" w:cs="仿宋"/>
                <w:b/>
                <w:bCs/>
                <w:color w:val="auto"/>
                <w:sz w:val="28"/>
                <w:szCs w:val="28"/>
                <w:highlight w:val="none"/>
                <w:u w:val="single"/>
              </w:rPr>
              <w:t xml:space="preserve"> 90 </w:t>
            </w:r>
            <w:r>
              <w:rPr>
                <w:rFonts w:hint="eastAsia" w:ascii="仿宋" w:hAnsi="仿宋" w:eastAsia="仿宋" w:cs="仿宋"/>
                <w:color w:val="auto"/>
                <w:sz w:val="28"/>
                <w:szCs w:val="28"/>
                <w:highlight w:val="none"/>
              </w:rPr>
              <w:t>日历日</w:t>
            </w:r>
          </w:p>
        </w:tc>
      </w:tr>
      <w:tr w14:paraId="7CFBF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27" w:type="dxa"/>
            <w:noWrap w:val="0"/>
            <w:vAlign w:val="center"/>
          </w:tcPr>
          <w:p w14:paraId="163A415D">
            <w:pPr>
              <w:spacing w:line="240" w:lineRule="atLeast"/>
              <w:ind w:left="1080" w:leftChars="257"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p>
        </w:tc>
        <w:tc>
          <w:tcPr>
            <w:tcW w:w="7697" w:type="dxa"/>
            <w:gridSpan w:val="2"/>
            <w:noWrap w:val="0"/>
            <w:vAlign w:val="center"/>
          </w:tcPr>
          <w:p w14:paraId="1EC212A9">
            <w:pPr>
              <w:spacing w:line="4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0F4E97AA">
            <w:pPr>
              <w:spacing w:line="4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（2）本项目实行网上投标，采用电子投标文件(供应商须使用 CA 加密设备通过政采云电子投标客户端制作投标文件)。若供应商参与投标，自行承担投标一切费用。</w:t>
            </w:r>
          </w:p>
          <w:p w14:paraId="6891CF5B">
            <w:pPr>
              <w:spacing w:line="4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（3）各供应商应在开标前应确保成为新疆政府采购网正式注册入库供应商，并完成 CA 数字证书申领。因未注册入库、未办理 CA 数字证书等原因造成无法投标或投标失败等后果由供应商自行承担。</w:t>
            </w:r>
          </w:p>
          <w:p w14:paraId="7DF27062">
            <w:pPr>
              <w:spacing w:line="4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（4）供应商将政采云电子交易客户端下载、安装完成后，可通过账号密码或CA 登录客户端进行投标文件制作。在使用政采云投标客户端时，建议使用 WIN7及以上操作系统。客户端请至新疆政府采购网 400-881-7190 进行咨询。</w:t>
            </w:r>
          </w:p>
          <w:p w14:paraId="65CD6E6C">
            <w:pPr>
              <w:spacing w:line="4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（5）供应商在开标时须使用制作加密电子投标文件所使用的 CA 锁及电脑，电脑须提前配置好浏览器（建议使用谷歌浏览器），以便开标时解锁。</w:t>
            </w:r>
          </w:p>
          <w:p w14:paraId="6DB65F7F">
            <w:pPr>
              <w:spacing w:line="4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（6）投标保证金缴纳及确认时间：凡拟参加本次招标项目的供应商，必须在开标前将投标保证金汇入指定账户。投标保证金汇款凭证上用途栏应注明。否则，届时其投标将被拒绝。</w:t>
            </w:r>
          </w:p>
          <w:p w14:paraId="18B6ED9F">
            <w:pPr>
              <w:spacing w:line="4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政采云在线客服获取服务支持。 </w:t>
            </w:r>
          </w:p>
          <w:p w14:paraId="45A8C1EA">
            <w:pPr>
              <w:spacing w:line="4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各供应商须在投标截止时间前完成在系统上递交电子招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5F0D73C1">
            <w:pPr>
              <w:spacing w:line="4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各供应商在投标截止时间前将“投标文件”上传至政采云平台。投标文件包括“报价一览表及资格证明文件”与“商务及技术文件”两部分合并成一册。投标文件应按照招标文件规定的格式填写、签署和盖章，并以.jmbs格式上传至政采云开评标平台（投标文件为正本扫描件）。</w:t>
            </w:r>
          </w:p>
          <w:p w14:paraId="6880A862">
            <w:pPr>
              <w:spacing w:line="4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（10）所有供应商应在中标公告公示期结束后2个工作日内将纸质版投标文件邮寄至代理机构备案，纸质版投标文件包括“报价一览表及资格证明文件”和“商务及技术文件”两部分，两部分合订成一册递交。</w:t>
            </w:r>
          </w:p>
          <w:p w14:paraId="2B7C16AD">
            <w:pPr>
              <w:spacing w:line="4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（11）递交数量：正本：壹份、副本：</w:t>
            </w:r>
            <w:r>
              <w:rPr>
                <w:rFonts w:hint="eastAsia" w:ascii="仿宋" w:hAnsi="仿宋" w:eastAsia="仿宋" w:cs="仿宋"/>
                <w:b/>
                <w:bCs/>
                <w:color w:val="auto"/>
                <w:sz w:val="28"/>
                <w:szCs w:val="28"/>
                <w:highlight w:val="none"/>
                <w:lang w:eastAsia="zh-CN"/>
              </w:rPr>
              <w:t>叁</w:t>
            </w:r>
            <w:r>
              <w:rPr>
                <w:rFonts w:hint="eastAsia" w:ascii="仿宋" w:hAnsi="仿宋" w:eastAsia="仿宋" w:cs="仿宋"/>
                <w:b/>
                <w:bCs/>
                <w:color w:val="auto"/>
                <w:sz w:val="28"/>
                <w:szCs w:val="28"/>
                <w:highlight w:val="none"/>
              </w:rPr>
              <w:t>份；电子文档1份（以正本为准，副本可以是正本的复印件）</w:t>
            </w:r>
          </w:p>
          <w:p w14:paraId="772B5006">
            <w:pPr>
              <w:spacing w:line="400" w:lineRule="exact"/>
              <w:jc w:val="left"/>
              <w:rPr>
                <w:rFonts w:hint="eastAsia" w:ascii="仿宋" w:hAnsi="仿宋" w:eastAsia="仿宋" w:cs="仿宋"/>
                <w:b/>
                <w:bCs/>
                <w:color w:val="auto"/>
                <w:sz w:val="28"/>
                <w:szCs w:val="28"/>
                <w:highlight w:val="none"/>
              </w:rPr>
            </w:pPr>
            <w:bookmarkStart w:id="536" w:name="_Toc14647"/>
            <w:r>
              <w:rPr>
                <w:rFonts w:hint="eastAsia" w:ascii="仿宋" w:hAnsi="仿宋" w:eastAsia="仿宋" w:cs="仿宋"/>
                <w:b/>
                <w:bCs/>
                <w:color w:val="auto"/>
                <w:sz w:val="28"/>
                <w:szCs w:val="28"/>
                <w:highlight w:val="none"/>
              </w:rPr>
              <w:t>纸质投标文件的签署及规定：</w:t>
            </w:r>
            <w:bookmarkEnd w:id="536"/>
            <w:r>
              <w:rPr>
                <w:rFonts w:hint="eastAsia" w:ascii="仿宋" w:hAnsi="仿宋" w:eastAsia="仿宋" w:cs="仿宋"/>
                <w:b/>
                <w:bCs/>
                <w:color w:val="auto"/>
                <w:sz w:val="28"/>
                <w:szCs w:val="28"/>
                <w:highlight w:val="none"/>
              </w:rPr>
              <w:t>投标文件的正副本需打印或用不褪色墨水书写，并由供应商的法定代表人或经其正式委托代理人按招标文件规定在投标文件上签字或盖章，并加盖单位印章。</w:t>
            </w:r>
          </w:p>
          <w:p w14:paraId="2DBDB424">
            <w:pPr>
              <w:spacing w:line="400" w:lineRule="exact"/>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（12）投标文件解密时长（分钟）为30分钟。</w:t>
            </w:r>
          </w:p>
        </w:tc>
      </w:tr>
      <w:tr w14:paraId="1C2AE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27" w:type="dxa"/>
            <w:noWrap w:val="0"/>
            <w:vAlign w:val="center"/>
          </w:tcPr>
          <w:p w14:paraId="4C8A0104">
            <w:pPr>
              <w:spacing w:line="240" w:lineRule="atLeast"/>
              <w:ind w:left="1080" w:leftChars="257"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p>
        </w:tc>
        <w:tc>
          <w:tcPr>
            <w:tcW w:w="7697" w:type="dxa"/>
            <w:gridSpan w:val="2"/>
            <w:noWrap w:val="0"/>
            <w:vAlign w:val="center"/>
          </w:tcPr>
          <w:p w14:paraId="56E8DBE6">
            <w:pPr>
              <w:spacing w:line="240" w:lineRule="atLeas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投标截止时间：</w:t>
            </w:r>
            <w:r>
              <w:rPr>
                <w:rFonts w:hint="eastAsia" w:ascii="仿宋" w:hAnsi="仿宋" w:eastAsia="仿宋" w:cs="仿宋"/>
                <w:color w:val="000000"/>
                <w:sz w:val="28"/>
                <w:szCs w:val="28"/>
                <w:highlight w:val="none"/>
                <w:lang w:eastAsia="zh-CN"/>
              </w:rPr>
              <w:t>202</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0时（北京时间）</w:t>
            </w:r>
          </w:p>
        </w:tc>
      </w:tr>
      <w:tr w14:paraId="54726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27" w:type="dxa"/>
            <w:noWrap w:val="0"/>
            <w:vAlign w:val="center"/>
          </w:tcPr>
          <w:p w14:paraId="21614889">
            <w:pPr>
              <w:spacing w:line="240" w:lineRule="atLeast"/>
              <w:ind w:left="1080" w:leftChars="257"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p>
        </w:tc>
        <w:tc>
          <w:tcPr>
            <w:tcW w:w="7697" w:type="dxa"/>
            <w:gridSpan w:val="2"/>
            <w:noWrap w:val="0"/>
            <w:vAlign w:val="center"/>
          </w:tcPr>
          <w:p w14:paraId="7422CF76">
            <w:pPr>
              <w:spacing w:line="240" w:lineRule="atLeas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开标时间：</w:t>
            </w:r>
            <w:r>
              <w:rPr>
                <w:rFonts w:hint="eastAsia" w:ascii="仿宋" w:hAnsi="仿宋" w:eastAsia="仿宋" w:cs="仿宋"/>
                <w:color w:val="000000"/>
                <w:sz w:val="28"/>
                <w:szCs w:val="28"/>
                <w:highlight w:val="none"/>
                <w:lang w:eastAsia="zh-CN"/>
              </w:rPr>
              <w:t>202</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rPr>
              <w:t>11:</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0时（北京时间）</w:t>
            </w:r>
          </w:p>
          <w:p w14:paraId="6FBF7BCB">
            <w:pPr>
              <w:spacing w:line="240" w:lineRule="atLeast"/>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开标地点：政采云平台（https://login.zcygov.cn/user-login/#/login）</w:t>
            </w:r>
          </w:p>
        </w:tc>
      </w:tr>
      <w:tr w14:paraId="4C79F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27" w:type="dxa"/>
            <w:noWrap w:val="0"/>
            <w:vAlign w:val="center"/>
          </w:tcPr>
          <w:p w14:paraId="5398E203">
            <w:pPr>
              <w:spacing w:line="240" w:lineRule="atLeast"/>
              <w:ind w:left="1080" w:leftChars="257"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7697" w:type="dxa"/>
            <w:gridSpan w:val="2"/>
            <w:noWrap w:val="0"/>
            <w:vAlign w:val="center"/>
          </w:tcPr>
          <w:p w14:paraId="40BB3CE0">
            <w:pPr>
              <w:spacing w:line="240" w:lineRule="atLeast"/>
              <w:rPr>
                <w:rFonts w:hint="eastAsia" w:ascii="仿宋" w:hAnsi="仿宋" w:eastAsia="仿宋" w:cs="仿宋"/>
                <w:i/>
                <w:color w:val="auto"/>
                <w:sz w:val="28"/>
                <w:szCs w:val="28"/>
                <w:highlight w:val="none"/>
              </w:rPr>
            </w:pPr>
            <w:r>
              <w:rPr>
                <w:rFonts w:hint="eastAsia" w:ascii="仿宋" w:hAnsi="仿宋" w:eastAsia="仿宋" w:cs="仿宋"/>
                <w:color w:val="auto"/>
                <w:sz w:val="28"/>
                <w:szCs w:val="28"/>
                <w:highlight w:val="none"/>
              </w:rPr>
              <w:t>本项目评审方法：适用</w:t>
            </w:r>
            <w:r>
              <w:rPr>
                <w:rFonts w:hint="eastAsia" w:ascii="仿宋" w:hAnsi="仿宋" w:eastAsia="仿宋" w:cs="仿宋"/>
                <w:b/>
                <w:bCs/>
                <w:color w:val="auto"/>
                <w:sz w:val="28"/>
                <w:szCs w:val="28"/>
                <w:highlight w:val="none"/>
                <w:u w:val="single"/>
              </w:rPr>
              <w:t>综合评分法</w:t>
            </w:r>
            <w:r>
              <w:rPr>
                <w:rFonts w:hint="eastAsia" w:ascii="仿宋" w:hAnsi="仿宋" w:eastAsia="仿宋" w:cs="仿宋"/>
                <w:color w:val="auto"/>
                <w:sz w:val="28"/>
                <w:szCs w:val="28"/>
                <w:highlight w:val="none"/>
                <w:u w:val="single"/>
              </w:rPr>
              <w:t>。</w:t>
            </w:r>
          </w:p>
        </w:tc>
      </w:tr>
      <w:tr w14:paraId="71E0C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27" w:type="dxa"/>
            <w:noWrap w:val="0"/>
            <w:vAlign w:val="center"/>
          </w:tcPr>
          <w:p w14:paraId="11B116CA">
            <w:pPr>
              <w:spacing w:line="240" w:lineRule="atLeast"/>
              <w:ind w:left="1080" w:leftChars="257"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w:t>
            </w:r>
          </w:p>
        </w:tc>
        <w:tc>
          <w:tcPr>
            <w:tcW w:w="7697" w:type="dxa"/>
            <w:gridSpan w:val="2"/>
            <w:noWrap w:val="0"/>
            <w:vAlign w:val="center"/>
          </w:tcPr>
          <w:p w14:paraId="5B22E9C7">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推荐中标候选供应商的数量：</w:t>
            </w:r>
            <w:r>
              <w:rPr>
                <w:rFonts w:hint="eastAsia" w:ascii="仿宋" w:hAnsi="仿宋" w:eastAsia="仿宋" w:cs="仿宋"/>
                <w:color w:val="auto"/>
                <w:sz w:val="28"/>
                <w:szCs w:val="28"/>
                <w:highlight w:val="none"/>
                <w:u w:val="single"/>
              </w:rPr>
              <w:t xml:space="preserve"> 3家 。</w:t>
            </w:r>
          </w:p>
        </w:tc>
      </w:tr>
      <w:tr w14:paraId="2C88D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27" w:type="dxa"/>
            <w:noWrap w:val="0"/>
            <w:vAlign w:val="center"/>
          </w:tcPr>
          <w:p w14:paraId="05AC23F0">
            <w:pPr>
              <w:spacing w:line="240" w:lineRule="atLeast"/>
              <w:ind w:left="1080" w:leftChars="257"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7697" w:type="dxa"/>
            <w:gridSpan w:val="2"/>
            <w:noWrap w:val="0"/>
            <w:vAlign w:val="center"/>
          </w:tcPr>
          <w:p w14:paraId="1925F787">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招标人是否委托评标委员会直接确定中标人：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1D511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27" w:type="dxa"/>
            <w:noWrap w:val="0"/>
            <w:vAlign w:val="center"/>
          </w:tcPr>
          <w:p w14:paraId="24344E5E">
            <w:pPr>
              <w:spacing w:line="240" w:lineRule="atLeast"/>
              <w:ind w:left="1080" w:leftChars="257"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7697" w:type="dxa"/>
            <w:gridSpan w:val="2"/>
            <w:noWrap w:val="0"/>
            <w:vAlign w:val="center"/>
          </w:tcPr>
          <w:p w14:paraId="684A25CA">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履约保证金金额：合同总价的</w:t>
            </w:r>
            <w:r>
              <w:rPr>
                <w:rFonts w:hint="eastAsia" w:ascii="仿宋" w:hAnsi="仿宋" w:eastAsia="仿宋" w:cs="仿宋"/>
                <w:color w:val="0000FF"/>
                <w:sz w:val="28"/>
                <w:szCs w:val="28"/>
                <w:highlight w:val="none"/>
                <w:lang w:val="en-US" w:eastAsia="zh-CN"/>
              </w:rPr>
              <w:t>5</w:t>
            </w:r>
            <w:r>
              <w:rPr>
                <w:rFonts w:hint="eastAsia" w:ascii="仿宋" w:hAnsi="仿宋" w:eastAsia="仿宋" w:cs="仿宋"/>
                <w:color w:val="0000FF"/>
                <w:sz w:val="28"/>
                <w:szCs w:val="28"/>
                <w:highlight w:val="none"/>
              </w:rPr>
              <w:t>%</w:t>
            </w:r>
            <w:r>
              <w:rPr>
                <w:rFonts w:hint="eastAsia" w:ascii="仿宋" w:hAnsi="仿宋" w:eastAsia="仿宋" w:cs="仿宋"/>
                <w:color w:val="auto"/>
                <w:sz w:val="28"/>
                <w:szCs w:val="28"/>
                <w:highlight w:val="none"/>
              </w:rPr>
              <w:t xml:space="preserve"> （不得超过政府采购合同金额的</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p>
        </w:tc>
      </w:tr>
      <w:tr w14:paraId="02A37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27" w:type="dxa"/>
            <w:noWrap w:val="0"/>
            <w:vAlign w:val="center"/>
          </w:tcPr>
          <w:p w14:paraId="6CCF4A58">
            <w:pPr>
              <w:spacing w:line="240" w:lineRule="atLeast"/>
              <w:ind w:left="1080" w:leftChars="257"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7697" w:type="dxa"/>
            <w:gridSpan w:val="2"/>
            <w:noWrap w:val="0"/>
            <w:vAlign w:val="center"/>
          </w:tcPr>
          <w:p w14:paraId="7603BD6D">
            <w:pPr>
              <w:spacing w:line="240" w:lineRule="atLeas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中标服务费：招标代理服务费按发改价格(2015)299号执行，参考《招标代理服务收费管理暂行办法》(计价格(2002)1980号)按差额累积法计算收取，由中标单位支付</w:t>
            </w:r>
            <w:r>
              <w:rPr>
                <w:rFonts w:hint="eastAsia" w:ascii="仿宋" w:hAnsi="仿宋" w:eastAsia="仿宋" w:cs="仿宋"/>
                <w:color w:val="auto"/>
                <w:sz w:val="28"/>
                <w:szCs w:val="28"/>
                <w:highlight w:val="none"/>
                <w:lang w:eastAsia="zh-CN"/>
              </w:rPr>
              <w:t>。</w:t>
            </w:r>
          </w:p>
          <w:p w14:paraId="7BB6F388">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支付形式：转账  </w:t>
            </w:r>
          </w:p>
          <w:p w14:paraId="71B68001">
            <w:pPr>
              <w:spacing w:line="240" w:lineRule="atLeas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支付时间：领取</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通知书时</w:t>
            </w:r>
            <w:r>
              <w:rPr>
                <w:rFonts w:hint="eastAsia" w:ascii="仿宋" w:hAnsi="仿宋" w:eastAsia="仿宋" w:cs="仿宋"/>
                <w:color w:val="auto"/>
                <w:sz w:val="28"/>
                <w:szCs w:val="28"/>
                <w:highlight w:val="none"/>
                <w:lang w:eastAsia="zh-CN"/>
              </w:rPr>
              <w:t>一次性支付</w:t>
            </w:r>
          </w:p>
        </w:tc>
      </w:tr>
      <w:tr w14:paraId="02146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27" w:type="dxa"/>
            <w:noWrap w:val="0"/>
            <w:vAlign w:val="center"/>
          </w:tcPr>
          <w:p w14:paraId="521CF189">
            <w:pPr>
              <w:spacing w:line="240" w:lineRule="atLeast"/>
              <w:ind w:left="1080" w:leftChars="257"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7697" w:type="dxa"/>
            <w:gridSpan w:val="2"/>
            <w:noWrap w:val="0"/>
            <w:vAlign w:val="center"/>
          </w:tcPr>
          <w:p w14:paraId="19AEF37D">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本项目是否属于信用担保试点范围：</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3B5E8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27" w:type="dxa"/>
            <w:noWrap w:val="0"/>
            <w:vAlign w:val="center"/>
          </w:tcPr>
          <w:p w14:paraId="706E14C2">
            <w:pPr>
              <w:spacing w:line="240" w:lineRule="atLeast"/>
              <w:ind w:left="1080" w:leftChars="257"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w:t>
            </w:r>
          </w:p>
        </w:tc>
        <w:tc>
          <w:tcPr>
            <w:tcW w:w="7697" w:type="dxa"/>
            <w:gridSpan w:val="2"/>
            <w:noWrap w:val="0"/>
            <w:vAlign w:val="center"/>
          </w:tcPr>
          <w:p w14:paraId="36424CC5">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1.政府采购信用担保机构：</w:t>
            </w:r>
          </w:p>
          <w:p w14:paraId="036DF1BE">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所有政府采购项目的信用担保专业的担保机构</w:t>
            </w:r>
          </w:p>
          <w:p w14:paraId="162A840A">
            <w:pPr>
              <w:spacing w:line="240" w:lineRule="atLeast"/>
              <w:ind w:left="-48" w:leftChars="-23"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可承接政府采购项目的信用担保专业的担保机构出具的保函</w:t>
            </w:r>
          </w:p>
          <w:p w14:paraId="67DBD861">
            <w:pPr>
              <w:spacing w:line="240" w:lineRule="atLeast"/>
              <w:ind w:left="-48" w:leftChars="-23"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2.本项目采购人本级和上级财政部门政府采购有关规定增加的担保机构：</w:t>
            </w:r>
          </w:p>
        </w:tc>
      </w:tr>
      <w:tr w14:paraId="7AAE3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27" w:type="dxa"/>
            <w:noWrap w:val="0"/>
            <w:vAlign w:val="center"/>
          </w:tcPr>
          <w:p w14:paraId="51F475E9">
            <w:pPr>
              <w:spacing w:line="240" w:lineRule="atLeast"/>
              <w:ind w:left="1080" w:leftChars="257" w:hanging="54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w:t>
            </w:r>
          </w:p>
        </w:tc>
        <w:tc>
          <w:tcPr>
            <w:tcW w:w="7697" w:type="dxa"/>
            <w:gridSpan w:val="2"/>
            <w:noWrap w:val="0"/>
            <w:vAlign w:val="center"/>
          </w:tcPr>
          <w:p w14:paraId="1638C7FB">
            <w:pPr>
              <w:spacing w:line="240" w:lineRule="atLeast"/>
              <w:ind w:left="-48" w:leftChars="-23" w:firstLine="56" w:firstLineChars="2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低于成本价不正当竞争预防措施</w:t>
            </w:r>
            <w:r>
              <w:rPr>
                <w:rFonts w:hint="eastAsia" w:ascii="仿宋" w:hAnsi="仿宋" w:eastAsia="仿宋" w:cs="仿宋"/>
                <w:color w:val="auto"/>
                <w:sz w:val="28"/>
                <w:szCs w:val="28"/>
                <w:highlight w:val="none"/>
                <w:lang w:eastAsia="zh-CN"/>
              </w:rPr>
              <w:t>：在评标过程中,评标委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FBC8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124" w:type="dxa"/>
            <w:gridSpan w:val="3"/>
            <w:tcBorders>
              <w:top w:val="single" w:color="auto" w:sz="12" w:space="0"/>
              <w:left w:val="single" w:color="auto" w:sz="12" w:space="0"/>
              <w:bottom w:val="single" w:color="auto" w:sz="12" w:space="0"/>
              <w:right w:val="single" w:color="auto" w:sz="12" w:space="0"/>
            </w:tcBorders>
            <w:noWrap w:val="0"/>
            <w:vAlign w:val="center"/>
          </w:tcPr>
          <w:p w14:paraId="1C9F0B89">
            <w:pPr>
              <w:spacing w:line="240" w:lineRule="atLeast"/>
              <w:ind w:left="1080"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适用于本投标人须知的</w:t>
            </w:r>
            <w:r>
              <w:rPr>
                <w:rFonts w:hint="eastAsia" w:ascii="仿宋" w:hAnsi="仿宋" w:eastAsia="仿宋" w:cs="仿宋"/>
                <w:color w:val="auto"/>
                <w:sz w:val="28"/>
                <w:szCs w:val="28"/>
                <w:highlight w:val="none"/>
                <w:lang w:eastAsia="zh-CN"/>
              </w:rPr>
              <w:t>其他说明</w:t>
            </w:r>
            <w:r>
              <w:rPr>
                <w:rFonts w:hint="eastAsia" w:ascii="仿宋" w:hAnsi="仿宋" w:eastAsia="仿宋" w:cs="仿宋"/>
                <w:color w:val="auto"/>
                <w:sz w:val="28"/>
                <w:szCs w:val="28"/>
                <w:highlight w:val="none"/>
              </w:rPr>
              <w:t>：</w:t>
            </w:r>
          </w:p>
        </w:tc>
      </w:tr>
      <w:tr w14:paraId="310E9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7FD60D7A">
            <w:pPr>
              <w:spacing w:line="240" w:lineRule="atLeast"/>
              <w:ind w:left="1080" w:leftChars="257"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p>
        </w:tc>
        <w:tc>
          <w:tcPr>
            <w:tcW w:w="7319" w:type="dxa"/>
            <w:noWrap w:val="0"/>
            <w:vAlign w:val="center"/>
          </w:tcPr>
          <w:p w14:paraId="7B16FC20">
            <w:pPr>
              <w:spacing w:line="240" w:lineRule="atLeas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本项目实行电子招投标，供应商需要使用CA加密设备，凡参加本项目须自行购买与政采云平台完成对接的CA设备，如需购买新疆CA可访问新疆数字证书认证中心官方网站（</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1"/>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https://www.xjca.com.cn/）或下载“新疆政务通”APP自行进行申领，也可以到其全疆各服务机构现场办理。</w:t>
            </w:r>
          </w:p>
          <w:p w14:paraId="560E617F">
            <w:pPr>
              <w:spacing w:line="240" w:lineRule="atLeas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（1）各供应商应在开标前确保成为新疆维吾尔自治区政府采购网正式注册入库供应商，并完成CA数字证书申领。因未注册入库、未办理CA数字证书等原因造成无法投标或投标失败等后果由供应商自行承担。</w:t>
            </w:r>
          </w:p>
          <w:p w14:paraId="399861C3">
            <w:pPr>
              <w:spacing w:line="240" w:lineRule="atLeas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（2）供应商须登录政采云平台申请获取招标文件，提前下载并安装政采云投标客户端、CA驱动程序后，通过政采云电子投标客户端制作投标文件，同时自行承担与投标有关的一切费用。</w:t>
            </w:r>
          </w:p>
          <w:p w14:paraId="7357D928">
            <w:pPr>
              <w:spacing w:line="240" w:lineRule="atLeas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（3）供应商在使用政采云投标客户端时，建议使用WIN7（64位）及以上操作系统。客户端和驱动程序请至新疆政府采购网（</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21"/>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p>
          <w:p w14:paraId="5EA6DF69">
            <w:pPr>
              <w:spacing w:line="240" w:lineRule="atLeast"/>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（4）本项目采用不见面开标，供应商须在投标截止时间前通过CA在政采云平台上传加密的电子投标文件。备注：供应商对不见面开评标系统的技术操作咨询，可通过</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21"/>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https://edu.zcygov.cn/luban/xinjiang-e-biding自助查询，也可在政采云帮助中心常见问题解答和操作流程讲解视频中自助查询，网址为：</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21"/>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7AE66BEC">
            <w:pPr>
              <w:spacing w:line="240" w:lineRule="atLeas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042F61C4">
            <w:pPr>
              <w:spacing w:line="240" w:lineRule="atLeas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6）交易系统出现重大故障（例如软硬件、供电、线路等故障)或交易系统被入侵以及不可抗力，致使交易系统不能正常运行的或继续交易违反政府采购的公平竞争原则、公正原则的，采购人和代理机构可以采取中止采购、重新采购等措施，供应商各自承担因此造成的损失。</w:t>
            </w:r>
          </w:p>
        </w:tc>
      </w:tr>
    </w:tbl>
    <w:p w14:paraId="7EB66067">
      <w:pPr>
        <w:spacing w:line="240" w:lineRule="atLeast"/>
        <w:ind w:left="1080" w:leftChars="257" w:hanging="540"/>
        <w:rPr>
          <w:rFonts w:hint="eastAsia" w:ascii="仿宋" w:hAnsi="仿宋" w:eastAsia="仿宋" w:cs="仿宋"/>
          <w:color w:val="auto"/>
          <w:sz w:val="24"/>
          <w:highlight w:val="none"/>
        </w:rPr>
        <w:sectPr>
          <w:pgSz w:w="11906" w:h="16838"/>
          <w:pgMar w:top="1417" w:right="1417" w:bottom="1417" w:left="1417" w:header="851" w:footer="992" w:gutter="0"/>
          <w:cols w:space="720" w:num="1"/>
          <w:docGrid w:linePitch="312" w:charSpace="0"/>
        </w:sectPr>
      </w:pPr>
    </w:p>
    <w:p w14:paraId="15ABC074">
      <w:pPr>
        <w:widowControl/>
        <w:jc w:val="center"/>
        <w:outlineLvl w:val="1"/>
        <w:rPr>
          <w:rFonts w:hint="eastAsia" w:ascii="仿宋" w:hAnsi="仿宋" w:eastAsia="仿宋" w:cs="仿宋"/>
          <w:b/>
          <w:color w:val="auto"/>
          <w:kern w:val="0"/>
          <w:sz w:val="28"/>
          <w:szCs w:val="28"/>
          <w:highlight w:val="none"/>
          <w:lang w:eastAsia="zh-CN"/>
        </w:rPr>
      </w:pPr>
      <w:bookmarkStart w:id="537" w:name="_Toc18981"/>
      <w:bookmarkStart w:id="538" w:name="_Toc26201"/>
      <w:bookmarkStart w:id="539" w:name="_Toc7453"/>
      <w:bookmarkStart w:id="540" w:name="_Toc25413"/>
      <w:bookmarkStart w:id="541" w:name="_Toc216513787"/>
      <w:bookmarkStart w:id="542" w:name="_Toc219175635"/>
      <w:bookmarkStart w:id="543" w:name="_Toc216582811"/>
      <w:bookmarkStart w:id="544" w:name="_Toc218935351"/>
      <w:r>
        <w:rPr>
          <w:rFonts w:hint="eastAsia" w:ascii="仿宋" w:hAnsi="仿宋" w:eastAsia="仿宋" w:cs="仿宋"/>
          <w:b/>
          <w:color w:val="auto"/>
          <w:kern w:val="0"/>
          <w:sz w:val="28"/>
          <w:szCs w:val="28"/>
          <w:highlight w:val="none"/>
        </w:rPr>
        <w:t>资格审查表</w:t>
      </w:r>
      <w:bookmarkEnd w:id="537"/>
      <w:bookmarkEnd w:id="538"/>
      <w:bookmarkEnd w:id="539"/>
      <w:bookmarkEnd w:id="540"/>
      <w:r>
        <w:rPr>
          <w:rFonts w:hint="eastAsia" w:ascii="仿宋" w:hAnsi="仿宋" w:eastAsia="仿宋" w:cs="仿宋"/>
          <w:b/>
          <w:color w:val="auto"/>
          <w:kern w:val="0"/>
          <w:sz w:val="28"/>
          <w:szCs w:val="28"/>
          <w:highlight w:val="none"/>
          <w:lang w:eastAsia="zh-CN"/>
        </w:rPr>
        <w:t>（</w:t>
      </w:r>
      <w:r>
        <w:rPr>
          <w:rFonts w:hint="eastAsia" w:ascii="仿宋" w:hAnsi="仿宋" w:eastAsia="仿宋" w:cs="仿宋"/>
          <w:b/>
          <w:color w:val="auto"/>
          <w:kern w:val="0"/>
          <w:sz w:val="28"/>
          <w:szCs w:val="28"/>
          <w:highlight w:val="none"/>
          <w:lang w:val="en-US" w:eastAsia="zh-CN"/>
        </w:rPr>
        <w:t>一包</w:t>
      </w:r>
      <w:r>
        <w:rPr>
          <w:rFonts w:hint="eastAsia" w:ascii="仿宋" w:hAnsi="仿宋" w:eastAsia="仿宋" w:cs="仿宋"/>
          <w:b/>
          <w:color w:val="auto"/>
          <w:kern w:val="0"/>
          <w:sz w:val="28"/>
          <w:szCs w:val="28"/>
          <w:highlight w:val="none"/>
          <w:lang w:eastAsia="zh-CN"/>
        </w:rPr>
        <w:t>）</w:t>
      </w:r>
    </w:p>
    <w:tbl>
      <w:tblPr>
        <w:tblStyle w:val="19"/>
        <w:tblW w:w="4996" w:type="pct"/>
        <w:tblInd w:w="0" w:type="dxa"/>
        <w:tblLayout w:type="autofit"/>
        <w:tblCellMar>
          <w:top w:w="0" w:type="dxa"/>
          <w:left w:w="108" w:type="dxa"/>
          <w:bottom w:w="0" w:type="dxa"/>
          <w:right w:w="108" w:type="dxa"/>
        </w:tblCellMar>
      </w:tblPr>
      <w:tblGrid>
        <w:gridCol w:w="614"/>
        <w:gridCol w:w="824"/>
        <w:gridCol w:w="1143"/>
        <w:gridCol w:w="1174"/>
        <w:gridCol w:w="1870"/>
        <w:gridCol w:w="2015"/>
        <w:gridCol w:w="1461"/>
        <w:gridCol w:w="2282"/>
        <w:gridCol w:w="1308"/>
        <w:gridCol w:w="711"/>
        <w:gridCol w:w="807"/>
      </w:tblGrid>
      <w:tr w14:paraId="63FC9FE2">
        <w:tblPrEx>
          <w:tblCellMar>
            <w:top w:w="0" w:type="dxa"/>
            <w:left w:w="108" w:type="dxa"/>
            <w:bottom w:w="0" w:type="dxa"/>
            <w:right w:w="108" w:type="dxa"/>
          </w:tblCellMar>
        </w:tblPrEx>
        <w:trPr>
          <w:trHeight w:val="563" w:hRule="atLeast"/>
        </w:trPr>
        <w:tc>
          <w:tcPr>
            <w:tcW w:w="216" w:type="pct"/>
            <w:vMerge w:val="restart"/>
            <w:tcBorders>
              <w:top w:val="single" w:color="auto" w:sz="4" w:space="0"/>
              <w:left w:val="single" w:color="auto" w:sz="4" w:space="0"/>
              <w:bottom w:val="single" w:color="auto" w:sz="4" w:space="0"/>
              <w:right w:val="single" w:color="auto" w:sz="4" w:space="0"/>
            </w:tcBorders>
            <w:noWrap w:val="0"/>
            <w:vAlign w:val="center"/>
          </w:tcPr>
          <w:p w14:paraId="1897B314">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投标人名称</w:t>
            </w:r>
          </w:p>
        </w:tc>
        <w:tc>
          <w:tcPr>
            <w:tcW w:w="4783" w:type="pct"/>
            <w:gridSpan w:val="10"/>
            <w:tcBorders>
              <w:top w:val="single" w:color="auto" w:sz="4" w:space="0"/>
              <w:left w:val="nil"/>
              <w:bottom w:val="single" w:color="auto" w:sz="4" w:space="0"/>
              <w:right w:val="single" w:color="auto" w:sz="4" w:space="0"/>
            </w:tcBorders>
            <w:noWrap w:val="0"/>
            <w:vAlign w:val="center"/>
          </w:tcPr>
          <w:p w14:paraId="560D0D42">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结论</w:t>
            </w:r>
          </w:p>
        </w:tc>
      </w:tr>
      <w:tr w14:paraId="31EFF9F4">
        <w:tblPrEx>
          <w:tblCellMar>
            <w:top w:w="0" w:type="dxa"/>
            <w:left w:w="108" w:type="dxa"/>
            <w:bottom w:w="0" w:type="dxa"/>
            <w:right w:w="108" w:type="dxa"/>
          </w:tblCellMar>
        </w:tblPrEx>
        <w:trPr>
          <w:trHeight w:val="6962" w:hRule="atLeast"/>
        </w:trPr>
        <w:tc>
          <w:tcPr>
            <w:tcW w:w="216" w:type="pct"/>
            <w:vMerge w:val="continue"/>
            <w:tcBorders>
              <w:top w:val="single" w:color="auto" w:sz="4" w:space="0"/>
              <w:left w:val="single" w:color="auto" w:sz="4" w:space="0"/>
              <w:bottom w:val="single" w:color="auto" w:sz="4" w:space="0"/>
              <w:right w:val="single" w:color="auto" w:sz="4" w:space="0"/>
            </w:tcBorders>
            <w:noWrap w:val="0"/>
            <w:vAlign w:val="center"/>
          </w:tcPr>
          <w:p w14:paraId="483511EA">
            <w:pPr>
              <w:widowControl/>
              <w:jc w:val="left"/>
              <w:rPr>
                <w:rFonts w:hint="eastAsia" w:ascii="仿宋" w:hAnsi="仿宋" w:eastAsia="仿宋" w:cs="仿宋"/>
                <w:color w:val="auto"/>
                <w:kern w:val="0"/>
                <w:sz w:val="28"/>
                <w:szCs w:val="28"/>
                <w:highlight w:val="none"/>
              </w:rPr>
            </w:pPr>
          </w:p>
        </w:tc>
        <w:tc>
          <w:tcPr>
            <w:tcW w:w="290" w:type="pct"/>
            <w:tcBorders>
              <w:top w:val="nil"/>
              <w:left w:val="nil"/>
              <w:bottom w:val="single" w:color="auto" w:sz="4" w:space="0"/>
              <w:right w:val="single" w:color="auto" w:sz="4" w:space="0"/>
            </w:tcBorders>
            <w:noWrap w:val="0"/>
            <w:vAlign w:val="center"/>
          </w:tcPr>
          <w:p w14:paraId="3401F4C9">
            <w:pPr>
              <w:widowControl/>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合格有效的法人或者非法人组织营业执照;</w:t>
            </w:r>
          </w:p>
        </w:tc>
        <w:tc>
          <w:tcPr>
            <w:tcW w:w="402" w:type="pct"/>
            <w:tcBorders>
              <w:top w:val="nil"/>
              <w:left w:val="nil"/>
              <w:bottom w:val="single" w:color="auto" w:sz="4" w:space="0"/>
              <w:right w:val="single" w:color="auto" w:sz="4" w:space="0"/>
            </w:tcBorders>
            <w:noWrap w:val="0"/>
            <w:vAlign w:val="center"/>
          </w:tcPr>
          <w:p w14:paraId="421020DD">
            <w:pPr>
              <w:widowControl/>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法定代表人授权书及被委托人身份证（法定代表人投标提供法定代表人身份证明及身份证）</w:t>
            </w:r>
          </w:p>
        </w:tc>
        <w:tc>
          <w:tcPr>
            <w:tcW w:w="413" w:type="pct"/>
            <w:tcBorders>
              <w:top w:val="nil"/>
              <w:left w:val="nil"/>
              <w:bottom w:val="single" w:color="auto" w:sz="4" w:space="0"/>
              <w:right w:val="single" w:color="auto" w:sz="4" w:space="0"/>
            </w:tcBorders>
            <w:noWrap w:val="0"/>
            <w:vAlign w:val="center"/>
          </w:tcPr>
          <w:p w14:paraId="070CF11B">
            <w:pPr>
              <w:widowControl/>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参与政府采购活动前3年内未被列入失信、重大税收违法案件、财政部门禁止参加政府采购活动的承诺书；</w:t>
            </w:r>
          </w:p>
        </w:tc>
        <w:tc>
          <w:tcPr>
            <w:tcW w:w="658" w:type="pct"/>
            <w:tcBorders>
              <w:top w:val="nil"/>
              <w:left w:val="nil"/>
              <w:bottom w:val="single" w:color="auto" w:sz="4" w:space="0"/>
              <w:right w:val="single" w:color="auto" w:sz="4" w:space="0"/>
            </w:tcBorders>
            <w:noWrap w:val="0"/>
            <w:vAlign w:val="center"/>
          </w:tcPr>
          <w:p w14:paraId="25D093D3">
            <w:pPr>
              <w:widowControl/>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投标单位需提供202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年1月至今任一月的税收和社保缴纳记录；税收可提供由投标单位所在地税务部门出具的“0”申报证明或无欠税证明。（原件、复印件、影印件均可，留存复印件或影印件</w:t>
            </w:r>
            <w:r>
              <w:rPr>
                <w:rFonts w:hint="eastAsia" w:ascii="仿宋" w:hAnsi="仿宋" w:eastAsia="仿宋" w:cs="仿宋"/>
                <w:color w:val="auto"/>
                <w:sz w:val="28"/>
                <w:szCs w:val="28"/>
                <w:highlight w:val="none"/>
                <w:lang w:eastAsia="zh-CN"/>
              </w:rPr>
              <w:t>）</w:t>
            </w:r>
          </w:p>
        </w:tc>
        <w:tc>
          <w:tcPr>
            <w:tcW w:w="709" w:type="pct"/>
            <w:tcBorders>
              <w:top w:val="nil"/>
              <w:left w:val="nil"/>
              <w:bottom w:val="single" w:color="auto" w:sz="4" w:space="0"/>
              <w:right w:val="single" w:color="auto" w:sz="4" w:space="0"/>
            </w:tcBorders>
            <w:noWrap w:val="0"/>
            <w:vAlign w:val="center"/>
          </w:tcPr>
          <w:p w14:paraId="39A79752">
            <w:pPr>
              <w:widowControl/>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2022、2023或2024任一</w:t>
            </w:r>
            <w:r>
              <w:rPr>
                <w:rFonts w:hint="eastAsia" w:ascii="仿宋" w:hAnsi="仿宋" w:eastAsia="仿宋" w:cs="仿宋"/>
                <w:color w:val="auto"/>
                <w:sz w:val="28"/>
                <w:szCs w:val="28"/>
                <w:highlight w:val="none"/>
              </w:rPr>
              <w:t>年度由第三方财务审计机构出具及在注册会计师行业统一监管平台备案赋码的财务审计报告或新成立的企业提供银行出具的近三个月（连续三个月是指2025年3月-2025年5月）的资信证明；</w:t>
            </w:r>
          </w:p>
        </w:tc>
        <w:tc>
          <w:tcPr>
            <w:tcW w:w="514" w:type="pct"/>
            <w:tcBorders>
              <w:top w:val="nil"/>
              <w:left w:val="nil"/>
              <w:bottom w:val="single" w:color="auto" w:sz="4" w:space="0"/>
              <w:right w:val="single" w:color="auto" w:sz="4" w:space="0"/>
            </w:tcBorders>
            <w:noWrap w:val="0"/>
            <w:vAlign w:val="center"/>
          </w:tcPr>
          <w:p w14:paraId="0552FC12">
            <w:pPr>
              <w:widowControl/>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投标单位（供应商）其法人参加本次采购活动前三年内，在经营活动中没有重大违法记录的声明及对本次项目《反商业贿赂承诺书》；</w:t>
            </w:r>
          </w:p>
        </w:tc>
        <w:tc>
          <w:tcPr>
            <w:tcW w:w="803" w:type="pct"/>
            <w:tcBorders>
              <w:top w:val="nil"/>
              <w:left w:val="nil"/>
              <w:bottom w:val="single" w:color="auto" w:sz="4" w:space="0"/>
              <w:right w:val="single" w:color="auto" w:sz="4" w:space="0"/>
            </w:tcBorders>
            <w:noWrap w:val="0"/>
            <w:vAlign w:val="center"/>
          </w:tcPr>
          <w:p w14:paraId="09B8A800">
            <w:pPr>
              <w:widowControl/>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tc>
        <w:tc>
          <w:tcPr>
            <w:tcW w:w="460" w:type="pct"/>
            <w:tcBorders>
              <w:top w:val="nil"/>
              <w:left w:val="nil"/>
              <w:bottom w:val="single" w:color="auto" w:sz="4" w:space="0"/>
              <w:right w:val="single" w:color="auto" w:sz="4" w:space="0"/>
            </w:tcBorders>
            <w:noWrap w:val="0"/>
            <w:vAlign w:val="center"/>
          </w:tcPr>
          <w:p w14:paraId="64BF0A98">
            <w:pPr>
              <w:widowControl/>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供应商须具有国家级平台备案的投标产品证明材料</w:t>
            </w:r>
            <w:r>
              <w:rPr>
                <w:rFonts w:hint="eastAsia" w:ascii="仿宋" w:hAnsi="仿宋" w:eastAsia="仿宋" w:cs="仿宋"/>
                <w:color w:val="auto"/>
                <w:sz w:val="28"/>
                <w:szCs w:val="28"/>
                <w:highlight w:val="none"/>
                <w:lang w:val="en-US" w:eastAsia="zh-CN"/>
              </w:rPr>
              <w:t>及第三方机构出具的合格的产品检测报告</w:t>
            </w:r>
            <w:r>
              <w:rPr>
                <w:rFonts w:hint="eastAsia" w:ascii="仿宋" w:hAnsi="仿宋" w:eastAsia="仿宋" w:cs="仿宋"/>
                <w:color w:val="auto"/>
                <w:sz w:val="28"/>
                <w:szCs w:val="28"/>
                <w:highlight w:val="none"/>
              </w:rPr>
              <w:t>。</w:t>
            </w:r>
          </w:p>
        </w:tc>
        <w:tc>
          <w:tcPr>
            <w:tcW w:w="250" w:type="pct"/>
            <w:tcBorders>
              <w:top w:val="nil"/>
              <w:left w:val="nil"/>
              <w:bottom w:val="single" w:color="auto" w:sz="4" w:space="0"/>
              <w:right w:val="single" w:color="auto" w:sz="4" w:space="0"/>
            </w:tcBorders>
            <w:noWrap w:val="0"/>
            <w:vAlign w:val="center"/>
          </w:tcPr>
          <w:p w14:paraId="181143AE">
            <w:pPr>
              <w:widowControl/>
              <w:jc w:val="center"/>
              <w:rPr>
                <w:rFonts w:hint="eastAsia" w:ascii="仿宋" w:hAnsi="仿宋" w:eastAsia="仿宋" w:cs="仿宋"/>
                <w:color w:val="auto"/>
                <w:sz w:val="28"/>
                <w:szCs w:val="28"/>
                <w:highlight w:val="none"/>
              </w:rPr>
            </w:pPr>
            <w:r>
              <w:rPr>
                <w:rFonts w:hint="eastAsia" w:ascii="仿宋" w:hAnsi="仿宋" w:eastAsia="仿宋" w:cs="仿宋"/>
                <w:color w:val="0000FF"/>
                <w:sz w:val="28"/>
                <w:szCs w:val="28"/>
                <w:highlight w:val="none"/>
              </w:rPr>
              <w:t>投标保证金缴纳有效证</w:t>
            </w:r>
            <w:r>
              <w:rPr>
                <w:rFonts w:hint="eastAsia" w:ascii="仿宋" w:hAnsi="仿宋" w:eastAsia="仿宋" w:cs="仿宋"/>
                <w:color w:val="auto"/>
                <w:sz w:val="28"/>
                <w:szCs w:val="28"/>
                <w:highlight w:val="none"/>
              </w:rPr>
              <w:t>明</w:t>
            </w:r>
          </w:p>
        </w:tc>
        <w:tc>
          <w:tcPr>
            <w:tcW w:w="282" w:type="pct"/>
            <w:tcBorders>
              <w:top w:val="nil"/>
              <w:left w:val="nil"/>
              <w:bottom w:val="single" w:color="auto" w:sz="4" w:space="0"/>
              <w:right w:val="single" w:color="auto" w:sz="4" w:space="0"/>
            </w:tcBorders>
            <w:noWrap w:val="0"/>
            <w:vAlign w:val="center"/>
          </w:tcPr>
          <w:p w14:paraId="16E3F348">
            <w:pPr>
              <w:widowControl/>
              <w:jc w:val="center"/>
              <w:rPr>
                <w:rFonts w:hint="eastAsia" w:ascii="仿宋" w:hAnsi="仿宋" w:eastAsia="仿宋" w:cs="仿宋"/>
                <w:i/>
                <w:iCs/>
                <w:color w:val="auto"/>
                <w:kern w:val="0"/>
                <w:sz w:val="28"/>
                <w:szCs w:val="28"/>
                <w:highlight w:val="none"/>
              </w:rPr>
            </w:pPr>
          </w:p>
        </w:tc>
      </w:tr>
      <w:tr w14:paraId="1C8110C2">
        <w:tblPrEx>
          <w:tblCellMar>
            <w:top w:w="0" w:type="dxa"/>
            <w:left w:w="108" w:type="dxa"/>
            <w:bottom w:w="0" w:type="dxa"/>
            <w:right w:w="108" w:type="dxa"/>
          </w:tblCellMar>
        </w:tblPrEx>
        <w:trPr>
          <w:trHeight w:val="773" w:hRule="atLeast"/>
        </w:trPr>
        <w:tc>
          <w:tcPr>
            <w:tcW w:w="216" w:type="pct"/>
            <w:tcBorders>
              <w:top w:val="single" w:color="auto" w:sz="4" w:space="0"/>
              <w:left w:val="single" w:color="auto" w:sz="4" w:space="0"/>
              <w:bottom w:val="single" w:color="auto" w:sz="4" w:space="0"/>
              <w:right w:val="single" w:color="auto" w:sz="4" w:space="0"/>
            </w:tcBorders>
            <w:noWrap w:val="0"/>
            <w:vAlign w:val="center"/>
          </w:tcPr>
          <w:p w14:paraId="2E64D6B8">
            <w:pPr>
              <w:widowControl/>
              <w:jc w:val="left"/>
              <w:rPr>
                <w:rFonts w:hint="eastAsia" w:ascii="仿宋" w:hAnsi="仿宋" w:eastAsia="仿宋" w:cs="仿宋"/>
                <w:color w:val="auto"/>
                <w:kern w:val="0"/>
                <w:sz w:val="28"/>
                <w:szCs w:val="28"/>
                <w:highlight w:val="none"/>
              </w:rPr>
            </w:pPr>
          </w:p>
        </w:tc>
        <w:tc>
          <w:tcPr>
            <w:tcW w:w="290" w:type="pct"/>
            <w:tcBorders>
              <w:top w:val="single" w:color="auto" w:sz="4" w:space="0"/>
              <w:left w:val="nil"/>
              <w:bottom w:val="single" w:color="auto" w:sz="4" w:space="0"/>
              <w:right w:val="single" w:color="auto" w:sz="4" w:space="0"/>
            </w:tcBorders>
            <w:noWrap w:val="0"/>
            <w:vAlign w:val="center"/>
          </w:tcPr>
          <w:p w14:paraId="5B373C37">
            <w:pPr>
              <w:widowControl/>
              <w:jc w:val="center"/>
              <w:rPr>
                <w:rFonts w:hint="eastAsia" w:ascii="仿宋" w:hAnsi="仿宋" w:eastAsia="仿宋" w:cs="仿宋"/>
                <w:color w:val="auto"/>
                <w:sz w:val="28"/>
                <w:szCs w:val="28"/>
                <w:highlight w:val="none"/>
              </w:rPr>
            </w:pPr>
          </w:p>
        </w:tc>
        <w:tc>
          <w:tcPr>
            <w:tcW w:w="402" w:type="pct"/>
            <w:tcBorders>
              <w:top w:val="single" w:color="auto" w:sz="4" w:space="0"/>
              <w:left w:val="nil"/>
              <w:bottom w:val="single" w:color="auto" w:sz="4" w:space="0"/>
              <w:right w:val="single" w:color="auto" w:sz="4" w:space="0"/>
            </w:tcBorders>
            <w:noWrap w:val="0"/>
            <w:vAlign w:val="center"/>
          </w:tcPr>
          <w:p w14:paraId="7D5D4F84">
            <w:pPr>
              <w:widowControl/>
              <w:jc w:val="center"/>
              <w:rPr>
                <w:rFonts w:hint="eastAsia" w:ascii="仿宋" w:hAnsi="仿宋" w:eastAsia="仿宋" w:cs="仿宋"/>
                <w:color w:val="auto"/>
                <w:sz w:val="28"/>
                <w:szCs w:val="28"/>
                <w:highlight w:val="none"/>
              </w:rPr>
            </w:pPr>
          </w:p>
        </w:tc>
        <w:tc>
          <w:tcPr>
            <w:tcW w:w="413" w:type="pct"/>
            <w:tcBorders>
              <w:top w:val="single" w:color="auto" w:sz="4" w:space="0"/>
              <w:left w:val="nil"/>
              <w:bottom w:val="single" w:color="auto" w:sz="4" w:space="0"/>
              <w:right w:val="single" w:color="auto" w:sz="4" w:space="0"/>
            </w:tcBorders>
            <w:noWrap w:val="0"/>
            <w:vAlign w:val="center"/>
          </w:tcPr>
          <w:p w14:paraId="2B0BE1B3">
            <w:pPr>
              <w:widowControl/>
              <w:jc w:val="center"/>
              <w:rPr>
                <w:rFonts w:hint="eastAsia" w:ascii="仿宋" w:hAnsi="仿宋" w:eastAsia="仿宋" w:cs="仿宋"/>
                <w:color w:val="auto"/>
                <w:sz w:val="28"/>
                <w:szCs w:val="28"/>
                <w:highlight w:val="none"/>
              </w:rPr>
            </w:pPr>
          </w:p>
        </w:tc>
        <w:tc>
          <w:tcPr>
            <w:tcW w:w="658" w:type="pct"/>
            <w:tcBorders>
              <w:top w:val="single" w:color="auto" w:sz="4" w:space="0"/>
              <w:left w:val="nil"/>
              <w:bottom w:val="single" w:color="auto" w:sz="4" w:space="0"/>
              <w:right w:val="single" w:color="auto" w:sz="4" w:space="0"/>
            </w:tcBorders>
            <w:noWrap w:val="0"/>
            <w:vAlign w:val="center"/>
          </w:tcPr>
          <w:p w14:paraId="676933A0">
            <w:pPr>
              <w:widowControl/>
              <w:jc w:val="center"/>
              <w:rPr>
                <w:rFonts w:hint="eastAsia" w:ascii="仿宋" w:hAnsi="仿宋" w:eastAsia="仿宋" w:cs="仿宋"/>
                <w:color w:val="auto"/>
                <w:sz w:val="28"/>
                <w:szCs w:val="28"/>
                <w:highlight w:val="none"/>
              </w:rPr>
            </w:pPr>
          </w:p>
        </w:tc>
        <w:tc>
          <w:tcPr>
            <w:tcW w:w="709" w:type="pct"/>
            <w:tcBorders>
              <w:top w:val="single" w:color="auto" w:sz="4" w:space="0"/>
              <w:left w:val="nil"/>
              <w:bottom w:val="single" w:color="auto" w:sz="4" w:space="0"/>
              <w:right w:val="single" w:color="auto" w:sz="4" w:space="0"/>
            </w:tcBorders>
            <w:noWrap w:val="0"/>
            <w:vAlign w:val="center"/>
          </w:tcPr>
          <w:p w14:paraId="4007D649">
            <w:pPr>
              <w:widowControl/>
              <w:jc w:val="center"/>
              <w:rPr>
                <w:rFonts w:hint="eastAsia" w:ascii="仿宋" w:hAnsi="仿宋" w:eastAsia="仿宋" w:cs="仿宋"/>
                <w:color w:val="auto"/>
                <w:sz w:val="28"/>
                <w:szCs w:val="28"/>
                <w:highlight w:val="none"/>
              </w:rPr>
            </w:pPr>
          </w:p>
        </w:tc>
        <w:tc>
          <w:tcPr>
            <w:tcW w:w="514" w:type="pct"/>
            <w:tcBorders>
              <w:top w:val="single" w:color="auto" w:sz="4" w:space="0"/>
              <w:left w:val="nil"/>
              <w:bottom w:val="single" w:color="auto" w:sz="4" w:space="0"/>
              <w:right w:val="single" w:color="auto" w:sz="4" w:space="0"/>
            </w:tcBorders>
            <w:noWrap w:val="0"/>
            <w:vAlign w:val="center"/>
          </w:tcPr>
          <w:p w14:paraId="1BE9E049">
            <w:pPr>
              <w:widowControl/>
              <w:jc w:val="center"/>
              <w:rPr>
                <w:rFonts w:hint="eastAsia" w:ascii="仿宋" w:hAnsi="仿宋" w:eastAsia="仿宋" w:cs="仿宋"/>
                <w:color w:val="auto"/>
                <w:sz w:val="28"/>
                <w:szCs w:val="28"/>
                <w:highlight w:val="none"/>
              </w:rPr>
            </w:pPr>
          </w:p>
        </w:tc>
        <w:tc>
          <w:tcPr>
            <w:tcW w:w="803" w:type="pct"/>
            <w:tcBorders>
              <w:top w:val="single" w:color="auto" w:sz="4" w:space="0"/>
              <w:left w:val="nil"/>
              <w:bottom w:val="single" w:color="auto" w:sz="4" w:space="0"/>
              <w:right w:val="single" w:color="auto" w:sz="4" w:space="0"/>
            </w:tcBorders>
            <w:noWrap w:val="0"/>
            <w:vAlign w:val="center"/>
          </w:tcPr>
          <w:p w14:paraId="07E88A79">
            <w:pPr>
              <w:widowControl/>
              <w:jc w:val="center"/>
              <w:rPr>
                <w:rFonts w:hint="eastAsia" w:ascii="仿宋" w:hAnsi="仿宋" w:eastAsia="仿宋" w:cs="仿宋"/>
                <w:color w:val="auto"/>
                <w:sz w:val="28"/>
                <w:szCs w:val="28"/>
                <w:highlight w:val="none"/>
              </w:rPr>
            </w:pPr>
          </w:p>
        </w:tc>
        <w:tc>
          <w:tcPr>
            <w:tcW w:w="460" w:type="pct"/>
            <w:tcBorders>
              <w:top w:val="single" w:color="auto" w:sz="4" w:space="0"/>
              <w:left w:val="nil"/>
              <w:bottom w:val="single" w:color="auto" w:sz="4" w:space="0"/>
              <w:right w:val="single" w:color="auto" w:sz="4" w:space="0"/>
            </w:tcBorders>
            <w:noWrap w:val="0"/>
            <w:vAlign w:val="center"/>
          </w:tcPr>
          <w:p w14:paraId="4DF76F4A">
            <w:pPr>
              <w:widowControl/>
              <w:jc w:val="center"/>
              <w:rPr>
                <w:rFonts w:hint="eastAsia" w:ascii="仿宋" w:hAnsi="仿宋" w:eastAsia="仿宋" w:cs="仿宋"/>
                <w:color w:val="auto"/>
                <w:sz w:val="28"/>
                <w:szCs w:val="28"/>
                <w:highlight w:val="none"/>
              </w:rPr>
            </w:pPr>
          </w:p>
        </w:tc>
        <w:tc>
          <w:tcPr>
            <w:tcW w:w="250" w:type="pct"/>
            <w:tcBorders>
              <w:top w:val="single" w:color="auto" w:sz="4" w:space="0"/>
              <w:left w:val="nil"/>
              <w:bottom w:val="single" w:color="auto" w:sz="4" w:space="0"/>
              <w:right w:val="single" w:color="auto" w:sz="4" w:space="0"/>
            </w:tcBorders>
            <w:noWrap w:val="0"/>
            <w:vAlign w:val="center"/>
          </w:tcPr>
          <w:p w14:paraId="45BBA701">
            <w:pPr>
              <w:widowControl/>
              <w:jc w:val="center"/>
              <w:rPr>
                <w:rFonts w:hint="eastAsia" w:ascii="仿宋" w:hAnsi="仿宋" w:eastAsia="仿宋" w:cs="仿宋"/>
                <w:color w:val="auto"/>
                <w:sz w:val="28"/>
                <w:szCs w:val="28"/>
                <w:highlight w:val="none"/>
              </w:rPr>
            </w:pPr>
          </w:p>
        </w:tc>
        <w:tc>
          <w:tcPr>
            <w:tcW w:w="282" w:type="pct"/>
            <w:tcBorders>
              <w:top w:val="single" w:color="auto" w:sz="4" w:space="0"/>
              <w:left w:val="nil"/>
              <w:bottom w:val="single" w:color="auto" w:sz="4" w:space="0"/>
              <w:right w:val="single" w:color="auto" w:sz="4" w:space="0"/>
            </w:tcBorders>
            <w:noWrap w:val="0"/>
            <w:vAlign w:val="center"/>
          </w:tcPr>
          <w:p w14:paraId="57FCD65A">
            <w:pPr>
              <w:widowControl/>
              <w:jc w:val="center"/>
              <w:rPr>
                <w:rFonts w:hint="eastAsia" w:ascii="仿宋" w:hAnsi="仿宋" w:eastAsia="仿宋" w:cs="仿宋"/>
                <w:i/>
                <w:iCs/>
                <w:color w:val="auto"/>
                <w:kern w:val="0"/>
                <w:sz w:val="28"/>
                <w:szCs w:val="28"/>
                <w:highlight w:val="none"/>
              </w:rPr>
            </w:pPr>
          </w:p>
        </w:tc>
      </w:tr>
    </w:tbl>
    <w:p w14:paraId="6B1A5703">
      <w:pPr>
        <w:pStyle w:val="4"/>
        <w:ind w:firstLine="0"/>
        <w:rPr>
          <w:rFonts w:hint="eastAsia" w:ascii="仿宋" w:hAnsi="仿宋" w:eastAsia="仿宋" w:cs="仿宋"/>
          <w:color w:val="auto"/>
          <w:highlight w:val="none"/>
        </w:rPr>
      </w:pPr>
    </w:p>
    <w:p w14:paraId="5ED2C2D5">
      <w:pPr>
        <w:pStyle w:val="4"/>
        <w:ind w:firstLine="0"/>
        <w:rPr>
          <w:rFonts w:hint="eastAsia" w:ascii="仿宋" w:hAnsi="仿宋" w:eastAsia="仿宋" w:cs="仿宋"/>
          <w:color w:val="auto"/>
          <w:highlight w:val="none"/>
        </w:rPr>
        <w:sectPr>
          <w:pgSz w:w="16838" w:h="11906" w:orient="landscape"/>
          <w:pgMar w:top="1417" w:right="1417" w:bottom="1417" w:left="1417" w:header="851" w:footer="992" w:gutter="0"/>
          <w:cols w:space="720" w:num="1"/>
          <w:docGrid w:linePitch="312" w:charSpace="0"/>
        </w:sectPr>
      </w:pPr>
    </w:p>
    <w:bookmarkEnd w:id="541"/>
    <w:bookmarkEnd w:id="542"/>
    <w:bookmarkEnd w:id="543"/>
    <w:bookmarkEnd w:id="544"/>
    <w:p w14:paraId="5387A10C">
      <w:pPr>
        <w:pStyle w:val="2"/>
        <w:tabs>
          <w:tab w:val="left" w:pos="0"/>
        </w:tabs>
        <w:spacing w:before="0" w:after="0" w:line="240" w:lineRule="atLeast"/>
        <w:rPr>
          <w:rFonts w:hint="eastAsia" w:ascii="仿宋" w:hAnsi="仿宋" w:eastAsia="仿宋" w:cs="仿宋"/>
          <w:color w:val="auto"/>
          <w:kern w:val="0"/>
          <w:szCs w:val="21"/>
          <w:highlight w:val="none"/>
        </w:rPr>
      </w:pPr>
      <w:bookmarkStart w:id="545" w:name="_Toc219175638"/>
      <w:bookmarkStart w:id="546" w:name="_Toc507399906"/>
      <w:bookmarkStart w:id="547" w:name="_Toc2680"/>
      <w:bookmarkStart w:id="548" w:name="_Toc218935354"/>
      <w:bookmarkStart w:id="549" w:name="_Toc4497"/>
      <w:bookmarkStart w:id="550" w:name="_Toc518923126"/>
      <w:bookmarkStart w:id="551" w:name="_Toc216582825"/>
      <w:bookmarkStart w:id="552" w:name="_Toc7112"/>
      <w:bookmarkStart w:id="553" w:name="_Toc6646"/>
      <w:bookmarkStart w:id="554" w:name="_Toc26511"/>
      <w:bookmarkStart w:id="555" w:name="_Toc512937852"/>
      <w:r>
        <w:rPr>
          <w:rFonts w:hint="eastAsia" w:ascii="仿宋" w:hAnsi="仿宋" w:eastAsia="仿宋" w:cs="仿宋"/>
          <w:color w:val="auto"/>
          <w:kern w:val="0"/>
          <w:szCs w:val="21"/>
          <w:highlight w:val="none"/>
        </w:rPr>
        <w:t xml:space="preserve">第五章  </w:t>
      </w:r>
      <w:bookmarkEnd w:id="545"/>
      <w:bookmarkEnd w:id="546"/>
      <w:bookmarkEnd w:id="547"/>
      <w:bookmarkEnd w:id="548"/>
      <w:bookmarkEnd w:id="549"/>
      <w:bookmarkEnd w:id="550"/>
      <w:bookmarkEnd w:id="551"/>
      <w:bookmarkEnd w:id="552"/>
      <w:bookmarkStart w:id="556" w:name="_Toc22779"/>
      <w:bookmarkStart w:id="557" w:name="_Toc9032"/>
      <w:bookmarkStart w:id="558" w:name="_Toc515647831"/>
      <w:bookmarkStart w:id="559" w:name="_Toc9887"/>
      <w:r>
        <w:rPr>
          <w:rFonts w:hint="eastAsia" w:ascii="仿宋" w:hAnsi="仿宋" w:eastAsia="仿宋" w:cs="仿宋"/>
          <w:color w:val="auto"/>
          <w:kern w:val="0"/>
          <w:szCs w:val="21"/>
          <w:highlight w:val="none"/>
        </w:rPr>
        <w:t>货物需求一览表及技术规格</w:t>
      </w:r>
      <w:bookmarkEnd w:id="553"/>
      <w:bookmarkEnd w:id="554"/>
      <w:bookmarkEnd w:id="556"/>
      <w:bookmarkEnd w:id="557"/>
      <w:bookmarkEnd w:id="558"/>
      <w:bookmarkEnd w:id="559"/>
    </w:p>
    <w:p w14:paraId="39FD718A">
      <w:pPr>
        <w:spacing w:line="240" w:lineRule="atLeast"/>
        <w:ind w:left="1080" w:leftChars="257" w:hanging="540"/>
        <w:jc w:val="center"/>
        <w:rPr>
          <w:rFonts w:hint="eastAsia" w:ascii="仿宋" w:hAnsi="仿宋" w:eastAsia="仿宋" w:cs="仿宋"/>
          <w:b/>
          <w:color w:val="auto"/>
          <w:sz w:val="24"/>
          <w:highlight w:val="none"/>
        </w:rPr>
      </w:pPr>
      <w:bookmarkStart w:id="560" w:name="_Toc216513803"/>
      <w:bookmarkStart w:id="561" w:name="_Toc512937853"/>
    </w:p>
    <w:bookmarkEnd w:id="555"/>
    <w:bookmarkEnd w:id="560"/>
    <w:bookmarkEnd w:id="561"/>
    <w:p w14:paraId="320698C3">
      <w:pPr>
        <w:pStyle w:val="24"/>
        <w:jc w:val="center"/>
        <w:rPr>
          <w:rFonts w:hint="eastAsia" w:ascii="仿宋" w:hAnsi="仿宋" w:eastAsia="仿宋" w:cs="仿宋"/>
          <w:b/>
          <w:bCs/>
          <w:color w:val="auto"/>
          <w:kern w:val="0"/>
          <w:sz w:val="28"/>
          <w:szCs w:val="28"/>
          <w:highlight w:val="none"/>
          <w:lang w:val="en-US" w:eastAsia="zh-CN" w:bidi="ar"/>
        </w:rPr>
      </w:pPr>
      <w:bookmarkStart w:id="562" w:name="_Toc267320058"/>
      <w:bookmarkStart w:id="563" w:name="_Toc469495736"/>
      <w:bookmarkStart w:id="564" w:name="_Toc362983805"/>
      <w:r>
        <w:rPr>
          <w:rFonts w:hint="eastAsia" w:ascii="仿宋" w:hAnsi="仿宋" w:eastAsia="仿宋" w:cs="仿宋"/>
          <w:b/>
          <w:bCs/>
          <w:color w:val="auto"/>
          <w:kern w:val="0"/>
          <w:sz w:val="28"/>
          <w:szCs w:val="28"/>
          <w:highlight w:val="none"/>
          <w:lang w:val="en-US" w:eastAsia="zh-CN" w:bidi="ar"/>
        </w:rPr>
        <w:t>采购需求</w:t>
      </w:r>
    </w:p>
    <w:p w14:paraId="67FBEBC3">
      <w:pPr>
        <w:pStyle w:val="24"/>
        <w:jc w:val="center"/>
        <w:rPr>
          <w:rFonts w:hint="eastAsia" w:ascii="仿宋" w:hAnsi="仿宋" w:eastAsia="仿宋" w:cs="仿宋"/>
          <w:color w:val="auto"/>
          <w:sz w:val="28"/>
          <w:szCs w:val="28"/>
          <w:highlight w:val="none"/>
          <w:lang w:eastAsia="zh-CN"/>
        </w:rPr>
      </w:pPr>
    </w:p>
    <w:tbl>
      <w:tblPr>
        <w:tblStyle w:val="20"/>
        <w:tblpPr w:leftFromText="180" w:rightFromText="180" w:vertAnchor="text" w:horzAnchor="page" w:tblpX="1304" w:tblpY="465"/>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21"/>
        <w:gridCol w:w="2485"/>
        <w:gridCol w:w="1797"/>
        <w:gridCol w:w="1235"/>
        <w:gridCol w:w="1227"/>
        <w:gridCol w:w="1227"/>
      </w:tblGrid>
      <w:tr w14:paraId="7254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28" w:type="dxa"/>
            <w:noWrap w:val="0"/>
            <w:vAlign w:val="center"/>
          </w:tcPr>
          <w:p w14:paraId="7FBA90A8">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序号</w:t>
            </w:r>
          </w:p>
        </w:tc>
        <w:tc>
          <w:tcPr>
            <w:tcW w:w="1121" w:type="dxa"/>
            <w:noWrap w:val="0"/>
            <w:vAlign w:val="center"/>
          </w:tcPr>
          <w:p w14:paraId="79837071">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肥料名称</w:t>
            </w:r>
          </w:p>
        </w:tc>
        <w:tc>
          <w:tcPr>
            <w:tcW w:w="2485" w:type="dxa"/>
            <w:noWrap w:val="0"/>
            <w:vAlign w:val="center"/>
          </w:tcPr>
          <w:p w14:paraId="3F293DCC">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肥料型号</w:t>
            </w:r>
          </w:p>
        </w:tc>
        <w:tc>
          <w:tcPr>
            <w:tcW w:w="1797" w:type="dxa"/>
            <w:noWrap w:val="0"/>
            <w:vAlign w:val="center"/>
          </w:tcPr>
          <w:p w14:paraId="0A8349F6">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规格</w:t>
            </w:r>
          </w:p>
        </w:tc>
        <w:tc>
          <w:tcPr>
            <w:tcW w:w="1235" w:type="dxa"/>
            <w:noWrap w:val="0"/>
            <w:vAlign w:val="center"/>
          </w:tcPr>
          <w:p w14:paraId="03905A18">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数量</w:t>
            </w:r>
          </w:p>
        </w:tc>
        <w:tc>
          <w:tcPr>
            <w:tcW w:w="1227" w:type="dxa"/>
            <w:noWrap w:val="0"/>
            <w:vAlign w:val="center"/>
          </w:tcPr>
          <w:p w14:paraId="29C4EC00">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单位</w:t>
            </w:r>
          </w:p>
        </w:tc>
        <w:tc>
          <w:tcPr>
            <w:tcW w:w="1227" w:type="dxa"/>
            <w:noWrap w:val="0"/>
            <w:vAlign w:val="center"/>
          </w:tcPr>
          <w:p w14:paraId="6C63FB09">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用途</w:t>
            </w:r>
          </w:p>
        </w:tc>
      </w:tr>
      <w:tr w14:paraId="5AC5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728" w:type="dxa"/>
            <w:noWrap w:val="0"/>
            <w:vAlign w:val="center"/>
          </w:tcPr>
          <w:p w14:paraId="5A653489">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w:t>
            </w:r>
          </w:p>
        </w:tc>
        <w:tc>
          <w:tcPr>
            <w:tcW w:w="1121" w:type="dxa"/>
            <w:noWrap w:val="0"/>
            <w:vAlign w:val="center"/>
          </w:tcPr>
          <w:p w14:paraId="5379AF26">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有机水溶肥</w:t>
            </w:r>
          </w:p>
        </w:tc>
        <w:tc>
          <w:tcPr>
            <w:tcW w:w="2485" w:type="dxa"/>
            <w:noWrap w:val="0"/>
            <w:vAlign w:val="center"/>
          </w:tcPr>
          <w:p w14:paraId="13A7EA14">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有机质≥120g/L,</w:t>
            </w:r>
          </w:p>
          <w:p w14:paraId="072C5918">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腐植酸≥50g/L，</w:t>
            </w:r>
          </w:p>
          <w:p w14:paraId="562D78BE">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游离氨基酸≥30g/L，</w:t>
            </w:r>
          </w:p>
          <w:p w14:paraId="26B2C87B">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多肽≥100g/L，</w:t>
            </w:r>
          </w:p>
          <w:p w14:paraId="6125B54D">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低聚糖≥20g/L，( N+P</w:t>
            </w:r>
            <w:r>
              <w:rPr>
                <w:rFonts w:hint="eastAsia" w:ascii="仿宋" w:hAnsi="仿宋" w:eastAsia="仿宋" w:cs="仿宋"/>
                <w:b/>
                <w:bCs/>
                <w:color w:val="auto"/>
                <w:sz w:val="24"/>
                <w:szCs w:val="24"/>
                <w:vertAlign w:val="subscript"/>
                <w:lang w:val="en-US" w:eastAsia="zh-CN"/>
              </w:rPr>
              <w:t>2</w:t>
            </w:r>
            <w:r>
              <w:rPr>
                <w:rFonts w:hint="eastAsia" w:ascii="仿宋" w:hAnsi="仿宋" w:eastAsia="仿宋" w:cs="仿宋"/>
                <w:b/>
                <w:bCs/>
                <w:color w:val="auto"/>
                <w:sz w:val="24"/>
                <w:szCs w:val="24"/>
                <w:vertAlign w:val="baseline"/>
                <w:lang w:val="en-US" w:eastAsia="zh-CN"/>
              </w:rPr>
              <w:t>O</w:t>
            </w:r>
            <w:r>
              <w:rPr>
                <w:rFonts w:hint="eastAsia" w:ascii="仿宋" w:hAnsi="仿宋" w:eastAsia="仿宋" w:cs="仿宋"/>
                <w:b/>
                <w:bCs/>
                <w:color w:val="auto"/>
                <w:sz w:val="24"/>
                <w:szCs w:val="24"/>
                <w:vertAlign w:val="subscript"/>
                <w:lang w:val="en-US" w:eastAsia="zh-CN"/>
              </w:rPr>
              <w:t>5</w:t>
            </w:r>
            <w:r>
              <w:rPr>
                <w:rFonts w:hint="eastAsia" w:ascii="仿宋" w:hAnsi="仿宋" w:eastAsia="仿宋" w:cs="仿宋"/>
                <w:b/>
                <w:bCs/>
                <w:color w:val="auto"/>
                <w:sz w:val="24"/>
                <w:szCs w:val="24"/>
                <w:vertAlign w:val="baseline"/>
                <w:lang w:val="en-US" w:eastAsia="zh-CN"/>
              </w:rPr>
              <w:t>+K</w:t>
            </w:r>
            <w:r>
              <w:rPr>
                <w:rFonts w:hint="eastAsia" w:ascii="仿宋" w:hAnsi="仿宋" w:eastAsia="仿宋" w:cs="仿宋"/>
                <w:b/>
                <w:bCs/>
                <w:color w:val="auto"/>
                <w:sz w:val="24"/>
                <w:szCs w:val="24"/>
                <w:vertAlign w:val="subscript"/>
                <w:lang w:val="en-US" w:eastAsia="zh-CN"/>
              </w:rPr>
              <w:t>2</w:t>
            </w:r>
            <w:r>
              <w:rPr>
                <w:rFonts w:hint="eastAsia" w:ascii="仿宋" w:hAnsi="仿宋" w:eastAsia="仿宋" w:cs="仿宋"/>
                <w:b/>
                <w:bCs/>
                <w:color w:val="auto"/>
                <w:sz w:val="24"/>
                <w:szCs w:val="24"/>
                <w:vertAlign w:val="baseline"/>
                <w:lang w:val="en-US" w:eastAsia="zh-CN"/>
              </w:rPr>
              <w:t>0 )≥60g/L</w:t>
            </w:r>
          </w:p>
        </w:tc>
        <w:tc>
          <w:tcPr>
            <w:tcW w:w="1797" w:type="dxa"/>
            <w:noWrap w:val="0"/>
            <w:vAlign w:val="center"/>
          </w:tcPr>
          <w:p w14:paraId="56E46AA5">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i w:val="0"/>
                <w:iCs w:val="0"/>
                <w:color w:val="auto"/>
                <w:kern w:val="0"/>
                <w:sz w:val="24"/>
                <w:szCs w:val="24"/>
                <w:u w:val="none"/>
                <w:lang w:val="en-US" w:eastAsia="zh-CN" w:bidi="ar"/>
              </w:rPr>
              <w:t>20kg/桶</w:t>
            </w:r>
          </w:p>
        </w:tc>
        <w:tc>
          <w:tcPr>
            <w:tcW w:w="1235" w:type="dxa"/>
            <w:noWrap w:val="0"/>
            <w:vAlign w:val="center"/>
          </w:tcPr>
          <w:p w14:paraId="0AF2B1F4">
            <w:pPr>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0000FF"/>
                <w:sz w:val="24"/>
                <w:szCs w:val="24"/>
                <w:highlight w:val="none"/>
                <w:vertAlign w:val="baseline"/>
                <w:lang w:val="en-US" w:eastAsia="zh-CN"/>
              </w:rPr>
              <w:t>1011</w:t>
            </w:r>
          </w:p>
        </w:tc>
        <w:tc>
          <w:tcPr>
            <w:tcW w:w="1227" w:type="dxa"/>
            <w:noWrap w:val="0"/>
            <w:vAlign w:val="center"/>
          </w:tcPr>
          <w:p w14:paraId="233B8564">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吨</w:t>
            </w:r>
          </w:p>
        </w:tc>
        <w:tc>
          <w:tcPr>
            <w:tcW w:w="1227" w:type="dxa"/>
            <w:noWrap w:val="0"/>
            <w:vAlign w:val="center"/>
          </w:tcPr>
          <w:p w14:paraId="735484D3">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i w:val="0"/>
                <w:iCs w:val="0"/>
                <w:color w:val="auto"/>
                <w:kern w:val="0"/>
                <w:sz w:val="24"/>
                <w:szCs w:val="24"/>
                <w:u w:val="none"/>
                <w:lang w:val="en-US" w:eastAsia="zh-CN" w:bidi="ar"/>
              </w:rPr>
              <w:t>促进作物生长，提高产量，提升作物品质，减肥增效，改善土壤肥力。</w:t>
            </w:r>
          </w:p>
        </w:tc>
      </w:tr>
    </w:tbl>
    <w:p w14:paraId="19286451">
      <w:pPr>
        <w:pStyle w:val="24"/>
        <w:jc w:val="center"/>
        <w:rPr>
          <w:rFonts w:hint="eastAsia" w:ascii="仿宋" w:hAnsi="仿宋" w:eastAsia="仿宋" w:cs="仿宋"/>
          <w:color w:val="auto"/>
          <w:sz w:val="28"/>
          <w:szCs w:val="28"/>
          <w:highlight w:val="none"/>
        </w:rPr>
      </w:pPr>
    </w:p>
    <w:p w14:paraId="4CAA04D8">
      <w:pPr>
        <w:rPr>
          <w:rFonts w:hint="eastAsia" w:ascii="仿宋" w:hAnsi="仿宋" w:eastAsia="仿宋" w:cs="仿宋"/>
          <w:color w:val="auto"/>
          <w:highlight w:val="none"/>
          <w:lang w:eastAsia="zh-CN"/>
        </w:rPr>
      </w:pPr>
    </w:p>
    <w:p w14:paraId="0EBCBAC7">
      <w:pPr>
        <w:pStyle w:val="7"/>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1、本项目共分为1个包进行招标。投标人所报价格应为含税全包价，包括产品的服务、运输、装卸、税费、保险、保修等所有一切费用。</w:t>
      </w:r>
    </w:p>
    <w:p w14:paraId="38592103">
      <w:pPr>
        <w:pStyle w:val="7"/>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FF0000"/>
          <w:kern w:val="2"/>
          <w:sz w:val="28"/>
          <w:szCs w:val="28"/>
          <w:highlight w:val="none"/>
          <w:lang w:val="en-US" w:eastAsia="zh-CN" w:bidi="ar-SA"/>
        </w:rPr>
        <w:t>2、</w:t>
      </w:r>
      <w:r>
        <w:rPr>
          <w:rFonts w:hint="eastAsia" w:ascii="仿宋" w:hAnsi="仿宋" w:eastAsia="仿宋" w:cs="仿宋"/>
          <w:color w:val="auto"/>
          <w:kern w:val="2"/>
          <w:sz w:val="28"/>
          <w:szCs w:val="28"/>
          <w:highlight w:val="none"/>
          <w:lang w:val="en-US" w:eastAsia="zh-CN" w:bidi="ar-SA"/>
        </w:rPr>
        <w:t>交货期自拿到中标通知书3日内签订合同并且缴纳5%履约保证金，合同签订后7天按照甲方需求完成供货，供货至甲方指定地点。</w:t>
      </w:r>
    </w:p>
    <w:p w14:paraId="2FE4C95E">
      <w:pPr>
        <w:pStyle w:val="7"/>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3、付款方式：以签订合同为准。</w:t>
      </w:r>
    </w:p>
    <w:p w14:paraId="23E00709">
      <w:pPr>
        <w:pStyle w:val="7"/>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4、违约处罚：如核查中发现中完标供应商所供货物与招标文件规定不符，则取消其中标资格，承担相应的法律后果并赔偿业主方的损失。</w:t>
      </w:r>
    </w:p>
    <w:p w14:paraId="46F41BD0">
      <w:pPr>
        <w:pStyle w:val="7"/>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5、交货地点：甲方指定地点。</w:t>
      </w:r>
    </w:p>
    <w:p w14:paraId="0D3BE900">
      <w:pPr>
        <w:pStyle w:val="7"/>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6、售后服务要求：投标单位必须严格按照招标文件参数要求供货，如产品质量存在问题，不得验收合格，中标单位需及时处理，并更换货物，送至甲方指定地点（所产生的一切费用由中标单位承担）。</w:t>
      </w:r>
    </w:p>
    <w:p w14:paraId="1B5C81E4">
      <w:pPr>
        <w:pStyle w:val="7"/>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验收标准：所投产品需执行财库[2016]205号，甲方应当依法组织履约验收工作，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并报送本级财政部。</w:t>
      </w:r>
    </w:p>
    <w:p w14:paraId="3B753C3A">
      <w:pPr>
        <w:keepNext w:val="0"/>
        <w:keepLines w:val="0"/>
        <w:widowControl w:val="0"/>
        <w:suppressLineNumbers w:val="0"/>
        <w:spacing w:before="0" w:beforeAutospacing="0" w:after="0" w:afterAutospacing="0" w:line="264" w:lineRule="auto"/>
        <w:ind w:left="0" w:right="0" w:firstLine="883" w:firstLineChars="200"/>
        <w:jc w:val="left"/>
        <w:rPr>
          <w:rStyle w:val="26"/>
          <w:rFonts w:hint="eastAsia" w:ascii="仿宋" w:hAnsi="仿宋" w:eastAsia="仿宋" w:cs="仿宋"/>
          <w:b/>
          <w:bCs/>
          <w:color w:val="auto"/>
          <w:spacing w:val="6"/>
          <w:kern w:val="2"/>
          <w:sz w:val="24"/>
          <w:szCs w:val="24"/>
          <w:highlight w:val="none"/>
          <w:lang w:val="en-US" w:eastAsia="zh-CN" w:bidi="ar-SA"/>
        </w:rPr>
      </w:pPr>
      <w:r>
        <w:rPr>
          <w:rFonts w:hint="eastAsia" w:ascii="仿宋" w:hAnsi="仿宋" w:eastAsia="仿宋" w:cs="仿宋"/>
          <w:b/>
          <w:bCs/>
          <w:color w:val="auto"/>
          <w:sz w:val="44"/>
          <w:szCs w:val="44"/>
          <w:highlight w:val="none"/>
        </w:rPr>
        <w:br w:type="page"/>
      </w:r>
    </w:p>
    <w:bookmarkEnd w:id="562"/>
    <w:bookmarkEnd w:id="563"/>
    <w:bookmarkEnd w:id="564"/>
    <w:p w14:paraId="327C7E12">
      <w:pPr>
        <w:pStyle w:val="4"/>
        <w:rPr>
          <w:rFonts w:hint="eastAsia" w:ascii="仿宋" w:hAnsi="仿宋" w:eastAsia="仿宋" w:cs="仿宋"/>
          <w:color w:val="auto"/>
          <w:highlight w:val="none"/>
        </w:rPr>
      </w:pPr>
    </w:p>
    <w:p w14:paraId="53860A7A">
      <w:pPr>
        <w:pStyle w:val="2"/>
        <w:tabs>
          <w:tab w:val="left" w:pos="0"/>
        </w:tabs>
        <w:spacing w:before="0" w:after="0" w:line="240" w:lineRule="atLeast"/>
        <w:rPr>
          <w:rFonts w:hint="eastAsia" w:ascii="仿宋" w:hAnsi="仿宋" w:eastAsia="仿宋" w:cs="仿宋"/>
          <w:color w:val="auto"/>
          <w:kern w:val="0"/>
          <w:sz w:val="28"/>
          <w:szCs w:val="28"/>
          <w:highlight w:val="none"/>
        </w:rPr>
      </w:pPr>
      <w:bookmarkStart w:id="565" w:name="_Toc6189"/>
      <w:bookmarkStart w:id="566" w:name="_Toc30491"/>
      <w:bookmarkStart w:id="567" w:name="_Toc11528"/>
      <w:bookmarkStart w:id="568" w:name="_Toc218935355"/>
      <w:bookmarkStart w:id="569" w:name="_Toc216582826"/>
      <w:bookmarkStart w:id="570" w:name="_Toc219175639"/>
      <w:bookmarkStart w:id="571" w:name="_Toc3812"/>
      <w:r>
        <w:rPr>
          <w:rFonts w:hint="eastAsia" w:ascii="仿宋" w:hAnsi="仿宋" w:eastAsia="仿宋" w:cs="仿宋"/>
          <w:color w:val="auto"/>
          <w:kern w:val="0"/>
          <w:sz w:val="28"/>
          <w:szCs w:val="28"/>
          <w:highlight w:val="none"/>
        </w:rPr>
        <w:t xml:space="preserve">第六章  </w:t>
      </w:r>
      <w:bookmarkStart w:id="572" w:name="_Toc507399907"/>
      <w:bookmarkStart w:id="573" w:name="_Toc10220"/>
      <w:bookmarkStart w:id="574" w:name="_Toc518923127"/>
      <w:r>
        <w:rPr>
          <w:rFonts w:hint="eastAsia" w:ascii="仿宋" w:hAnsi="仿宋" w:eastAsia="仿宋" w:cs="仿宋"/>
          <w:color w:val="auto"/>
          <w:kern w:val="0"/>
          <w:sz w:val="28"/>
          <w:szCs w:val="28"/>
          <w:highlight w:val="none"/>
        </w:rPr>
        <w:t>评标方法和标准</w:t>
      </w:r>
      <w:bookmarkEnd w:id="565"/>
      <w:bookmarkEnd w:id="566"/>
      <w:bookmarkEnd w:id="567"/>
      <w:bookmarkEnd w:id="568"/>
      <w:bookmarkEnd w:id="569"/>
      <w:bookmarkEnd w:id="570"/>
      <w:bookmarkEnd w:id="571"/>
      <w:bookmarkEnd w:id="572"/>
      <w:bookmarkEnd w:id="573"/>
      <w:bookmarkEnd w:id="574"/>
    </w:p>
    <w:p w14:paraId="107980D5">
      <w:pPr>
        <w:pStyle w:val="7"/>
        <w:tabs>
          <w:tab w:val="clear" w:pos="567"/>
        </w:tabs>
        <w:spacing w:before="0" w:line="240" w:lineRule="atLeast"/>
        <w:ind w:firstLine="630" w:firstLineChars="225"/>
        <w:rPr>
          <w:rFonts w:hint="eastAsia" w:ascii="仿宋" w:hAnsi="仿宋" w:eastAsia="仿宋" w:cs="仿宋"/>
          <w:color w:val="auto"/>
          <w:sz w:val="28"/>
          <w:szCs w:val="28"/>
          <w:highlight w:val="none"/>
        </w:rPr>
      </w:pPr>
    </w:p>
    <w:p w14:paraId="0527AA3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本项目将按照招标文件第一章投标人须知中“五 开标及评标”、“六 确定中标”及本章的规定评标。</w:t>
      </w:r>
    </w:p>
    <w:p w14:paraId="1D3D1EC5">
      <w:pPr>
        <w:outlineLvl w:val="2"/>
        <w:rPr>
          <w:rFonts w:hint="eastAsia" w:ascii="仿宋" w:hAnsi="仿宋" w:eastAsia="仿宋" w:cs="仿宋"/>
          <w:b/>
          <w:bCs/>
          <w:color w:val="auto"/>
          <w:sz w:val="28"/>
          <w:szCs w:val="28"/>
          <w:highlight w:val="none"/>
        </w:rPr>
      </w:pPr>
      <w:bookmarkStart w:id="575" w:name="_Toc26438"/>
      <w:r>
        <w:rPr>
          <w:rFonts w:hint="eastAsia" w:ascii="仿宋" w:hAnsi="仿宋" w:eastAsia="仿宋" w:cs="仿宋"/>
          <w:b/>
          <w:bCs/>
          <w:color w:val="auto"/>
          <w:sz w:val="28"/>
          <w:szCs w:val="28"/>
          <w:highlight w:val="none"/>
        </w:rPr>
        <w:t>一、开标</w:t>
      </w:r>
      <w:bookmarkEnd w:id="575"/>
    </w:p>
    <w:p w14:paraId="09DEDA6D">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1.采购人和采购代理机构将按投标人须知资料表中规定的开标时间和地点组织公开开标并邀请所有投标人代表参加。</w:t>
      </w:r>
    </w:p>
    <w:p w14:paraId="355A1CC1">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投标人不足3家的，不得开标。</w:t>
      </w:r>
    </w:p>
    <w:p w14:paraId="67A7DD83">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2.开标前由主持人宣读开标纪律等要求。</w:t>
      </w:r>
    </w:p>
    <w:p w14:paraId="2085FF42">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w:t>
      </w:r>
    </w:p>
    <w:p w14:paraId="1D0C7676">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未宣读投标价格、价格折扣等实质内容，评标时不予承认。</w:t>
      </w:r>
    </w:p>
    <w:p w14:paraId="75F805F4">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4.采购人或采购代理机构将对开标过程进行记录，由参加开标的各投标人代表和相关工作人员签字确认，并存档备查。</w:t>
      </w:r>
    </w:p>
    <w:p w14:paraId="2E8A18E7">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5.投标人代表对开标过程和开标记录有疑义，以及认为采购人、采购代理机构相关工作人员有需要回避的情形的，应当场提出询问或者回避申请。</w:t>
      </w:r>
    </w:p>
    <w:p w14:paraId="128C8A13">
      <w:pPr>
        <w:outlineLvl w:val="2"/>
        <w:rPr>
          <w:rFonts w:hint="eastAsia" w:ascii="仿宋" w:hAnsi="仿宋" w:eastAsia="仿宋" w:cs="仿宋"/>
          <w:b/>
          <w:bCs/>
          <w:color w:val="auto"/>
          <w:sz w:val="28"/>
          <w:szCs w:val="28"/>
          <w:highlight w:val="none"/>
        </w:rPr>
      </w:pPr>
      <w:bookmarkStart w:id="576" w:name="_Toc7776"/>
      <w:r>
        <w:rPr>
          <w:rFonts w:hint="eastAsia" w:ascii="仿宋" w:hAnsi="仿宋" w:eastAsia="仿宋" w:cs="仿宋"/>
          <w:b/>
          <w:bCs/>
          <w:color w:val="auto"/>
          <w:sz w:val="28"/>
          <w:szCs w:val="28"/>
          <w:highlight w:val="none"/>
        </w:rPr>
        <w:t>二、评标</w:t>
      </w:r>
      <w:bookmarkEnd w:id="576"/>
    </w:p>
    <w:p w14:paraId="4CB4E00D">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1.评标会开始前主持人宣读《新疆政府采购评审专家管理实施办法》</w:t>
      </w:r>
    </w:p>
    <w:p w14:paraId="71221613">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2.评标委员会对投标人的技术投标文件进行评审。</w:t>
      </w:r>
    </w:p>
    <w:p w14:paraId="449A5DA5">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3.评标委员会对投标人的商务文件进行评审。</w:t>
      </w:r>
    </w:p>
    <w:p w14:paraId="14C63E41">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4.评标委员会个人对投标人打分。</w:t>
      </w:r>
    </w:p>
    <w:p w14:paraId="2B24C4F8">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5.将评标委员会个人打分进行汇总并计算各投标人最后综合得分。</w:t>
      </w:r>
    </w:p>
    <w:p w14:paraId="077CFA55">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6.按照投标人的得分高低顺序确定并公布本次招标的中标候选人。</w:t>
      </w:r>
    </w:p>
    <w:p w14:paraId="137FAE2D">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7.招标人根据评标情况写出评标报告，并由监督人及评标委员会签字确认。</w:t>
      </w:r>
    </w:p>
    <w:p w14:paraId="0C0F4A16">
      <w:pPr>
        <w:outlineLvl w:val="2"/>
        <w:rPr>
          <w:rFonts w:hint="eastAsia" w:ascii="仿宋" w:hAnsi="仿宋" w:eastAsia="仿宋" w:cs="仿宋"/>
          <w:b/>
          <w:bCs/>
          <w:color w:val="auto"/>
          <w:sz w:val="28"/>
          <w:szCs w:val="28"/>
          <w:highlight w:val="none"/>
        </w:rPr>
      </w:pPr>
      <w:bookmarkStart w:id="577" w:name="_Toc9170"/>
      <w:r>
        <w:rPr>
          <w:rFonts w:hint="eastAsia" w:ascii="仿宋" w:hAnsi="仿宋" w:eastAsia="仿宋" w:cs="仿宋"/>
          <w:b/>
          <w:bCs/>
          <w:color w:val="auto"/>
          <w:sz w:val="28"/>
          <w:szCs w:val="28"/>
          <w:highlight w:val="none"/>
        </w:rPr>
        <w:t>三、定标</w:t>
      </w:r>
      <w:bookmarkEnd w:id="577"/>
    </w:p>
    <w:p w14:paraId="097F2938">
      <w:pPr>
        <w:pStyle w:val="7"/>
        <w:tabs>
          <w:tab w:val="clear" w:pos="567"/>
        </w:tabs>
        <w:spacing w:before="0" w:line="400" w:lineRule="exact"/>
        <w:ind w:firstLine="632" w:firstLineChars="225"/>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14:paraId="189E3BFE">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1.中标候选人确定方式：采购代理机构应当自评审结束之日起2个工作日内将评审报告送交采购人。采购人应当自收到评审报告之日起5个工作日内确定中标人。</w:t>
      </w:r>
    </w:p>
    <w:p w14:paraId="472B52E5">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除第一章第28条规定外，对实质上响应招标文件的供应商按下列方法进行排序，确定投标候选人：</w:t>
      </w:r>
    </w:p>
    <w:p w14:paraId="43025D91">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655E7C15">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w:t>
      </w:r>
    </w:p>
    <w:p w14:paraId="6343F028">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2.中标候选人并列式时的处理方式：</w:t>
      </w:r>
    </w:p>
    <w:p w14:paraId="6F1E4BFE">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651A79C">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.评标委员会决定投标的响应性只根据招标文件要求、投标文件内容及财政主管部门指定相关信息发布媒体。</w:t>
      </w:r>
    </w:p>
    <w:p w14:paraId="5192B763">
      <w:pPr>
        <w:outlineLvl w:val="2"/>
        <w:rPr>
          <w:rFonts w:hint="eastAsia" w:ascii="仿宋" w:hAnsi="仿宋" w:eastAsia="仿宋" w:cs="仿宋"/>
          <w:b/>
          <w:bCs/>
          <w:color w:val="auto"/>
          <w:sz w:val="28"/>
          <w:szCs w:val="28"/>
          <w:highlight w:val="none"/>
        </w:rPr>
      </w:pPr>
      <w:bookmarkStart w:id="578" w:name="_Toc2924"/>
      <w:r>
        <w:rPr>
          <w:rFonts w:hint="eastAsia" w:ascii="仿宋" w:hAnsi="仿宋" w:eastAsia="仿宋" w:cs="仿宋"/>
          <w:b/>
          <w:bCs/>
          <w:color w:val="auto"/>
          <w:sz w:val="28"/>
          <w:szCs w:val="28"/>
          <w:highlight w:val="none"/>
        </w:rPr>
        <w:t>四、投标无效</w:t>
      </w:r>
      <w:bookmarkEnd w:id="578"/>
    </w:p>
    <w:p w14:paraId="2B1B11D1">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1.投标无效的情形：</w:t>
      </w:r>
    </w:p>
    <w:p w14:paraId="3EBF4868">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（1）单位负责人为同一人或者存在直接控股、管理关系的不同供应商，其相关投标将被认定为投标无效。</w:t>
      </w:r>
    </w:p>
    <w:p w14:paraId="0C81ACB4">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（2）若供应商须知资料表中未写明允许采购进口产品，如供应商所投产品为进口产品，其投标将被认定为投标无效。</w:t>
      </w:r>
    </w:p>
    <w:p w14:paraId="01907B9B">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（3）供应商在投标过程中不得向采购人提供、给予任何有价值的物品，影响其正常决策行为。一经发现，其将被认定为投标无效。</w:t>
      </w:r>
    </w:p>
    <w:p w14:paraId="4E173CE8">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（4）供应商报价超过招标文件规定的预算金额或者分项、分包最高限价的，其投标将被认定为投标无效。</w:t>
      </w:r>
    </w:p>
    <w:p w14:paraId="3101BF03">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77176C01">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（6）供应商应当对</w:t>
      </w:r>
      <w:r>
        <w:rPr>
          <w:rFonts w:hint="eastAsia" w:ascii="仿宋" w:hAnsi="仿宋" w:eastAsia="仿宋" w:cs="仿宋"/>
          <w:color w:val="auto"/>
          <w:sz w:val="28"/>
          <w:szCs w:val="28"/>
          <w:highlight w:val="none"/>
          <w:lang w:eastAsia="zh-CN"/>
        </w:rPr>
        <w:t>所投标段</w:t>
      </w:r>
      <w:r>
        <w:rPr>
          <w:rFonts w:hint="eastAsia" w:ascii="仿宋" w:hAnsi="仿宋" w:eastAsia="仿宋" w:cs="仿宋"/>
          <w:color w:val="auto"/>
          <w:sz w:val="28"/>
          <w:szCs w:val="28"/>
          <w:highlight w:val="none"/>
        </w:rPr>
        <w:t>中“货物需求一览表及技术规格”所列的内容进行投标，如仅响应内容</w:t>
      </w:r>
      <w:r>
        <w:rPr>
          <w:rFonts w:hint="eastAsia" w:ascii="仿宋" w:hAnsi="仿宋" w:eastAsia="仿宋" w:cs="仿宋"/>
          <w:color w:val="auto"/>
          <w:sz w:val="28"/>
          <w:szCs w:val="28"/>
          <w:highlight w:val="none"/>
          <w:lang w:eastAsia="zh-CN"/>
        </w:rPr>
        <w:t>错误</w:t>
      </w:r>
      <w:r>
        <w:rPr>
          <w:rFonts w:hint="eastAsia" w:ascii="仿宋" w:hAnsi="仿宋" w:eastAsia="仿宋" w:cs="仿宋"/>
          <w:color w:val="auto"/>
          <w:sz w:val="28"/>
          <w:szCs w:val="28"/>
          <w:highlight w:val="none"/>
        </w:rPr>
        <w:t>，该</w:t>
      </w:r>
      <w:r>
        <w:rPr>
          <w:rFonts w:hint="eastAsia" w:ascii="仿宋" w:hAnsi="仿宋" w:eastAsia="仿宋" w:cs="仿宋"/>
          <w:color w:val="auto"/>
          <w:sz w:val="28"/>
          <w:szCs w:val="28"/>
          <w:highlight w:val="none"/>
          <w:lang w:eastAsia="zh-CN"/>
        </w:rPr>
        <w:t>标段</w:t>
      </w:r>
      <w:r>
        <w:rPr>
          <w:rFonts w:hint="eastAsia" w:ascii="仿宋" w:hAnsi="仿宋" w:eastAsia="仿宋" w:cs="仿宋"/>
          <w:color w:val="auto"/>
          <w:sz w:val="28"/>
          <w:szCs w:val="28"/>
          <w:highlight w:val="none"/>
        </w:rPr>
        <w:t>投标将被认定为投标无效。</w:t>
      </w:r>
    </w:p>
    <w:p w14:paraId="436B3E63">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（7）供应商未按本须知规定提交投标保证金的，其投标将被认定为投标无效。</w:t>
      </w:r>
    </w:p>
    <w:p w14:paraId="035258CB">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32217C18">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（9）供应商所报的各分项投标单价在合同履行过程中是固定不变的，不得以任何理由予以变更。任何包含价格调整要求的投标，其投标将被认定为投标无效。</w:t>
      </w:r>
    </w:p>
    <w:p w14:paraId="3504AFA0">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（10）投标应在供应商须知资料表中规定时间内保持有效。投标有效期不满足要求的投标，其投标将被认定为投标无效。</w:t>
      </w:r>
    </w:p>
    <w:p w14:paraId="20FE17E3">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（11）所有投标文件</w:t>
      </w:r>
      <w:r>
        <w:rPr>
          <w:rFonts w:hint="eastAsia" w:ascii="仿宋" w:hAnsi="仿宋" w:eastAsia="仿宋" w:cs="仿宋"/>
          <w:color w:val="auto"/>
          <w:sz w:val="28"/>
          <w:szCs w:val="28"/>
          <w:highlight w:val="none"/>
          <w:lang w:eastAsia="zh-CN"/>
        </w:rPr>
        <w:t>应按照招标文件文件规定递交</w:t>
      </w:r>
      <w:r>
        <w:rPr>
          <w:rFonts w:hint="eastAsia" w:ascii="仿宋" w:hAnsi="仿宋" w:eastAsia="仿宋" w:cs="仿宋"/>
          <w:color w:val="auto"/>
          <w:sz w:val="28"/>
          <w:szCs w:val="28"/>
          <w:highlight w:val="none"/>
        </w:rPr>
        <w:t>，否则其投标将被认定为投标无效。</w:t>
      </w:r>
    </w:p>
    <w:p w14:paraId="173C057E">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（12）采购人或采购代理机构将在开标前1个工作日至投标截止后1小时的期间内查询供应商的信用记录。供应商存在不良信用记录的，其投标将被认定为投标无效。</w:t>
      </w:r>
    </w:p>
    <w:p w14:paraId="4F06A777">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）如采购人所采购产品为政府强制采购的节能产品，供应商所投产品的品牌及型号必须为清单中有效期内产品并提供证明文件，否则其投标将被认定为投标无效。</w:t>
      </w:r>
    </w:p>
    <w:p w14:paraId="6F044809">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）如发现下列情况之一的，其投标将被认定为投标无效：</w:t>
      </w:r>
    </w:p>
    <w:p w14:paraId="02A0DE73">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14:paraId="7ABDA797">
      <w:pPr>
        <w:outlineLvl w:val="2"/>
        <w:rPr>
          <w:rFonts w:hint="eastAsia" w:ascii="仿宋" w:hAnsi="仿宋" w:eastAsia="仿宋" w:cs="仿宋"/>
          <w:b/>
          <w:bCs/>
          <w:color w:val="auto"/>
          <w:sz w:val="28"/>
          <w:szCs w:val="28"/>
          <w:highlight w:val="none"/>
        </w:rPr>
      </w:pPr>
      <w:bookmarkStart w:id="579" w:name="_Toc17472"/>
      <w:r>
        <w:rPr>
          <w:rFonts w:hint="eastAsia" w:ascii="仿宋" w:hAnsi="仿宋" w:eastAsia="仿宋" w:cs="仿宋"/>
          <w:b/>
          <w:bCs/>
          <w:color w:val="auto"/>
          <w:sz w:val="28"/>
          <w:szCs w:val="28"/>
          <w:highlight w:val="none"/>
        </w:rPr>
        <w:t>五、对中小企业、监狱企业等政府采购政策</w:t>
      </w:r>
      <w:bookmarkEnd w:id="579"/>
    </w:p>
    <w:p w14:paraId="55E159CD">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1、根据财政部、工业和信息化部关于印发《政府采购促进中小企业发展管理办法》的通知（财库〔2020〕46号）：</w:t>
      </w:r>
    </w:p>
    <w:p w14:paraId="1394F058">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4BF839CA">
      <w:pPr>
        <w:pStyle w:val="7"/>
        <w:tabs>
          <w:tab w:val="clear" w:pos="567"/>
        </w:tabs>
        <w:spacing w:before="0" w:line="400" w:lineRule="exac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关于落实好政府采购支持中小企业发展的通知》（新财购〔2022〕22号）采购人和采购代理机构对于非预留预算份额的采购项目或采购包，应当明确有关价格扣除比例或者价格分加分比例。适用政府采购法的政府采购项目对小微企业报价给予10%-20%的扣除；大中型企业与小微企业组成联合体或大中型企业向小微企业分包的，评审给予4%-6%的价格扣除，用扣除后的价格参与评审。</w:t>
      </w:r>
    </w:p>
    <w:p w14:paraId="3FCC7133">
      <w:pPr>
        <w:pStyle w:val="7"/>
        <w:tabs>
          <w:tab w:val="clear" w:pos="567"/>
        </w:tabs>
        <w:spacing w:before="0" w:line="400" w:lineRule="exact"/>
        <w:ind w:firstLine="630" w:firstLineChars="22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《财政部 司法部关于政府采购支持监狱企业发展有关问题的通知》（财库〔2014〕68号）和《三部门联合发布关于促进残疾人就业政府采购政策的通知》（财库〔2017〕141号）的规定：</w:t>
      </w:r>
    </w:p>
    <w:p w14:paraId="138A05DD">
      <w:pPr>
        <w:pStyle w:val="16"/>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2.根据《政府采购促进中小企业发展管理办法》（财库[2020]46号）、关于进一步加大政府采购支持中小企业力度的通知财库〔2023〕19号，《财政部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号）的规定，对满足价格扣除条件且在响应文件中提交了《中小企业声明函》或省级以上监狱管理局、戒毒管理局（含新疆生产建设兵团）出具的属于监狱企业的证明文件的供应商，其报价扣除 10 % 后参与评审。对于同时属于小微企业、监狱企业或残疾人福利性单位的，不重复进行投标报价扣除。本项目面向中小企业/小微企业。</w:t>
      </w:r>
    </w:p>
    <w:p w14:paraId="0F2EBE26">
      <w:pPr>
        <w:pStyle w:val="16"/>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3.联合体各方均为小型、微型企业和监狱企业的，联合体视同为小型、微型企业和监狱企业。</w:t>
      </w:r>
    </w:p>
    <w:p w14:paraId="47E22A8D">
      <w:pPr>
        <w:pStyle w:val="16"/>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4.供应商所投产品如被列入财政部与国家主管部门颁发的节能产品目录或环境标志产品目录或无线局域网产品目录，应提供相关证明，在评标时予以优先采购，具体优惠措施为： 本项目不适用。</w:t>
      </w:r>
    </w:p>
    <w:p w14:paraId="2E7349ED">
      <w:pPr>
        <w:pStyle w:val="16"/>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5.如采购人所采购产品为政府强制采购的节能产品，供应商所投产品的品牌及型号必须为清单中有效期内产品并提供证明文件，否则其投标将被认定为投标无效。</w:t>
      </w:r>
    </w:p>
    <w:p w14:paraId="27992C78">
      <w:pPr>
        <w:pStyle w:val="16"/>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6.对创新产品或创新性企业的优惠措施为： /</w:t>
      </w:r>
      <w:r>
        <w:rPr>
          <w:rFonts w:hint="eastAsia" w:ascii="仿宋" w:hAnsi="仿宋" w:eastAsia="仿宋" w:cs="仿宋"/>
          <w:color w:val="auto"/>
          <w:kern w:val="2"/>
          <w:sz w:val="28"/>
          <w:szCs w:val="28"/>
          <w:highlight w:val="none"/>
          <w:lang w:val="en-US" w:eastAsia="zh-CN" w:bidi="ar-SA"/>
        </w:rPr>
        <w:tab/>
      </w:r>
    </w:p>
    <w:p w14:paraId="708BD6C3">
      <w:pPr>
        <w:pStyle w:val="16"/>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7.同品牌处理办法：</w:t>
      </w:r>
    </w:p>
    <w:p w14:paraId="275AA98A">
      <w:pPr>
        <w:pStyle w:val="16"/>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如采用最低评标办法，则： 提供相同品牌产品的不同供应商参加同一合同项下投标的，以其中通过资格审查、符合性审查且报价最低的参加评标;报价相同的，由采购人或者采购人委托询价小组按照询价文件规定的方式确定一个参加投标的供应商，询价文件未规定的采取随机抽取方式确定，其他投标无效。      </w:t>
      </w:r>
    </w:p>
    <w:p w14:paraId="013B25A1">
      <w:pPr>
        <w:pStyle w:val="16"/>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8.成交候选人并列式时的处理方式：</w:t>
      </w:r>
    </w:p>
    <w:p w14:paraId="320F8C99">
      <w:pPr>
        <w:pStyle w:val="16"/>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如采用最低评标办法，则：评标结果按投标报价由低到高顺序排列，响应文件满足询价文件全部实质性要求且投标报价最低的供应商为排名第一的成交候选人。</w:t>
      </w:r>
    </w:p>
    <w:p w14:paraId="5A3B130B">
      <w:pPr>
        <w:pStyle w:val="16"/>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9.推荐成交候选供应商的数量：</w:t>
      </w:r>
      <w:r>
        <w:rPr>
          <w:rFonts w:hint="eastAsia" w:ascii="仿宋" w:hAnsi="仿宋" w:eastAsia="仿宋" w:cs="仿宋"/>
          <w:color w:val="auto"/>
          <w:kern w:val="2"/>
          <w:sz w:val="28"/>
          <w:szCs w:val="28"/>
          <w:highlight w:val="none"/>
          <w:u w:val="single"/>
          <w:lang w:val="en-US" w:eastAsia="zh-CN" w:bidi="ar-SA"/>
        </w:rPr>
        <w:t xml:space="preserve">  3  </w:t>
      </w:r>
      <w:r>
        <w:rPr>
          <w:rFonts w:hint="eastAsia" w:ascii="仿宋" w:hAnsi="仿宋" w:eastAsia="仿宋" w:cs="仿宋"/>
          <w:color w:val="auto"/>
          <w:kern w:val="2"/>
          <w:sz w:val="28"/>
          <w:szCs w:val="28"/>
          <w:highlight w:val="none"/>
          <w:lang w:val="en-US" w:eastAsia="zh-CN" w:bidi="ar-SA"/>
        </w:rPr>
        <w:t xml:space="preserve">  </w:t>
      </w:r>
    </w:p>
    <w:p w14:paraId="51C2EE45">
      <w:pPr>
        <w:pStyle w:val="16"/>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10.采购人委托评审小组直接确定成交供应商</w:t>
      </w:r>
      <w:r>
        <w:rPr>
          <w:rFonts w:hint="eastAsia" w:ascii="仿宋" w:hAnsi="仿宋" w:eastAsia="仿宋" w:cs="仿宋"/>
          <w:color w:val="auto"/>
          <w:kern w:val="2"/>
          <w:sz w:val="28"/>
          <w:szCs w:val="28"/>
          <w:highlight w:val="none"/>
          <w:u w:val="single"/>
          <w:lang w:val="en-US" w:eastAsia="zh-CN" w:bidi="ar-SA"/>
        </w:rPr>
        <w:t>： 否  （</w:t>
      </w:r>
      <w:r>
        <w:rPr>
          <w:rFonts w:hint="eastAsia" w:ascii="仿宋" w:hAnsi="仿宋" w:eastAsia="仿宋" w:cs="仿宋"/>
          <w:color w:val="auto"/>
          <w:kern w:val="2"/>
          <w:sz w:val="28"/>
          <w:szCs w:val="28"/>
          <w:highlight w:val="none"/>
          <w:lang w:val="en-US" w:eastAsia="zh-CN" w:bidi="ar-SA"/>
        </w:rPr>
        <w:t>是、否）</w:t>
      </w:r>
    </w:p>
    <w:p w14:paraId="7C2C3D6E">
      <w:pPr>
        <w:pStyle w:val="16"/>
        <w:rPr>
          <w:rFonts w:hint="eastAsia" w:ascii="仿宋" w:hAnsi="仿宋" w:eastAsia="仿宋" w:cs="仿宋"/>
          <w:color w:val="auto"/>
          <w:sz w:val="24"/>
          <w:highlight w:val="none"/>
        </w:rPr>
      </w:pPr>
    </w:p>
    <w:p w14:paraId="0084596D">
      <w:pPr>
        <w:pStyle w:val="7"/>
        <w:tabs>
          <w:tab w:val="clear" w:pos="567"/>
        </w:tabs>
        <w:spacing w:before="0" w:line="360" w:lineRule="auto"/>
        <w:ind w:left="-181" w:leftChars="-86" w:firstLine="773" w:firstLineChars="275"/>
        <w:jc w:val="center"/>
        <w:outlineLvl w:val="2"/>
        <w:rPr>
          <w:rFonts w:hint="eastAsia" w:ascii="仿宋" w:hAnsi="仿宋" w:eastAsia="仿宋" w:cs="仿宋"/>
          <w:b/>
          <w:bCs/>
          <w:color w:val="auto"/>
          <w:kern w:val="0"/>
          <w:sz w:val="28"/>
          <w:szCs w:val="28"/>
          <w:highlight w:val="none"/>
        </w:rPr>
      </w:pPr>
      <w:bookmarkStart w:id="580" w:name="_Toc28817"/>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rPr>
        <w:t>符合性审查表</w:t>
      </w:r>
      <w:bookmarkEnd w:id="580"/>
    </w:p>
    <w:p w14:paraId="08B903A4">
      <w:pPr>
        <w:tabs>
          <w:tab w:val="left" w:pos="1445"/>
        </w:tabs>
        <w:spacing w:before="28" w:after="58"/>
        <w:ind w:left="159" w:right="0" w:firstLine="0"/>
        <w:jc w:val="center"/>
        <w:rPr>
          <w:rFonts w:hint="eastAsia" w:ascii="仿宋" w:hAnsi="仿宋" w:eastAsia="仿宋" w:cs="仿宋"/>
          <w:b/>
          <w:bCs/>
          <w:color w:val="auto"/>
          <w:sz w:val="28"/>
        </w:rPr>
      </w:pPr>
      <w:bookmarkStart w:id="581" w:name="_Toc507399904"/>
    </w:p>
    <w:p w14:paraId="0BF2C9E9">
      <w:pPr>
        <w:pStyle w:val="7"/>
        <w:rPr>
          <w:rFonts w:hint="eastAsia" w:ascii="仿宋" w:hAnsi="仿宋" w:eastAsia="仿宋" w:cs="仿宋"/>
          <w:color w:val="auto"/>
          <w:sz w:val="11"/>
        </w:rPr>
      </w:pPr>
    </w:p>
    <w:tbl>
      <w:tblPr>
        <w:tblStyle w:val="19"/>
        <w:tblpPr w:leftFromText="180" w:rightFromText="180" w:vertAnchor="text" w:horzAnchor="page" w:tblpX="1109" w:tblpY="301"/>
        <w:tblOverlap w:val="never"/>
        <w:tblW w:w="9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3"/>
        <w:gridCol w:w="7453"/>
        <w:gridCol w:w="1414"/>
      </w:tblGrid>
      <w:tr w14:paraId="5E8DB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086" w:type="dxa"/>
            <w:gridSpan w:val="2"/>
            <w:noWrap w:val="0"/>
            <w:vAlign w:val="top"/>
          </w:tcPr>
          <w:p w14:paraId="5A252121">
            <w:pPr>
              <w:pStyle w:val="27"/>
              <w:keepNext w:val="0"/>
              <w:keepLines w:val="0"/>
              <w:suppressLineNumbers w:val="0"/>
              <w:spacing w:beforeAutospacing="0" w:afterAutospacing="0" w:line="340" w:lineRule="exact"/>
              <w:ind w:left="107"/>
              <w:jc w:val="center"/>
              <w:rPr>
                <w:rFonts w:hint="eastAsia" w:ascii="仿宋" w:hAnsi="仿宋" w:eastAsia="仿宋" w:cs="仿宋"/>
                <w:color w:val="auto"/>
                <w:sz w:val="24"/>
              </w:rPr>
            </w:pPr>
          </w:p>
        </w:tc>
        <w:tc>
          <w:tcPr>
            <w:tcW w:w="1414" w:type="dxa"/>
            <w:noWrap w:val="0"/>
            <w:vAlign w:val="top"/>
          </w:tcPr>
          <w:p w14:paraId="1270606A">
            <w:pPr>
              <w:pStyle w:val="27"/>
              <w:keepNext w:val="0"/>
              <w:keepLines w:val="0"/>
              <w:suppressLineNumbers w:val="0"/>
              <w:spacing w:beforeAutospacing="0" w:afterAutospacing="0" w:line="340" w:lineRule="exact"/>
              <w:ind w:left="89" w:right="113"/>
              <w:jc w:val="center"/>
              <w:rPr>
                <w:rFonts w:hint="eastAsia" w:ascii="仿宋" w:hAnsi="仿宋" w:eastAsia="仿宋" w:cs="仿宋"/>
                <w:color w:val="auto"/>
                <w:sz w:val="24"/>
              </w:rPr>
            </w:pPr>
            <w:r>
              <w:rPr>
                <w:rFonts w:hint="eastAsia" w:ascii="仿宋" w:hAnsi="仿宋" w:eastAsia="仿宋" w:cs="仿宋"/>
                <w:color w:val="auto"/>
                <w:sz w:val="24"/>
              </w:rPr>
              <w:t>评审意见</w:t>
            </w:r>
          </w:p>
        </w:tc>
      </w:tr>
      <w:tr w14:paraId="2D9D9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33" w:type="dxa"/>
            <w:noWrap w:val="0"/>
            <w:vAlign w:val="center"/>
          </w:tcPr>
          <w:p w14:paraId="22DA8D35">
            <w:pPr>
              <w:pStyle w:val="27"/>
              <w:keepNext w:val="0"/>
              <w:keepLines w:val="0"/>
              <w:suppressLineNumbers w:val="0"/>
              <w:spacing w:beforeAutospacing="0" w:afterAutospacing="0" w:line="360" w:lineRule="exact"/>
              <w:ind w:left="107" w:right="225"/>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7453" w:type="dxa"/>
            <w:noWrap w:val="0"/>
            <w:vAlign w:val="top"/>
          </w:tcPr>
          <w:p w14:paraId="29395B6F">
            <w:pPr>
              <w:pStyle w:val="27"/>
              <w:keepNext w:val="0"/>
              <w:keepLines w:val="0"/>
              <w:suppressLineNumbers w:val="0"/>
              <w:spacing w:beforeAutospacing="0" w:afterAutospacing="0"/>
              <w:jc w:val="center"/>
              <w:rPr>
                <w:rFonts w:hint="eastAsia" w:ascii="仿宋" w:hAnsi="仿宋" w:eastAsia="仿宋" w:cs="仿宋"/>
                <w:color w:val="auto"/>
                <w:sz w:val="22"/>
              </w:rPr>
            </w:pPr>
            <w:r>
              <w:rPr>
                <w:rFonts w:hint="eastAsia" w:ascii="仿宋" w:hAnsi="仿宋" w:eastAsia="仿宋" w:cs="仿宋"/>
                <w:color w:val="auto"/>
                <w:sz w:val="24"/>
              </w:rPr>
              <w:t>评审内容</w:t>
            </w:r>
          </w:p>
        </w:tc>
        <w:tc>
          <w:tcPr>
            <w:tcW w:w="1414" w:type="dxa"/>
            <w:noWrap w:val="0"/>
            <w:vAlign w:val="top"/>
          </w:tcPr>
          <w:p w14:paraId="399E3C5C">
            <w:pPr>
              <w:pStyle w:val="27"/>
              <w:keepNext w:val="0"/>
              <w:keepLines w:val="0"/>
              <w:suppressLineNumbers w:val="0"/>
              <w:spacing w:before="152" w:beforeAutospacing="0" w:afterAutospacing="0"/>
              <w:ind w:left="89" w:right="113"/>
              <w:jc w:val="center"/>
              <w:rPr>
                <w:rFonts w:hint="eastAsia" w:ascii="仿宋" w:hAnsi="仿宋" w:eastAsia="仿宋" w:cs="仿宋"/>
                <w:color w:val="auto"/>
                <w:sz w:val="24"/>
              </w:rPr>
            </w:pPr>
            <w:r>
              <w:rPr>
                <w:rFonts w:hint="eastAsia" w:ascii="仿宋" w:hAnsi="仿宋" w:eastAsia="仿宋" w:cs="仿宋"/>
                <w:color w:val="auto"/>
                <w:sz w:val="24"/>
              </w:rPr>
              <w:t>是否合格</w:t>
            </w:r>
          </w:p>
        </w:tc>
      </w:tr>
      <w:tr w14:paraId="118C7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33" w:type="dxa"/>
            <w:noWrap w:val="0"/>
            <w:vAlign w:val="center"/>
          </w:tcPr>
          <w:p w14:paraId="6FCE6EEB">
            <w:pPr>
              <w:pStyle w:val="27"/>
              <w:keepNext w:val="0"/>
              <w:keepLines w:val="0"/>
              <w:suppressLineNumbers w:val="0"/>
              <w:spacing w:beforeAutospacing="0" w:afterAutospacing="0" w:line="340" w:lineRule="exact"/>
              <w:ind w:left="107" w:leftChars="0" w:right="0" w:rightChars="0"/>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rPr>
              <w:t>1</w:t>
            </w:r>
          </w:p>
        </w:tc>
        <w:tc>
          <w:tcPr>
            <w:tcW w:w="7453" w:type="dxa"/>
            <w:noWrap w:val="0"/>
            <w:vAlign w:val="center"/>
          </w:tcPr>
          <w:p w14:paraId="009CDA36">
            <w:pPr>
              <w:pStyle w:val="27"/>
              <w:keepNext w:val="0"/>
              <w:keepLines w:val="0"/>
              <w:suppressLineNumbers w:val="0"/>
              <w:spacing w:beforeAutospacing="0" w:afterAutospacing="0" w:line="340" w:lineRule="exact"/>
              <w:ind w:left="108"/>
              <w:jc w:val="both"/>
              <w:rPr>
                <w:rFonts w:hint="eastAsia" w:ascii="仿宋" w:hAnsi="仿宋" w:eastAsia="仿宋" w:cs="仿宋"/>
                <w:color w:val="auto"/>
                <w:sz w:val="24"/>
              </w:rPr>
            </w:pPr>
            <w:r>
              <w:rPr>
                <w:rFonts w:hint="eastAsia" w:ascii="仿宋" w:hAnsi="仿宋" w:eastAsia="仿宋" w:cs="仿宋"/>
                <w:color w:val="auto"/>
                <w:sz w:val="24"/>
              </w:rPr>
              <w:t>各供应商投标报价未高于预算金额；</w:t>
            </w:r>
          </w:p>
        </w:tc>
        <w:tc>
          <w:tcPr>
            <w:tcW w:w="1414" w:type="dxa"/>
            <w:noWrap w:val="0"/>
            <w:vAlign w:val="top"/>
          </w:tcPr>
          <w:p w14:paraId="3C2EEA7C">
            <w:pPr>
              <w:pStyle w:val="27"/>
              <w:keepNext w:val="0"/>
              <w:keepLines w:val="0"/>
              <w:suppressLineNumbers w:val="0"/>
              <w:spacing w:beforeAutospacing="0" w:afterAutospacing="0"/>
              <w:rPr>
                <w:rFonts w:hint="eastAsia" w:ascii="仿宋" w:hAnsi="仿宋" w:eastAsia="仿宋" w:cs="仿宋"/>
                <w:color w:val="auto"/>
                <w:sz w:val="22"/>
              </w:rPr>
            </w:pPr>
          </w:p>
        </w:tc>
      </w:tr>
      <w:tr w14:paraId="0F52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33" w:type="dxa"/>
            <w:noWrap w:val="0"/>
            <w:vAlign w:val="center"/>
          </w:tcPr>
          <w:p w14:paraId="78944353">
            <w:pPr>
              <w:pStyle w:val="27"/>
              <w:keepNext w:val="0"/>
              <w:keepLines w:val="0"/>
              <w:suppressLineNumbers w:val="0"/>
              <w:spacing w:before="151" w:beforeAutospacing="0" w:afterAutospacing="0"/>
              <w:ind w:left="107" w:leftChars="0" w:right="0" w:rightChars="0"/>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rPr>
              <w:t>2</w:t>
            </w:r>
          </w:p>
        </w:tc>
        <w:tc>
          <w:tcPr>
            <w:tcW w:w="7453" w:type="dxa"/>
            <w:noWrap w:val="0"/>
            <w:vAlign w:val="center"/>
          </w:tcPr>
          <w:p w14:paraId="655F2333">
            <w:pPr>
              <w:pStyle w:val="27"/>
              <w:keepNext w:val="0"/>
              <w:keepLines w:val="0"/>
              <w:suppressLineNumbers w:val="0"/>
              <w:spacing w:beforeAutospacing="0" w:afterAutospacing="0" w:line="360" w:lineRule="exact"/>
              <w:ind w:left="108" w:right="96"/>
              <w:jc w:val="both"/>
              <w:rPr>
                <w:rFonts w:hint="eastAsia" w:ascii="仿宋" w:hAnsi="仿宋" w:eastAsia="仿宋" w:cs="仿宋"/>
                <w:color w:val="auto"/>
                <w:sz w:val="24"/>
              </w:rPr>
            </w:pPr>
            <w:r>
              <w:rPr>
                <w:rFonts w:hint="eastAsia" w:ascii="仿宋" w:hAnsi="仿宋" w:eastAsia="仿宋" w:cs="仿宋"/>
                <w:color w:val="auto"/>
                <w:sz w:val="24"/>
                <w:lang w:val="en-US" w:eastAsia="zh-CN"/>
              </w:rPr>
              <w:t>评审</w:t>
            </w:r>
            <w:r>
              <w:rPr>
                <w:rFonts w:hint="eastAsia" w:ascii="仿宋" w:hAnsi="仿宋" w:eastAsia="仿宋" w:cs="仿宋"/>
                <w:color w:val="auto"/>
                <w:sz w:val="24"/>
                <w:lang w:eastAsia="zh-CN"/>
              </w:rPr>
              <w:t>小组</w:t>
            </w:r>
            <w:r>
              <w:rPr>
                <w:rFonts w:hint="eastAsia" w:ascii="仿宋" w:hAnsi="仿宋" w:eastAsia="仿宋" w:cs="仿宋"/>
                <w:color w:val="auto"/>
                <w:sz w:val="24"/>
              </w:rPr>
              <w:t>认为供应商的报价无明显低于其他通过符合性审查供应商的报价的，供应商的报价不存在异常一致并成规律性的，其报价合理；</w:t>
            </w:r>
          </w:p>
        </w:tc>
        <w:tc>
          <w:tcPr>
            <w:tcW w:w="1414" w:type="dxa"/>
            <w:noWrap w:val="0"/>
            <w:vAlign w:val="top"/>
          </w:tcPr>
          <w:p w14:paraId="41F472FB">
            <w:pPr>
              <w:pStyle w:val="27"/>
              <w:keepNext w:val="0"/>
              <w:keepLines w:val="0"/>
              <w:suppressLineNumbers w:val="0"/>
              <w:spacing w:beforeAutospacing="0" w:afterAutospacing="0"/>
              <w:rPr>
                <w:rFonts w:hint="eastAsia" w:ascii="仿宋" w:hAnsi="仿宋" w:eastAsia="仿宋" w:cs="仿宋"/>
                <w:color w:val="auto"/>
                <w:sz w:val="22"/>
              </w:rPr>
            </w:pPr>
          </w:p>
        </w:tc>
      </w:tr>
      <w:tr w14:paraId="7F380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33" w:type="dxa"/>
            <w:noWrap w:val="0"/>
            <w:vAlign w:val="center"/>
          </w:tcPr>
          <w:p w14:paraId="5FD1062D">
            <w:pPr>
              <w:pStyle w:val="27"/>
              <w:keepNext w:val="0"/>
              <w:keepLines w:val="0"/>
              <w:suppressLineNumbers w:val="0"/>
              <w:spacing w:before="47" w:beforeAutospacing="0" w:afterAutospacing="0"/>
              <w:ind w:left="107" w:leftChars="0" w:right="0" w:rightChars="0"/>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rPr>
              <w:t>3</w:t>
            </w:r>
          </w:p>
        </w:tc>
        <w:tc>
          <w:tcPr>
            <w:tcW w:w="7453" w:type="dxa"/>
            <w:noWrap w:val="0"/>
            <w:vAlign w:val="center"/>
          </w:tcPr>
          <w:p w14:paraId="2C7C1F5B">
            <w:pPr>
              <w:pStyle w:val="27"/>
              <w:keepNext w:val="0"/>
              <w:keepLines w:val="0"/>
              <w:suppressLineNumbers w:val="0"/>
              <w:spacing w:before="47" w:beforeAutospacing="0" w:afterAutospacing="0"/>
              <w:ind w:left="108"/>
              <w:jc w:val="both"/>
              <w:rPr>
                <w:rFonts w:hint="eastAsia" w:ascii="仿宋" w:hAnsi="仿宋" w:eastAsia="仿宋" w:cs="仿宋"/>
                <w:color w:val="auto"/>
                <w:sz w:val="24"/>
              </w:rPr>
            </w:pPr>
            <w:r>
              <w:rPr>
                <w:rFonts w:hint="eastAsia" w:ascii="仿宋" w:hAnsi="仿宋" w:eastAsia="仿宋" w:cs="仿宋"/>
                <w:color w:val="auto"/>
                <w:sz w:val="24"/>
                <w:lang w:val="en-US" w:eastAsia="zh-CN"/>
              </w:rPr>
              <w:t>投标有效期满足招标文件要求；</w:t>
            </w:r>
          </w:p>
        </w:tc>
        <w:tc>
          <w:tcPr>
            <w:tcW w:w="1414" w:type="dxa"/>
            <w:noWrap w:val="0"/>
            <w:vAlign w:val="top"/>
          </w:tcPr>
          <w:p w14:paraId="25709038">
            <w:pPr>
              <w:pStyle w:val="27"/>
              <w:keepNext w:val="0"/>
              <w:keepLines w:val="0"/>
              <w:suppressLineNumbers w:val="0"/>
              <w:spacing w:beforeAutospacing="0" w:afterAutospacing="0"/>
              <w:rPr>
                <w:rFonts w:hint="eastAsia" w:ascii="仿宋" w:hAnsi="仿宋" w:eastAsia="仿宋" w:cs="仿宋"/>
                <w:color w:val="auto"/>
                <w:sz w:val="22"/>
              </w:rPr>
            </w:pPr>
          </w:p>
        </w:tc>
      </w:tr>
      <w:tr w14:paraId="4A11A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33" w:type="dxa"/>
            <w:noWrap w:val="0"/>
            <w:vAlign w:val="center"/>
          </w:tcPr>
          <w:p w14:paraId="591E507C">
            <w:pPr>
              <w:pStyle w:val="27"/>
              <w:keepNext w:val="0"/>
              <w:keepLines w:val="0"/>
              <w:suppressLineNumbers w:val="0"/>
              <w:spacing w:beforeAutospacing="0" w:afterAutospacing="0" w:line="360" w:lineRule="exact"/>
              <w:ind w:right="96" w:rightChars="0"/>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rPr>
              <w:t>4</w:t>
            </w:r>
          </w:p>
        </w:tc>
        <w:tc>
          <w:tcPr>
            <w:tcW w:w="7453" w:type="dxa"/>
            <w:noWrap w:val="0"/>
            <w:vAlign w:val="center"/>
          </w:tcPr>
          <w:p w14:paraId="7FB2DFD5">
            <w:pPr>
              <w:pStyle w:val="27"/>
              <w:keepNext w:val="0"/>
              <w:keepLines w:val="0"/>
              <w:suppressLineNumbers w:val="0"/>
              <w:spacing w:beforeAutospacing="0" w:afterAutospacing="0" w:line="360" w:lineRule="exact"/>
              <w:ind w:left="108" w:right="96"/>
              <w:jc w:val="both"/>
              <w:rPr>
                <w:rFonts w:hint="eastAsia" w:ascii="仿宋" w:hAnsi="仿宋" w:eastAsia="仿宋" w:cs="仿宋"/>
                <w:color w:val="auto"/>
                <w:sz w:val="24"/>
              </w:rPr>
            </w:pP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文件按照</w:t>
            </w:r>
            <w:r>
              <w:rPr>
                <w:rFonts w:hint="eastAsia" w:ascii="仿宋" w:hAnsi="仿宋" w:eastAsia="仿宋" w:cs="仿宋"/>
                <w:color w:val="auto"/>
                <w:sz w:val="24"/>
                <w:lang w:val="en-US" w:eastAsia="zh-CN"/>
              </w:rPr>
              <w:t>招标</w:t>
            </w:r>
            <w:r>
              <w:rPr>
                <w:rFonts w:hint="eastAsia" w:ascii="仿宋" w:hAnsi="仿宋" w:eastAsia="仿宋" w:cs="仿宋"/>
                <w:color w:val="auto"/>
                <w:sz w:val="24"/>
              </w:rPr>
              <w:t>文件规定要求</w:t>
            </w:r>
            <w:r>
              <w:rPr>
                <w:rFonts w:hint="eastAsia" w:ascii="仿宋" w:hAnsi="仿宋" w:eastAsia="仿宋" w:cs="仿宋"/>
                <w:color w:val="auto"/>
                <w:sz w:val="24"/>
                <w:lang w:val="en-US" w:eastAsia="zh-CN"/>
              </w:rPr>
              <w:t>编制、</w:t>
            </w:r>
            <w:r>
              <w:rPr>
                <w:rFonts w:hint="eastAsia" w:ascii="仿宋" w:hAnsi="仿宋" w:eastAsia="仿宋" w:cs="仿宋"/>
                <w:color w:val="auto"/>
                <w:sz w:val="24"/>
              </w:rPr>
              <w:t>签署、盖章；</w:t>
            </w:r>
          </w:p>
        </w:tc>
        <w:tc>
          <w:tcPr>
            <w:tcW w:w="1414" w:type="dxa"/>
            <w:noWrap w:val="0"/>
            <w:vAlign w:val="top"/>
          </w:tcPr>
          <w:p w14:paraId="531E7201">
            <w:pPr>
              <w:pStyle w:val="27"/>
              <w:keepNext w:val="0"/>
              <w:keepLines w:val="0"/>
              <w:suppressLineNumbers w:val="0"/>
              <w:spacing w:beforeAutospacing="0" w:afterAutospacing="0"/>
              <w:rPr>
                <w:rFonts w:hint="eastAsia" w:ascii="仿宋" w:hAnsi="仿宋" w:eastAsia="仿宋" w:cs="仿宋"/>
                <w:color w:val="auto"/>
                <w:sz w:val="22"/>
              </w:rPr>
            </w:pPr>
          </w:p>
        </w:tc>
      </w:tr>
      <w:tr w14:paraId="0384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33" w:type="dxa"/>
            <w:noWrap w:val="0"/>
            <w:vAlign w:val="center"/>
          </w:tcPr>
          <w:p w14:paraId="35865F38">
            <w:pPr>
              <w:pStyle w:val="27"/>
              <w:keepNext w:val="0"/>
              <w:keepLines w:val="0"/>
              <w:suppressLineNumbers w:val="0"/>
              <w:spacing w:beforeAutospacing="0" w:afterAutospacing="0" w:line="360" w:lineRule="exact"/>
              <w:ind w:left="108" w:leftChars="0" w:right="96" w:rightChars="0"/>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rPr>
              <w:t>5</w:t>
            </w:r>
          </w:p>
        </w:tc>
        <w:tc>
          <w:tcPr>
            <w:tcW w:w="7453" w:type="dxa"/>
            <w:noWrap w:val="0"/>
            <w:vAlign w:val="center"/>
          </w:tcPr>
          <w:p w14:paraId="398FAEAC">
            <w:pPr>
              <w:pStyle w:val="27"/>
              <w:keepNext w:val="0"/>
              <w:keepLines w:val="0"/>
              <w:suppressLineNumbers w:val="0"/>
              <w:spacing w:beforeAutospacing="0" w:afterAutospacing="0" w:line="360" w:lineRule="exact"/>
              <w:ind w:left="108" w:right="96"/>
              <w:jc w:val="both"/>
              <w:rPr>
                <w:rFonts w:hint="eastAsia" w:ascii="仿宋" w:hAnsi="仿宋" w:eastAsia="仿宋" w:cs="仿宋"/>
                <w:color w:val="auto"/>
                <w:sz w:val="24"/>
              </w:rPr>
            </w:pPr>
            <w:r>
              <w:rPr>
                <w:rFonts w:hint="eastAsia" w:ascii="仿宋" w:hAnsi="仿宋" w:eastAsia="仿宋" w:cs="仿宋"/>
                <w:color w:val="auto"/>
                <w:sz w:val="24"/>
              </w:rPr>
              <w:t>所投产品的货物及数量满足</w:t>
            </w:r>
            <w:r>
              <w:rPr>
                <w:rFonts w:hint="eastAsia" w:ascii="仿宋" w:hAnsi="仿宋" w:eastAsia="仿宋" w:cs="仿宋"/>
                <w:color w:val="auto"/>
                <w:sz w:val="24"/>
                <w:lang w:val="en-US" w:eastAsia="zh-CN"/>
              </w:rPr>
              <w:t>招标</w:t>
            </w:r>
            <w:r>
              <w:rPr>
                <w:rFonts w:hint="eastAsia" w:ascii="仿宋" w:hAnsi="仿宋" w:eastAsia="仿宋" w:cs="仿宋"/>
                <w:color w:val="auto"/>
                <w:sz w:val="24"/>
                <w:lang w:eastAsia="zh-CN"/>
              </w:rPr>
              <w:t>文件</w:t>
            </w:r>
            <w:r>
              <w:rPr>
                <w:rFonts w:hint="eastAsia" w:ascii="仿宋" w:hAnsi="仿宋" w:eastAsia="仿宋" w:cs="仿宋"/>
                <w:color w:val="auto"/>
                <w:sz w:val="24"/>
              </w:rPr>
              <w:t>要求的；（可参考分项报价表）</w:t>
            </w:r>
          </w:p>
        </w:tc>
        <w:tc>
          <w:tcPr>
            <w:tcW w:w="1414" w:type="dxa"/>
            <w:noWrap w:val="0"/>
            <w:vAlign w:val="top"/>
          </w:tcPr>
          <w:p w14:paraId="35AC01AE">
            <w:pPr>
              <w:pStyle w:val="27"/>
              <w:keepNext w:val="0"/>
              <w:keepLines w:val="0"/>
              <w:suppressLineNumbers w:val="0"/>
              <w:spacing w:beforeAutospacing="0" w:afterAutospacing="0"/>
              <w:rPr>
                <w:rFonts w:hint="eastAsia" w:ascii="仿宋" w:hAnsi="仿宋" w:eastAsia="仿宋" w:cs="仿宋"/>
                <w:color w:val="auto"/>
                <w:sz w:val="22"/>
              </w:rPr>
            </w:pPr>
          </w:p>
        </w:tc>
      </w:tr>
      <w:tr w14:paraId="4293B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33" w:type="dxa"/>
            <w:noWrap w:val="0"/>
            <w:vAlign w:val="center"/>
          </w:tcPr>
          <w:p w14:paraId="22E059DE">
            <w:pPr>
              <w:pStyle w:val="27"/>
              <w:keepNext w:val="0"/>
              <w:keepLines w:val="0"/>
              <w:suppressLineNumbers w:val="0"/>
              <w:spacing w:beforeAutospacing="0" w:afterAutospacing="0" w:line="360" w:lineRule="exact"/>
              <w:ind w:left="108" w:leftChars="0" w:right="96" w:rightChars="0"/>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rPr>
              <w:t>6</w:t>
            </w:r>
          </w:p>
        </w:tc>
        <w:tc>
          <w:tcPr>
            <w:tcW w:w="7453" w:type="dxa"/>
            <w:noWrap w:val="0"/>
            <w:vAlign w:val="center"/>
          </w:tcPr>
          <w:p w14:paraId="7AD3BDBB">
            <w:pPr>
              <w:pStyle w:val="27"/>
              <w:keepNext w:val="0"/>
              <w:keepLines w:val="0"/>
              <w:suppressLineNumbers w:val="0"/>
              <w:spacing w:beforeAutospacing="0" w:afterAutospacing="0" w:line="360" w:lineRule="exact"/>
              <w:ind w:left="108" w:right="96"/>
              <w:jc w:val="both"/>
              <w:rPr>
                <w:rFonts w:hint="eastAsia" w:ascii="仿宋" w:hAnsi="仿宋" w:eastAsia="仿宋" w:cs="仿宋"/>
                <w:color w:val="auto"/>
                <w:sz w:val="24"/>
              </w:rPr>
            </w:pPr>
            <w:r>
              <w:rPr>
                <w:rFonts w:hint="eastAsia" w:ascii="仿宋" w:hAnsi="仿宋" w:eastAsia="仿宋" w:cs="仿宋"/>
                <w:color w:val="auto"/>
                <w:sz w:val="24"/>
              </w:rPr>
              <w:t>响应文件载明的技术规格、技术标准、技术指标、项目要求等，符合</w:t>
            </w:r>
            <w:r>
              <w:rPr>
                <w:rFonts w:hint="eastAsia" w:ascii="仿宋" w:hAnsi="仿宋" w:eastAsia="仿宋" w:cs="仿宋"/>
                <w:color w:val="auto"/>
                <w:sz w:val="24"/>
                <w:lang w:val="en-US" w:eastAsia="zh-CN"/>
              </w:rPr>
              <w:t>招标</w:t>
            </w:r>
            <w:r>
              <w:rPr>
                <w:rFonts w:hint="eastAsia" w:ascii="仿宋" w:hAnsi="仿宋" w:eastAsia="仿宋" w:cs="仿宋"/>
                <w:color w:val="auto"/>
                <w:sz w:val="24"/>
                <w:lang w:eastAsia="zh-CN"/>
              </w:rPr>
              <w:t>文件</w:t>
            </w:r>
            <w:r>
              <w:rPr>
                <w:rFonts w:hint="eastAsia" w:ascii="仿宋" w:hAnsi="仿宋" w:eastAsia="仿宋" w:cs="仿宋"/>
                <w:color w:val="auto"/>
                <w:sz w:val="24"/>
              </w:rPr>
              <w:t>要求的；</w:t>
            </w:r>
          </w:p>
        </w:tc>
        <w:tc>
          <w:tcPr>
            <w:tcW w:w="1414" w:type="dxa"/>
            <w:noWrap w:val="0"/>
            <w:vAlign w:val="top"/>
          </w:tcPr>
          <w:p w14:paraId="72047362">
            <w:pPr>
              <w:pStyle w:val="27"/>
              <w:keepNext w:val="0"/>
              <w:keepLines w:val="0"/>
              <w:suppressLineNumbers w:val="0"/>
              <w:spacing w:beforeAutospacing="0" w:afterAutospacing="0"/>
              <w:rPr>
                <w:rFonts w:hint="eastAsia" w:ascii="仿宋" w:hAnsi="仿宋" w:eastAsia="仿宋" w:cs="仿宋"/>
                <w:color w:val="auto"/>
                <w:sz w:val="22"/>
              </w:rPr>
            </w:pPr>
          </w:p>
        </w:tc>
      </w:tr>
      <w:tr w14:paraId="6ACFB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33" w:type="dxa"/>
            <w:noWrap w:val="0"/>
            <w:vAlign w:val="center"/>
          </w:tcPr>
          <w:p w14:paraId="1DDE59B6">
            <w:pPr>
              <w:pStyle w:val="27"/>
              <w:keepNext w:val="0"/>
              <w:keepLines w:val="0"/>
              <w:suppressLineNumbers w:val="0"/>
              <w:spacing w:beforeAutospacing="0" w:afterAutospacing="0" w:line="360" w:lineRule="exact"/>
              <w:ind w:left="108" w:leftChars="0" w:right="96" w:rightChars="0"/>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rPr>
              <w:t>7</w:t>
            </w:r>
          </w:p>
        </w:tc>
        <w:tc>
          <w:tcPr>
            <w:tcW w:w="7453" w:type="dxa"/>
            <w:noWrap w:val="0"/>
            <w:vAlign w:val="center"/>
          </w:tcPr>
          <w:p w14:paraId="445B93CA">
            <w:pPr>
              <w:pStyle w:val="27"/>
              <w:keepNext w:val="0"/>
              <w:keepLines w:val="0"/>
              <w:suppressLineNumbers w:val="0"/>
              <w:spacing w:beforeAutospacing="0" w:afterAutospacing="0" w:line="360" w:lineRule="exact"/>
              <w:ind w:left="108" w:right="96"/>
              <w:jc w:val="both"/>
              <w:rPr>
                <w:rFonts w:hint="eastAsia" w:ascii="仿宋" w:hAnsi="仿宋" w:eastAsia="仿宋" w:cs="仿宋"/>
                <w:color w:val="auto"/>
                <w:sz w:val="24"/>
              </w:rPr>
            </w:pPr>
            <w:r>
              <w:rPr>
                <w:rFonts w:hint="eastAsia" w:ascii="仿宋" w:hAnsi="仿宋" w:eastAsia="仿宋" w:cs="仿宋"/>
                <w:color w:val="auto"/>
                <w:sz w:val="24"/>
              </w:rPr>
              <w:t>按</w:t>
            </w:r>
            <w:r>
              <w:rPr>
                <w:rFonts w:hint="eastAsia" w:ascii="仿宋" w:hAnsi="仿宋" w:eastAsia="仿宋" w:cs="仿宋"/>
                <w:color w:val="auto"/>
                <w:sz w:val="24"/>
                <w:lang w:val="en-US" w:eastAsia="zh-CN"/>
              </w:rPr>
              <w:t>招标</w:t>
            </w:r>
            <w:r>
              <w:rPr>
                <w:rFonts w:hint="eastAsia" w:ascii="仿宋" w:hAnsi="仿宋" w:eastAsia="仿宋" w:cs="仿宋"/>
                <w:color w:val="auto"/>
                <w:sz w:val="24"/>
                <w:lang w:eastAsia="zh-CN"/>
              </w:rPr>
              <w:t>文件</w:t>
            </w:r>
            <w:r>
              <w:rPr>
                <w:rFonts w:hint="eastAsia" w:ascii="仿宋" w:hAnsi="仿宋" w:eastAsia="仿宋" w:cs="仿宋"/>
                <w:color w:val="auto"/>
                <w:sz w:val="24"/>
              </w:rPr>
              <w:t>规定的格式填写，内容全或关键字迹清晰、数量等齐全的；</w:t>
            </w:r>
          </w:p>
        </w:tc>
        <w:tc>
          <w:tcPr>
            <w:tcW w:w="1414" w:type="dxa"/>
            <w:noWrap w:val="0"/>
            <w:vAlign w:val="top"/>
          </w:tcPr>
          <w:p w14:paraId="1B65AC8D">
            <w:pPr>
              <w:pStyle w:val="27"/>
              <w:keepNext w:val="0"/>
              <w:keepLines w:val="0"/>
              <w:suppressLineNumbers w:val="0"/>
              <w:spacing w:beforeAutospacing="0" w:afterAutospacing="0"/>
              <w:rPr>
                <w:rFonts w:hint="eastAsia" w:ascii="仿宋" w:hAnsi="仿宋" w:eastAsia="仿宋" w:cs="仿宋"/>
                <w:color w:val="auto"/>
                <w:sz w:val="22"/>
              </w:rPr>
            </w:pPr>
          </w:p>
        </w:tc>
      </w:tr>
      <w:tr w14:paraId="2DEE0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3" w:type="dxa"/>
            <w:noWrap w:val="0"/>
            <w:vAlign w:val="center"/>
          </w:tcPr>
          <w:p w14:paraId="4B2991CF">
            <w:pPr>
              <w:pStyle w:val="27"/>
              <w:keepNext w:val="0"/>
              <w:keepLines w:val="0"/>
              <w:suppressLineNumbers w:val="0"/>
              <w:spacing w:beforeAutospacing="0" w:afterAutospacing="0" w:line="360" w:lineRule="exact"/>
              <w:ind w:left="108" w:leftChars="0" w:right="96" w:rightChars="0"/>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rPr>
              <w:t>8</w:t>
            </w:r>
          </w:p>
        </w:tc>
        <w:tc>
          <w:tcPr>
            <w:tcW w:w="7453" w:type="dxa"/>
            <w:noWrap w:val="0"/>
            <w:vAlign w:val="center"/>
          </w:tcPr>
          <w:p w14:paraId="580D1CC8">
            <w:pPr>
              <w:pStyle w:val="27"/>
              <w:keepNext w:val="0"/>
              <w:keepLines w:val="0"/>
              <w:suppressLineNumbers w:val="0"/>
              <w:spacing w:beforeAutospacing="0" w:afterAutospacing="0" w:line="360" w:lineRule="exact"/>
              <w:ind w:left="108" w:right="96"/>
              <w:jc w:val="both"/>
              <w:rPr>
                <w:rFonts w:hint="eastAsia" w:ascii="仿宋" w:hAnsi="仿宋" w:eastAsia="仿宋" w:cs="仿宋"/>
                <w:color w:val="auto"/>
                <w:sz w:val="24"/>
              </w:rPr>
            </w:pPr>
            <w:r>
              <w:rPr>
                <w:rFonts w:hint="eastAsia" w:ascii="仿宋" w:hAnsi="仿宋" w:eastAsia="仿宋" w:cs="仿宋"/>
                <w:color w:val="auto"/>
                <w:sz w:val="24"/>
              </w:rPr>
              <w:t>没有采购人不能接受的附加条件的；</w:t>
            </w:r>
          </w:p>
        </w:tc>
        <w:tc>
          <w:tcPr>
            <w:tcW w:w="1414" w:type="dxa"/>
            <w:noWrap w:val="0"/>
            <w:vAlign w:val="top"/>
          </w:tcPr>
          <w:p w14:paraId="2C14EA81">
            <w:pPr>
              <w:pStyle w:val="27"/>
              <w:keepNext w:val="0"/>
              <w:keepLines w:val="0"/>
              <w:suppressLineNumbers w:val="0"/>
              <w:spacing w:beforeAutospacing="0" w:afterAutospacing="0"/>
              <w:rPr>
                <w:rFonts w:hint="eastAsia" w:ascii="仿宋" w:hAnsi="仿宋" w:eastAsia="仿宋" w:cs="仿宋"/>
                <w:color w:val="auto"/>
                <w:sz w:val="22"/>
              </w:rPr>
            </w:pPr>
          </w:p>
        </w:tc>
      </w:tr>
      <w:tr w14:paraId="56C51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33" w:type="dxa"/>
            <w:noWrap w:val="0"/>
            <w:vAlign w:val="center"/>
          </w:tcPr>
          <w:p w14:paraId="4C113102">
            <w:pPr>
              <w:pStyle w:val="27"/>
              <w:keepNext w:val="0"/>
              <w:keepLines w:val="0"/>
              <w:suppressLineNumbers w:val="0"/>
              <w:spacing w:beforeAutospacing="0" w:afterAutospacing="0" w:line="360" w:lineRule="exact"/>
              <w:ind w:left="108" w:leftChars="0" w:right="96" w:rightChars="0"/>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rPr>
              <w:t>9</w:t>
            </w:r>
          </w:p>
        </w:tc>
        <w:tc>
          <w:tcPr>
            <w:tcW w:w="7453" w:type="dxa"/>
            <w:noWrap w:val="0"/>
            <w:vAlign w:val="center"/>
          </w:tcPr>
          <w:p w14:paraId="5F88DA20">
            <w:pPr>
              <w:pStyle w:val="27"/>
              <w:keepNext w:val="0"/>
              <w:keepLines w:val="0"/>
              <w:suppressLineNumbers w:val="0"/>
              <w:spacing w:beforeAutospacing="0" w:afterAutospacing="0" w:line="360" w:lineRule="exact"/>
              <w:ind w:left="108" w:right="96"/>
              <w:jc w:val="both"/>
              <w:rPr>
                <w:rFonts w:hint="eastAsia" w:ascii="仿宋" w:hAnsi="仿宋" w:eastAsia="仿宋" w:cs="仿宋"/>
                <w:color w:val="auto"/>
                <w:sz w:val="24"/>
              </w:rPr>
            </w:pPr>
            <w:r>
              <w:rPr>
                <w:rFonts w:hint="eastAsia" w:ascii="仿宋" w:hAnsi="仿宋" w:eastAsia="仿宋" w:cs="仿宋"/>
                <w:color w:val="auto"/>
                <w:sz w:val="24"/>
              </w:rPr>
              <w:t>符合</w:t>
            </w:r>
            <w:r>
              <w:rPr>
                <w:rFonts w:hint="eastAsia" w:ascii="仿宋" w:hAnsi="仿宋" w:eastAsia="仿宋" w:cs="仿宋"/>
                <w:color w:val="auto"/>
                <w:sz w:val="24"/>
                <w:lang w:val="en-US" w:eastAsia="zh-CN"/>
              </w:rPr>
              <w:t>招标</w:t>
            </w:r>
            <w:r>
              <w:rPr>
                <w:rFonts w:hint="eastAsia" w:ascii="仿宋" w:hAnsi="仿宋" w:eastAsia="仿宋" w:cs="仿宋"/>
                <w:color w:val="auto"/>
                <w:sz w:val="24"/>
                <w:lang w:eastAsia="zh-CN"/>
              </w:rPr>
              <w:t>文件</w:t>
            </w:r>
            <w:r>
              <w:rPr>
                <w:rFonts w:hint="eastAsia" w:ascii="仿宋" w:hAnsi="仿宋" w:eastAsia="仿宋" w:cs="仿宋"/>
                <w:color w:val="auto"/>
                <w:sz w:val="24"/>
              </w:rPr>
              <w:t>中规定的其他实质性要求；（交货期、付款方式</w:t>
            </w:r>
            <w:r>
              <w:rPr>
                <w:rFonts w:hint="eastAsia" w:ascii="仿宋" w:hAnsi="仿宋" w:eastAsia="仿宋" w:cs="仿宋"/>
                <w:color w:val="auto"/>
                <w:sz w:val="24"/>
                <w:lang w:eastAsia="zh-CN"/>
              </w:rPr>
              <w:t>等</w:t>
            </w:r>
            <w:r>
              <w:rPr>
                <w:rFonts w:hint="eastAsia" w:ascii="仿宋" w:hAnsi="仿宋" w:eastAsia="仿宋" w:cs="仿宋"/>
                <w:color w:val="auto"/>
                <w:sz w:val="24"/>
              </w:rPr>
              <w:t>）</w:t>
            </w:r>
          </w:p>
        </w:tc>
        <w:tc>
          <w:tcPr>
            <w:tcW w:w="1414" w:type="dxa"/>
            <w:noWrap w:val="0"/>
            <w:vAlign w:val="top"/>
          </w:tcPr>
          <w:p w14:paraId="63F58D70">
            <w:pPr>
              <w:pStyle w:val="27"/>
              <w:keepNext w:val="0"/>
              <w:keepLines w:val="0"/>
              <w:suppressLineNumbers w:val="0"/>
              <w:spacing w:beforeAutospacing="0" w:afterAutospacing="0"/>
              <w:rPr>
                <w:rFonts w:hint="eastAsia" w:ascii="仿宋" w:hAnsi="仿宋" w:eastAsia="仿宋" w:cs="仿宋"/>
                <w:color w:val="auto"/>
                <w:sz w:val="22"/>
              </w:rPr>
            </w:pPr>
          </w:p>
        </w:tc>
      </w:tr>
      <w:tr w14:paraId="4CCD8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086" w:type="dxa"/>
            <w:gridSpan w:val="2"/>
            <w:noWrap w:val="0"/>
            <w:vAlign w:val="top"/>
          </w:tcPr>
          <w:p w14:paraId="440CB512">
            <w:pPr>
              <w:pStyle w:val="27"/>
              <w:keepNext w:val="0"/>
              <w:keepLines w:val="0"/>
              <w:suppressLineNumbers w:val="0"/>
              <w:spacing w:beforeAutospacing="0" w:afterAutospacing="0" w:line="394" w:lineRule="exact"/>
              <w:ind w:left="107"/>
              <w:rPr>
                <w:rFonts w:hint="eastAsia" w:ascii="仿宋" w:hAnsi="仿宋" w:eastAsia="仿宋" w:cs="仿宋"/>
                <w:color w:val="auto"/>
                <w:sz w:val="24"/>
              </w:rPr>
            </w:pPr>
            <w:r>
              <w:rPr>
                <w:rFonts w:hint="eastAsia" w:ascii="仿宋" w:hAnsi="仿宋" w:eastAsia="仿宋" w:cs="仿宋"/>
                <w:color w:val="auto"/>
                <w:sz w:val="24"/>
              </w:rPr>
              <w:t>结论：通过评审打“√”，未通过评审打“×”</w:t>
            </w:r>
          </w:p>
        </w:tc>
        <w:tc>
          <w:tcPr>
            <w:tcW w:w="1414" w:type="dxa"/>
            <w:noWrap w:val="0"/>
            <w:vAlign w:val="top"/>
          </w:tcPr>
          <w:p w14:paraId="0B01FA93">
            <w:pPr>
              <w:pStyle w:val="27"/>
              <w:keepNext w:val="0"/>
              <w:keepLines w:val="0"/>
              <w:suppressLineNumbers w:val="0"/>
              <w:spacing w:beforeAutospacing="0" w:afterAutospacing="0"/>
              <w:rPr>
                <w:rFonts w:hint="eastAsia" w:ascii="仿宋" w:hAnsi="仿宋" w:eastAsia="仿宋" w:cs="仿宋"/>
                <w:color w:val="auto"/>
                <w:sz w:val="22"/>
              </w:rPr>
            </w:pPr>
          </w:p>
        </w:tc>
      </w:tr>
    </w:tbl>
    <w:p w14:paraId="7A701585">
      <w:pPr>
        <w:spacing w:before="35" w:line="442" w:lineRule="exact"/>
        <w:ind w:right="0"/>
        <w:jc w:val="left"/>
        <w:rPr>
          <w:rFonts w:hint="eastAsia" w:ascii="仿宋" w:hAnsi="仿宋" w:eastAsia="仿宋" w:cs="仿宋"/>
          <w:color w:val="auto"/>
          <w:sz w:val="24"/>
        </w:rPr>
      </w:pPr>
      <w:r>
        <w:rPr>
          <w:rFonts w:hint="eastAsia" w:ascii="仿宋" w:hAnsi="仿宋" w:eastAsia="仿宋" w:cs="仿宋"/>
          <w:color w:val="auto"/>
          <w:sz w:val="24"/>
        </w:rPr>
        <w:t>说明：</w:t>
      </w:r>
    </w:p>
    <w:p w14:paraId="7F7C057C">
      <w:pPr>
        <w:pStyle w:val="28"/>
        <w:numPr>
          <w:ilvl w:val="0"/>
          <w:numId w:val="0"/>
        </w:numPr>
        <w:tabs>
          <w:tab w:val="left" w:pos="2035"/>
        </w:tabs>
        <w:spacing w:before="0" w:after="0" w:line="360" w:lineRule="auto"/>
        <w:ind w:right="0" w:rightChars="0"/>
        <w:jc w:val="lef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上述各项中用“√”表示通过，“×”表示不通过；</w:t>
      </w:r>
    </w:p>
    <w:p w14:paraId="5F50A89E">
      <w:pPr>
        <w:pStyle w:val="7"/>
        <w:spacing w:before="6" w:line="360" w:lineRule="auto"/>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lang w:val="zh-CN" w:eastAsia="zh-CN" w:bidi="ar-SA"/>
        </w:rPr>
        <w:t>（2）上述各项中如有一项为“×”，则结论为“×”，表示该响应文件中存在重大偏差，不能通过初步评审；</w:t>
      </w:r>
      <w:r>
        <w:rPr>
          <w:rFonts w:hint="eastAsia" w:ascii="仿宋" w:hAnsi="仿宋" w:eastAsia="仿宋" w:cs="仿宋"/>
          <w:color w:val="auto"/>
          <w:kern w:val="0"/>
          <w:sz w:val="24"/>
          <w:szCs w:val="24"/>
          <w:lang w:val="en-US" w:eastAsia="zh-CN" w:bidi="ar-SA"/>
        </w:rPr>
        <w:t>询价</w:t>
      </w:r>
      <w:r>
        <w:rPr>
          <w:rFonts w:hint="eastAsia" w:ascii="仿宋" w:hAnsi="仿宋" w:eastAsia="仿宋" w:cs="仿宋"/>
          <w:color w:val="auto"/>
          <w:kern w:val="0"/>
          <w:sz w:val="24"/>
          <w:szCs w:val="24"/>
          <w:lang w:val="zh-CN" w:eastAsia="zh-CN" w:bidi="ar-SA"/>
        </w:rPr>
        <w:t>小组对某一分项评审认为不合格时， 必须要写明原因。</w:t>
      </w:r>
    </w:p>
    <w:p w14:paraId="26537176">
      <w:pPr>
        <w:pStyle w:val="7"/>
        <w:spacing w:before="6" w:line="360" w:lineRule="auto"/>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lang w:val="zh-CN" w:eastAsia="zh-CN" w:bidi="ar-SA"/>
        </w:rPr>
        <w:t>（3）响应文件最终合格与否，以所有询价小组的评审意见中少数服从多数为原则。</w:t>
      </w:r>
    </w:p>
    <w:p w14:paraId="006F4A49">
      <w:pPr>
        <w:pStyle w:val="7"/>
        <w:tabs>
          <w:tab w:val="clear" w:pos="567"/>
        </w:tabs>
        <w:spacing w:before="0" w:line="360" w:lineRule="auto"/>
        <w:ind w:left="-181" w:leftChars="-86" w:firstLine="663" w:firstLineChars="275"/>
        <w:rPr>
          <w:rFonts w:hint="eastAsia" w:ascii="仿宋" w:hAnsi="仿宋" w:eastAsia="仿宋" w:cs="仿宋"/>
          <w:b/>
          <w:color w:val="auto"/>
          <w:highlight w:val="none"/>
        </w:rPr>
      </w:pPr>
    </w:p>
    <w:p w14:paraId="3F74600F">
      <w:pPr>
        <w:pStyle w:val="4"/>
        <w:ind w:left="0" w:leftChars="0" w:firstLine="0" w:firstLineChars="0"/>
        <w:rPr>
          <w:rFonts w:hint="eastAsia" w:ascii="仿宋" w:hAnsi="仿宋" w:eastAsia="仿宋" w:cs="仿宋"/>
          <w:b/>
          <w:bCs/>
          <w:color w:val="auto"/>
          <w:sz w:val="28"/>
          <w:szCs w:val="28"/>
          <w:highlight w:val="none"/>
        </w:rPr>
      </w:pPr>
    </w:p>
    <w:p w14:paraId="53EFFDB2">
      <w:pPr>
        <w:pStyle w:val="16"/>
        <w:rPr>
          <w:rFonts w:hint="eastAsia" w:ascii="仿宋" w:hAnsi="仿宋" w:eastAsia="仿宋" w:cs="仿宋"/>
          <w:color w:val="auto"/>
          <w:sz w:val="24"/>
          <w:highlight w:val="none"/>
        </w:rPr>
      </w:pPr>
    </w:p>
    <w:p w14:paraId="44BA84B9">
      <w:pPr>
        <w:pStyle w:val="16"/>
        <w:jc w:val="cente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评分标准和细则</w:t>
      </w:r>
    </w:p>
    <w:tbl>
      <w:tblPr>
        <w:tblStyle w:val="19"/>
        <w:tblW w:w="1017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60"/>
        <w:gridCol w:w="968"/>
        <w:gridCol w:w="859"/>
        <w:gridCol w:w="7042"/>
      </w:tblGrid>
      <w:tr w14:paraId="1BBF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4E79FAC7">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p>
          <w:p w14:paraId="7B3CB210">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p>
        </w:tc>
        <w:tc>
          <w:tcPr>
            <w:tcW w:w="860" w:type="dxa"/>
            <w:tcBorders>
              <w:top w:val="single" w:color="auto" w:sz="4" w:space="0"/>
              <w:left w:val="nil"/>
              <w:bottom w:val="single" w:color="auto" w:sz="4" w:space="0"/>
              <w:right w:val="single" w:color="auto" w:sz="4" w:space="0"/>
            </w:tcBorders>
            <w:noWrap w:val="0"/>
            <w:vAlign w:val="center"/>
          </w:tcPr>
          <w:p w14:paraId="46CAB05B">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项目</w:t>
            </w:r>
          </w:p>
        </w:tc>
        <w:tc>
          <w:tcPr>
            <w:tcW w:w="968" w:type="dxa"/>
            <w:tcBorders>
              <w:top w:val="single" w:color="auto" w:sz="4" w:space="0"/>
              <w:left w:val="nil"/>
              <w:bottom w:val="single" w:color="auto" w:sz="4" w:space="0"/>
              <w:right w:val="single" w:color="auto" w:sz="4" w:space="0"/>
            </w:tcBorders>
            <w:noWrap w:val="0"/>
            <w:vAlign w:val="center"/>
          </w:tcPr>
          <w:p w14:paraId="1812D201">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指标</w:t>
            </w:r>
          </w:p>
        </w:tc>
        <w:tc>
          <w:tcPr>
            <w:tcW w:w="859" w:type="dxa"/>
            <w:tcBorders>
              <w:top w:val="single" w:color="auto" w:sz="4" w:space="0"/>
              <w:left w:val="nil"/>
              <w:bottom w:val="single" w:color="auto" w:sz="4" w:space="0"/>
              <w:right w:val="single" w:color="auto" w:sz="4" w:space="0"/>
            </w:tcBorders>
            <w:noWrap w:val="0"/>
            <w:vAlign w:val="center"/>
          </w:tcPr>
          <w:p w14:paraId="7158420A">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分项标准分</w:t>
            </w:r>
          </w:p>
        </w:tc>
        <w:tc>
          <w:tcPr>
            <w:tcW w:w="7042" w:type="dxa"/>
            <w:tcBorders>
              <w:top w:val="single" w:color="auto" w:sz="4" w:space="0"/>
              <w:left w:val="nil"/>
              <w:bottom w:val="single" w:color="auto" w:sz="4" w:space="0"/>
              <w:right w:val="single" w:color="auto" w:sz="4" w:space="0"/>
            </w:tcBorders>
            <w:noWrap w:val="0"/>
            <w:vAlign w:val="center"/>
          </w:tcPr>
          <w:p w14:paraId="18A6141B">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评分标准（价格30分      商务10分    技术60分）</w:t>
            </w:r>
          </w:p>
        </w:tc>
      </w:tr>
      <w:tr w14:paraId="5733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1" w:type="dxa"/>
            <w:gridSpan w:val="5"/>
            <w:tcBorders>
              <w:top w:val="single" w:color="auto" w:sz="4" w:space="0"/>
              <w:left w:val="single" w:color="auto" w:sz="4" w:space="0"/>
              <w:bottom w:val="single" w:color="auto" w:sz="4" w:space="0"/>
              <w:right w:val="single" w:color="auto" w:sz="4" w:space="0"/>
            </w:tcBorders>
            <w:noWrap w:val="0"/>
            <w:vAlign w:val="center"/>
          </w:tcPr>
          <w:p w14:paraId="21E91003">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一、价格部分（30分）</w:t>
            </w:r>
          </w:p>
        </w:tc>
      </w:tr>
      <w:tr w14:paraId="6D97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41FF9157">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1</w:t>
            </w:r>
          </w:p>
        </w:tc>
        <w:tc>
          <w:tcPr>
            <w:tcW w:w="860" w:type="dxa"/>
            <w:tcBorders>
              <w:top w:val="single" w:color="auto" w:sz="4" w:space="0"/>
              <w:left w:val="nil"/>
              <w:bottom w:val="single" w:color="auto" w:sz="4" w:space="0"/>
              <w:right w:val="single" w:color="auto" w:sz="4" w:space="0"/>
            </w:tcBorders>
            <w:noWrap w:val="0"/>
            <w:vAlign w:val="center"/>
          </w:tcPr>
          <w:p w14:paraId="58A372CC">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投标报价得 分</w:t>
            </w:r>
          </w:p>
        </w:tc>
        <w:tc>
          <w:tcPr>
            <w:tcW w:w="1827" w:type="dxa"/>
            <w:gridSpan w:val="2"/>
            <w:tcBorders>
              <w:top w:val="single" w:color="auto" w:sz="4" w:space="0"/>
              <w:left w:val="nil"/>
              <w:bottom w:val="single" w:color="auto" w:sz="4" w:space="0"/>
              <w:right w:val="single" w:color="auto" w:sz="4" w:space="0"/>
            </w:tcBorders>
            <w:noWrap w:val="0"/>
            <w:vAlign w:val="center"/>
          </w:tcPr>
          <w:p w14:paraId="274B95C3">
            <w:pPr>
              <w:pStyle w:val="27"/>
              <w:spacing w:beforeLines="0" w:afterLines="0"/>
              <w:ind w:right="0" w:rightChars="0"/>
              <w:jc w:val="center"/>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30</w:t>
            </w:r>
          </w:p>
        </w:tc>
        <w:tc>
          <w:tcPr>
            <w:tcW w:w="7042" w:type="dxa"/>
            <w:tcBorders>
              <w:top w:val="single" w:color="auto" w:sz="4" w:space="0"/>
              <w:left w:val="nil"/>
              <w:bottom w:val="single" w:color="auto" w:sz="4" w:space="0"/>
              <w:right w:val="single" w:color="auto" w:sz="4" w:space="0"/>
            </w:tcBorders>
            <w:noWrap w:val="0"/>
            <w:vAlign w:val="center"/>
          </w:tcPr>
          <w:p w14:paraId="33C6AFF6">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color w:val="auto"/>
                <w:sz w:val="24"/>
                <w:highlight w:val="none"/>
                <w:lang w:val="en-US" w:eastAsia="zh-CN"/>
              </w:rPr>
              <w:t>评标基准价=有效投标报价的最低值，有效投标报价等于基准值的得满分30分，投标报价得分=（评标基准价/投标报价）×价格权重×100；有效投标报价为通过初步审查的供应商报价。</w:t>
            </w:r>
          </w:p>
        </w:tc>
      </w:tr>
      <w:tr w14:paraId="6CE6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171" w:type="dxa"/>
            <w:gridSpan w:val="5"/>
            <w:tcBorders>
              <w:top w:val="single" w:color="auto" w:sz="4" w:space="0"/>
              <w:left w:val="single" w:color="auto" w:sz="4" w:space="0"/>
              <w:bottom w:val="single" w:color="auto" w:sz="4" w:space="0"/>
              <w:right w:val="single" w:color="auto" w:sz="4" w:space="0"/>
            </w:tcBorders>
            <w:noWrap w:val="0"/>
            <w:vAlign w:val="center"/>
          </w:tcPr>
          <w:p w14:paraId="3E03F189">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二、商务部分（10分）</w:t>
            </w:r>
          </w:p>
        </w:tc>
      </w:tr>
      <w:tr w14:paraId="2468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42" w:type="dxa"/>
            <w:vMerge w:val="restart"/>
            <w:tcBorders>
              <w:top w:val="nil"/>
              <w:left w:val="single" w:color="auto" w:sz="4" w:space="0"/>
              <w:right w:val="single" w:color="auto" w:sz="4" w:space="0"/>
            </w:tcBorders>
            <w:noWrap w:val="0"/>
            <w:vAlign w:val="center"/>
          </w:tcPr>
          <w:p w14:paraId="1A37EC05">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2</w:t>
            </w:r>
          </w:p>
        </w:tc>
        <w:tc>
          <w:tcPr>
            <w:tcW w:w="860" w:type="dxa"/>
            <w:tcBorders>
              <w:top w:val="single" w:color="auto" w:sz="4" w:space="0"/>
              <w:left w:val="nil"/>
              <w:bottom w:val="single" w:color="auto" w:sz="4" w:space="0"/>
              <w:right w:val="single" w:color="auto" w:sz="4" w:space="0"/>
            </w:tcBorders>
            <w:noWrap w:val="0"/>
            <w:vAlign w:val="center"/>
          </w:tcPr>
          <w:p w14:paraId="58A97761">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信誉与实力（2分）</w:t>
            </w:r>
          </w:p>
        </w:tc>
        <w:tc>
          <w:tcPr>
            <w:tcW w:w="968" w:type="dxa"/>
            <w:tcBorders>
              <w:top w:val="single" w:color="auto" w:sz="4" w:space="0"/>
              <w:left w:val="nil"/>
              <w:bottom w:val="single" w:color="auto" w:sz="4" w:space="0"/>
              <w:right w:val="single" w:color="auto" w:sz="4" w:space="0"/>
            </w:tcBorders>
            <w:noWrap w:val="0"/>
            <w:vAlign w:val="center"/>
          </w:tcPr>
          <w:p w14:paraId="7AB88805">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业绩</w:t>
            </w:r>
          </w:p>
        </w:tc>
        <w:tc>
          <w:tcPr>
            <w:tcW w:w="859" w:type="dxa"/>
            <w:tcBorders>
              <w:top w:val="single" w:color="auto" w:sz="4" w:space="0"/>
              <w:left w:val="nil"/>
              <w:bottom w:val="single" w:color="auto" w:sz="4" w:space="0"/>
              <w:right w:val="single" w:color="auto" w:sz="4" w:space="0"/>
            </w:tcBorders>
            <w:noWrap w:val="0"/>
            <w:vAlign w:val="center"/>
          </w:tcPr>
          <w:p w14:paraId="7BDB6036">
            <w:pPr>
              <w:pStyle w:val="27"/>
              <w:spacing w:beforeLines="0" w:afterLines="0"/>
              <w:ind w:right="0" w:rightChars="0"/>
              <w:jc w:val="center"/>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2</w:t>
            </w:r>
          </w:p>
        </w:tc>
        <w:tc>
          <w:tcPr>
            <w:tcW w:w="7042" w:type="dxa"/>
            <w:tcBorders>
              <w:top w:val="single" w:color="auto" w:sz="4" w:space="0"/>
              <w:left w:val="nil"/>
              <w:bottom w:val="single" w:color="auto" w:sz="4" w:space="0"/>
              <w:right w:val="single" w:color="auto" w:sz="4" w:space="0"/>
            </w:tcBorders>
            <w:noWrap w:val="0"/>
            <w:vAlign w:val="center"/>
          </w:tcPr>
          <w:p w14:paraId="4812CB32">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投标人在投标文件提供从 2024年 6月起至今承接过的同类业绩。</w:t>
            </w:r>
          </w:p>
          <w:p w14:paraId="1174E57D">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1.单个同类项目的类似业绩，每提供一项得 1 分满分2分；（需提供合同、中标通知书及验收单扫描件，否则不得分，证明材料如有不实，视作供应商提供虚假材料应标，采购人有权取消其中标资格）</w:t>
            </w:r>
          </w:p>
        </w:tc>
      </w:tr>
      <w:tr w14:paraId="66EC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dxa"/>
            <w:vMerge w:val="continue"/>
            <w:tcBorders>
              <w:left w:val="single" w:color="auto" w:sz="4" w:space="0"/>
              <w:right w:val="single" w:color="auto" w:sz="4" w:space="0"/>
            </w:tcBorders>
            <w:noWrap w:val="0"/>
            <w:vAlign w:val="center"/>
          </w:tcPr>
          <w:p w14:paraId="439BC34A">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p>
        </w:tc>
        <w:tc>
          <w:tcPr>
            <w:tcW w:w="860" w:type="dxa"/>
            <w:tcBorders>
              <w:top w:val="single" w:color="auto" w:sz="4" w:space="0"/>
              <w:left w:val="nil"/>
              <w:right w:val="single" w:color="auto" w:sz="4" w:space="0"/>
            </w:tcBorders>
            <w:noWrap w:val="0"/>
            <w:vAlign w:val="center"/>
          </w:tcPr>
          <w:p w14:paraId="68BFBEF0">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交货期</w:t>
            </w:r>
          </w:p>
          <w:p w14:paraId="1DD24D8F">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（8分）</w:t>
            </w:r>
          </w:p>
        </w:tc>
        <w:tc>
          <w:tcPr>
            <w:tcW w:w="968" w:type="dxa"/>
            <w:tcBorders>
              <w:top w:val="single" w:color="auto" w:sz="4" w:space="0"/>
              <w:left w:val="nil"/>
              <w:right w:val="single" w:color="auto" w:sz="4" w:space="0"/>
            </w:tcBorders>
            <w:noWrap w:val="0"/>
            <w:vAlign w:val="center"/>
          </w:tcPr>
          <w:p w14:paraId="40E63665">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供货期</w:t>
            </w:r>
          </w:p>
        </w:tc>
        <w:tc>
          <w:tcPr>
            <w:tcW w:w="859" w:type="dxa"/>
            <w:tcBorders>
              <w:top w:val="single" w:color="auto" w:sz="4" w:space="0"/>
              <w:left w:val="nil"/>
              <w:right w:val="single" w:color="auto" w:sz="4" w:space="0"/>
            </w:tcBorders>
            <w:noWrap w:val="0"/>
            <w:vAlign w:val="center"/>
          </w:tcPr>
          <w:p w14:paraId="0DA2E2F8">
            <w:pPr>
              <w:pStyle w:val="27"/>
              <w:spacing w:beforeLines="0" w:afterLines="0"/>
              <w:ind w:right="0" w:rightChars="0"/>
              <w:jc w:val="center"/>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8</w:t>
            </w:r>
          </w:p>
        </w:tc>
        <w:tc>
          <w:tcPr>
            <w:tcW w:w="7042" w:type="dxa"/>
            <w:tcBorders>
              <w:top w:val="single" w:color="auto" w:sz="4" w:space="0"/>
              <w:left w:val="nil"/>
              <w:bottom w:val="single" w:color="auto" w:sz="4" w:space="0"/>
              <w:right w:val="single" w:color="auto" w:sz="4" w:space="0"/>
            </w:tcBorders>
            <w:noWrap w:val="0"/>
            <w:vAlign w:val="center"/>
          </w:tcPr>
          <w:p w14:paraId="478280B3">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在招标文件要求的时间内交付时间每缩短一天得2分，满分8分;（投标人根据自身实际情况提供承诺书，不提供不得分）（合同中将对逾期交货约定违约金额）</w:t>
            </w:r>
          </w:p>
        </w:tc>
      </w:tr>
      <w:tr w14:paraId="7AB4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171" w:type="dxa"/>
            <w:gridSpan w:val="5"/>
            <w:tcBorders>
              <w:top w:val="single" w:color="auto" w:sz="4" w:space="0"/>
              <w:left w:val="single" w:color="auto" w:sz="4" w:space="0"/>
              <w:bottom w:val="single" w:color="auto" w:sz="4" w:space="0"/>
              <w:right w:val="single" w:color="auto" w:sz="4" w:space="0"/>
            </w:tcBorders>
            <w:noWrap w:val="0"/>
            <w:vAlign w:val="center"/>
          </w:tcPr>
          <w:p w14:paraId="08EB6F6D">
            <w:pPr>
              <w:pStyle w:val="27"/>
              <w:spacing w:beforeLines="0" w:afterLines="0"/>
              <w:ind w:right="0" w:rightChars="0"/>
              <w:jc w:val="left"/>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三、技术部分（60分）</w:t>
            </w:r>
          </w:p>
        </w:tc>
      </w:tr>
      <w:tr w14:paraId="6AF1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42" w:type="dxa"/>
            <w:vMerge w:val="restart"/>
            <w:tcBorders>
              <w:top w:val="nil"/>
              <w:left w:val="single" w:color="auto" w:sz="4" w:space="0"/>
              <w:right w:val="single" w:color="auto" w:sz="4" w:space="0"/>
            </w:tcBorders>
            <w:noWrap w:val="0"/>
            <w:vAlign w:val="center"/>
          </w:tcPr>
          <w:p w14:paraId="44855200">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3</w:t>
            </w:r>
          </w:p>
        </w:tc>
        <w:tc>
          <w:tcPr>
            <w:tcW w:w="860" w:type="dxa"/>
            <w:vMerge w:val="restart"/>
            <w:tcBorders>
              <w:top w:val="nil"/>
              <w:left w:val="nil"/>
              <w:right w:val="single" w:color="auto" w:sz="4" w:space="0"/>
            </w:tcBorders>
            <w:noWrap w:val="0"/>
            <w:vAlign w:val="center"/>
          </w:tcPr>
          <w:p w14:paraId="3B742968">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技术参数及实施、售后方案（60分）</w:t>
            </w:r>
          </w:p>
        </w:tc>
        <w:tc>
          <w:tcPr>
            <w:tcW w:w="968" w:type="dxa"/>
            <w:tcBorders>
              <w:top w:val="single" w:color="auto" w:sz="4" w:space="0"/>
              <w:left w:val="nil"/>
              <w:bottom w:val="single" w:color="auto" w:sz="4" w:space="0"/>
              <w:right w:val="single" w:color="auto" w:sz="4" w:space="0"/>
            </w:tcBorders>
            <w:noWrap w:val="0"/>
            <w:vAlign w:val="center"/>
          </w:tcPr>
          <w:p w14:paraId="3C0C2C25">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技术参数</w:t>
            </w:r>
          </w:p>
        </w:tc>
        <w:tc>
          <w:tcPr>
            <w:tcW w:w="859" w:type="dxa"/>
            <w:tcBorders>
              <w:top w:val="single" w:color="auto" w:sz="4" w:space="0"/>
              <w:left w:val="nil"/>
              <w:bottom w:val="single" w:color="auto" w:sz="4" w:space="0"/>
              <w:right w:val="single" w:color="auto" w:sz="4" w:space="0"/>
            </w:tcBorders>
            <w:noWrap w:val="0"/>
            <w:vAlign w:val="center"/>
          </w:tcPr>
          <w:p w14:paraId="6A5949C8">
            <w:pPr>
              <w:pStyle w:val="27"/>
              <w:spacing w:beforeLines="0" w:afterLines="0"/>
              <w:ind w:right="0" w:rightChars="0"/>
              <w:jc w:val="center"/>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20</w:t>
            </w:r>
          </w:p>
        </w:tc>
        <w:tc>
          <w:tcPr>
            <w:tcW w:w="7042" w:type="dxa"/>
            <w:tcBorders>
              <w:top w:val="single" w:color="auto" w:sz="4" w:space="0"/>
              <w:left w:val="nil"/>
              <w:bottom w:val="single" w:color="auto" w:sz="4" w:space="0"/>
              <w:right w:val="single" w:color="auto" w:sz="4" w:space="0"/>
            </w:tcBorders>
            <w:noWrap w:val="0"/>
            <w:vAlign w:val="center"/>
          </w:tcPr>
          <w:p w14:paraId="360BC869">
            <w:pPr>
              <w:pStyle w:val="27"/>
              <w:numPr>
                <w:ilvl w:val="0"/>
                <w:numId w:val="0"/>
              </w:numPr>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1.投标企业要有投标产品有效的产品标准来支撑投标产品的质量保证，有则加5分，没有则不加分。</w:t>
            </w:r>
          </w:p>
          <w:p w14:paraId="3C94D6AE">
            <w:pPr>
              <w:pStyle w:val="27"/>
              <w:numPr>
                <w:ilvl w:val="0"/>
                <w:numId w:val="0"/>
              </w:numPr>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2.投标企业要有完整、有效解决动物源废物的生产工艺和整套生产设备，需提供厂区、生产设备等相关照片，有则加分5项，没有则不加分。</w:t>
            </w:r>
          </w:p>
          <w:p w14:paraId="53FA77FF">
            <w:pPr>
              <w:pStyle w:val="27"/>
              <w:numPr>
                <w:ilvl w:val="0"/>
                <w:numId w:val="0"/>
              </w:numPr>
              <w:spacing w:beforeLines="0" w:afterLines="0"/>
              <w:ind w:right="0" w:rightChars="0"/>
              <w:jc w:val="both"/>
              <w:rPr>
                <w:rFonts w:hint="default"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3.供应商提供货物全流程生产实景证明材料并逐一进行详细说明，包括生产场地全景、生产环节、包装环节、存储环节、运输环节等。每提供一项得2分，未提供或不能有效证明、无关的不得分，最高得10分。</w:t>
            </w:r>
          </w:p>
        </w:tc>
      </w:tr>
      <w:tr w14:paraId="0DA0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42" w:type="dxa"/>
            <w:vMerge w:val="continue"/>
            <w:tcBorders>
              <w:left w:val="single" w:color="auto" w:sz="4" w:space="0"/>
              <w:right w:val="single" w:color="auto" w:sz="4" w:space="0"/>
            </w:tcBorders>
            <w:noWrap w:val="0"/>
            <w:vAlign w:val="center"/>
          </w:tcPr>
          <w:p w14:paraId="0FB49450">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p>
        </w:tc>
        <w:tc>
          <w:tcPr>
            <w:tcW w:w="860" w:type="dxa"/>
            <w:vMerge w:val="continue"/>
            <w:tcBorders>
              <w:left w:val="nil"/>
              <w:right w:val="single" w:color="auto" w:sz="4" w:space="0"/>
            </w:tcBorders>
            <w:noWrap w:val="0"/>
            <w:vAlign w:val="center"/>
          </w:tcPr>
          <w:p w14:paraId="7F871270">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p>
        </w:tc>
        <w:tc>
          <w:tcPr>
            <w:tcW w:w="968" w:type="dxa"/>
            <w:tcBorders>
              <w:top w:val="single" w:color="auto" w:sz="4" w:space="0"/>
              <w:left w:val="nil"/>
              <w:bottom w:val="single" w:color="auto" w:sz="4" w:space="0"/>
              <w:right w:val="single" w:color="auto" w:sz="4" w:space="0"/>
            </w:tcBorders>
            <w:noWrap w:val="0"/>
            <w:vAlign w:val="center"/>
          </w:tcPr>
          <w:p w14:paraId="686DC752">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试验报告</w:t>
            </w:r>
          </w:p>
        </w:tc>
        <w:tc>
          <w:tcPr>
            <w:tcW w:w="859" w:type="dxa"/>
            <w:tcBorders>
              <w:top w:val="single" w:color="auto" w:sz="4" w:space="0"/>
              <w:left w:val="nil"/>
              <w:bottom w:val="single" w:color="auto" w:sz="4" w:space="0"/>
              <w:right w:val="single" w:color="auto" w:sz="4" w:space="0"/>
            </w:tcBorders>
            <w:noWrap w:val="0"/>
            <w:vAlign w:val="center"/>
          </w:tcPr>
          <w:p w14:paraId="0BF73FBF">
            <w:pPr>
              <w:pStyle w:val="27"/>
              <w:spacing w:beforeLines="0" w:afterLines="0"/>
              <w:ind w:right="0" w:rightChars="0"/>
              <w:jc w:val="center"/>
              <w:rPr>
                <w:rFonts w:hint="default"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9</w:t>
            </w:r>
          </w:p>
        </w:tc>
        <w:tc>
          <w:tcPr>
            <w:tcW w:w="7042" w:type="dxa"/>
            <w:tcBorders>
              <w:top w:val="single" w:color="auto" w:sz="4" w:space="0"/>
              <w:left w:val="nil"/>
              <w:bottom w:val="single" w:color="auto" w:sz="4" w:space="0"/>
              <w:right w:val="single" w:color="auto" w:sz="4" w:space="0"/>
            </w:tcBorders>
            <w:noWrap w:val="0"/>
            <w:vAlign w:val="center"/>
          </w:tcPr>
          <w:p w14:paraId="49D30622">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需提供近两年新疆范围内至少两地及两种作物的田间试验报告，一个得3分，最高得9分，提供不完整的扣3分，扣完为止。</w:t>
            </w:r>
          </w:p>
        </w:tc>
      </w:tr>
      <w:tr w14:paraId="11F3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42" w:type="dxa"/>
            <w:vMerge w:val="continue"/>
            <w:tcBorders>
              <w:left w:val="single" w:color="auto" w:sz="4" w:space="0"/>
              <w:right w:val="single" w:color="auto" w:sz="4" w:space="0"/>
            </w:tcBorders>
            <w:noWrap w:val="0"/>
            <w:vAlign w:val="center"/>
          </w:tcPr>
          <w:p w14:paraId="0A4EED49">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p>
        </w:tc>
        <w:tc>
          <w:tcPr>
            <w:tcW w:w="860" w:type="dxa"/>
            <w:vMerge w:val="continue"/>
            <w:tcBorders>
              <w:left w:val="nil"/>
              <w:right w:val="single" w:color="auto" w:sz="4" w:space="0"/>
            </w:tcBorders>
            <w:noWrap w:val="0"/>
            <w:vAlign w:val="center"/>
          </w:tcPr>
          <w:p w14:paraId="0D8D7E0C">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p>
        </w:tc>
        <w:tc>
          <w:tcPr>
            <w:tcW w:w="968" w:type="dxa"/>
            <w:tcBorders>
              <w:top w:val="single" w:color="auto" w:sz="4" w:space="0"/>
              <w:left w:val="nil"/>
              <w:bottom w:val="single" w:color="auto" w:sz="4" w:space="0"/>
              <w:right w:val="single" w:color="auto" w:sz="4" w:space="0"/>
            </w:tcBorders>
            <w:noWrap w:val="0"/>
            <w:vAlign w:val="center"/>
          </w:tcPr>
          <w:p w14:paraId="08008714">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项目实施方案</w:t>
            </w:r>
          </w:p>
        </w:tc>
        <w:tc>
          <w:tcPr>
            <w:tcW w:w="859" w:type="dxa"/>
            <w:tcBorders>
              <w:top w:val="single" w:color="auto" w:sz="4" w:space="0"/>
              <w:left w:val="nil"/>
              <w:bottom w:val="single" w:color="auto" w:sz="4" w:space="0"/>
              <w:right w:val="single" w:color="auto" w:sz="4" w:space="0"/>
            </w:tcBorders>
            <w:noWrap w:val="0"/>
            <w:vAlign w:val="center"/>
          </w:tcPr>
          <w:p w14:paraId="20CCA716">
            <w:pPr>
              <w:pStyle w:val="27"/>
              <w:spacing w:beforeLines="0" w:afterLines="0"/>
              <w:ind w:right="0" w:rightChars="0"/>
              <w:jc w:val="center"/>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15</w:t>
            </w:r>
          </w:p>
        </w:tc>
        <w:tc>
          <w:tcPr>
            <w:tcW w:w="7042" w:type="dxa"/>
            <w:tcBorders>
              <w:top w:val="single" w:color="auto" w:sz="4" w:space="0"/>
              <w:left w:val="nil"/>
              <w:bottom w:val="single" w:color="auto" w:sz="4" w:space="0"/>
              <w:right w:val="single" w:color="auto" w:sz="4" w:space="0"/>
            </w:tcBorders>
            <w:noWrap w:val="0"/>
            <w:vAlign w:val="center"/>
          </w:tcPr>
          <w:p w14:paraId="1AFD6F36">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1.整体实施方案完整且达到以下要求的，供货时间及进度安排合理、质量保障措施完善、应急情况预案完善，得15分；</w:t>
            </w:r>
          </w:p>
          <w:p w14:paraId="564ECF67">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2.整体实施方案完整且达到以下要求的，供货时间及进度安排较为合理、质量保障措施较为完善、应急情况预案较为完善，得10分：</w:t>
            </w:r>
          </w:p>
          <w:p w14:paraId="11FDD2F0">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3.整体实施方案完整且达到以下要求的，供货时间及进度安排不合理、质量保障措施不完善、应急情况预案不完善，得5分：</w:t>
            </w:r>
          </w:p>
        </w:tc>
      </w:tr>
      <w:tr w14:paraId="43BF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42" w:type="dxa"/>
            <w:vMerge w:val="continue"/>
            <w:tcBorders>
              <w:left w:val="single" w:color="auto" w:sz="4" w:space="0"/>
              <w:right w:val="single" w:color="auto" w:sz="4" w:space="0"/>
            </w:tcBorders>
            <w:noWrap w:val="0"/>
            <w:vAlign w:val="center"/>
          </w:tcPr>
          <w:p w14:paraId="53B5820C">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p>
        </w:tc>
        <w:tc>
          <w:tcPr>
            <w:tcW w:w="860" w:type="dxa"/>
            <w:vMerge w:val="continue"/>
            <w:tcBorders>
              <w:left w:val="nil"/>
              <w:right w:val="single" w:color="auto" w:sz="4" w:space="0"/>
            </w:tcBorders>
            <w:noWrap w:val="0"/>
            <w:vAlign w:val="center"/>
          </w:tcPr>
          <w:p w14:paraId="12092E58">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p>
        </w:tc>
        <w:tc>
          <w:tcPr>
            <w:tcW w:w="968" w:type="dxa"/>
            <w:tcBorders>
              <w:top w:val="single" w:color="auto" w:sz="4" w:space="0"/>
              <w:left w:val="nil"/>
              <w:right w:val="single" w:color="auto" w:sz="4" w:space="0"/>
            </w:tcBorders>
            <w:noWrap w:val="0"/>
            <w:vAlign w:val="center"/>
          </w:tcPr>
          <w:p w14:paraId="78A949D9">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售后服务方案</w:t>
            </w:r>
          </w:p>
        </w:tc>
        <w:tc>
          <w:tcPr>
            <w:tcW w:w="859" w:type="dxa"/>
            <w:tcBorders>
              <w:top w:val="single" w:color="auto" w:sz="4" w:space="0"/>
              <w:left w:val="nil"/>
              <w:right w:val="single" w:color="auto" w:sz="4" w:space="0"/>
            </w:tcBorders>
            <w:noWrap w:val="0"/>
            <w:vAlign w:val="center"/>
          </w:tcPr>
          <w:p w14:paraId="4C744839">
            <w:pPr>
              <w:pStyle w:val="27"/>
              <w:spacing w:beforeLines="0" w:afterLines="0"/>
              <w:ind w:right="0" w:rightChars="0"/>
              <w:jc w:val="center"/>
              <w:rPr>
                <w:rFonts w:hint="default"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16</w:t>
            </w:r>
          </w:p>
        </w:tc>
        <w:tc>
          <w:tcPr>
            <w:tcW w:w="7042" w:type="dxa"/>
            <w:tcBorders>
              <w:top w:val="single" w:color="auto" w:sz="4" w:space="0"/>
              <w:left w:val="nil"/>
              <w:bottom w:val="single" w:color="auto" w:sz="4" w:space="0"/>
              <w:right w:val="single" w:color="auto" w:sz="4" w:space="0"/>
            </w:tcBorders>
            <w:noWrap w:val="0"/>
            <w:vAlign w:val="center"/>
          </w:tcPr>
          <w:p w14:paraId="374FE168">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bookmarkStart w:id="863" w:name="_GoBack"/>
            <w:r>
              <w:rPr>
                <w:rFonts w:hint="eastAsia" w:ascii="仿宋" w:hAnsi="仿宋" w:eastAsia="仿宋" w:cs="仿宋"/>
                <w:snapToGrid w:val="0"/>
                <w:color w:val="auto"/>
                <w:kern w:val="2"/>
                <w:sz w:val="24"/>
                <w:szCs w:val="24"/>
                <w:highlight w:val="none"/>
                <w:lang w:val="en-US" w:eastAsia="zh-CN" w:bidi="zh-CN"/>
              </w:rPr>
              <w:t>1、针对本项目提供投标人的售后服务方案（方案包括：质量保证承诺、售后服务人员名单及电话、售后服务网点、响应时间、培训方案）进行综合评审，方案内容覆盖全面、各项描述清晰、完全符合项目实际情况的得 10 分；每缺失一项扣1分；扣完为止。</w:t>
            </w:r>
          </w:p>
          <w:p w14:paraId="4627C668">
            <w:pPr>
              <w:pStyle w:val="27"/>
              <w:spacing w:beforeLines="0" w:afterLines="0"/>
              <w:ind w:right="0" w:rightChars="0"/>
              <w:jc w:val="both"/>
              <w:rPr>
                <w:rFonts w:hint="eastAsia" w:ascii="仿宋" w:hAnsi="仿宋" w:eastAsia="仿宋" w:cs="仿宋"/>
                <w:snapToGrid w:val="0"/>
                <w:color w:val="auto"/>
                <w:kern w:val="2"/>
                <w:sz w:val="24"/>
                <w:szCs w:val="24"/>
                <w:highlight w:val="none"/>
                <w:lang w:val="en-US" w:eastAsia="zh-CN" w:bidi="zh-CN"/>
              </w:rPr>
            </w:pPr>
            <w:r>
              <w:rPr>
                <w:rFonts w:hint="eastAsia" w:ascii="仿宋" w:hAnsi="仿宋" w:eastAsia="仿宋" w:cs="仿宋"/>
                <w:snapToGrid w:val="0"/>
                <w:color w:val="auto"/>
                <w:kern w:val="2"/>
                <w:sz w:val="24"/>
                <w:szCs w:val="24"/>
                <w:highlight w:val="none"/>
                <w:lang w:val="en-US" w:eastAsia="zh-CN" w:bidi="zh-CN"/>
              </w:rPr>
              <w:t>2、供应商有专业的售后服务团队在每年派 2 名售后技术人员免费定期检查维护的得 2 分，每增加 1 次检查维护加 2 分，最高 6 分。此项满分6分</w:t>
            </w:r>
            <w:bookmarkEnd w:id="863"/>
          </w:p>
        </w:tc>
      </w:tr>
    </w:tbl>
    <w:p w14:paraId="3F7E5331">
      <w:pPr>
        <w:pStyle w:val="5"/>
        <w:rPr>
          <w:rFonts w:hint="eastAsia" w:ascii="仿宋" w:hAnsi="仿宋" w:eastAsia="仿宋" w:cs="仿宋"/>
          <w:color w:val="auto"/>
          <w:sz w:val="24"/>
          <w:szCs w:val="24"/>
          <w:highlight w:val="none"/>
          <w:lang w:val="en-US" w:eastAsia="zh-CN"/>
        </w:rPr>
      </w:pPr>
    </w:p>
    <w:p w14:paraId="69B00810">
      <w:pPr>
        <w:rPr>
          <w:rFonts w:hint="eastAsia" w:ascii="仿宋" w:hAnsi="仿宋" w:eastAsia="仿宋" w:cs="仿宋"/>
          <w:color w:val="auto"/>
          <w:sz w:val="24"/>
          <w:szCs w:val="24"/>
          <w:highlight w:val="none"/>
          <w:lang w:val="en-US" w:eastAsia="zh-CN"/>
        </w:rPr>
      </w:pPr>
    </w:p>
    <w:p w14:paraId="4957D70A">
      <w:pPr>
        <w:rPr>
          <w:rFonts w:hint="eastAsia" w:ascii="仿宋" w:hAnsi="仿宋" w:eastAsia="仿宋" w:cs="仿宋"/>
          <w:color w:val="auto"/>
          <w:sz w:val="24"/>
          <w:szCs w:val="24"/>
          <w:highlight w:val="none"/>
          <w:lang w:val="en-US" w:eastAsia="zh-CN"/>
        </w:rPr>
      </w:pPr>
    </w:p>
    <w:p w14:paraId="3D8BBCA5">
      <w:pPr>
        <w:spacing w:line="240" w:lineRule="atLeast"/>
        <w:ind w:left="1080" w:leftChars="257" w:hanging="540"/>
        <w:jc w:val="center"/>
        <w:rPr>
          <w:rFonts w:hint="eastAsia" w:ascii="仿宋" w:hAnsi="仿宋" w:eastAsia="仿宋" w:cs="仿宋"/>
          <w:bCs/>
          <w:color w:val="auto"/>
          <w:sz w:val="40"/>
          <w:szCs w:val="40"/>
          <w:highlight w:val="none"/>
          <w:lang w:eastAsia="zh-CN"/>
        </w:rPr>
      </w:pPr>
      <w:r>
        <w:rPr>
          <w:rFonts w:hint="eastAsia" w:ascii="仿宋" w:hAnsi="仿宋" w:eastAsia="仿宋" w:cs="仿宋"/>
          <w:bCs/>
          <w:color w:val="auto"/>
          <w:sz w:val="40"/>
          <w:szCs w:val="40"/>
          <w:highlight w:val="none"/>
          <w:lang w:eastAsia="zh-CN"/>
        </w:rPr>
        <w:t>麦盖提县防灾减灾能力提升项目-有机肥采购</w:t>
      </w:r>
    </w:p>
    <w:p w14:paraId="5DBD1384">
      <w:pPr>
        <w:spacing w:line="240" w:lineRule="atLeast"/>
        <w:ind w:left="1080" w:leftChars="257" w:hanging="540"/>
        <w:jc w:val="center"/>
        <w:rPr>
          <w:rFonts w:hint="eastAsia" w:ascii="仿宋" w:hAnsi="仿宋" w:eastAsia="仿宋" w:cs="仿宋"/>
          <w:b/>
          <w:color w:val="auto"/>
          <w:sz w:val="24"/>
          <w:highlight w:val="none"/>
        </w:rPr>
      </w:pPr>
    </w:p>
    <w:p w14:paraId="741F03DD">
      <w:pPr>
        <w:spacing w:line="240" w:lineRule="atLeast"/>
        <w:ind w:left="1080" w:leftChars="257" w:hanging="540"/>
        <w:jc w:val="center"/>
        <w:rPr>
          <w:rFonts w:hint="eastAsia" w:ascii="仿宋" w:hAnsi="仿宋" w:eastAsia="仿宋" w:cs="仿宋"/>
          <w:b/>
          <w:color w:val="auto"/>
          <w:sz w:val="24"/>
          <w:highlight w:val="none"/>
        </w:rPr>
      </w:pPr>
    </w:p>
    <w:p w14:paraId="7FEFD68C">
      <w:pPr>
        <w:spacing w:line="240" w:lineRule="atLeast"/>
        <w:ind w:left="1080" w:leftChars="257" w:hanging="540"/>
        <w:jc w:val="center"/>
        <w:rPr>
          <w:rFonts w:hint="eastAsia" w:ascii="仿宋" w:hAnsi="仿宋" w:eastAsia="仿宋" w:cs="仿宋"/>
          <w:b/>
          <w:color w:val="auto"/>
          <w:sz w:val="24"/>
          <w:highlight w:val="none"/>
        </w:rPr>
      </w:pPr>
    </w:p>
    <w:p w14:paraId="0AFC26E7">
      <w:pPr>
        <w:spacing w:line="240" w:lineRule="atLeast"/>
        <w:ind w:left="1080" w:leftChars="257" w:hanging="540"/>
        <w:jc w:val="center"/>
        <w:rPr>
          <w:rFonts w:hint="eastAsia" w:ascii="仿宋" w:hAnsi="仿宋" w:eastAsia="仿宋" w:cs="仿宋"/>
          <w:b/>
          <w:color w:val="auto"/>
          <w:sz w:val="24"/>
          <w:highlight w:val="none"/>
        </w:rPr>
      </w:pPr>
    </w:p>
    <w:p w14:paraId="1330CDCF">
      <w:pPr>
        <w:spacing w:line="240" w:lineRule="atLeast"/>
        <w:ind w:left="1080" w:leftChars="257" w:hanging="540"/>
        <w:rPr>
          <w:rFonts w:hint="eastAsia" w:ascii="仿宋" w:hAnsi="仿宋" w:eastAsia="仿宋" w:cs="仿宋"/>
          <w:b/>
          <w:color w:val="auto"/>
          <w:sz w:val="24"/>
          <w:highlight w:val="none"/>
        </w:rPr>
      </w:pPr>
    </w:p>
    <w:p w14:paraId="4980D9F8">
      <w:pPr>
        <w:spacing w:line="240" w:lineRule="atLeast"/>
        <w:ind w:left="1080" w:leftChars="257" w:hanging="5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第三册</w:t>
      </w:r>
    </w:p>
    <w:p w14:paraId="17CD493B">
      <w:pPr>
        <w:spacing w:line="240" w:lineRule="atLeast"/>
        <w:ind w:left="1080" w:leftChars="257" w:hanging="540"/>
        <w:jc w:val="center"/>
        <w:rPr>
          <w:rFonts w:hint="eastAsia" w:ascii="仿宋" w:hAnsi="仿宋" w:eastAsia="仿宋" w:cs="仿宋"/>
          <w:b/>
          <w:color w:val="auto"/>
          <w:sz w:val="24"/>
          <w:highlight w:val="none"/>
        </w:rPr>
      </w:pPr>
    </w:p>
    <w:p w14:paraId="3D1E2788">
      <w:pPr>
        <w:spacing w:line="240" w:lineRule="atLeast"/>
        <w:ind w:left="1080" w:leftChars="257" w:hanging="540"/>
        <w:jc w:val="center"/>
        <w:rPr>
          <w:rFonts w:hint="eastAsia" w:ascii="仿宋" w:hAnsi="仿宋" w:eastAsia="仿宋" w:cs="仿宋"/>
          <w:b/>
          <w:color w:val="auto"/>
          <w:sz w:val="24"/>
          <w:highlight w:val="none"/>
        </w:rPr>
      </w:pPr>
    </w:p>
    <w:p w14:paraId="30F49AEA">
      <w:pPr>
        <w:spacing w:line="240" w:lineRule="atLeast"/>
        <w:ind w:left="1080" w:leftChars="257" w:hanging="540"/>
        <w:jc w:val="center"/>
        <w:rPr>
          <w:rFonts w:hint="eastAsia" w:ascii="仿宋" w:hAnsi="仿宋" w:eastAsia="仿宋" w:cs="仿宋"/>
          <w:b/>
          <w:color w:val="auto"/>
          <w:sz w:val="24"/>
          <w:highlight w:val="none"/>
        </w:rPr>
      </w:pPr>
    </w:p>
    <w:p w14:paraId="32067977">
      <w:pPr>
        <w:spacing w:line="240" w:lineRule="atLeast"/>
        <w:ind w:left="1080" w:leftChars="257" w:hanging="540"/>
        <w:jc w:val="center"/>
        <w:rPr>
          <w:rFonts w:hint="eastAsia" w:ascii="仿宋" w:hAnsi="仿宋" w:eastAsia="仿宋" w:cs="仿宋"/>
          <w:b/>
          <w:color w:val="auto"/>
          <w:sz w:val="24"/>
          <w:highlight w:val="none"/>
        </w:rPr>
      </w:pPr>
    </w:p>
    <w:p w14:paraId="610FDFF1">
      <w:pPr>
        <w:spacing w:line="240" w:lineRule="atLeast"/>
        <w:ind w:left="1080" w:leftChars="257" w:hanging="540"/>
        <w:jc w:val="center"/>
        <w:rPr>
          <w:rFonts w:hint="eastAsia" w:ascii="仿宋" w:hAnsi="仿宋" w:eastAsia="仿宋" w:cs="仿宋"/>
          <w:b/>
          <w:color w:val="auto"/>
          <w:sz w:val="24"/>
          <w:highlight w:val="none"/>
        </w:rPr>
      </w:pPr>
    </w:p>
    <w:p w14:paraId="7E78F1C7">
      <w:pPr>
        <w:spacing w:line="240" w:lineRule="atLeast"/>
        <w:ind w:left="1080" w:leftChars="257" w:hanging="540"/>
        <w:jc w:val="center"/>
        <w:rPr>
          <w:rFonts w:hint="eastAsia" w:ascii="仿宋" w:hAnsi="仿宋" w:eastAsia="仿宋" w:cs="仿宋"/>
          <w:b/>
          <w:color w:val="auto"/>
          <w:sz w:val="24"/>
          <w:highlight w:val="none"/>
        </w:rPr>
      </w:pPr>
    </w:p>
    <w:p w14:paraId="4E0C3E9B">
      <w:pPr>
        <w:spacing w:line="240" w:lineRule="atLeast"/>
        <w:ind w:left="1080" w:leftChars="257" w:hanging="540"/>
        <w:rPr>
          <w:rFonts w:hint="eastAsia" w:ascii="仿宋" w:hAnsi="仿宋" w:eastAsia="仿宋" w:cs="仿宋"/>
          <w:b/>
          <w:color w:val="auto"/>
          <w:sz w:val="24"/>
          <w:highlight w:val="none"/>
        </w:rPr>
      </w:pPr>
    </w:p>
    <w:p w14:paraId="187569C7">
      <w:pPr>
        <w:rPr>
          <w:rFonts w:hint="eastAsia" w:ascii="仿宋" w:hAnsi="仿宋" w:eastAsia="仿宋" w:cs="仿宋"/>
          <w:color w:val="auto"/>
          <w:sz w:val="24"/>
          <w:highlight w:val="none"/>
        </w:rPr>
      </w:pPr>
      <w:r>
        <w:rPr>
          <w:rFonts w:hint="eastAsia" w:ascii="仿宋" w:hAnsi="仿宋" w:eastAsia="仿宋" w:cs="仿宋"/>
          <w:b/>
          <w:color w:val="auto"/>
          <w:sz w:val="24"/>
          <w:highlight w:val="none"/>
        </w:rPr>
        <w:br w:type="page"/>
      </w:r>
    </w:p>
    <w:p w14:paraId="1CCB28AC">
      <w:pPr>
        <w:pStyle w:val="2"/>
        <w:tabs>
          <w:tab w:val="left" w:pos="0"/>
        </w:tabs>
        <w:spacing w:before="0" w:after="0" w:line="240" w:lineRule="atLeast"/>
        <w:rPr>
          <w:rFonts w:hint="eastAsia" w:ascii="仿宋" w:hAnsi="仿宋" w:eastAsia="仿宋" w:cs="仿宋"/>
          <w:color w:val="auto"/>
          <w:kern w:val="0"/>
          <w:szCs w:val="21"/>
          <w:highlight w:val="none"/>
        </w:rPr>
      </w:pPr>
      <w:bookmarkStart w:id="582" w:name="_Toc518923128"/>
      <w:bookmarkStart w:id="583" w:name="_Toc23508"/>
      <w:bookmarkStart w:id="584" w:name="_Toc23018"/>
      <w:bookmarkStart w:id="585" w:name="_Toc26918"/>
      <w:bookmarkStart w:id="586" w:name="_Toc6548"/>
      <w:bookmarkStart w:id="587" w:name="_Toc4052"/>
      <w:r>
        <w:rPr>
          <w:rFonts w:hint="eastAsia" w:ascii="仿宋" w:hAnsi="仿宋" w:eastAsia="仿宋" w:cs="仿宋"/>
          <w:color w:val="auto"/>
          <w:kern w:val="0"/>
          <w:szCs w:val="21"/>
          <w:highlight w:val="none"/>
        </w:rPr>
        <w:t>第七章  政府采购合同</w:t>
      </w:r>
      <w:bookmarkEnd w:id="581"/>
      <w:bookmarkEnd w:id="582"/>
      <w:bookmarkEnd w:id="583"/>
      <w:bookmarkEnd w:id="584"/>
      <w:bookmarkEnd w:id="585"/>
      <w:bookmarkEnd w:id="586"/>
      <w:bookmarkEnd w:id="587"/>
      <w:bookmarkStart w:id="588" w:name="_Hlt487972895"/>
      <w:bookmarkEnd w:id="588"/>
      <w:bookmarkStart w:id="589" w:name="_Toc216513788"/>
      <w:bookmarkStart w:id="590" w:name="_Toc487900382"/>
    </w:p>
    <w:bookmarkEnd w:id="589"/>
    <w:bookmarkEnd w:id="590"/>
    <w:p w14:paraId="73323BE9">
      <w:pPr>
        <w:pStyle w:val="4"/>
        <w:spacing w:line="240" w:lineRule="atLeast"/>
        <w:ind w:left="1080" w:leftChars="257" w:hanging="540"/>
        <w:rPr>
          <w:rFonts w:hint="eastAsia" w:ascii="仿宋" w:hAnsi="仿宋" w:eastAsia="仿宋" w:cs="仿宋"/>
          <w:color w:val="auto"/>
          <w:szCs w:val="24"/>
          <w:highlight w:val="none"/>
        </w:rPr>
      </w:pPr>
    </w:p>
    <w:p w14:paraId="64475B54">
      <w:pPr>
        <w:spacing w:line="240" w:lineRule="atLeast"/>
        <w:ind w:left="-567" w:leftChars="-270" w:firstLine="540"/>
        <w:jc w:val="center"/>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请参照货物类政府采购合同参考范本订立采购合同。</w:t>
      </w:r>
    </w:p>
    <w:p w14:paraId="58BB1CD8">
      <w:pPr>
        <w:spacing w:line="240" w:lineRule="atLeast"/>
        <w:rPr>
          <w:rFonts w:hint="eastAsia" w:ascii="仿宋" w:hAnsi="仿宋" w:eastAsia="仿宋" w:cs="仿宋"/>
          <w:color w:val="auto"/>
          <w:highlight w:val="none"/>
        </w:rPr>
      </w:pPr>
    </w:p>
    <w:p w14:paraId="5EA4FAE9">
      <w:pPr>
        <w:rPr>
          <w:rFonts w:hint="eastAsia" w:ascii="仿宋" w:hAnsi="仿宋" w:eastAsia="仿宋" w:cs="仿宋"/>
          <w:color w:val="auto"/>
          <w:sz w:val="24"/>
          <w:highlight w:val="none"/>
        </w:rPr>
      </w:pPr>
    </w:p>
    <w:p w14:paraId="54B76A7A">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9947623">
      <w:pPr>
        <w:spacing w:line="480" w:lineRule="auto"/>
        <w:jc w:val="center"/>
        <w:rPr>
          <w:rFonts w:hint="eastAsia" w:ascii="仿宋" w:hAnsi="仿宋" w:eastAsia="仿宋" w:cs="仿宋"/>
          <w:b/>
          <w:color w:val="auto"/>
          <w:sz w:val="28"/>
          <w:szCs w:val="28"/>
          <w:highlight w:val="none"/>
        </w:rPr>
      </w:pPr>
    </w:p>
    <w:p w14:paraId="0DEB8791">
      <w:pPr>
        <w:spacing w:line="480" w:lineRule="auto"/>
        <w:jc w:val="center"/>
        <w:rPr>
          <w:rFonts w:hint="eastAsia" w:ascii="仿宋" w:hAnsi="仿宋" w:eastAsia="仿宋" w:cs="仿宋"/>
          <w:b/>
          <w:color w:val="auto"/>
          <w:sz w:val="28"/>
          <w:szCs w:val="28"/>
          <w:highlight w:val="none"/>
        </w:rPr>
      </w:pPr>
    </w:p>
    <w:p w14:paraId="5D0561F7">
      <w:pPr>
        <w:spacing w:line="480" w:lineRule="auto"/>
        <w:jc w:val="center"/>
        <w:rPr>
          <w:rFonts w:hint="eastAsia" w:ascii="仿宋" w:hAnsi="仿宋" w:eastAsia="仿宋" w:cs="仿宋"/>
          <w:b/>
          <w:color w:val="auto"/>
          <w:sz w:val="28"/>
          <w:szCs w:val="28"/>
          <w:highlight w:val="none"/>
        </w:rPr>
      </w:pPr>
    </w:p>
    <w:p w14:paraId="7F05C964">
      <w:pPr>
        <w:spacing w:line="480" w:lineRule="auto"/>
        <w:jc w:val="center"/>
        <w:outlineLvl w:val="2"/>
        <w:rPr>
          <w:rFonts w:hint="eastAsia" w:ascii="仿宋" w:hAnsi="仿宋" w:eastAsia="仿宋" w:cs="仿宋"/>
          <w:b/>
          <w:color w:val="auto"/>
          <w:sz w:val="44"/>
          <w:szCs w:val="44"/>
          <w:highlight w:val="none"/>
        </w:rPr>
      </w:pPr>
      <w:bookmarkStart w:id="591" w:name="_Toc24909"/>
      <w:r>
        <w:rPr>
          <w:rFonts w:hint="eastAsia" w:ascii="仿宋" w:hAnsi="仿宋" w:eastAsia="仿宋" w:cs="仿宋"/>
          <w:b/>
          <w:color w:val="auto"/>
          <w:sz w:val="44"/>
          <w:szCs w:val="44"/>
          <w:highlight w:val="none"/>
        </w:rPr>
        <w:t>政府采购合同参考范本</w:t>
      </w:r>
      <w:bookmarkEnd w:id="591"/>
    </w:p>
    <w:p w14:paraId="0E0A25AB">
      <w:pPr>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（货物类）</w:t>
      </w:r>
    </w:p>
    <w:p w14:paraId="6FCB6E6F">
      <w:pPr>
        <w:pStyle w:val="30"/>
        <w:ind w:firstLine="0"/>
        <w:rPr>
          <w:rFonts w:hint="eastAsia" w:ascii="仿宋" w:hAnsi="仿宋" w:eastAsia="仿宋" w:cs="仿宋"/>
          <w:color w:val="auto"/>
          <w:szCs w:val="24"/>
          <w:highlight w:val="none"/>
        </w:rPr>
      </w:pPr>
    </w:p>
    <w:p w14:paraId="19ED92FF">
      <w:pPr>
        <w:pStyle w:val="30"/>
        <w:ind w:firstLine="0"/>
        <w:rPr>
          <w:rFonts w:hint="eastAsia" w:ascii="仿宋" w:hAnsi="仿宋" w:eastAsia="仿宋" w:cs="仿宋"/>
          <w:color w:val="auto"/>
          <w:szCs w:val="24"/>
          <w:highlight w:val="none"/>
        </w:rPr>
      </w:pPr>
    </w:p>
    <w:p w14:paraId="798E2D23">
      <w:pPr>
        <w:pStyle w:val="30"/>
        <w:ind w:firstLine="0"/>
        <w:rPr>
          <w:rFonts w:hint="eastAsia" w:ascii="仿宋" w:hAnsi="仿宋" w:eastAsia="仿宋" w:cs="仿宋"/>
          <w:color w:val="auto"/>
          <w:szCs w:val="24"/>
          <w:highlight w:val="none"/>
        </w:rPr>
      </w:pPr>
    </w:p>
    <w:p w14:paraId="437EBA60">
      <w:pPr>
        <w:pStyle w:val="30"/>
        <w:ind w:firstLine="0"/>
        <w:jc w:val="center"/>
        <w:outlineLvl w:val="2"/>
        <w:rPr>
          <w:rFonts w:hint="eastAsia" w:ascii="仿宋" w:hAnsi="仿宋" w:eastAsia="仿宋" w:cs="仿宋"/>
          <w:b/>
          <w:color w:val="auto"/>
          <w:szCs w:val="24"/>
          <w:highlight w:val="none"/>
        </w:rPr>
      </w:pPr>
      <w:bookmarkStart w:id="592" w:name="_Toc27439"/>
      <w:r>
        <w:rPr>
          <w:rFonts w:hint="eastAsia" w:ascii="仿宋" w:hAnsi="仿宋" w:eastAsia="仿宋" w:cs="仿宋"/>
          <w:b/>
          <w:color w:val="auto"/>
          <w:szCs w:val="24"/>
          <w:highlight w:val="none"/>
        </w:rPr>
        <w:t>第一部分 合同书</w:t>
      </w:r>
      <w:bookmarkEnd w:id="592"/>
    </w:p>
    <w:p w14:paraId="489AF6FF">
      <w:pPr>
        <w:pStyle w:val="30"/>
        <w:ind w:firstLine="0"/>
        <w:rPr>
          <w:rFonts w:hint="eastAsia" w:ascii="仿宋" w:hAnsi="仿宋" w:eastAsia="仿宋" w:cs="仿宋"/>
          <w:color w:val="auto"/>
          <w:szCs w:val="24"/>
          <w:highlight w:val="none"/>
        </w:rPr>
      </w:pPr>
    </w:p>
    <w:p w14:paraId="7898ED62">
      <w:pPr>
        <w:pStyle w:val="30"/>
        <w:ind w:firstLine="0"/>
        <w:rPr>
          <w:rFonts w:hint="eastAsia" w:ascii="仿宋" w:hAnsi="仿宋" w:eastAsia="仿宋" w:cs="仿宋"/>
          <w:color w:val="auto"/>
          <w:szCs w:val="24"/>
          <w:highlight w:val="none"/>
        </w:rPr>
      </w:pPr>
    </w:p>
    <w:p w14:paraId="58C9BD22">
      <w:pPr>
        <w:spacing w:before="120" w:line="22" w:lineRule="atLeast"/>
        <w:rPr>
          <w:rFonts w:hint="eastAsia" w:ascii="仿宋" w:hAnsi="仿宋" w:eastAsia="仿宋" w:cs="仿宋"/>
          <w:color w:val="auto"/>
          <w:sz w:val="24"/>
          <w:highlight w:val="none"/>
        </w:rPr>
      </w:pPr>
    </w:p>
    <w:p w14:paraId="3ADD2E4C">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930EBB6">
      <w:pPr>
        <w:pStyle w:val="31"/>
        <w:spacing w:before="120" w:line="22" w:lineRule="atLeast"/>
        <w:rPr>
          <w:rFonts w:hint="eastAsia" w:ascii="仿宋" w:hAnsi="仿宋" w:eastAsia="仿宋" w:cs="仿宋"/>
          <w:color w:val="auto"/>
          <w:szCs w:val="24"/>
          <w:highlight w:val="none"/>
        </w:rPr>
      </w:pPr>
    </w:p>
    <w:p w14:paraId="5F133A7A">
      <w:pPr>
        <w:pStyle w:val="31"/>
        <w:spacing w:before="120" w:line="22" w:lineRule="atLeast"/>
        <w:rPr>
          <w:rFonts w:hint="eastAsia" w:ascii="仿宋" w:hAnsi="仿宋" w:eastAsia="仿宋" w:cs="仿宋"/>
          <w:color w:val="auto"/>
          <w:szCs w:val="24"/>
          <w:highlight w:val="none"/>
        </w:rPr>
      </w:pPr>
    </w:p>
    <w:p w14:paraId="0EC80376">
      <w:pPr>
        <w:rPr>
          <w:rFonts w:hint="eastAsia" w:ascii="仿宋" w:hAnsi="仿宋" w:eastAsia="仿宋" w:cs="仿宋"/>
          <w:color w:val="auto"/>
          <w:highlight w:val="none"/>
        </w:rPr>
      </w:pPr>
    </w:p>
    <w:p w14:paraId="08AFE51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4495BB3">
      <w:pPr>
        <w:spacing w:before="120" w:line="22" w:lineRule="atLeast"/>
        <w:rPr>
          <w:rFonts w:hint="eastAsia" w:ascii="仿宋" w:hAnsi="仿宋" w:eastAsia="仿宋" w:cs="仿宋"/>
          <w:color w:val="auto"/>
          <w:sz w:val="24"/>
          <w:highlight w:val="none"/>
        </w:rPr>
      </w:pPr>
    </w:p>
    <w:p w14:paraId="045B7AC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905DA2E">
      <w:pPr>
        <w:spacing w:before="120" w:line="22" w:lineRule="atLeast"/>
        <w:rPr>
          <w:rFonts w:hint="eastAsia" w:ascii="仿宋" w:hAnsi="仿宋" w:eastAsia="仿宋" w:cs="仿宋"/>
          <w:color w:val="auto"/>
          <w:sz w:val="24"/>
          <w:highlight w:val="none"/>
        </w:rPr>
      </w:pPr>
    </w:p>
    <w:p w14:paraId="3AD45045">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9AD1F93">
      <w:pPr>
        <w:spacing w:before="120" w:line="22" w:lineRule="atLeast"/>
        <w:rPr>
          <w:rFonts w:hint="eastAsia" w:ascii="仿宋" w:hAnsi="仿宋" w:eastAsia="仿宋" w:cs="仿宋"/>
          <w:color w:val="auto"/>
          <w:sz w:val="24"/>
          <w:highlight w:val="none"/>
        </w:rPr>
      </w:pPr>
    </w:p>
    <w:p w14:paraId="3CF448A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0E7C527">
      <w:pPr>
        <w:autoSpaceDE w:val="0"/>
        <w:autoSpaceDN w:val="0"/>
        <w:adjustRightInd w:val="0"/>
        <w:spacing w:line="600" w:lineRule="exact"/>
        <w:ind w:firstLine="640"/>
        <w:jc w:val="center"/>
        <w:rPr>
          <w:rFonts w:hint="eastAsia" w:ascii="仿宋" w:hAnsi="仿宋" w:eastAsia="仿宋" w:cs="仿宋"/>
          <w:color w:val="auto"/>
          <w:sz w:val="24"/>
          <w:highlight w:val="none"/>
        </w:rPr>
        <w:sectPr>
          <w:headerReference r:id="rId14" w:type="first"/>
          <w:footerReference r:id="rId17" w:type="first"/>
          <w:headerReference r:id="rId12" w:type="default"/>
          <w:footerReference r:id="rId15" w:type="default"/>
          <w:headerReference r:id="rId13" w:type="even"/>
          <w:footerReference r:id="rId16" w:type="even"/>
          <w:pgSz w:w="11907" w:h="16840"/>
          <w:pgMar w:top="1134" w:right="1417" w:bottom="1134" w:left="1417" w:header="851" w:footer="851" w:gutter="0"/>
          <w:pgNumType w:fmt="numberInDash"/>
          <w:cols w:space="720" w:num="1"/>
          <w:docGrid w:linePitch="462" w:charSpace="0"/>
        </w:sectPr>
      </w:pPr>
    </w:p>
    <w:p w14:paraId="406FE85D">
      <w:pPr>
        <w:spacing w:line="560" w:lineRule="exact"/>
        <w:ind w:firstLine="480" w:firstLineChars="200"/>
        <w:rPr>
          <w:rFonts w:hint="eastAsia" w:ascii="仿宋" w:hAnsi="仿宋" w:eastAsia="仿宋" w:cs="仿宋"/>
          <w:color w:val="auto"/>
          <w:sz w:val="24"/>
          <w:highlight w:val="none"/>
          <w:u w:val="single"/>
          <w:lang w:val="zh-CN"/>
        </w:rPr>
      </w:pPr>
    </w:p>
    <w:p w14:paraId="58ACFC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51D618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F6B6E08">
      <w:pPr>
        <w:spacing w:line="560" w:lineRule="exact"/>
        <w:ind w:firstLine="482" w:firstLineChars="200"/>
        <w:outlineLvl w:val="0"/>
        <w:rPr>
          <w:rFonts w:hint="eastAsia" w:ascii="仿宋" w:hAnsi="仿宋" w:eastAsia="仿宋" w:cs="仿宋"/>
          <w:b/>
          <w:color w:val="auto"/>
          <w:sz w:val="24"/>
          <w:highlight w:val="none"/>
        </w:rPr>
      </w:pPr>
      <w:bookmarkStart w:id="593" w:name="_Toc24388"/>
      <w:bookmarkStart w:id="594" w:name="_Toc3029"/>
      <w:bookmarkStart w:id="595" w:name="_Toc29457"/>
      <w:bookmarkStart w:id="596" w:name="_Toc24059"/>
      <w:bookmarkStart w:id="597" w:name="_Toc2232"/>
      <w:bookmarkStart w:id="598" w:name="_Toc3904"/>
      <w:r>
        <w:rPr>
          <w:rFonts w:hint="eastAsia" w:ascii="仿宋" w:hAnsi="仿宋" w:eastAsia="仿宋" w:cs="仿宋"/>
          <w:b/>
          <w:color w:val="auto"/>
          <w:sz w:val="24"/>
          <w:highlight w:val="none"/>
        </w:rPr>
        <w:t>1.1 合同组成部分</w:t>
      </w:r>
      <w:bookmarkEnd w:id="593"/>
      <w:bookmarkEnd w:id="594"/>
      <w:bookmarkEnd w:id="595"/>
      <w:bookmarkEnd w:id="596"/>
      <w:bookmarkEnd w:id="597"/>
      <w:bookmarkEnd w:id="598"/>
    </w:p>
    <w:p w14:paraId="3B185D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B55C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730F3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3F67C8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4A6DE6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521DF6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827F449">
      <w:pPr>
        <w:spacing w:line="560" w:lineRule="exact"/>
        <w:ind w:firstLine="482" w:firstLineChars="200"/>
        <w:outlineLvl w:val="0"/>
        <w:rPr>
          <w:rFonts w:hint="eastAsia" w:ascii="仿宋" w:hAnsi="仿宋" w:eastAsia="仿宋" w:cs="仿宋"/>
          <w:b/>
          <w:color w:val="auto"/>
          <w:sz w:val="24"/>
          <w:highlight w:val="none"/>
        </w:rPr>
      </w:pPr>
      <w:bookmarkStart w:id="599" w:name="_Toc21295"/>
      <w:bookmarkStart w:id="600" w:name="_Toc27126"/>
      <w:bookmarkStart w:id="601" w:name="_Toc13854"/>
      <w:bookmarkStart w:id="602" w:name="_Toc24300"/>
      <w:bookmarkStart w:id="603" w:name="_Toc2139"/>
      <w:bookmarkStart w:id="604" w:name="_Toc18820"/>
      <w:r>
        <w:rPr>
          <w:rFonts w:hint="eastAsia" w:ascii="仿宋" w:hAnsi="仿宋" w:eastAsia="仿宋" w:cs="仿宋"/>
          <w:b/>
          <w:color w:val="auto"/>
          <w:sz w:val="24"/>
          <w:highlight w:val="none"/>
        </w:rPr>
        <w:t>1.2 货物</w:t>
      </w:r>
      <w:bookmarkEnd w:id="599"/>
      <w:bookmarkEnd w:id="600"/>
      <w:bookmarkEnd w:id="601"/>
      <w:bookmarkEnd w:id="602"/>
      <w:bookmarkEnd w:id="603"/>
      <w:bookmarkEnd w:id="604"/>
    </w:p>
    <w:p w14:paraId="7943D9C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39F04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08BC0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90769CE">
      <w:pPr>
        <w:spacing w:line="560" w:lineRule="exact"/>
        <w:ind w:firstLine="482" w:firstLineChars="200"/>
        <w:outlineLvl w:val="0"/>
        <w:rPr>
          <w:rFonts w:hint="eastAsia" w:ascii="仿宋" w:hAnsi="仿宋" w:eastAsia="仿宋" w:cs="仿宋"/>
          <w:b/>
          <w:color w:val="auto"/>
          <w:sz w:val="24"/>
          <w:highlight w:val="none"/>
        </w:rPr>
      </w:pPr>
      <w:bookmarkStart w:id="605" w:name="_Toc21551"/>
      <w:bookmarkStart w:id="606" w:name="_Toc21631"/>
      <w:bookmarkStart w:id="607" w:name="_Toc23292"/>
      <w:bookmarkStart w:id="608" w:name="_Toc8147"/>
      <w:bookmarkStart w:id="609" w:name="_Toc11252"/>
      <w:bookmarkStart w:id="610" w:name="_Toc16431"/>
      <w:r>
        <w:rPr>
          <w:rFonts w:hint="eastAsia" w:ascii="仿宋" w:hAnsi="仿宋" w:eastAsia="仿宋" w:cs="仿宋"/>
          <w:b/>
          <w:color w:val="auto"/>
          <w:sz w:val="24"/>
          <w:highlight w:val="none"/>
        </w:rPr>
        <w:t>1.3 价款</w:t>
      </w:r>
      <w:bookmarkEnd w:id="605"/>
      <w:bookmarkEnd w:id="606"/>
      <w:bookmarkEnd w:id="607"/>
      <w:bookmarkEnd w:id="608"/>
      <w:bookmarkEnd w:id="609"/>
      <w:bookmarkEnd w:id="610"/>
    </w:p>
    <w:p w14:paraId="1F6F78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662B13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67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3F2880">
            <w:pPr>
              <w:pStyle w:val="32"/>
              <w:spacing w:line="560" w:lineRule="exact"/>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序号</w:t>
            </w:r>
          </w:p>
        </w:tc>
        <w:tc>
          <w:tcPr>
            <w:tcW w:w="3402" w:type="dxa"/>
            <w:noWrap w:val="0"/>
            <w:vAlign w:val="center"/>
          </w:tcPr>
          <w:p w14:paraId="52C2684F">
            <w:pPr>
              <w:pStyle w:val="32"/>
              <w:spacing w:line="560" w:lineRule="exact"/>
              <w:ind w:firstLine="20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分项名称</w:t>
            </w:r>
          </w:p>
        </w:tc>
        <w:tc>
          <w:tcPr>
            <w:tcW w:w="2552" w:type="dxa"/>
            <w:noWrap w:val="0"/>
            <w:vAlign w:val="center"/>
          </w:tcPr>
          <w:p w14:paraId="71DA1B87">
            <w:pPr>
              <w:pStyle w:val="32"/>
              <w:spacing w:line="560" w:lineRule="exact"/>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分项价格</w:t>
            </w:r>
          </w:p>
        </w:tc>
      </w:tr>
      <w:tr w14:paraId="0983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6DF410B">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c>
          <w:tcPr>
            <w:tcW w:w="3402" w:type="dxa"/>
            <w:noWrap w:val="0"/>
            <w:vAlign w:val="center"/>
          </w:tcPr>
          <w:p w14:paraId="515AC25F">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c>
          <w:tcPr>
            <w:tcW w:w="2552" w:type="dxa"/>
            <w:noWrap w:val="0"/>
            <w:vAlign w:val="center"/>
          </w:tcPr>
          <w:p w14:paraId="158FC9F7">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r>
      <w:tr w14:paraId="6185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5AA1B08">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c>
          <w:tcPr>
            <w:tcW w:w="3402" w:type="dxa"/>
            <w:noWrap w:val="0"/>
            <w:vAlign w:val="center"/>
          </w:tcPr>
          <w:p w14:paraId="23008957">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c>
          <w:tcPr>
            <w:tcW w:w="2552" w:type="dxa"/>
            <w:noWrap w:val="0"/>
            <w:vAlign w:val="center"/>
          </w:tcPr>
          <w:p w14:paraId="02C6ADA2">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r>
      <w:tr w14:paraId="534F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6A41B5">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c>
          <w:tcPr>
            <w:tcW w:w="3402" w:type="dxa"/>
            <w:noWrap w:val="0"/>
            <w:vAlign w:val="center"/>
          </w:tcPr>
          <w:p w14:paraId="107587FB">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c>
          <w:tcPr>
            <w:tcW w:w="2552" w:type="dxa"/>
            <w:noWrap w:val="0"/>
            <w:vAlign w:val="center"/>
          </w:tcPr>
          <w:p w14:paraId="2AEFB54C">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r>
      <w:tr w14:paraId="210D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1DFE02A">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c>
          <w:tcPr>
            <w:tcW w:w="3402" w:type="dxa"/>
            <w:noWrap w:val="0"/>
            <w:vAlign w:val="center"/>
          </w:tcPr>
          <w:p w14:paraId="798F4086">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c>
          <w:tcPr>
            <w:tcW w:w="2552" w:type="dxa"/>
            <w:noWrap w:val="0"/>
            <w:vAlign w:val="center"/>
          </w:tcPr>
          <w:p w14:paraId="34F6AA64">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r>
      <w:tr w14:paraId="264C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35388AE">
            <w:pPr>
              <w:pStyle w:val="32"/>
              <w:spacing w:line="560" w:lineRule="exact"/>
              <w:ind w:firstLine="20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总价</w:t>
            </w:r>
          </w:p>
        </w:tc>
        <w:tc>
          <w:tcPr>
            <w:tcW w:w="2552" w:type="dxa"/>
            <w:noWrap w:val="0"/>
            <w:vAlign w:val="center"/>
          </w:tcPr>
          <w:p w14:paraId="71FE005A">
            <w:pPr>
              <w:pStyle w:val="32"/>
              <w:spacing w:line="560" w:lineRule="exact"/>
              <w:ind w:firstLine="200"/>
              <w:jc w:val="center"/>
              <w:rPr>
                <w:rFonts w:hint="eastAsia" w:ascii="仿宋" w:hAnsi="仿宋" w:eastAsia="仿宋" w:cs="仿宋"/>
                <w:color w:val="auto"/>
                <w:kern w:val="2"/>
                <w:sz w:val="24"/>
                <w:szCs w:val="24"/>
                <w:highlight w:val="none"/>
                <w:lang w:val="en-US" w:eastAsia="zh-CN"/>
              </w:rPr>
            </w:pPr>
          </w:p>
        </w:tc>
      </w:tr>
    </w:tbl>
    <w:p w14:paraId="4C53BBDB">
      <w:pPr>
        <w:spacing w:line="560" w:lineRule="exact"/>
        <w:ind w:firstLine="482" w:firstLineChars="200"/>
        <w:outlineLvl w:val="0"/>
        <w:rPr>
          <w:rFonts w:hint="eastAsia" w:ascii="仿宋" w:hAnsi="仿宋" w:eastAsia="仿宋" w:cs="仿宋"/>
          <w:b/>
          <w:color w:val="auto"/>
          <w:sz w:val="24"/>
          <w:highlight w:val="none"/>
        </w:rPr>
      </w:pPr>
      <w:bookmarkStart w:id="611" w:name="_Toc25632"/>
      <w:bookmarkStart w:id="612" w:name="_Toc10340"/>
      <w:bookmarkStart w:id="613" w:name="_Toc2515"/>
      <w:bookmarkStart w:id="614" w:name="_Toc22618"/>
      <w:bookmarkStart w:id="615" w:name="_Toc30429"/>
      <w:bookmarkStart w:id="616" w:name="_Toc1814"/>
      <w:r>
        <w:rPr>
          <w:rFonts w:hint="eastAsia" w:ascii="仿宋" w:hAnsi="仿宋" w:eastAsia="仿宋" w:cs="仿宋"/>
          <w:b/>
          <w:color w:val="auto"/>
          <w:sz w:val="24"/>
          <w:highlight w:val="none"/>
        </w:rPr>
        <w:t>1.4 付款方式和发票开具方式</w:t>
      </w:r>
      <w:bookmarkEnd w:id="611"/>
      <w:bookmarkEnd w:id="612"/>
      <w:bookmarkEnd w:id="613"/>
      <w:bookmarkEnd w:id="614"/>
      <w:bookmarkEnd w:id="615"/>
      <w:bookmarkEnd w:id="616"/>
    </w:p>
    <w:p w14:paraId="1482AE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1A18B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发票开具方式：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13B30A0">
      <w:pPr>
        <w:spacing w:line="560" w:lineRule="exact"/>
        <w:ind w:firstLine="482" w:firstLineChars="200"/>
        <w:outlineLvl w:val="0"/>
        <w:rPr>
          <w:rFonts w:hint="eastAsia" w:ascii="仿宋" w:hAnsi="仿宋" w:eastAsia="仿宋" w:cs="仿宋"/>
          <w:b/>
          <w:color w:val="auto"/>
          <w:sz w:val="24"/>
          <w:highlight w:val="none"/>
        </w:rPr>
      </w:pPr>
      <w:bookmarkStart w:id="617" w:name="_Toc1274"/>
      <w:bookmarkStart w:id="618" w:name="_Toc32071"/>
      <w:bookmarkStart w:id="619" w:name="_Toc2846"/>
      <w:bookmarkStart w:id="620" w:name="_Toc30211"/>
      <w:bookmarkStart w:id="621" w:name="_Toc19304"/>
      <w:bookmarkStart w:id="622" w:name="_Toc4612"/>
      <w:r>
        <w:rPr>
          <w:rFonts w:hint="eastAsia" w:ascii="仿宋" w:hAnsi="仿宋" w:eastAsia="仿宋" w:cs="仿宋"/>
          <w:b/>
          <w:color w:val="auto"/>
          <w:sz w:val="24"/>
          <w:highlight w:val="none"/>
        </w:rPr>
        <w:t>1.5 货物交付期限、地点和方式</w:t>
      </w:r>
      <w:bookmarkEnd w:id="617"/>
      <w:bookmarkEnd w:id="618"/>
      <w:bookmarkEnd w:id="619"/>
      <w:bookmarkEnd w:id="620"/>
      <w:bookmarkEnd w:id="621"/>
      <w:bookmarkEnd w:id="622"/>
    </w:p>
    <w:p w14:paraId="5F1E5BE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交付期限：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4A3A1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交付地点：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2D163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交付方式：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52665E">
      <w:pPr>
        <w:spacing w:line="560" w:lineRule="exact"/>
        <w:ind w:firstLine="482" w:firstLineChars="200"/>
        <w:outlineLvl w:val="0"/>
        <w:rPr>
          <w:rFonts w:hint="eastAsia" w:ascii="仿宋" w:hAnsi="仿宋" w:eastAsia="仿宋" w:cs="仿宋"/>
          <w:b/>
          <w:color w:val="auto"/>
          <w:sz w:val="24"/>
          <w:highlight w:val="none"/>
        </w:rPr>
      </w:pPr>
      <w:bookmarkStart w:id="623" w:name="_Toc19554"/>
      <w:bookmarkStart w:id="624" w:name="_Toc20184"/>
      <w:bookmarkStart w:id="625" w:name="_Toc5173"/>
      <w:bookmarkStart w:id="626" w:name="_Toc21423"/>
      <w:bookmarkStart w:id="627" w:name="_Toc27250"/>
      <w:bookmarkStart w:id="628" w:name="_Toc13807"/>
      <w:r>
        <w:rPr>
          <w:rFonts w:hint="eastAsia" w:ascii="仿宋" w:hAnsi="仿宋" w:eastAsia="仿宋" w:cs="仿宋"/>
          <w:b/>
          <w:color w:val="auto"/>
          <w:sz w:val="24"/>
          <w:highlight w:val="none"/>
        </w:rPr>
        <w:t>1.6 违约责任</w:t>
      </w:r>
      <w:bookmarkEnd w:id="623"/>
      <w:bookmarkEnd w:id="624"/>
      <w:bookmarkEnd w:id="625"/>
      <w:bookmarkEnd w:id="626"/>
      <w:bookmarkEnd w:id="627"/>
      <w:bookmarkEnd w:id="628"/>
    </w:p>
    <w:p w14:paraId="26210A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1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4B3FAB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1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FBD78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8A0A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26B3B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D19F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145FC33">
      <w:pPr>
        <w:spacing w:line="560" w:lineRule="exact"/>
        <w:ind w:firstLine="482" w:firstLineChars="200"/>
        <w:outlineLvl w:val="0"/>
        <w:rPr>
          <w:rFonts w:hint="eastAsia" w:ascii="仿宋" w:hAnsi="仿宋" w:eastAsia="仿宋" w:cs="仿宋"/>
          <w:b/>
          <w:color w:val="auto"/>
          <w:sz w:val="24"/>
          <w:highlight w:val="none"/>
        </w:rPr>
      </w:pPr>
      <w:bookmarkStart w:id="629" w:name="_Toc19182"/>
      <w:bookmarkStart w:id="630" w:name="_Toc15583"/>
      <w:bookmarkStart w:id="631" w:name="_Toc28375"/>
      <w:bookmarkStart w:id="632" w:name="_Toc16021"/>
      <w:bookmarkStart w:id="633" w:name="_Toc4413"/>
      <w:bookmarkStart w:id="634" w:name="_Toc29898"/>
      <w:r>
        <w:rPr>
          <w:rFonts w:hint="eastAsia" w:ascii="仿宋" w:hAnsi="仿宋" w:eastAsia="仿宋" w:cs="仿宋"/>
          <w:b/>
          <w:color w:val="auto"/>
          <w:sz w:val="24"/>
          <w:highlight w:val="none"/>
        </w:rPr>
        <w:t>1.7 合同争议的解决</w:t>
      </w:r>
      <w:bookmarkEnd w:id="629"/>
      <w:bookmarkEnd w:id="630"/>
      <w:bookmarkEnd w:id="631"/>
      <w:bookmarkEnd w:id="632"/>
      <w:bookmarkEnd w:id="633"/>
      <w:bookmarkEnd w:id="634"/>
    </w:p>
    <w:p w14:paraId="10FA56F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081311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仲裁委员会依申请仲裁时其现行有效的仲裁规则裁决；</w:t>
      </w:r>
    </w:p>
    <w:p w14:paraId="0CED29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p>
    <w:p w14:paraId="0F526AFF">
      <w:pPr>
        <w:spacing w:line="560" w:lineRule="exact"/>
        <w:ind w:firstLine="482" w:firstLineChars="200"/>
        <w:outlineLvl w:val="0"/>
        <w:rPr>
          <w:rFonts w:hint="eastAsia" w:ascii="仿宋" w:hAnsi="仿宋" w:eastAsia="仿宋" w:cs="仿宋"/>
          <w:b/>
          <w:color w:val="auto"/>
          <w:sz w:val="24"/>
          <w:highlight w:val="none"/>
        </w:rPr>
      </w:pPr>
      <w:bookmarkStart w:id="635" w:name="_Toc15322"/>
      <w:bookmarkStart w:id="636" w:name="_Toc7245"/>
      <w:bookmarkStart w:id="637" w:name="_Toc11173"/>
      <w:bookmarkStart w:id="638" w:name="_Toc19324"/>
      <w:bookmarkStart w:id="639" w:name="_Toc27854"/>
      <w:bookmarkStart w:id="640" w:name="_Toc14142"/>
      <w:r>
        <w:rPr>
          <w:rFonts w:hint="eastAsia" w:ascii="仿宋" w:hAnsi="仿宋" w:eastAsia="仿宋" w:cs="仿宋"/>
          <w:b/>
          <w:color w:val="auto"/>
          <w:sz w:val="24"/>
          <w:highlight w:val="none"/>
        </w:rPr>
        <w:t>1.8 合同生效</w:t>
      </w:r>
      <w:bookmarkEnd w:id="635"/>
      <w:bookmarkEnd w:id="636"/>
      <w:bookmarkEnd w:id="637"/>
      <w:bookmarkEnd w:id="638"/>
      <w:bookmarkEnd w:id="639"/>
      <w:bookmarkEnd w:id="640"/>
    </w:p>
    <w:p w14:paraId="661E6A66">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71F2B7DF">
      <w:pPr>
        <w:autoSpaceDE w:val="0"/>
        <w:autoSpaceDN w:val="0"/>
        <w:adjustRightInd w:val="0"/>
        <w:spacing w:line="560" w:lineRule="exact"/>
        <w:rPr>
          <w:rFonts w:hint="eastAsia" w:ascii="仿宋" w:hAnsi="仿宋" w:eastAsia="仿宋" w:cs="仿宋"/>
          <w:color w:val="auto"/>
          <w:sz w:val="24"/>
          <w:highlight w:val="none"/>
          <w:lang w:val="zh-CN"/>
        </w:rPr>
      </w:pPr>
    </w:p>
    <w:p w14:paraId="661A1F21">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FC03C25">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E0DF1F7">
      <w:pPr>
        <w:autoSpaceDE w:val="0"/>
        <w:autoSpaceDN w:val="0"/>
        <w:adjustRightInd w:val="0"/>
        <w:spacing w:line="560" w:lineRule="exact"/>
        <w:rPr>
          <w:rFonts w:hint="eastAsia" w:ascii="仿宋" w:hAnsi="仿宋" w:eastAsia="仿宋" w:cs="仿宋"/>
          <w:color w:val="auto"/>
          <w:sz w:val="24"/>
          <w:highlight w:val="none"/>
          <w:lang w:val="zh-CN"/>
        </w:rPr>
      </w:pPr>
    </w:p>
    <w:p w14:paraId="45072B87">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5BFD1D7">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5F70DA2E">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355483F1">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3B3B7E6">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070AC40">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EB96032">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6A2328C">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E3AEF52">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58758CD">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8BC73A1">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4DD3C26">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058B3CD">
      <w:pPr>
        <w:widowControl/>
        <w:spacing w:line="560" w:lineRule="exact"/>
        <w:jc w:val="left"/>
        <w:rPr>
          <w:rFonts w:hint="eastAsia" w:ascii="仿宋" w:hAnsi="仿宋" w:eastAsia="仿宋" w:cs="仿宋"/>
          <w:b/>
          <w:color w:val="auto"/>
          <w:highlight w:val="none"/>
        </w:rPr>
      </w:pPr>
      <w:bookmarkStart w:id="641" w:name="_Toc331685783"/>
    </w:p>
    <w:p w14:paraId="28CE8BB3">
      <w:pPr>
        <w:widowControl/>
        <w:spacing w:line="560" w:lineRule="exact"/>
        <w:jc w:val="left"/>
        <w:rPr>
          <w:rFonts w:hint="eastAsia" w:ascii="仿宋" w:hAnsi="仿宋" w:eastAsia="仿宋" w:cs="仿宋"/>
          <w:b/>
          <w:color w:val="auto"/>
          <w:highlight w:val="none"/>
        </w:rPr>
      </w:pPr>
    </w:p>
    <w:p w14:paraId="699540F6">
      <w:pPr>
        <w:widowControl/>
        <w:spacing w:line="560" w:lineRule="exact"/>
        <w:jc w:val="left"/>
        <w:rPr>
          <w:rFonts w:hint="eastAsia" w:ascii="仿宋" w:hAnsi="仿宋" w:eastAsia="仿宋" w:cs="仿宋"/>
          <w:b/>
          <w:color w:val="auto"/>
          <w:kern w:val="0"/>
          <w:sz w:val="24"/>
          <w:highlight w:val="none"/>
        </w:rPr>
      </w:pPr>
    </w:p>
    <w:p w14:paraId="1B0F21DF">
      <w:pPr>
        <w:widowControl/>
        <w:spacing w:line="560" w:lineRule="exact"/>
        <w:jc w:val="left"/>
        <w:rPr>
          <w:rFonts w:hint="eastAsia" w:ascii="仿宋" w:hAnsi="仿宋" w:eastAsia="仿宋" w:cs="仿宋"/>
          <w:b/>
          <w:color w:val="auto"/>
          <w:kern w:val="0"/>
          <w:sz w:val="24"/>
          <w:highlight w:val="none"/>
        </w:rPr>
      </w:pPr>
    </w:p>
    <w:p w14:paraId="6FFB1693">
      <w:pPr>
        <w:widowControl/>
        <w:spacing w:line="560" w:lineRule="exact"/>
        <w:jc w:val="left"/>
        <w:rPr>
          <w:rFonts w:hint="eastAsia" w:ascii="仿宋" w:hAnsi="仿宋" w:eastAsia="仿宋" w:cs="仿宋"/>
          <w:b/>
          <w:color w:val="auto"/>
          <w:kern w:val="0"/>
          <w:sz w:val="24"/>
          <w:highlight w:val="none"/>
        </w:rPr>
      </w:pPr>
    </w:p>
    <w:p w14:paraId="385CA7A9">
      <w:pPr>
        <w:widowControl/>
        <w:spacing w:line="560" w:lineRule="exact"/>
        <w:jc w:val="left"/>
        <w:rPr>
          <w:rFonts w:hint="eastAsia" w:ascii="仿宋" w:hAnsi="仿宋" w:eastAsia="仿宋" w:cs="仿宋"/>
          <w:b/>
          <w:color w:val="auto"/>
          <w:kern w:val="0"/>
          <w:sz w:val="24"/>
          <w:highlight w:val="none"/>
        </w:rPr>
      </w:pPr>
    </w:p>
    <w:p w14:paraId="3560DA98">
      <w:pPr>
        <w:pStyle w:val="4"/>
        <w:rPr>
          <w:rFonts w:hint="eastAsia" w:ascii="仿宋" w:hAnsi="仿宋" w:eastAsia="仿宋" w:cs="仿宋"/>
          <w:b/>
          <w:color w:val="auto"/>
          <w:highlight w:val="none"/>
        </w:rPr>
      </w:pPr>
    </w:p>
    <w:p w14:paraId="71D1EC0D">
      <w:pPr>
        <w:rPr>
          <w:rFonts w:hint="eastAsia" w:ascii="仿宋" w:hAnsi="仿宋" w:eastAsia="仿宋" w:cs="仿宋"/>
          <w:b/>
          <w:color w:val="auto"/>
          <w:kern w:val="0"/>
          <w:sz w:val="24"/>
          <w:highlight w:val="none"/>
        </w:rPr>
      </w:pPr>
    </w:p>
    <w:p w14:paraId="5F96C896">
      <w:pPr>
        <w:pStyle w:val="4"/>
        <w:rPr>
          <w:rFonts w:hint="eastAsia" w:ascii="仿宋" w:hAnsi="仿宋" w:eastAsia="仿宋" w:cs="仿宋"/>
          <w:b/>
          <w:color w:val="auto"/>
          <w:highlight w:val="none"/>
        </w:rPr>
      </w:pPr>
    </w:p>
    <w:p w14:paraId="766E7D6B">
      <w:pPr>
        <w:rPr>
          <w:rFonts w:hint="eastAsia" w:ascii="仿宋" w:hAnsi="仿宋" w:eastAsia="仿宋" w:cs="仿宋"/>
          <w:b/>
          <w:color w:val="auto"/>
          <w:kern w:val="0"/>
          <w:sz w:val="24"/>
          <w:highlight w:val="none"/>
        </w:rPr>
      </w:pPr>
    </w:p>
    <w:p w14:paraId="4D8A3E39">
      <w:pPr>
        <w:pStyle w:val="4"/>
        <w:rPr>
          <w:rFonts w:hint="eastAsia" w:ascii="仿宋" w:hAnsi="仿宋" w:eastAsia="仿宋" w:cs="仿宋"/>
          <w:color w:val="auto"/>
          <w:highlight w:val="none"/>
        </w:rPr>
      </w:pPr>
    </w:p>
    <w:p w14:paraId="6F2FFD92">
      <w:pPr>
        <w:widowControl/>
        <w:spacing w:line="560" w:lineRule="exact"/>
        <w:jc w:val="left"/>
        <w:rPr>
          <w:rFonts w:hint="eastAsia" w:ascii="仿宋" w:hAnsi="仿宋" w:eastAsia="仿宋" w:cs="仿宋"/>
          <w:b/>
          <w:color w:val="auto"/>
          <w:kern w:val="0"/>
          <w:sz w:val="24"/>
          <w:highlight w:val="none"/>
        </w:rPr>
      </w:pPr>
    </w:p>
    <w:p w14:paraId="511A0BBE">
      <w:pPr>
        <w:pStyle w:val="30"/>
        <w:spacing w:line="560" w:lineRule="exact"/>
        <w:ind w:firstLine="200"/>
        <w:jc w:val="center"/>
        <w:outlineLvl w:val="2"/>
        <w:rPr>
          <w:rFonts w:hint="eastAsia" w:ascii="仿宋" w:hAnsi="仿宋" w:eastAsia="仿宋" w:cs="仿宋"/>
          <w:b/>
          <w:color w:val="auto"/>
          <w:szCs w:val="24"/>
          <w:highlight w:val="none"/>
        </w:rPr>
      </w:pPr>
      <w:bookmarkStart w:id="642" w:name="_Toc6964"/>
      <w:r>
        <w:rPr>
          <w:rFonts w:hint="eastAsia" w:ascii="仿宋" w:hAnsi="仿宋" w:eastAsia="仿宋" w:cs="仿宋"/>
          <w:b/>
          <w:color w:val="auto"/>
          <w:szCs w:val="24"/>
          <w:highlight w:val="none"/>
        </w:rPr>
        <w:t>第二部分 合同一般条款</w:t>
      </w:r>
      <w:bookmarkEnd w:id="641"/>
      <w:bookmarkEnd w:id="642"/>
    </w:p>
    <w:p w14:paraId="3A6E5DA1">
      <w:pPr>
        <w:spacing w:line="520" w:lineRule="exact"/>
        <w:ind w:firstLine="482" w:firstLineChars="200"/>
        <w:outlineLvl w:val="0"/>
        <w:rPr>
          <w:rFonts w:hint="eastAsia" w:ascii="仿宋" w:hAnsi="仿宋" w:eastAsia="仿宋" w:cs="仿宋"/>
          <w:b/>
          <w:color w:val="auto"/>
          <w:sz w:val="24"/>
          <w:highlight w:val="none"/>
        </w:rPr>
      </w:pPr>
      <w:bookmarkStart w:id="643" w:name="_Ref467378404"/>
      <w:bookmarkStart w:id="644" w:name="_Ref467379109"/>
      <w:bookmarkStart w:id="645" w:name="_Ref467379101"/>
      <w:bookmarkStart w:id="646" w:name="_Toc279701240"/>
      <w:bookmarkStart w:id="647" w:name="_Toc259093669"/>
      <w:bookmarkStart w:id="648" w:name="_Ref467379094"/>
      <w:bookmarkStart w:id="649" w:name="_Ref467379195"/>
      <w:bookmarkStart w:id="650" w:name="_Toc16954"/>
      <w:bookmarkStart w:id="651" w:name="_Toc28763"/>
      <w:bookmarkStart w:id="652" w:name="_Ref467379205"/>
      <w:bookmarkStart w:id="653" w:name="_Toc4253"/>
      <w:bookmarkStart w:id="654" w:name="_Ref467379225"/>
      <w:bookmarkStart w:id="655" w:name="_Toc25064"/>
      <w:bookmarkStart w:id="656" w:name="_Toc19614"/>
      <w:bookmarkStart w:id="657" w:name="_Ref467378499"/>
      <w:bookmarkStart w:id="658" w:name="_Ref467379214"/>
      <w:bookmarkStart w:id="659" w:name="_Toc487900349"/>
      <w:bookmarkStart w:id="660" w:name="_Toc16917"/>
      <w:bookmarkStart w:id="661" w:name="_Ref467378463"/>
      <w:r>
        <w:rPr>
          <w:rFonts w:hint="eastAsia" w:ascii="仿宋" w:hAnsi="仿宋" w:eastAsia="仿宋" w:cs="仿宋"/>
          <w:b/>
          <w:color w:val="auto"/>
          <w:sz w:val="24"/>
          <w:highlight w:val="none"/>
        </w:rPr>
        <w:t>2.1 定义</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0DADDF2A">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3ACC712">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1286D2ED">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704C0818">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13A2B455">
      <w:pPr>
        <w:spacing w:line="520" w:lineRule="exact"/>
        <w:ind w:firstLine="480" w:firstLineChars="200"/>
        <w:rPr>
          <w:rFonts w:hint="eastAsia" w:ascii="仿宋" w:hAnsi="仿宋" w:eastAsia="仿宋" w:cs="仿宋"/>
          <w:color w:val="auto"/>
          <w:sz w:val="24"/>
          <w:highlight w:val="none"/>
        </w:rPr>
      </w:pPr>
      <w:bookmarkStart w:id="662" w:name="_Ref467378840"/>
      <w:r>
        <w:rPr>
          <w:rFonts w:hint="eastAsia" w:ascii="仿宋" w:hAnsi="仿宋" w:eastAsia="仿宋" w:cs="仿宋"/>
          <w:color w:val="auto"/>
          <w:sz w:val="24"/>
          <w:highlight w:val="none"/>
        </w:rPr>
        <w:t>2.1.4 “甲方”系指与中标供应商签署合同的采购人</w:t>
      </w:r>
      <w:bookmarkEnd w:id="662"/>
      <w:r>
        <w:rPr>
          <w:rFonts w:hint="eastAsia" w:ascii="仿宋" w:hAnsi="仿宋" w:eastAsia="仿宋" w:cs="仿宋"/>
          <w:color w:val="auto"/>
          <w:sz w:val="24"/>
          <w:highlight w:val="none"/>
        </w:rPr>
        <w:t>；采购人委托采购代理机构代表其与乙方签订合同的，采购人的授权委托书作为合同附件。</w:t>
      </w:r>
    </w:p>
    <w:p w14:paraId="0F841CDB">
      <w:pPr>
        <w:spacing w:line="520" w:lineRule="exact"/>
        <w:ind w:firstLine="480" w:firstLineChars="200"/>
        <w:rPr>
          <w:rFonts w:hint="eastAsia" w:ascii="仿宋" w:hAnsi="仿宋" w:eastAsia="仿宋" w:cs="仿宋"/>
          <w:color w:val="auto"/>
          <w:sz w:val="24"/>
          <w:highlight w:val="none"/>
        </w:rPr>
      </w:pPr>
      <w:bookmarkStart w:id="663" w:name="_Ref467379400"/>
      <w:r>
        <w:rPr>
          <w:rFonts w:hint="eastAsia" w:ascii="仿宋" w:hAnsi="仿宋" w:eastAsia="仿宋" w:cs="仿宋"/>
          <w:color w:val="auto"/>
          <w:sz w:val="24"/>
          <w:highlight w:val="none"/>
        </w:rPr>
        <w:t>2.1.5 “乙方”系指根据合同约定交付货物的中标供应商</w:t>
      </w:r>
      <w:bookmarkEnd w:id="663"/>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3F266E">
      <w:pPr>
        <w:spacing w:line="520" w:lineRule="exact"/>
        <w:ind w:firstLine="480" w:firstLineChars="200"/>
        <w:rPr>
          <w:rFonts w:hint="eastAsia" w:ascii="仿宋" w:hAnsi="仿宋" w:eastAsia="仿宋" w:cs="仿宋"/>
          <w:color w:val="auto"/>
          <w:sz w:val="24"/>
          <w:highlight w:val="none"/>
        </w:rPr>
      </w:pPr>
      <w:bookmarkStart w:id="664" w:name="_Ref467379436"/>
      <w:r>
        <w:rPr>
          <w:rFonts w:hint="eastAsia" w:ascii="仿宋" w:hAnsi="仿宋" w:eastAsia="仿宋" w:cs="仿宋"/>
          <w:color w:val="auto"/>
          <w:sz w:val="24"/>
          <w:highlight w:val="none"/>
        </w:rPr>
        <w:t>2.1.6 “现场”系指合同约定货物将要运至或者安装的地点。</w:t>
      </w:r>
      <w:bookmarkEnd w:id="664"/>
    </w:p>
    <w:p w14:paraId="53138290">
      <w:pPr>
        <w:spacing w:line="520" w:lineRule="exact"/>
        <w:ind w:firstLine="482" w:firstLineChars="200"/>
        <w:outlineLvl w:val="0"/>
        <w:rPr>
          <w:rFonts w:hint="eastAsia" w:ascii="仿宋" w:hAnsi="仿宋" w:eastAsia="仿宋" w:cs="仿宋"/>
          <w:b/>
          <w:color w:val="auto"/>
          <w:sz w:val="24"/>
          <w:highlight w:val="none"/>
        </w:rPr>
      </w:pPr>
      <w:bookmarkStart w:id="665" w:name="_Toc32504"/>
      <w:bookmarkStart w:id="666" w:name="_Toc487900350"/>
      <w:bookmarkStart w:id="667" w:name="_Toc14468"/>
      <w:bookmarkStart w:id="668" w:name="_Toc13161"/>
      <w:bookmarkStart w:id="669" w:name="_Toc259093670"/>
      <w:bookmarkStart w:id="670" w:name="_Toc28017"/>
      <w:bookmarkStart w:id="671" w:name="_Toc279701241"/>
      <w:bookmarkStart w:id="672" w:name="_Toc27635"/>
      <w:bookmarkStart w:id="673" w:name="_Toc13336"/>
      <w:r>
        <w:rPr>
          <w:rFonts w:hint="eastAsia" w:ascii="仿宋" w:hAnsi="仿宋" w:eastAsia="仿宋" w:cs="仿宋"/>
          <w:b/>
          <w:color w:val="auto"/>
          <w:sz w:val="24"/>
          <w:highlight w:val="none"/>
        </w:rPr>
        <w:t>2.2 技术规范</w:t>
      </w:r>
      <w:bookmarkEnd w:id="665"/>
      <w:bookmarkEnd w:id="666"/>
      <w:bookmarkEnd w:id="667"/>
      <w:bookmarkEnd w:id="668"/>
      <w:bookmarkEnd w:id="669"/>
      <w:bookmarkEnd w:id="670"/>
      <w:bookmarkEnd w:id="671"/>
      <w:bookmarkEnd w:id="672"/>
      <w:bookmarkEnd w:id="673"/>
    </w:p>
    <w:p w14:paraId="2266B53D">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51F4F34">
      <w:pPr>
        <w:spacing w:line="520" w:lineRule="exact"/>
        <w:ind w:firstLine="482" w:firstLineChars="200"/>
        <w:outlineLvl w:val="0"/>
        <w:rPr>
          <w:rFonts w:hint="eastAsia" w:ascii="仿宋" w:hAnsi="仿宋" w:eastAsia="仿宋" w:cs="仿宋"/>
          <w:b/>
          <w:color w:val="auto"/>
          <w:sz w:val="24"/>
          <w:highlight w:val="none"/>
        </w:rPr>
      </w:pPr>
      <w:bookmarkStart w:id="674" w:name="_Toc279701242"/>
      <w:bookmarkStart w:id="675" w:name="_Toc259093671"/>
      <w:bookmarkStart w:id="676" w:name="_Toc27853"/>
      <w:bookmarkStart w:id="677" w:name="_Toc487900351"/>
      <w:bookmarkStart w:id="678" w:name="_Toc31634"/>
      <w:bookmarkStart w:id="679" w:name="_Toc9829"/>
      <w:bookmarkStart w:id="680" w:name="_Toc32187"/>
      <w:bookmarkStart w:id="681" w:name="_Toc19094"/>
      <w:bookmarkStart w:id="682" w:name="_Toc3592"/>
      <w:r>
        <w:rPr>
          <w:rFonts w:hint="eastAsia" w:ascii="仿宋" w:hAnsi="仿宋" w:eastAsia="仿宋" w:cs="仿宋"/>
          <w:b/>
          <w:color w:val="auto"/>
          <w:sz w:val="24"/>
          <w:highlight w:val="none"/>
        </w:rPr>
        <w:t>2.3 知识产权</w:t>
      </w:r>
      <w:bookmarkEnd w:id="674"/>
      <w:bookmarkEnd w:id="675"/>
      <w:bookmarkEnd w:id="676"/>
      <w:bookmarkEnd w:id="677"/>
      <w:bookmarkEnd w:id="678"/>
      <w:bookmarkEnd w:id="679"/>
      <w:bookmarkEnd w:id="680"/>
      <w:bookmarkEnd w:id="681"/>
      <w:bookmarkEnd w:id="682"/>
    </w:p>
    <w:p w14:paraId="777E3C7D">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2C1354E">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2AB55E4">
      <w:pPr>
        <w:spacing w:line="520" w:lineRule="exact"/>
        <w:ind w:firstLine="482" w:firstLineChars="200"/>
        <w:outlineLvl w:val="0"/>
        <w:rPr>
          <w:rFonts w:hint="eastAsia" w:ascii="仿宋" w:hAnsi="仿宋" w:eastAsia="仿宋" w:cs="仿宋"/>
          <w:b/>
          <w:color w:val="auto"/>
          <w:sz w:val="24"/>
          <w:highlight w:val="none"/>
        </w:rPr>
      </w:pPr>
      <w:bookmarkStart w:id="683" w:name="_Toc4194"/>
      <w:bookmarkStart w:id="684" w:name="_Toc29149"/>
      <w:bookmarkStart w:id="685" w:name="_Toc10357"/>
      <w:bookmarkStart w:id="686" w:name="_Toc11932"/>
      <w:bookmarkStart w:id="687" w:name="_Toc29630"/>
      <w:bookmarkStart w:id="688" w:name="_Toc15924"/>
      <w:r>
        <w:rPr>
          <w:rFonts w:hint="eastAsia" w:ascii="仿宋" w:hAnsi="仿宋" w:eastAsia="仿宋" w:cs="仿宋"/>
          <w:b/>
          <w:color w:val="auto"/>
          <w:sz w:val="24"/>
          <w:highlight w:val="none"/>
        </w:rPr>
        <w:t>2.4 包装和装运</w:t>
      </w:r>
      <w:bookmarkEnd w:id="683"/>
      <w:bookmarkEnd w:id="684"/>
      <w:bookmarkEnd w:id="685"/>
      <w:bookmarkEnd w:id="686"/>
      <w:bookmarkEnd w:id="687"/>
      <w:bookmarkEnd w:id="688"/>
    </w:p>
    <w:p w14:paraId="18305D9D">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50158A2">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D6DEAEB">
      <w:pPr>
        <w:spacing w:line="520" w:lineRule="exact"/>
        <w:ind w:firstLine="482" w:firstLineChars="200"/>
        <w:outlineLvl w:val="0"/>
        <w:rPr>
          <w:rFonts w:hint="eastAsia" w:ascii="仿宋" w:hAnsi="仿宋" w:eastAsia="仿宋" w:cs="仿宋"/>
          <w:b/>
          <w:color w:val="auto"/>
          <w:sz w:val="24"/>
          <w:highlight w:val="none"/>
        </w:rPr>
      </w:pPr>
      <w:bookmarkStart w:id="689" w:name="_Toc487900354"/>
      <w:bookmarkStart w:id="690" w:name="_Ref467379542"/>
      <w:bookmarkStart w:id="691" w:name="_Ref467379527"/>
      <w:bookmarkStart w:id="692" w:name="_Ref467378591"/>
      <w:bookmarkStart w:id="693" w:name="_Toc279701245"/>
      <w:bookmarkStart w:id="694" w:name="_Toc259093674"/>
      <w:bookmarkStart w:id="695" w:name="_Ref467378541"/>
      <w:bookmarkStart w:id="696" w:name="_Ref467379536"/>
      <w:bookmarkStart w:id="697" w:name="_Toc30272"/>
      <w:bookmarkStart w:id="698" w:name="_Toc7110"/>
      <w:bookmarkStart w:id="699" w:name="_Toc19074"/>
      <w:bookmarkStart w:id="700" w:name="_Toc26182"/>
      <w:bookmarkStart w:id="701" w:name="_Toc21312"/>
      <w:bookmarkStart w:id="702" w:name="_Toc18177"/>
      <w:r>
        <w:rPr>
          <w:rFonts w:hint="eastAsia" w:ascii="仿宋" w:hAnsi="仿宋" w:eastAsia="仿宋" w:cs="仿宋"/>
          <w:b/>
          <w:color w:val="auto"/>
          <w:sz w:val="24"/>
          <w:highlight w:val="none"/>
        </w:rPr>
        <w:t>2.</w:t>
      </w:r>
      <w:bookmarkEnd w:id="689"/>
      <w:bookmarkEnd w:id="690"/>
      <w:bookmarkEnd w:id="691"/>
      <w:bookmarkEnd w:id="692"/>
      <w:bookmarkEnd w:id="693"/>
      <w:bookmarkEnd w:id="694"/>
      <w:bookmarkEnd w:id="695"/>
      <w:bookmarkEnd w:id="696"/>
      <w:r>
        <w:rPr>
          <w:rFonts w:hint="eastAsia" w:ascii="仿宋" w:hAnsi="仿宋" w:eastAsia="仿宋" w:cs="仿宋"/>
          <w:b/>
          <w:color w:val="auto"/>
          <w:sz w:val="24"/>
          <w:highlight w:val="none"/>
        </w:rPr>
        <w:t>5 履约检查和问题反馈</w:t>
      </w:r>
      <w:bookmarkEnd w:id="697"/>
      <w:bookmarkEnd w:id="698"/>
      <w:bookmarkEnd w:id="699"/>
      <w:bookmarkEnd w:id="700"/>
      <w:bookmarkEnd w:id="701"/>
      <w:bookmarkEnd w:id="702"/>
    </w:p>
    <w:p w14:paraId="61E16D5F">
      <w:pPr>
        <w:spacing w:line="520" w:lineRule="exact"/>
        <w:ind w:firstLine="480" w:firstLineChars="200"/>
        <w:rPr>
          <w:rFonts w:hint="eastAsia" w:ascii="仿宋" w:hAnsi="仿宋" w:eastAsia="仿宋" w:cs="仿宋"/>
          <w:color w:val="auto"/>
          <w:sz w:val="24"/>
          <w:highlight w:val="none"/>
        </w:rPr>
      </w:pPr>
      <w:bookmarkStart w:id="703" w:name="_Ref467379657"/>
      <w:r>
        <w:rPr>
          <w:rFonts w:hint="eastAsia" w:ascii="仿宋" w:hAnsi="仿宋" w:eastAsia="仿宋" w:cs="仿宋"/>
          <w:color w:val="auto"/>
          <w:sz w:val="24"/>
          <w:highlight w:val="none"/>
        </w:rPr>
        <w:t>2.5.1</w:t>
      </w:r>
      <w:bookmarkEnd w:id="703"/>
      <w:bookmarkStart w:id="704" w:name="_Toc186431854"/>
      <w:bookmarkStart w:id="705" w:name="_Toc487900357"/>
      <w:bookmarkStart w:id="706" w:name="_Ref467379793"/>
      <w:bookmarkStart w:id="707" w:name="_Toc259093676"/>
      <w:bookmarkStart w:id="708" w:name="_Toc279701247"/>
      <w:bookmarkStart w:id="709" w:name="_Ref46737980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1B77BBD">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704"/>
      <w:bookmarkStart w:id="710" w:name="_Toc186431855"/>
      <w:r>
        <w:rPr>
          <w:rFonts w:hint="eastAsia" w:ascii="仿宋" w:hAnsi="仿宋" w:eastAsia="仿宋" w:cs="仿宋"/>
          <w:color w:val="auto"/>
          <w:sz w:val="24"/>
          <w:highlight w:val="none"/>
        </w:rPr>
        <w:t>。</w:t>
      </w:r>
    </w:p>
    <w:bookmarkEnd w:id="710"/>
    <w:p w14:paraId="24147A25">
      <w:pPr>
        <w:spacing w:line="520" w:lineRule="exact"/>
        <w:ind w:firstLine="482" w:firstLineChars="200"/>
        <w:outlineLvl w:val="0"/>
        <w:rPr>
          <w:rFonts w:hint="eastAsia" w:ascii="仿宋" w:hAnsi="仿宋" w:eastAsia="仿宋" w:cs="仿宋"/>
          <w:b/>
          <w:color w:val="auto"/>
          <w:sz w:val="24"/>
          <w:highlight w:val="none"/>
        </w:rPr>
      </w:pPr>
      <w:bookmarkStart w:id="711" w:name="_Toc28451"/>
      <w:bookmarkStart w:id="712" w:name="_Toc14804"/>
      <w:bookmarkStart w:id="713" w:name="_Toc7836"/>
      <w:bookmarkStart w:id="714" w:name="_Toc19219"/>
      <w:bookmarkStart w:id="715" w:name="_Toc24569"/>
      <w:bookmarkStart w:id="716" w:name="_Toc28550"/>
      <w:r>
        <w:rPr>
          <w:rFonts w:hint="eastAsia" w:ascii="仿宋" w:hAnsi="仿宋" w:eastAsia="仿宋" w:cs="仿宋"/>
          <w:b/>
          <w:color w:val="auto"/>
          <w:sz w:val="24"/>
          <w:highlight w:val="none"/>
        </w:rPr>
        <w:t>2.6 结算方式和付款条件</w:t>
      </w:r>
      <w:bookmarkEnd w:id="705"/>
      <w:bookmarkEnd w:id="706"/>
      <w:bookmarkEnd w:id="707"/>
      <w:bookmarkEnd w:id="708"/>
      <w:bookmarkEnd w:id="709"/>
      <w:bookmarkEnd w:id="711"/>
      <w:bookmarkEnd w:id="712"/>
      <w:bookmarkEnd w:id="713"/>
      <w:bookmarkEnd w:id="714"/>
      <w:bookmarkEnd w:id="715"/>
      <w:bookmarkEnd w:id="716"/>
    </w:p>
    <w:p w14:paraId="7DFDA8C2">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78A468">
      <w:pPr>
        <w:spacing w:line="520" w:lineRule="exact"/>
        <w:ind w:firstLine="482" w:firstLineChars="200"/>
        <w:outlineLvl w:val="0"/>
        <w:rPr>
          <w:rFonts w:hint="eastAsia" w:ascii="仿宋" w:hAnsi="仿宋" w:eastAsia="仿宋" w:cs="仿宋"/>
          <w:b/>
          <w:color w:val="auto"/>
          <w:sz w:val="24"/>
          <w:highlight w:val="none"/>
        </w:rPr>
      </w:pPr>
      <w:bookmarkStart w:id="717" w:name="_Ref467379852"/>
      <w:bookmarkStart w:id="718" w:name="_Toc279701248"/>
      <w:bookmarkStart w:id="719" w:name="_Ref467379863"/>
      <w:bookmarkStart w:id="720" w:name="_Toc259093677"/>
      <w:bookmarkStart w:id="721" w:name="_Toc487900358"/>
      <w:bookmarkStart w:id="722" w:name="_Ref467379923"/>
      <w:bookmarkStart w:id="723" w:name="_Toc18713"/>
      <w:bookmarkStart w:id="724" w:name="_Toc774"/>
      <w:bookmarkStart w:id="725" w:name="_Toc2170"/>
      <w:bookmarkStart w:id="726" w:name="_Toc16110"/>
      <w:bookmarkStart w:id="727" w:name="_Toc4521"/>
      <w:bookmarkStart w:id="728" w:name="_Toc3225"/>
      <w:r>
        <w:rPr>
          <w:rFonts w:hint="eastAsia" w:ascii="仿宋" w:hAnsi="仿宋" w:eastAsia="仿宋" w:cs="仿宋"/>
          <w:b/>
          <w:color w:val="auto"/>
          <w:sz w:val="24"/>
          <w:highlight w:val="none"/>
        </w:rPr>
        <w:t>2.7 技术资料</w:t>
      </w:r>
      <w:bookmarkEnd w:id="717"/>
      <w:bookmarkEnd w:id="718"/>
      <w:bookmarkEnd w:id="719"/>
      <w:bookmarkEnd w:id="720"/>
      <w:bookmarkEnd w:id="721"/>
      <w:bookmarkEnd w:id="722"/>
      <w:r>
        <w:rPr>
          <w:rFonts w:hint="eastAsia" w:ascii="仿宋" w:hAnsi="仿宋" w:eastAsia="仿宋" w:cs="仿宋"/>
          <w:b/>
          <w:color w:val="auto"/>
          <w:sz w:val="24"/>
          <w:highlight w:val="none"/>
        </w:rPr>
        <w:t>和保密义务</w:t>
      </w:r>
      <w:bookmarkEnd w:id="723"/>
      <w:bookmarkEnd w:id="724"/>
      <w:bookmarkEnd w:id="725"/>
      <w:bookmarkEnd w:id="726"/>
      <w:bookmarkEnd w:id="727"/>
      <w:bookmarkEnd w:id="728"/>
    </w:p>
    <w:p w14:paraId="274BD05B">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乙方有权依据合同约定和项目需要，向甲方了解有关情况，调阅有关资料等，甲方应予积极配合；</w:t>
      </w:r>
    </w:p>
    <w:p w14:paraId="66C99A65">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乙方有义务妥善保管和保护由甲方提供的前款信息和资料等；</w:t>
      </w:r>
    </w:p>
    <w:p w14:paraId="1A409B91">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EBF32B1">
      <w:pPr>
        <w:spacing w:line="520" w:lineRule="exact"/>
        <w:ind w:firstLine="482" w:firstLineChars="200"/>
        <w:outlineLvl w:val="0"/>
        <w:rPr>
          <w:rFonts w:hint="eastAsia" w:ascii="仿宋" w:hAnsi="仿宋" w:eastAsia="仿宋" w:cs="仿宋"/>
          <w:b/>
          <w:color w:val="auto"/>
          <w:sz w:val="24"/>
          <w:highlight w:val="none"/>
        </w:rPr>
      </w:pPr>
      <w:bookmarkStart w:id="729" w:name="_Toc7860"/>
      <w:bookmarkStart w:id="730" w:name="_Toc22987"/>
      <w:bookmarkStart w:id="731" w:name="_Toc18244"/>
      <w:bookmarkStart w:id="732" w:name="_Toc26156"/>
      <w:r>
        <w:rPr>
          <w:rFonts w:hint="eastAsia" w:ascii="仿宋" w:hAnsi="仿宋" w:eastAsia="仿宋" w:cs="仿宋"/>
          <w:b/>
          <w:color w:val="auto"/>
          <w:sz w:val="24"/>
          <w:highlight w:val="none"/>
        </w:rPr>
        <w:t>2.8 质量保证</w:t>
      </w:r>
      <w:bookmarkEnd w:id="729"/>
      <w:bookmarkEnd w:id="730"/>
      <w:bookmarkEnd w:id="731"/>
      <w:bookmarkEnd w:id="732"/>
    </w:p>
    <w:p w14:paraId="2D399FDE">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 乙方应建立和完善履行合同的内部质量保证体系，并提供相关内部规章制度给甲方，以便甲方进行监督检查；</w:t>
      </w:r>
    </w:p>
    <w:p w14:paraId="29B256C6">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2.8.2 乙方应保证履行合同的人员数量和素质、软件和硬件设备的配置、场地、环境和设施等满足全面履行合同的要求，并应接受甲方的监督检查。</w:t>
      </w:r>
    </w:p>
    <w:p w14:paraId="6F039D1D">
      <w:pPr>
        <w:spacing w:line="520" w:lineRule="exact"/>
        <w:ind w:firstLine="482" w:firstLineChars="200"/>
        <w:outlineLvl w:val="0"/>
        <w:rPr>
          <w:rFonts w:hint="eastAsia" w:ascii="仿宋" w:hAnsi="仿宋" w:eastAsia="仿宋" w:cs="仿宋"/>
          <w:b/>
          <w:color w:val="auto"/>
          <w:sz w:val="24"/>
          <w:highlight w:val="none"/>
        </w:rPr>
      </w:pPr>
      <w:bookmarkStart w:id="733" w:name="_Toc17244"/>
      <w:bookmarkStart w:id="734" w:name="_Toc20497"/>
      <w:bookmarkStart w:id="735" w:name="_Toc6288"/>
      <w:bookmarkStart w:id="736" w:name="_Toc22082"/>
      <w:bookmarkStart w:id="737" w:name="_Toc487900362"/>
      <w:bookmarkStart w:id="738" w:name="_Toc279701252"/>
      <w:bookmarkStart w:id="739" w:name="_Toc259093681"/>
      <w:r>
        <w:rPr>
          <w:rFonts w:hint="eastAsia" w:ascii="仿宋" w:hAnsi="仿宋" w:eastAsia="仿宋" w:cs="仿宋"/>
          <w:b/>
          <w:color w:val="auto"/>
          <w:sz w:val="24"/>
          <w:highlight w:val="none"/>
        </w:rPr>
        <w:t>2.9 货物的风险负担</w:t>
      </w:r>
      <w:bookmarkEnd w:id="733"/>
      <w:bookmarkEnd w:id="734"/>
      <w:bookmarkEnd w:id="735"/>
      <w:bookmarkEnd w:id="736"/>
    </w:p>
    <w:p w14:paraId="3253F722">
      <w:pPr>
        <w:spacing w:line="52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8E25A3">
      <w:pPr>
        <w:spacing w:line="520" w:lineRule="exact"/>
        <w:ind w:firstLine="482" w:firstLineChars="200"/>
        <w:outlineLvl w:val="0"/>
        <w:rPr>
          <w:rFonts w:hint="eastAsia" w:ascii="仿宋" w:hAnsi="仿宋" w:eastAsia="仿宋" w:cs="仿宋"/>
          <w:b/>
          <w:color w:val="auto"/>
          <w:sz w:val="24"/>
          <w:highlight w:val="none"/>
        </w:rPr>
      </w:pPr>
      <w:bookmarkStart w:id="740" w:name="_Toc14055"/>
      <w:bookmarkStart w:id="741" w:name="_Toc205"/>
      <w:bookmarkStart w:id="742" w:name="_Toc26054"/>
      <w:bookmarkStart w:id="743" w:name="_Toc23535"/>
      <w:r>
        <w:rPr>
          <w:rFonts w:hint="eastAsia" w:ascii="仿宋" w:hAnsi="仿宋" w:eastAsia="仿宋" w:cs="仿宋"/>
          <w:b/>
          <w:color w:val="auto"/>
          <w:sz w:val="24"/>
          <w:highlight w:val="none"/>
        </w:rPr>
        <w:t>2.10 延迟交货</w:t>
      </w:r>
      <w:bookmarkEnd w:id="737"/>
      <w:bookmarkEnd w:id="738"/>
      <w:bookmarkEnd w:id="739"/>
      <w:bookmarkEnd w:id="740"/>
      <w:bookmarkEnd w:id="741"/>
      <w:bookmarkEnd w:id="742"/>
      <w:bookmarkEnd w:id="743"/>
    </w:p>
    <w:p w14:paraId="4EE085FE">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70A83F6">
      <w:pPr>
        <w:spacing w:line="520" w:lineRule="exact"/>
        <w:ind w:firstLine="482" w:firstLineChars="200"/>
        <w:outlineLvl w:val="0"/>
        <w:rPr>
          <w:rFonts w:hint="eastAsia" w:ascii="仿宋" w:hAnsi="仿宋" w:eastAsia="仿宋" w:cs="仿宋"/>
          <w:b/>
          <w:color w:val="auto"/>
          <w:sz w:val="24"/>
          <w:highlight w:val="none"/>
        </w:rPr>
      </w:pPr>
      <w:bookmarkStart w:id="744" w:name="_Toc3531"/>
      <w:bookmarkStart w:id="745" w:name="_Toc7502"/>
      <w:bookmarkStart w:id="746" w:name="_Toc13422"/>
      <w:bookmarkStart w:id="747" w:name="_Toc29943"/>
      <w:bookmarkStart w:id="748" w:name="_Ref467378121"/>
      <w:bookmarkStart w:id="749" w:name="_Toc279701254"/>
      <w:bookmarkStart w:id="750" w:name="_Toc259093683"/>
      <w:bookmarkStart w:id="751" w:name="_Toc487900364"/>
      <w:r>
        <w:rPr>
          <w:rFonts w:hint="eastAsia" w:ascii="仿宋" w:hAnsi="仿宋" w:eastAsia="仿宋" w:cs="仿宋"/>
          <w:b/>
          <w:color w:val="auto"/>
          <w:sz w:val="24"/>
          <w:highlight w:val="none"/>
        </w:rPr>
        <w:t>2.11 合同变更</w:t>
      </w:r>
      <w:bookmarkEnd w:id="744"/>
      <w:bookmarkEnd w:id="745"/>
      <w:bookmarkEnd w:id="746"/>
      <w:bookmarkEnd w:id="747"/>
    </w:p>
    <w:p w14:paraId="5606D880">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70EAF4D0">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752" w:name="_Toc259093688"/>
      <w:bookmarkStart w:id="753" w:name="_Toc487900369"/>
      <w:bookmarkStart w:id="754" w:name="_Toc279701259"/>
    </w:p>
    <w:p w14:paraId="1D9CE08D">
      <w:pPr>
        <w:spacing w:line="520" w:lineRule="exact"/>
        <w:ind w:firstLine="482" w:firstLineChars="200"/>
        <w:outlineLvl w:val="0"/>
        <w:rPr>
          <w:rFonts w:hint="eastAsia" w:ascii="仿宋" w:hAnsi="仿宋" w:eastAsia="仿宋" w:cs="仿宋"/>
          <w:b/>
          <w:color w:val="auto"/>
          <w:sz w:val="24"/>
          <w:highlight w:val="none"/>
        </w:rPr>
      </w:pPr>
      <w:bookmarkStart w:id="755" w:name="_Toc15267"/>
      <w:bookmarkStart w:id="756" w:name="_Toc15237"/>
      <w:bookmarkStart w:id="757" w:name="_Toc15177"/>
      <w:bookmarkStart w:id="758" w:name="_Toc9644"/>
      <w:bookmarkStart w:id="759" w:name="_Toc22955"/>
      <w:bookmarkStart w:id="760" w:name="_Toc10366"/>
      <w:r>
        <w:rPr>
          <w:rFonts w:hint="eastAsia" w:ascii="仿宋" w:hAnsi="仿宋" w:eastAsia="仿宋" w:cs="仿宋"/>
          <w:b/>
          <w:color w:val="auto"/>
          <w:sz w:val="24"/>
          <w:highlight w:val="none"/>
        </w:rPr>
        <w:t>2.12 合同转让</w:t>
      </w:r>
      <w:bookmarkEnd w:id="752"/>
      <w:bookmarkEnd w:id="753"/>
      <w:bookmarkEnd w:id="754"/>
      <w:r>
        <w:rPr>
          <w:rFonts w:hint="eastAsia" w:ascii="仿宋" w:hAnsi="仿宋" w:eastAsia="仿宋" w:cs="仿宋"/>
          <w:b/>
          <w:color w:val="auto"/>
          <w:sz w:val="24"/>
          <w:highlight w:val="none"/>
        </w:rPr>
        <w:t>和分包</w:t>
      </w:r>
      <w:bookmarkEnd w:id="755"/>
      <w:bookmarkEnd w:id="756"/>
      <w:bookmarkEnd w:id="757"/>
      <w:bookmarkEnd w:id="758"/>
      <w:bookmarkEnd w:id="759"/>
      <w:bookmarkEnd w:id="760"/>
    </w:p>
    <w:p w14:paraId="5C8D226C">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A2915D">
      <w:pPr>
        <w:spacing w:line="520" w:lineRule="exact"/>
        <w:ind w:firstLine="482" w:firstLineChars="200"/>
        <w:outlineLvl w:val="0"/>
        <w:rPr>
          <w:rFonts w:hint="eastAsia" w:ascii="仿宋" w:hAnsi="仿宋" w:eastAsia="仿宋" w:cs="仿宋"/>
          <w:b/>
          <w:color w:val="auto"/>
          <w:sz w:val="24"/>
          <w:highlight w:val="none"/>
        </w:rPr>
      </w:pPr>
      <w:bookmarkStart w:id="761" w:name="_Toc19218"/>
      <w:bookmarkStart w:id="762" w:name="_Toc14066"/>
      <w:bookmarkStart w:id="763" w:name="_Toc13566"/>
      <w:bookmarkStart w:id="764" w:name="_Toc16508"/>
      <w:bookmarkStart w:id="765" w:name="_Toc912"/>
      <w:bookmarkStart w:id="766" w:name="_Toc19761"/>
      <w:r>
        <w:rPr>
          <w:rFonts w:hint="eastAsia" w:ascii="仿宋" w:hAnsi="仿宋" w:eastAsia="仿宋" w:cs="仿宋"/>
          <w:b/>
          <w:color w:val="auto"/>
          <w:sz w:val="24"/>
          <w:highlight w:val="none"/>
        </w:rPr>
        <w:t>2.13 不可抗力</w:t>
      </w:r>
      <w:bookmarkEnd w:id="761"/>
      <w:bookmarkEnd w:id="762"/>
      <w:bookmarkEnd w:id="763"/>
      <w:bookmarkEnd w:id="764"/>
      <w:bookmarkEnd w:id="765"/>
      <w:bookmarkEnd w:id="766"/>
    </w:p>
    <w:p w14:paraId="6645A073">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2.13.1如果任何一方遭遇法律规定的不可抗力，致使合同履行受阻时，履行合同的期限应予延长，延长的期限应相当于不可抗力所影响的时间；</w:t>
      </w:r>
    </w:p>
    <w:p w14:paraId="5E4367D3">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2.13.2 因不可抗力致使不能实现合同目的的，当事人可以解除合同；</w:t>
      </w:r>
    </w:p>
    <w:p w14:paraId="28134ADB">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13624F0">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6A073399">
      <w:pPr>
        <w:spacing w:line="520" w:lineRule="exact"/>
        <w:ind w:firstLine="482" w:firstLineChars="200"/>
        <w:outlineLvl w:val="0"/>
        <w:rPr>
          <w:rFonts w:hint="eastAsia" w:ascii="仿宋" w:hAnsi="仿宋" w:eastAsia="仿宋" w:cs="仿宋"/>
          <w:b/>
          <w:color w:val="auto"/>
          <w:sz w:val="24"/>
          <w:highlight w:val="none"/>
        </w:rPr>
      </w:pPr>
      <w:bookmarkStart w:id="767" w:name="_Toc689"/>
      <w:bookmarkStart w:id="768" w:name="_Toc487900365"/>
      <w:bookmarkStart w:id="769" w:name="_Toc26435"/>
      <w:bookmarkStart w:id="770" w:name="_Toc30676"/>
      <w:bookmarkStart w:id="771" w:name="_Toc259093684"/>
      <w:bookmarkStart w:id="772" w:name="_Toc279701255"/>
      <w:bookmarkStart w:id="773" w:name="_Toc29565"/>
      <w:bookmarkStart w:id="774" w:name="_Toc1943"/>
      <w:bookmarkStart w:id="775" w:name="_Toc6969"/>
      <w:r>
        <w:rPr>
          <w:rFonts w:hint="eastAsia" w:ascii="仿宋" w:hAnsi="仿宋" w:eastAsia="仿宋" w:cs="仿宋"/>
          <w:b/>
          <w:color w:val="auto"/>
          <w:sz w:val="24"/>
          <w:highlight w:val="none"/>
        </w:rPr>
        <w:t>2.14 税费</w:t>
      </w:r>
      <w:bookmarkEnd w:id="767"/>
      <w:bookmarkEnd w:id="768"/>
      <w:bookmarkEnd w:id="769"/>
      <w:bookmarkEnd w:id="770"/>
      <w:bookmarkEnd w:id="771"/>
      <w:bookmarkEnd w:id="772"/>
      <w:bookmarkEnd w:id="773"/>
      <w:bookmarkEnd w:id="774"/>
      <w:bookmarkEnd w:id="775"/>
    </w:p>
    <w:p w14:paraId="21DAB5D9">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76A3CA25">
      <w:pPr>
        <w:spacing w:line="520" w:lineRule="exact"/>
        <w:ind w:firstLine="482" w:firstLineChars="200"/>
        <w:outlineLvl w:val="0"/>
        <w:rPr>
          <w:rFonts w:hint="eastAsia" w:ascii="仿宋" w:hAnsi="仿宋" w:eastAsia="仿宋" w:cs="仿宋"/>
          <w:b/>
          <w:color w:val="auto"/>
          <w:sz w:val="24"/>
          <w:highlight w:val="none"/>
        </w:rPr>
      </w:pPr>
      <w:bookmarkStart w:id="776" w:name="_Toc8221"/>
      <w:bookmarkStart w:id="777" w:name="_Toc16959"/>
      <w:bookmarkStart w:id="778" w:name="_Toc259093687"/>
      <w:bookmarkStart w:id="779" w:name="_Toc487900368"/>
      <w:bookmarkStart w:id="780" w:name="_Toc7102"/>
      <w:bookmarkStart w:id="781" w:name="_Toc8298"/>
      <w:bookmarkStart w:id="782" w:name="_Toc14221"/>
      <w:bookmarkStart w:id="783" w:name="_Toc13012"/>
      <w:bookmarkStart w:id="784" w:name="_Toc279701258"/>
      <w:r>
        <w:rPr>
          <w:rFonts w:hint="eastAsia" w:ascii="仿宋" w:hAnsi="仿宋" w:eastAsia="仿宋" w:cs="仿宋"/>
          <w:b/>
          <w:color w:val="auto"/>
          <w:sz w:val="24"/>
          <w:highlight w:val="none"/>
        </w:rPr>
        <w:t>2.15 乙方破产</w:t>
      </w:r>
      <w:bookmarkEnd w:id="776"/>
      <w:bookmarkEnd w:id="777"/>
      <w:bookmarkEnd w:id="778"/>
      <w:bookmarkEnd w:id="779"/>
      <w:bookmarkEnd w:id="780"/>
      <w:bookmarkEnd w:id="781"/>
      <w:bookmarkEnd w:id="782"/>
      <w:bookmarkEnd w:id="783"/>
      <w:bookmarkEnd w:id="784"/>
    </w:p>
    <w:p w14:paraId="690838CF">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0255E6D">
      <w:pPr>
        <w:spacing w:line="520" w:lineRule="exact"/>
        <w:ind w:firstLine="482" w:firstLineChars="200"/>
        <w:outlineLvl w:val="0"/>
        <w:rPr>
          <w:rFonts w:hint="eastAsia" w:ascii="仿宋" w:hAnsi="仿宋" w:eastAsia="仿宋" w:cs="仿宋"/>
          <w:b/>
          <w:color w:val="auto"/>
          <w:sz w:val="24"/>
          <w:highlight w:val="none"/>
        </w:rPr>
      </w:pPr>
      <w:bookmarkStart w:id="785" w:name="_Toc29333"/>
      <w:bookmarkStart w:id="786" w:name="_Toc15632"/>
      <w:bookmarkStart w:id="787" w:name="_Toc15387"/>
      <w:bookmarkStart w:id="788" w:name="_Toc6134"/>
      <w:bookmarkStart w:id="789" w:name="_Toc17728"/>
      <w:bookmarkStart w:id="790" w:name="_Toc956"/>
      <w:r>
        <w:rPr>
          <w:rFonts w:hint="eastAsia" w:ascii="仿宋" w:hAnsi="仿宋" w:eastAsia="仿宋" w:cs="仿宋"/>
          <w:b/>
          <w:color w:val="auto"/>
          <w:sz w:val="24"/>
          <w:highlight w:val="none"/>
        </w:rPr>
        <w:t>2.16 合同中止、终止</w:t>
      </w:r>
      <w:bookmarkEnd w:id="785"/>
      <w:bookmarkEnd w:id="786"/>
      <w:bookmarkEnd w:id="787"/>
      <w:bookmarkEnd w:id="788"/>
      <w:bookmarkEnd w:id="789"/>
      <w:bookmarkEnd w:id="790"/>
    </w:p>
    <w:p w14:paraId="198E2C8E">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 双方当事人不得擅自中止或者终止合同；</w:t>
      </w:r>
    </w:p>
    <w:p w14:paraId="0440F6B1">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2B96C62E">
      <w:pPr>
        <w:spacing w:line="520" w:lineRule="exact"/>
        <w:ind w:firstLine="482" w:firstLineChars="200"/>
        <w:outlineLvl w:val="0"/>
        <w:rPr>
          <w:rFonts w:hint="eastAsia" w:ascii="仿宋" w:hAnsi="仿宋" w:eastAsia="仿宋" w:cs="仿宋"/>
          <w:b/>
          <w:color w:val="auto"/>
          <w:sz w:val="24"/>
          <w:highlight w:val="none"/>
        </w:rPr>
      </w:pPr>
      <w:bookmarkStart w:id="791" w:name="_Toc1125"/>
      <w:bookmarkStart w:id="792" w:name="_Toc6596"/>
      <w:bookmarkStart w:id="793" w:name="_Toc14563"/>
      <w:bookmarkStart w:id="794" w:name="_Toc31278"/>
      <w:bookmarkStart w:id="795" w:name="_Toc14753"/>
      <w:bookmarkStart w:id="796" w:name="_Toc3667"/>
      <w:r>
        <w:rPr>
          <w:rFonts w:hint="eastAsia" w:ascii="仿宋" w:hAnsi="仿宋" w:eastAsia="仿宋" w:cs="仿宋"/>
          <w:b/>
          <w:color w:val="auto"/>
          <w:sz w:val="24"/>
          <w:highlight w:val="none"/>
        </w:rPr>
        <w:t>2.17 检验和验收</w:t>
      </w:r>
      <w:bookmarkEnd w:id="791"/>
      <w:bookmarkEnd w:id="792"/>
      <w:bookmarkEnd w:id="793"/>
      <w:bookmarkEnd w:id="794"/>
      <w:bookmarkEnd w:id="795"/>
      <w:bookmarkEnd w:id="796"/>
    </w:p>
    <w:p w14:paraId="1FDD4F23">
      <w:pPr>
        <w:tabs>
          <w:tab w:val="left" w:pos="360"/>
          <w:tab w:val="left" w:pos="540"/>
          <w:tab w:val="left" w:pos="108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224258F5">
      <w:pPr>
        <w:tabs>
          <w:tab w:val="left" w:pos="360"/>
          <w:tab w:val="left" w:pos="540"/>
          <w:tab w:val="left" w:pos="108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60791E6">
      <w:pPr>
        <w:tabs>
          <w:tab w:val="left" w:pos="360"/>
          <w:tab w:val="left" w:pos="540"/>
          <w:tab w:val="left" w:pos="1080"/>
        </w:tabs>
        <w:spacing w:line="520" w:lineRule="exact"/>
        <w:ind w:firstLine="480" w:firstLineChars="200"/>
        <w:rPr>
          <w:rFonts w:hint="eastAsia" w:ascii="仿宋" w:hAnsi="仿宋" w:eastAsia="仿宋" w:cs="仿宋"/>
          <w:color w:val="auto"/>
          <w:spacing w:val="-20"/>
          <w:sz w:val="24"/>
          <w:highlight w:val="none"/>
        </w:rPr>
      </w:pPr>
      <w:r>
        <w:rPr>
          <w:rFonts w:hint="eastAsia" w:ascii="仿宋" w:hAnsi="仿宋" w:eastAsia="仿宋" w:cs="仿宋"/>
          <w:color w:val="auto"/>
          <w:sz w:val="24"/>
          <w:highlight w:val="none"/>
        </w:rPr>
        <w:t>2.17.3 检验和验收标准、程序等具体内容以及前述验收书的效力详见</w:t>
      </w:r>
      <w:r>
        <w:rPr>
          <w:rFonts w:hint="eastAsia" w:ascii="仿宋" w:hAnsi="仿宋" w:eastAsia="仿宋" w:cs="仿宋"/>
          <w:b/>
          <w:i/>
          <w:color w:val="auto"/>
          <w:spacing w:val="-20"/>
          <w:sz w:val="24"/>
          <w:highlight w:val="none"/>
          <w:u w:val="single"/>
        </w:rPr>
        <w:t>合同专用条款</w:t>
      </w:r>
      <w:r>
        <w:rPr>
          <w:rFonts w:hint="eastAsia" w:ascii="仿宋" w:hAnsi="仿宋" w:eastAsia="仿宋" w:cs="仿宋"/>
          <w:i/>
          <w:color w:val="auto"/>
          <w:spacing w:val="-20"/>
          <w:sz w:val="24"/>
          <w:highlight w:val="none"/>
        </w:rPr>
        <w:t>。</w:t>
      </w:r>
    </w:p>
    <w:bookmarkEnd w:id="748"/>
    <w:bookmarkEnd w:id="749"/>
    <w:bookmarkEnd w:id="750"/>
    <w:bookmarkEnd w:id="751"/>
    <w:p w14:paraId="4FF62519">
      <w:pPr>
        <w:spacing w:line="520" w:lineRule="exact"/>
        <w:ind w:firstLine="482" w:firstLineChars="200"/>
        <w:outlineLvl w:val="0"/>
        <w:rPr>
          <w:rFonts w:hint="eastAsia" w:ascii="仿宋" w:hAnsi="仿宋" w:eastAsia="仿宋" w:cs="仿宋"/>
          <w:b/>
          <w:color w:val="auto"/>
          <w:sz w:val="24"/>
          <w:highlight w:val="none"/>
        </w:rPr>
      </w:pPr>
      <w:bookmarkStart w:id="797" w:name="_Toc279701261"/>
      <w:bookmarkStart w:id="798" w:name="_Toc259093690"/>
      <w:bookmarkStart w:id="799" w:name="_Toc487900371"/>
      <w:bookmarkStart w:id="800" w:name="_Toc3039"/>
      <w:bookmarkStart w:id="801" w:name="_Toc25182"/>
      <w:bookmarkStart w:id="802" w:name="_Toc22921"/>
      <w:bookmarkStart w:id="803" w:name="_Toc11284"/>
      <w:bookmarkStart w:id="804" w:name="_Toc15297"/>
      <w:bookmarkStart w:id="805" w:name="_Toc19604"/>
      <w:r>
        <w:rPr>
          <w:rFonts w:hint="eastAsia" w:ascii="仿宋" w:hAnsi="仿宋" w:eastAsia="仿宋" w:cs="仿宋"/>
          <w:b/>
          <w:color w:val="auto"/>
          <w:sz w:val="24"/>
          <w:highlight w:val="none"/>
        </w:rPr>
        <w:t>2.18 通知</w:t>
      </w:r>
      <w:bookmarkEnd w:id="797"/>
      <w:bookmarkEnd w:id="798"/>
      <w:bookmarkEnd w:id="799"/>
      <w:r>
        <w:rPr>
          <w:rFonts w:hint="eastAsia" w:ascii="仿宋" w:hAnsi="仿宋" w:eastAsia="仿宋" w:cs="仿宋"/>
          <w:b/>
          <w:color w:val="auto"/>
          <w:sz w:val="24"/>
          <w:highlight w:val="none"/>
        </w:rPr>
        <w:t>和送达</w:t>
      </w:r>
      <w:bookmarkEnd w:id="800"/>
      <w:bookmarkEnd w:id="801"/>
      <w:bookmarkEnd w:id="802"/>
      <w:bookmarkEnd w:id="803"/>
      <w:bookmarkEnd w:id="804"/>
      <w:bookmarkEnd w:id="805"/>
    </w:p>
    <w:p w14:paraId="7C795998">
      <w:pPr>
        <w:spacing w:line="520" w:lineRule="exact"/>
        <w:ind w:firstLine="480" w:firstLineChars="200"/>
        <w:rPr>
          <w:rFonts w:hint="eastAsia" w:ascii="仿宋" w:hAnsi="仿宋" w:eastAsia="仿宋" w:cs="仿宋"/>
          <w:color w:val="auto"/>
          <w:sz w:val="24"/>
          <w:highlight w:val="none"/>
        </w:rPr>
      </w:pPr>
      <w:bookmarkStart w:id="806" w:name="_Toc3135"/>
      <w:bookmarkStart w:id="807" w:name="_Toc6698"/>
      <w:bookmarkStart w:id="808" w:name="_Toc259093691"/>
      <w:bookmarkStart w:id="809" w:name="_Toc279701262"/>
      <w:bookmarkStart w:id="810" w:name="_Toc487900372"/>
      <w:r>
        <w:rPr>
          <w:rFonts w:hint="eastAsia" w:ascii="仿宋" w:hAnsi="仿宋" w:eastAsia="仿宋" w:cs="仿宋"/>
          <w:color w:val="auto"/>
          <w:sz w:val="24"/>
          <w:highlight w:val="none"/>
        </w:rPr>
        <w:t>2.18.1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806"/>
      <w:bookmarkEnd w:id="807"/>
    </w:p>
    <w:p w14:paraId="5E0449CB">
      <w:pPr>
        <w:spacing w:line="520" w:lineRule="exact"/>
        <w:ind w:firstLine="480" w:firstLineChars="200"/>
        <w:rPr>
          <w:rFonts w:hint="eastAsia" w:ascii="仿宋" w:hAnsi="仿宋" w:eastAsia="仿宋" w:cs="仿宋"/>
          <w:color w:val="auto"/>
          <w:sz w:val="24"/>
          <w:highlight w:val="none"/>
        </w:rPr>
      </w:pPr>
      <w:bookmarkStart w:id="811" w:name="_Toc23294"/>
      <w:bookmarkStart w:id="812" w:name="_Toc23128"/>
      <w:r>
        <w:rPr>
          <w:rFonts w:hint="eastAsia" w:ascii="仿宋" w:hAnsi="仿宋" w:eastAsia="仿宋" w:cs="仿宋"/>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811"/>
      <w:bookmarkEnd w:id="812"/>
    </w:p>
    <w:p w14:paraId="2AFC103C">
      <w:pPr>
        <w:spacing w:line="520" w:lineRule="exact"/>
        <w:ind w:firstLine="482" w:firstLineChars="200"/>
        <w:outlineLvl w:val="0"/>
        <w:rPr>
          <w:rFonts w:hint="eastAsia" w:ascii="仿宋" w:hAnsi="仿宋" w:eastAsia="仿宋" w:cs="仿宋"/>
          <w:b/>
          <w:color w:val="auto"/>
          <w:sz w:val="24"/>
          <w:highlight w:val="none"/>
        </w:rPr>
      </w:pPr>
      <w:bookmarkStart w:id="813" w:name="_Toc15351"/>
      <w:bookmarkStart w:id="814" w:name="_Toc4355"/>
      <w:bookmarkStart w:id="815" w:name="_Toc14544"/>
      <w:bookmarkStart w:id="816" w:name="_Toc14023"/>
      <w:bookmarkStart w:id="817" w:name="_Toc30599"/>
      <w:bookmarkStart w:id="818" w:name="_Toc18540"/>
      <w:r>
        <w:rPr>
          <w:rFonts w:hint="eastAsia" w:ascii="仿宋" w:hAnsi="仿宋" w:eastAsia="仿宋" w:cs="仿宋"/>
          <w:b/>
          <w:color w:val="auto"/>
          <w:sz w:val="24"/>
          <w:highlight w:val="none"/>
        </w:rPr>
        <w:t>2.19 计量单位</w:t>
      </w:r>
      <w:bookmarkEnd w:id="808"/>
      <w:bookmarkEnd w:id="809"/>
      <w:bookmarkEnd w:id="810"/>
      <w:bookmarkEnd w:id="813"/>
      <w:bookmarkEnd w:id="814"/>
      <w:bookmarkEnd w:id="815"/>
      <w:bookmarkEnd w:id="816"/>
      <w:bookmarkEnd w:id="817"/>
      <w:bookmarkEnd w:id="818"/>
    </w:p>
    <w:p w14:paraId="517ECFED">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05397A95">
      <w:pPr>
        <w:spacing w:line="520" w:lineRule="exact"/>
        <w:ind w:firstLine="482" w:firstLineChars="200"/>
        <w:outlineLvl w:val="0"/>
        <w:rPr>
          <w:rFonts w:hint="eastAsia" w:ascii="仿宋" w:hAnsi="仿宋" w:eastAsia="仿宋" w:cs="仿宋"/>
          <w:b/>
          <w:color w:val="auto"/>
          <w:sz w:val="24"/>
          <w:highlight w:val="none"/>
        </w:rPr>
      </w:pPr>
      <w:bookmarkStart w:id="819" w:name="_Toc12773"/>
      <w:bookmarkStart w:id="820" w:name="_Toc487900373"/>
      <w:bookmarkStart w:id="821" w:name="_Toc18567"/>
      <w:bookmarkStart w:id="822" w:name="_Toc10330"/>
      <w:bookmarkStart w:id="823" w:name="_Toc9435"/>
      <w:bookmarkStart w:id="824" w:name="_Toc279701263"/>
      <w:bookmarkStart w:id="825" w:name="_Toc31368"/>
      <w:bookmarkStart w:id="826" w:name="_Toc4772"/>
      <w:bookmarkStart w:id="827" w:name="_Toc259093692"/>
      <w:r>
        <w:rPr>
          <w:rFonts w:hint="eastAsia" w:ascii="仿宋" w:hAnsi="仿宋" w:eastAsia="仿宋" w:cs="仿宋"/>
          <w:b/>
          <w:color w:val="auto"/>
          <w:sz w:val="24"/>
          <w:highlight w:val="none"/>
        </w:rPr>
        <w:t>2.20 合同使用的文字和适用的法律</w:t>
      </w:r>
      <w:bookmarkEnd w:id="819"/>
      <w:bookmarkEnd w:id="820"/>
      <w:bookmarkEnd w:id="821"/>
      <w:bookmarkEnd w:id="822"/>
      <w:bookmarkEnd w:id="823"/>
      <w:bookmarkEnd w:id="824"/>
      <w:bookmarkEnd w:id="825"/>
      <w:bookmarkEnd w:id="826"/>
      <w:bookmarkEnd w:id="827"/>
    </w:p>
    <w:p w14:paraId="3640A1B8">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2.20.1 合同使用汉语书就、变更和解释；</w:t>
      </w:r>
    </w:p>
    <w:p w14:paraId="6EBAB7F9">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2.20.2 合同适用中华人民共和国法律。</w:t>
      </w:r>
    </w:p>
    <w:p w14:paraId="3FB2DD3A">
      <w:pPr>
        <w:spacing w:line="520" w:lineRule="exact"/>
        <w:ind w:firstLine="482" w:firstLineChars="200"/>
        <w:outlineLvl w:val="0"/>
        <w:rPr>
          <w:rFonts w:hint="eastAsia" w:ascii="仿宋" w:hAnsi="仿宋" w:eastAsia="仿宋" w:cs="仿宋"/>
          <w:b/>
          <w:color w:val="auto"/>
          <w:sz w:val="24"/>
          <w:highlight w:val="none"/>
        </w:rPr>
      </w:pPr>
      <w:bookmarkStart w:id="828" w:name="_Toc259093693"/>
      <w:bookmarkStart w:id="829" w:name="_Toc3148"/>
      <w:bookmarkStart w:id="830" w:name="_Toc16673"/>
      <w:bookmarkStart w:id="831" w:name="_Toc14118"/>
      <w:bookmarkStart w:id="832" w:name="_Toc12004"/>
      <w:bookmarkStart w:id="833" w:name="_Toc21288"/>
      <w:bookmarkStart w:id="834" w:name="_Toc3873"/>
      <w:bookmarkStart w:id="835" w:name="_Toc279701264"/>
      <w:bookmarkStart w:id="836" w:name="_Toc487900374"/>
      <w:r>
        <w:rPr>
          <w:rFonts w:hint="eastAsia" w:ascii="仿宋" w:hAnsi="仿宋" w:eastAsia="仿宋" w:cs="仿宋"/>
          <w:b/>
          <w:color w:val="auto"/>
          <w:sz w:val="24"/>
          <w:highlight w:val="none"/>
        </w:rPr>
        <w:t>2.21 履约保证金</w:t>
      </w:r>
      <w:bookmarkEnd w:id="828"/>
      <w:bookmarkEnd w:id="829"/>
      <w:bookmarkEnd w:id="830"/>
      <w:bookmarkEnd w:id="831"/>
      <w:bookmarkEnd w:id="832"/>
      <w:bookmarkEnd w:id="833"/>
      <w:bookmarkEnd w:id="834"/>
      <w:bookmarkEnd w:id="835"/>
    </w:p>
    <w:p w14:paraId="538A4E85">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5B6B22F9">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约定期间内或者货物质量保证期内不予退还或者应完全有效，前述约定期间届满或者货物质量保证期届满之日起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641E6212">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836"/>
    <w:p w14:paraId="4C73B57E">
      <w:pPr>
        <w:spacing w:line="520" w:lineRule="exact"/>
        <w:ind w:firstLine="482" w:firstLineChars="200"/>
        <w:outlineLvl w:val="0"/>
        <w:rPr>
          <w:rFonts w:hint="eastAsia" w:ascii="仿宋" w:hAnsi="仿宋" w:eastAsia="仿宋" w:cs="仿宋"/>
          <w:b/>
          <w:color w:val="auto"/>
          <w:sz w:val="24"/>
          <w:highlight w:val="none"/>
        </w:rPr>
      </w:pPr>
      <w:bookmarkStart w:id="837" w:name="_Toc13960"/>
      <w:bookmarkStart w:id="838" w:name="_Toc20435"/>
      <w:bookmarkStart w:id="839" w:name="_Toc19890"/>
      <w:bookmarkStart w:id="840" w:name="_Toc26862"/>
      <w:bookmarkStart w:id="841" w:name="_Toc6885"/>
      <w:bookmarkStart w:id="842" w:name="_Toc14001"/>
      <w:r>
        <w:rPr>
          <w:rFonts w:hint="eastAsia" w:ascii="仿宋" w:hAnsi="仿宋" w:eastAsia="仿宋" w:cs="仿宋"/>
          <w:b/>
          <w:color w:val="auto"/>
          <w:sz w:val="24"/>
          <w:highlight w:val="none"/>
        </w:rPr>
        <w:t>2.22 合同份数</w:t>
      </w:r>
      <w:bookmarkEnd w:id="837"/>
      <w:bookmarkEnd w:id="838"/>
      <w:bookmarkEnd w:id="839"/>
      <w:bookmarkEnd w:id="840"/>
      <w:bookmarkEnd w:id="841"/>
      <w:bookmarkEnd w:id="842"/>
    </w:p>
    <w:p w14:paraId="38F4D7CB">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3FCA0D4">
      <w:pPr>
        <w:pStyle w:val="30"/>
        <w:spacing w:line="560" w:lineRule="exact"/>
        <w:ind w:firstLine="0"/>
        <w:jc w:val="center"/>
        <w:outlineLvl w:val="2"/>
        <w:rPr>
          <w:rFonts w:hint="eastAsia" w:ascii="仿宋" w:hAnsi="仿宋" w:eastAsia="仿宋" w:cs="仿宋"/>
          <w:b/>
          <w:color w:val="auto"/>
          <w:szCs w:val="24"/>
          <w:highlight w:val="none"/>
        </w:rPr>
      </w:pPr>
      <w:r>
        <w:rPr>
          <w:rFonts w:hint="eastAsia" w:ascii="仿宋" w:hAnsi="仿宋" w:eastAsia="仿宋" w:cs="仿宋"/>
          <w:color w:val="auto"/>
          <w:szCs w:val="24"/>
          <w:highlight w:val="none"/>
        </w:rPr>
        <w:br w:type="page"/>
      </w:r>
      <w:bookmarkStart w:id="843" w:name="_Toc26157"/>
      <w:bookmarkStart w:id="844" w:name="_Toc331685784"/>
      <w:r>
        <w:rPr>
          <w:rFonts w:hint="eastAsia" w:ascii="仿宋" w:hAnsi="仿宋" w:eastAsia="仿宋" w:cs="仿宋"/>
          <w:b/>
          <w:color w:val="auto"/>
          <w:szCs w:val="24"/>
          <w:highlight w:val="none"/>
        </w:rPr>
        <w:t>第三部分  合同专用条款</w:t>
      </w:r>
      <w:bookmarkEnd w:id="843"/>
      <w:bookmarkEnd w:id="844"/>
    </w:p>
    <w:p w14:paraId="5896F1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70"/>
        <w:gridCol w:w="7754"/>
      </w:tblGrid>
      <w:tr w14:paraId="57EA8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370" w:type="dxa"/>
            <w:tcBorders>
              <w:left w:val="single" w:color="auto" w:sz="4" w:space="0"/>
            </w:tcBorders>
            <w:noWrap w:val="0"/>
            <w:vAlign w:val="center"/>
          </w:tcPr>
          <w:p w14:paraId="5F661B5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754" w:type="dxa"/>
            <w:noWrap w:val="0"/>
            <w:vAlign w:val="center"/>
          </w:tcPr>
          <w:p w14:paraId="3B9ED56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525B6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0" w:type="dxa"/>
            <w:tcBorders>
              <w:left w:val="single" w:color="auto" w:sz="4" w:space="0"/>
            </w:tcBorders>
            <w:noWrap w:val="0"/>
            <w:vAlign w:val="center"/>
          </w:tcPr>
          <w:p w14:paraId="3DA58A0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合同争议的解决</w:t>
            </w:r>
          </w:p>
        </w:tc>
        <w:tc>
          <w:tcPr>
            <w:tcW w:w="7754" w:type="dxa"/>
            <w:noWrap w:val="0"/>
            <w:vAlign w:val="center"/>
          </w:tcPr>
          <w:p w14:paraId="03CAA2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1、2  </w:t>
            </w:r>
            <w:r>
              <w:rPr>
                <w:rFonts w:hint="eastAsia" w:ascii="仿宋" w:hAnsi="仿宋" w:eastAsia="仿宋" w:cs="仿宋"/>
                <w:color w:val="auto"/>
                <w:sz w:val="24"/>
                <w:highlight w:val="none"/>
              </w:rPr>
              <w:t>种方式解决：</w:t>
            </w:r>
          </w:p>
          <w:p w14:paraId="4F7C3C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当地  </w:t>
            </w:r>
            <w:r>
              <w:rPr>
                <w:rFonts w:hint="eastAsia" w:ascii="仿宋" w:hAnsi="仿宋" w:eastAsia="仿宋" w:cs="仿宋"/>
                <w:color w:val="auto"/>
                <w:sz w:val="24"/>
                <w:highlight w:val="none"/>
              </w:rPr>
              <w:t>仲裁委员会依申请仲裁时其现行有效的仲裁规则裁决；</w:t>
            </w:r>
          </w:p>
          <w:p w14:paraId="7306E2B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合同签订地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p>
        </w:tc>
      </w:tr>
      <w:tr w14:paraId="18D20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0" w:type="dxa"/>
            <w:tcBorders>
              <w:left w:val="single" w:color="auto" w:sz="4" w:space="0"/>
            </w:tcBorders>
            <w:noWrap w:val="0"/>
            <w:vAlign w:val="center"/>
          </w:tcPr>
          <w:p w14:paraId="5E1FA51B">
            <w:pPr>
              <w:spacing w:line="360" w:lineRule="auto"/>
              <w:outlineLvl w:val="0"/>
              <w:rPr>
                <w:rFonts w:hint="eastAsia" w:ascii="仿宋" w:hAnsi="仿宋" w:eastAsia="仿宋" w:cs="仿宋"/>
                <w:b/>
                <w:color w:val="auto"/>
                <w:sz w:val="24"/>
                <w:highlight w:val="none"/>
              </w:rPr>
            </w:pPr>
            <w:bookmarkStart w:id="845" w:name="_Toc12177"/>
            <w:bookmarkStart w:id="846" w:name="_Toc9516"/>
            <w:bookmarkStart w:id="847" w:name="_Toc32290"/>
            <w:r>
              <w:rPr>
                <w:rFonts w:hint="eastAsia" w:ascii="仿宋" w:hAnsi="仿宋" w:eastAsia="仿宋" w:cs="仿宋"/>
                <w:b/>
                <w:color w:val="auto"/>
                <w:sz w:val="24"/>
                <w:highlight w:val="none"/>
              </w:rPr>
              <w:t>2.3 知识产权</w:t>
            </w:r>
            <w:bookmarkEnd w:id="845"/>
            <w:bookmarkEnd w:id="846"/>
            <w:bookmarkEnd w:id="847"/>
          </w:p>
        </w:tc>
        <w:tc>
          <w:tcPr>
            <w:tcW w:w="7754" w:type="dxa"/>
            <w:noWrap w:val="0"/>
            <w:vAlign w:val="center"/>
          </w:tcPr>
          <w:p w14:paraId="3228AB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38A93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甲方</w:t>
            </w:r>
            <w:r>
              <w:rPr>
                <w:rFonts w:hint="eastAsia" w:ascii="仿宋" w:hAnsi="仿宋" w:eastAsia="仿宋" w:cs="仿宋"/>
                <w:color w:val="auto"/>
                <w:sz w:val="24"/>
                <w:highlight w:val="none"/>
              </w:rPr>
              <w:t>。</w:t>
            </w:r>
          </w:p>
        </w:tc>
      </w:tr>
      <w:tr w14:paraId="25A75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0" w:hRule="atLeast"/>
        </w:trPr>
        <w:tc>
          <w:tcPr>
            <w:tcW w:w="1370" w:type="dxa"/>
            <w:tcBorders>
              <w:left w:val="single" w:color="auto" w:sz="4" w:space="0"/>
            </w:tcBorders>
            <w:noWrap w:val="0"/>
            <w:vAlign w:val="center"/>
          </w:tcPr>
          <w:p w14:paraId="65C16BE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包装和装运</w:t>
            </w:r>
          </w:p>
        </w:tc>
        <w:tc>
          <w:tcPr>
            <w:tcW w:w="7754" w:type="dxa"/>
            <w:noWrap w:val="0"/>
            <w:vAlign w:val="center"/>
          </w:tcPr>
          <w:p w14:paraId="5E9E90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无</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DAC46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应符合国家有关包装的法律、法规的规定</w:t>
            </w:r>
            <w:r>
              <w:rPr>
                <w:rFonts w:hint="eastAsia" w:ascii="仿宋" w:hAnsi="仿宋" w:eastAsia="仿宋" w:cs="仿宋"/>
                <w:color w:val="auto"/>
                <w:sz w:val="24"/>
                <w:highlight w:val="none"/>
              </w:rPr>
              <w:t>。</w:t>
            </w:r>
          </w:p>
        </w:tc>
      </w:tr>
      <w:tr w14:paraId="17E1E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0" w:type="dxa"/>
            <w:tcBorders>
              <w:left w:val="single" w:color="auto" w:sz="4" w:space="0"/>
            </w:tcBorders>
            <w:noWrap w:val="0"/>
            <w:vAlign w:val="center"/>
          </w:tcPr>
          <w:p w14:paraId="1D5D847E">
            <w:pPr>
              <w:spacing w:line="360" w:lineRule="auto"/>
              <w:outlineLvl w:val="0"/>
              <w:rPr>
                <w:rFonts w:hint="eastAsia" w:ascii="仿宋" w:hAnsi="仿宋" w:eastAsia="仿宋" w:cs="仿宋"/>
                <w:color w:val="auto"/>
                <w:sz w:val="24"/>
                <w:highlight w:val="none"/>
              </w:rPr>
            </w:pPr>
            <w:bookmarkStart w:id="848" w:name="_Toc32741"/>
            <w:bookmarkStart w:id="849" w:name="_Toc26053"/>
            <w:bookmarkStart w:id="850" w:name="_Toc2504"/>
            <w:r>
              <w:rPr>
                <w:rFonts w:hint="eastAsia" w:ascii="仿宋" w:hAnsi="仿宋" w:eastAsia="仿宋" w:cs="仿宋"/>
                <w:b/>
                <w:color w:val="auto"/>
                <w:sz w:val="24"/>
                <w:highlight w:val="none"/>
              </w:rPr>
              <w:t>2.9 货物的风险负担</w:t>
            </w:r>
            <w:bookmarkEnd w:id="848"/>
            <w:bookmarkEnd w:id="849"/>
            <w:bookmarkEnd w:id="850"/>
          </w:p>
        </w:tc>
        <w:tc>
          <w:tcPr>
            <w:tcW w:w="7754" w:type="dxa"/>
            <w:noWrap w:val="0"/>
            <w:vAlign w:val="center"/>
          </w:tcPr>
          <w:p w14:paraId="233B14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由乙方自行负担</w:t>
            </w:r>
            <w:r>
              <w:rPr>
                <w:rFonts w:hint="eastAsia" w:ascii="仿宋" w:hAnsi="仿宋" w:eastAsia="仿宋" w:cs="仿宋"/>
                <w:color w:val="auto"/>
                <w:sz w:val="24"/>
                <w:highlight w:val="none"/>
              </w:rPr>
              <w:t>。</w:t>
            </w:r>
          </w:p>
        </w:tc>
      </w:tr>
      <w:tr w14:paraId="70F06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0" w:type="dxa"/>
            <w:tcBorders>
              <w:left w:val="single" w:color="auto" w:sz="4" w:space="0"/>
            </w:tcBorders>
            <w:noWrap w:val="0"/>
            <w:vAlign w:val="center"/>
          </w:tcPr>
          <w:p w14:paraId="426E2222">
            <w:pPr>
              <w:spacing w:line="360" w:lineRule="auto"/>
              <w:outlineLvl w:val="0"/>
              <w:rPr>
                <w:rFonts w:hint="eastAsia" w:ascii="仿宋" w:hAnsi="仿宋" w:eastAsia="仿宋" w:cs="仿宋"/>
                <w:color w:val="auto"/>
                <w:sz w:val="24"/>
                <w:highlight w:val="none"/>
              </w:rPr>
            </w:pPr>
            <w:bookmarkStart w:id="851" w:name="_Toc1149"/>
            <w:bookmarkStart w:id="852" w:name="_Toc13516"/>
            <w:bookmarkStart w:id="853" w:name="_Toc24251"/>
            <w:r>
              <w:rPr>
                <w:rFonts w:hint="eastAsia" w:ascii="仿宋" w:hAnsi="仿宋" w:eastAsia="仿宋" w:cs="仿宋"/>
                <w:b/>
                <w:color w:val="auto"/>
                <w:sz w:val="24"/>
                <w:highlight w:val="none"/>
              </w:rPr>
              <w:t>2.13 不可抗力</w:t>
            </w:r>
            <w:bookmarkEnd w:id="851"/>
            <w:bookmarkEnd w:id="852"/>
            <w:bookmarkEnd w:id="853"/>
          </w:p>
        </w:tc>
        <w:tc>
          <w:tcPr>
            <w:tcW w:w="7754" w:type="dxa"/>
            <w:noWrap w:val="0"/>
            <w:vAlign w:val="center"/>
          </w:tcPr>
          <w:p w14:paraId="5FF9E2F7">
            <w:pPr>
              <w:tabs>
                <w:tab w:val="left" w:pos="360"/>
                <w:tab w:val="left" w:pos="540"/>
                <w:tab w:val="left" w:pos="10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2.13.3 因不可抗力致使合同有变更必要的，双方当事人应在</w:t>
            </w:r>
            <w:r>
              <w:rPr>
                <w:rFonts w:hint="eastAsia" w:ascii="仿宋" w:hAnsi="仿宋" w:eastAsia="仿宋" w:cs="仿宋"/>
                <w:color w:val="auto"/>
                <w:sz w:val="24"/>
                <w:highlight w:val="none"/>
                <w:u w:val="single"/>
              </w:rPr>
              <w:t>30个工作日内</w:t>
            </w:r>
            <w:r>
              <w:rPr>
                <w:rFonts w:hint="eastAsia" w:ascii="仿宋" w:hAnsi="仿宋" w:eastAsia="仿宋" w:cs="仿宋"/>
                <w:color w:val="auto"/>
                <w:sz w:val="24"/>
                <w:highlight w:val="none"/>
              </w:rPr>
              <w:t>约定时间内以书面形式变更合同；</w:t>
            </w:r>
          </w:p>
          <w:p w14:paraId="010485E2">
            <w:pPr>
              <w:tabs>
                <w:tab w:val="left" w:pos="360"/>
                <w:tab w:val="left" w:pos="540"/>
                <w:tab w:val="left" w:pos="1080"/>
              </w:tabs>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2.13.4受不可抗力影响的一方在不可抗力发生后，应在</w:t>
            </w:r>
            <w:r>
              <w:rPr>
                <w:rFonts w:hint="eastAsia" w:ascii="仿宋" w:hAnsi="仿宋" w:eastAsia="仿宋" w:cs="仿宋"/>
                <w:color w:val="auto"/>
                <w:sz w:val="24"/>
                <w:highlight w:val="none"/>
                <w:u w:val="single"/>
              </w:rPr>
              <w:t>5个工作日内</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color w:val="auto"/>
                <w:sz w:val="24"/>
                <w:highlight w:val="none"/>
                <w:u w:val="single"/>
              </w:rPr>
              <w:t>5个工作日内</w:t>
            </w:r>
            <w:r>
              <w:rPr>
                <w:rFonts w:hint="eastAsia" w:ascii="仿宋" w:hAnsi="仿宋" w:eastAsia="仿宋" w:cs="仿宋"/>
                <w:color w:val="auto"/>
                <w:sz w:val="24"/>
                <w:highlight w:val="none"/>
              </w:rPr>
              <w:t>约定时间内，将有关部门出具的证明文件送达对方当事人。</w:t>
            </w:r>
          </w:p>
        </w:tc>
      </w:tr>
      <w:tr w14:paraId="70EF7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0" w:type="dxa"/>
            <w:tcBorders>
              <w:left w:val="single" w:color="auto" w:sz="4" w:space="0"/>
            </w:tcBorders>
            <w:noWrap w:val="0"/>
            <w:vAlign w:val="center"/>
          </w:tcPr>
          <w:p w14:paraId="2FFA91FF">
            <w:pPr>
              <w:spacing w:line="360" w:lineRule="auto"/>
              <w:outlineLvl w:val="0"/>
              <w:rPr>
                <w:rFonts w:hint="eastAsia" w:ascii="仿宋" w:hAnsi="仿宋" w:eastAsia="仿宋" w:cs="仿宋"/>
                <w:color w:val="auto"/>
                <w:sz w:val="24"/>
                <w:highlight w:val="none"/>
              </w:rPr>
            </w:pPr>
            <w:bookmarkStart w:id="854" w:name="_Toc1359"/>
            <w:bookmarkStart w:id="855" w:name="_Toc25175"/>
            <w:bookmarkStart w:id="856" w:name="_Toc13471"/>
            <w:r>
              <w:rPr>
                <w:rFonts w:hint="eastAsia" w:ascii="仿宋" w:hAnsi="仿宋" w:eastAsia="仿宋" w:cs="仿宋"/>
                <w:b/>
                <w:color w:val="auto"/>
                <w:sz w:val="24"/>
                <w:highlight w:val="none"/>
              </w:rPr>
              <w:t>2.17 检验和验收</w:t>
            </w:r>
            <w:bookmarkEnd w:id="854"/>
            <w:bookmarkEnd w:id="855"/>
            <w:bookmarkEnd w:id="856"/>
          </w:p>
        </w:tc>
        <w:tc>
          <w:tcPr>
            <w:tcW w:w="7754" w:type="dxa"/>
            <w:noWrap w:val="0"/>
            <w:vAlign w:val="center"/>
          </w:tcPr>
          <w:p w14:paraId="157C8E53">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3个工作日内</w:t>
            </w:r>
            <w:r>
              <w:rPr>
                <w:rFonts w:hint="eastAsia" w:ascii="仿宋" w:hAnsi="仿宋" w:eastAsia="仿宋" w:cs="仿宋"/>
                <w:color w:val="auto"/>
                <w:sz w:val="24"/>
                <w:highlight w:val="none"/>
              </w:rPr>
              <w:t>约定时间内组织验收，并可依法邀请相关方参加，验收应出具验收书。</w:t>
            </w:r>
          </w:p>
          <w:p w14:paraId="7FD54333">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0605055">
            <w:pPr>
              <w:tabs>
                <w:tab w:val="left" w:pos="360"/>
                <w:tab w:val="left" w:pos="540"/>
                <w:tab w:val="left" w:pos="1080"/>
              </w:tabs>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2.17.3 检验和验收标准、程序等具体内容以及前述验收书的效力详见</w:t>
            </w:r>
            <w:r>
              <w:rPr>
                <w:rFonts w:hint="eastAsia" w:ascii="仿宋" w:hAnsi="仿宋" w:eastAsia="仿宋" w:cs="仿宋"/>
                <w:b/>
                <w:i/>
                <w:color w:val="auto"/>
                <w:sz w:val="24"/>
                <w:highlight w:val="none"/>
                <w:u w:val="single"/>
              </w:rPr>
              <w:t>1、中标单位供货时需提供所有产品合格证；2、中标单位供货时需提供所有产品的检验检测报告，若提供检验检测报告参数与投标文件不一致，需重新提供产品，不合格产品不予接收。3、符合行业标准，质量合格。</w:t>
            </w:r>
          </w:p>
        </w:tc>
      </w:tr>
      <w:tr w14:paraId="2218A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0" w:type="dxa"/>
            <w:tcBorders>
              <w:left w:val="single" w:color="auto" w:sz="4" w:space="0"/>
            </w:tcBorders>
            <w:noWrap w:val="0"/>
            <w:vAlign w:val="center"/>
          </w:tcPr>
          <w:p w14:paraId="67312371">
            <w:pPr>
              <w:spacing w:line="360" w:lineRule="auto"/>
              <w:outlineLvl w:val="0"/>
              <w:rPr>
                <w:rFonts w:hint="eastAsia" w:ascii="仿宋" w:hAnsi="仿宋" w:eastAsia="仿宋" w:cs="仿宋"/>
                <w:color w:val="auto"/>
                <w:sz w:val="24"/>
                <w:highlight w:val="none"/>
              </w:rPr>
            </w:pPr>
            <w:bookmarkStart w:id="857" w:name="_Toc6087"/>
            <w:bookmarkStart w:id="858" w:name="_Toc25254"/>
            <w:bookmarkStart w:id="859" w:name="_Toc28859"/>
            <w:r>
              <w:rPr>
                <w:rFonts w:hint="eastAsia" w:ascii="仿宋" w:hAnsi="仿宋" w:eastAsia="仿宋" w:cs="仿宋"/>
                <w:b/>
                <w:color w:val="auto"/>
                <w:sz w:val="24"/>
                <w:highlight w:val="none"/>
              </w:rPr>
              <w:t>2.21 履约保证金</w:t>
            </w:r>
            <w:bookmarkEnd w:id="857"/>
            <w:bookmarkEnd w:id="858"/>
            <w:bookmarkEnd w:id="859"/>
          </w:p>
        </w:tc>
        <w:tc>
          <w:tcPr>
            <w:tcW w:w="7754" w:type="dxa"/>
            <w:noWrap w:val="0"/>
            <w:vAlign w:val="center"/>
          </w:tcPr>
          <w:p w14:paraId="6C3797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 采购文件要求乙方提交履约保证金的，乙方应按</w:t>
            </w:r>
            <w:r>
              <w:rPr>
                <w:rFonts w:hint="eastAsia" w:ascii="仿宋" w:hAnsi="仿宋" w:eastAsia="仿宋" w:cs="仿宋"/>
                <w:b/>
                <w:i/>
                <w:color w:val="auto"/>
                <w:sz w:val="24"/>
                <w:highlight w:val="none"/>
                <w:u w:val="single"/>
              </w:rPr>
              <w:t>中标价的</w:t>
            </w:r>
            <w:r>
              <w:rPr>
                <w:rFonts w:hint="eastAsia" w:ascii="仿宋" w:hAnsi="仿宋" w:eastAsia="仿宋" w:cs="仿宋"/>
                <w:b/>
                <w:i/>
                <w:color w:val="auto"/>
                <w:sz w:val="24"/>
                <w:highlight w:val="none"/>
                <w:u w:val="single"/>
                <w:lang w:val="en-US" w:eastAsia="zh-CN"/>
              </w:rPr>
              <w:t>5</w:t>
            </w:r>
            <w:r>
              <w:rPr>
                <w:rFonts w:hint="eastAsia" w:ascii="仿宋" w:hAnsi="仿宋" w:eastAsia="仿宋" w:cs="仿宋"/>
                <w:b/>
                <w:i/>
                <w:color w:val="auto"/>
                <w:sz w:val="24"/>
                <w:highlight w:val="none"/>
                <w:u w:val="single"/>
              </w:rPr>
              <w:t>%缴纳履约保证金</w:t>
            </w:r>
            <w:r>
              <w:rPr>
                <w:rFonts w:hint="eastAsia" w:ascii="仿宋" w:hAnsi="仿宋" w:eastAsia="仿宋" w:cs="仿宋"/>
                <w:color w:val="auto"/>
                <w:sz w:val="24"/>
                <w:highlight w:val="none"/>
              </w:rPr>
              <w:t>约定的方式，以支票、汇票、本票或者金融机构、担保机构出具的保函等非现金形式，提交不超过合同价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%的履约保证金；</w:t>
            </w:r>
          </w:p>
          <w:p w14:paraId="50AADE0F">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2.21.2 履约保证金</w:t>
            </w:r>
            <w:r>
              <w:rPr>
                <w:rFonts w:hint="eastAsia" w:ascii="仿宋" w:hAnsi="仿宋" w:eastAsia="仿宋" w:cs="仿宋"/>
                <w:b/>
                <w:i/>
                <w:color w:val="auto"/>
                <w:sz w:val="24"/>
                <w:highlight w:val="none"/>
                <w:u w:val="single"/>
              </w:rPr>
              <w:t>在未达到检验和验收标准前</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b/>
                <w:i/>
                <w:color w:val="auto"/>
                <w:sz w:val="24"/>
                <w:highlight w:val="none"/>
                <w:u w:val="single"/>
              </w:rPr>
              <w:t xml:space="preserve"> 7 </w:t>
            </w:r>
            <w:r>
              <w:rPr>
                <w:rFonts w:hint="eastAsia" w:ascii="仿宋" w:hAnsi="仿宋" w:eastAsia="仿宋" w:cs="仿宋"/>
                <w:color w:val="auto"/>
                <w:sz w:val="24"/>
                <w:highlight w:val="none"/>
              </w:rPr>
              <w:t>个工作日内，甲方应将履约保证金退还乙方；</w:t>
            </w:r>
          </w:p>
        </w:tc>
      </w:tr>
      <w:tr w14:paraId="79101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370" w:type="dxa"/>
            <w:tcBorders>
              <w:left w:val="single" w:color="auto" w:sz="4" w:space="0"/>
            </w:tcBorders>
            <w:noWrap w:val="0"/>
            <w:vAlign w:val="center"/>
          </w:tcPr>
          <w:p w14:paraId="22C9BE02">
            <w:pPr>
              <w:spacing w:line="360" w:lineRule="auto"/>
              <w:outlineLvl w:val="0"/>
              <w:rPr>
                <w:rFonts w:hint="eastAsia" w:ascii="仿宋" w:hAnsi="仿宋" w:eastAsia="仿宋" w:cs="仿宋"/>
                <w:color w:val="auto"/>
                <w:sz w:val="24"/>
                <w:highlight w:val="none"/>
              </w:rPr>
            </w:pPr>
            <w:bookmarkStart w:id="860" w:name="_Toc2644"/>
            <w:bookmarkStart w:id="861" w:name="_Toc25263"/>
            <w:bookmarkStart w:id="862" w:name="_Toc15829"/>
            <w:r>
              <w:rPr>
                <w:rFonts w:hint="eastAsia" w:ascii="仿宋" w:hAnsi="仿宋" w:eastAsia="仿宋" w:cs="仿宋"/>
                <w:b/>
                <w:color w:val="auto"/>
                <w:sz w:val="24"/>
                <w:highlight w:val="none"/>
              </w:rPr>
              <w:t>2.22 合同份数</w:t>
            </w:r>
            <w:bookmarkEnd w:id="860"/>
            <w:bookmarkEnd w:id="861"/>
            <w:bookmarkEnd w:id="862"/>
          </w:p>
        </w:tc>
        <w:tc>
          <w:tcPr>
            <w:tcW w:w="7754" w:type="dxa"/>
            <w:noWrap w:val="0"/>
            <w:vAlign w:val="center"/>
          </w:tcPr>
          <w:p w14:paraId="3F742D0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合同份数为</w:t>
            </w:r>
            <w:r>
              <w:rPr>
                <w:rFonts w:hint="eastAsia" w:ascii="仿宋" w:hAnsi="仿宋" w:eastAsia="仿宋" w:cs="仿宋"/>
                <w:b/>
                <w:i/>
                <w:color w:val="auto"/>
                <w:sz w:val="24"/>
                <w:highlight w:val="none"/>
                <w:u w:val="single"/>
              </w:rPr>
              <w:t>正本两份，副本四份</w:t>
            </w:r>
            <w:r>
              <w:rPr>
                <w:rFonts w:hint="eastAsia" w:ascii="仿宋" w:hAnsi="仿宋" w:eastAsia="仿宋" w:cs="仿宋"/>
                <w:color w:val="auto"/>
                <w:sz w:val="24"/>
                <w:highlight w:val="none"/>
              </w:rPr>
              <w:t>规定，每份均具有同等法律效力。</w:t>
            </w:r>
          </w:p>
        </w:tc>
      </w:tr>
    </w:tbl>
    <w:p w14:paraId="67A595AA">
      <w:pPr>
        <w:pStyle w:val="3"/>
        <w:spacing w:before="0" w:line="240" w:lineRule="atLeast"/>
        <w:jc w:val="both"/>
        <w:rPr>
          <w:rFonts w:hint="eastAsia" w:ascii="仿宋" w:hAnsi="仿宋" w:eastAsia="仿宋" w:cs="仿宋"/>
          <w:color w:val="auto"/>
          <w:highlight w:val="none"/>
          <w:lang w:val="en-US" w:eastAsia="zh-CN"/>
        </w:rPr>
      </w:pPr>
    </w:p>
    <w:p w14:paraId="22DC24D7"/>
    <w:sectPr>
      <w:headerReference r:id="rId18" w:type="default"/>
      <w:footerReference r:id="rId19" w:type="default"/>
      <w:pgSz w:w="11907" w:h="16840"/>
      <w:pgMar w:top="1417" w:right="1417" w:bottom="1417" w:left="141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2053">
    <w:pPr>
      <w:pStyle w:val="11"/>
      <w:ind w:right="360" w:firstLine="360"/>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8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14:paraId="02D8BA32">
                          <w:pPr>
                            <w:pStyle w:val="11"/>
                            <w:rPr>
                              <w:rStyle w:val="23"/>
                            </w:rPr>
                          </w:pPr>
                          <w:r>
                            <w:fldChar w:fldCharType="begin"/>
                          </w:r>
                          <w:r>
                            <w:rPr>
                              <w:rStyle w:val="23"/>
                            </w:rPr>
                            <w:instrText xml:space="preserve">PAGE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4.55pt;mso-position-horizontal:center;mso-position-horizontal-relative:margin;mso-wrap-style:none;z-index:251663360;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QCJI0QAAAAIBAAAPAAAAAAAAAAEAIAAAACIAAABkcnMvZG93&#10;bnJldi54bWxQSwECFAAUAAAACACHTuJAMK37vM4BAACWAwAADgAAAAAAAAABACAAAAAgAQAAZHJz&#10;L2Uyb0RvYy54bWxQSwUGAAAAAAYABgBZAQAAYAUAAAAA&#10;">
              <v:fill on="f" focussize="0,0"/>
              <v:stroke on="f"/>
              <v:imagedata o:title=""/>
              <o:lock v:ext="edit" aspectratio="f"/>
              <v:textbox inset="0mm,0mm,0mm,0mm" style="mso-fit-shape-to-text:t;">
                <w:txbxContent>
                  <w:p w14:paraId="02D8BA32">
                    <w:pPr>
                      <w:pStyle w:val="11"/>
                      <w:rPr>
                        <w:rStyle w:val="23"/>
                      </w:rPr>
                    </w:pPr>
                    <w:r>
                      <w:fldChar w:fldCharType="begin"/>
                    </w:r>
                    <w:r>
                      <w:rPr>
                        <w:rStyle w:val="23"/>
                      </w:rPr>
                      <w:instrText xml:space="preserve">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9DAD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85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26541876">
                          <w:pPr>
                            <w:pStyle w:val="11"/>
                            <w:jc w:val="center"/>
                          </w:pPr>
                          <w:r>
                            <w:fldChar w:fldCharType="begin"/>
                          </w:r>
                          <w:r>
                            <w:instrText xml:space="preserve">PAGE   \* MERGEFORMAT</w:instrText>
                          </w:r>
                          <w:r>
                            <w:fldChar w:fldCharType="separate"/>
                          </w:r>
                          <w:r>
                            <w:rPr>
                              <w:lang w:val="zh-CN"/>
                            </w:rPr>
                            <w:t>148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2336;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DkU5OTPAQAAlwMAAA4AAAAAAAAAAQAgAAAAIAEAAGRy&#10;cy9lMm9Eb2MueG1sUEsFBgAAAAAGAAYAWQEAAGEFAAAAAA==&#10;">
              <v:fill on="f" focussize="0,0"/>
              <v:stroke on="f"/>
              <v:imagedata o:title=""/>
              <o:lock v:ext="edit" aspectratio="f"/>
              <v:textbox inset="0mm,0mm,0mm,0mm" style="mso-fit-shape-to-text:t;">
                <w:txbxContent>
                  <w:p w14:paraId="26541876">
                    <w:pPr>
                      <w:pStyle w:val="11"/>
                      <w:jc w:val="center"/>
                    </w:pPr>
                    <w:r>
                      <w:fldChar w:fldCharType="begin"/>
                    </w:r>
                    <w:r>
                      <w:instrText xml:space="preserve">PAGE   \* MERGEFORMAT</w:instrText>
                    </w:r>
                    <w:r>
                      <w:fldChar w:fldCharType="separate"/>
                    </w:r>
                    <w:r>
                      <w:rPr>
                        <w:lang w:val="zh-CN"/>
                      </w:rPr>
                      <w:t>148</w:t>
                    </w:r>
                    <w:r>
                      <w:fldChar w:fldCharType="end"/>
                    </w:r>
                  </w:p>
                </w:txbxContent>
              </v:textbox>
            </v:shape>
          </w:pict>
        </mc:Fallback>
      </mc:AlternateContent>
    </w:r>
  </w:p>
  <w:p w14:paraId="249A26A5">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CD4C9">
    <w:pPr>
      <w:pStyle w:val="11"/>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0B45689B">
                          <w:pPr>
                            <w:pStyle w:val="11"/>
                            <w:rPr>
                              <w:rStyle w:val="23"/>
                            </w:rPr>
                          </w:pPr>
                          <w:r>
                            <w:fldChar w:fldCharType="begin"/>
                          </w:r>
                          <w:r>
                            <w:rPr>
                              <w:rStyle w:val="23"/>
                            </w:rPr>
                            <w:instrText xml:space="preserve">PAGE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LpvOeDPAQAAlwMAAA4AAAAAAAAAAQAgAAAAIAEAAGRy&#10;cy9lMm9Eb2MueG1sUEsFBgAAAAAGAAYAWQEAAGEFAAAAAA==&#10;">
              <v:fill on="f" focussize="0,0"/>
              <v:stroke on="f"/>
              <v:imagedata o:title=""/>
              <o:lock v:ext="edit" aspectratio="f"/>
              <v:textbox inset="0mm,0mm,0mm,0mm" style="mso-fit-shape-to-text:t;">
                <w:txbxContent>
                  <w:p w14:paraId="0B45689B">
                    <w:pPr>
                      <w:pStyle w:val="11"/>
                      <w:rPr>
                        <w:rStyle w:val="23"/>
                      </w:rPr>
                    </w:pPr>
                    <w:r>
                      <w:fldChar w:fldCharType="begin"/>
                    </w:r>
                    <w:r>
                      <w:rPr>
                        <w:rStyle w:val="23"/>
                      </w:rPr>
                      <w:instrText xml:space="preserve">PAGE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D3CF">
    <w:pPr>
      <w:pStyle w:val="11"/>
      <w:framePr w:wrap="around" w:vAnchor="text" w:hAnchor="margin" w:xAlign="center" w:y="1"/>
      <w:rPr>
        <w:rStyle w:val="23"/>
      </w:rPr>
    </w:pPr>
    <w:r>
      <w:fldChar w:fldCharType="begin"/>
    </w:r>
    <w:r>
      <w:rPr>
        <w:rStyle w:val="23"/>
      </w:rPr>
      <w:instrText xml:space="preserve">PAGE  </w:instrText>
    </w:r>
    <w:r>
      <w:fldChar w:fldCharType="end"/>
    </w:r>
  </w:p>
  <w:p w14:paraId="69CBB361">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9DD2">
    <w:pPr>
      <w:pStyle w:val="11"/>
      <w:framePr w:wrap="around" w:vAnchor="text" w:hAnchor="margin" w:xAlign="right" w:y="1"/>
      <w:rPr>
        <w:rStyle w:val="23"/>
      </w:rPr>
    </w:pPr>
  </w:p>
  <w:p w14:paraId="566B9A09">
    <w:pPr>
      <w:pStyle w:val="11"/>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E0478">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797A5524">
                          <w:pPr>
                            <w:pStyle w:val="11"/>
                            <w:rPr>
                              <w:rStyle w:val="23"/>
                            </w:rPr>
                          </w:pPr>
                          <w:r>
                            <w:fldChar w:fldCharType="begin"/>
                          </w:r>
                          <w:r>
                            <w:rPr>
                              <w:rStyle w:val="23"/>
                            </w:rPr>
                            <w:instrText xml:space="preserve">PAGE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GBIB+PPAQAAlwMAAA4AAAAAAAAAAQAgAAAAIAEAAGRy&#10;cy9lMm9Eb2MueG1sUEsFBgAAAAAGAAYAWQEAAGEFAAAAAA==&#10;">
              <v:fill on="f" focussize="0,0"/>
              <v:stroke on="f"/>
              <v:imagedata o:title=""/>
              <o:lock v:ext="edit" aspectratio="f"/>
              <v:textbox inset="0mm,0mm,0mm,0mm" style="mso-fit-shape-to-text:t;">
                <w:txbxContent>
                  <w:p w14:paraId="797A5524">
                    <w:pPr>
                      <w:pStyle w:val="11"/>
                      <w:rPr>
                        <w:rStyle w:val="23"/>
                      </w:rPr>
                    </w:pPr>
                    <w:r>
                      <w:fldChar w:fldCharType="begin"/>
                    </w:r>
                    <w:r>
                      <w:rPr>
                        <w:rStyle w:val="23"/>
                      </w:rPr>
                      <w:instrText xml:space="preserve">PAGE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9F5F">
    <w:pPr>
      <w:pStyle w:val="11"/>
      <w:framePr w:wrap="around" w:vAnchor="text" w:hAnchor="margin" w:xAlign="center" w:y="1"/>
      <w:rPr>
        <w:rStyle w:val="23"/>
      </w:rPr>
    </w:pPr>
    <w:r>
      <w:fldChar w:fldCharType="begin"/>
    </w:r>
    <w:r>
      <w:rPr>
        <w:rStyle w:val="23"/>
      </w:rPr>
      <w:instrText xml:space="preserve">PAGE  </w:instrText>
    </w:r>
    <w:r>
      <w:fldChar w:fldCharType="end"/>
    </w:r>
  </w:p>
  <w:p w14:paraId="2256B054">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C866">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F052BC">
                          <w:pPr>
                            <w:pStyle w:val="11"/>
                            <w:jc w:val="center"/>
                          </w:pPr>
                          <w:r>
                            <w:fldChar w:fldCharType="begin"/>
                          </w:r>
                          <w:r>
                            <w:instrText xml:space="preserve">PAGE   \* MERGEFORMAT</w:instrText>
                          </w:r>
                          <w:r>
                            <w:fldChar w:fldCharType="separate"/>
                          </w:r>
                          <w:r>
                            <w:rPr>
                              <w:lang w:val="zh-CN"/>
                            </w:rPr>
                            <w:t>-</w:t>
                          </w:r>
                          <w:r>
                            <w:t xml:space="preserve"> 133 -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74F052BC">
                    <w:pPr>
                      <w:pStyle w:val="11"/>
                      <w:jc w:val="center"/>
                    </w:pPr>
                    <w:r>
                      <w:fldChar w:fldCharType="begin"/>
                    </w:r>
                    <w:r>
                      <w:instrText xml:space="preserve">PAGE   \* MERGEFORMAT</w:instrText>
                    </w:r>
                    <w:r>
                      <w:fldChar w:fldCharType="separate"/>
                    </w:r>
                    <w:r>
                      <w:rPr>
                        <w:lang w:val="zh-CN"/>
                      </w:rPr>
                      <w:t>-</w:t>
                    </w:r>
                    <w:r>
                      <w:t xml:space="preserve"> 133 -</w:t>
                    </w:r>
                    <w:r>
                      <w:rPr>
                        <w:lang w:val="zh-CN"/>
                      </w:rPr>
                      <w:fldChar w:fldCharType="end"/>
                    </w:r>
                  </w:p>
                </w:txbxContent>
              </v:textbox>
            </v:shape>
          </w:pict>
        </mc:Fallback>
      </mc:AlternateContent>
    </w:r>
  </w:p>
  <w:p w14:paraId="0319AD0B">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75E9A">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900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1A72">
    <w:pPr>
      <w:pStyle w:val="13"/>
      <w:pBdr>
        <w:bottom w:val="none" w:color="auto" w:sz="0" w:space="0"/>
      </w:pBdr>
    </w:pPr>
    <w:r>
      <w:rPr>
        <w:sz w:val="18"/>
      </w:rPr>
      <w:pict>
        <v:shape id="PowerPlusWaterMarkObject21097" o:spid="_x0000_s4097" o:spt="136" type="#_x0000_t136" style="position:absolute;left:0pt;height:44.3pt;width:542.95pt;mso-position-horizontal:center;mso-position-horizontal-relative:margin;mso-position-vertical:center;mso-position-vertical-relative:margin;rotation:-2949120f;z-index:-251652096;mso-width-relative:page;mso-height-relative:page;" fillcolor="#C0C0C0" filled="t" stroked="f" coordsize="21600,21600" adj="10800">
          <v:path/>
          <v:fill on="t" focussize="0,0"/>
          <v:stroke on="f"/>
          <v:imagedata o:title=""/>
          <o:lock v:ext="edit" aspectratio="t"/>
          <v:textpath on="t" fitshape="t" fitpath="t" trim="t" xscale="f" string="新疆标晟工程管理咨询有限责任公司"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DB5A">
    <w:pPr>
      <w:pStyle w:val="13"/>
      <w:pBdr>
        <w:bottom w:val="none" w:color="auto" w:sz="0" w:space="0"/>
      </w:pBdr>
    </w:pPr>
    <w:r>
      <w:rPr>
        <w:sz w:val="18"/>
      </w:rPr>
      <w:pict>
        <v:shape id="_x0000_s4098" o:spid="_x0000_s4098" o:spt="136" type="#_x0000_t136" style="position:absolute;left:0pt;height:44.3pt;width:542.95pt;mso-position-horizontal:center;mso-position-horizontal-relative:margin;mso-position-vertical:center;mso-position-vertical-relative:margin;rotation:-2949120f;z-index:-251651072;mso-width-relative:page;mso-height-relative:page;" fillcolor="#C0C0C0" filled="t" stroked="f" coordsize="21600,21600" adj="10800">
          <v:path/>
          <v:fill on="t" focussize="0,0"/>
          <v:stroke on="f"/>
          <v:imagedata o:title=""/>
          <o:lock v:ext="edit" aspectratio="t"/>
          <v:textpath on="t" fitshape="t" fitpath="t" trim="t" xscale="f" string="新疆标晟工程管理咨询有限责任公司" style="font-family:微软雅黑;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8DDFE">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45CDB">
    <w:pPr>
      <w:pStyle w:val="13"/>
      <w:pBdr>
        <w:bottom w:val="none" w:color="auto" w:sz="0" w:space="0"/>
      </w:pBdr>
      <w:jc w:val="right"/>
    </w:pPr>
    <w:r>
      <w:rPr>
        <w:sz w:val="18"/>
      </w:rPr>
      <w:pict>
        <v:shape id="_x0000_s4099" o:spid="_x0000_s4099" o:spt="136" type="#_x0000_t136" style="position:absolute;left:0pt;height:44.3pt;width:542.95pt;mso-position-horizontal:center;mso-position-horizontal-relative:margin;mso-position-vertical:center;mso-position-vertical-relative:margin;rotation:-2949120f;z-index:-251650048;mso-width-relative:page;mso-height-relative:page;" fillcolor="#C0C0C0" filled="t" stroked="f" coordsize="21600,21600" adj="10800">
          <v:path/>
          <v:fill on="t" focussize="0,0"/>
          <v:stroke on="f"/>
          <v:imagedata o:title=""/>
          <o:lock v:ext="edit" aspectratio="t"/>
          <v:textpath on="t" fitshape="t" fitpath="t" trim="t" xscale="f" string="新疆标晟工程管理咨询有限责任公司"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D4E63">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5135">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30E1">
    <w:pPr>
      <w:pStyle w:val="13"/>
      <w:pBdr>
        <w:bottom w:val="none" w:color="auto" w:sz="0" w:space="1"/>
      </w:pBdr>
      <w:jc w:val="both"/>
    </w:pPr>
    <w:r>
      <w:rPr>
        <w:sz w:val="18"/>
      </w:rPr>
      <w:pict>
        <v:shape id="_x0000_s4100" o:spid="_x0000_s4100" o:spt="136" type="#_x0000_t136" style="position:absolute;left:0pt;height:44.3pt;width:542.95pt;mso-position-horizontal:center;mso-position-horizontal-relative:margin;mso-position-vertical:center;mso-position-vertical-relative:margin;rotation:-2949120f;z-index:-251649024;mso-width-relative:page;mso-height-relative:page;" fillcolor="#C0C0C0" filled="t" stroked="f" coordsize="21600,21600" adj="10800">
          <v:path/>
          <v:fill on="t" focussize="0,0"/>
          <v:stroke on="f"/>
          <v:imagedata o:title=""/>
          <o:lock v:ext="edit" aspectratio="t"/>
          <v:textpath on="t" fitshape="t" fitpath="t" trim="t" xscale="f" string="新疆标晟工程管理咨询有限责任公司"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0600A"/>
    <w:multiLevelType w:val="singleLevel"/>
    <w:tmpl w:val="D4C0600A"/>
    <w:lvl w:ilvl="0" w:tentative="0">
      <w:start w:val="1"/>
      <w:numFmt w:val="decimal"/>
      <w:suff w:val="nothing"/>
      <w:lvlText w:val="%1、"/>
      <w:lvlJc w:val="left"/>
    </w:lvl>
  </w:abstractNum>
  <w:abstractNum w:abstractNumId="1">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ZTdmYzkzZjFiOWMzZDcxZTk5NDYxODUwZGM3ZWUifQ=="/>
  </w:docVars>
  <w:rsids>
    <w:rsidRoot w:val="113B515B"/>
    <w:rsid w:val="005A5BCE"/>
    <w:rsid w:val="083A4EEB"/>
    <w:rsid w:val="0C6C788C"/>
    <w:rsid w:val="113B515B"/>
    <w:rsid w:val="17902F8E"/>
    <w:rsid w:val="18001FEB"/>
    <w:rsid w:val="1C254D22"/>
    <w:rsid w:val="22192110"/>
    <w:rsid w:val="277B4352"/>
    <w:rsid w:val="292F15E6"/>
    <w:rsid w:val="2D003CD5"/>
    <w:rsid w:val="3AF166D3"/>
    <w:rsid w:val="44107B3F"/>
    <w:rsid w:val="452C2CEE"/>
    <w:rsid w:val="46487ECB"/>
    <w:rsid w:val="4B1D0D40"/>
    <w:rsid w:val="4CCB06DF"/>
    <w:rsid w:val="4E753947"/>
    <w:rsid w:val="510E1399"/>
    <w:rsid w:val="526D1A50"/>
    <w:rsid w:val="5A605AA0"/>
    <w:rsid w:val="5BB3647D"/>
    <w:rsid w:val="5BC3623C"/>
    <w:rsid w:val="61E02F68"/>
    <w:rsid w:val="65C3252A"/>
    <w:rsid w:val="688C06E9"/>
    <w:rsid w:val="6CBC5656"/>
    <w:rsid w:val="6F1624CD"/>
    <w:rsid w:val="72B85DF5"/>
    <w:rsid w:val="735A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autoSpaceDE w:val="0"/>
      <w:autoSpaceDN w:val="0"/>
      <w:adjustRightInd w:val="0"/>
      <w:ind w:firstLine="420"/>
      <w:jc w:val="left"/>
    </w:pPr>
    <w:rPr>
      <w:rFonts w:ascii="宋体"/>
      <w:kern w:val="0"/>
      <w:sz w:val="24"/>
      <w:szCs w:val="20"/>
    </w:rPr>
  </w:style>
  <w:style w:type="paragraph" w:styleId="5">
    <w:name w:val="toa heading"/>
    <w:basedOn w:val="1"/>
    <w:next w:val="1"/>
    <w:qFormat/>
    <w:uiPriority w:val="0"/>
    <w:pPr>
      <w:spacing w:before="120"/>
    </w:pPr>
    <w:rPr>
      <w:rFonts w:ascii="Cambria" w:hAnsi="Cambria"/>
      <w:sz w:val="24"/>
    </w:rPr>
  </w:style>
  <w:style w:type="paragraph" w:styleId="7">
    <w:name w:val="Body Text"/>
    <w:basedOn w:val="1"/>
    <w:next w:val="1"/>
    <w:qFormat/>
    <w:uiPriority w:val="0"/>
    <w:pPr>
      <w:tabs>
        <w:tab w:val="left" w:pos="567"/>
      </w:tabs>
      <w:spacing w:before="120" w:line="22" w:lineRule="atLeast"/>
    </w:pPr>
    <w:rPr>
      <w:rFonts w:ascii="宋体" w:hAnsi="宋体"/>
      <w:sz w:val="24"/>
    </w:rPr>
  </w:style>
  <w:style w:type="paragraph" w:styleId="8">
    <w:name w:val="Body Text Indent"/>
    <w:basedOn w:val="1"/>
    <w:next w:val="9"/>
    <w:qFormat/>
    <w:uiPriority w:val="0"/>
    <w:pPr>
      <w:spacing w:line="360" w:lineRule="auto"/>
      <w:ind w:firstLine="570"/>
    </w:pPr>
    <w:rPr>
      <w:sz w:val="24"/>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szCs w:val="20"/>
    </w:rPr>
  </w:style>
  <w:style w:type="paragraph" w:styleId="11">
    <w:name w:val="footer"/>
    <w:basedOn w:val="1"/>
    <w:next w:val="1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Body Text 2"/>
    <w:basedOn w:val="1"/>
    <w:qFormat/>
    <w:uiPriority w:val="0"/>
    <w:pPr>
      <w:adjustRightInd w:val="0"/>
      <w:snapToGrid w:val="0"/>
      <w:spacing w:line="480" w:lineRule="atLeast"/>
    </w:pPr>
    <w:rPr>
      <w:rFonts w:ascii="宋体" w:hAnsi="宋体"/>
      <w:sz w:val="28"/>
    </w:rPr>
  </w:style>
  <w:style w:type="paragraph" w:styleId="17">
    <w:name w:val="Body Text First Indent"/>
    <w:basedOn w:val="7"/>
    <w:next w:val="1"/>
    <w:unhideWhenUsed/>
    <w:qFormat/>
    <w:uiPriority w:val="99"/>
    <w:pPr>
      <w:widowControl/>
      <w:adjustRightInd w:val="0"/>
      <w:snapToGrid w:val="0"/>
      <w:spacing w:line="240" w:lineRule="auto"/>
      <w:ind w:firstLine="420" w:firstLineChars="100"/>
      <w:jc w:val="left"/>
    </w:pPr>
    <w:rPr>
      <w:rFonts w:ascii="Tahoma" w:hAnsi="Tahoma" w:eastAsia="微软雅黑" w:cs="Times New Roman"/>
      <w:kern w:val="0"/>
      <w:sz w:val="22"/>
      <w:szCs w:val="22"/>
    </w:rPr>
  </w:style>
  <w:style w:type="paragraph" w:styleId="18">
    <w:name w:val="Body Text First Indent 2"/>
    <w:basedOn w:val="8"/>
    <w:next w:val="17"/>
    <w:qFormat/>
    <w:uiPriority w:val="0"/>
    <w:pPr>
      <w:spacing w:line="360" w:lineRule="auto"/>
      <w:ind w:firstLine="420" w:firstLineChars="200"/>
    </w:pPr>
    <w:rPr>
      <w:rFonts w:ascii="宋体" w:hAnsi="宋体"/>
      <w:szCs w:val="20"/>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qFormat/>
    <w:uiPriority w:val="0"/>
  </w:style>
  <w:style w:type="paragraph" w:customStyle="1" w:styleId="24">
    <w:name w:val="_Style 2"/>
    <w:basedOn w:val="1"/>
    <w:qFormat/>
    <w:uiPriority w:val="34"/>
    <w:pPr>
      <w:ind w:firstLine="420" w:firstLineChars="200"/>
    </w:pPr>
  </w:style>
  <w:style w:type="paragraph" w:customStyle="1" w:styleId="25">
    <w:name w:val="首行缩进"/>
    <w:basedOn w:val="1"/>
    <w:qFormat/>
    <w:uiPriority w:val="0"/>
    <w:pPr>
      <w:spacing w:line="360" w:lineRule="auto"/>
      <w:ind w:firstLine="480" w:firstLineChars="200"/>
    </w:pPr>
    <w:rPr>
      <w:rFonts w:ascii="Calibri" w:hAnsi="Calibri" w:cs="Times New Roman"/>
      <w:sz w:val="24"/>
      <w:szCs w:val="22"/>
      <w:lang w:val="zh-CN"/>
    </w:rPr>
  </w:style>
  <w:style w:type="character" w:customStyle="1" w:styleId="26">
    <w:name w:val="NormalCharacter"/>
    <w:basedOn w:val="21"/>
    <w:qFormat/>
    <w:uiPriority w:val="0"/>
  </w:style>
  <w:style w:type="paragraph" w:customStyle="1" w:styleId="27">
    <w:name w:val="Table Paragraph"/>
    <w:basedOn w:val="1"/>
    <w:qFormat/>
    <w:uiPriority w:val="1"/>
    <w:rPr>
      <w:rFonts w:ascii="宋体" w:hAnsi="宋体" w:eastAsia="宋体" w:cs="宋体"/>
      <w:lang w:val="zh-CN" w:eastAsia="zh-CN" w:bidi="zh-CN"/>
    </w:rPr>
  </w:style>
  <w:style w:type="paragraph" w:styleId="28">
    <w:name w:val="List Paragraph"/>
    <w:basedOn w:val="1"/>
    <w:next w:val="1"/>
    <w:qFormat/>
    <w:uiPriority w:val="34"/>
    <w:pPr>
      <w:widowControl/>
      <w:ind w:firstLine="420" w:firstLineChars="200"/>
      <w:jc w:val="left"/>
    </w:pPr>
    <w:rPr>
      <w:kern w:val="0"/>
      <w:sz w:val="24"/>
    </w:rPr>
  </w:style>
  <w:style w:type="paragraph" w:customStyle="1" w:styleId="29">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3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1">
    <w:name w:val="索引 11"/>
    <w:basedOn w:val="1"/>
    <w:next w:val="1"/>
    <w:qFormat/>
    <w:uiPriority w:val="0"/>
    <w:pPr>
      <w:spacing w:line="360" w:lineRule="auto"/>
    </w:pPr>
    <w:rPr>
      <w:rFonts w:ascii="仿宋_GB2312" w:eastAsia="仿宋_GB2312"/>
      <w:sz w:val="24"/>
      <w:szCs w:val="20"/>
    </w:rPr>
  </w:style>
  <w:style w:type="paragraph" w:customStyle="1" w:styleId="32">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1026" textRotate="1"/>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2871</Words>
  <Characters>3024</Characters>
  <Lines>0</Lines>
  <Paragraphs>0</Paragraphs>
  <TotalTime>52</TotalTime>
  <ScaleCrop>false</ScaleCrop>
  <LinksUpToDate>false</LinksUpToDate>
  <CharactersWithSpaces>3298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2024-08-15T10:51:00Z</dcterms:created>
  <dc:creator>标晟</dc:creator>
  <cp:lastModifiedBy>.</cp:lastModifiedBy>
  <dcterms:modified xsi:type="dcterms:W3CDTF">2025-06-19T12:59:16Z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3C8F120B4F734EFD8A58C435CDCD37C0_13</vt:lpwstr>
  </property>
  <property fmtid="{D5CDD505-2E9C-101B-9397-08002B2CF9AE}" pid="4" name="KSOTemplateDocerSaveRecord">
    <vt:lpwstr>eyJoZGlkIjoiMmQ1YzcwYzVkMjIyODI2MjY0Y2RjZDkxM2Y1ZWU1YjUiLCJ1c2VySWQiOiI0MTIyMDQ1NDgifQ==</vt:lpwstr>
  </property>
</Properties>
</file>