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snapToGrid w:val="0"/>
        <w:spacing w:before="0" w:after="0" w:line="240" w:lineRule="auto"/>
        <w:jc w:val="right"/>
        <w:textAlignment w:val="auto"/>
        <w:rPr>
          <w:rFonts w:hint="eastAsia" w:ascii="仿宋" w:hAnsi="仿宋" w:eastAsia="仿宋" w:cs="仿宋"/>
          <w:b/>
          <w:bCs/>
          <w:kern w:val="2"/>
          <w:sz w:val="24"/>
          <w:szCs w:val="24"/>
          <w:lang w:val="en-US" w:eastAsia="zh-CN" w:bidi="ar-SA"/>
        </w:rPr>
      </w:pPr>
      <w:bookmarkStart w:id="0" w:name="_Toc9033"/>
      <w:r>
        <w:rPr>
          <w:rFonts w:hint="eastAsia" w:ascii="仿宋" w:hAnsi="仿宋" w:eastAsia="仿宋" w:cs="仿宋"/>
          <w:b/>
          <w:bCs/>
          <w:kern w:val="2"/>
          <w:sz w:val="24"/>
          <w:szCs w:val="24"/>
          <w:lang w:val="en-US" w:eastAsia="zh-CN" w:bidi="ar-SA"/>
        </w:rPr>
        <w:t xml:space="preserve">             采购备案处</w:t>
      </w:r>
    </w:p>
    <w:p>
      <w:pPr>
        <w:pStyle w:val="3"/>
        <w:keepNext/>
        <w:keepLines/>
        <w:pageBreakBefore w:val="0"/>
        <w:widowControl w:val="0"/>
        <w:tabs>
          <w:tab w:val="left" w:pos="0"/>
        </w:tabs>
        <w:kinsoku/>
        <w:wordWrap/>
        <w:overflowPunct/>
        <w:topLinePunct w:val="0"/>
        <w:autoSpaceDE w:val="0"/>
        <w:autoSpaceDN w:val="0"/>
        <w:bidi w:val="0"/>
        <w:adjustRightInd/>
        <w:snapToGrid w:val="0"/>
        <w:spacing w:before="0" w:after="0"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于田县工业园区产业园服装生产线设备采购项目</w:t>
      </w:r>
    </w:p>
    <w:p>
      <w:pPr>
        <w:pStyle w:val="3"/>
        <w:keepNext/>
        <w:keepLines/>
        <w:pageBreakBefore w:val="0"/>
        <w:widowControl w:val="0"/>
        <w:tabs>
          <w:tab w:val="left" w:pos="0"/>
        </w:tabs>
        <w:kinsoku/>
        <w:wordWrap/>
        <w:overflowPunct/>
        <w:topLinePunct w:val="0"/>
        <w:autoSpaceDE w:val="0"/>
        <w:autoSpaceDN w:val="0"/>
        <w:bidi w:val="0"/>
        <w:adjustRightInd/>
        <w:snapToGrid w:val="0"/>
        <w:spacing w:before="0"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竞争性谈判公告</w:t>
      </w:r>
      <w:bookmarkEnd w:id="0"/>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rPr>
        <w:t>于田县工业园区产业园服装生产线设备采购项目的潜在供应商应在</w:t>
      </w:r>
      <w:r>
        <w:rPr>
          <w:rFonts w:hint="eastAsia" w:ascii="仿宋" w:hAnsi="仿宋" w:eastAsia="仿宋" w:cs="仿宋"/>
          <w:sz w:val="24"/>
          <w:szCs w:val="24"/>
          <w:u w:val="single"/>
          <w:lang w:eastAsia="zh-CN"/>
        </w:rPr>
        <w:t>线下</w:t>
      </w:r>
      <w:r>
        <w:rPr>
          <w:rFonts w:hint="eastAsia" w:ascii="仿宋" w:hAnsi="仿宋" w:eastAsia="仿宋" w:cs="仿宋"/>
          <w:sz w:val="24"/>
          <w:szCs w:val="24"/>
          <w:u w:val="single"/>
        </w:rPr>
        <w:t>获取招标文件，并于</w:t>
      </w:r>
      <w:r>
        <w:rPr>
          <w:rFonts w:hint="eastAsia" w:ascii="仿宋" w:hAnsi="仿宋" w:eastAsia="仿宋" w:cs="仿宋"/>
          <w:sz w:val="24"/>
          <w:szCs w:val="24"/>
          <w:u w:val="single"/>
          <w:lang w:eastAsia="zh-CN"/>
        </w:rPr>
        <w:t>2021年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lang w:eastAsia="zh-CN"/>
        </w:rPr>
        <w:t>月</w:t>
      </w:r>
      <w:r>
        <w:rPr>
          <w:rFonts w:hint="eastAsia" w:ascii="仿宋" w:hAnsi="仿宋" w:eastAsia="仿宋" w:cs="仿宋"/>
          <w:sz w:val="24"/>
          <w:szCs w:val="24"/>
          <w:u w:val="single"/>
          <w:lang w:val="en-US" w:eastAsia="zh-CN"/>
        </w:rPr>
        <w:t>13</w:t>
      </w:r>
      <w:r>
        <w:rPr>
          <w:rFonts w:hint="eastAsia" w:ascii="仿宋" w:hAnsi="仿宋" w:eastAsia="仿宋" w:cs="仿宋"/>
          <w:sz w:val="24"/>
          <w:szCs w:val="24"/>
          <w:u w:val="single"/>
          <w:lang w:eastAsia="zh-CN"/>
        </w:rPr>
        <w:t xml:space="preserve">日 </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lang w:eastAsia="zh-CN"/>
        </w:rPr>
        <w:t>:00</w:t>
      </w:r>
      <w:r>
        <w:rPr>
          <w:rFonts w:hint="eastAsia" w:ascii="仿宋" w:hAnsi="仿宋" w:eastAsia="仿宋" w:cs="仿宋"/>
          <w:sz w:val="24"/>
          <w:szCs w:val="24"/>
          <w:u w:val="single"/>
        </w:rPr>
        <w:t xml:space="preserve"> （北京时间）前提交（上传）响应文件。</w:t>
      </w:r>
    </w:p>
    <w:p>
      <w:pPr>
        <w:pStyle w:val="4"/>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val="0"/>
          <w:sz w:val="24"/>
          <w:szCs w:val="24"/>
        </w:rPr>
      </w:pPr>
      <w:bookmarkStart w:id="1" w:name="_Toc14464"/>
      <w:bookmarkStart w:id="2" w:name="_Toc28359012"/>
      <w:bookmarkStart w:id="3" w:name="_Toc28359089"/>
      <w:bookmarkStart w:id="4" w:name="_Toc35393629"/>
      <w:bookmarkStart w:id="5" w:name="_Toc11674"/>
      <w:bookmarkStart w:id="6" w:name="_Toc35393798"/>
      <w:r>
        <w:rPr>
          <w:rFonts w:hint="eastAsia" w:ascii="仿宋" w:hAnsi="仿宋" w:eastAsia="仿宋" w:cs="仿宋"/>
          <w:b w:val="0"/>
          <w:sz w:val="24"/>
          <w:szCs w:val="24"/>
        </w:rPr>
        <w:t>一、项目基本情况</w:t>
      </w:r>
      <w:bookmarkEnd w:id="1"/>
      <w:bookmarkEnd w:id="2"/>
      <w:bookmarkEnd w:id="3"/>
      <w:bookmarkEnd w:id="4"/>
      <w:bookmarkEnd w:id="5"/>
      <w:bookmarkEnd w:id="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项目编号：YTXZFGKDL-JZ-2021-12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项目名称：于田县工业园区产业园服装生产线设备采购项目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采购方式：☑竞争性谈判 □竞争性磋商 □询价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7180000.00</w:t>
      </w:r>
      <w:r>
        <w:rPr>
          <w:rFonts w:hint="eastAsia" w:ascii="仿宋" w:hAnsi="仿宋" w:eastAsia="仿宋" w:cs="仿宋"/>
          <w:sz w:val="24"/>
          <w:szCs w:val="24"/>
        </w:rPr>
        <w:t>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最高限价：</w:t>
      </w:r>
      <w:r>
        <w:rPr>
          <w:rFonts w:hint="eastAsia" w:ascii="仿宋" w:hAnsi="仿宋" w:eastAsia="仿宋" w:cs="仿宋"/>
          <w:sz w:val="24"/>
          <w:szCs w:val="24"/>
          <w:lang w:val="en-US" w:eastAsia="zh-CN"/>
        </w:rPr>
        <w:t>7180000.00</w:t>
      </w:r>
      <w:r>
        <w:rPr>
          <w:rFonts w:hint="eastAsia" w:ascii="仿宋" w:hAnsi="仿宋" w:eastAsia="仿宋" w:cs="仿宋"/>
          <w:sz w:val="24"/>
          <w:szCs w:val="24"/>
        </w:rPr>
        <w:t>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采购需求：</w:t>
      </w:r>
      <w:r>
        <w:rPr>
          <w:rFonts w:hint="eastAsia" w:ascii="仿宋" w:hAnsi="仿宋" w:eastAsia="仿宋" w:cs="仿宋"/>
          <w:sz w:val="24"/>
          <w:szCs w:val="24"/>
          <w:lang w:eastAsia="zh-CN"/>
        </w:rPr>
        <w:t>采购服装生产线设备一批</w:t>
      </w:r>
      <w:r>
        <w:rPr>
          <w:rFonts w:hint="eastAsia" w:ascii="仿宋" w:hAnsi="仿宋" w:eastAsia="仿宋" w:cs="仿宋"/>
          <w:sz w:val="24"/>
          <w:szCs w:val="24"/>
        </w:rPr>
        <w:t xml:space="preserve">； </w:t>
      </w:r>
      <w:r>
        <w:rPr>
          <w:rFonts w:hint="eastAsia" w:ascii="仿宋" w:hAnsi="仿宋" w:eastAsia="仿宋" w:cs="仿宋"/>
          <w:color w:val="000000"/>
          <w:sz w:val="24"/>
          <w:szCs w:val="24"/>
        </w:rPr>
        <w:t>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合同履行期限：/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i/>
          <w:sz w:val="24"/>
          <w:szCs w:val="24"/>
          <w:lang w:val="en-US" w:eastAsia="zh-CN"/>
        </w:rPr>
        <w:t>否</w:t>
      </w:r>
      <w:r>
        <w:rPr>
          <w:rFonts w:hint="eastAsia" w:ascii="仿宋" w:hAnsi="仿宋" w:eastAsia="仿宋" w:cs="仿宋"/>
          <w:sz w:val="24"/>
          <w:szCs w:val="24"/>
        </w:rPr>
        <w:t>）接受联合体。</w:t>
      </w:r>
    </w:p>
    <w:p>
      <w:pPr>
        <w:pStyle w:val="4"/>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val="0"/>
          <w:sz w:val="24"/>
          <w:szCs w:val="24"/>
        </w:rPr>
      </w:pPr>
      <w:bookmarkStart w:id="7" w:name="_Toc28359090"/>
      <w:bookmarkStart w:id="8" w:name="_Toc10197"/>
      <w:bookmarkStart w:id="9" w:name="_Toc35393630"/>
      <w:bookmarkStart w:id="10" w:name="_Toc28359013"/>
      <w:bookmarkStart w:id="11" w:name="_Toc35393799"/>
      <w:bookmarkStart w:id="12" w:name="_Toc3275"/>
      <w:r>
        <w:rPr>
          <w:rFonts w:hint="eastAsia" w:ascii="仿宋" w:hAnsi="仿宋" w:eastAsia="仿宋" w:cs="仿宋"/>
          <w:b w:val="0"/>
          <w:sz w:val="24"/>
          <w:szCs w:val="24"/>
        </w:rPr>
        <w:t>二、申请人的资格要求：</w:t>
      </w:r>
      <w:bookmarkEnd w:id="7"/>
      <w:bookmarkEnd w:id="8"/>
      <w:bookmarkEnd w:id="9"/>
      <w:bookmarkEnd w:id="10"/>
      <w:bookmarkEnd w:id="11"/>
      <w:bookmarkEnd w:id="12"/>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val="0"/>
          <w:sz w:val="24"/>
          <w:szCs w:val="24"/>
        </w:rPr>
      </w:pPr>
      <w:bookmarkStart w:id="13" w:name="_Toc17402"/>
      <w:bookmarkStart w:id="14" w:name="_Toc35393800"/>
      <w:bookmarkStart w:id="15" w:name="_Toc35393631"/>
      <w:bookmarkStart w:id="16" w:name="_Toc28359014"/>
      <w:bookmarkStart w:id="17" w:name="_Toc28359091"/>
      <w:bookmarkStart w:id="18" w:name="_Toc20889"/>
      <w:r>
        <w:rPr>
          <w:rFonts w:hint="eastAsia" w:ascii="仿宋" w:hAnsi="仿宋" w:eastAsia="仿宋" w:cs="仿宋"/>
          <w:b/>
          <w:bCs w:val="0"/>
          <w:sz w:val="24"/>
          <w:szCs w:val="24"/>
        </w:rPr>
        <w:t>1.满足《中华人民共和国政府采购法》第二十二条规定；</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right="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2.落实政府采购政策需满足的资格要求：</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right="0"/>
        <w:textAlignment w:val="auto"/>
        <w:rPr>
          <w:rFonts w:hint="eastAsia" w:ascii="仿宋" w:hAnsi="仿宋" w:eastAsia="仿宋" w:cs="仿宋"/>
          <w:bCs/>
          <w:sz w:val="24"/>
          <w:szCs w:val="24"/>
          <w:lang w:eastAsia="zh-CN"/>
        </w:rPr>
      </w:pPr>
      <w:r>
        <w:rPr>
          <w:rFonts w:hint="eastAsia" w:ascii="仿宋" w:hAnsi="仿宋" w:eastAsia="仿宋" w:cs="仿宋"/>
          <w:i w:val="0"/>
          <w:caps w:val="0"/>
          <w:color w:val="000000"/>
          <w:spacing w:val="0"/>
          <w:kern w:val="0"/>
          <w:sz w:val="24"/>
          <w:szCs w:val="24"/>
          <w:highlight w:val="none"/>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关于环境标志产品政府采购实施的意见》（财库[2006]90 号、《节能产品政府采购实施意见》的通知（财库[2004]185 号）。</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rPr>
        <w:t>3.本项目的特定资格要求:</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投标人须具备在中华人民共和国依法注册的独立法人，具备有效的营业执照（三证合一）；</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法定代表人的需携带法定代表人证明书及法定代表人身份证及法定代表人近三个月的社保缴费凭证及个人明细；委托代理人需携带法定代表人授权委托书及委托代理人身份证及委托人近三个月的社保缴费凭证及个人明细；</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3、具有良好的商业信誉和健全的财务会计制度（提供2020年的财务审计报告（2021年新成立的公司可不提供财务审计报告但需提供银行出具的近三个月的资信证明）；）</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4、投标单位需提供税务机关出具近三个月的完税证明；</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凡拟参加本次招标项目的投标人，如在“信用中国”网站（</w:t>
      </w:r>
      <w:r>
        <w:rPr>
          <w:rFonts w:hint="eastAsia" w:ascii="仿宋" w:hAnsi="仿宋" w:eastAsia="仿宋" w:cs="仿宋"/>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sz w:val="24"/>
          <w:szCs w:val="24"/>
        </w:rPr>
        <w:t>www.creditchina.gov.cn）、中国政府采购网（</w:t>
      </w:r>
      <w:r>
        <w:rPr>
          <w:rFonts w:hint="eastAsia" w:ascii="仿宋" w:hAnsi="仿宋" w:eastAsia="仿宋" w:cs="仿宋"/>
          <w:sz w:val="24"/>
          <w:szCs w:val="24"/>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sz w:val="24"/>
          <w:szCs w:val="24"/>
        </w:rPr>
        <w:t>www.ccgp.gov.cn）、国家企业信用信息公示系统（</w:t>
      </w:r>
      <w:r>
        <w:rPr>
          <w:rFonts w:hint="eastAsia" w:ascii="仿宋" w:hAnsi="仿宋" w:eastAsia="仿宋" w:cs="仿宋"/>
          <w:sz w:val="24"/>
          <w:szCs w:val="24"/>
        </w:rPr>
        <w:drawing>
          <wp:inline distT="0" distB="0" distL="114300" distR="114300">
            <wp:extent cx="190500" cy="1428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sz w:val="24"/>
          <w:szCs w:val="24"/>
        </w:rPr>
        <w:t>http://www.gsxt.gov.cn）、中国裁判文书网（</w:t>
      </w:r>
      <w:r>
        <w:rPr>
          <w:rFonts w:hint="eastAsia" w:ascii="仿宋" w:hAnsi="仿宋" w:eastAsia="仿宋" w:cs="仿宋"/>
          <w:sz w:val="24"/>
          <w:szCs w:val="24"/>
        </w:rPr>
        <w:drawing>
          <wp:inline distT="0" distB="0" distL="114300" distR="114300">
            <wp:extent cx="190500" cy="1428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sz w:val="24"/>
          <w:szCs w:val="24"/>
        </w:rPr>
        <w:t>http://wenshu.court.gov.cn/）被列入失信被执行人、重大税收违法案件当事人名单、政府采购严重违法失信行为记录名单的、经营异常名录的、有行贿受贿犯罪记录，经开标现场查询尚在处罚期内的投标企业将拒绝其参与本次政府采购活动；</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rPr>
      </w:pPr>
      <w:r>
        <w:rPr>
          <w:rFonts w:hint="eastAsia" w:ascii="仿宋" w:hAnsi="仿宋" w:eastAsia="仿宋" w:cs="仿宋"/>
          <w:sz w:val="24"/>
          <w:szCs w:val="24"/>
          <w:lang w:val="en-US" w:eastAsia="zh-CN"/>
        </w:rPr>
        <w:t>6、</w:t>
      </w:r>
      <w:r>
        <w:rPr>
          <w:rFonts w:hint="eastAsia" w:ascii="仿宋" w:hAnsi="仿宋" w:eastAsia="仿宋" w:cs="仿宋"/>
          <w:sz w:val="24"/>
          <w:szCs w:val="24"/>
        </w:rPr>
        <w:t>本项目不接受联合体投标。</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三、获取采购文件</w:t>
      </w:r>
      <w:bookmarkEnd w:id="13"/>
      <w:bookmarkEnd w:id="14"/>
      <w:bookmarkEnd w:id="15"/>
      <w:bookmarkEnd w:id="16"/>
      <w:bookmarkEnd w:id="17"/>
      <w:bookmarkEnd w:id="18"/>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bookmarkStart w:id="19" w:name="_Toc35393632"/>
      <w:bookmarkStart w:id="20" w:name="_Toc22996"/>
      <w:bookmarkStart w:id="21" w:name="_Toc35393801"/>
      <w:bookmarkStart w:id="22" w:name="_Toc7922"/>
      <w:bookmarkStart w:id="23" w:name="_Toc28359015"/>
      <w:bookmarkStart w:id="24" w:name="_Toc28359092"/>
      <w:r>
        <w:rPr>
          <w:rFonts w:hint="eastAsia" w:ascii="仿宋" w:hAnsi="仿宋" w:eastAsia="仿宋" w:cs="仿宋"/>
          <w:sz w:val="24"/>
          <w:szCs w:val="24"/>
        </w:rPr>
        <w:t>时间： 2021年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日至  2021年 </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日（提供期限自本公告发布之日起不得少于</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个工作日），每天上午10:00　至14:00，下午16:00至19:</w:t>
      </w:r>
      <w:r>
        <w:rPr>
          <w:rFonts w:hint="eastAsia" w:ascii="仿宋" w:hAnsi="仿宋" w:eastAsia="仿宋" w:cs="仿宋"/>
          <w:sz w:val="24"/>
          <w:szCs w:val="24"/>
          <w:lang w:val="en-US" w:eastAsia="zh-CN"/>
        </w:rPr>
        <w:t>0</w:t>
      </w:r>
      <w:r>
        <w:rPr>
          <w:rFonts w:hint="eastAsia" w:ascii="仿宋" w:hAnsi="仿宋" w:eastAsia="仿宋" w:cs="仿宋"/>
          <w:sz w:val="24"/>
          <w:szCs w:val="24"/>
        </w:rPr>
        <w:t>0（北京时间，法定节假日除外）</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地点：新疆庆信达项目管理有限公司（和田市人民街18号玉都国际广场金座703室）</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方式：满足上述投标资质的投标人，携带第二条申请人的资格要求的相关证件（原件及加盖单位鲜公章的复印件各一套核对），审查合格后现场获取招标文件</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售价：200元/份（售后不退）</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四、响应文件提交</w:t>
      </w:r>
      <w:bookmarkEnd w:id="19"/>
      <w:bookmarkEnd w:id="20"/>
      <w:bookmarkEnd w:id="21"/>
      <w:bookmarkEnd w:id="22"/>
      <w:bookmarkEnd w:id="23"/>
      <w:bookmarkEnd w:id="2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截止时间：</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1</w:t>
      </w:r>
      <w:r>
        <w:rPr>
          <w:rFonts w:hint="eastAsia" w:ascii="仿宋" w:hAnsi="仿宋" w:eastAsia="仿宋" w:cs="仿宋"/>
          <w:bCs/>
          <w:sz w:val="24"/>
          <w:szCs w:val="24"/>
          <w:u w:val="single"/>
        </w:rPr>
        <w:t>年</w:t>
      </w:r>
      <w:r>
        <w:rPr>
          <w:rFonts w:hint="eastAsia" w:ascii="仿宋" w:hAnsi="仿宋" w:eastAsia="仿宋" w:cs="仿宋"/>
          <w:bCs/>
          <w:sz w:val="24"/>
          <w:szCs w:val="24"/>
          <w:u w:val="single"/>
          <w:lang w:val="en-US" w:eastAsia="zh-CN"/>
        </w:rPr>
        <w:t>12</w:t>
      </w:r>
      <w:r>
        <w:rPr>
          <w:rFonts w:hint="eastAsia" w:ascii="仿宋" w:hAnsi="仿宋" w:eastAsia="仿宋" w:cs="仿宋"/>
          <w:bCs/>
          <w:sz w:val="24"/>
          <w:szCs w:val="24"/>
          <w:u w:val="single"/>
        </w:rPr>
        <w:t>月</w:t>
      </w:r>
      <w:r>
        <w:rPr>
          <w:rFonts w:hint="eastAsia" w:ascii="仿宋" w:hAnsi="仿宋" w:eastAsia="仿宋" w:cs="仿宋"/>
          <w:bCs/>
          <w:sz w:val="24"/>
          <w:szCs w:val="24"/>
          <w:u w:val="single"/>
          <w:lang w:val="en-US" w:eastAsia="zh-CN"/>
        </w:rPr>
        <w:t>13</w:t>
      </w:r>
      <w:r>
        <w:rPr>
          <w:rFonts w:hint="eastAsia" w:ascii="仿宋" w:hAnsi="仿宋" w:eastAsia="仿宋" w:cs="仿宋"/>
          <w:bCs/>
          <w:sz w:val="24"/>
          <w:szCs w:val="24"/>
          <w:u w:val="single"/>
        </w:rPr>
        <w:t>日</w:t>
      </w:r>
      <w:r>
        <w:rPr>
          <w:rFonts w:hint="eastAsia" w:ascii="仿宋" w:hAnsi="仿宋" w:eastAsia="仿宋" w:cs="仿宋"/>
          <w:bCs/>
          <w:sz w:val="24"/>
          <w:szCs w:val="24"/>
          <w:u w:val="single"/>
          <w:lang w:val="en-US" w:eastAsia="zh-CN"/>
        </w:rPr>
        <w:t>11</w:t>
      </w:r>
      <w:r>
        <w:rPr>
          <w:rFonts w:hint="eastAsia" w:ascii="仿宋" w:hAnsi="仿宋" w:eastAsia="仿宋" w:cs="仿宋"/>
          <w:bCs/>
          <w:sz w:val="24"/>
          <w:szCs w:val="24"/>
          <w:u w:val="single"/>
        </w:rPr>
        <w:t xml:space="preserve">点 </w:t>
      </w:r>
      <w:r>
        <w:rPr>
          <w:rFonts w:hint="eastAsia" w:ascii="仿宋" w:hAnsi="仿宋" w:eastAsia="仿宋" w:cs="仿宋"/>
          <w:bCs/>
          <w:sz w:val="24"/>
          <w:szCs w:val="24"/>
          <w:u w:val="single"/>
          <w:lang w:val="en-US" w:eastAsia="zh-CN"/>
        </w:rPr>
        <w:t>0</w:t>
      </w:r>
      <w:r>
        <w:rPr>
          <w:rFonts w:hint="eastAsia" w:ascii="仿宋" w:hAnsi="仿宋" w:eastAsia="仿宋" w:cs="仿宋"/>
          <w:bCs/>
          <w:sz w:val="24"/>
          <w:szCs w:val="24"/>
          <w:u w:val="single"/>
        </w:rPr>
        <w:t>0分</w:t>
      </w:r>
      <w:r>
        <w:rPr>
          <w:rFonts w:hint="eastAsia" w:ascii="仿宋" w:hAnsi="仿宋" w:eastAsia="仿宋" w:cs="仿宋"/>
          <w:bCs/>
          <w:sz w:val="24"/>
          <w:szCs w:val="24"/>
        </w:rPr>
        <w:t>（北京时间）</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地点：腾讯会议</w:t>
      </w:r>
      <w:r>
        <w:rPr>
          <w:rFonts w:hint="eastAsia" w:ascii="仿宋" w:hAnsi="仿宋" w:eastAsia="仿宋" w:cs="仿宋"/>
          <w:sz w:val="24"/>
          <w:szCs w:val="24"/>
          <w:lang w:val="en-US" w:eastAsia="zh-CN"/>
        </w:rPr>
        <w:t>不见面</w:t>
      </w:r>
      <w:r>
        <w:rPr>
          <w:rFonts w:hint="eastAsia" w:ascii="仿宋" w:hAnsi="仿宋" w:eastAsia="仿宋" w:cs="仿宋"/>
          <w:sz w:val="24"/>
          <w:szCs w:val="24"/>
        </w:rPr>
        <w:t>开标</w:t>
      </w:r>
    </w:p>
    <w:p>
      <w:pPr>
        <w:pStyle w:val="4"/>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val="0"/>
          <w:sz w:val="24"/>
          <w:szCs w:val="24"/>
        </w:rPr>
      </w:pPr>
      <w:bookmarkStart w:id="25" w:name="_Toc30975"/>
      <w:bookmarkStart w:id="26" w:name="_Toc297"/>
      <w:bookmarkStart w:id="27" w:name="_Toc28359016"/>
      <w:bookmarkStart w:id="28" w:name="_Toc28359093"/>
      <w:bookmarkStart w:id="29" w:name="_Toc35393802"/>
      <w:bookmarkStart w:id="30" w:name="_Toc35393633"/>
      <w:r>
        <w:rPr>
          <w:rFonts w:hint="eastAsia" w:ascii="仿宋" w:hAnsi="仿宋" w:eastAsia="仿宋" w:cs="仿宋"/>
          <w:b w:val="0"/>
          <w:sz w:val="24"/>
          <w:szCs w:val="24"/>
        </w:rPr>
        <w:t>五、开启</w:t>
      </w:r>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1</w:t>
      </w:r>
      <w:r>
        <w:rPr>
          <w:rFonts w:hint="eastAsia" w:ascii="仿宋" w:hAnsi="仿宋" w:eastAsia="仿宋" w:cs="仿宋"/>
          <w:bCs/>
          <w:sz w:val="24"/>
          <w:szCs w:val="24"/>
          <w:u w:val="single"/>
        </w:rPr>
        <w:t>年</w:t>
      </w:r>
      <w:r>
        <w:rPr>
          <w:rFonts w:hint="eastAsia" w:ascii="仿宋" w:hAnsi="仿宋" w:eastAsia="仿宋" w:cs="仿宋"/>
          <w:bCs/>
          <w:sz w:val="24"/>
          <w:szCs w:val="24"/>
          <w:u w:val="single"/>
          <w:lang w:val="en-US" w:eastAsia="zh-CN"/>
        </w:rPr>
        <w:t>12</w:t>
      </w:r>
      <w:r>
        <w:rPr>
          <w:rFonts w:hint="eastAsia" w:ascii="仿宋" w:hAnsi="仿宋" w:eastAsia="仿宋" w:cs="仿宋"/>
          <w:bCs/>
          <w:sz w:val="24"/>
          <w:szCs w:val="24"/>
          <w:u w:val="single"/>
        </w:rPr>
        <w:t>月</w:t>
      </w:r>
      <w:r>
        <w:rPr>
          <w:rFonts w:hint="eastAsia" w:ascii="仿宋" w:hAnsi="仿宋" w:eastAsia="仿宋" w:cs="仿宋"/>
          <w:bCs/>
          <w:sz w:val="24"/>
          <w:szCs w:val="24"/>
          <w:u w:val="single"/>
          <w:lang w:val="en-US" w:eastAsia="zh-CN"/>
        </w:rPr>
        <w:t>13</w:t>
      </w:r>
      <w:r>
        <w:rPr>
          <w:rFonts w:hint="eastAsia" w:ascii="仿宋" w:hAnsi="仿宋" w:eastAsia="仿宋" w:cs="仿宋"/>
          <w:bCs/>
          <w:sz w:val="24"/>
          <w:szCs w:val="24"/>
          <w:u w:val="single"/>
        </w:rPr>
        <w:t>日</w:t>
      </w:r>
      <w:r>
        <w:rPr>
          <w:rFonts w:hint="eastAsia" w:ascii="仿宋" w:hAnsi="仿宋" w:eastAsia="仿宋" w:cs="仿宋"/>
          <w:bCs/>
          <w:sz w:val="24"/>
          <w:szCs w:val="24"/>
          <w:u w:val="single"/>
          <w:lang w:val="en-US" w:eastAsia="zh-CN"/>
        </w:rPr>
        <w:t>11</w:t>
      </w:r>
      <w:r>
        <w:rPr>
          <w:rFonts w:hint="eastAsia" w:ascii="仿宋" w:hAnsi="仿宋" w:eastAsia="仿宋" w:cs="仿宋"/>
          <w:bCs/>
          <w:sz w:val="24"/>
          <w:szCs w:val="24"/>
          <w:u w:val="single"/>
        </w:rPr>
        <w:t xml:space="preserve">点 </w:t>
      </w:r>
      <w:r>
        <w:rPr>
          <w:rFonts w:hint="eastAsia" w:ascii="仿宋" w:hAnsi="仿宋" w:eastAsia="仿宋" w:cs="仿宋"/>
          <w:bCs/>
          <w:sz w:val="24"/>
          <w:szCs w:val="24"/>
          <w:u w:val="single"/>
          <w:lang w:val="en-US" w:eastAsia="zh-CN"/>
        </w:rPr>
        <w:t>0</w:t>
      </w:r>
      <w:r>
        <w:rPr>
          <w:rFonts w:hint="eastAsia" w:ascii="仿宋" w:hAnsi="仿宋" w:eastAsia="仿宋" w:cs="仿宋"/>
          <w:bCs/>
          <w:sz w:val="24"/>
          <w:szCs w:val="24"/>
          <w:u w:val="single"/>
        </w:rPr>
        <w:t>0分</w:t>
      </w:r>
      <w:r>
        <w:rPr>
          <w:rFonts w:hint="eastAsia" w:ascii="仿宋" w:hAnsi="仿宋" w:eastAsia="仿宋" w:cs="仿宋"/>
          <w:bCs/>
          <w:sz w:val="24"/>
          <w:szCs w:val="24"/>
        </w:rPr>
        <w:t>（北京时间）</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eastAsia="zh-CN"/>
        </w:rPr>
      </w:pPr>
      <w:bookmarkStart w:id="31" w:name="_Toc135"/>
      <w:bookmarkStart w:id="32" w:name="_Toc28359094"/>
      <w:bookmarkStart w:id="33" w:name="_Toc28359017"/>
      <w:bookmarkStart w:id="34" w:name="_Toc35393634"/>
      <w:bookmarkStart w:id="35" w:name="_Toc15664"/>
      <w:bookmarkStart w:id="36" w:name="_Toc35393803"/>
      <w:r>
        <w:rPr>
          <w:rFonts w:hint="eastAsia" w:ascii="仿宋" w:hAnsi="仿宋" w:eastAsia="仿宋" w:cs="仿宋"/>
          <w:sz w:val="24"/>
          <w:szCs w:val="24"/>
        </w:rPr>
        <w:t>地点：腾讯会议</w:t>
      </w:r>
      <w:r>
        <w:rPr>
          <w:rFonts w:hint="eastAsia" w:ascii="仿宋" w:hAnsi="仿宋" w:eastAsia="仿宋" w:cs="仿宋"/>
          <w:sz w:val="24"/>
          <w:szCs w:val="24"/>
          <w:lang w:val="en-US" w:eastAsia="zh-CN"/>
        </w:rPr>
        <w:t>不见面</w:t>
      </w:r>
      <w:r>
        <w:rPr>
          <w:rFonts w:hint="eastAsia" w:ascii="仿宋" w:hAnsi="仿宋" w:eastAsia="仿宋" w:cs="仿宋"/>
          <w:sz w:val="24"/>
          <w:szCs w:val="24"/>
        </w:rPr>
        <w:t>开标</w:t>
      </w:r>
    </w:p>
    <w:p>
      <w:pPr>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4"/>
          <w:szCs w:val="24"/>
        </w:rPr>
      </w:pPr>
      <w:r>
        <w:rPr>
          <w:rFonts w:hint="eastAsia" w:ascii="仿宋" w:hAnsi="仿宋" w:eastAsia="仿宋" w:cs="仿宋"/>
          <w:bCs/>
          <w:sz w:val="24"/>
          <w:szCs w:val="24"/>
        </w:rPr>
        <w:t>六、公告期限</w:t>
      </w:r>
      <w:bookmarkEnd w:id="31"/>
      <w:bookmarkEnd w:id="32"/>
      <w:bookmarkEnd w:id="33"/>
      <w:bookmarkEnd w:id="34"/>
      <w:bookmarkEnd w:id="35"/>
      <w:bookmarkEnd w:id="3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自本公告发布之日起</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个工作日。</w:t>
      </w:r>
    </w:p>
    <w:p>
      <w:pPr>
        <w:pStyle w:val="4"/>
        <w:keepNext/>
        <w:keepLines/>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4"/>
          <w:szCs w:val="24"/>
          <w:lang w:val="en-US" w:eastAsia="zh-CN"/>
        </w:rPr>
      </w:pPr>
      <w:bookmarkStart w:id="37" w:name="_Toc35393635"/>
      <w:bookmarkStart w:id="38" w:name="_Toc35393804"/>
      <w:bookmarkStart w:id="39" w:name="_Toc23752"/>
      <w:bookmarkStart w:id="40" w:name="_Toc25927"/>
      <w:r>
        <w:rPr>
          <w:rFonts w:hint="eastAsia" w:ascii="仿宋" w:hAnsi="仿宋" w:eastAsia="仿宋" w:cs="仿宋"/>
          <w:b w:val="0"/>
          <w:sz w:val="24"/>
          <w:szCs w:val="24"/>
        </w:rPr>
        <w:t>七、其他补充事宜</w:t>
      </w:r>
      <w:bookmarkEnd w:id="37"/>
      <w:bookmarkEnd w:id="38"/>
      <w:r>
        <w:rPr>
          <w:rFonts w:hint="eastAsia" w:ascii="仿宋" w:hAnsi="仿宋" w:eastAsia="仿宋" w:cs="仿宋"/>
          <w:b w:val="0"/>
          <w:sz w:val="24"/>
          <w:szCs w:val="24"/>
          <w:lang w:eastAsia="zh-CN"/>
        </w:rPr>
        <w:t>：</w:t>
      </w:r>
      <w:r>
        <w:rPr>
          <w:rFonts w:hint="eastAsia" w:ascii="仿宋" w:hAnsi="仿宋" w:eastAsia="仿宋" w:cs="仿宋"/>
          <w:b w:val="0"/>
          <w:sz w:val="24"/>
          <w:szCs w:val="24"/>
          <w:lang w:val="en-US" w:eastAsia="zh-CN"/>
        </w:rPr>
        <w:t>无</w:t>
      </w:r>
      <w:bookmarkEnd w:id="39"/>
      <w:bookmarkEnd w:id="40"/>
    </w:p>
    <w:p>
      <w:pPr>
        <w:pStyle w:val="4"/>
        <w:keepNext/>
        <w:keepLines/>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val="0"/>
          <w:sz w:val="24"/>
          <w:szCs w:val="24"/>
        </w:rPr>
      </w:pPr>
      <w:bookmarkStart w:id="41" w:name="_Toc28359095"/>
      <w:bookmarkStart w:id="42" w:name="_Toc35393805"/>
      <w:bookmarkStart w:id="43" w:name="_Toc20454"/>
      <w:bookmarkStart w:id="44" w:name="_Toc35393636"/>
      <w:bookmarkStart w:id="45" w:name="_Toc28359018"/>
      <w:bookmarkStart w:id="46" w:name="_Toc1455"/>
      <w:r>
        <w:rPr>
          <w:rFonts w:hint="eastAsia" w:ascii="仿宋" w:hAnsi="仿宋" w:eastAsia="仿宋" w:cs="仿宋"/>
          <w:b w:val="0"/>
          <w:sz w:val="24"/>
          <w:szCs w:val="24"/>
        </w:rPr>
        <w:t>八、凡对本次采购提出询问，请按</w:t>
      </w:r>
      <w:bookmarkStart w:id="47" w:name="_GoBack"/>
      <w:bookmarkEnd w:id="47"/>
      <w:r>
        <w:rPr>
          <w:rFonts w:hint="eastAsia" w:ascii="仿宋" w:hAnsi="仿宋" w:eastAsia="仿宋" w:cs="仿宋"/>
          <w:b w:val="0"/>
          <w:sz w:val="24"/>
          <w:szCs w:val="24"/>
        </w:rPr>
        <w:t>以下方式联系。</w:t>
      </w:r>
      <w:bookmarkEnd w:id="41"/>
      <w:bookmarkEnd w:id="42"/>
      <w:bookmarkEnd w:id="43"/>
      <w:bookmarkEnd w:id="44"/>
      <w:bookmarkEnd w:id="45"/>
      <w:bookmarkEnd w:id="46"/>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1.采购人信息</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名    称：于田县阗福资产开发管理有限责任公司</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地    址：于田县　　　　</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联系方式：18399005004　</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2.采购代理机构信息（如有）</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名    称：新疆庆信达项目管理有限公司　</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地    址：和田市人民街18号玉都国际广场金座703室</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联系方式：0903-7820626　　</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3.项目联系方式</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项目联系人：郑泽娟</w:t>
      </w:r>
    </w:p>
    <w:p>
      <w:pPr>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b w:val="0"/>
          <w:kern w:val="2"/>
          <w:sz w:val="24"/>
          <w:szCs w:val="24"/>
          <w:lang w:val="en-US" w:eastAsia="zh-CN" w:bidi="ar-SA"/>
        </w:rPr>
        <w:t>电　　  话：0903-7820626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1528"/>
    <w:rsid w:val="06EF2FA2"/>
    <w:rsid w:val="0A2D03DC"/>
    <w:rsid w:val="0B8C32E1"/>
    <w:rsid w:val="0D1D1F35"/>
    <w:rsid w:val="105826E5"/>
    <w:rsid w:val="10C87EA7"/>
    <w:rsid w:val="123C6D39"/>
    <w:rsid w:val="129E586A"/>
    <w:rsid w:val="15DF1732"/>
    <w:rsid w:val="16A44F1B"/>
    <w:rsid w:val="17DF7699"/>
    <w:rsid w:val="19006D7A"/>
    <w:rsid w:val="1B556D3A"/>
    <w:rsid w:val="1E5336A7"/>
    <w:rsid w:val="1E58477B"/>
    <w:rsid w:val="1F2F00CB"/>
    <w:rsid w:val="20CF6BF6"/>
    <w:rsid w:val="22561326"/>
    <w:rsid w:val="22937B65"/>
    <w:rsid w:val="22D203C6"/>
    <w:rsid w:val="230B6196"/>
    <w:rsid w:val="25E67079"/>
    <w:rsid w:val="29E3121F"/>
    <w:rsid w:val="2AC848F7"/>
    <w:rsid w:val="2AF44FC1"/>
    <w:rsid w:val="2D003A0D"/>
    <w:rsid w:val="2FAD0A2D"/>
    <w:rsid w:val="32206981"/>
    <w:rsid w:val="32887969"/>
    <w:rsid w:val="34FC7B3B"/>
    <w:rsid w:val="389E4A6F"/>
    <w:rsid w:val="3D18027B"/>
    <w:rsid w:val="3E550ABE"/>
    <w:rsid w:val="3EAF6C91"/>
    <w:rsid w:val="3EEC39F8"/>
    <w:rsid w:val="41006CBB"/>
    <w:rsid w:val="4244039E"/>
    <w:rsid w:val="43252EEA"/>
    <w:rsid w:val="4ADE0D1B"/>
    <w:rsid w:val="4CEA10A3"/>
    <w:rsid w:val="4DFD5FE8"/>
    <w:rsid w:val="50E67345"/>
    <w:rsid w:val="54A76DD9"/>
    <w:rsid w:val="54DF2178"/>
    <w:rsid w:val="55A2018D"/>
    <w:rsid w:val="57352285"/>
    <w:rsid w:val="5A692400"/>
    <w:rsid w:val="5C263E63"/>
    <w:rsid w:val="5FB16742"/>
    <w:rsid w:val="60921607"/>
    <w:rsid w:val="626F29D3"/>
    <w:rsid w:val="638C6FD1"/>
    <w:rsid w:val="6B7B385E"/>
    <w:rsid w:val="6D387DFB"/>
    <w:rsid w:val="6D3A39AF"/>
    <w:rsid w:val="6FFB0FE3"/>
    <w:rsid w:val="71534506"/>
    <w:rsid w:val="752A6A53"/>
    <w:rsid w:val="76834321"/>
    <w:rsid w:val="7AF460F1"/>
    <w:rsid w:val="7B051C57"/>
    <w:rsid w:val="7BA74807"/>
    <w:rsid w:val="7E7D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100" w:after="90" w:line="576" w:lineRule="auto"/>
      <w:jc w:val="center"/>
      <w:outlineLvl w:val="0"/>
    </w:pPr>
    <w:rPr>
      <w:b/>
      <w:kern w:val="44"/>
      <w:sz w:val="36"/>
      <w:szCs w:val="44"/>
    </w:rPr>
  </w:style>
  <w:style w:type="paragraph" w:styleId="4">
    <w:name w:val="heading 2"/>
    <w:basedOn w:val="1"/>
    <w:next w:val="1"/>
    <w:unhideWhenUsed/>
    <w:qFormat/>
    <w:uiPriority w:val="0"/>
    <w:pPr>
      <w:keepNext/>
      <w:keepLines/>
      <w:spacing w:before="240" w:after="240"/>
      <w:outlineLvl w:val="1"/>
    </w:pPr>
    <w:rPr>
      <w:rFonts w:ascii="Arial" w:hAnsi="Arial"/>
      <w:b/>
    </w:rPr>
  </w:style>
  <w:style w:type="paragraph" w:styleId="2">
    <w:name w:val="heading 3"/>
    <w:basedOn w:val="1"/>
    <w:next w:val="1"/>
    <w:semiHidden/>
    <w:unhideWhenUsed/>
    <w:qFormat/>
    <w:uiPriority w:val="0"/>
    <w:pPr>
      <w:keepNext/>
      <w:keepLines/>
      <w:jc w:val="left"/>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ind w:firstLine="420"/>
    </w:pPr>
    <w:rPr>
      <w:rFonts w:ascii="Times New Roman" w:eastAsia="楷体_GB2312"/>
      <w:sz w:val="24"/>
    </w:rPr>
  </w:style>
  <w:style w:type="paragraph" w:styleId="6">
    <w:name w:val="Body Text Indent"/>
    <w:basedOn w:val="1"/>
    <w:qFormat/>
    <w:uiPriority w:val="0"/>
    <w:pPr>
      <w:spacing w:line="360" w:lineRule="auto"/>
      <w:ind w:firstLine="560" w:firstLineChars="200"/>
    </w:pPr>
    <w:rPr>
      <w:sz w:val="28"/>
    </w:rPr>
  </w:style>
  <w:style w:type="paragraph" w:styleId="7">
    <w:name w:val="Plain Text"/>
    <w:basedOn w:val="1"/>
    <w:qFormat/>
    <w:uiPriority w:val="0"/>
    <w:rPr>
      <w:rFonts w:ascii="宋体" w:hAnsi="Courier New"/>
      <w:sz w:val="11"/>
      <w:szCs w:val="20"/>
    </w:rPr>
  </w:style>
  <w:style w:type="paragraph" w:styleId="8">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9">
    <w:name w:val="Body Text First Indent 2"/>
    <w:basedOn w:val="6"/>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paragraph" w:customStyle="1" w:styleId="12">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dc:creator>
  <cp:lastModifiedBy>WPS_1489630258</cp:lastModifiedBy>
  <cp:lastPrinted>2021-11-16T11:05:00Z</cp:lastPrinted>
  <dcterms:modified xsi:type="dcterms:W3CDTF">2021-12-06T02:07:41Z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3C3F5A10A35B4C5ABB0207051F2EE688</vt:lpwstr>
  </property>
</Properties>
</file>