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overflowPunct/>
        <w:topLinePunct w:val="0"/>
        <w:autoSpaceDE w:val="0"/>
        <w:autoSpaceDN w:val="0"/>
        <w:bidi w:val="0"/>
        <w:adjustRightInd w:val="0"/>
        <w:spacing w:before="0" w:after="0" w:line="240" w:lineRule="auto"/>
        <w:jc w:val="righ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盖章备案处</w:t>
      </w:r>
    </w:p>
    <w:p>
      <w:pPr>
        <w:pStyle w:val="3"/>
        <w:pageBreakBefore w:val="0"/>
        <w:tabs>
          <w:tab w:val="left" w:pos="0"/>
          <w:tab w:val="left" w:pos="3165"/>
          <w:tab w:val="center" w:pos="4153"/>
        </w:tabs>
        <w:kinsoku/>
        <w:wordWrap/>
        <w:overflowPunct/>
        <w:topLinePunct w:val="0"/>
        <w:autoSpaceDE w:val="0"/>
        <w:autoSpaceDN w:val="0"/>
        <w:bidi w:val="0"/>
        <w:adjustRightInd/>
        <w:snapToGrid w:val="0"/>
        <w:spacing w:before="0" w:after="0" w:line="216" w:lineRule="auto"/>
        <w:jc w:val="center"/>
        <w:textAlignment w:val="auto"/>
        <w:rPr>
          <w:rFonts w:hint="eastAsia" w:ascii="仿宋" w:hAnsi="仿宋" w:eastAsia="仿宋" w:cs="仿宋"/>
          <w:sz w:val="44"/>
          <w:szCs w:val="44"/>
          <w:lang w:eastAsia="zh-CN"/>
        </w:rPr>
      </w:pPr>
      <w:r>
        <w:rPr>
          <w:rFonts w:hint="eastAsia" w:ascii="仿宋" w:hAnsi="仿宋" w:eastAsia="仿宋" w:cs="仿宋"/>
          <w:sz w:val="44"/>
          <w:szCs w:val="44"/>
          <w:lang w:eastAsia="zh-CN"/>
        </w:rPr>
        <w:t>于田县现代农业产业园电力配套设施采购项目</w:t>
      </w:r>
    </w:p>
    <w:p>
      <w:pPr>
        <w:pStyle w:val="3"/>
        <w:pageBreakBefore w:val="0"/>
        <w:tabs>
          <w:tab w:val="left" w:pos="0"/>
          <w:tab w:val="left" w:pos="3165"/>
          <w:tab w:val="center" w:pos="4153"/>
        </w:tabs>
        <w:kinsoku/>
        <w:wordWrap/>
        <w:overflowPunct/>
        <w:topLinePunct w:val="0"/>
        <w:autoSpaceDE w:val="0"/>
        <w:autoSpaceDN w:val="0"/>
        <w:bidi w:val="0"/>
        <w:adjustRightInd/>
        <w:snapToGrid w:val="0"/>
        <w:spacing w:before="0" w:after="0" w:line="216" w:lineRule="auto"/>
        <w:jc w:val="center"/>
        <w:textAlignment w:val="auto"/>
        <w:rPr>
          <w:rFonts w:hint="eastAsia" w:ascii="仿宋" w:hAnsi="仿宋" w:eastAsia="仿宋" w:cs="仿宋"/>
          <w:sz w:val="44"/>
          <w:szCs w:val="44"/>
        </w:rPr>
      </w:pPr>
      <w:r>
        <w:rPr>
          <w:rFonts w:hint="eastAsia" w:ascii="仿宋" w:hAnsi="仿宋" w:eastAsia="仿宋" w:cs="仿宋"/>
          <w:sz w:val="44"/>
          <w:szCs w:val="44"/>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val="0"/>
        <w:spacing w:line="21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val="0"/>
        <w:spacing w:line="21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于田县现代农业产业园电力配套设施采购项目</w:t>
      </w:r>
      <w:r>
        <w:rPr>
          <w:rFonts w:hint="eastAsia" w:ascii="仿宋" w:hAnsi="仿宋" w:eastAsia="仿宋" w:cs="仿宋"/>
          <w:sz w:val="24"/>
          <w:szCs w:val="24"/>
        </w:rPr>
        <w:t xml:space="preserve"> 招标项目的潜在投标人应在</w:t>
      </w:r>
      <w:r>
        <w:rPr>
          <w:rFonts w:hint="eastAsia" w:ascii="仿宋" w:hAnsi="仿宋" w:eastAsia="仿宋" w:cs="仿宋"/>
          <w:sz w:val="24"/>
          <w:szCs w:val="24"/>
          <w:u w:val="single"/>
        </w:rPr>
        <w:t>（</w:t>
      </w:r>
      <w:r>
        <w:rPr>
          <w:rFonts w:hint="eastAsia" w:ascii="仿宋" w:hAnsi="仿宋" w:eastAsia="仿宋" w:cs="仿宋"/>
          <w:i/>
          <w:sz w:val="24"/>
          <w:szCs w:val="24"/>
          <w:u w:val="single"/>
        </w:rPr>
        <w:t>新疆庆信达项目管理有限公司（和田市人民街18号玉都国际广场金座703室</w:t>
      </w:r>
      <w:r>
        <w:rPr>
          <w:rFonts w:hint="eastAsia" w:ascii="仿宋" w:hAnsi="仿宋" w:eastAsia="仿宋" w:cs="仿宋"/>
          <w:sz w:val="24"/>
          <w:szCs w:val="24"/>
          <w:u w:val="single"/>
        </w:rPr>
        <w:t>）</w:t>
      </w:r>
      <w:r>
        <w:rPr>
          <w:rFonts w:hint="eastAsia" w:ascii="仿宋" w:hAnsi="仿宋" w:eastAsia="仿宋" w:cs="仿宋"/>
          <w:sz w:val="24"/>
          <w:szCs w:val="24"/>
        </w:rPr>
        <w:t>获取招标文件，并于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2021</w:t>
      </w:r>
      <w:r>
        <w:rPr>
          <w:rFonts w:hint="eastAsia" w:ascii="仿宋" w:hAnsi="仿宋" w:eastAsia="仿宋" w:cs="仿宋"/>
          <w:bCs/>
          <w:sz w:val="24"/>
          <w:szCs w:val="24"/>
          <w:u w:val="single"/>
        </w:rPr>
        <w:t>年</w:t>
      </w:r>
      <w:r>
        <w:rPr>
          <w:rFonts w:hint="eastAsia" w:ascii="仿宋" w:hAnsi="仿宋" w:eastAsia="仿宋" w:cs="仿宋"/>
          <w:bCs/>
          <w:sz w:val="24"/>
          <w:szCs w:val="24"/>
          <w:u w:val="single"/>
          <w:lang w:val="en-US" w:eastAsia="zh-CN"/>
        </w:rPr>
        <w:t>1</w:t>
      </w:r>
      <w:r>
        <w:rPr>
          <w:rFonts w:hint="eastAsia" w:ascii="仿宋" w:hAnsi="仿宋" w:eastAsia="仿宋" w:cs="仿宋"/>
          <w:bCs/>
          <w:sz w:val="24"/>
          <w:szCs w:val="24"/>
          <w:u w:val="single"/>
        </w:rPr>
        <w:t>月</w:t>
      </w:r>
      <w:r>
        <w:rPr>
          <w:rFonts w:hint="eastAsia" w:ascii="仿宋" w:hAnsi="仿宋" w:eastAsia="仿宋" w:cs="仿宋"/>
          <w:bCs/>
          <w:sz w:val="24"/>
          <w:szCs w:val="24"/>
          <w:u w:val="single"/>
          <w:lang w:val="en-US" w:eastAsia="zh-CN"/>
        </w:rPr>
        <w:t>28</w:t>
      </w:r>
      <w:r>
        <w:rPr>
          <w:rFonts w:hint="eastAsia" w:ascii="仿宋" w:hAnsi="仿宋" w:eastAsia="仿宋" w:cs="仿宋"/>
          <w:bCs/>
          <w:sz w:val="24"/>
          <w:szCs w:val="24"/>
          <w:u w:val="single"/>
        </w:rPr>
        <w:t xml:space="preserve">日 </w:t>
      </w:r>
      <w:r>
        <w:rPr>
          <w:rFonts w:hint="eastAsia" w:ascii="仿宋" w:hAnsi="仿宋" w:eastAsia="仿宋" w:cs="仿宋"/>
          <w:bCs/>
          <w:sz w:val="24"/>
          <w:szCs w:val="24"/>
          <w:u w:val="single"/>
          <w:lang w:val="en-US" w:eastAsia="zh-CN"/>
        </w:rPr>
        <w:t>11</w:t>
      </w:r>
      <w:r>
        <w:rPr>
          <w:rFonts w:hint="eastAsia" w:ascii="仿宋" w:hAnsi="仿宋" w:eastAsia="仿宋" w:cs="仿宋"/>
          <w:bCs/>
          <w:sz w:val="24"/>
          <w:szCs w:val="24"/>
          <w:u w:val="single"/>
        </w:rPr>
        <w:t xml:space="preserve"> 点 </w:t>
      </w:r>
      <w:r>
        <w:rPr>
          <w:rFonts w:hint="eastAsia" w:ascii="仿宋" w:hAnsi="仿宋" w:eastAsia="仿宋" w:cs="仿宋"/>
          <w:bCs/>
          <w:sz w:val="24"/>
          <w:szCs w:val="24"/>
          <w:u w:val="single"/>
          <w:lang w:val="en-US" w:eastAsia="zh-CN"/>
        </w:rPr>
        <w:t>00</w:t>
      </w:r>
      <w:r>
        <w:rPr>
          <w:rFonts w:hint="eastAsia" w:ascii="仿宋" w:hAnsi="仿宋" w:eastAsia="仿宋" w:cs="仿宋"/>
          <w:bCs/>
          <w:sz w:val="24"/>
          <w:szCs w:val="24"/>
          <w:u w:val="single"/>
        </w:rPr>
        <w:t xml:space="preserve"> 分（</w:t>
      </w:r>
      <w:r>
        <w:rPr>
          <w:rFonts w:hint="eastAsia" w:ascii="仿宋" w:hAnsi="仿宋" w:eastAsia="仿宋" w:cs="仿宋"/>
          <w:bCs/>
          <w:sz w:val="24"/>
          <w:szCs w:val="24"/>
        </w:rPr>
        <w:t>北京时间）前递交投标文件</w:t>
      </w:r>
      <w:r>
        <w:rPr>
          <w:rFonts w:hint="eastAsia" w:ascii="仿宋" w:hAnsi="仿宋" w:eastAsia="仿宋" w:cs="仿宋"/>
          <w:sz w:val="24"/>
          <w:szCs w:val="24"/>
        </w:rPr>
        <w:t>。</w:t>
      </w:r>
    </w:p>
    <w:p>
      <w:pPr>
        <w:pStyle w:val="4"/>
        <w:pageBreakBefore w:val="0"/>
        <w:widowControl w:val="0"/>
        <w:kinsoku/>
        <w:wordWrap/>
        <w:overflowPunct/>
        <w:topLinePunct w:val="0"/>
        <w:autoSpaceDE/>
        <w:autoSpaceDN/>
        <w:bidi w:val="0"/>
        <w:adjustRightInd/>
        <w:snapToGrid w:val="0"/>
        <w:spacing w:line="216" w:lineRule="auto"/>
        <w:textAlignment w:val="auto"/>
        <w:rPr>
          <w:rFonts w:hint="eastAsia" w:ascii="仿宋" w:hAnsi="仿宋" w:eastAsia="仿宋" w:cs="仿宋"/>
          <w:b w:val="0"/>
          <w:sz w:val="24"/>
          <w:szCs w:val="24"/>
        </w:rPr>
      </w:pPr>
      <w:bookmarkStart w:id="0" w:name="_Toc28359002"/>
      <w:bookmarkStart w:id="1" w:name="_Toc35393621"/>
      <w:bookmarkStart w:id="2" w:name="_Toc28359079"/>
      <w:bookmarkStart w:id="3" w:name="_Toc35393790"/>
      <w:bookmarkStart w:id="4" w:name="_Hlk24379207"/>
      <w:r>
        <w:rPr>
          <w:rFonts w:hint="eastAsia" w:ascii="仿宋" w:hAnsi="仿宋" w:eastAsia="仿宋" w:cs="仿宋"/>
          <w:b w:val="0"/>
          <w:sz w:val="24"/>
          <w:szCs w:val="24"/>
        </w:rPr>
        <w:t>一、项目基本情况</w:t>
      </w:r>
      <w:bookmarkEnd w:id="0"/>
      <w:bookmarkEnd w:id="1"/>
      <w:bookmarkEnd w:id="2"/>
      <w:bookmarkEnd w:id="3"/>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rPr>
        <w:t>YTXZFCGDL-GK-20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003</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于田县现代农业产业园电力配套设施采购项目</w:t>
      </w:r>
    </w:p>
    <w:bookmarkEnd w:id="4"/>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13567966.00</w:t>
      </w:r>
      <w:r>
        <w:rPr>
          <w:rFonts w:hint="eastAsia" w:ascii="仿宋" w:hAnsi="仿宋" w:eastAsia="仿宋" w:cs="仿宋"/>
          <w:sz w:val="24"/>
          <w:szCs w:val="24"/>
        </w:rPr>
        <w:t>元（投标报价超出预算价的做无效报价处理）；</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最高限价（如有）：</w:t>
      </w:r>
      <w:r>
        <w:rPr>
          <w:rFonts w:hint="eastAsia" w:ascii="仿宋" w:hAnsi="仿宋" w:eastAsia="仿宋" w:cs="仿宋"/>
          <w:sz w:val="24"/>
          <w:szCs w:val="24"/>
          <w:lang w:val="en-US" w:eastAsia="zh-CN"/>
        </w:rPr>
        <w:t>13567966.00</w:t>
      </w:r>
      <w:r>
        <w:rPr>
          <w:rFonts w:hint="eastAsia" w:ascii="仿宋" w:hAnsi="仿宋" w:eastAsia="仿宋" w:cs="仿宋"/>
          <w:sz w:val="24"/>
          <w:szCs w:val="24"/>
        </w:rPr>
        <w:t>元（投标报价超出预算价的做无效报价处理）；</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采购需求：现代农业产业园变电站</w:t>
      </w:r>
      <w:r>
        <w:rPr>
          <w:rFonts w:hint="eastAsia" w:ascii="仿宋" w:hAnsi="仿宋" w:eastAsia="仿宋" w:cs="仿宋"/>
          <w:sz w:val="24"/>
          <w:szCs w:val="24"/>
          <w:lang w:eastAsia="zh-CN"/>
        </w:rPr>
        <w:t>及输电线路</w:t>
      </w:r>
      <w:r>
        <w:rPr>
          <w:rFonts w:hint="eastAsia" w:ascii="仿宋" w:hAnsi="仿宋" w:eastAsia="仿宋" w:cs="仿宋"/>
          <w:sz w:val="24"/>
          <w:szCs w:val="24"/>
        </w:rPr>
        <w:t>工程；</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合同履行期限：</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i/>
          <w:sz w:val="24"/>
          <w:szCs w:val="24"/>
        </w:rPr>
        <w:t>否</w:t>
      </w:r>
      <w:r>
        <w:rPr>
          <w:rFonts w:hint="eastAsia" w:ascii="仿宋" w:hAnsi="仿宋" w:eastAsia="仿宋" w:cs="仿宋"/>
          <w:sz w:val="24"/>
          <w:szCs w:val="24"/>
        </w:rPr>
        <w:t>）接受联合体投标。</w:t>
      </w:r>
    </w:p>
    <w:p>
      <w:pPr>
        <w:pageBreakBefore w:val="0"/>
        <w:widowControl w:val="0"/>
        <w:numPr>
          <w:ilvl w:val="0"/>
          <w:numId w:val="3"/>
        </w:numPr>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sz w:val="24"/>
          <w:szCs w:val="24"/>
        </w:rPr>
      </w:pPr>
      <w:bookmarkStart w:id="5" w:name="_Toc35393622"/>
      <w:bookmarkStart w:id="6" w:name="_Toc35393791"/>
      <w:bookmarkStart w:id="7" w:name="_Toc28359003"/>
      <w:bookmarkStart w:id="8" w:name="_Toc28359080"/>
      <w:r>
        <w:rPr>
          <w:rFonts w:hint="eastAsia" w:ascii="仿宋" w:hAnsi="仿宋" w:eastAsia="仿宋" w:cs="仿宋"/>
          <w:b w:val="0"/>
          <w:sz w:val="24"/>
          <w:szCs w:val="24"/>
        </w:rPr>
        <w:t>申请人的资格要求：</w:t>
      </w:r>
      <w:bookmarkEnd w:id="5"/>
      <w:bookmarkEnd w:id="6"/>
      <w:bookmarkEnd w:id="7"/>
      <w:bookmarkEnd w:id="8"/>
    </w:p>
    <w:p>
      <w:pPr>
        <w:pageBreakBefore w:val="0"/>
        <w:widowControl w:val="0"/>
        <w:numPr>
          <w:ilvl w:val="0"/>
          <w:numId w:val="0"/>
        </w:numPr>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1.满足《中华人民共和国政府采购法》第二十二条规定；</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2.落实政府采购政策需满足的资格要求：</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 1、落实政府采购政策需满足的资格要求： 根据财政部、工业和信息化部关于印发《政府采购促进中小企业发展暂行办法》的通知(财库[2011]181号)。</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 xml:space="preserve">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3、《财政部 发展改革委 生态环境部 市场监管总局 关于调整优化节能产品、环境标志产品政府采购执行机制的通知》（财库〔2019〕9号）</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3.本项目的特定资格要求:</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lang w:val="en-US" w:eastAsia="zh-CN"/>
        </w:rPr>
      </w:pPr>
      <w:bookmarkStart w:id="9" w:name="_Toc28359004"/>
      <w:bookmarkStart w:id="10" w:name="_Toc35393792"/>
      <w:bookmarkStart w:id="11" w:name="_Toc35393623"/>
      <w:bookmarkStart w:id="12" w:name="_Toc28359081"/>
      <w:r>
        <w:rPr>
          <w:rFonts w:hint="eastAsia" w:ascii="仿宋" w:hAnsi="仿宋" w:eastAsia="仿宋" w:cs="仿宋"/>
          <w:b w:val="0"/>
          <w:bCs w:val="0"/>
          <w:color w:val="000000"/>
          <w:kern w:val="0"/>
          <w:sz w:val="24"/>
          <w:szCs w:val="24"/>
          <w:lang w:val="en-US" w:eastAsia="zh-CN"/>
        </w:rPr>
        <w:t>1</w:t>
      </w:r>
      <w:r>
        <w:rPr>
          <w:rFonts w:hint="eastAsia" w:ascii="仿宋" w:hAnsi="仿宋" w:eastAsia="仿宋" w:cs="仿宋"/>
          <w:sz w:val="24"/>
          <w:szCs w:val="24"/>
          <w:lang w:val="en-US" w:eastAsia="zh-CN"/>
        </w:rPr>
        <w:t>、满足《中华人民共和国政府采购法》第二十二条要求；须有符合本项目所需相应的经营范围和施工能力；</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2、投标人必须具有独立法人资格，具备有效的三证合一营业执照、企业安全生产许可证、基本账户开户许可证或基本存款帐户信息；</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须具备电力工程施工总承包三级及以上或输变电工程专业承包三级及以上资质；项目负责人需具有机电工程专业二级（含以上级）注册建造执业资格，具备有效的安全生产考核合格证书，且不得担任其他在建工程项目的项目负责人。技术负责人、施工员、质检员、安全员、资料员、材料员等项目管理机构班组人员必须持证上岗；</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法定代表人的需携带法定代表人证明书（原件）及法定代表人身份证（原件）及法定代表人近三个月的社保缴费证明及社保局出具的个人缴费明细（原件）；委托代理人需携带法定代表人授权委托书（原件）及委托代理人身份证（原件）及委托人近三个月的社保缴费证明及社保局出具的个人缴费明细（原件）</w:t>
      </w:r>
      <w:bookmarkStart w:id="39" w:name="_GoBack"/>
      <w:bookmarkEnd w:id="39"/>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5、具有良好的商业信誉和健全的财务会计制度（需提供近三年的财务审计报告；即2017-2019年的财务审计报告（原件），新成立公司可不提供）及近三个月的完税证明；</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凡拟参加本次招标项目的投标人，在“信用中国”网站（www.creditchina.gov.cn）、中国政府采购网（www.ccgp.gov.cn）、国家企业信用信息公示系（http://www.gsxt.gov.cn）、中国裁判文书网（http://wenshu.court.gov.cn/）四个网站的查询结果，如投标人被列入失信被执行人、重大税收违法案件当事人名单、政府采购严重违法失信行为记录名单的（尚在处罚期内的）、经营异常名录的，将拒绝其参本次政府采购活动。（开标现场查询）；</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7、企业负责人为同一人或者存在直接控股、管理关系的不同投标人，不得参加同一合同项下的政府采购活动。否则，皆取消投标资格；</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本项目不接受联合体投标。</w:t>
      </w:r>
    </w:p>
    <w:p>
      <w:pPr>
        <w:pStyle w:val="4"/>
        <w:pageBreakBefore w:val="0"/>
        <w:kinsoku/>
        <w:wordWrap/>
        <w:overflowPunct/>
        <w:topLinePunct w:val="0"/>
        <w:bidi w:val="0"/>
        <w:adjustRightInd/>
        <w:snapToGrid w:val="0"/>
        <w:spacing w:line="216" w:lineRule="auto"/>
        <w:textAlignment w:val="auto"/>
        <w:rPr>
          <w:rFonts w:hint="eastAsia" w:ascii="仿宋" w:hAnsi="仿宋" w:eastAsia="仿宋" w:cs="仿宋"/>
          <w:b w:val="0"/>
          <w:sz w:val="24"/>
          <w:szCs w:val="24"/>
        </w:rPr>
      </w:pPr>
      <w:r>
        <w:rPr>
          <w:rFonts w:hint="eastAsia" w:ascii="仿宋" w:hAnsi="仿宋" w:eastAsia="仿宋" w:cs="仿宋"/>
          <w:b w:val="0"/>
          <w:sz w:val="24"/>
          <w:szCs w:val="24"/>
        </w:rPr>
        <w:t>三、获取招标文件</w:t>
      </w:r>
      <w:bookmarkEnd w:id="9"/>
      <w:bookmarkEnd w:id="10"/>
      <w:bookmarkEnd w:id="11"/>
      <w:bookmarkEnd w:id="12"/>
    </w:p>
    <w:p>
      <w:pPr>
        <w:pageBreakBefore w:val="0"/>
        <w:kinsoku/>
        <w:wordWrap/>
        <w:overflowPunct/>
        <w:topLinePunct w:val="0"/>
        <w:bidi w:val="0"/>
        <w:adjustRightInd/>
        <w:snapToGrid w:val="0"/>
        <w:spacing w:line="216" w:lineRule="auto"/>
        <w:ind w:firstLine="54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2021</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日</w:t>
      </w:r>
      <w:r>
        <w:rPr>
          <w:rFonts w:hint="eastAsia" w:ascii="仿宋" w:hAnsi="仿宋" w:eastAsia="仿宋" w:cs="仿宋"/>
          <w:sz w:val="24"/>
          <w:szCs w:val="24"/>
        </w:rPr>
        <w:t>至</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2021</w:t>
      </w:r>
      <w:r>
        <w:rPr>
          <w:rFonts w:hint="eastAsia" w:ascii="仿宋" w:hAnsi="仿宋" w:eastAsia="仿宋" w:cs="仿宋"/>
          <w:sz w:val="24"/>
          <w:szCs w:val="24"/>
          <w:u w:val="single"/>
        </w:rPr>
        <w:t xml:space="preserve">年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日</w:t>
      </w:r>
      <w:r>
        <w:rPr>
          <w:rFonts w:hint="eastAsia" w:ascii="仿宋" w:hAnsi="仿宋" w:eastAsia="仿宋" w:cs="仿宋"/>
          <w:iCs/>
          <w:sz w:val="24"/>
          <w:szCs w:val="24"/>
          <w:u w:val="single"/>
        </w:rPr>
        <w:t>（</w:t>
      </w:r>
      <w:r>
        <w:rPr>
          <w:rFonts w:hint="eastAsia" w:ascii="仿宋" w:hAnsi="仿宋" w:eastAsia="仿宋" w:cs="仿宋"/>
          <w:i/>
          <w:sz w:val="24"/>
          <w:szCs w:val="24"/>
          <w:u w:val="single"/>
        </w:rPr>
        <w:t>提供期限自本公告发布之日起不得少于5个工作日</w:t>
      </w:r>
      <w:r>
        <w:rPr>
          <w:rFonts w:hint="eastAsia" w:ascii="仿宋" w:hAnsi="仿宋" w:eastAsia="仿宋" w:cs="仿宋"/>
          <w:iCs/>
          <w:sz w:val="24"/>
          <w:szCs w:val="24"/>
          <w:u w:val="single"/>
        </w:rPr>
        <w:t>）</w:t>
      </w:r>
      <w:r>
        <w:rPr>
          <w:rFonts w:hint="eastAsia" w:ascii="仿宋" w:hAnsi="仿宋" w:eastAsia="仿宋" w:cs="仿宋"/>
          <w:sz w:val="24"/>
          <w:szCs w:val="24"/>
        </w:rPr>
        <w:t>，每天上午10:00　至13:00，下午16:00至19:30（北京时间，法定节假日除外）</w:t>
      </w:r>
    </w:p>
    <w:p>
      <w:pPr>
        <w:pageBreakBefore w:val="0"/>
        <w:widowControl w:val="0"/>
        <w:kinsoku/>
        <w:wordWrap/>
        <w:overflowPunct/>
        <w:topLinePunct w:val="0"/>
        <w:autoSpaceDE/>
        <w:autoSpaceDN/>
        <w:bidi w:val="0"/>
        <w:adjustRightInd/>
        <w:snapToGrid w:val="0"/>
        <w:spacing w:line="216" w:lineRule="auto"/>
        <w:ind w:firstLine="540"/>
        <w:textAlignment w:val="auto"/>
        <w:rPr>
          <w:rFonts w:hint="eastAsia" w:ascii="仿宋" w:hAnsi="仿宋" w:eastAsia="仿宋" w:cs="仿宋"/>
          <w:sz w:val="24"/>
          <w:szCs w:val="24"/>
        </w:rPr>
      </w:pPr>
      <w:r>
        <w:rPr>
          <w:rFonts w:hint="eastAsia" w:ascii="仿宋" w:hAnsi="仿宋" w:eastAsia="仿宋" w:cs="仿宋"/>
          <w:sz w:val="24"/>
          <w:szCs w:val="24"/>
        </w:rPr>
        <w:t>地点：新疆庆信达项目管理有限公司（和田市人民街18号玉都国际广场金座703室）</w:t>
      </w:r>
    </w:p>
    <w:p>
      <w:pPr>
        <w:pageBreakBefore w:val="0"/>
        <w:widowControl w:val="0"/>
        <w:kinsoku/>
        <w:wordWrap/>
        <w:overflowPunct/>
        <w:topLinePunct w:val="0"/>
        <w:autoSpaceDE/>
        <w:autoSpaceDN/>
        <w:bidi w:val="0"/>
        <w:adjustRightInd/>
        <w:snapToGrid w:val="0"/>
        <w:spacing w:line="216" w:lineRule="auto"/>
        <w:ind w:firstLine="540"/>
        <w:textAlignment w:val="auto"/>
        <w:rPr>
          <w:rFonts w:hint="eastAsia" w:ascii="仿宋" w:hAnsi="仿宋" w:eastAsia="仿宋" w:cs="仿宋"/>
          <w:sz w:val="24"/>
          <w:szCs w:val="24"/>
        </w:rPr>
      </w:pPr>
      <w:bookmarkStart w:id="13" w:name="_Toc28359005"/>
      <w:bookmarkStart w:id="14" w:name="_Toc28359082"/>
      <w:bookmarkStart w:id="15" w:name="_Toc35393624"/>
      <w:bookmarkStart w:id="16" w:name="_Toc35393793"/>
      <w:r>
        <w:rPr>
          <w:rFonts w:hint="eastAsia" w:ascii="仿宋" w:hAnsi="仿宋" w:eastAsia="仿宋" w:cs="仿宋"/>
          <w:sz w:val="24"/>
          <w:szCs w:val="24"/>
        </w:rPr>
        <w:t>方式：满足上述投标资质的投标人，携带第二条申请人的资格要求的相关证件（原件及加盖单位鲜公章的复印件各一套核对），审查合格后现场获取招标文件</w:t>
      </w:r>
    </w:p>
    <w:p>
      <w:pPr>
        <w:pageBreakBefore w:val="0"/>
        <w:widowControl w:val="0"/>
        <w:kinsoku/>
        <w:wordWrap/>
        <w:overflowPunct/>
        <w:topLinePunct w:val="0"/>
        <w:autoSpaceDE/>
        <w:autoSpaceDN/>
        <w:bidi w:val="0"/>
        <w:adjustRightInd/>
        <w:snapToGrid w:val="0"/>
        <w:spacing w:line="216" w:lineRule="auto"/>
        <w:ind w:firstLine="54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售价：</w:t>
      </w:r>
      <w:r>
        <w:rPr>
          <w:rFonts w:hint="eastAsia" w:ascii="仿宋" w:hAnsi="仿宋" w:eastAsia="仿宋" w:cs="仿宋"/>
          <w:sz w:val="24"/>
          <w:szCs w:val="24"/>
          <w:lang w:val="en-US" w:eastAsia="zh-CN"/>
        </w:rPr>
        <w:t>200元/份（售后不退）</w:t>
      </w:r>
    </w:p>
    <w:p>
      <w:pPr>
        <w:pStyle w:val="4"/>
        <w:pageBreakBefore w:val="0"/>
        <w:kinsoku/>
        <w:wordWrap/>
        <w:overflowPunct/>
        <w:topLinePunct w:val="0"/>
        <w:bidi w:val="0"/>
        <w:adjustRightInd/>
        <w:snapToGrid w:val="0"/>
        <w:spacing w:line="216" w:lineRule="auto"/>
        <w:textAlignment w:val="auto"/>
        <w:rPr>
          <w:rFonts w:hint="eastAsia" w:ascii="仿宋" w:hAnsi="仿宋" w:eastAsia="仿宋" w:cs="仿宋"/>
          <w:b w:val="0"/>
          <w:sz w:val="24"/>
          <w:szCs w:val="24"/>
        </w:rPr>
      </w:pPr>
      <w:r>
        <w:rPr>
          <w:rFonts w:hint="eastAsia" w:ascii="仿宋" w:hAnsi="仿宋" w:eastAsia="仿宋" w:cs="仿宋"/>
          <w:b w:val="0"/>
          <w:sz w:val="24"/>
          <w:szCs w:val="24"/>
        </w:rPr>
        <w:t>四、提交投标文件</w:t>
      </w:r>
      <w:bookmarkEnd w:id="13"/>
      <w:bookmarkEnd w:id="14"/>
      <w:r>
        <w:rPr>
          <w:rFonts w:hint="eastAsia" w:ascii="仿宋" w:hAnsi="仿宋" w:eastAsia="仿宋" w:cs="仿宋"/>
          <w:b w:val="0"/>
          <w:sz w:val="24"/>
          <w:szCs w:val="24"/>
        </w:rPr>
        <w:t>截止时间、开标时间和地点</w:t>
      </w:r>
      <w:bookmarkEnd w:id="15"/>
      <w:bookmarkEnd w:id="16"/>
    </w:p>
    <w:p>
      <w:pPr>
        <w:pageBreakBefore w:val="0"/>
        <w:kinsoku/>
        <w:wordWrap/>
        <w:overflowPunct/>
        <w:topLinePunct w:val="0"/>
        <w:bidi w:val="0"/>
        <w:adjustRightInd/>
        <w:snapToGrid w:val="0"/>
        <w:spacing w:line="216" w:lineRule="auto"/>
        <w:ind w:firstLine="480" w:firstLineChars="200"/>
        <w:textAlignment w:val="auto"/>
        <w:rPr>
          <w:rFonts w:hint="eastAsia" w:ascii="仿宋" w:hAnsi="仿宋" w:eastAsia="仿宋" w:cs="仿宋"/>
          <w:bCs/>
          <w:sz w:val="24"/>
          <w:szCs w:val="24"/>
          <w:u w:val="single"/>
        </w:rPr>
      </w:pP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2021</w:t>
      </w:r>
      <w:r>
        <w:rPr>
          <w:rFonts w:hint="eastAsia" w:ascii="仿宋" w:hAnsi="仿宋" w:eastAsia="仿宋" w:cs="仿宋"/>
          <w:bCs/>
          <w:sz w:val="24"/>
          <w:szCs w:val="24"/>
          <w:u w:val="single"/>
        </w:rPr>
        <w:t xml:space="preserve">年 </w:t>
      </w:r>
      <w:r>
        <w:rPr>
          <w:rFonts w:hint="eastAsia" w:ascii="仿宋" w:hAnsi="仿宋" w:eastAsia="仿宋" w:cs="仿宋"/>
          <w:bCs/>
          <w:sz w:val="24"/>
          <w:szCs w:val="24"/>
          <w:u w:val="single"/>
          <w:lang w:val="en-US" w:eastAsia="zh-CN"/>
        </w:rPr>
        <w:t>1</w:t>
      </w:r>
      <w:r>
        <w:rPr>
          <w:rFonts w:hint="eastAsia" w:ascii="仿宋" w:hAnsi="仿宋" w:eastAsia="仿宋" w:cs="仿宋"/>
          <w:bCs/>
          <w:sz w:val="24"/>
          <w:szCs w:val="24"/>
          <w:u w:val="single"/>
        </w:rPr>
        <w:t xml:space="preserve">月 </w:t>
      </w:r>
      <w:r>
        <w:rPr>
          <w:rFonts w:hint="eastAsia" w:ascii="仿宋" w:hAnsi="仿宋" w:eastAsia="仿宋" w:cs="仿宋"/>
          <w:bCs/>
          <w:sz w:val="24"/>
          <w:szCs w:val="24"/>
          <w:u w:val="single"/>
          <w:lang w:val="en-US" w:eastAsia="zh-CN"/>
        </w:rPr>
        <w:t>28</w:t>
      </w:r>
      <w:r>
        <w:rPr>
          <w:rFonts w:hint="eastAsia" w:ascii="仿宋" w:hAnsi="仿宋" w:eastAsia="仿宋" w:cs="仿宋"/>
          <w:bCs/>
          <w:sz w:val="24"/>
          <w:szCs w:val="24"/>
          <w:u w:val="single"/>
        </w:rPr>
        <w:t xml:space="preserve"> 日  </w:t>
      </w:r>
      <w:r>
        <w:rPr>
          <w:rFonts w:hint="eastAsia" w:ascii="仿宋" w:hAnsi="仿宋" w:eastAsia="仿宋" w:cs="仿宋"/>
          <w:bCs/>
          <w:sz w:val="24"/>
          <w:szCs w:val="24"/>
          <w:u w:val="single"/>
          <w:lang w:val="en-US" w:eastAsia="zh-CN"/>
        </w:rPr>
        <w:t>11</w:t>
      </w:r>
      <w:r>
        <w:rPr>
          <w:rFonts w:hint="eastAsia" w:ascii="仿宋" w:hAnsi="仿宋" w:eastAsia="仿宋" w:cs="仿宋"/>
          <w:bCs/>
          <w:sz w:val="24"/>
          <w:szCs w:val="24"/>
          <w:u w:val="single"/>
        </w:rPr>
        <w:t xml:space="preserve">点 </w:t>
      </w:r>
      <w:r>
        <w:rPr>
          <w:rFonts w:hint="eastAsia" w:ascii="仿宋" w:hAnsi="仿宋" w:eastAsia="仿宋" w:cs="仿宋"/>
          <w:bCs/>
          <w:sz w:val="24"/>
          <w:szCs w:val="24"/>
          <w:u w:val="single"/>
          <w:lang w:val="en-US" w:eastAsia="zh-CN"/>
        </w:rPr>
        <w:t>00</w:t>
      </w:r>
      <w:r>
        <w:rPr>
          <w:rFonts w:hint="eastAsia" w:ascii="仿宋" w:hAnsi="仿宋" w:eastAsia="仿宋" w:cs="仿宋"/>
          <w:bCs/>
          <w:sz w:val="24"/>
          <w:szCs w:val="24"/>
          <w:u w:val="single"/>
        </w:rPr>
        <w:t xml:space="preserve"> 分</w:t>
      </w:r>
      <w:r>
        <w:rPr>
          <w:rFonts w:hint="eastAsia" w:ascii="仿宋" w:hAnsi="仿宋" w:eastAsia="仿宋" w:cs="仿宋"/>
          <w:bCs/>
          <w:sz w:val="24"/>
          <w:szCs w:val="24"/>
        </w:rPr>
        <w:t>（北京时间）</w:t>
      </w:r>
      <w:r>
        <w:rPr>
          <w:rFonts w:hint="eastAsia" w:ascii="仿宋" w:hAnsi="仿宋" w:eastAsia="仿宋" w:cs="仿宋"/>
          <w:iCs/>
          <w:sz w:val="24"/>
          <w:szCs w:val="24"/>
          <w:u w:val="single"/>
        </w:rPr>
        <w:t>（</w:t>
      </w:r>
      <w:r>
        <w:rPr>
          <w:rFonts w:hint="eastAsia" w:ascii="仿宋" w:hAnsi="仿宋" w:eastAsia="仿宋" w:cs="仿宋"/>
          <w:i/>
          <w:sz w:val="24"/>
          <w:szCs w:val="24"/>
          <w:u w:val="single"/>
        </w:rPr>
        <w:t>自招标文件开始发出之日起至投标人提交投标文件截止之日止，不得少于20日</w:t>
      </w:r>
      <w:r>
        <w:rPr>
          <w:rFonts w:hint="eastAsia" w:ascii="仿宋" w:hAnsi="仿宋" w:eastAsia="仿宋" w:cs="仿宋"/>
          <w:iCs/>
          <w:sz w:val="24"/>
          <w:szCs w:val="24"/>
          <w:u w:val="single"/>
        </w:rPr>
        <w:t>）</w:t>
      </w:r>
    </w:p>
    <w:p>
      <w:pPr>
        <w:pageBreakBefore w:val="0"/>
        <w:widowControl w:val="0"/>
        <w:kinsoku/>
        <w:wordWrap/>
        <w:overflowPunct/>
        <w:topLinePunct w:val="0"/>
        <w:autoSpaceDE/>
        <w:autoSpaceDN/>
        <w:bidi w:val="0"/>
        <w:adjustRightInd/>
        <w:snapToGrid w:val="0"/>
        <w:spacing w:line="216" w:lineRule="auto"/>
        <w:ind w:firstLine="480" w:firstLineChars="200"/>
        <w:textAlignment w:val="auto"/>
        <w:rPr>
          <w:rFonts w:hint="eastAsia" w:ascii="仿宋" w:hAnsi="仿宋" w:eastAsia="仿宋" w:cs="仿宋"/>
          <w:bCs/>
          <w:sz w:val="24"/>
          <w:szCs w:val="24"/>
          <w:u w:val="single"/>
        </w:rPr>
      </w:pPr>
      <w:r>
        <w:rPr>
          <w:rFonts w:hint="eastAsia" w:ascii="仿宋" w:hAnsi="仿宋" w:eastAsia="仿宋" w:cs="仿宋"/>
          <w:sz w:val="24"/>
          <w:szCs w:val="24"/>
        </w:rPr>
        <w:t>地点：于田县公共资源交易中心（于田县建德路8号政府老办公楼一楼左边）</w:t>
      </w:r>
    </w:p>
    <w:p>
      <w:pPr>
        <w:pStyle w:val="4"/>
        <w:pageBreakBefore w:val="0"/>
        <w:kinsoku/>
        <w:wordWrap/>
        <w:overflowPunct/>
        <w:topLinePunct w:val="0"/>
        <w:bidi w:val="0"/>
        <w:adjustRightInd/>
        <w:snapToGrid w:val="0"/>
        <w:spacing w:line="216" w:lineRule="auto"/>
        <w:textAlignment w:val="auto"/>
        <w:rPr>
          <w:rFonts w:hint="eastAsia" w:ascii="仿宋" w:hAnsi="仿宋" w:eastAsia="仿宋" w:cs="仿宋"/>
          <w:b w:val="0"/>
          <w:sz w:val="24"/>
          <w:szCs w:val="24"/>
        </w:rPr>
      </w:pPr>
      <w:bookmarkStart w:id="17" w:name="_Toc35393625"/>
      <w:bookmarkStart w:id="18" w:name="_Toc28359007"/>
      <w:bookmarkStart w:id="19" w:name="_Toc35393794"/>
      <w:bookmarkStart w:id="20" w:name="_Toc28359084"/>
      <w:r>
        <w:rPr>
          <w:rFonts w:hint="eastAsia" w:ascii="仿宋" w:hAnsi="仿宋" w:eastAsia="仿宋" w:cs="仿宋"/>
          <w:b w:val="0"/>
          <w:sz w:val="24"/>
          <w:szCs w:val="24"/>
        </w:rPr>
        <w:t>五、公告期限</w:t>
      </w:r>
      <w:bookmarkEnd w:id="17"/>
      <w:bookmarkEnd w:id="18"/>
      <w:bookmarkEnd w:id="19"/>
      <w:bookmarkEnd w:id="20"/>
    </w:p>
    <w:p>
      <w:pPr>
        <w:pageBreakBefore w:val="0"/>
        <w:kinsoku/>
        <w:wordWrap/>
        <w:overflowPunct/>
        <w:topLinePunct w:val="0"/>
        <w:bidi w:val="0"/>
        <w:adjustRightInd/>
        <w:snapToGrid w:val="0"/>
        <w:spacing w:line="216"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自本公告发布之日起5个工作日。</w:t>
      </w:r>
    </w:p>
    <w:p>
      <w:pPr>
        <w:pStyle w:val="4"/>
        <w:pageBreakBefore w:val="0"/>
        <w:numPr>
          <w:ilvl w:val="0"/>
          <w:numId w:val="4"/>
        </w:numPr>
        <w:kinsoku/>
        <w:wordWrap/>
        <w:overflowPunct/>
        <w:topLinePunct w:val="0"/>
        <w:autoSpaceDE/>
        <w:autoSpaceDN/>
        <w:bidi w:val="0"/>
        <w:adjustRightInd/>
        <w:snapToGrid w:val="0"/>
        <w:spacing w:line="216" w:lineRule="auto"/>
        <w:textAlignment w:val="auto"/>
        <w:rPr>
          <w:rFonts w:hint="eastAsia" w:ascii="仿宋" w:hAnsi="仿宋" w:eastAsia="仿宋" w:cs="仿宋"/>
          <w:b w:val="0"/>
          <w:sz w:val="24"/>
          <w:szCs w:val="24"/>
        </w:rPr>
      </w:pPr>
      <w:bookmarkStart w:id="21" w:name="_Toc35393795"/>
      <w:bookmarkStart w:id="22" w:name="_Toc35393626"/>
      <w:r>
        <w:rPr>
          <w:rFonts w:hint="eastAsia" w:ascii="仿宋" w:hAnsi="仿宋" w:eastAsia="仿宋" w:cs="仿宋"/>
          <w:b w:val="0"/>
          <w:sz w:val="24"/>
          <w:szCs w:val="24"/>
        </w:rPr>
        <w:t>其他补充事宜</w:t>
      </w:r>
      <w:bookmarkEnd w:id="21"/>
      <w:bookmarkEnd w:id="22"/>
    </w:p>
    <w:p>
      <w:pPr>
        <w:pStyle w:val="4"/>
        <w:pageBreakBefore w:val="0"/>
        <w:widowControl w:val="0"/>
        <w:kinsoku/>
        <w:wordWrap/>
        <w:overflowPunct/>
        <w:topLinePunct w:val="0"/>
        <w:autoSpaceDE/>
        <w:autoSpaceDN/>
        <w:bidi w:val="0"/>
        <w:adjustRightInd/>
        <w:snapToGrid w:val="0"/>
        <w:spacing w:line="216" w:lineRule="auto"/>
        <w:textAlignment w:val="auto"/>
        <w:rPr>
          <w:rFonts w:hint="eastAsia" w:ascii="仿宋" w:hAnsi="仿宋" w:eastAsia="仿宋" w:cs="仿宋"/>
          <w:b w:val="0"/>
          <w:sz w:val="24"/>
          <w:szCs w:val="24"/>
        </w:rPr>
      </w:pPr>
      <w:bookmarkStart w:id="23" w:name="_Toc35393805"/>
      <w:bookmarkStart w:id="24" w:name="_Toc35393636"/>
      <w:bookmarkStart w:id="25" w:name="_Toc28359018"/>
      <w:bookmarkStart w:id="26" w:name="_Toc28359095"/>
      <w:r>
        <w:rPr>
          <w:rFonts w:hint="eastAsia" w:ascii="仿宋" w:hAnsi="仿宋" w:eastAsia="仿宋" w:cs="仿宋"/>
          <w:b w:val="0"/>
          <w:sz w:val="24"/>
          <w:szCs w:val="24"/>
          <w:lang w:eastAsia="zh-CN"/>
        </w:rPr>
        <w:t>七</w:t>
      </w:r>
      <w:r>
        <w:rPr>
          <w:rFonts w:hint="eastAsia" w:ascii="仿宋" w:hAnsi="仿宋" w:eastAsia="仿宋" w:cs="仿宋"/>
          <w:b w:val="0"/>
          <w:sz w:val="24"/>
          <w:szCs w:val="24"/>
        </w:rPr>
        <w:t>、凡对本次采购提出询问，请按以下方式联系。</w:t>
      </w:r>
      <w:bookmarkEnd w:id="23"/>
      <w:bookmarkEnd w:id="24"/>
      <w:bookmarkEnd w:id="25"/>
      <w:bookmarkEnd w:id="26"/>
    </w:p>
    <w:p>
      <w:pPr>
        <w:pStyle w:val="4"/>
        <w:pageBreakBefore w:val="0"/>
        <w:widowControl w:val="0"/>
        <w:kinsoku/>
        <w:wordWrap/>
        <w:overflowPunct/>
        <w:topLinePunct w:val="0"/>
        <w:autoSpaceDE/>
        <w:autoSpaceDN/>
        <w:bidi w:val="0"/>
        <w:adjustRightInd/>
        <w:snapToGrid w:val="0"/>
        <w:spacing w:line="216" w:lineRule="auto"/>
        <w:ind w:firstLine="720" w:firstLineChars="300"/>
        <w:textAlignment w:val="auto"/>
        <w:rPr>
          <w:rFonts w:hint="eastAsia" w:ascii="仿宋" w:hAnsi="仿宋" w:eastAsia="仿宋" w:cs="仿宋"/>
          <w:b w:val="0"/>
          <w:sz w:val="24"/>
          <w:szCs w:val="24"/>
          <w:u w:val="none"/>
        </w:rPr>
      </w:pPr>
      <w:bookmarkStart w:id="27" w:name="_Toc35393637"/>
      <w:bookmarkStart w:id="28" w:name="_Toc35393806"/>
      <w:bookmarkStart w:id="29" w:name="_Toc28359019"/>
      <w:bookmarkStart w:id="30" w:name="_Toc28359096"/>
      <w:r>
        <w:rPr>
          <w:rFonts w:hint="eastAsia" w:ascii="仿宋" w:hAnsi="仿宋" w:eastAsia="仿宋" w:cs="仿宋"/>
          <w:b w:val="0"/>
          <w:sz w:val="24"/>
          <w:szCs w:val="24"/>
          <w:u w:val="none"/>
        </w:rPr>
        <w:t>1.采购人信息</w:t>
      </w:r>
      <w:bookmarkEnd w:id="27"/>
      <w:bookmarkEnd w:id="28"/>
      <w:bookmarkEnd w:id="29"/>
      <w:bookmarkEnd w:id="30"/>
    </w:p>
    <w:p>
      <w:pPr>
        <w:pageBreakBefore w:val="0"/>
        <w:widowControl w:val="0"/>
        <w:kinsoku/>
        <w:wordWrap/>
        <w:overflowPunct/>
        <w:topLinePunct w:val="0"/>
        <w:autoSpaceDE/>
        <w:autoSpaceDN/>
        <w:bidi w:val="0"/>
        <w:adjustRightInd/>
        <w:snapToGrid w:val="0"/>
        <w:spacing w:line="216" w:lineRule="auto"/>
        <w:ind w:left="1079" w:leftChars="371" w:hanging="300" w:hangingChars="125"/>
        <w:jc w:val="left"/>
        <w:textAlignment w:val="auto"/>
        <w:rPr>
          <w:rFonts w:hint="eastAsia" w:ascii="仿宋" w:hAnsi="仿宋" w:eastAsia="仿宋" w:cs="仿宋"/>
          <w:sz w:val="24"/>
          <w:szCs w:val="24"/>
          <w:u w:val="none"/>
        </w:rPr>
      </w:pPr>
      <w:r>
        <w:rPr>
          <w:rFonts w:hint="eastAsia" w:ascii="仿宋" w:hAnsi="仿宋" w:eastAsia="仿宋" w:cs="仿宋"/>
          <w:sz w:val="24"/>
          <w:szCs w:val="24"/>
          <w:u w:val="none"/>
        </w:rPr>
        <w:t>名    称：</w:t>
      </w:r>
      <w:r>
        <w:rPr>
          <w:rFonts w:hint="eastAsia" w:ascii="仿宋" w:hAnsi="仿宋" w:eastAsia="仿宋" w:cs="仿宋"/>
          <w:sz w:val="24"/>
          <w:szCs w:val="24"/>
          <w:u w:val="none"/>
          <w:lang w:eastAsia="zh-CN"/>
        </w:rPr>
        <w:t>于田县农业农村局</w:t>
      </w:r>
      <w:r>
        <w:rPr>
          <w:rFonts w:hint="eastAsia" w:ascii="仿宋" w:hAnsi="仿宋" w:eastAsia="仿宋" w:cs="仿宋"/>
          <w:sz w:val="24"/>
          <w:szCs w:val="24"/>
          <w:u w:val="none"/>
        </w:rPr>
        <w:t>　</w:t>
      </w:r>
    </w:p>
    <w:p>
      <w:pPr>
        <w:pageBreakBefore w:val="0"/>
        <w:widowControl w:val="0"/>
        <w:kinsoku/>
        <w:wordWrap/>
        <w:overflowPunct/>
        <w:topLinePunct w:val="0"/>
        <w:autoSpaceDE/>
        <w:autoSpaceDN/>
        <w:bidi w:val="0"/>
        <w:adjustRightInd/>
        <w:snapToGrid w:val="0"/>
        <w:spacing w:line="216" w:lineRule="auto"/>
        <w:ind w:left="1079" w:leftChars="371" w:hanging="300" w:hangingChars="125"/>
        <w:jc w:val="left"/>
        <w:textAlignment w:val="auto"/>
        <w:rPr>
          <w:rFonts w:hint="eastAsia" w:ascii="仿宋" w:hAnsi="仿宋" w:eastAsia="仿宋" w:cs="仿宋"/>
          <w:sz w:val="24"/>
          <w:szCs w:val="24"/>
          <w:u w:val="none"/>
        </w:rPr>
      </w:pPr>
      <w:r>
        <w:rPr>
          <w:rFonts w:hint="eastAsia" w:ascii="仿宋" w:hAnsi="仿宋" w:eastAsia="仿宋" w:cs="仿宋"/>
          <w:sz w:val="24"/>
          <w:szCs w:val="24"/>
          <w:u w:val="none"/>
        </w:rPr>
        <w:t>地    址：</w:t>
      </w:r>
      <w:r>
        <w:rPr>
          <w:rFonts w:hint="eastAsia" w:ascii="仿宋" w:hAnsi="仿宋" w:eastAsia="仿宋" w:cs="仿宋"/>
          <w:sz w:val="24"/>
          <w:szCs w:val="24"/>
          <w:u w:val="none"/>
          <w:lang w:eastAsia="zh-CN"/>
        </w:rPr>
        <w:t>于田县</w:t>
      </w:r>
      <w:r>
        <w:rPr>
          <w:rFonts w:hint="eastAsia" w:ascii="仿宋" w:hAnsi="仿宋" w:eastAsia="仿宋" w:cs="仿宋"/>
          <w:sz w:val="24"/>
          <w:szCs w:val="24"/>
          <w:u w:val="none"/>
        </w:rPr>
        <w:t>　　　　</w:t>
      </w:r>
    </w:p>
    <w:p>
      <w:pPr>
        <w:pageBreakBefore w:val="0"/>
        <w:widowControl w:val="0"/>
        <w:kinsoku/>
        <w:wordWrap/>
        <w:overflowPunct/>
        <w:topLinePunct w:val="0"/>
        <w:autoSpaceDE/>
        <w:autoSpaceDN/>
        <w:bidi w:val="0"/>
        <w:adjustRightInd/>
        <w:snapToGrid w:val="0"/>
        <w:spacing w:line="216" w:lineRule="auto"/>
        <w:ind w:left="1079" w:leftChars="371" w:hanging="300" w:hangingChars="125"/>
        <w:jc w:val="left"/>
        <w:textAlignment w:val="auto"/>
        <w:rPr>
          <w:rFonts w:hint="eastAsia" w:ascii="仿宋" w:hAnsi="仿宋" w:eastAsia="仿宋" w:cs="仿宋"/>
          <w:sz w:val="24"/>
          <w:szCs w:val="24"/>
          <w:u w:val="none"/>
        </w:rPr>
      </w:pPr>
      <w:r>
        <w:rPr>
          <w:rFonts w:hint="eastAsia" w:ascii="仿宋" w:hAnsi="仿宋" w:eastAsia="仿宋" w:cs="仿宋"/>
          <w:sz w:val="24"/>
          <w:szCs w:val="24"/>
          <w:u w:val="none"/>
        </w:rPr>
        <w:t>联系方式：</w:t>
      </w:r>
      <w:r>
        <w:rPr>
          <w:rFonts w:hint="eastAsia" w:ascii="仿宋" w:hAnsi="仿宋" w:eastAsia="仿宋" w:cs="仿宋"/>
          <w:sz w:val="24"/>
          <w:szCs w:val="24"/>
          <w:u w:val="none"/>
          <w:lang w:val="en-US" w:eastAsia="zh-CN"/>
        </w:rPr>
        <w:t>13345389445</w:t>
      </w:r>
      <w:r>
        <w:rPr>
          <w:rFonts w:hint="eastAsia" w:ascii="仿宋" w:hAnsi="仿宋" w:eastAsia="仿宋" w:cs="仿宋"/>
          <w:sz w:val="24"/>
          <w:szCs w:val="24"/>
          <w:u w:val="none"/>
        </w:rPr>
        <w:t>　　</w:t>
      </w:r>
    </w:p>
    <w:p>
      <w:pPr>
        <w:pStyle w:val="4"/>
        <w:pageBreakBefore w:val="0"/>
        <w:widowControl w:val="0"/>
        <w:kinsoku/>
        <w:wordWrap/>
        <w:overflowPunct/>
        <w:topLinePunct w:val="0"/>
        <w:autoSpaceDE/>
        <w:autoSpaceDN/>
        <w:bidi w:val="0"/>
        <w:adjustRightInd/>
        <w:snapToGrid w:val="0"/>
        <w:spacing w:line="216" w:lineRule="auto"/>
        <w:ind w:firstLine="720" w:firstLineChars="300"/>
        <w:textAlignment w:val="auto"/>
        <w:rPr>
          <w:rFonts w:hint="eastAsia" w:ascii="仿宋" w:hAnsi="仿宋" w:eastAsia="仿宋" w:cs="仿宋"/>
          <w:b w:val="0"/>
          <w:sz w:val="24"/>
          <w:szCs w:val="24"/>
          <w:u w:val="none"/>
        </w:rPr>
      </w:pPr>
      <w:bookmarkStart w:id="31" w:name="_Toc35393638"/>
      <w:bookmarkStart w:id="32" w:name="_Toc28359020"/>
      <w:bookmarkStart w:id="33" w:name="_Toc35393807"/>
      <w:bookmarkStart w:id="34" w:name="_Toc28359097"/>
      <w:r>
        <w:rPr>
          <w:rFonts w:hint="eastAsia" w:ascii="仿宋" w:hAnsi="仿宋" w:eastAsia="仿宋" w:cs="仿宋"/>
          <w:b w:val="0"/>
          <w:sz w:val="24"/>
          <w:szCs w:val="24"/>
          <w:u w:val="none"/>
        </w:rPr>
        <w:t>2.采购代理机构信息（如有）</w:t>
      </w:r>
      <w:bookmarkEnd w:id="31"/>
      <w:bookmarkEnd w:id="32"/>
      <w:bookmarkEnd w:id="33"/>
      <w:bookmarkEnd w:id="34"/>
    </w:p>
    <w:p>
      <w:pPr>
        <w:pageBreakBefore w:val="0"/>
        <w:widowControl w:val="0"/>
        <w:kinsoku/>
        <w:wordWrap/>
        <w:overflowPunct/>
        <w:topLinePunct w:val="0"/>
        <w:autoSpaceDE/>
        <w:autoSpaceDN/>
        <w:bidi w:val="0"/>
        <w:adjustRightInd/>
        <w:snapToGrid w:val="0"/>
        <w:spacing w:line="216" w:lineRule="auto"/>
        <w:ind w:firstLine="720" w:firstLineChars="300"/>
        <w:textAlignment w:val="auto"/>
        <w:rPr>
          <w:rFonts w:hint="eastAsia" w:ascii="仿宋" w:hAnsi="仿宋" w:eastAsia="仿宋" w:cs="仿宋"/>
          <w:sz w:val="24"/>
          <w:szCs w:val="24"/>
          <w:u w:val="none"/>
        </w:rPr>
      </w:pPr>
      <w:r>
        <w:rPr>
          <w:rFonts w:hint="eastAsia" w:ascii="仿宋" w:hAnsi="仿宋" w:eastAsia="仿宋" w:cs="仿宋"/>
          <w:sz w:val="24"/>
          <w:szCs w:val="24"/>
          <w:u w:val="none"/>
        </w:rPr>
        <w:t>名    称：新疆庆信达项目管理有限公司　</w:t>
      </w:r>
    </w:p>
    <w:p>
      <w:pPr>
        <w:pageBreakBefore w:val="0"/>
        <w:widowControl/>
        <w:shd w:val="clear" w:color="auto" w:fill="FFFFFF"/>
        <w:kinsoku/>
        <w:wordWrap/>
        <w:overflowPunct/>
        <w:topLinePunct w:val="0"/>
        <w:autoSpaceDE/>
        <w:autoSpaceDN/>
        <w:bidi w:val="0"/>
        <w:adjustRightInd/>
        <w:snapToGrid w:val="0"/>
        <w:spacing w:line="216" w:lineRule="auto"/>
        <w:ind w:firstLine="720" w:firstLineChars="300"/>
        <w:jc w:val="left"/>
        <w:textAlignment w:val="auto"/>
        <w:rPr>
          <w:rFonts w:hint="eastAsia" w:ascii="仿宋" w:hAnsi="仿宋" w:eastAsia="仿宋" w:cs="仿宋"/>
          <w:b w:val="0"/>
          <w:bCs/>
          <w:kern w:val="2"/>
          <w:sz w:val="24"/>
          <w:szCs w:val="24"/>
          <w:u w:val="none"/>
          <w:lang w:val="en-US" w:eastAsia="zh-CN" w:bidi="ar-SA"/>
        </w:rPr>
      </w:pPr>
      <w:r>
        <w:rPr>
          <w:rFonts w:hint="eastAsia" w:ascii="仿宋" w:hAnsi="仿宋" w:eastAsia="仿宋" w:cs="仿宋"/>
          <w:b w:val="0"/>
          <w:bCs/>
          <w:kern w:val="2"/>
          <w:sz w:val="24"/>
          <w:szCs w:val="24"/>
          <w:u w:val="none"/>
          <w:lang w:val="en-US" w:eastAsia="zh-CN" w:bidi="ar-SA"/>
        </w:rPr>
        <w:t>地    址：和田市人民街18号玉都国际广场金座703室</w:t>
      </w:r>
    </w:p>
    <w:p>
      <w:pPr>
        <w:pageBreakBefore w:val="0"/>
        <w:widowControl w:val="0"/>
        <w:kinsoku/>
        <w:wordWrap/>
        <w:overflowPunct/>
        <w:topLinePunct w:val="0"/>
        <w:autoSpaceDE/>
        <w:autoSpaceDN/>
        <w:bidi w:val="0"/>
        <w:adjustRightInd/>
        <w:snapToGrid w:val="0"/>
        <w:spacing w:line="216" w:lineRule="auto"/>
        <w:ind w:firstLine="720" w:firstLineChars="300"/>
        <w:textAlignment w:val="auto"/>
        <w:rPr>
          <w:rFonts w:hint="eastAsia" w:ascii="仿宋" w:hAnsi="仿宋" w:eastAsia="仿宋" w:cs="仿宋"/>
          <w:sz w:val="24"/>
          <w:szCs w:val="24"/>
          <w:u w:val="none"/>
        </w:rPr>
      </w:pPr>
      <w:r>
        <w:rPr>
          <w:rFonts w:hint="eastAsia" w:ascii="仿宋" w:hAnsi="仿宋" w:eastAsia="仿宋" w:cs="仿宋"/>
          <w:sz w:val="24"/>
          <w:szCs w:val="24"/>
          <w:u w:val="none"/>
        </w:rPr>
        <w:t>联系方式：</w:t>
      </w:r>
      <w:r>
        <w:rPr>
          <w:rFonts w:hint="eastAsia" w:ascii="仿宋" w:hAnsi="仿宋" w:eastAsia="仿宋" w:cs="仿宋"/>
          <w:sz w:val="24"/>
          <w:szCs w:val="24"/>
          <w:u w:val="none"/>
          <w:lang w:eastAsia="zh-CN"/>
        </w:rPr>
        <w:t>郑泽娟</w:t>
      </w:r>
      <w:r>
        <w:rPr>
          <w:rFonts w:hint="eastAsia" w:ascii="仿宋" w:hAnsi="仿宋" w:eastAsia="仿宋" w:cs="仿宋"/>
          <w:sz w:val="24"/>
          <w:szCs w:val="24"/>
          <w:u w:val="none"/>
          <w:lang w:val="en-US" w:eastAsia="zh-CN"/>
        </w:rPr>
        <w:t xml:space="preserve">  0903-7820626</w:t>
      </w:r>
      <w:r>
        <w:rPr>
          <w:rFonts w:hint="eastAsia" w:ascii="仿宋" w:hAnsi="仿宋" w:eastAsia="仿宋" w:cs="仿宋"/>
          <w:sz w:val="24"/>
          <w:szCs w:val="24"/>
          <w:u w:val="none"/>
        </w:rPr>
        <w:t>　　</w:t>
      </w:r>
    </w:p>
    <w:p>
      <w:pPr>
        <w:pStyle w:val="4"/>
        <w:pageBreakBefore w:val="0"/>
        <w:widowControl w:val="0"/>
        <w:kinsoku/>
        <w:wordWrap/>
        <w:overflowPunct/>
        <w:topLinePunct w:val="0"/>
        <w:autoSpaceDE/>
        <w:autoSpaceDN/>
        <w:bidi w:val="0"/>
        <w:adjustRightInd/>
        <w:snapToGrid w:val="0"/>
        <w:spacing w:line="216" w:lineRule="auto"/>
        <w:ind w:firstLine="720" w:firstLineChars="300"/>
        <w:textAlignment w:val="auto"/>
        <w:rPr>
          <w:rFonts w:hint="eastAsia" w:ascii="仿宋" w:hAnsi="仿宋" w:eastAsia="仿宋" w:cs="仿宋"/>
          <w:b w:val="0"/>
          <w:sz w:val="24"/>
          <w:szCs w:val="24"/>
          <w:u w:val="none"/>
        </w:rPr>
      </w:pPr>
      <w:bookmarkStart w:id="35" w:name="_Toc35393808"/>
      <w:bookmarkStart w:id="36" w:name="_Toc35393639"/>
      <w:bookmarkStart w:id="37" w:name="_Toc28359098"/>
      <w:bookmarkStart w:id="38" w:name="_Toc28359021"/>
      <w:r>
        <w:rPr>
          <w:rFonts w:hint="eastAsia" w:ascii="仿宋" w:hAnsi="仿宋" w:eastAsia="仿宋" w:cs="仿宋"/>
          <w:b w:val="0"/>
          <w:sz w:val="24"/>
          <w:szCs w:val="24"/>
          <w:u w:val="none"/>
        </w:rPr>
        <w:t>3.项目联系方式</w:t>
      </w:r>
      <w:bookmarkEnd w:id="35"/>
      <w:bookmarkEnd w:id="36"/>
      <w:bookmarkEnd w:id="37"/>
      <w:bookmarkEnd w:id="38"/>
    </w:p>
    <w:p>
      <w:pPr>
        <w:pStyle w:val="6"/>
        <w:pageBreakBefore w:val="0"/>
        <w:widowControl w:val="0"/>
        <w:kinsoku/>
        <w:wordWrap/>
        <w:overflowPunct/>
        <w:topLinePunct w:val="0"/>
        <w:autoSpaceDE/>
        <w:autoSpaceDN/>
        <w:bidi w:val="0"/>
        <w:adjustRightInd/>
        <w:snapToGrid w:val="0"/>
        <w:spacing w:line="216" w:lineRule="auto"/>
        <w:ind w:firstLine="720" w:firstLineChars="3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项目联系人：</w:t>
      </w:r>
      <w:r>
        <w:rPr>
          <w:rFonts w:hint="eastAsia" w:ascii="仿宋" w:hAnsi="仿宋" w:eastAsia="仿宋" w:cs="仿宋"/>
          <w:sz w:val="24"/>
          <w:szCs w:val="24"/>
          <w:u w:val="none"/>
          <w:lang w:eastAsia="zh-CN"/>
        </w:rPr>
        <w:t>阿木提江</w:t>
      </w:r>
    </w:p>
    <w:p>
      <w:pPr>
        <w:pageBreakBefore w:val="0"/>
        <w:widowControl w:val="0"/>
        <w:kinsoku/>
        <w:wordWrap/>
        <w:overflowPunct/>
        <w:topLinePunct w:val="0"/>
        <w:autoSpaceDE/>
        <w:autoSpaceDN/>
        <w:bidi w:val="0"/>
        <w:adjustRightInd/>
        <w:snapToGrid w:val="0"/>
        <w:spacing w:line="216" w:lineRule="auto"/>
        <w:ind w:firstLine="720" w:firstLineChars="300"/>
        <w:textAlignment w:val="auto"/>
        <w:rPr>
          <w:rFonts w:hint="eastAsia" w:ascii="仿宋" w:hAnsi="仿宋" w:eastAsia="仿宋" w:cs="仿宋"/>
          <w:sz w:val="24"/>
          <w:szCs w:val="24"/>
          <w:u w:val="none"/>
        </w:rPr>
      </w:pPr>
      <w:r>
        <w:rPr>
          <w:rFonts w:hint="eastAsia" w:ascii="仿宋" w:hAnsi="仿宋" w:eastAsia="仿宋" w:cs="仿宋"/>
          <w:sz w:val="24"/>
          <w:szCs w:val="24"/>
          <w:u w:val="none"/>
        </w:rPr>
        <w:t>电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 xml:space="preserve"> 话：</w:t>
      </w:r>
      <w:r>
        <w:rPr>
          <w:rFonts w:hint="eastAsia" w:ascii="仿宋" w:hAnsi="仿宋" w:eastAsia="仿宋" w:cs="仿宋"/>
          <w:sz w:val="24"/>
          <w:szCs w:val="24"/>
          <w:u w:val="none"/>
          <w:lang w:val="en-US" w:eastAsia="zh-CN"/>
        </w:rPr>
        <w:t>13345389445</w:t>
      </w:r>
      <w:r>
        <w:rPr>
          <w:rFonts w:hint="eastAsia" w:ascii="仿宋" w:hAnsi="仿宋" w:eastAsia="仿宋" w:cs="仿宋"/>
          <w:sz w:val="24"/>
          <w:szCs w:val="24"/>
          <w:u w:val="none"/>
        </w:rPr>
        <w:t>　</w:t>
      </w:r>
    </w:p>
    <w:p>
      <w:pPr>
        <w:pStyle w:val="11"/>
        <w:pageBreakBefore w:val="0"/>
        <w:kinsoku/>
        <w:wordWrap/>
        <w:overflowPunct/>
        <w:topLinePunct w:val="0"/>
        <w:autoSpaceDE/>
        <w:autoSpaceDN/>
        <w:bidi w:val="0"/>
        <w:adjustRightInd/>
        <w:snapToGrid/>
        <w:spacing w:line="216" w:lineRule="auto"/>
        <w:textAlignment w:val="auto"/>
        <w:rPr>
          <w:rFonts w:hint="eastAsia" w:ascii="仿宋" w:hAnsi="仿宋" w:eastAsia="仿宋" w:cs="仿宋"/>
          <w:sz w:val="24"/>
          <w:szCs w:val="24"/>
          <w:u w:val="none"/>
        </w:rPr>
      </w:pPr>
    </w:p>
    <w:p>
      <w:pPr>
        <w:pageBreakBefore w:val="0"/>
        <w:widowControl/>
        <w:shd w:val="clear" w:color="auto" w:fill="FFFFFF"/>
        <w:kinsoku/>
        <w:wordWrap/>
        <w:overflowPunct/>
        <w:topLinePunct w:val="0"/>
        <w:autoSpaceDE/>
        <w:autoSpaceDN/>
        <w:bidi w:val="0"/>
        <w:adjustRightInd/>
        <w:snapToGrid/>
        <w:spacing w:line="240" w:lineRule="auto"/>
        <w:ind w:firstLine="720" w:firstLineChars="300"/>
        <w:jc w:val="left"/>
        <w:textAlignment w:val="auto"/>
        <w:rPr>
          <w:rFonts w:hint="eastAsia" w:ascii="仿宋" w:hAnsi="仿宋" w:eastAsia="仿宋" w:cs="仿宋"/>
          <w:b w:val="0"/>
          <w:bCs/>
          <w:kern w:val="2"/>
          <w:sz w:val="24"/>
          <w:szCs w:val="24"/>
          <w:u w:val="none"/>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5B5965"/>
    <w:multiLevelType w:val="singleLevel"/>
    <w:tmpl w:val="E55B5965"/>
    <w:lvl w:ilvl="0" w:tentative="0">
      <w:start w:val="2"/>
      <w:numFmt w:val="chineseCounting"/>
      <w:suff w:val="nothing"/>
      <w:lvlText w:val="%1、"/>
      <w:lvlJc w:val="left"/>
      <w:rPr>
        <w:rFonts w:hint="eastAsia"/>
      </w:rPr>
    </w:lvl>
  </w:abstractNum>
  <w:abstractNum w:abstractNumId="1">
    <w:nsid w:val="00000000"/>
    <w:multiLevelType w:val="multilevel"/>
    <w:tmpl w:val="0000000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735"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711028A"/>
    <w:multiLevelType w:val="multilevel"/>
    <w:tmpl w:val="2711028A"/>
    <w:lvl w:ilvl="0" w:tentative="0">
      <w:start w:val="1"/>
      <w:numFmt w:val="chineseCountingThousand"/>
      <w:pStyle w:val="7"/>
      <w:suff w:val="nothing"/>
      <w:lvlText w:val="第%1章"/>
      <w:lvlJc w:val="left"/>
      <w:pPr>
        <w:widowControl/>
        <w:ind w:left="0" w:firstLine="0"/>
        <w:textAlignment w:val="baseline"/>
      </w:pPr>
      <w:rPr>
        <w:b/>
        <w:color w:val="000000"/>
        <w:sz w:val="30"/>
        <w:szCs w:val="30"/>
      </w:rPr>
    </w:lvl>
    <w:lvl w:ilvl="1" w:tentative="0">
      <w:start w:val="1"/>
      <w:numFmt w:val="decimal"/>
      <w:suff w:val="nothing"/>
      <w:lvlText w:val=""/>
      <w:lvlJc w:val="left"/>
      <w:pPr>
        <w:widowControl/>
        <w:ind w:left="0" w:firstLine="0"/>
        <w:textAlignment w:val="baseline"/>
      </w:pPr>
    </w:lvl>
    <w:lvl w:ilvl="2" w:tentative="0">
      <w:start w:val="1"/>
      <w:numFmt w:val="decimal"/>
      <w:suff w:val="nothing"/>
      <w:lvlText w:val=""/>
      <w:lvlJc w:val="left"/>
      <w:pPr>
        <w:widowControl/>
        <w:ind w:left="0" w:firstLine="0"/>
        <w:textAlignment w:val="baseline"/>
      </w:pPr>
    </w:lvl>
    <w:lvl w:ilvl="3" w:tentative="0">
      <w:start w:val="1"/>
      <w:numFmt w:val="decimal"/>
      <w:suff w:val="nothing"/>
      <w:lvlText w:val=""/>
      <w:lvlJc w:val="left"/>
      <w:pPr>
        <w:widowControl/>
        <w:ind w:left="0" w:firstLine="0"/>
        <w:textAlignment w:val="baseline"/>
      </w:pPr>
    </w:lvl>
    <w:lvl w:ilvl="4" w:tentative="0">
      <w:start w:val="1"/>
      <w:numFmt w:val="decimal"/>
      <w:suff w:val="nothing"/>
      <w:lvlText w:val=""/>
      <w:lvlJc w:val="left"/>
      <w:pPr>
        <w:widowControl/>
        <w:ind w:left="0" w:firstLine="0"/>
        <w:textAlignment w:val="baseline"/>
      </w:pPr>
    </w:lvl>
    <w:lvl w:ilvl="5" w:tentative="0">
      <w:start w:val="1"/>
      <w:numFmt w:val="decimal"/>
      <w:suff w:val="nothing"/>
      <w:lvlText w:val=""/>
      <w:lvlJc w:val="left"/>
      <w:pPr>
        <w:widowControl/>
        <w:ind w:left="0" w:firstLine="0"/>
        <w:textAlignment w:val="baseline"/>
      </w:pPr>
    </w:lvl>
    <w:lvl w:ilvl="6" w:tentative="0">
      <w:start w:val="1"/>
      <w:numFmt w:val="decimal"/>
      <w:suff w:val="nothing"/>
      <w:lvlText w:val=""/>
      <w:lvlJc w:val="left"/>
      <w:pPr>
        <w:widowControl/>
        <w:ind w:left="0" w:firstLine="0"/>
        <w:textAlignment w:val="baseline"/>
      </w:pPr>
    </w:lvl>
    <w:lvl w:ilvl="7" w:tentative="0">
      <w:start w:val="1"/>
      <w:numFmt w:val="decimal"/>
      <w:suff w:val="nothing"/>
      <w:lvlText w:val=""/>
      <w:lvlJc w:val="left"/>
      <w:pPr>
        <w:widowControl/>
        <w:ind w:left="0" w:firstLine="0"/>
        <w:textAlignment w:val="baseline"/>
      </w:pPr>
    </w:lvl>
    <w:lvl w:ilvl="8" w:tentative="0">
      <w:start w:val="1"/>
      <w:numFmt w:val="decimal"/>
      <w:suff w:val="nothing"/>
      <w:lvlText w:val=""/>
      <w:lvlJc w:val="left"/>
      <w:pPr>
        <w:widowControl/>
        <w:ind w:left="0" w:firstLine="0"/>
        <w:textAlignment w:val="baseline"/>
      </w:pPr>
    </w:lvl>
  </w:abstractNum>
  <w:abstractNum w:abstractNumId="3">
    <w:nsid w:val="6B9017E7"/>
    <w:multiLevelType w:val="singleLevel"/>
    <w:tmpl w:val="6B9017E7"/>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50BB"/>
    <w:rsid w:val="0E87151F"/>
    <w:rsid w:val="176019AA"/>
    <w:rsid w:val="18684C50"/>
    <w:rsid w:val="25032834"/>
    <w:rsid w:val="25AC55FE"/>
    <w:rsid w:val="26FB445D"/>
    <w:rsid w:val="27E73594"/>
    <w:rsid w:val="330636DE"/>
    <w:rsid w:val="36FD283B"/>
    <w:rsid w:val="37C2217F"/>
    <w:rsid w:val="3BF2134E"/>
    <w:rsid w:val="3CBD663F"/>
    <w:rsid w:val="3D250F6A"/>
    <w:rsid w:val="446674B7"/>
    <w:rsid w:val="4646591F"/>
    <w:rsid w:val="4A2B45D5"/>
    <w:rsid w:val="4A531D7B"/>
    <w:rsid w:val="57905384"/>
    <w:rsid w:val="59ED2BFF"/>
    <w:rsid w:val="5CAE07A6"/>
    <w:rsid w:val="6D7E2CAD"/>
    <w:rsid w:val="7023580D"/>
    <w:rsid w:val="760C1985"/>
    <w:rsid w:val="78C74AD3"/>
    <w:rsid w:val="7D39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0"/>
    <w:pPr>
      <w:keepNext/>
      <w:keepLines/>
      <w:numPr>
        <w:ilvl w:val="2"/>
        <w:numId w:val="1"/>
      </w:numPr>
      <w:spacing w:before="260" w:after="260" w:line="416" w:lineRule="auto"/>
      <w:outlineLvl w:val="2"/>
    </w:pPr>
    <w:rPr>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ind w:firstLine="420"/>
    </w:pPr>
    <w:rPr>
      <w:rFonts w:ascii="Times New Roman" w:eastAsia="楷体_GB2312"/>
      <w:sz w:val="24"/>
    </w:rPr>
  </w:style>
  <w:style w:type="paragraph" w:styleId="6">
    <w:name w:val="Plain Text"/>
    <w:basedOn w:val="1"/>
    <w:qFormat/>
    <w:uiPriority w:val="0"/>
    <w:rPr>
      <w:rFonts w:ascii="宋体" w:hAnsi="Courier New" w:eastAsiaTheme="minorEastAsia" w:cstheme="minorBidi"/>
      <w:szCs w:val="22"/>
    </w:rPr>
  </w:style>
  <w:style w:type="paragraph" w:styleId="7">
    <w:name w:val="List"/>
    <w:basedOn w:val="1"/>
    <w:qFormat/>
    <w:uiPriority w:val="0"/>
    <w:pPr>
      <w:numPr>
        <w:ilvl w:val="0"/>
        <w:numId w:val="2"/>
      </w:numPr>
      <w:jc w:val="both"/>
      <w:textAlignment w:val="baseline"/>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12">
    <w:name w:val="List Paragraph"/>
    <w:basedOn w:val="1"/>
    <w:qFormat/>
    <w:uiPriority w:val="34"/>
    <w:pPr>
      <w:ind w:firstLine="420" w:firstLineChars="200"/>
    </w:pPr>
  </w:style>
  <w:style w:type="character" w:customStyle="1" w:styleId="13">
    <w:name w:val="NormalCharacter"/>
    <w:link w:val="1"/>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cp:lastModifiedBy>
  <cp:lastPrinted>2021-01-02T08:13:00Z</cp:lastPrinted>
  <dcterms:modified xsi:type="dcterms:W3CDTF">2021-01-07T05:38:27Z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