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0674F">
      <w:pPr>
        <w:pStyle w:val="61"/>
        <w:ind w:left="420" w:hanging="420"/>
        <w:outlineLvl w:val="9"/>
        <w:rPr>
          <w:rFonts w:hint="eastAsia" w:ascii="仿宋" w:hAnsi="仿宋" w:eastAsia="仿宋" w:cs="仿宋"/>
          <w:highlight w:val="none"/>
        </w:rPr>
      </w:pPr>
    </w:p>
    <w:p w14:paraId="1856F428">
      <w:pPr>
        <w:pStyle w:val="61"/>
        <w:ind w:left="420" w:hanging="420"/>
        <w:outlineLvl w:val="9"/>
        <w:rPr>
          <w:rFonts w:hint="eastAsia" w:ascii="仿宋" w:hAnsi="仿宋" w:eastAsia="仿宋" w:cs="仿宋"/>
          <w:highlight w:val="none"/>
        </w:rPr>
      </w:pPr>
    </w:p>
    <w:p w14:paraId="010C7A85">
      <w:pPr>
        <w:pStyle w:val="61"/>
        <w:ind w:left="420" w:hanging="420"/>
        <w:outlineLvl w:val="9"/>
        <w:rPr>
          <w:rFonts w:hint="eastAsia" w:ascii="仿宋" w:hAnsi="仿宋" w:eastAsia="仿宋" w:cs="仿宋"/>
          <w:highlight w:val="none"/>
        </w:rPr>
      </w:pPr>
    </w:p>
    <w:p w14:paraId="1887165D">
      <w:pPr>
        <w:pStyle w:val="61"/>
        <w:ind w:left="420" w:hanging="420"/>
        <w:jc w:val="center"/>
        <w:outlineLvl w:val="9"/>
        <w:rPr>
          <w:rFonts w:hint="eastAsia" w:ascii="仿宋" w:hAnsi="仿宋" w:eastAsia="仿宋" w:cs="仿宋"/>
          <w:highlight w:val="none"/>
        </w:rPr>
      </w:pPr>
      <w:r>
        <w:rPr>
          <w:rFonts w:hint="eastAsia" w:ascii="仿宋" w:hAnsi="仿宋" w:eastAsia="仿宋" w:cs="仿宋"/>
          <w:b/>
          <w:bCs/>
          <w:color w:val="auto"/>
          <w:sz w:val="84"/>
          <w:szCs w:val="84"/>
          <w:highlight w:val="none"/>
          <w:lang w:eastAsia="zh-CN"/>
        </w:rPr>
        <w:drawing>
          <wp:inline distT="0" distB="0" distL="114300" distR="114300">
            <wp:extent cx="2265045" cy="2058670"/>
            <wp:effectExtent l="0" t="0" r="1905" b="1778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9"/>
                    <a:srcRect l="24214" t="16469" r="28638" b="21736"/>
                    <a:stretch>
                      <a:fillRect/>
                    </a:stretch>
                  </pic:blipFill>
                  <pic:spPr>
                    <a:xfrm>
                      <a:off x="0" y="0"/>
                      <a:ext cx="2265045" cy="2058670"/>
                    </a:xfrm>
                    <a:prstGeom prst="rect">
                      <a:avLst/>
                    </a:prstGeom>
                    <a:noFill/>
                    <a:ln>
                      <a:noFill/>
                    </a:ln>
                  </pic:spPr>
                </pic:pic>
              </a:graphicData>
            </a:graphic>
          </wp:inline>
        </w:drawing>
      </w:r>
    </w:p>
    <w:p w14:paraId="7A4C271E">
      <w:pPr>
        <w:pStyle w:val="61"/>
        <w:tabs>
          <w:tab w:val="left" w:pos="6030"/>
        </w:tabs>
        <w:ind w:left="420" w:hanging="420"/>
        <w:outlineLvl w:val="9"/>
        <w:rPr>
          <w:rFonts w:hint="eastAsia" w:ascii="仿宋" w:hAnsi="仿宋" w:eastAsia="仿宋" w:cs="仿宋"/>
          <w:highlight w:val="none"/>
        </w:rPr>
      </w:pPr>
      <w:r>
        <w:rPr>
          <w:rFonts w:hint="eastAsia" w:ascii="仿宋" w:hAnsi="仿宋" w:eastAsia="仿宋" w:cs="仿宋"/>
          <w:highlight w:val="none"/>
        </w:rPr>
        <w:tab/>
      </w:r>
    </w:p>
    <w:p w14:paraId="763CA2B6">
      <w:pPr>
        <w:pStyle w:val="61"/>
        <w:ind w:left="420" w:hanging="420"/>
        <w:outlineLvl w:val="9"/>
        <w:rPr>
          <w:rFonts w:hint="eastAsia" w:ascii="仿宋" w:hAnsi="仿宋" w:eastAsia="仿宋" w:cs="仿宋"/>
          <w:highlight w:val="none"/>
        </w:rPr>
      </w:pPr>
    </w:p>
    <w:p w14:paraId="28445315">
      <w:pPr>
        <w:pStyle w:val="24"/>
        <w:keepNext/>
        <w:jc w:val="center"/>
        <w:outlineLvl w:val="9"/>
        <w:rPr>
          <w:rFonts w:hint="eastAsia" w:ascii="仿宋" w:hAnsi="仿宋" w:eastAsia="仿宋" w:cs="仿宋"/>
          <w:b/>
          <w:sz w:val="52"/>
          <w:szCs w:val="52"/>
          <w:highlight w:val="none"/>
        </w:rPr>
      </w:pPr>
      <w:bookmarkStart w:id="0" w:name="_Toc4490"/>
      <w:bookmarkStart w:id="1" w:name="_Toc26424"/>
      <w:r>
        <w:rPr>
          <w:rFonts w:hint="eastAsia" w:ascii="仿宋" w:hAnsi="仿宋" w:eastAsia="仿宋" w:cs="仿宋"/>
          <w:b/>
          <w:sz w:val="52"/>
          <w:szCs w:val="52"/>
          <w:highlight w:val="none"/>
        </w:rPr>
        <w:t>竞争性磋商文件</w:t>
      </w:r>
      <w:bookmarkEnd w:id="0"/>
      <w:bookmarkEnd w:id="1"/>
    </w:p>
    <w:p w14:paraId="4E70931C">
      <w:pPr>
        <w:pStyle w:val="24"/>
        <w:keepNext/>
        <w:spacing w:line="360" w:lineRule="auto"/>
        <w:jc w:val="center"/>
        <w:outlineLvl w:val="9"/>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（服务类）</w:t>
      </w:r>
    </w:p>
    <w:p w14:paraId="2F85AB81">
      <w:pPr>
        <w:pStyle w:val="24"/>
        <w:keepNext/>
        <w:spacing w:line="360" w:lineRule="auto"/>
        <w:jc w:val="center"/>
        <w:outlineLvl w:val="9"/>
        <w:rPr>
          <w:rFonts w:hint="eastAsia" w:ascii="仿宋" w:hAnsi="仿宋" w:eastAsia="仿宋" w:cs="仿宋"/>
          <w:b/>
          <w:bCs/>
          <w:sz w:val="52"/>
          <w:szCs w:val="52"/>
          <w:highlight w:val="none"/>
        </w:rPr>
      </w:pPr>
    </w:p>
    <w:p w14:paraId="7962F940">
      <w:pPr>
        <w:pStyle w:val="24"/>
        <w:keepNext/>
        <w:spacing w:line="360" w:lineRule="auto"/>
        <w:jc w:val="center"/>
        <w:outlineLvl w:val="9"/>
        <w:rPr>
          <w:rFonts w:hint="eastAsia" w:ascii="仿宋" w:hAnsi="仿宋" w:eastAsia="仿宋" w:cs="仿宋"/>
          <w:b/>
          <w:bCs/>
          <w:sz w:val="52"/>
          <w:szCs w:val="52"/>
          <w:highlight w:val="none"/>
        </w:rPr>
      </w:pPr>
    </w:p>
    <w:p w14:paraId="4767FADD">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auto"/>
        <w:outlineLvl w:val="9"/>
        <w:rPr>
          <w:rFonts w:hint="eastAsia" w:ascii="仿宋" w:hAnsi="仿宋" w:eastAsia="仿宋" w:cs="仿宋"/>
          <w:sz w:val="28"/>
          <w:szCs w:val="28"/>
          <w:highlight w:val="none"/>
          <w:u w:val="single"/>
          <w:lang w:val="en-US" w:eastAsia="zh-CN"/>
        </w:rPr>
      </w:pPr>
      <w:bookmarkStart w:id="2" w:name="_Toc1198"/>
      <w:bookmarkStart w:id="3" w:name="_Toc479"/>
      <w:r>
        <w:rPr>
          <w:rFonts w:hint="eastAsia" w:ascii="仿宋" w:hAnsi="仿宋" w:eastAsia="仿宋" w:cs="仿宋"/>
          <w:sz w:val="28"/>
          <w:szCs w:val="28"/>
          <w:highlight w:val="none"/>
        </w:rPr>
        <w:t>项目名称：</w:t>
      </w:r>
      <w:bookmarkEnd w:id="2"/>
      <w:bookmarkEnd w:id="3"/>
      <w:r>
        <w:rPr>
          <w:rFonts w:hint="eastAsia" w:ascii="仿宋" w:hAnsi="仿宋" w:eastAsia="仿宋" w:cs="仿宋"/>
          <w:sz w:val="28"/>
          <w:szCs w:val="28"/>
          <w:highlight w:val="none"/>
          <w:u w:val="single"/>
          <w:lang w:val="en-US" w:eastAsia="zh-CN"/>
        </w:rPr>
        <w:t>墨玉县卫健系统邀请专家进行临床执业</w:t>
      </w:r>
    </w:p>
    <w:p w14:paraId="418C21F9">
      <w:pPr>
        <w:keepNext w:val="0"/>
        <w:keepLines w:val="0"/>
        <w:pageBreakBefore w:val="0"/>
        <w:widowControl w:val="0"/>
        <w:kinsoku/>
        <w:wordWrap/>
        <w:overflowPunct/>
        <w:topLinePunct w:val="0"/>
        <w:autoSpaceDE/>
        <w:autoSpaceDN/>
        <w:bidi w:val="0"/>
        <w:adjustRightInd/>
        <w:snapToGrid/>
        <w:spacing w:line="640" w:lineRule="exact"/>
        <w:ind w:firstLine="1960" w:firstLineChars="7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(助理)医师能力提升培训</w:t>
      </w:r>
    </w:p>
    <w:p w14:paraId="201F827A">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ZXZC-MYXCG-2025-033号</w:t>
      </w:r>
    </w:p>
    <w:p w14:paraId="56EC5022">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auto"/>
        <w:outlineLvl w:val="9"/>
        <w:rPr>
          <w:rFonts w:hint="eastAsia" w:ascii="仿宋" w:hAnsi="仿宋" w:eastAsia="仿宋" w:cs="仿宋"/>
          <w:bCs/>
          <w:sz w:val="30"/>
          <w:szCs w:val="30"/>
          <w:highlight w:val="none"/>
          <w:lang w:val="en-US" w:eastAsia="zh-CN"/>
        </w:rPr>
      </w:pPr>
      <w:r>
        <w:rPr>
          <w:rFonts w:hint="eastAsia" w:ascii="仿宋" w:hAnsi="仿宋" w:eastAsia="仿宋" w:cs="仿宋"/>
          <w:sz w:val="28"/>
          <w:szCs w:val="28"/>
          <w:highlight w:val="none"/>
          <w:lang w:eastAsia="zh-CN"/>
        </w:rPr>
        <w:t>采</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购</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墨玉县卫生健康委员会</w:t>
      </w:r>
    </w:p>
    <w:p w14:paraId="2037FE34">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w:t>
      </w:r>
      <w:r>
        <w:rPr>
          <w:rFonts w:hint="eastAsia" w:ascii="仿宋" w:hAnsi="仿宋" w:eastAsia="仿宋" w:cs="仿宋"/>
          <w:sz w:val="28"/>
          <w:szCs w:val="28"/>
          <w:highlight w:val="none"/>
          <w:u w:val="single"/>
          <w:lang w:eastAsia="zh-CN"/>
        </w:rPr>
        <w:t>墨玉县众信智诚工程项目管理有限公司</w:t>
      </w:r>
    </w:p>
    <w:p w14:paraId="4088BACD">
      <w:pPr>
        <w:spacing w:line="640" w:lineRule="exact"/>
        <w:jc w:val="center"/>
        <w:outlineLvl w:val="9"/>
        <w:rPr>
          <w:rFonts w:hint="eastAsia" w:ascii="仿宋" w:hAnsi="仿宋" w:eastAsia="仿宋" w:cs="仿宋"/>
          <w:sz w:val="28"/>
          <w:szCs w:val="28"/>
          <w:highlight w:val="none"/>
        </w:rPr>
      </w:pPr>
    </w:p>
    <w:p w14:paraId="6E7B06B3">
      <w:pPr>
        <w:spacing w:line="640" w:lineRule="exact"/>
        <w:jc w:val="center"/>
        <w:outlineLvl w:val="9"/>
        <w:rPr>
          <w:rFonts w:hint="eastAsia" w:ascii="仿宋" w:hAnsi="仿宋" w:eastAsia="仿宋" w:cs="仿宋"/>
          <w:sz w:val="28"/>
          <w:szCs w:val="28"/>
          <w:highlight w:val="none"/>
        </w:rPr>
      </w:pPr>
    </w:p>
    <w:p w14:paraId="032D20C9">
      <w:pPr>
        <w:spacing w:line="640" w:lineRule="exact"/>
        <w:jc w:val="center"/>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日期：202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p>
    <w:p w14:paraId="7D4E60F9">
      <w:pPr>
        <w:spacing w:line="500" w:lineRule="exact"/>
        <w:outlineLvl w:val="9"/>
        <w:rPr>
          <w:rFonts w:hint="eastAsia" w:ascii="仿宋" w:hAnsi="仿宋" w:eastAsia="仿宋" w:cs="仿宋"/>
          <w:b/>
          <w:sz w:val="24"/>
          <w:szCs w:val="24"/>
          <w:highlight w:val="none"/>
          <w:lang w:val="zh-CN"/>
        </w:rPr>
      </w:pPr>
    </w:p>
    <w:p w14:paraId="1283183C">
      <w:pPr>
        <w:outlineLvl w:val="9"/>
        <w:rPr>
          <w:rFonts w:hint="eastAsia" w:ascii="仿宋" w:hAnsi="仿宋" w:eastAsia="仿宋" w:cs="仿宋"/>
          <w:sz w:val="24"/>
          <w:szCs w:val="24"/>
          <w:highlight w:val="none"/>
          <w:lang w:val="zh-CN"/>
        </w:rPr>
      </w:pPr>
    </w:p>
    <w:p w14:paraId="79588166">
      <w:pPr>
        <w:ind w:left="105" w:hanging="105"/>
        <w:outlineLvl w:val="9"/>
        <w:rPr>
          <w:rFonts w:hint="eastAsia" w:ascii="仿宋" w:hAnsi="仿宋" w:eastAsia="仿宋" w:cs="仿宋"/>
          <w:sz w:val="24"/>
          <w:szCs w:val="24"/>
          <w:highlight w:val="none"/>
          <w:lang w:val="zh-CN"/>
        </w:rPr>
      </w:pPr>
    </w:p>
    <w:p w14:paraId="72BB3A9B">
      <w:pPr>
        <w:snapToGrid w:val="0"/>
        <w:spacing w:line="700" w:lineRule="exact"/>
        <w:ind w:left="0" w:right="0" w:firstLine="480" w:firstLineChars="20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购</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人</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（盖章）：</w:t>
      </w:r>
      <w:r>
        <w:rPr>
          <w:rFonts w:hint="eastAsia" w:ascii="仿宋" w:hAnsi="仿宋" w:eastAsia="仿宋" w:cs="仿宋"/>
          <w:bCs/>
          <w:sz w:val="24"/>
          <w:szCs w:val="24"/>
          <w:highlight w:val="none"/>
          <w:lang w:val="en-US" w:eastAsia="zh-CN"/>
        </w:rPr>
        <w:t>墨玉县卫生健康委员会</w:t>
      </w:r>
    </w:p>
    <w:p w14:paraId="38EB9F7B">
      <w:pPr>
        <w:snapToGrid w:val="0"/>
        <w:spacing w:line="700" w:lineRule="exact"/>
        <w:ind w:left="0" w:right="0" w:firstLine="480" w:firstLineChars="20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系</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人：</w:t>
      </w:r>
      <w:r>
        <w:rPr>
          <w:rFonts w:hint="eastAsia" w:ascii="仿宋" w:hAnsi="仿宋" w:eastAsia="仿宋" w:cs="仿宋"/>
          <w:bCs/>
          <w:sz w:val="24"/>
          <w:szCs w:val="24"/>
          <w:highlight w:val="none"/>
          <w:lang w:val="en-US" w:eastAsia="zh-CN"/>
        </w:rPr>
        <w:t>热则耶</w:t>
      </w:r>
      <w:r>
        <w:rPr>
          <w:rFonts w:hint="eastAsia" w:ascii="仿宋" w:hAnsi="仿宋" w:eastAsia="仿宋" w:cs="仿宋"/>
          <w:bCs/>
          <w:sz w:val="28"/>
          <w:szCs w:val="28"/>
          <w:highlight w:val="none"/>
          <w:lang w:val="en-US" w:eastAsia="zh-CN"/>
        </w:rPr>
        <w:t xml:space="preserve">  </w:t>
      </w:r>
    </w:p>
    <w:p w14:paraId="7BEE723A">
      <w:pPr>
        <w:snapToGrid w:val="0"/>
        <w:spacing w:line="700" w:lineRule="exact"/>
        <w:ind w:left="0" w:right="0" w:firstLine="480" w:firstLineChars="20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r>
        <w:rPr>
          <w:rFonts w:hint="eastAsia" w:ascii="仿宋" w:hAnsi="仿宋" w:eastAsia="仿宋" w:cs="仿宋"/>
          <w:bCs/>
          <w:sz w:val="24"/>
          <w:szCs w:val="24"/>
          <w:highlight w:val="none"/>
          <w:lang w:val="en-US" w:eastAsia="zh-CN"/>
        </w:rPr>
        <w:t xml:space="preserve">0903-6512318     </w:t>
      </w:r>
    </w:p>
    <w:p w14:paraId="74208E94">
      <w:pPr>
        <w:snapToGrid w:val="0"/>
        <w:spacing w:line="800" w:lineRule="exact"/>
        <w:ind w:left="0" w:right="0" w:firstLine="480" w:firstLineChars="200"/>
        <w:outlineLvl w:val="9"/>
        <w:rPr>
          <w:rFonts w:hint="eastAsia" w:ascii="仿宋" w:hAnsi="仿宋" w:eastAsia="仿宋" w:cs="仿宋"/>
          <w:bCs/>
          <w:sz w:val="24"/>
          <w:szCs w:val="24"/>
          <w:highlight w:val="none"/>
          <w:lang w:eastAsia="zh-CN"/>
        </w:rPr>
      </w:pPr>
      <w:bookmarkStart w:id="4" w:name="_Hlk132295973"/>
      <w:r>
        <w:rPr>
          <w:rFonts w:hint="eastAsia" w:ascii="仿宋" w:hAnsi="仿宋" w:eastAsia="仿宋" w:cs="仿宋"/>
          <w:bCs/>
          <w:sz w:val="24"/>
          <w:szCs w:val="24"/>
          <w:highlight w:val="none"/>
        </w:rPr>
        <w:t>地</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址：</w:t>
      </w:r>
      <w:bookmarkEnd w:id="4"/>
      <w:r>
        <w:rPr>
          <w:rFonts w:hint="eastAsia" w:ascii="仿宋" w:hAnsi="仿宋" w:eastAsia="仿宋" w:cs="仿宋"/>
          <w:bCs/>
          <w:sz w:val="24"/>
          <w:szCs w:val="24"/>
          <w:highlight w:val="none"/>
          <w:lang w:val="en-US" w:eastAsia="zh-CN"/>
        </w:rPr>
        <w:t>墨玉县库木鲁克南路49号</w:t>
      </w:r>
    </w:p>
    <w:p w14:paraId="37DC4916">
      <w:pPr>
        <w:snapToGrid w:val="0"/>
        <w:spacing w:line="700" w:lineRule="exact"/>
        <w:ind w:left="0" w:right="0" w:firstLine="480" w:firstLineChars="200"/>
        <w:outlineLvl w:val="9"/>
        <w:rPr>
          <w:rFonts w:hint="eastAsia" w:ascii="仿宋" w:hAnsi="仿宋" w:eastAsia="仿宋" w:cs="仿宋"/>
          <w:bCs/>
          <w:sz w:val="24"/>
          <w:szCs w:val="24"/>
          <w:highlight w:val="none"/>
        </w:rPr>
      </w:pPr>
    </w:p>
    <w:p w14:paraId="679A6423">
      <w:pPr>
        <w:snapToGrid w:val="0"/>
        <w:spacing w:line="700" w:lineRule="exact"/>
        <w:ind w:left="0" w:right="0" w:firstLine="480" w:firstLineChars="20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招标代理机构</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（盖章）</w:t>
      </w:r>
      <w:r>
        <w:rPr>
          <w:rFonts w:hint="eastAsia" w:ascii="仿宋" w:hAnsi="仿宋" w:eastAsia="仿宋" w:cs="仿宋"/>
          <w:bCs/>
          <w:sz w:val="24"/>
          <w:szCs w:val="24"/>
          <w:highlight w:val="none"/>
          <w:lang w:eastAsia="zh-CN"/>
        </w:rPr>
        <w:t>墨玉县众信智诚工程项目管理有限公司</w:t>
      </w:r>
    </w:p>
    <w:p w14:paraId="2EFB7EDC">
      <w:pPr>
        <w:snapToGrid w:val="0"/>
        <w:spacing w:line="700" w:lineRule="exact"/>
        <w:ind w:left="0" w:right="0" w:firstLine="480" w:firstLineChars="200"/>
        <w:outlineLvl w:val="9"/>
        <w:rPr>
          <w:rFonts w:hint="eastAsia" w:ascii="仿宋" w:hAnsi="仿宋" w:eastAsia="仿宋" w:cs="仿宋"/>
          <w:bCs/>
          <w:sz w:val="24"/>
          <w:szCs w:val="24"/>
          <w:highlight w:val="yellow"/>
          <w:lang w:val="en-US" w:eastAsia="zh-CN"/>
        </w:rPr>
      </w:pPr>
      <w:r>
        <w:rPr>
          <w:rFonts w:hint="eastAsia" w:ascii="仿宋" w:hAnsi="仿宋" w:eastAsia="仿宋" w:cs="仿宋"/>
          <w:bCs/>
          <w:sz w:val="24"/>
          <w:szCs w:val="24"/>
          <w:highlight w:val="none"/>
        </w:rPr>
        <w:t>联</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系</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人：</w:t>
      </w:r>
      <w:r>
        <w:rPr>
          <w:rFonts w:hint="eastAsia" w:ascii="仿宋" w:hAnsi="仿宋" w:eastAsia="仿宋" w:cs="仿宋"/>
          <w:bCs/>
          <w:sz w:val="24"/>
          <w:szCs w:val="24"/>
          <w:highlight w:val="none"/>
          <w:lang w:val="en-US" w:eastAsia="zh-CN"/>
        </w:rPr>
        <w:t>祖丽阿娅</w:t>
      </w:r>
    </w:p>
    <w:p w14:paraId="233C0191">
      <w:pPr>
        <w:snapToGrid w:val="0"/>
        <w:spacing w:line="700" w:lineRule="exact"/>
        <w:ind w:left="0" w:right="0" w:firstLine="480" w:firstLineChars="200"/>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联系电话：</w:t>
      </w:r>
      <w:r>
        <w:rPr>
          <w:rFonts w:hint="eastAsia" w:ascii="仿宋" w:hAnsi="仿宋" w:eastAsia="仿宋" w:cs="仿宋"/>
          <w:bCs/>
          <w:sz w:val="24"/>
          <w:szCs w:val="24"/>
          <w:highlight w:val="none"/>
          <w:lang w:eastAsia="zh-CN"/>
        </w:rPr>
        <w:t>0903-6530990</w:t>
      </w:r>
    </w:p>
    <w:p w14:paraId="1455FBA2">
      <w:pPr>
        <w:snapToGrid w:val="0"/>
        <w:spacing w:line="700" w:lineRule="exact"/>
        <w:ind w:left="0" w:right="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rPr>
        <w:t>地</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址：</w:t>
      </w:r>
      <w:r>
        <w:rPr>
          <w:rFonts w:hint="eastAsia" w:ascii="仿宋" w:hAnsi="仿宋" w:eastAsia="仿宋" w:cs="仿宋"/>
          <w:bCs/>
          <w:sz w:val="24"/>
          <w:szCs w:val="24"/>
          <w:highlight w:val="none"/>
          <w:lang w:eastAsia="zh-CN"/>
        </w:rPr>
        <w:t xml:space="preserve">墨玉县乐民社区B栋二楼 </w:t>
      </w:r>
    </w:p>
    <w:p w14:paraId="0A747157">
      <w:pPr>
        <w:overflowPunct w:val="0"/>
        <w:ind w:left="0" w:firstLine="0" w:firstLineChars="0"/>
        <w:outlineLvl w:val="9"/>
        <w:rPr>
          <w:rFonts w:hint="eastAsia" w:ascii="仿宋" w:hAnsi="仿宋" w:eastAsia="仿宋" w:cs="仿宋"/>
          <w:kern w:val="0"/>
          <w:sz w:val="36"/>
          <w:szCs w:val="36"/>
          <w:highlight w:val="none"/>
        </w:rPr>
      </w:pPr>
    </w:p>
    <w:p w14:paraId="7592D484">
      <w:pPr>
        <w:pStyle w:val="12"/>
        <w:outlineLvl w:val="9"/>
        <w:rPr>
          <w:rFonts w:hint="eastAsia" w:ascii="仿宋" w:hAnsi="仿宋" w:eastAsia="仿宋" w:cs="仿宋"/>
          <w:kern w:val="0"/>
          <w:sz w:val="36"/>
          <w:szCs w:val="36"/>
          <w:highlight w:val="none"/>
        </w:rPr>
      </w:pPr>
    </w:p>
    <w:p w14:paraId="1D764E6B">
      <w:pPr>
        <w:pStyle w:val="2"/>
        <w:spacing w:before="0" w:after="0" w:line="240" w:lineRule="auto"/>
        <w:outlineLvl w:val="9"/>
        <w:rPr>
          <w:rFonts w:hint="eastAsia" w:ascii="仿宋" w:hAnsi="仿宋" w:eastAsia="仿宋" w:cs="仿宋"/>
          <w:b/>
          <w:bCs w:val="0"/>
          <w:sz w:val="36"/>
          <w:szCs w:val="36"/>
          <w:highlight w:val="none"/>
        </w:rPr>
        <w:sectPr>
          <w:headerReference r:id="rId3" w:type="default"/>
          <w:footerReference r:id="rId4" w:type="default"/>
          <w:pgSz w:w="11906" w:h="16838"/>
          <w:pgMar w:top="1191" w:right="1191" w:bottom="1191" w:left="1191" w:header="851" w:footer="850" w:gutter="0"/>
          <w:pgBorders>
            <w:top w:val="none" w:sz="0" w:space="0"/>
            <w:left w:val="none" w:sz="0" w:space="0"/>
            <w:bottom w:val="none" w:sz="0" w:space="0"/>
            <w:right w:val="none" w:sz="0" w:space="0"/>
          </w:pgBorders>
          <w:pgNumType w:fmt="decimal" w:start="1"/>
          <w:cols w:space="720" w:num="1"/>
          <w:rtlGutter w:val="0"/>
          <w:docGrid w:linePitch="312" w:charSpace="0"/>
        </w:sectPr>
      </w:pPr>
      <w:bookmarkStart w:id="5" w:name="_Toc532543563"/>
      <w:bookmarkStart w:id="6" w:name="_Toc531075007"/>
      <w:bookmarkStart w:id="7" w:name="_Toc9466"/>
      <w:bookmarkStart w:id="8" w:name="_Toc456718476"/>
    </w:p>
    <w:p w14:paraId="3928898D">
      <w:pPr>
        <w:rPr>
          <w:rFonts w:hint="eastAsia" w:ascii="仿宋" w:hAnsi="仿宋" w:eastAsia="仿宋" w:cs="仿宋"/>
          <w:highlight w:val="none"/>
        </w:rPr>
      </w:pPr>
    </w:p>
    <w:p w14:paraId="2F155EC6">
      <w:pPr>
        <w:rPr>
          <w:rFonts w:hint="eastAsia" w:ascii="仿宋" w:hAnsi="仿宋" w:eastAsia="仿宋" w:cs="仿宋"/>
          <w:highlight w:val="none"/>
        </w:rPr>
      </w:pPr>
    </w:p>
    <w:p w14:paraId="69EF5010">
      <w:pPr>
        <w:spacing w:before="0" w:beforeLines="0" w:after="0" w:afterLines="0" w:line="240" w:lineRule="auto"/>
        <w:ind w:left="0" w:leftChars="0" w:right="0" w:rightChars="0" w:firstLine="0" w:firstLineChars="0"/>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目</w:t>
      </w:r>
      <w:r>
        <w:rPr>
          <w:rFonts w:hint="eastAsia" w:ascii="仿宋" w:hAnsi="仿宋" w:eastAsia="仿宋" w:cs="仿宋"/>
          <w:b/>
          <w:bCs/>
          <w:sz w:val="48"/>
          <w:szCs w:val="48"/>
          <w:highlight w:val="none"/>
          <w:lang w:val="en-US" w:eastAsia="zh-CN"/>
        </w:rPr>
        <w:t xml:space="preserve"> </w:t>
      </w:r>
      <w:r>
        <w:rPr>
          <w:rFonts w:hint="eastAsia" w:ascii="仿宋" w:hAnsi="仿宋" w:eastAsia="仿宋" w:cs="仿宋"/>
          <w:b/>
          <w:bCs/>
          <w:sz w:val="48"/>
          <w:szCs w:val="48"/>
          <w:highlight w:val="none"/>
        </w:rPr>
        <w:t>录</w:t>
      </w:r>
    </w:p>
    <w:p w14:paraId="3731A7F0">
      <w:pPr>
        <w:pStyle w:val="60"/>
        <w:tabs>
          <w:tab w:val="right" w:leader="dot" w:pos="9524"/>
          <w:tab w:val="clear" w:pos="8222"/>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"1-1" \h \u </w:instrText>
      </w:r>
      <w:r>
        <w:rPr>
          <w:rFonts w:hint="eastAsia" w:ascii="仿宋" w:hAnsi="仿宋" w:eastAsia="仿宋" w:cs="仿宋"/>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_Toc29090 </w:instrText>
      </w:r>
      <w:r>
        <w:rPr>
          <w:rFonts w:hint="eastAsia" w:ascii="仿宋" w:hAnsi="仿宋" w:eastAsia="仿宋" w:cs="仿宋"/>
          <w:highlight w:val="none"/>
        </w:rPr>
        <w:fldChar w:fldCharType="separate"/>
      </w:r>
      <w:r>
        <w:rPr>
          <w:rFonts w:hint="eastAsia" w:ascii="仿宋" w:hAnsi="仿宋" w:eastAsia="仿宋" w:cs="仿宋"/>
          <w:bCs w:val="0"/>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_Toc29090 \h </w:instrText>
      </w:r>
      <w:r>
        <w:rPr>
          <w:rFonts w:hint="eastAsia" w:ascii="仿宋" w:hAnsi="仿宋" w:eastAsia="仿宋" w:cs="仿宋"/>
          <w:highlight w:val="none"/>
        </w:rPr>
        <w:fldChar w:fldCharType="separate"/>
      </w:r>
      <w:r>
        <w:rPr>
          <w:rFonts w:hint="eastAsia" w:ascii="仿宋" w:hAnsi="仿宋" w:eastAsia="仿宋" w:cs="仿宋"/>
          <w:highlight w:val="none"/>
        </w:rPr>
        <w:t>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9AA2AD2">
      <w:pPr>
        <w:pStyle w:val="60"/>
        <w:tabs>
          <w:tab w:val="right" w:leader="dot" w:pos="9524"/>
          <w:tab w:val="clear" w:pos="8222"/>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_Toc24271 </w:instrText>
      </w:r>
      <w:r>
        <w:rPr>
          <w:rFonts w:hint="eastAsia" w:ascii="仿宋" w:hAnsi="仿宋" w:eastAsia="仿宋" w:cs="仿宋"/>
          <w:highlight w:val="none"/>
        </w:rPr>
        <w:fldChar w:fldCharType="separate"/>
      </w:r>
      <w:r>
        <w:rPr>
          <w:rFonts w:hint="eastAsia" w:ascii="仿宋" w:hAnsi="仿宋" w:eastAsia="仿宋" w:cs="仿宋"/>
          <w:bCs w:val="0"/>
          <w:szCs w:val="36"/>
          <w:highlight w:val="none"/>
        </w:rPr>
        <w:t>第二章 供应商须知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_Toc24271 \h </w:instrText>
      </w:r>
      <w:r>
        <w:rPr>
          <w:rFonts w:hint="eastAsia" w:ascii="仿宋" w:hAnsi="仿宋" w:eastAsia="仿宋" w:cs="仿宋"/>
          <w:highlight w:val="none"/>
        </w:rPr>
        <w:fldChar w:fldCharType="separate"/>
      </w:r>
      <w:r>
        <w:rPr>
          <w:rFonts w:hint="eastAsia" w:ascii="仿宋" w:hAnsi="仿宋" w:eastAsia="仿宋" w:cs="仿宋"/>
          <w:highlight w:val="none"/>
        </w:rPr>
        <w:t>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C601215">
      <w:pPr>
        <w:pStyle w:val="60"/>
        <w:tabs>
          <w:tab w:val="right" w:leader="dot" w:pos="9524"/>
          <w:tab w:val="clear" w:pos="8222"/>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_Toc10767 </w:instrText>
      </w:r>
      <w:r>
        <w:rPr>
          <w:rFonts w:hint="eastAsia" w:ascii="仿宋" w:hAnsi="仿宋" w:eastAsia="仿宋" w:cs="仿宋"/>
          <w:highlight w:val="none"/>
        </w:rPr>
        <w:fldChar w:fldCharType="separate"/>
      </w:r>
      <w:r>
        <w:rPr>
          <w:rFonts w:hint="eastAsia" w:ascii="仿宋" w:hAnsi="仿宋" w:eastAsia="仿宋" w:cs="仿宋"/>
          <w:bCs w:val="0"/>
          <w:szCs w:val="36"/>
          <w:highlight w:val="none"/>
        </w:rPr>
        <w:t>第三章 采购需求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_Toc10767 \h </w:instrText>
      </w:r>
      <w:r>
        <w:rPr>
          <w:rFonts w:hint="eastAsia" w:ascii="仿宋" w:hAnsi="仿宋" w:eastAsia="仿宋" w:cs="仿宋"/>
          <w:highlight w:val="none"/>
        </w:rPr>
        <w:fldChar w:fldCharType="separate"/>
      </w:r>
      <w:r>
        <w:rPr>
          <w:rFonts w:hint="eastAsia" w:ascii="仿宋" w:hAnsi="仿宋" w:eastAsia="仿宋" w:cs="仿宋"/>
          <w:highlight w:val="none"/>
        </w:rPr>
        <w:t>37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1FDAA16">
      <w:pPr>
        <w:pStyle w:val="60"/>
        <w:tabs>
          <w:tab w:val="right" w:leader="dot" w:pos="9524"/>
          <w:tab w:val="clear" w:pos="8222"/>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_Toc12266 </w:instrText>
      </w:r>
      <w:r>
        <w:rPr>
          <w:rFonts w:hint="eastAsia" w:ascii="仿宋" w:hAnsi="仿宋" w:eastAsia="仿宋" w:cs="仿宋"/>
          <w:highlight w:val="none"/>
        </w:rPr>
        <w:fldChar w:fldCharType="separate"/>
      </w:r>
      <w:r>
        <w:rPr>
          <w:rFonts w:hint="eastAsia" w:ascii="仿宋" w:hAnsi="仿宋" w:eastAsia="仿宋" w:cs="仿宋"/>
          <w:bCs/>
          <w:szCs w:val="44"/>
          <w:highlight w:val="none"/>
        </w:rPr>
        <w:t>第四章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_Toc12266 \h </w:instrText>
      </w:r>
      <w:r>
        <w:rPr>
          <w:rFonts w:hint="eastAsia" w:ascii="仿宋" w:hAnsi="仿宋" w:eastAsia="仿宋" w:cs="仿宋"/>
          <w:highlight w:val="none"/>
        </w:rPr>
        <w:fldChar w:fldCharType="separate"/>
      </w:r>
      <w:r>
        <w:rPr>
          <w:rFonts w:hint="eastAsia" w:ascii="仿宋" w:hAnsi="仿宋" w:eastAsia="仿宋" w:cs="仿宋"/>
          <w:highlight w:val="none"/>
        </w:rPr>
        <w:t>39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C972DE8">
      <w:pPr>
        <w:pStyle w:val="60"/>
        <w:tabs>
          <w:tab w:val="right" w:leader="dot" w:pos="9524"/>
          <w:tab w:val="clear" w:pos="8222"/>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_Toc18361 </w:instrText>
      </w:r>
      <w:r>
        <w:rPr>
          <w:rFonts w:hint="eastAsia" w:ascii="仿宋" w:hAnsi="仿宋" w:eastAsia="仿宋" w:cs="仿宋"/>
          <w:highlight w:val="none"/>
        </w:rPr>
        <w:fldChar w:fldCharType="separate"/>
      </w:r>
      <w:r>
        <w:rPr>
          <w:rFonts w:hint="eastAsia" w:ascii="仿宋" w:hAnsi="仿宋" w:eastAsia="仿宋" w:cs="仿宋"/>
          <w:kern w:val="44"/>
          <w:szCs w:val="36"/>
          <w:highlight w:val="none"/>
        </w:rPr>
        <w:t>第五章 合同格式及合同条款</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_Toc18361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171537C">
      <w:pPr>
        <w:pStyle w:val="60"/>
        <w:tabs>
          <w:tab w:val="right" w:leader="dot" w:pos="9524"/>
          <w:tab w:val="clear" w:pos="8222"/>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_Toc9112 </w:instrText>
      </w:r>
      <w:r>
        <w:rPr>
          <w:rFonts w:hint="eastAsia" w:ascii="仿宋" w:hAnsi="仿宋" w:eastAsia="仿宋" w:cs="仿宋"/>
          <w:highlight w:val="none"/>
        </w:rPr>
        <w:fldChar w:fldCharType="separate"/>
      </w:r>
      <w:r>
        <w:rPr>
          <w:rFonts w:hint="eastAsia" w:ascii="仿宋" w:hAnsi="仿宋" w:eastAsia="仿宋" w:cs="仿宋"/>
          <w:szCs w:val="16"/>
          <w:highlight w:val="none"/>
        </w:rPr>
        <w:t>第六章</w:t>
      </w:r>
      <w:r>
        <w:rPr>
          <w:rFonts w:hint="eastAsia" w:ascii="仿宋" w:hAnsi="仿宋" w:eastAsia="仿宋" w:cs="仿宋"/>
          <w:szCs w:val="36"/>
          <w:highlight w:val="none"/>
        </w:rPr>
        <w:t xml:space="preserve"> 竞争性磋商响应文件格式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_Toc9112 \h </w:instrText>
      </w:r>
      <w:r>
        <w:rPr>
          <w:rFonts w:hint="eastAsia" w:ascii="仿宋" w:hAnsi="仿宋" w:eastAsia="仿宋" w:cs="仿宋"/>
          <w:highlight w:val="none"/>
        </w:rPr>
        <w:fldChar w:fldCharType="separate"/>
      </w:r>
      <w:r>
        <w:rPr>
          <w:rFonts w:hint="eastAsia" w:ascii="仿宋" w:hAnsi="仿宋" w:eastAsia="仿宋" w:cs="仿宋"/>
          <w:highlight w:val="none"/>
        </w:rPr>
        <w:t>55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67B3660">
      <w:pPr>
        <w:rPr>
          <w:rFonts w:hint="eastAsia" w:ascii="仿宋" w:hAnsi="仿宋" w:eastAsia="仿宋" w:cs="仿宋"/>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start="1"/>
          <w:cols w:space="720" w:num="1"/>
          <w:rtlGutter w:val="0"/>
          <w:docGrid w:linePitch="312" w:charSpace="0"/>
        </w:sectPr>
      </w:pPr>
      <w:r>
        <w:rPr>
          <w:rFonts w:hint="eastAsia" w:ascii="仿宋" w:hAnsi="仿宋" w:eastAsia="仿宋" w:cs="仿宋"/>
          <w:highlight w:val="none"/>
        </w:rPr>
        <w:fldChar w:fldCharType="end"/>
      </w:r>
    </w:p>
    <w:p w14:paraId="67B74EF9">
      <w:pPr>
        <w:pStyle w:val="2"/>
        <w:spacing w:before="0" w:after="0" w:line="240" w:lineRule="auto"/>
        <w:outlineLvl w:val="0"/>
        <w:rPr>
          <w:rFonts w:hint="eastAsia" w:ascii="仿宋" w:hAnsi="仿宋" w:eastAsia="仿宋" w:cs="仿宋"/>
          <w:b/>
          <w:bCs w:val="0"/>
          <w:sz w:val="36"/>
          <w:szCs w:val="36"/>
          <w:highlight w:val="none"/>
        </w:rPr>
      </w:pPr>
      <w:bookmarkStart w:id="9" w:name="_Toc29090"/>
      <w:bookmarkStart w:id="10" w:name="_Toc16067"/>
      <w:bookmarkStart w:id="11" w:name="_Toc15930"/>
      <w:r>
        <w:rPr>
          <w:rFonts w:hint="eastAsia" w:ascii="仿宋" w:hAnsi="仿宋" w:eastAsia="仿宋" w:cs="仿宋"/>
          <w:b/>
          <w:bCs w:val="0"/>
          <w:sz w:val="36"/>
          <w:szCs w:val="36"/>
          <w:highlight w:val="none"/>
        </w:rPr>
        <w:t>第一章 竞争性磋商</w:t>
      </w:r>
      <w:bookmarkEnd w:id="5"/>
      <w:bookmarkEnd w:id="6"/>
      <w:r>
        <w:rPr>
          <w:rFonts w:hint="eastAsia" w:ascii="仿宋" w:hAnsi="仿宋" w:eastAsia="仿宋" w:cs="仿宋"/>
          <w:b/>
          <w:bCs w:val="0"/>
          <w:sz w:val="36"/>
          <w:szCs w:val="36"/>
          <w:highlight w:val="none"/>
        </w:rPr>
        <w:t>公告</w:t>
      </w:r>
      <w:bookmarkEnd w:id="7"/>
      <w:bookmarkEnd w:id="9"/>
      <w:bookmarkEnd w:id="10"/>
      <w:bookmarkEnd w:id="11"/>
    </w:p>
    <w:p w14:paraId="03D26245">
      <w:pPr>
        <w:pStyle w:val="54"/>
        <w:pBdr>
          <w:top w:val="single" w:color="auto" w:sz="4" w:space="1"/>
          <w:left w:val="single" w:color="auto" w:sz="4" w:space="4"/>
          <w:bottom w:val="single" w:color="auto" w:sz="4" w:space="1"/>
          <w:right w:val="single" w:color="auto" w:sz="4" w:space="4"/>
        </w:pBdr>
        <w:spacing w:line="46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项目概况</w:t>
      </w:r>
      <w:r>
        <w:rPr>
          <w:rFonts w:hint="eastAsia" w:ascii="仿宋" w:hAnsi="仿宋" w:eastAsia="仿宋" w:cs="仿宋"/>
          <w:sz w:val="24"/>
          <w:szCs w:val="24"/>
          <w:highlight w:val="none"/>
          <w:lang w:eastAsia="zh-CN"/>
        </w:rPr>
        <w:t>：</w:t>
      </w:r>
    </w:p>
    <w:p w14:paraId="4F67B2EC">
      <w:pPr>
        <w:pStyle w:val="54"/>
        <w:pBdr>
          <w:top w:val="single" w:color="auto" w:sz="4" w:space="1"/>
          <w:left w:val="single" w:color="auto" w:sz="4" w:space="4"/>
          <w:bottom w:val="single" w:color="auto" w:sz="4" w:space="1"/>
          <w:right w:val="single" w:color="auto" w:sz="4" w:space="4"/>
        </w:pBdr>
        <w:snapToGrid w:val="0"/>
        <w:spacing w:line="460" w:lineRule="exact"/>
        <w:ind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sz w:val="24"/>
          <w:szCs w:val="24"/>
          <w:highlight w:val="none"/>
          <w:u w:val="single"/>
          <w:lang w:eastAsia="zh-CN"/>
        </w:rPr>
        <w:t>墨玉县卫健系统邀请专家进行临床执业(助理)医师能力提升培训</w:t>
      </w:r>
      <w:r>
        <w:rPr>
          <w:rFonts w:hint="eastAsia" w:ascii="仿宋" w:hAnsi="仿宋" w:eastAsia="仿宋" w:cs="仿宋"/>
          <w:color w:val="000000"/>
          <w:sz w:val="24"/>
          <w:szCs w:val="24"/>
          <w:highlight w:val="none"/>
        </w:rPr>
        <w:t>的潜在供应商应登录</w:t>
      </w:r>
      <w:r>
        <w:rPr>
          <w:rFonts w:hint="eastAsia" w:ascii="仿宋" w:hAnsi="仿宋" w:eastAsia="仿宋" w:cs="仿宋"/>
          <w:color w:val="000000"/>
          <w:sz w:val="24"/>
          <w:szCs w:val="24"/>
          <w:highlight w:val="none"/>
          <w:u w:val="single"/>
        </w:rPr>
        <w:t>新疆政府采购网（http://www.ccgp-xinjiang.gov.cn）政采云平台</w:t>
      </w:r>
      <w:r>
        <w:rPr>
          <w:rFonts w:hint="eastAsia" w:ascii="仿宋" w:hAnsi="仿宋" w:eastAsia="仿宋" w:cs="仿宋"/>
          <w:color w:val="000000"/>
          <w:sz w:val="24"/>
          <w:szCs w:val="24"/>
          <w:highlight w:val="none"/>
          <w:u w:val="none"/>
        </w:rPr>
        <w:t>线上</w:t>
      </w:r>
      <w:r>
        <w:rPr>
          <w:rFonts w:hint="eastAsia" w:ascii="仿宋" w:hAnsi="仿宋" w:eastAsia="仿宋" w:cs="仿宋"/>
          <w:color w:val="000000"/>
          <w:sz w:val="24"/>
          <w:szCs w:val="24"/>
          <w:highlight w:val="none"/>
        </w:rPr>
        <w:t>获取招标文件，</w:t>
      </w:r>
      <w:r>
        <w:rPr>
          <w:rFonts w:hint="eastAsia" w:ascii="仿宋" w:hAnsi="仿宋" w:eastAsia="仿宋" w:cs="仿宋"/>
          <w:color w:val="000000"/>
          <w:sz w:val="24"/>
          <w:szCs w:val="24"/>
          <w:highlight w:val="none"/>
          <w:u w:val="none"/>
        </w:rPr>
        <w:t>并于</w:t>
      </w:r>
      <w:r>
        <w:rPr>
          <w:rFonts w:hint="eastAsia" w:ascii="仿宋" w:hAnsi="仿宋" w:eastAsia="仿宋" w:cs="仿宋"/>
          <w:color w:val="000000"/>
          <w:sz w:val="24"/>
          <w:szCs w:val="24"/>
          <w:highlight w:val="none"/>
          <w:u w:val="single"/>
          <w:lang w:eastAsia="zh-CN"/>
        </w:rPr>
        <w:t>2025年0</w:t>
      </w:r>
      <w:r>
        <w:rPr>
          <w:rFonts w:hint="eastAsia" w:ascii="仿宋" w:hAnsi="仿宋" w:eastAsia="仿宋" w:cs="仿宋"/>
          <w:color w:val="000000"/>
          <w:sz w:val="24"/>
          <w:szCs w:val="24"/>
          <w:highlight w:val="none"/>
          <w:u w:val="single"/>
          <w:lang w:val="en-US" w:eastAsia="zh-CN"/>
        </w:rPr>
        <w:t>7</w:t>
      </w:r>
      <w:r>
        <w:rPr>
          <w:rFonts w:hint="eastAsia" w:ascii="仿宋" w:hAnsi="仿宋" w:eastAsia="仿宋" w:cs="仿宋"/>
          <w:color w:val="000000"/>
          <w:sz w:val="24"/>
          <w:szCs w:val="24"/>
          <w:highlight w:val="none"/>
          <w:u w:val="single"/>
          <w:lang w:eastAsia="zh-CN"/>
        </w:rPr>
        <w:t>月</w:t>
      </w:r>
      <w:r>
        <w:rPr>
          <w:rFonts w:hint="eastAsia" w:ascii="仿宋" w:hAnsi="仿宋" w:eastAsia="仿宋" w:cs="仿宋"/>
          <w:color w:val="000000"/>
          <w:sz w:val="24"/>
          <w:szCs w:val="24"/>
          <w:highlight w:val="none"/>
          <w:u w:val="single"/>
          <w:lang w:val="en-US" w:eastAsia="zh-CN"/>
        </w:rPr>
        <w:t>21</w:t>
      </w:r>
      <w:r>
        <w:rPr>
          <w:rFonts w:hint="eastAsia" w:ascii="仿宋" w:hAnsi="仿宋" w:eastAsia="仿宋" w:cs="仿宋"/>
          <w:color w:val="000000"/>
          <w:sz w:val="24"/>
          <w:szCs w:val="24"/>
          <w:highlight w:val="none"/>
          <w:u w:val="single"/>
          <w:lang w:eastAsia="zh-CN"/>
        </w:rPr>
        <w:t>日</w:t>
      </w:r>
      <w:r>
        <w:rPr>
          <w:rFonts w:hint="eastAsia" w:ascii="仿宋" w:hAnsi="仿宋" w:eastAsia="仿宋" w:cs="仿宋"/>
          <w:color w:val="000000"/>
          <w:sz w:val="24"/>
          <w:szCs w:val="24"/>
          <w:highlight w:val="none"/>
          <w:u w:val="single"/>
          <w:lang w:val="en-US" w:eastAsia="zh-CN"/>
        </w:rPr>
        <w:t>11</w:t>
      </w:r>
      <w:r>
        <w:rPr>
          <w:rFonts w:hint="eastAsia" w:ascii="仿宋" w:hAnsi="仿宋" w:eastAsia="仿宋" w:cs="仿宋"/>
          <w:color w:val="000000"/>
          <w:sz w:val="24"/>
          <w:szCs w:val="24"/>
          <w:highlight w:val="none"/>
          <w:u w:val="single"/>
        </w:rPr>
        <w:t>:00（</w:t>
      </w:r>
      <w:r>
        <w:rPr>
          <w:rFonts w:hint="eastAsia" w:ascii="仿宋" w:hAnsi="仿宋" w:eastAsia="仿宋" w:cs="仿宋"/>
          <w:color w:val="000000"/>
          <w:sz w:val="24"/>
          <w:szCs w:val="24"/>
          <w:highlight w:val="none"/>
        </w:rPr>
        <w:t>北京时间）前递交投标文件。</w:t>
      </w:r>
    </w:p>
    <w:p w14:paraId="2118141D">
      <w:pPr>
        <w:pStyle w:val="193"/>
        <w:widowControl/>
        <w:spacing w:line="460" w:lineRule="exact"/>
        <w:ind w:firstLine="0" w:firstLineChars="0"/>
        <w:outlineLvl w:val="1"/>
        <w:rPr>
          <w:rFonts w:hint="eastAsia" w:ascii="仿宋" w:hAnsi="仿宋" w:eastAsia="仿宋" w:cs="仿宋"/>
          <w:b/>
          <w:color w:val="000000"/>
          <w:sz w:val="24"/>
          <w:highlight w:val="none"/>
        </w:rPr>
      </w:pPr>
      <w:bookmarkStart w:id="12" w:name="_Toc9033"/>
      <w:r>
        <w:rPr>
          <w:rFonts w:hint="eastAsia" w:ascii="仿宋" w:hAnsi="仿宋" w:eastAsia="仿宋" w:cs="仿宋"/>
          <w:b/>
          <w:color w:val="000000"/>
          <w:sz w:val="24"/>
          <w:highlight w:val="none"/>
        </w:rPr>
        <w:t>一、项目基本情况</w:t>
      </w:r>
      <w:bookmarkEnd w:id="12"/>
    </w:p>
    <w:p w14:paraId="07C13312">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sz w:val="24"/>
          <w:highlight w:val="none"/>
          <w:u w:val="single"/>
          <w:lang w:eastAsia="zh-CN"/>
        </w:rPr>
      </w:pPr>
      <w:r>
        <w:rPr>
          <w:rFonts w:hint="eastAsia" w:ascii="仿宋" w:hAnsi="仿宋" w:eastAsia="仿宋" w:cs="仿宋"/>
          <w:sz w:val="24"/>
          <w:highlight w:val="none"/>
          <w:lang w:bidi="ar"/>
        </w:rPr>
        <w:t>项目编号：</w:t>
      </w:r>
      <w:r>
        <w:rPr>
          <w:rFonts w:hint="eastAsia" w:ascii="仿宋" w:hAnsi="仿宋" w:eastAsia="仿宋" w:cs="仿宋"/>
          <w:sz w:val="24"/>
          <w:highlight w:val="none"/>
          <w:u w:val="none"/>
          <w:lang w:eastAsia="zh-CN"/>
        </w:rPr>
        <w:t>ZXZC-MYXCG-2025-0</w:t>
      </w:r>
      <w:r>
        <w:rPr>
          <w:rFonts w:hint="eastAsia" w:ascii="仿宋" w:hAnsi="仿宋" w:eastAsia="仿宋" w:cs="仿宋"/>
          <w:sz w:val="24"/>
          <w:highlight w:val="none"/>
          <w:u w:val="none"/>
          <w:lang w:val="en-US" w:eastAsia="zh-CN"/>
        </w:rPr>
        <w:t>33</w:t>
      </w:r>
      <w:r>
        <w:rPr>
          <w:rFonts w:hint="eastAsia" w:ascii="仿宋" w:hAnsi="仿宋" w:eastAsia="仿宋" w:cs="仿宋"/>
          <w:sz w:val="24"/>
          <w:highlight w:val="none"/>
          <w:u w:val="none"/>
          <w:lang w:eastAsia="zh-CN"/>
        </w:rPr>
        <w:t>号</w:t>
      </w:r>
    </w:p>
    <w:p w14:paraId="74BFA7E7">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bCs/>
          <w:sz w:val="24"/>
          <w:highlight w:val="none"/>
          <w:u w:val="single"/>
          <w:lang w:eastAsia="zh-CN"/>
        </w:rPr>
      </w:pPr>
      <w:r>
        <w:rPr>
          <w:rFonts w:hint="eastAsia" w:ascii="仿宋" w:hAnsi="仿宋" w:eastAsia="仿宋" w:cs="仿宋"/>
          <w:sz w:val="24"/>
          <w:highlight w:val="none"/>
          <w:lang w:bidi="ar"/>
        </w:rPr>
        <w:t>项目名称：</w:t>
      </w:r>
      <w:r>
        <w:rPr>
          <w:rFonts w:hint="eastAsia" w:ascii="仿宋" w:hAnsi="仿宋" w:eastAsia="仿宋" w:cs="仿宋"/>
          <w:sz w:val="24"/>
          <w:highlight w:val="none"/>
          <w:u w:val="none"/>
          <w:lang w:eastAsia="zh-CN"/>
        </w:rPr>
        <w:t>墨玉县卫健系统邀请专家进行临床执业(助理)医师能力提升培训</w:t>
      </w:r>
    </w:p>
    <w:p w14:paraId="7B73A9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采购方式：竞争性磋商</w:t>
      </w:r>
    </w:p>
    <w:p w14:paraId="24223D30">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sz w:val="24"/>
          <w:highlight w:val="none"/>
          <w:lang w:bidi="ar"/>
        </w:rPr>
      </w:pPr>
      <w:r>
        <w:rPr>
          <w:rFonts w:hint="eastAsia" w:ascii="仿宋" w:hAnsi="仿宋" w:eastAsia="仿宋" w:cs="仿宋"/>
          <w:sz w:val="24"/>
          <w:highlight w:val="none"/>
          <w:lang w:bidi="ar"/>
        </w:rPr>
        <w:t>预算金额：</w:t>
      </w:r>
      <w:r>
        <w:rPr>
          <w:rFonts w:hint="eastAsia" w:ascii="仿宋" w:hAnsi="仿宋" w:eastAsia="仿宋" w:cs="仿宋"/>
          <w:sz w:val="24"/>
          <w:highlight w:val="none"/>
          <w:lang w:val="en-US" w:eastAsia="zh-CN" w:bidi="ar"/>
        </w:rPr>
        <w:t>720000</w:t>
      </w:r>
      <w:r>
        <w:rPr>
          <w:rFonts w:hint="eastAsia" w:ascii="仿宋" w:hAnsi="仿宋" w:eastAsia="仿宋" w:cs="仿宋"/>
          <w:sz w:val="24"/>
          <w:highlight w:val="none"/>
          <w:lang w:bidi="ar"/>
        </w:rPr>
        <w:t>元</w:t>
      </w:r>
    </w:p>
    <w:p w14:paraId="71D5F1E8">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最高限价：720000元</w:t>
      </w:r>
    </w:p>
    <w:p w14:paraId="0914BF69">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资金来源：</w:t>
      </w:r>
      <w:r>
        <w:rPr>
          <w:rFonts w:hint="eastAsia" w:ascii="仿宋" w:hAnsi="仿宋" w:eastAsia="仿宋" w:cs="仿宋"/>
          <w:i w:val="0"/>
          <w:iCs w:val="0"/>
          <w:caps w:val="0"/>
          <w:color w:val="000000"/>
          <w:spacing w:val="0"/>
          <w:sz w:val="24"/>
          <w:szCs w:val="24"/>
          <w:highlight w:val="none"/>
          <w:lang w:val="en-US" w:eastAsia="zh-CN"/>
        </w:rPr>
        <w:t>2025年北京援建资金</w:t>
      </w:r>
    </w:p>
    <w:p w14:paraId="202D500A">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sz w:val="24"/>
          <w:highlight w:val="none"/>
          <w:lang w:eastAsia="zh-CN" w:bidi="ar"/>
        </w:rPr>
      </w:pPr>
      <w:r>
        <w:rPr>
          <w:rFonts w:hint="eastAsia" w:ascii="仿宋" w:hAnsi="仿宋" w:eastAsia="仿宋" w:cs="仿宋"/>
          <w:sz w:val="24"/>
          <w:highlight w:val="none"/>
          <w:lang w:bidi="ar"/>
        </w:rPr>
        <w:t>采购需求：</w:t>
      </w:r>
      <w:r>
        <w:rPr>
          <w:rFonts w:hint="eastAsia" w:ascii="仿宋" w:hAnsi="仿宋" w:eastAsia="仿宋" w:cs="仿宋"/>
          <w:sz w:val="24"/>
          <w:highlight w:val="none"/>
          <w:lang w:eastAsia="zh-CN" w:bidi="ar"/>
        </w:rPr>
        <w:t>计划实施2025年墨玉县卫健系统人员培训项目，实施内容为墨玉县卫健系统邀请专家进行骨干工作人员能力提升培训项目。（</w:t>
      </w:r>
      <w:r>
        <w:rPr>
          <w:rFonts w:hint="eastAsia" w:ascii="仿宋" w:hAnsi="仿宋" w:eastAsia="仿宋" w:cs="仿宋"/>
          <w:sz w:val="24"/>
          <w:highlight w:val="none"/>
          <w:lang w:val="en-US" w:eastAsia="zh-CN" w:bidi="ar"/>
        </w:rPr>
        <w:t>具体参数详见采购需求）</w:t>
      </w:r>
      <w:r>
        <w:rPr>
          <w:rFonts w:hint="eastAsia" w:ascii="仿宋" w:hAnsi="仿宋" w:eastAsia="仿宋" w:cs="仿宋"/>
          <w:sz w:val="24"/>
          <w:highlight w:val="none"/>
          <w:lang w:eastAsia="zh-CN" w:bidi="ar"/>
        </w:rPr>
        <w:t>。</w:t>
      </w:r>
    </w:p>
    <w:p w14:paraId="386A040F">
      <w:pPr>
        <w:pStyle w:val="15"/>
        <w:spacing w:line="460" w:lineRule="exact"/>
        <w:ind w:firstLine="480" w:firstLineChars="200"/>
        <w:outlineLvl w:val="9"/>
        <w:rPr>
          <w:rFonts w:hint="eastAsia" w:ascii="仿宋" w:hAnsi="仿宋" w:eastAsia="仿宋" w:cs="仿宋"/>
          <w:sz w:val="24"/>
          <w:highlight w:val="none"/>
          <w:lang w:val="en-US" w:eastAsia="zh-CN" w:bidi="ar"/>
        </w:rPr>
      </w:pPr>
      <w:r>
        <w:rPr>
          <w:rFonts w:hint="eastAsia" w:ascii="仿宋" w:hAnsi="仿宋" w:eastAsia="仿宋" w:cs="仿宋"/>
          <w:sz w:val="24"/>
          <w:highlight w:val="none"/>
          <w:lang w:bidi="ar"/>
        </w:rPr>
        <w:t>合同履行期限：</w:t>
      </w:r>
      <w:r>
        <w:rPr>
          <w:rFonts w:hint="eastAsia" w:ascii="仿宋" w:hAnsi="仿宋" w:eastAsia="仿宋" w:cs="仿宋"/>
          <w:kern w:val="0"/>
          <w:sz w:val="24"/>
          <w:szCs w:val="24"/>
          <w:highlight w:val="none"/>
          <w:lang w:val="en-US" w:eastAsia="zh-CN" w:bidi="ar"/>
        </w:rPr>
        <w:t>30天</w:t>
      </w:r>
      <w:r>
        <w:rPr>
          <w:rFonts w:hint="eastAsia" w:ascii="仿宋" w:hAnsi="仿宋" w:eastAsia="仿宋" w:cs="仿宋"/>
          <w:kern w:val="0"/>
          <w:sz w:val="24"/>
          <w:szCs w:val="24"/>
          <w:highlight w:val="none"/>
          <w:lang w:bidi="ar"/>
        </w:rPr>
        <w:t>（具体以与招标人签订合同为准）</w:t>
      </w:r>
    </w:p>
    <w:p w14:paraId="6BFD948D">
      <w:pPr>
        <w:spacing w:line="460" w:lineRule="exact"/>
        <w:ind w:firstLine="480" w:firstLineChars="200"/>
        <w:outlineLvl w:val="9"/>
        <w:rPr>
          <w:rFonts w:hint="eastAsia" w:ascii="仿宋" w:hAnsi="仿宋" w:eastAsia="仿宋" w:cs="仿宋"/>
          <w:sz w:val="24"/>
          <w:highlight w:val="none"/>
          <w:lang w:bidi="ar"/>
        </w:rPr>
      </w:pPr>
      <w:r>
        <w:rPr>
          <w:rFonts w:hint="eastAsia" w:ascii="仿宋" w:hAnsi="仿宋" w:eastAsia="仿宋" w:cs="仿宋"/>
          <w:sz w:val="24"/>
          <w:szCs w:val="24"/>
          <w:highlight w:val="none"/>
          <w:lang w:bidi="ar"/>
        </w:rPr>
        <w:t>本项目（是/否）接受联合体投标</w:t>
      </w:r>
      <w:r>
        <w:rPr>
          <w:rFonts w:hint="eastAsia" w:ascii="仿宋" w:hAnsi="仿宋" w:eastAsia="仿宋" w:cs="仿宋"/>
          <w:sz w:val="24"/>
          <w:highlight w:val="none"/>
          <w:lang w:bidi="ar"/>
        </w:rPr>
        <w:t>：</w:t>
      </w:r>
      <w:r>
        <w:rPr>
          <w:rFonts w:hint="eastAsia" w:ascii="仿宋" w:hAnsi="仿宋" w:eastAsia="仿宋" w:cs="仿宋"/>
          <w:sz w:val="24"/>
          <w:highlight w:val="none"/>
          <w:u w:val="single"/>
          <w:lang w:bidi="ar"/>
        </w:rPr>
        <w:t>否</w:t>
      </w:r>
      <w:r>
        <w:rPr>
          <w:rFonts w:hint="eastAsia" w:ascii="仿宋" w:hAnsi="仿宋" w:eastAsia="仿宋" w:cs="仿宋"/>
          <w:sz w:val="24"/>
          <w:highlight w:val="none"/>
          <w:lang w:bidi="ar"/>
        </w:rPr>
        <w:t>。</w:t>
      </w:r>
    </w:p>
    <w:p w14:paraId="3B1FC3CC">
      <w:pPr>
        <w:pStyle w:val="56"/>
        <w:numPr>
          <w:ilvl w:val="0"/>
          <w:numId w:val="1"/>
        </w:numPr>
        <w:spacing w:line="460" w:lineRule="exact"/>
        <w:outlineLvl w:val="1"/>
        <w:rPr>
          <w:rFonts w:hint="eastAsia" w:ascii="仿宋" w:hAnsi="仿宋" w:eastAsia="仿宋" w:cs="仿宋"/>
          <w:b/>
          <w:bCs/>
          <w:sz w:val="24"/>
          <w:szCs w:val="24"/>
          <w:highlight w:val="none"/>
        </w:rPr>
      </w:pPr>
      <w:bookmarkStart w:id="13" w:name="_Toc17400"/>
      <w:r>
        <w:rPr>
          <w:rFonts w:hint="eastAsia" w:ascii="仿宋" w:hAnsi="仿宋" w:eastAsia="仿宋" w:cs="仿宋"/>
          <w:b/>
          <w:bCs/>
          <w:sz w:val="24"/>
          <w:szCs w:val="24"/>
          <w:highlight w:val="none"/>
        </w:rPr>
        <w:t>申请人的资格要求：</w:t>
      </w:r>
      <w:bookmarkEnd w:id="13"/>
    </w:p>
    <w:p w14:paraId="6B95B823">
      <w:pPr>
        <w:pStyle w:val="65"/>
        <w:keepNext w:val="0"/>
        <w:keepLines w:val="0"/>
        <w:pageBreakBefore w:val="0"/>
        <w:kinsoku/>
        <w:wordWrap/>
        <w:topLinePunct w:val="0"/>
        <w:autoSpaceDE/>
        <w:autoSpaceDN/>
        <w:bidi w:val="0"/>
        <w:adjustRightInd/>
        <w:spacing w:before="75" w:beforeAutospacing="0" w:after="75" w:afterAutospacing="0" w:line="400" w:lineRule="exact"/>
        <w:ind w:left="0" w:right="0" w:firstLine="0" w:firstLineChars="0"/>
        <w:textAlignment w:val="auto"/>
        <w:outlineLvl w:val="9"/>
        <w:rPr>
          <w:rFonts w:hint="eastAsia" w:ascii="仿宋" w:hAnsi="仿宋" w:eastAsia="仿宋" w:cs="仿宋"/>
          <w:color w:val="000000"/>
          <w:sz w:val="24"/>
          <w:szCs w:val="24"/>
          <w:highlight w:val="none"/>
        </w:rPr>
      </w:pPr>
      <w:bookmarkStart w:id="14" w:name="_Toc23893"/>
      <w:bookmarkStart w:id="15" w:name="_Toc38532056"/>
      <w:bookmarkStart w:id="16" w:name="_Toc517252541"/>
      <w:r>
        <w:rPr>
          <w:rFonts w:hint="eastAsia" w:ascii="仿宋" w:hAnsi="仿宋" w:eastAsia="仿宋" w:cs="仿宋"/>
          <w:color w:val="000000"/>
          <w:sz w:val="24"/>
          <w:szCs w:val="24"/>
          <w:highlight w:val="none"/>
        </w:rPr>
        <w:t>1.满足《中华人民共和国政府采购法》第二十二条规定；</w:t>
      </w:r>
      <w:bookmarkEnd w:id="14"/>
    </w:p>
    <w:p w14:paraId="514B7498">
      <w:pPr>
        <w:keepNext w:val="0"/>
        <w:keepLines w:val="0"/>
        <w:pageBreakBefore w:val="0"/>
        <w:kinsoku/>
        <w:wordWrap/>
        <w:topLinePunct w:val="0"/>
        <w:autoSpaceDE/>
        <w:autoSpaceDN/>
        <w:bidi w:val="0"/>
        <w:adjustRightInd/>
        <w:spacing w:line="400" w:lineRule="exact"/>
        <w:ind w:left="0" w:firstLine="0" w:firstLineChars="0"/>
        <w:textAlignment w:val="auto"/>
        <w:outlineLvl w:val="9"/>
        <w:rPr>
          <w:rFonts w:hint="eastAsia" w:ascii="仿宋" w:hAnsi="仿宋" w:eastAsia="仿宋" w:cs="仿宋"/>
          <w:color w:val="000000"/>
          <w:kern w:val="0"/>
          <w:sz w:val="24"/>
          <w:szCs w:val="24"/>
          <w:highlight w:val="none"/>
          <w:lang w:bidi="ar"/>
        </w:rPr>
      </w:pPr>
      <w:r>
        <w:rPr>
          <w:rFonts w:hint="eastAsia" w:ascii="仿宋" w:hAnsi="仿宋" w:eastAsia="仿宋" w:cs="仿宋"/>
          <w:color w:val="000000"/>
          <w:sz w:val="24"/>
          <w:szCs w:val="24"/>
          <w:highlight w:val="none"/>
        </w:rPr>
        <w:t>2.落实政府采购政策需满足的资格要求：</w:t>
      </w:r>
    </w:p>
    <w:p w14:paraId="6593FBB6">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2.1中小企业政策</w:t>
      </w:r>
    </w:p>
    <w:p w14:paraId="01329A95">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本项目不专门面向中小企业预留采购份额。</w:t>
      </w:r>
    </w:p>
    <w:p w14:paraId="2802A03B">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☑本项目专门面向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 xml:space="preserve">中小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小微企业采购。即：提供的货物或服务全部由符合政策要求的中小/小微企业制造、服务全部由符合政策要求的中小/小微企业承接。</w:t>
      </w:r>
    </w:p>
    <w:p w14:paraId="2A54DB5F">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本项目为专门面向中小企业项目，参加投标的供应商须为中小企业，否则投标无效。因本项属于专门面向中小企业采购，故小型和微型企业不享受价格扣除优惠政策。JY企业、残疾人福利性单位视同小型和微型企业。</w:t>
      </w:r>
    </w:p>
    <w:p w14:paraId="03F46CE4">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highlight w:val="none"/>
        </w:rPr>
      </w:pPr>
      <w:r>
        <w:rPr>
          <w:rFonts w:hint="eastAsia" w:ascii="仿宋" w:hAnsi="仿宋" w:eastAsia="仿宋" w:cs="仿宋"/>
          <w:color w:val="000000"/>
          <w:sz w:val="24"/>
          <w:szCs w:val="24"/>
          <w:highlight w:val="none"/>
        </w:rPr>
        <w:t>□本项目预留部分采购项目预算专门面向中小企业采购。对于预留份额，提供的货物由</w:t>
      </w:r>
    </w:p>
    <w:p w14:paraId="3569C2D5">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符合政策要求的中小企业制造、服务由符合政策要求的中小企业承接。预留份额通过以下措施进行：</w:t>
      </w:r>
      <w:r>
        <w:rPr>
          <w:rFonts w:hint="eastAsia" w:ascii="仿宋" w:hAnsi="仿宋" w:eastAsia="仿宋" w:cs="仿宋"/>
          <w:color w:val="000000"/>
          <w:sz w:val="24"/>
          <w:szCs w:val="24"/>
          <w:highlight w:val="none"/>
          <w:u w:val="single"/>
          <w:lang w:val="en-US" w:eastAsia="zh-CN"/>
        </w:rPr>
        <w:t xml:space="preserve">   /   </w:t>
      </w:r>
    </w:p>
    <w:p w14:paraId="3FA27201">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2.2其它落实政府采购政策的资格要求</w:t>
      </w:r>
    </w:p>
    <w:p w14:paraId="2A1AB421">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（1）财政部、国家发展改革委、生态环境部、市场监管总局《关于调整优化节能产品、环境标志产品政府采购执行机制的通知》（财库[2019]9号文）；  </w:t>
      </w:r>
    </w:p>
    <w:p w14:paraId="2B03E0E1">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（2）财政部、生态环境部《关于印发环境标志产品政府采购品目清单的通知》（财库[2019]18号文）； </w:t>
      </w:r>
    </w:p>
    <w:p w14:paraId="7282B590">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（3）财政部、发展改革委《关于印发节能产品政府采购品目清单的通知》（财库[2019]19号文）； </w:t>
      </w:r>
    </w:p>
    <w:p w14:paraId="52E9133D">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（4）市场监管总局《市场监管总局关于发布参与实施政府采购节能产品、环境标志产品认证机构名录的公告》（2019年第16号）；  </w:t>
      </w:r>
    </w:p>
    <w:p w14:paraId="2304AA11">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（5）财政部、工业和信息化部《关于印发《政府采购促进中小企业发展管理办法》的通知》（财库[2020]46号文）《关于进一步加大政府采购支持中小企业力度的通知》（财库[2022]19号文）执行； </w:t>
      </w:r>
    </w:p>
    <w:p w14:paraId="060012E2">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（6）财政部、民政部、中国残疾人联合会《关于促进残疾人就业政府采购政策的通知》（财库[2017]141号）；</w:t>
      </w:r>
    </w:p>
    <w:p w14:paraId="311B9EA6">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（7）财政部、</w:t>
      </w:r>
      <w:r>
        <w:rPr>
          <w:rFonts w:hint="eastAsia" w:ascii="仿宋" w:hAnsi="仿宋" w:eastAsia="仿宋" w:cs="仿宋"/>
          <w:color w:val="000000"/>
          <w:sz w:val="24"/>
          <w:szCs w:val="24"/>
          <w:highlight w:val="none"/>
          <w:lang w:val="en-US" w:eastAsia="zh-CN"/>
        </w:rPr>
        <w:t>SF</w:t>
      </w:r>
      <w:r>
        <w:rPr>
          <w:rFonts w:hint="eastAsia" w:ascii="仿宋" w:hAnsi="仿宋" w:eastAsia="仿宋" w:cs="仿宋"/>
          <w:color w:val="000000"/>
          <w:sz w:val="24"/>
          <w:szCs w:val="24"/>
          <w:highlight w:val="none"/>
        </w:rPr>
        <w:t>部《关于政府采购支持</w:t>
      </w:r>
      <w:r>
        <w:rPr>
          <w:rFonts w:hint="eastAsia" w:ascii="仿宋" w:hAnsi="仿宋" w:eastAsia="仿宋" w:cs="仿宋"/>
          <w:color w:val="000000"/>
          <w:sz w:val="24"/>
          <w:szCs w:val="24"/>
          <w:highlight w:val="none"/>
          <w:lang w:val="en-US" w:eastAsia="zh-CN"/>
        </w:rPr>
        <w:t>JY</w:t>
      </w:r>
      <w:r>
        <w:rPr>
          <w:rFonts w:hint="eastAsia" w:ascii="仿宋" w:hAnsi="仿宋" w:eastAsia="仿宋" w:cs="仿宋"/>
          <w:color w:val="000000"/>
          <w:sz w:val="24"/>
          <w:szCs w:val="24"/>
          <w:highlight w:val="none"/>
        </w:rPr>
        <w:t xml:space="preserve">企业发展有关问题的通知》（财库[2014]68号文）； </w:t>
      </w:r>
    </w:p>
    <w:p w14:paraId="70C9983D">
      <w:pPr>
        <w:pStyle w:val="24"/>
        <w:keepNext w:val="0"/>
        <w:keepLines w:val="0"/>
        <w:pageBreakBefore w:val="0"/>
        <w:kinsoku/>
        <w:wordWrap/>
        <w:topLinePunct w:val="0"/>
        <w:autoSpaceDE/>
        <w:autoSpaceDN/>
        <w:bidi w:val="0"/>
        <w:adjustRightInd/>
        <w:snapToGrid w:val="0"/>
        <w:spacing w:line="4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（8）财政部、生态环境部、国家邮政局《关于印发《商品包装政府采购需求标准（试行）</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快递包装政府采购需求标准（试行）》的通知》（财办库〔2020〕123号）。</w:t>
      </w:r>
    </w:p>
    <w:p w14:paraId="67658912">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bookmarkStart w:id="17" w:name="_Toc5294"/>
      <w:r>
        <w:rPr>
          <w:rFonts w:hint="eastAsia" w:ascii="仿宋" w:hAnsi="仿宋" w:eastAsia="仿宋" w:cs="仿宋"/>
          <w:i w:val="0"/>
          <w:iCs w:val="0"/>
          <w:caps w:val="0"/>
          <w:color w:val="000000"/>
          <w:spacing w:val="0"/>
          <w:sz w:val="24"/>
          <w:szCs w:val="24"/>
          <w:highlight w:val="none"/>
        </w:rPr>
        <w:t>标项1：</w:t>
      </w:r>
    </w:p>
    <w:p w14:paraId="1267ADCB">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（1）供应商须具备三证合一的营业执照；</w:t>
      </w:r>
    </w:p>
    <w:p w14:paraId="3A4B2B99">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（2）供应商代表法定代表人需提供法定代表人证明书及法定代表人身份证，委托代理人需提供法定代表人授权委托书及委托代理人身份证，并提供近</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lang w:eastAsia="zh-CN"/>
        </w:rPr>
        <w:t>个月任意1个月社保证明材料（社保缴费凭证及个人明细表）；新公司按实际发生提供；</w:t>
      </w:r>
    </w:p>
    <w:p w14:paraId="144E4247">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（3）提供税务机关出具近</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lang w:eastAsia="zh-CN"/>
        </w:rPr>
        <w:t>个月任意1个月的完税证明或报税材料（依法免缴的，应提供依法免缴的相关证明文件），新公司按实际发生提供；</w:t>
      </w:r>
    </w:p>
    <w:p w14:paraId="05519DB3">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（4）提供2024年度由第三方财务审计机构出具的财务审计报告，2025年新成立的公司提供银行出具的近一个月的资信证明；；</w:t>
      </w:r>
    </w:p>
    <w:p w14:paraId="68935478">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（5）提供参加政府采购活动前3年内在经营活动中没有重大违法记录的书面声明；</w:t>
      </w:r>
    </w:p>
    <w:p w14:paraId="3F871C4D">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（6）企业负责人为同一人或者存在直接控股、管理关系的不同投标人，不得参加同一合同项下的政府采购活动声明函；</w:t>
      </w:r>
    </w:p>
    <w:p w14:paraId="0B8B19EF">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（7）本项目不接受联合体投标；</w:t>
      </w:r>
    </w:p>
    <w:p w14:paraId="484D90A7">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（8）投标保证金或电子保函：</w:t>
      </w:r>
      <w:r>
        <w:rPr>
          <w:rFonts w:hint="eastAsia" w:ascii="仿宋" w:hAnsi="仿宋" w:eastAsia="仿宋" w:cs="仿宋"/>
          <w:i w:val="0"/>
          <w:iCs w:val="0"/>
          <w:caps w:val="0"/>
          <w:color w:val="000000"/>
          <w:spacing w:val="0"/>
          <w:sz w:val="24"/>
          <w:szCs w:val="24"/>
          <w:highlight w:val="none"/>
          <w:lang w:val="en-US" w:eastAsia="zh-CN"/>
        </w:rPr>
        <w:t>7000.00元整（大写：柒仟元整）</w:t>
      </w:r>
      <w:r>
        <w:rPr>
          <w:rFonts w:hint="eastAsia" w:ascii="仿宋" w:hAnsi="仿宋" w:eastAsia="仿宋" w:cs="仿宋"/>
          <w:i w:val="0"/>
          <w:iCs w:val="0"/>
          <w:caps w:val="0"/>
          <w:color w:val="000000"/>
          <w:spacing w:val="0"/>
          <w:sz w:val="24"/>
          <w:szCs w:val="24"/>
          <w:highlight w:val="none"/>
        </w:rPr>
        <w:t>。</w:t>
      </w:r>
    </w:p>
    <w:p w14:paraId="23AD7031">
      <w:pPr>
        <w:pStyle w:val="12"/>
        <w:keepNext w:val="0"/>
        <w:keepLines w:val="0"/>
        <w:pageBreakBefore w:val="0"/>
        <w:kinsoku/>
        <w:wordWrap/>
        <w:overflowPunct w:val="0"/>
        <w:topLinePunct w:val="0"/>
        <w:autoSpaceDE/>
        <w:autoSpaceDN/>
        <w:bidi w:val="0"/>
        <w:adjustRightInd/>
        <w:snapToGrid w:val="0"/>
        <w:spacing w:line="400" w:lineRule="exact"/>
        <w:ind w:left="0" w:firstLine="0" w:firstLineChars="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3.本项目的特定资格要求：</w:t>
      </w:r>
      <w:bookmarkEnd w:id="17"/>
      <w:r>
        <w:rPr>
          <w:rFonts w:hint="eastAsia" w:ascii="仿宋" w:hAnsi="仿宋" w:eastAsia="仿宋" w:cs="仿宋"/>
          <w:color w:val="000000"/>
          <w:sz w:val="24"/>
          <w:szCs w:val="24"/>
          <w:highlight w:val="none"/>
        </w:rPr>
        <w:t>具备医学教育培训相关资质</w:t>
      </w:r>
      <w:r>
        <w:rPr>
          <w:rFonts w:hint="eastAsia" w:ascii="仿宋" w:hAnsi="仿宋" w:eastAsia="仿宋" w:cs="仿宋"/>
          <w:color w:val="000000"/>
          <w:sz w:val="24"/>
          <w:szCs w:val="24"/>
          <w:highlight w:val="none"/>
          <w:lang w:eastAsia="zh-CN"/>
        </w:rPr>
        <w:t>。</w:t>
      </w:r>
    </w:p>
    <w:p w14:paraId="4BDC300F">
      <w:pPr>
        <w:pStyle w:val="56"/>
        <w:spacing w:line="460" w:lineRule="exact"/>
        <w:outlineLvl w:val="1"/>
        <w:rPr>
          <w:rFonts w:hint="eastAsia" w:ascii="仿宋" w:hAnsi="仿宋" w:eastAsia="仿宋" w:cs="仿宋"/>
          <w:b/>
          <w:bCs/>
          <w:sz w:val="24"/>
          <w:szCs w:val="24"/>
          <w:highlight w:val="none"/>
        </w:rPr>
      </w:pPr>
      <w:bookmarkStart w:id="18" w:name="_Toc31177"/>
      <w:r>
        <w:rPr>
          <w:rFonts w:hint="eastAsia" w:ascii="仿宋" w:hAnsi="仿宋" w:eastAsia="仿宋" w:cs="仿宋"/>
          <w:b/>
          <w:bCs/>
          <w:sz w:val="24"/>
          <w:szCs w:val="24"/>
          <w:highlight w:val="none"/>
        </w:rPr>
        <w:t>三、获取采购文件</w:t>
      </w:r>
      <w:bookmarkEnd w:id="18"/>
    </w:p>
    <w:p w14:paraId="4A80427C">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000000"/>
          <w:sz w:val="24"/>
          <w:highlight w:val="none"/>
        </w:rPr>
      </w:pPr>
      <w:r>
        <w:rPr>
          <w:rFonts w:hint="eastAsia" w:ascii="仿宋" w:hAnsi="仿宋" w:eastAsia="仿宋" w:cs="仿宋"/>
          <w:bCs/>
          <w:sz w:val="24"/>
          <w:highlight w:val="none"/>
          <w:lang w:bidi="ar"/>
        </w:rPr>
        <w:t>获取时</w:t>
      </w:r>
      <w:r>
        <w:rPr>
          <w:rFonts w:hint="eastAsia" w:ascii="仿宋" w:hAnsi="仿宋" w:eastAsia="仿宋" w:cs="仿宋"/>
          <w:bCs/>
          <w:color w:val="000000"/>
          <w:sz w:val="24"/>
          <w:highlight w:val="none"/>
          <w:lang w:bidi="ar"/>
        </w:rPr>
        <w:t>间：</w:t>
      </w:r>
      <w:r>
        <w:rPr>
          <w:rFonts w:hint="eastAsia" w:ascii="仿宋" w:hAnsi="仿宋" w:eastAsia="仿宋" w:cs="仿宋"/>
          <w:b/>
          <w:bCs w:val="0"/>
          <w:color w:val="000000"/>
          <w:sz w:val="24"/>
          <w:highlight w:val="none"/>
          <w:u w:val="single"/>
          <w:lang w:eastAsia="zh-CN"/>
        </w:rPr>
        <w:t>2025年0</w:t>
      </w:r>
      <w:r>
        <w:rPr>
          <w:rFonts w:hint="eastAsia" w:ascii="仿宋" w:hAnsi="仿宋" w:eastAsia="仿宋" w:cs="仿宋"/>
          <w:b/>
          <w:bCs w:val="0"/>
          <w:color w:val="000000"/>
          <w:sz w:val="24"/>
          <w:highlight w:val="none"/>
          <w:u w:val="single"/>
          <w:lang w:val="en-US" w:eastAsia="zh-CN"/>
        </w:rPr>
        <w:t>7</w:t>
      </w:r>
      <w:r>
        <w:rPr>
          <w:rFonts w:hint="eastAsia" w:ascii="仿宋" w:hAnsi="仿宋" w:eastAsia="仿宋" w:cs="仿宋"/>
          <w:b/>
          <w:bCs w:val="0"/>
          <w:color w:val="000000"/>
          <w:sz w:val="24"/>
          <w:highlight w:val="none"/>
          <w:u w:val="single"/>
          <w:lang w:eastAsia="zh-CN"/>
        </w:rPr>
        <w:t>月</w:t>
      </w:r>
      <w:r>
        <w:rPr>
          <w:rFonts w:hint="eastAsia" w:ascii="仿宋" w:hAnsi="仿宋" w:eastAsia="仿宋" w:cs="仿宋"/>
          <w:b/>
          <w:bCs w:val="0"/>
          <w:color w:val="000000"/>
          <w:sz w:val="24"/>
          <w:highlight w:val="none"/>
          <w:u w:val="single"/>
          <w:lang w:val="en-US" w:eastAsia="zh-CN"/>
        </w:rPr>
        <w:t>09</w:t>
      </w:r>
      <w:r>
        <w:rPr>
          <w:rFonts w:hint="eastAsia" w:ascii="仿宋" w:hAnsi="仿宋" w:eastAsia="仿宋" w:cs="仿宋"/>
          <w:b/>
          <w:bCs w:val="0"/>
          <w:color w:val="000000"/>
          <w:sz w:val="24"/>
          <w:highlight w:val="none"/>
          <w:u w:val="single"/>
          <w:lang w:eastAsia="zh-CN"/>
        </w:rPr>
        <w:t>日至2025年</w:t>
      </w:r>
      <w:r>
        <w:rPr>
          <w:rFonts w:hint="eastAsia" w:ascii="仿宋" w:hAnsi="仿宋" w:eastAsia="仿宋" w:cs="仿宋"/>
          <w:b/>
          <w:bCs w:val="0"/>
          <w:color w:val="000000"/>
          <w:sz w:val="24"/>
          <w:highlight w:val="none"/>
          <w:u w:val="single"/>
          <w:lang w:val="en-US" w:eastAsia="zh-CN"/>
        </w:rPr>
        <w:t>07</w:t>
      </w:r>
      <w:r>
        <w:rPr>
          <w:rFonts w:hint="eastAsia" w:ascii="仿宋" w:hAnsi="仿宋" w:eastAsia="仿宋" w:cs="仿宋"/>
          <w:b/>
          <w:bCs w:val="0"/>
          <w:color w:val="000000"/>
          <w:sz w:val="24"/>
          <w:highlight w:val="none"/>
          <w:u w:val="single"/>
          <w:lang w:eastAsia="zh-CN"/>
        </w:rPr>
        <w:t>月</w:t>
      </w:r>
      <w:r>
        <w:rPr>
          <w:rFonts w:hint="eastAsia" w:ascii="仿宋" w:hAnsi="仿宋" w:eastAsia="仿宋" w:cs="仿宋"/>
          <w:b/>
          <w:bCs w:val="0"/>
          <w:color w:val="000000"/>
          <w:sz w:val="24"/>
          <w:highlight w:val="none"/>
          <w:u w:val="single"/>
          <w:lang w:val="en-US" w:eastAsia="zh-CN"/>
        </w:rPr>
        <w:t>20</w:t>
      </w:r>
      <w:r>
        <w:rPr>
          <w:rFonts w:hint="eastAsia" w:ascii="仿宋" w:hAnsi="仿宋" w:eastAsia="仿宋" w:cs="仿宋"/>
          <w:b/>
          <w:bCs w:val="0"/>
          <w:color w:val="000000"/>
          <w:sz w:val="24"/>
          <w:highlight w:val="none"/>
          <w:u w:val="single"/>
          <w:lang w:eastAsia="zh-CN"/>
        </w:rPr>
        <w:t>日</w:t>
      </w:r>
      <w:r>
        <w:rPr>
          <w:rFonts w:hint="eastAsia" w:ascii="仿宋" w:hAnsi="仿宋" w:eastAsia="仿宋" w:cs="仿宋"/>
          <w:sz w:val="24"/>
          <w:szCs w:val="28"/>
          <w:highlight w:val="none"/>
        </w:rPr>
        <w:t>每天上午</w:t>
      </w:r>
      <w:r>
        <w:rPr>
          <w:rFonts w:hint="eastAsia" w:ascii="仿宋" w:hAnsi="仿宋" w:eastAsia="仿宋" w:cs="仿宋"/>
          <w:sz w:val="24"/>
          <w:szCs w:val="28"/>
          <w:highlight w:val="none"/>
          <w:u w:val="single"/>
        </w:rPr>
        <w:t>00：00</w:t>
      </w:r>
      <w:r>
        <w:rPr>
          <w:rFonts w:hint="eastAsia" w:ascii="仿宋" w:hAnsi="仿宋" w:eastAsia="仿宋" w:cs="仿宋"/>
          <w:sz w:val="24"/>
          <w:szCs w:val="28"/>
          <w:highlight w:val="none"/>
        </w:rPr>
        <w:t>至</w:t>
      </w:r>
      <w:r>
        <w:rPr>
          <w:rFonts w:hint="eastAsia" w:ascii="仿宋" w:hAnsi="仿宋" w:eastAsia="仿宋" w:cs="仿宋"/>
          <w:sz w:val="24"/>
          <w:szCs w:val="28"/>
          <w:highlight w:val="none"/>
          <w:u w:val="single"/>
        </w:rPr>
        <w:t>12：00</w:t>
      </w:r>
      <w:r>
        <w:rPr>
          <w:rFonts w:hint="eastAsia" w:ascii="仿宋" w:hAnsi="仿宋" w:eastAsia="仿宋" w:cs="仿宋"/>
          <w:sz w:val="24"/>
          <w:szCs w:val="28"/>
          <w:highlight w:val="none"/>
        </w:rPr>
        <w:t>，下午</w:t>
      </w:r>
      <w:r>
        <w:rPr>
          <w:rFonts w:hint="eastAsia" w:ascii="仿宋" w:hAnsi="仿宋" w:eastAsia="仿宋" w:cs="仿宋"/>
          <w:sz w:val="24"/>
          <w:szCs w:val="28"/>
          <w:highlight w:val="none"/>
          <w:u w:val="single"/>
        </w:rPr>
        <w:t>12：00</w:t>
      </w:r>
      <w:r>
        <w:rPr>
          <w:rFonts w:hint="eastAsia" w:ascii="仿宋" w:hAnsi="仿宋" w:eastAsia="仿宋" w:cs="仿宋"/>
          <w:sz w:val="24"/>
          <w:szCs w:val="28"/>
          <w:highlight w:val="none"/>
        </w:rPr>
        <w:t>至</w:t>
      </w:r>
      <w:r>
        <w:rPr>
          <w:rFonts w:hint="eastAsia" w:ascii="仿宋" w:hAnsi="仿宋" w:eastAsia="仿宋" w:cs="仿宋"/>
          <w:sz w:val="24"/>
          <w:szCs w:val="28"/>
          <w:highlight w:val="none"/>
          <w:u w:val="single"/>
        </w:rPr>
        <w:t>23:59</w:t>
      </w:r>
      <w:r>
        <w:rPr>
          <w:rFonts w:hint="eastAsia" w:ascii="仿宋" w:hAnsi="仿宋" w:eastAsia="仿宋" w:cs="仿宋"/>
          <w:bCs/>
          <w:sz w:val="24"/>
          <w:highlight w:val="none"/>
        </w:rPr>
        <w:t>（北京时间，法定节假日除外）</w:t>
      </w:r>
    </w:p>
    <w:p w14:paraId="5BC2C146">
      <w:pPr>
        <w:pStyle w:val="15"/>
        <w:keepNext w:val="0"/>
        <w:keepLines w:val="0"/>
        <w:pageBreakBefore w:val="0"/>
        <w:widowControl w:val="0"/>
        <w:kinsoku/>
        <w:wordWrap/>
        <w:overflowPunct/>
        <w:topLinePunct w:val="0"/>
        <w:autoSpaceDE/>
        <w:autoSpaceDN/>
        <w:bidi w:val="0"/>
        <w:adjustRightInd/>
        <w:snapToGrid/>
        <w:spacing w:line="400" w:lineRule="exact"/>
        <w:ind w:left="237" w:leftChars="113"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获取地点：政采云平台https://www.zcygov.cn/线上获取</w:t>
      </w:r>
    </w:p>
    <w:p w14:paraId="289FAA30">
      <w:pPr>
        <w:pStyle w:val="15"/>
        <w:keepNext w:val="0"/>
        <w:keepLines w:val="0"/>
        <w:pageBreakBefore w:val="0"/>
        <w:widowControl w:val="0"/>
        <w:kinsoku/>
        <w:wordWrap/>
        <w:overflowPunct/>
        <w:topLinePunct w:val="0"/>
        <w:autoSpaceDE/>
        <w:autoSpaceDN/>
        <w:bidi w:val="0"/>
        <w:adjustRightInd/>
        <w:snapToGrid/>
        <w:spacing w:line="400" w:lineRule="exact"/>
        <w:ind w:left="237" w:leftChars="113"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获取方式：供应商登录政采云平台https://www.zcygov.cn/在线申请获取采购文件（进入“项目采购”应用，在获取采购文件菜单中选择项目，申请获取采购文件）</w:t>
      </w:r>
    </w:p>
    <w:p w14:paraId="4FDF6933">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售价（元）：0</w:t>
      </w:r>
    </w:p>
    <w:p w14:paraId="7B1ABCCF">
      <w:pPr>
        <w:pStyle w:val="56"/>
        <w:spacing w:line="460" w:lineRule="exact"/>
        <w:outlineLvl w:val="1"/>
        <w:rPr>
          <w:rFonts w:hint="eastAsia" w:ascii="仿宋" w:hAnsi="仿宋" w:eastAsia="仿宋" w:cs="仿宋"/>
          <w:b/>
          <w:bCs/>
          <w:color w:val="000000"/>
          <w:sz w:val="24"/>
          <w:szCs w:val="24"/>
          <w:highlight w:val="none"/>
        </w:rPr>
      </w:pPr>
      <w:bookmarkStart w:id="19" w:name="_Toc14954"/>
      <w:r>
        <w:rPr>
          <w:rFonts w:hint="eastAsia" w:ascii="仿宋" w:hAnsi="仿宋" w:eastAsia="仿宋" w:cs="仿宋"/>
          <w:b/>
          <w:bCs/>
          <w:color w:val="000000"/>
          <w:sz w:val="24"/>
          <w:szCs w:val="24"/>
          <w:highlight w:val="none"/>
        </w:rPr>
        <w:t>四、响应文件提交</w:t>
      </w:r>
      <w:bookmarkEnd w:id="19"/>
    </w:p>
    <w:p w14:paraId="215F5FF8">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截止时间：</w:t>
      </w:r>
      <w:r>
        <w:rPr>
          <w:rFonts w:hint="eastAsia" w:ascii="仿宋" w:hAnsi="仿宋" w:eastAsia="仿宋" w:cs="仿宋"/>
          <w:b/>
          <w:bCs/>
          <w:color w:val="000000"/>
          <w:szCs w:val="24"/>
          <w:highlight w:val="none"/>
          <w:u w:val="single"/>
          <w:lang w:eastAsia="zh-CN"/>
        </w:rPr>
        <w:t>2025年07月21日</w:t>
      </w:r>
      <w:r>
        <w:rPr>
          <w:rFonts w:hint="eastAsia" w:ascii="仿宋" w:hAnsi="仿宋" w:eastAsia="仿宋" w:cs="仿宋"/>
          <w:b/>
          <w:bCs/>
          <w:color w:val="000000"/>
          <w:szCs w:val="24"/>
          <w:highlight w:val="none"/>
          <w:u w:val="single"/>
        </w:rPr>
        <w:t>1</w:t>
      </w:r>
      <w:r>
        <w:rPr>
          <w:rFonts w:hint="eastAsia" w:ascii="仿宋" w:hAnsi="仿宋" w:eastAsia="仿宋" w:cs="仿宋"/>
          <w:b/>
          <w:bCs/>
          <w:color w:val="000000"/>
          <w:szCs w:val="24"/>
          <w:highlight w:val="none"/>
          <w:u w:val="single"/>
          <w:lang w:val="en-US" w:eastAsia="zh-CN"/>
        </w:rPr>
        <w:t>1</w:t>
      </w:r>
      <w:r>
        <w:rPr>
          <w:rFonts w:hint="eastAsia" w:ascii="仿宋" w:hAnsi="仿宋" w:eastAsia="仿宋" w:cs="仿宋"/>
          <w:b/>
          <w:bCs/>
          <w:color w:val="000000"/>
          <w:szCs w:val="24"/>
          <w:highlight w:val="none"/>
          <w:u w:val="single"/>
        </w:rPr>
        <w:t>时00分（北京时间）</w:t>
      </w:r>
    </w:p>
    <w:p w14:paraId="5CC72F24">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地点：投标人应于</w:t>
      </w:r>
      <w:r>
        <w:rPr>
          <w:rFonts w:hint="eastAsia" w:ascii="仿宋" w:hAnsi="仿宋" w:eastAsia="仿宋" w:cs="仿宋"/>
          <w:b/>
          <w:bCs/>
          <w:color w:val="000000"/>
          <w:szCs w:val="24"/>
          <w:highlight w:val="none"/>
          <w:u w:val="single"/>
          <w:lang w:eastAsia="zh-CN"/>
        </w:rPr>
        <w:t>2025年07月21日</w:t>
      </w:r>
      <w:r>
        <w:rPr>
          <w:rFonts w:hint="eastAsia" w:ascii="仿宋" w:hAnsi="仿宋" w:eastAsia="仿宋" w:cs="仿宋"/>
          <w:b/>
          <w:bCs/>
          <w:color w:val="000000"/>
          <w:szCs w:val="24"/>
          <w:highlight w:val="none"/>
          <w:u w:val="single"/>
        </w:rPr>
        <w:t>11：00分</w:t>
      </w:r>
      <w:r>
        <w:rPr>
          <w:rFonts w:hint="eastAsia" w:ascii="仿宋" w:hAnsi="仿宋" w:eastAsia="仿宋" w:cs="仿宋"/>
          <w:b/>
          <w:bCs/>
          <w:color w:val="000000"/>
          <w:szCs w:val="24"/>
          <w:highlight w:val="none"/>
          <w:u w:val="single"/>
          <w:lang w:eastAsia="zh-CN"/>
        </w:rPr>
        <w:t>（</w:t>
      </w:r>
      <w:r>
        <w:rPr>
          <w:rFonts w:hint="eastAsia" w:ascii="仿宋" w:hAnsi="仿宋" w:eastAsia="仿宋" w:cs="仿宋"/>
          <w:b/>
          <w:bCs/>
          <w:color w:val="000000"/>
          <w:szCs w:val="24"/>
          <w:highlight w:val="none"/>
          <w:u w:val="single"/>
        </w:rPr>
        <w:t>北京时间）</w:t>
      </w:r>
      <w:r>
        <w:rPr>
          <w:rFonts w:hint="eastAsia" w:ascii="仿宋" w:hAnsi="仿宋" w:eastAsia="仿宋" w:cs="仿宋"/>
          <w:color w:val="000000"/>
          <w:szCs w:val="24"/>
          <w:highlight w:val="none"/>
        </w:rPr>
        <w:t>之前将电子投标文件上传到新疆政府采购网（http://www.ccgp-xinjiang.gov.cn）。应按照本项目招标文件和新疆政府采购平台的要求编制、加密传输投标文件（逾期未上传的或不符合规定的投标文件将被拒绝接收）。</w:t>
      </w:r>
    </w:p>
    <w:p w14:paraId="09B38076">
      <w:pPr>
        <w:pStyle w:val="56"/>
        <w:spacing w:line="460" w:lineRule="exact"/>
        <w:outlineLvl w:val="1"/>
        <w:rPr>
          <w:rFonts w:hint="eastAsia" w:ascii="仿宋" w:hAnsi="仿宋" w:eastAsia="仿宋" w:cs="仿宋"/>
          <w:b/>
          <w:bCs/>
          <w:color w:val="000000"/>
          <w:sz w:val="24"/>
          <w:szCs w:val="24"/>
          <w:highlight w:val="none"/>
        </w:rPr>
      </w:pPr>
      <w:bookmarkStart w:id="20" w:name="_Toc5436"/>
      <w:r>
        <w:rPr>
          <w:rFonts w:hint="eastAsia" w:ascii="仿宋" w:hAnsi="仿宋" w:eastAsia="仿宋" w:cs="仿宋"/>
          <w:b/>
          <w:bCs/>
          <w:color w:val="000000"/>
          <w:sz w:val="24"/>
          <w:szCs w:val="24"/>
          <w:highlight w:val="none"/>
        </w:rPr>
        <w:t>五、响应文件开启</w:t>
      </w:r>
      <w:bookmarkEnd w:id="20"/>
    </w:p>
    <w:p w14:paraId="6B602A8A">
      <w:pPr>
        <w:pStyle w:val="54"/>
        <w:keepNext w:val="0"/>
        <w:keepLines w:val="0"/>
        <w:pageBreakBefore w:val="0"/>
        <w:widowControl w:val="0"/>
        <w:kinsoku/>
        <w:wordWrap/>
        <w:overflowPunct/>
        <w:topLinePunct w:val="0"/>
        <w:autoSpaceDE/>
        <w:autoSpaceDN/>
        <w:bidi w:val="0"/>
        <w:adjustRightInd/>
        <w:snapToGrid/>
        <w:spacing w:line="400" w:lineRule="exact"/>
        <w:ind w:right="-727" w:rightChars="-346" w:firstLine="480" w:firstLineChars="200"/>
        <w:textAlignment w:val="auto"/>
        <w:outlineLvl w:val="9"/>
        <w:rPr>
          <w:rFonts w:hint="eastAsia" w:ascii="仿宋" w:hAnsi="仿宋" w:eastAsia="仿宋" w:cs="仿宋"/>
          <w:color w:val="000000"/>
          <w:sz w:val="24"/>
          <w:szCs w:val="24"/>
          <w:highlight w:val="none"/>
        </w:rPr>
      </w:pPr>
      <w:bookmarkStart w:id="21" w:name="_Toc28359016"/>
      <w:bookmarkStart w:id="22" w:name="_Toc28359093"/>
      <w:bookmarkStart w:id="23" w:name="_Toc35393633"/>
      <w:bookmarkStart w:id="24" w:name="_Toc35393802"/>
      <w:bookmarkStart w:id="25" w:name="_Toc31312"/>
      <w:r>
        <w:rPr>
          <w:rFonts w:hint="eastAsia" w:ascii="仿宋" w:hAnsi="仿宋" w:eastAsia="仿宋" w:cs="仿宋"/>
          <w:color w:val="000000"/>
          <w:sz w:val="24"/>
          <w:szCs w:val="24"/>
          <w:highlight w:val="none"/>
        </w:rPr>
        <w:t>开启时间：</w:t>
      </w:r>
      <w:r>
        <w:rPr>
          <w:rFonts w:hint="eastAsia" w:ascii="仿宋" w:hAnsi="仿宋" w:eastAsia="仿宋" w:cs="仿宋"/>
          <w:b/>
          <w:bCs/>
          <w:color w:val="000000"/>
          <w:sz w:val="24"/>
          <w:szCs w:val="24"/>
          <w:highlight w:val="none"/>
          <w:u w:val="single"/>
          <w:lang w:eastAsia="zh-CN"/>
        </w:rPr>
        <w:t>2025年07月21日</w:t>
      </w:r>
      <w:r>
        <w:rPr>
          <w:rFonts w:hint="eastAsia" w:ascii="仿宋" w:hAnsi="仿宋" w:eastAsia="仿宋" w:cs="仿宋"/>
          <w:b/>
          <w:bCs/>
          <w:color w:val="000000"/>
          <w:sz w:val="24"/>
          <w:szCs w:val="24"/>
          <w:highlight w:val="none"/>
          <w:u w:val="single"/>
        </w:rPr>
        <w:t>11时00分</w:t>
      </w:r>
      <w:r>
        <w:rPr>
          <w:rFonts w:hint="eastAsia" w:ascii="仿宋" w:hAnsi="仿宋" w:eastAsia="仿宋" w:cs="仿宋"/>
          <w:bCs/>
          <w:color w:val="000000"/>
          <w:sz w:val="24"/>
          <w:szCs w:val="24"/>
          <w:highlight w:val="none"/>
        </w:rPr>
        <w:t>（北京时间）</w:t>
      </w:r>
    </w:p>
    <w:p w14:paraId="1A70727F">
      <w:pPr>
        <w:pStyle w:val="105"/>
        <w:keepNext w:val="0"/>
        <w:keepLines w:val="0"/>
        <w:pageBreakBefore w:val="0"/>
        <w:widowControl w:val="0"/>
        <w:tabs>
          <w:tab w:val="left" w:pos="1424"/>
        </w:tabs>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lang w:eastAsia="zh-CN"/>
        </w:rPr>
        <w:t>墨玉县公共资源交易平台中心（墨玉县玉华社区院内）（投标供应商无需到场）</w:t>
      </w:r>
    </w:p>
    <w:p w14:paraId="3E83C43D">
      <w:pPr>
        <w:pStyle w:val="56"/>
        <w:spacing w:line="460" w:lineRule="exact"/>
        <w:outlineLvl w:val="1"/>
        <w:rPr>
          <w:rFonts w:hint="eastAsia" w:ascii="仿宋" w:hAnsi="仿宋" w:eastAsia="仿宋" w:cs="仿宋"/>
          <w:b/>
          <w:bCs/>
          <w:color w:val="000000"/>
          <w:sz w:val="24"/>
          <w:szCs w:val="24"/>
          <w:highlight w:val="none"/>
        </w:rPr>
      </w:pPr>
      <w:bookmarkStart w:id="26" w:name="_Toc9689"/>
      <w:r>
        <w:rPr>
          <w:rFonts w:hint="eastAsia" w:ascii="仿宋" w:hAnsi="仿宋" w:eastAsia="仿宋" w:cs="仿宋"/>
          <w:b/>
          <w:bCs/>
          <w:color w:val="000000"/>
          <w:sz w:val="24"/>
          <w:szCs w:val="24"/>
          <w:highlight w:val="none"/>
        </w:rPr>
        <w:t>六、</w:t>
      </w:r>
      <w:bookmarkEnd w:id="21"/>
      <w:bookmarkEnd w:id="22"/>
      <w:bookmarkEnd w:id="23"/>
      <w:bookmarkEnd w:id="24"/>
      <w:bookmarkEnd w:id="25"/>
      <w:bookmarkStart w:id="27" w:name="_Toc35393803"/>
      <w:bookmarkStart w:id="28" w:name="_Toc35393634"/>
      <w:bookmarkStart w:id="29" w:name="_Toc28359094"/>
      <w:bookmarkStart w:id="30" w:name="_Toc28359017"/>
      <w:r>
        <w:rPr>
          <w:rFonts w:hint="eastAsia" w:ascii="仿宋" w:hAnsi="仿宋" w:eastAsia="仿宋" w:cs="仿宋"/>
          <w:b/>
          <w:bCs/>
          <w:color w:val="000000"/>
          <w:sz w:val="24"/>
          <w:szCs w:val="24"/>
          <w:highlight w:val="none"/>
        </w:rPr>
        <w:t>公告期限</w:t>
      </w:r>
      <w:bookmarkEnd w:id="27"/>
      <w:bookmarkEnd w:id="28"/>
      <w:bookmarkEnd w:id="29"/>
      <w:bookmarkEnd w:id="30"/>
      <w:r>
        <w:rPr>
          <w:rFonts w:hint="eastAsia" w:ascii="仿宋" w:hAnsi="仿宋" w:eastAsia="仿宋" w:cs="仿宋"/>
          <w:b/>
          <w:bCs/>
          <w:color w:val="000000"/>
          <w:sz w:val="24"/>
          <w:szCs w:val="24"/>
          <w:highlight w:val="none"/>
        </w:rPr>
        <w:t>：</w:t>
      </w:r>
      <w:bookmarkEnd w:id="26"/>
    </w:p>
    <w:p w14:paraId="60CB424E">
      <w:pPr>
        <w:pStyle w:val="5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个工作日。</w:t>
      </w:r>
    </w:p>
    <w:p w14:paraId="44170B57">
      <w:pPr>
        <w:pStyle w:val="56"/>
        <w:spacing w:line="460" w:lineRule="exact"/>
        <w:outlineLvl w:val="1"/>
        <w:rPr>
          <w:rFonts w:hint="eastAsia" w:ascii="仿宋" w:hAnsi="仿宋" w:eastAsia="仿宋" w:cs="仿宋"/>
          <w:b/>
          <w:bCs/>
          <w:sz w:val="24"/>
          <w:szCs w:val="24"/>
          <w:highlight w:val="none"/>
        </w:rPr>
      </w:pPr>
      <w:bookmarkStart w:id="31" w:name="_Toc27445"/>
      <w:r>
        <w:rPr>
          <w:rFonts w:hint="eastAsia" w:ascii="仿宋" w:hAnsi="仿宋" w:eastAsia="仿宋" w:cs="仿宋"/>
          <w:b/>
          <w:bCs/>
          <w:sz w:val="24"/>
          <w:szCs w:val="24"/>
          <w:highlight w:val="none"/>
        </w:rPr>
        <w:t>七、其他补充事宜：</w:t>
      </w:r>
      <w:bookmarkEnd w:id="31"/>
    </w:p>
    <w:p w14:paraId="0029005E">
      <w:pPr>
        <w:pStyle w:val="5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仿宋" w:hAnsi="仿宋" w:eastAsia="仿宋" w:cs="仿宋"/>
          <w:kern w:val="0"/>
          <w:sz w:val="24"/>
          <w:szCs w:val="24"/>
          <w:highlight w:val="none"/>
        </w:rPr>
      </w:pPr>
      <w:bookmarkStart w:id="32" w:name="_Toc28359018"/>
      <w:bookmarkStart w:id="33" w:name="_Toc28359095"/>
      <w:bookmarkStart w:id="34" w:name="_Toc35393805"/>
      <w:bookmarkStart w:id="35" w:name="_Toc35393636"/>
      <w:r>
        <w:rPr>
          <w:rFonts w:hint="eastAsia" w:ascii="仿宋" w:hAnsi="仿宋" w:eastAsia="仿宋" w:cs="仿宋"/>
          <w:kern w:val="0"/>
          <w:sz w:val="24"/>
          <w:szCs w:val="24"/>
          <w:highlight w:val="none"/>
        </w:rPr>
        <w:t>1、本项目实行网上投标，采用电子投标文件；</w:t>
      </w:r>
    </w:p>
    <w:p w14:paraId="73279252">
      <w:pPr>
        <w:pStyle w:val="5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14:paraId="222AEBC9">
      <w:pPr>
        <w:pStyle w:val="5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2D8D19A">
      <w:pPr>
        <w:pStyle w:val="5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4、供应商操作指南详见新疆政府采购网（http://www.ccgp-xinjiang.gov.cn/）—办事指南—操作指南。</w:t>
      </w:r>
    </w:p>
    <w:p w14:paraId="0504EA59">
      <w:pPr>
        <w:pStyle w:val="5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特别提示：</w:t>
      </w:r>
    </w:p>
    <w:p w14:paraId="37D7C923">
      <w:pPr>
        <w:pStyle w:val="55"/>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05AF1E4">
      <w:pPr>
        <w:pStyle w:val="55"/>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4EBB73CD">
      <w:pPr>
        <w:pStyle w:val="55"/>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3CA393C2">
      <w:pPr>
        <w:pStyle w:val="55"/>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AC95E52">
      <w:pPr>
        <w:pStyle w:val="55"/>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F787B8B">
      <w:pPr>
        <w:pStyle w:val="55"/>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kern w:val="0"/>
          <w:sz w:val="24"/>
          <w:szCs w:val="24"/>
          <w:highlight w:val="none"/>
          <w:lang w:val="en-US" w:eastAsia="zh-CN" w:bidi="ar-SA"/>
        </w:rPr>
      </w:pPr>
    </w:p>
    <w:p w14:paraId="27858F44">
      <w:pPr>
        <w:pStyle w:val="56"/>
        <w:spacing w:line="460" w:lineRule="exact"/>
        <w:outlineLvl w:val="1"/>
        <w:rPr>
          <w:rFonts w:hint="eastAsia" w:ascii="仿宋" w:hAnsi="仿宋" w:eastAsia="仿宋" w:cs="仿宋"/>
          <w:b/>
          <w:bCs/>
          <w:sz w:val="24"/>
          <w:szCs w:val="24"/>
          <w:highlight w:val="none"/>
        </w:rPr>
      </w:pPr>
      <w:bookmarkStart w:id="36" w:name="_Toc26164"/>
      <w:r>
        <w:rPr>
          <w:rFonts w:hint="eastAsia" w:ascii="仿宋" w:hAnsi="仿宋" w:eastAsia="仿宋" w:cs="仿宋"/>
          <w:b/>
          <w:bCs/>
          <w:sz w:val="24"/>
          <w:szCs w:val="24"/>
          <w:highlight w:val="none"/>
        </w:rPr>
        <w:t>八、凡对本次采购提出询问，请按以下方式联系。</w:t>
      </w:r>
      <w:bookmarkEnd w:id="32"/>
      <w:bookmarkEnd w:id="33"/>
      <w:bookmarkEnd w:id="34"/>
      <w:bookmarkEnd w:id="35"/>
      <w:bookmarkEnd w:id="36"/>
    </w:p>
    <w:p w14:paraId="3BA00CE1">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2"/>
        <w:rPr>
          <w:rFonts w:hint="eastAsia" w:ascii="仿宋" w:hAnsi="仿宋" w:eastAsia="仿宋" w:cs="仿宋"/>
          <w:szCs w:val="24"/>
          <w:highlight w:val="none"/>
        </w:rPr>
      </w:pPr>
      <w:r>
        <w:rPr>
          <w:rFonts w:hint="eastAsia" w:ascii="仿宋" w:hAnsi="仿宋" w:eastAsia="仿宋" w:cs="仿宋"/>
          <w:szCs w:val="24"/>
          <w:highlight w:val="none"/>
        </w:rPr>
        <w:t>1、采购人信息：</w:t>
      </w:r>
    </w:p>
    <w:p w14:paraId="3F81D1EF">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szCs w:val="24"/>
          <w:highlight w:val="none"/>
          <w:u w:val="none"/>
        </w:rPr>
      </w:pPr>
      <w:r>
        <w:rPr>
          <w:rFonts w:hint="eastAsia" w:ascii="仿宋" w:hAnsi="仿宋" w:eastAsia="仿宋" w:cs="仿宋"/>
          <w:szCs w:val="24"/>
          <w:highlight w:val="none"/>
        </w:rPr>
        <w:t>名称：</w:t>
      </w:r>
      <w:r>
        <w:rPr>
          <w:rFonts w:hint="eastAsia" w:ascii="仿宋" w:hAnsi="仿宋" w:eastAsia="仿宋" w:cs="仿宋"/>
          <w:i w:val="0"/>
          <w:iCs w:val="0"/>
          <w:caps w:val="0"/>
          <w:color w:val="000000"/>
          <w:spacing w:val="0"/>
          <w:kern w:val="0"/>
          <w:sz w:val="24"/>
          <w:szCs w:val="24"/>
          <w:highlight w:val="none"/>
          <w:lang w:val="en-US" w:eastAsia="zh-CN" w:bidi="ar"/>
        </w:rPr>
        <w:t>墨玉县卫生健康委员会</w:t>
      </w:r>
    </w:p>
    <w:p w14:paraId="06CFC905">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spacing w:val="-6"/>
          <w:szCs w:val="24"/>
          <w:highlight w:val="none"/>
          <w:u w:val="single"/>
          <w:lang w:eastAsia="zh-CN"/>
        </w:rPr>
      </w:pPr>
      <w:r>
        <w:rPr>
          <w:rFonts w:hint="eastAsia" w:ascii="仿宋" w:hAnsi="仿宋" w:eastAsia="仿宋" w:cs="仿宋"/>
          <w:szCs w:val="24"/>
          <w:highlight w:val="none"/>
        </w:rPr>
        <w:t>地址：</w:t>
      </w:r>
      <w:r>
        <w:rPr>
          <w:rFonts w:hint="eastAsia" w:ascii="仿宋" w:hAnsi="仿宋" w:eastAsia="仿宋" w:cs="仿宋"/>
          <w:i w:val="0"/>
          <w:iCs w:val="0"/>
          <w:caps w:val="0"/>
          <w:color w:val="000000"/>
          <w:spacing w:val="0"/>
          <w:kern w:val="0"/>
          <w:sz w:val="24"/>
          <w:szCs w:val="24"/>
          <w:highlight w:val="none"/>
          <w:lang w:val="en-US" w:eastAsia="zh-CN" w:bidi="ar"/>
        </w:rPr>
        <w:t>墨玉县库木鲁克南路49号</w:t>
      </w:r>
    </w:p>
    <w:p w14:paraId="2982A349">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联系人姓名：</w:t>
      </w:r>
      <w:r>
        <w:rPr>
          <w:rFonts w:hint="eastAsia" w:ascii="仿宋" w:hAnsi="仿宋" w:eastAsia="仿宋" w:cs="仿宋"/>
          <w:i w:val="0"/>
          <w:iCs w:val="0"/>
          <w:caps w:val="0"/>
          <w:color w:val="000000"/>
          <w:spacing w:val="0"/>
          <w:kern w:val="0"/>
          <w:sz w:val="24"/>
          <w:szCs w:val="24"/>
          <w:highlight w:val="none"/>
          <w:lang w:val="en-US" w:eastAsia="zh-CN" w:bidi="ar"/>
        </w:rPr>
        <w:t>热则耶</w:t>
      </w:r>
    </w:p>
    <w:p w14:paraId="7AA14F39">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仿宋" w:hAnsi="仿宋" w:eastAsia="仿宋" w:cs="仿宋"/>
          <w:szCs w:val="24"/>
          <w:highlight w:val="none"/>
          <w:lang w:eastAsia="zh-CN"/>
        </w:rPr>
      </w:pPr>
      <w:r>
        <w:rPr>
          <w:rFonts w:hint="eastAsia" w:ascii="仿宋" w:hAnsi="仿宋" w:eastAsia="仿宋" w:cs="仿宋"/>
          <w:szCs w:val="24"/>
          <w:highlight w:val="none"/>
        </w:rPr>
        <w:t>联系方式：</w:t>
      </w:r>
      <w:r>
        <w:rPr>
          <w:rFonts w:hint="eastAsia" w:ascii="仿宋" w:hAnsi="仿宋" w:eastAsia="仿宋" w:cs="仿宋"/>
          <w:i w:val="0"/>
          <w:iCs w:val="0"/>
          <w:caps w:val="0"/>
          <w:color w:val="000000"/>
          <w:spacing w:val="0"/>
          <w:kern w:val="0"/>
          <w:sz w:val="24"/>
          <w:szCs w:val="24"/>
          <w:highlight w:val="none"/>
          <w:lang w:val="en-US" w:eastAsia="zh-CN" w:bidi="ar"/>
        </w:rPr>
        <w:t>0903-6512318</w:t>
      </w:r>
    </w:p>
    <w:bookmarkEnd w:id="15"/>
    <w:bookmarkEnd w:id="16"/>
    <w:p w14:paraId="3766DF38">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2"/>
        <w:rPr>
          <w:rFonts w:hint="eastAsia" w:ascii="仿宋" w:hAnsi="仿宋" w:eastAsia="仿宋" w:cs="仿宋"/>
          <w:sz w:val="24"/>
          <w:szCs w:val="24"/>
          <w:highlight w:val="none"/>
        </w:rPr>
      </w:pPr>
      <w:bookmarkStart w:id="37" w:name="_Toc1309"/>
      <w:bookmarkStart w:id="38" w:name="_Toc531075008"/>
      <w:bookmarkStart w:id="39" w:name="_Toc532543564"/>
      <w:bookmarkStart w:id="40" w:name="_Toc10571"/>
      <w:r>
        <w:rPr>
          <w:rFonts w:hint="eastAsia" w:ascii="仿宋" w:hAnsi="仿宋" w:eastAsia="仿宋" w:cs="仿宋"/>
          <w:sz w:val="24"/>
          <w:szCs w:val="24"/>
          <w:highlight w:val="none"/>
        </w:rPr>
        <w:t>2、采购代理机构：</w:t>
      </w:r>
      <w:bookmarkEnd w:id="37"/>
    </w:p>
    <w:p w14:paraId="237326C8">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1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墨玉县众信智诚工程项目管理有限公司</w:t>
      </w:r>
    </w:p>
    <w:p w14:paraId="7136CB62">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1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墨玉县乐民社区B栋二楼</w:t>
      </w:r>
    </w:p>
    <w:p w14:paraId="130ECC0D">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10"/>
        <w:textAlignment w:val="auto"/>
        <w:outlineLvl w:val="9"/>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祖丽阿娅</w:t>
      </w:r>
    </w:p>
    <w:p w14:paraId="21A2644D">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1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0903-6530990</w:t>
      </w:r>
    </w:p>
    <w:p w14:paraId="3A0D87CB">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同级政府采购监督管理部门</w:t>
      </w:r>
    </w:p>
    <w:p w14:paraId="4D7FA952">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1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墨玉县财政局</w:t>
      </w:r>
      <w:r>
        <w:rPr>
          <w:rFonts w:hint="eastAsia" w:ascii="仿宋" w:hAnsi="仿宋" w:eastAsia="仿宋" w:cs="仿宋"/>
          <w:sz w:val="24"/>
          <w:szCs w:val="24"/>
          <w:highlight w:val="none"/>
          <w:lang w:val="en-US" w:eastAsia="zh-CN"/>
        </w:rPr>
        <w:t>采购办</w:t>
      </w:r>
    </w:p>
    <w:p w14:paraId="2451BBF6">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1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墨玉县行政服务中心</w:t>
      </w:r>
      <w:r>
        <w:rPr>
          <w:rFonts w:hint="eastAsia" w:ascii="仿宋" w:hAnsi="仿宋" w:eastAsia="仿宋" w:cs="仿宋"/>
          <w:sz w:val="24"/>
          <w:szCs w:val="24"/>
          <w:highlight w:val="none"/>
          <w:lang w:val="en-US" w:eastAsia="zh-CN"/>
        </w:rPr>
        <w:t>325办公室</w:t>
      </w:r>
    </w:p>
    <w:p w14:paraId="39E3FAE3">
      <w:pPr>
        <w:pStyle w:val="6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1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监督投诉电话：</w:t>
      </w:r>
      <w:r>
        <w:rPr>
          <w:rFonts w:hint="eastAsia" w:ascii="仿宋" w:hAnsi="仿宋" w:eastAsia="仿宋" w:cs="仿宋"/>
          <w:sz w:val="24"/>
          <w:szCs w:val="24"/>
          <w:highlight w:val="none"/>
          <w:lang w:eastAsia="zh-CN"/>
        </w:rPr>
        <w:t>0903-6565062</w:t>
      </w:r>
    </w:p>
    <w:p w14:paraId="19F8E1BF">
      <w:pPr>
        <w:pStyle w:val="65"/>
        <w:spacing w:before="0" w:beforeAutospacing="0" w:after="0" w:afterAutospacing="0" w:line="440" w:lineRule="exact"/>
        <w:ind w:firstLine="510"/>
        <w:outlineLvl w:val="9"/>
        <w:rPr>
          <w:rFonts w:hint="eastAsia" w:ascii="仿宋" w:hAnsi="仿宋" w:eastAsia="仿宋" w:cs="仿宋"/>
          <w:sz w:val="20"/>
          <w:highlight w:val="none"/>
        </w:rPr>
        <w:sectPr>
          <w:footerReference r:id="rId5" w:type="default"/>
          <w:pgSz w:w="11906" w:h="16838"/>
          <w:pgMar w:top="1191" w:right="1191" w:bottom="1191" w:left="1191" w:header="851" w:footer="850" w:gutter="0"/>
          <w:pgBorders>
            <w:top w:val="none" w:sz="0" w:space="0"/>
            <w:left w:val="none" w:sz="0" w:space="0"/>
            <w:bottom w:val="none" w:sz="0" w:space="0"/>
            <w:right w:val="none" w:sz="0" w:space="0"/>
          </w:pgBorders>
          <w:pgNumType w:fmt="decimal" w:start="1"/>
          <w:cols w:space="720" w:num="1"/>
          <w:rtlGutter w:val="0"/>
          <w:docGrid w:linePitch="312" w:charSpace="0"/>
        </w:sectPr>
      </w:pPr>
    </w:p>
    <w:p w14:paraId="2E4AB49B">
      <w:pPr>
        <w:pStyle w:val="216"/>
        <w:pageBreakBefore w:val="0"/>
        <w:kinsoku/>
        <w:wordWrap/>
        <w:topLinePunct w:val="0"/>
        <w:bidi w:val="0"/>
        <w:spacing w:line="360" w:lineRule="auto"/>
        <w:ind w:left="0" w:leftChars="0" w:firstLine="0" w:firstLineChars="0"/>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特别提醒：</w:t>
      </w:r>
    </w:p>
    <w:p w14:paraId="4E252231">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1、投标企业采用银行转账或电汇的方式的，投标保证金由投标人基本账户汇出（投标保证金需一笔汇出，分笔汇出银行系统将不予统计），且不得以分公司的名义转账，投标保证金需在</w:t>
      </w:r>
      <w:r>
        <w:rPr>
          <w:rFonts w:hint="eastAsia" w:ascii="仿宋" w:hAnsi="仿宋" w:eastAsia="仿宋" w:cs="仿宋"/>
          <w:b/>
          <w:bCs/>
          <w:color w:val="auto"/>
          <w:kern w:val="2"/>
          <w:sz w:val="24"/>
          <w:szCs w:val="24"/>
          <w:highlight w:val="none"/>
          <w:lang w:val="en-US" w:eastAsia="zh-CN" w:bidi="ar-SA"/>
        </w:rPr>
        <w:t>投标截止时间之前</w:t>
      </w:r>
      <w:r>
        <w:rPr>
          <w:rFonts w:hint="eastAsia" w:ascii="仿宋" w:hAnsi="仿宋" w:eastAsia="仿宋" w:cs="仿宋"/>
          <w:b/>
          <w:bCs/>
          <w:i w:val="0"/>
          <w:iCs w:val="0"/>
          <w:caps w:val="0"/>
          <w:color w:val="auto"/>
          <w:spacing w:val="0"/>
          <w:kern w:val="0"/>
          <w:sz w:val="24"/>
          <w:szCs w:val="24"/>
          <w:highlight w:val="none"/>
          <w:lang w:val="en-US" w:eastAsia="zh-CN" w:bidi="ar"/>
        </w:rPr>
        <w:t>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4420820E">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2、投标企业下载招标文件后请仔细阅读，如对招标文件内容有质疑，投标人应在投标截止7日前按招标文件中载明的邮箱：3060380044@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1D229B19">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3、退保证金说明：为了方便各企业投标保证金能在公示期后及时退回，请在开标结束后向墨玉县公共资源交易平台中心提供以下材料：</w:t>
      </w:r>
    </w:p>
    <w:p w14:paraId="647281AC">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所有复印件上必须加盖公司公章发送至3681167191@qq.com，联系电话：0903-7863806；</w:t>
      </w:r>
    </w:p>
    <w:p w14:paraId="4BDC0322">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（1）开户许可证复印件或账户基本信息（与缴纳投标保证金账户一致）；</w:t>
      </w:r>
    </w:p>
    <w:p w14:paraId="20132AD3">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（2）法人身份证复印件或办理退付手续委托书原件；</w:t>
      </w:r>
    </w:p>
    <w:p w14:paraId="59A5ADEC">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（3）该公司缴纳投标保证金回单；</w:t>
      </w:r>
    </w:p>
    <w:p w14:paraId="32CF6356">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（4）该公司所开具的收据。</w:t>
      </w:r>
    </w:p>
    <w:p w14:paraId="54DBD9DC">
      <w:pPr>
        <w:spacing w:line="360" w:lineRule="auto"/>
        <w:ind w:left="0" w:leftChars="0" w:firstLine="482" w:firstLineChars="200"/>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中标企业应在签订合同后5个工作日内，另行提供；甲方单位关于退付投标保证金证明原件、中标通知书和合同复印件（合同第一部分及质保约定部分）、缴纳履约保证金的收据复印件（不缴纳履约保证金的忽略）；</w:t>
      </w:r>
    </w:p>
    <w:p w14:paraId="50FECE37">
      <w:pPr>
        <w:pStyle w:val="11"/>
        <w:ind w:left="0" w:leftChars="0" w:firstLine="0" w:firstLineChars="0"/>
        <w:outlineLvl w:val="9"/>
        <w:rPr>
          <w:rFonts w:hint="eastAsia" w:ascii="仿宋" w:hAnsi="仿宋" w:eastAsia="仿宋" w:cs="仿宋"/>
          <w:b/>
          <w:color w:val="auto"/>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4.电子保函使用方法：1、登录新疆维吾尔自治区政府采购网，首页点击“电子保函”直接进入新疆政府采购电子保函申请页，点击【立即申请】2、依次完善页面显示的投保人信息（供应商信息），确认您要投保的项目信息，在投保项目选择页面选择您需要投保的项目（可根据项目名称或项目保函进行搜索），选择投保项目后填写被保险人信息及投保内容。服务热线：400-9039583</w:t>
      </w:r>
    </w:p>
    <w:p w14:paraId="3E8F0A5C">
      <w:pPr>
        <w:spacing w:before="0" w:after="0" w:line="240" w:lineRule="auto"/>
        <w:outlineLvl w:val="9"/>
        <w:rPr>
          <w:rFonts w:hint="eastAsia" w:ascii="仿宋" w:hAnsi="仿宋" w:eastAsia="仿宋" w:cs="仿宋"/>
          <w:b/>
          <w:bCs/>
          <w:sz w:val="36"/>
          <w:szCs w:val="36"/>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AE4331B">
      <w:pPr>
        <w:pStyle w:val="2"/>
        <w:spacing w:before="0" w:after="0" w:line="240" w:lineRule="auto"/>
        <w:outlineLvl w:val="0"/>
        <w:rPr>
          <w:rFonts w:hint="eastAsia" w:ascii="仿宋" w:hAnsi="仿宋" w:eastAsia="仿宋" w:cs="仿宋"/>
          <w:b/>
          <w:bCs w:val="0"/>
          <w:sz w:val="36"/>
          <w:szCs w:val="36"/>
          <w:highlight w:val="none"/>
        </w:rPr>
      </w:pPr>
      <w:bookmarkStart w:id="41" w:name="_Toc27820"/>
      <w:bookmarkStart w:id="42" w:name="_Toc19785"/>
      <w:bookmarkStart w:id="43" w:name="_Toc24271"/>
      <w:bookmarkStart w:id="44" w:name="_Toc16878"/>
      <w:r>
        <w:rPr>
          <w:rFonts w:hint="eastAsia" w:ascii="仿宋" w:hAnsi="仿宋" w:eastAsia="仿宋" w:cs="仿宋"/>
          <w:b/>
          <w:bCs w:val="0"/>
          <w:sz w:val="36"/>
          <w:szCs w:val="36"/>
          <w:highlight w:val="none"/>
        </w:rPr>
        <w:t>第二章 供应商须知</w:t>
      </w:r>
      <w:bookmarkEnd w:id="38"/>
      <w:bookmarkEnd w:id="39"/>
      <w:bookmarkEnd w:id="40"/>
      <w:bookmarkEnd w:id="41"/>
      <w:bookmarkEnd w:id="42"/>
      <w:bookmarkEnd w:id="43"/>
      <w:bookmarkEnd w:id="44"/>
    </w:p>
    <w:p w14:paraId="11222607">
      <w:pPr>
        <w:pStyle w:val="54"/>
        <w:spacing w:line="460" w:lineRule="exact"/>
        <w:jc w:val="center"/>
        <w:rPr>
          <w:rFonts w:hint="eastAsia" w:ascii="仿宋" w:hAnsi="仿宋" w:eastAsia="仿宋" w:cs="仿宋"/>
          <w:b/>
          <w:sz w:val="30"/>
          <w:szCs w:val="30"/>
          <w:highlight w:val="none"/>
        </w:rPr>
      </w:pPr>
      <w:bookmarkStart w:id="45" w:name="_Toc21720"/>
      <w:bookmarkStart w:id="46" w:name="EB99f3ffc62d4744a9abed5da111a780a5"/>
      <w:r>
        <w:rPr>
          <w:rFonts w:hint="eastAsia" w:ascii="仿宋" w:hAnsi="仿宋" w:eastAsia="仿宋" w:cs="仿宋"/>
          <w:b/>
          <w:sz w:val="30"/>
          <w:szCs w:val="30"/>
          <w:highlight w:val="none"/>
        </w:rPr>
        <w:t>供应商须知前附表</w:t>
      </w:r>
    </w:p>
    <w:tbl>
      <w:tblPr>
        <w:tblStyle w:val="69"/>
        <w:tblW w:w="10349" w:type="dxa"/>
        <w:tblInd w:w="-38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7"/>
        <w:gridCol w:w="2071"/>
        <w:gridCol w:w="7161"/>
      </w:tblGrid>
      <w:tr w14:paraId="1C98F4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tblHeader/>
        </w:trPr>
        <w:tc>
          <w:tcPr>
            <w:tcW w:w="1117" w:type="dxa"/>
            <w:tcBorders>
              <w:tl2br w:val="nil"/>
              <w:tr2bl w:val="nil"/>
            </w:tcBorders>
            <w:noWrap w:val="0"/>
            <w:vAlign w:val="center"/>
          </w:tcPr>
          <w:p w14:paraId="27D52D8D">
            <w:pPr>
              <w:pStyle w:val="54"/>
              <w:adjustRightInd w:val="0"/>
              <w:snapToGrid w:val="0"/>
              <w:spacing w:line="4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序列号</w:t>
            </w:r>
          </w:p>
        </w:tc>
        <w:tc>
          <w:tcPr>
            <w:tcW w:w="2071" w:type="dxa"/>
            <w:tcBorders>
              <w:tl2br w:val="nil"/>
              <w:tr2bl w:val="nil"/>
            </w:tcBorders>
            <w:noWrap w:val="0"/>
            <w:vAlign w:val="center"/>
          </w:tcPr>
          <w:p w14:paraId="67E97849">
            <w:pPr>
              <w:pStyle w:val="54"/>
              <w:adjustRightInd w:val="0"/>
              <w:snapToGrid w:val="0"/>
              <w:spacing w:line="4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条款名称</w:t>
            </w:r>
          </w:p>
        </w:tc>
        <w:tc>
          <w:tcPr>
            <w:tcW w:w="7161" w:type="dxa"/>
            <w:tcBorders>
              <w:tl2br w:val="nil"/>
              <w:tr2bl w:val="nil"/>
            </w:tcBorders>
            <w:noWrap w:val="0"/>
            <w:vAlign w:val="center"/>
          </w:tcPr>
          <w:p w14:paraId="18A48610">
            <w:pPr>
              <w:pStyle w:val="54"/>
              <w:adjustRightInd w:val="0"/>
              <w:snapToGrid w:val="0"/>
              <w:spacing w:line="4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编列内容规定</w:t>
            </w:r>
          </w:p>
        </w:tc>
      </w:tr>
      <w:tr w14:paraId="1200D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trPr>
        <w:tc>
          <w:tcPr>
            <w:tcW w:w="1117" w:type="dxa"/>
            <w:tcBorders>
              <w:tl2br w:val="nil"/>
              <w:tr2bl w:val="nil"/>
            </w:tcBorders>
            <w:noWrap w:val="0"/>
            <w:vAlign w:val="center"/>
          </w:tcPr>
          <w:p w14:paraId="4BBA312F">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2071" w:type="dxa"/>
            <w:tcBorders>
              <w:tl2br w:val="nil"/>
              <w:tr2bl w:val="nil"/>
            </w:tcBorders>
            <w:noWrap w:val="0"/>
            <w:vAlign w:val="center"/>
          </w:tcPr>
          <w:p w14:paraId="21C10F24">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w:t>
            </w:r>
          </w:p>
        </w:tc>
        <w:tc>
          <w:tcPr>
            <w:tcW w:w="7161" w:type="dxa"/>
            <w:tcBorders>
              <w:tl2br w:val="nil"/>
              <w:tr2bl w:val="nil"/>
            </w:tcBorders>
            <w:noWrap w:val="0"/>
            <w:vAlign w:val="center"/>
          </w:tcPr>
          <w:p w14:paraId="2AEA93A5">
            <w:pPr>
              <w:pStyle w:val="56"/>
              <w:spacing w:line="46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墨玉县卫健系统邀请专家进行临床执业(助理)医师能力提升培训</w:t>
            </w:r>
          </w:p>
        </w:tc>
      </w:tr>
      <w:tr w14:paraId="54098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trPr>
        <w:tc>
          <w:tcPr>
            <w:tcW w:w="1117" w:type="dxa"/>
            <w:tcBorders>
              <w:tl2br w:val="nil"/>
              <w:tr2bl w:val="nil"/>
            </w:tcBorders>
            <w:noWrap w:val="0"/>
            <w:vAlign w:val="center"/>
          </w:tcPr>
          <w:p w14:paraId="49EA5639">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p>
        </w:tc>
        <w:tc>
          <w:tcPr>
            <w:tcW w:w="2071" w:type="dxa"/>
            <w:tcBorders>
              <w:tl2br w:val="nil"/>
              <w:tr2bl w:val="nil"/>
            </w:tcBorders>
            <w:noWrap w:val="0"/>
            <w:vAlign w:val="center"/>
          </w:tcPr>
          <w:p w14:paraId="33FFE0A6">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项目编号</w:t>
            </w:r>
          </w:p>
        </w:tc>
        <w:tc>
          <w:tcPr>
            <w:tcW w:w="7161" w:type="dxa"/>
            <w:tcBorders>
              <w:tl2br w:val="nil"/>
              <w:tr2bl w:val="nil"/>
            </w:tcBorders>
            <w:noWrap w:val="0"/>
            <w:vAlign w:val="center"/>
          </w:tcPr>
          <w:p w14:paraId="3E569B0F">
            <w:pPr>
              <w:pStyle w:val="56"/>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ZXZC-MYXCG-2025-0</w:t>
            </w:r>
            <w:r>
              <w:rPr>
                <w:rFonts w:hint="eastAsia" w:ascii="仿宋" w:hAnsi="仿宋" w:eastAsia="仿宋" w:cs="仿宋"/>
                <w:i w:val="0"/>
                <w:iCs w:val="0"/>
                <w:caps w:val="0"/>
                <w:color w:val="000000"/>
                <w:spacing w:val="0"/>
                <w:sz w:val="24"/>
                <w:szCs w:val="24"/>
                <w:highlight w:val="none"/>
                <w:lang w:val="en-US" w:eastAsia="zh-CN"/>
              </w:rPr>
              <w:t>33</w:t>
            </w:r>
            <w:r>
              <w:rPr>
                <w:rFonts w:hint="eastAsia" w:ascii="仿宋" w:hAnsi="仿宋" w:eastAsia="仿宋" w:cs="仿宋"/>
                <w:i w:val="0"/>
                <w:iCs w:val="0"/>
                <w:caps w:val="0"/>
                <w:color w:val="000000"/>
                <w:spacing w:val="0"/>
                <w:sz w:val="24"/>
                <w:szCs w:val="24"/>
                <w:highlight w:val="none"/>
                <w:lang w:eastAsia="zh-CN"/>
              </w:rPr>
              <w:t>号</w:t>
            </w:r>
          </w:p>
        </w:tc>
      </w:tr>
      <w:tr w14:paraId="6C02C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1" w:hRule="atLeast"/>
        </w:trPr>
        <w:tc>
          <w:tcPr>
            <w:tcW w:w="1117" w:type="dxa"/>
            <w:tcBorders>
              <w:tl2br w:val="nil"/>
              <w:tr2bl w:val="nil"/>
            </w:tcBorders>
            <w:noWrap w:val="0"/>
            <w:vAlign w:val="center"/>
          </w:tcPr>
          <w:p w14:paraId="7B5871B8">
            <w:pPr>
              <w:pStyle w:val="54"/>
              <w:adjustRightInd w:val="0"/>
              <w:snapToGrid w:val="0"/>
              <w:spacing w:line="460" w:lineRule="exact"/>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3</w:t>
            </w:r>
          </w:p>
        </w:tc>
        <w:tc>
          <w:tcPr>
            <w:tcW w:w="2071" w:type="dxa"/>
            <w:tcBorders>
              <w:tl2br w:val="nil"/>
              <w:tr2bl w:val="nil"/>
            </w:tcBorders>
            <w:noWrap w:val="0"/>
            <w:vAlign w:val="center"/>
          </w:tcPr>
          <w:p w14:paraId="2232C159">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采购人</w:t>
            </w:r>
          </w:p>
        </w:tc>
        <w:tc>
          <w:tcPr>
            <w:tcW w:w="7161" w:type="dxa"/>
            <w:tcBorders>
              <w:tl2br w:val="nil"/>
              <w:tr2bl w:val="nil"/>
            </w:tcBorders>
            <w:noWrap w:val="0"/>
            <w:vAlign w:val="center"/>
          </w:tcPr>
          <w:p w14:paraId="75CD73E5">
            <w:pPr>
              <w:pStyle w:val="56"/>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  称：</w:t>
            </w:r>
            <w:r>
              <w:rPr>
                <w:rFonts w:hint="eastAsia" w:ascii="仿宋" w:hAnsi="仿宋" w:eastAsia="仿宋" w:cs="仿宋"/>
                <w:b w:val="0"/>
                <w:bCs w:val="0"/>
                <w:kern w:val="2"/>
                <w:sz w:val="24"/>
                <w:szCs w:val="24"/>
                <w:highlight w:val="none"/>
                <w:lang w:val="en-US" w:eastAsia="zh-CN" w:bidi="ar-SA"/>
              </w:rPr>
              <w:t>墨玉县卫生健康委员会</w:t>
            </w:r>
          </w:p>
          <w:p w14:paraId="25603A22">
            <w:pPr>
              <w:pStyle w:val="56"/>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b w:val="0"/>
                <w:bCs w:val="0"/>
                <w:kern w:val="2"/>
                <w:sz w:val="24"/>
                <w:szCs w:val="24"/>
                <w:highlight w:val="none"/>
                <w:lang w:val="en-US" w:eastAsia="zh-CN" w:bidi="ar-SA"/>
              </w:rPr>
              <w:t>墨玉县库木鲁克南路49号</w:t>
            </w:r>
          </w:p>
          <w:p w14:paraId="56028099">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联系人：热则耶</w:t>
            </w:r>
          </w:p>
          <w:p w14:paraId="1E84288B">
            <w:pPr>
              <w:pStyle w:val="56"/>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eastAsia="zh-CN"/>
              </w:rPr>
              <w:t>0903-</w:t>
            </w:r>
            <w:r>
              <w:rPr>
                <w:rFonts w:hint="eastAsia" w:ascii="仿宋" w:hAnsi="仿宋" w:eastAsia="仿宋" w:cs="仿宋"/>
                <w:sz w:val="24"/>
                <w:szCs w:val="24"/>
                <w:highlight w:val="none"/>
                <w:lang w:val="zh-CN" w:eastAsia="zh-CN"/>
              </w:rPr>
              <w:t>65</w:t>
            </w:r>
            <w:r>
              <w:rPr>
                <w:rFonts w:hint="eastAsia" w:ascii="仿宋" w:hAnsi="仿宋" w:eastAsia="仿宋" w:cs="仿宋"/>
                <w:sz w:val="24"/>
                <w:szCs w:val="24"/>
                <w:highlight w:val="none"/>
                <w:lang w:val="en-US" w:eastAsia="zh-CN"/>
              </w:rPr>
              <w:t>12318</w:t>
            </w:r>
          </w:p>
        </w:tc>
      </w:tr>
      <w:tr w14:paraId="029D89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4" w:hRule="atLeast"/>
        </w:trPr>
        <w:tc>
          <w:tcPr>
            <w:tcW w:w="1117" w:type="dxa"/>
            <w:tcBorders>
              <w:tl2br w:val="nil"/>
              <w:tr2bl w:val="nil"/>
            </w:tcBorders>
            <w:noWrap w:val="0"/>
            <w:vAlign w:val="center"/>
          </w:tcPr>
          <w:p w14:paraId="648C8CA5">
            <w:pPr>
              <w:pStyle w:val="54"/>
              <w:adjustRightInd w:val="0"/>
              <w:snapToGrid w:val="0"/>
              <w:spacing w:line="460" w:lineRule="exact"/>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4</w:t>
            </w:r>
          </w:p>
        </w:tc>
        <w:tc>
          <w:tcPr>
            <w:tcW w:w="2071" w:type="dxa"/>
            <w:tcBorders>
              <w:tl2br w:val="nil"/>
              <w:tr2bl w:val="nil"/>
            </w:tcBorders>
            <w:noWrap w:val="0"/>
            <w:vAlign w:val="center"/>
          </w:tcPr>
          <w:p w14:paraId="754CC7C6">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采购代理机构</w:t>
            </w:r>
          </w:p>
        </w:tc>
        <w:tc>
          <w:tcPr>
            <w:tcW w:w="7161" w:type="dxa"/>
            <w:tcBorders>
              <w:tl2br w:val="nil"/>
              <w:tr2bl w:val="nil"/>
            </w:tcBorders>
            <w:noWrap w:val="0"/>
            <w:vAlign w:val="center"/>
          </w:tcPr>
          <w:p w14:paraId="1C9F7373">
            <w:pPr>
              <w:pStyle w:val="56"/>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墨玉县众信智诚工程项目管理有限公司</w:t>
            </w:r>
          </w:p>
          <w:p w14:paraId="0C86BD24">
            <w:pPr>
              <w:pStyle w:val="56"/>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墨玉县乐民社区B栋二楼</w:t>
            </w:r>
          </w:p>
          <w:p w14:paraId="0A1887E4">
            <w:pPr>
              <w:pStyle w:val="56"/>
              <w:spacing w:line="46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祖丽阿娅</w:t>
            </w:r>
          </w:p>
          <w:p w14:paraId="127874C1">
            <w:pPr>
              <w:pStyle w:val="56"/>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eastAsia="zh-CN"/>
              </w:rPr>
              <w:t>0903-6530990</w:t>
            </w:r>
          </w:p>
        </w:tc>
      </w:tr>
      <w:tr w14:paraId="154F5B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trPr>
        <w:tc>
          <w:tcPr>
            <w:tcW w:w="1117" w:type="dxa"/>
            <w:tcBorders>
              <w:tl2br w:val="nil"/>
              <w:tr2bl w:val="nil"/>
            </w:tcBorders>
            <w:noWrap w:val="0"/>
            <w:vAlign w:val="center"/>
          </w:tcPr>
          <w:p w14:paraId="1060DCE2">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2071" w:type="dxa"/>
            <w:tcBorders>
              <w:tl2br w:val="nil"/>
              <w:tr2bl w:val="nil"/>
            </w:tcBorders>
            <w:noWrap w:val="0"/>
            <w:vAlign w:val="center"/>
          </w:tcPr>
          <w:p w14:paraId="1C0775FB">
            <w:pPr>
              <w:spacing w:line="300" w:lineRule="exact"/>
              <w:ind w:left="0" w:leftChars="0" w:right="0" w:rightChars="0" w:firstLine="0" w:firstLineChars="0"/>
              <w:jc w:val="center"/>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rPr>
              <w:t>采购内容</w:t>
            </w:r>
          </w:p>
        </w:tc>
        <w:tc>
          <w:tcPr>
            <w:tcW w:w="7161" w:type="dxa"/>
            <w:tcBorders>
              <w:tl2br w:val="nil"/>
              <w:tr2bl w:val="nil"/>
            </w:tcBorders>
            <w:noWrap w:val="0"/>
            <w:vAlign w:val="center"/>
          </w:tcPr>
          <w:p w14:paraId="7AE578DF">
            <w:pPr>
              <w:pStyle w:val="15"/>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highlight w:val="none"/>
              </w:rPr>
            </w:pPr>
            <w:r>
              <w:rPr>
                <w:rFonts w:hint="eastAsia" w:ascii="仿宋" w:hAnsi="仿宋" w:eastAsia="仿宋" w:cs="仿宋"/>
                <w:sz w:val="24"/>
                <w:highlight w:val="none"/>
                <w:lang w:eastAsia="zh-CN" w:bidi="ar"/>
              </w:rPr>
              <w:t>计划实施2025年墨玉县卫健系统人员培训项目，实施内容为墨玉县卫健系统邀请专家进行骨干工作人员能力提升培训项目。（</w:t>
            </w:r>
            <w:r>
              <w:rPr>
                <w:rFonts w:hint="eastAsia" w:ascii="仿宋" w:hAnsi="仿宋" w:eastAsia="仿宋" w:cs="仿宋"/>
                <w:sz w:val="24"/>
                <w:highlight w:val="none"/>
                <w:lang w:val="en-US" w:eastAsia="zh-CN" w:bidi="ar"/>
              </w:rPr>
              <w:t>具体参数详见采购需求）</w:t>
            </w:r>
            <w:r>
              <w:rPr>
                <w:rFonts w:hint="eastAsia" w:ascii="仿宋" w:hAnsi="仿宋" w:eastAsia="仿宋" w:cs="仿宋"/>
                <w:sz w:val="24"/>
                <w:highlight w:val="none"/>
                <w:lang w:eastAsia="zh-CN" w:bidi="ar"/>
              </w:rPr>
              <w:t>。</w:t>
            </w:r>
          </w:p>
        </w:tc>
      </w:tr>
      <w:tr w14:paraId="4F3F40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1117" w:type="dxa"/>
            <w:tcBorders>
              <w:tl2br w:val="nil"/>
              <w:tr2bl w:val="nil"/>
            </w:tcBorders>
            <w:noWrap w:val="0"/>
            <w:vAlign w:val="center"/>
          </w:tcPr>
          <w:p w14:paraId="00B99DF1">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w:t>
            </w:r>
          </w:p>
        </w:tc>
        <w:tc>
          <w:tcPr>
            <w:tcW w:w="2071" w:type="dxa"/>
            <w:tcBorders>
              <w:tl2br w:val="nil"/>
              <w:tr2bl w:val="nil"/>
            </w:tcBorders>
            <w:noWrap w:val="0"/>
            <w:vAlign w:val="center"/>
          </w:tcPr>
          <w:p w14:paraId="1407D324">
            <w:pPr>
              <w:spacing w:line="300" w:lineRule="exact"/>
              <w:ind w:left="0" w:leftChars="0" w:right="0" w:rightChars="0" w:firstLine="0" w:firstLineChars="0"/>
              <w:jc w:val="center"/>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rPr>
              <w:t>资金来源</w:t>
            </w:r>
          </w:p>
        </w:tc>
        <w:tc>
          <w:tcPr>
            <w:tcW w:w="7161" w:type="dxa"/>
            <w:tcBorders>
              <w:tl2br w:val="nil"/>
              <w:tr2bl w:val="nil"/>
            </w:tcBorders>
            <w:noWrap w:val="0"/>
            <w:vAlign w:val="center"/>
          </w:tcPr>
          <w:p w14:paraId="2E8026BD">
            <w:pPr>
              <w:spacing w:before="31" w:beforeLines="10" w:after="31" w:afterLines="10" w:line="300" w:lineRule="exact"/>
              <w:ind w:left="0" w:leftChars="0" w:right="0" w:rightChars="0" w:firstLine="0" w:firstLineChars="0"/>
              <w:outlineLvl w:val="9"/>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2025年北京援建资金</w:t>
            </w:r>
          </w:p>
        </w:tc>
      </w:tr>
      <w:tr w14:paraId="4612F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1117" w:type="dxa"/>
            <w:tcBorders>
              <w:tl2br w:val="nil"/>
              <w:tr2bl w:val="nil"/>
            </w:tcBorders>
            <w:noWrap w:val="0"/>
            <w:vAlign w:val="center"/>
          </w:tcPr>
          <w:p w14:paraId="77B681EF">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w:t>
            </w:r>
          </w:p>
        </w:tc>
        <w:tc>
          <w:tcPr>
            <w:tcW w:w="2071" w:type="dxa"/>
            <w:tcBorders>
              <w:tl2br w:val="nil"/>
              <w:tr2bl w:val="nil"/>
            </w:tcBorders>
            <w:noWrap w:val="0"/>
            <w:vAlign w:val="center"/>
          </w:tcPr>
          <w:p w14:paraId="4E6ED516">
            <w:pPr>
              <w:spacing w:line="300" w:lineRule="exact"/>
              <w:ind w:left="0" w:leftChars="0" w:right="0" w:rightChars="0" w:firstLine="0" w:firstLineChars="0"/>
              <w:jc w:val="center"/>
              <w:outlineLvl w:val="9"/>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采购方式</w:t>
            </w:r>
          </w:p>
        </w:tc>
        <w:tc>
          <w:tcPr>
            <w:tcW w:w="7161" w:type="dxa"/>
            <w:tcBorders>
              <w:tl2br w:val="nil"/>
              <w:tr2bl w:val="nil"/>
            </w:tcBorders>
            <w:noWrap w:val="0"/>
            <w:vAlign w:val="center"/>
          </w:tcPr>
          <w:p w14:paraId="73A39738">
            <w:pPr>
              <w:spacing w:line="300" w:lineRule="exact"/>
              <w:ind w:left="0" w:leftChars="0" w:right="0" w:rightChars="0" w:firstLine="0" w:firstLineChars="0"/>
              <w:outlineLvl w:val="9"/>
              <w:rPr>
                <w:rFonts w:hint="eastAsia" w:ascii="仿宋" w:hAnsi="仿宋" w:eastAsia="仿宋" w:cs="仿宋"/>
                <w:kern w:val="0"/>
                <w:sz w:val="24"/>
                <w:szCs w:val="24"/>
                <w:highlight w:val="none"/>
              </w:rPr>
            </w:pPr>
            <w:r>
              <w:rPr>
                <w:rFonts w:hint="eastAsia" w:ascii="仿宋" w:hAnsi="仿宋" w:eastAsia="仿宋" w:cs="仿宋"/>
                <w:i w:val="0"/>
                <w:iCs w:val="0"/>
                <w:caps w:val="0"/>
                <w:color w:val="000000"/>
                <w:spacing w:val="0"/>
                <w:sz w:val="24"/>
                <w:szCs w:val="24"/>
                <w:highlight w:val="none"/>
              </w:rPr>
              <w:t>竞争性磋商</w:t>
            </w:r>
          </w:p>
        </w:tc>
      </w:tr>
      <w:tr w14:paraId="5893C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9" w:hRule="atLeast"/>
        </w:trPr>
        <w:tc>
          <w:tcPr>
            <w:tcW w:w="1117" w:type="dxa"/>
            <w:tcBorders>
              <w:tl2br w:val="nil"/>
              <w:tr2bl w:val="nil"/>
            </w:tcBorders>
            <w:noWrap w:val="0"/>
            <w:vAlign w:val="center"/>
          </w:tcPr>
          <w:p w14:paraId="72E1BD2C">
            <w:pPr>
              <w:pStyle w:val="54"/>
              <w:adjustRightInd w:val="0"/>
              <w:snapToGrid w:val="0"/>
              <w:spacing w:line="460" w:lineRule="exact"/>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8</w:t>
            </w:r>
          </w:p>
        </w:tc>
        <w:tc>
          <w:tcPr>
            <w:tcW w:w="2071" w:type="dxa"/>
            <w:tcBorders>
              <w:tl2br w:val="nil"/>
              <w:tr2bl w:val="nil"/>
            </w:tcBorders>
            <w:noWrap w:val="0"/>
            <w:vAlign w:val="center"/>
          </w:tcPr>
          <w:p w14:paraId="54805EC2">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项目预算</w:t>
            </w:r>
          </w:p>
        </w:tc>
        <w:tc>
          <w:tcPr>
            <w:tcW w:w="7161" w:type="dxa"/>
            <w:tcBorders>
              <w:tl2br w:val="nil"/>
              <w:tr2bl w:val="nil"/>
            </w:tcBorders>
            <w:noWrap w:val="0"/>
            <w:vAlign w:val="center"/>
          </w:tcPr>
          <w:p w14:paraId="6B59B805">
            <w:pPr>
              <w:pStyle w:val="56"/>
              <w:spacing w:line="46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金额（小写）：</w:t>
            </w:r>
            <w:r>
              <w:rPr>
                <w:rFonts w:hint="eastAsia" w:ascii="仿宋" w:hAnsi="仿宋" w:eastAsia="仿宋" w:cs="仿宋"/>
                <w:color w:val="000000"/>
                <w:sz w:val="24"/>
                <w:szCs w:val="24"/>
                <w:highlight w:val="none"/>
                <w:lang w:val="en-US" w:eastAsia="zh-CN"/>
              </w:rPr>
              <w:t>720000.00</w:t>
            </w:r>
            <w:r>
              <w:rPr>
                <w:rFonts w:hint="eastAsia" w:ascii="仿宋" w:hAnsi="仿宋" w:eastAsia="仿宋" w:cs="仿宋"/>
                <w:color w:val="000000"/>
                <w:sz w:val="24"/>
                <w:szCs w:val="24"/>
                <w:highlight w:val="none"/>
              </w:rPr>
              <w:t>元</w:t>
            </w:r>
          </w:p>
          <w:p w14:paraId="7B401DEF">
            <w:pPr>
              <w:pStyle w:val="56"/>
              <w:spacing w:line="460" w:lineRule="exact"/>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金额（大写）：</w:t>
            </w:r>
            <w:r>
              <w:rPr>
                <w:rFonts w:hint="eastAsia" w:ascii="仿宋" w:hAnsi="仿宋" w:eastAsia="仿宋" w:cs="仿宋"/>
                <w:color w:val="000000"/>
                <w:sz w:val="24"/>
                <w:szCs w:val="24"/>
                <w:highlight w:val="none"/>
                <w:lang w:val="en-US" w:eastAsia="zh-CN"/>
              </w:rPr>
              <w:t>柒拾贰万元整</w:t>
            </w:r>
          </w:p>
        </w:tc>
      </w:tr>
      <w:tr w14:paraId="47682A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1117" w:type="dxa"/>
            <w:tcBorders>
              <w:tl2br w:val="nil"/>
              <w:tr2bl w:val="nil"/>
            </w:tcBorders>
            <w:noWrap w:val="0"/>
            <w:vAlign w:val="center"/>
          </w:tcPr>
          <w:p w14:paraId="2EFDB90B">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w:t>
            </w:r>
          </w:p>
        </w:tc>
        <w:tc>
          <w:tcPr>
            <w:tcW w:w="2071" w:type="dxa"/>
            <w:tcBorders>
              <w:tl2br w:val="nil"/>
              <w:tr2bl w:val="nil"/>
            </w:tcBorders>
            <w:noWrap w:val="0"/>
            <w:vAlign w:val="center"/>
          </w:tcPr>
          <w:p w14:paraId="0DCBB2D3">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最高</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限价</w:t>
            </w:r>
          </w:p>
        </w:tc>
        <w:tc>
          <w:tcPr>
            <w:tcW w:w="7161" w:type="dxa"/>
            <w:tcBorders>
              <w:tl2br w:val="nil"/>
              <w:tr2bl w:val="nil"/>
            </w:tcBorders>
            <w:noWrap w:val="0"/>
            <w:vAlign w:val="center"/>
          </w:tcPr>
          <w:p w14:paraId="7F85B20B">
            <w:pPr>
              <w:pStyle w:val="56"/>
              <w:spacing w:line="460" w:lineRule="exact"/>
              <w:outlineLvl w:val="9"/>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lang w:val="en-US" w:eastAsia="zh-CN"/>
              </w:rPr>
              <w:t>最高投标现价：720000.00</w:t>
            </w:r>
            <w:r>
              <w:rPr>
                <w:rFonts w:hint="eastAsia" w:ascii="仿宋" w:hAnsi="仿宋" w:eastAsia="仿宋" w:cs="仿宋"/>
                <w:color w:val="000000"/>
                <w:sz w:val="24"/>
                <w:szCs w:val="24"/>
                <w:highlight w:val="none"/>
              </w:rPr>
              <w:t>元</w:t>
            </w:r>
            <w:r>
              <w:rPr>
                <w:rFonts w:hint="eastAsia" w:ascii="仿宋" w:hAnsi="仿宋" w:eastAsia="仿宋" w:cs="仿宋"/>
                <w:b/>
                <w:bCs/>
                <w:color w:val="000000"/>
                <w:sz w:val="24"/>
                <w:szCs w:val="24"/>
                <w:highlight w:val="none"/>
              </w:rPr>
              <w:t xml:space="preserve"> </w:t>
            </w:r>
          </w:p>
          <w:p w14:paraId="71A086CE">
            <w:pPr>
              <w:pStyle w:val="56"/>
              <w:spacing w:line="460" w:lineRule="exact"/>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（投标报价不得超过最高</w:t>
            </w:r>
            <w:r>
              <w:rPr>
                <w:rFonts w:hint="eastAsia" w:ascii="仿宋" w:hAnsi="仿宋" w:eastAsia="仿宋" w:cs="仿宋"/>
                <w:b/>
                <w:bCs/>
                <w:color w:val="000000"/>
                <w:sz w:val="24"/>
                <w:szCs w:val="24"/>
                <w:highlight w:val="none"/>
                <w:lang w:val="en-US" w:eastAsia="zh-CN"/>
              </w:rPr>
              <w:t>投标</w:t>
            </w:r>
            <w:r>
              <w:rPr>
                <w:rFonts w:hint="eastAsia" w:ascii="仿宋" w:hAnsi="仿宋" w:eastAsia="仿宋" w:cs="仿宋"/>
                <w:b/>
                <w:bCs/>
                <w:color w:val="000000"/>
                <w:sz w:val="24"/>
                <w:szCs w:val="24"/>
                <w:highlight w:val="none"/>
              </w:rPr>
              <w:t>限价，否则按无效投标处理）</w:t>
            </w:r>
          </w:p>
        </w:tc>
      </w:tr>
      <w:tr w14:paraId="56678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5" w:hRule="atLeast"/>
        </w:trPr>
        <w:tc>
          <w:tcPr>
            <w:tcW w:w="1117" w:type="dxa"/>
            <w:tcBorders>
              <w:tl2br w:val="nil"/>
              <w:tr2bl w:val="nil"/>
            </w:tcBorders>
            <w:noWrap w:val="0"/>
            <w:vAlign w:val="center"/>
          </w:tcPr>
          <w:p w14:paraId="1162718D">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w:t>
            </w:r>
          </w:p>
        </w:tc>
        <w:tc>
          <w:tcPr>
            <w:tcW w:w="2071" w:type="dxa"/>
            <w:tcBorders>
              <w:tl2br w:val="nil"/>
              <w:tr2bl w:val="nil"/>
            </w:tcBorders>
            <w:noWrap w:val="0"/>
            <w:vAlign w:val="center"/>
          </w:tcPr>
          <w:p w14:paraId="3BFECE2B">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供应商资格条件</w:t>
            </w:r>
          </w:p>
        </w:tc>
        <w:tc>
          <w:tcPr>
            <w:tcW w:w="7161" w:type="dxa"/>
            <w:tcBorders>
              <w:tl2br w:val="nil"/>
              <w:tr2bl w:val="nil"/>
            </w:tcBorders>
            <w:noWrap w:val="0"/>
            <w:vAlign w:val="center"/>
          </w:tcPr>
          <w:p w14:paraId="263D6A32">
            <w:pPr>
              <w:pStyle w:val="55"/>
              <w:spacing w:line="460" w:lineRule="exact"/>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1.满足《中华人民共和国政府采购法》第二十二条规定；</w:t>
            </w:r>
          </w:p>
          <w:p w14:paraId="0FFC3DB0">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（1）供应商须具备三证合一的营业执照；</w:t>
            </w:r>
          </w:p>
          <w:p w14:paraId="6CD21217">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供应商代表法定代表人需提供法定代表人证明书及法定代表人身份证，委托代理人需提供法定代表人授权委托书及委托代理人身份证，并提供近3个月任意1个月社保证明材料（社保缴费凭证及个人明细表）；新公司按实际发生提供；</w:t>
            </w:r>
          </w:p>
          <w:p w14:paraId="353D53B0">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（3）提供税务机关出具近3个月任意1个月的完税证明或报税材料（依法免缴的，应提供依法免缴的相关证明文件），新公司按实际发生提供；</w:t>
            </w:r>
          </w:p>
          <w:p w14:paraId="3EA7AE51">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（4）提供2024年度由第三方财务审计机构出具的财务审计报告，2025年新成立的公司提供银行出具的近一个月的资信证明；；</w:t>
            </w:r>
          </w:p>
          <w:p w14:paraId="69624D85">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（5）提供参加政府采购活动前 3 年内在经营活动中没有重大违法记录的书面声明；</w:t>
            </w:r>
          </w:p>
          <w:p w14:paraId="7A4EF865">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（6）企业负责人为同一人或者存在直接控股、管理关系的不同投标人，不得参加同一合同项下的政府采购活动声明函；</w:t>
            </w:r>
          </w:p>
          <w:p w14:paraId="6FC44C69">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（7）本项目不接受联合体投标；</w:t>
            </w:r>
          </w:p>
          <w:p w14:paraId="4B00DBFE">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sz w:val="24"/>
                <w:highlight w:val="none"/>
                <w:lang w:eastAsia="zh-CN"/>
              </w:rPr>
            </w:pPr>
            <w:r>
              <w:rPr>
                <w:rFonts w:hint="eastAsia" w:ascii="仿宋" w:hAnsi="仿宋" w:eastAsia="仿宋" w:cs="仿宋"/>
                <w:i w:val="0"/>
                <w:iCs w:val="0"/>
                <w:caps w:val="0"/>
                <w:color w:val="000000"/>
                <w:spacing w:val="0"/>
                <w:sz w:val="24"/>
                <w:szCs w:val="24"/>
                <w:highlight w:val="none"/>
                <w:lang w:val="en-US" w:eastAsia="zh-CN"/>
              </w:rPr>
              <w:t>（8）投标保证金或电子保函：7000.00元整（大写 ：柒仟元整）</w:t>
            </w:r>
          </w:p>
          <w:p w14:paraId="6917CD2B">
            <w:pPr>
              <w:pStyle w:val="55"/>
              <w:spacing w:line="460" w:lineRule="exact"/>
              <w:ind w:firstLine="0" w:firstLineChars="0"/>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特定资格要求：</w:t>
            </w:r>
            <w:r>
              <w:rPr>
                <w:rFonts w:hint="eastAsia" w:ascii="仿宋" w:hAnsi="仿宋" w:eastAsia="仿宋" w:cs="仿宋"/>
                <w:color w:val="000000"/>
                <w:sz w:val="24"/>
                <w:szCs w:val="24"/>
                <w:highlight w:val="none"/>
              </w:rPr>
              <w:t>具备医学教育培训相关资质</w:t>
            </w:r>
            <w:r>
              <w:rPr>
                <w:rFonts w:hint="eastAsia" w:ascii="仿宋" w:hAnsi="仿宋" w:eastAsia="仿宋" w:cs="仿宋"/>
                <w:color w:val="000000"/>
                <w:sz w:val="24"/>
                <w:szCs w:val="24"/>
                <w:highlight w:val="none"/>
                <w:lang w:eastAsia="zh-CN"/>
              </w:rPr>
              <w:t>。</w:t>
            </w:r>
          </w:p>
        </w:tc>
      </w:tr>
      <w:tr w14:paraId="72AE9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trPr>
        <w:tc>
          <w:tcPr>
            <w:tcW w:w="1117" w:type="dxa"/>
            <w:tcBorders>
              <w:tl2br w:val="nil"/>
              <w:tr2bl w:val="nil"/>
            </w:tcBorders>
            <w:noWrap w:val="0"/>
            <w:vAlign w:val="center"/>
          </w:tcPr>
          <w:p w14:paraId="2374FBEE">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w:t>
            </w:r>
          </w:p>
        </w:tc>
        <w:tc>
          <w:tcPr>
            <w:tcW w:w="2071" w:type="dxa"/>
            <w:tcBorders>
              <w:tl2br w:val="nil"/>
              <w:tr2bl w:val="nil"/>
            </w:tcBorders>
            <w:noWrap w:val="0"/>
            <w:vAlign w:val="center"/>
          </w:tcPr>
          <w:p w14:paraId="2860EE08">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联合体投标</w:t>
            </w:r>
          </w:p>
        </w:tc>
        <w:tc>
          <w:tcPr>
            <w:tcW w:w="7161" w:type="dxa"/>
            <w:tcBorders>
              <w:tl2br w:val="nil"/>
              <w:tr2bl w:val="nil"/>
            </w:tcBorders>
            <w:noWrap w:val="0"/>
            <w:vAlign w:val="center"/>
          </w:tcPr>
          <w:p w14:paraId="74B04C1B">
            <w:pPr>
              <w:pStyle w:val="54"/>
              <w:adjustRightInd w:val="0"/>
              <w:snapToGrid w:val="0"/>
              <w:spacing w:line="460" w:lineRule="exact"/>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不接受</w:t>
            </w:r>
          </w:p>
        </w:tc>
      </w:tr>
      <w:tr w14:paraId="6CEFCC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1" w:hRule="atLeast"/>
        </w:trPr>
        <w:tc>
          <w:tcPr>
            <w:tcW w:w="1117" w:type="dxa"/>
            <w:tcBorders>
              <w:tl2br w:val="nil"/>
              <w:tr2bl w:val="nil"/>
            </w:tcBorders>
            <w:noWrap w:val="0"/>
            <w:vAlign w:val="center"/>
          </w:tcPr>
          <w:p w14:paraId="30B76ACB">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w:t>
            </w:r>
          </w:p>
        </w:tc>
        <w:tc>
          <w:tcPr>
            <w:tcW w:w="2071" w:type="dxa"/>
            <w:tcBorders>
              <w:tl2br w:val="nil"/>
              <w:tr2bl w:val="nil"/>
            </w:tcBorders>
            <w:noWrap w:val="0"/>
            <w:vAlign w:val="center"/>
          </w:tcPr>
          <w:p w14:paraId="66612B1B">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备选方案</w:t>
            </w:r>
          </w:p>
        </w:tc>
        <w:tc>
          <w:tcPr>
            <w:tcW w:w="7161" w:type="dxa"/>
            <w:tcBorders>
              <w:tl2br w:val="nil"/>
              <w:tr2bl w:val="nil"/>
            </w:tcBorders>
            <w:noWrap w:val="0"/>
            <w:vAlign w:val="center"/>
          </w:tcPr>
          <w:p w14:paraId="1381FAEF">
            <w:pPr>
              <w:pStyle w:val="54"/>
              <w:adjustRightInd w:val="0"/>
              <w:snapToGrid w:val="0"/>
              <w:spacing w:line="460" w:lineRule="exact"/>
              <w:jc w:val="left"/>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不接受</w:t>
            </w:r>
          </w:p>
        </w:tc>
      </w:tr>
      <w:tr w14:paraId="601178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trPr>
        <w:tc>
          <w:tcPr>
            <w:tcW w:w="1117" w:type="dxa"/>
            <w:tcBorders>
              <w:tl2br w:val="nil"/>
              <w:tr2bl w:val="nil"/>
            </w:tcBorders>
            <w:noWrap w:val="0"/>
            <w:vAlign w:val="center"/>
          </w:tcPr>
          <w:p w14:paraId="342864D2">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13</w:t>
            </w:r>
          </w:p>
        </w:tc>
        <w:tc>
          <w:tcPr>
            <w:tcW w:w="2071" w:type="dxa"/>
            <w:tcBorders>
              <w:tl2br w:val="nil"/>
              <w:tr2bl w:val="nil"/>
            </w:tcBorders>
            <w:noWrap w:val="0"/>
            <w:vAlign w:val="center"/>
          </w:tcPr>
          <w:p w14:paraId="03044A62">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信息公告媒体</w:t>
            </w:r>
          </w:p>
        </w:tc>
        <w:tc>
          <w:tcPr>
            <w:tcW w:w="7161" w:type="dxa"/>
            <w:tcBorders>
              <w:tl2br w:val="nil"/>
              <w:tr2bl w:val="nil"/>
            </w:tcBorders>
            <w:noWrap w:val="0"/>
            <w:vAlign w:val="center"/>
          </w:tcPr>
          <w:p w14:paraId="4E0482E0">
            <w:pPr>
              <w:pStyle w:val="54"/>
              <w:adjustRightInd w:val="0"/>
              <w:snapToGrid w:val="0"/>
              <w:spacing w:line="460" w:lineRule="exact"/>
              <w:jc w:val="left"/>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新疆政府采购网（http://www.ccgp-xinjiang.gov.cn）</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lang w:val="en-US" w:eastAsia="zh-CN"/>
              </w:rPr>
              <w:t>中国政府采购网（http://www.ccgp.gov.cn/）</w:t>
            </w:r>
          </w:p>
        </w:tc>
      </w:tr>
      <w:tr w14:paraId="298078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7" w:hRule="atLeast"/>
        </w:trPr>
        <w:tc>
          <w:tcPr>
            <w:tcW w:w="1117" w:type="dxa"/>
            <w:tcBorders>
              <w:tl2br w:val="nil"/>
              <w:tr2bl w:val="nil"/>
            </w:tcBorders>
            <w:noWrap w:val="0"/>
            <w:vAlign w:val="center"/>
          </w:tcPr>
          <w:p w14:paraId="3A7C9C7A">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14</w:t>
            </w:r>
          </w:p>
        </w:tc>
        <w:tc>
          <w:tcPr>
            <w:tcW w:w="2071" w:type="dxa"/>
            <w:tcBorders>
              <w:tl2br w:val="nil"/>
              <w:tr2bl w:val="nil"/>
            </w:tcBorders>
            <w:noWrap w:val="0"/>
            <w:vAlign w:val="center"/>
          </w:tcPr>
          <w:p w14:paraId="56A451E7">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响应文件递交截止</w:t>
            </w:r>
            <w:r>
              <w:rPr>
                <w:rFonts w:hint="eastAsia" w:ascii="仿宋" w:hAnsi="仿宋" w:eastAsia="仿宋" w:cs="仿宋"/>
                <w:b/>
                <w:bCs/>
                <w:sz w:val="24"/>
                <w:szCs w:val="24"/>
                <w:highlight w:val="none"/>
                <w:lang w:val="en-US" w:eastAsia="zh-CN"/>
              </w:rPr>
              <w:t>地点及方式</w:t>
            </w:r>
          </w:p>
        </w:tc>
        <w:tc>
          <w:tcPr>
            <w:tcW w:w="7161" w:type="dxa"/>
            <w:tcBorders>
              <w:tl2br w:val="nil"/>
              <w:tr2bl w:val="nil"/>
            </w:tcBorders>
            <w:noWrap w:val="0"/>
            <w:vAlign w:val="center"/>
          </w:tcPr>
          <w:p w14:paraId="2D630533">
            <w:pPr>
              <w:pStyle w:val="54"/>
              <w:adjustRightInd w:val="0"/>
              <w:snapToGrid w:val="0"/>
              <w:spacing w:line="46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开标地点：墨玉县公共资源交易平台中心（墨玉县玉华社区院内）</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供应商无需到场</w:t>
            </w:r>
            <w:r>
              <w:rPr>
                <w:rFonts w:hint="eastAsia" w:ascii="仿宋" w:hAnsi="仿宋" w:eastAsia="仿宋" w:cs="仿宋"/>
                <w:color w:val="000000"/>
                <w:sz w:val="24"/>
                <w:szCs w:val="24"/>
                <w:highlight w:val="none"/>
                <w:lang w:eastAsia="zh-CN"/>
              </w:rPr>
              <w:t>）</w:t>
            </w:r>
          </w:p>
          <w:p w14:paraId="1D362B5C">
            <w:pPr>
              <w:pStyle w:val="54"/>
              <w:adjustRightInd w:val="0"/>
              <w:snapToGrid w:val="0"/>
              <w:spacing w:line="46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递交</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文件的地点及方式：投标人应</w:t>
            </w:r>
            <w:r>
              <w:rPr>
                <w:rFonts w:hint="eastAsia" w:ascii="仿宋" w:hAnsi="仿宋" w:eastAsia="仿宋" w:cs="仿宋"/>
                <w:color w:val="000000"/>
                <w:sz w:val="24"/>
                <w:szCs w:val="24"/>
                <w:highlight w:val="none"/>
                <w:lang w:eastAsia="zh-CN"/>
              </w:rPr>
              <w:t>2025年0</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eastAsia="zh-CN"/>
              </w:rPr>
              <w:t>月</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rPr>
              <w:t>11点00分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14:paraId="52C5C26A">
            <w:pPr>
              <w:pStyle w:val="54"/>
              <w:adjustRightInd w:val="0"/>
              <w:snapToGrid w:val="0"/>
              <w:spacing w:line="46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投标文件：开标结束后各投标人将上传政府采购网的投标文件使用A4纸胶装成册（1正2副）递交或邮寄至</w:t>
            </w:r>
            <w:r>
              <w:rPr>
                <w:rFonts w:hint="eastAsia" w:ascii="仿宋" w:hAnsi="仿宋" w:eastAsia="仿宋" w:cs="仿宋"/>
                <w:color w:val="000000"/>
                <w:sz w:val="24"/>
                <w:szCs w:val="24"/>
                <w:highlight w:val="none"/>
                <w:lang w:eastAsia="zh-CN"/>
              </w:rPr>
              <w:t xml:space="preserve">墨玉县乐民社区B栋二楼 </w:t>
            </w:r>
            <w:r>
              <w:rPr>
                <w:rFonts w:hint="eastAsia" w:ascii="仿宋" w:hAnsi="仿宋" w:eastAsia="仿宋" w:cs="仿宋"/>
                <w:color w:val="000000"/>
                <w:sz w:val="24"/>
                <w:szCs w:val="24"/>
                <w:highlight w:val="none"/>
              </w:rPr>
              <w:t>，邮寄不支持到付件。</w:t>
            </w:r>
          </w:p>
        </w:tc>
      </w:tr>
      <w:tr w14:paraId="5A215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7" w:hRule="atLeast"/>
        </w:trPr>
        <w:tc>
          <w:tcPr>
            <w:tcW w:w="1117" w:type="dxa"/>
            <w:tcBorders>
              <w:tl2br w:val="nil"/>
              <w:tr2bl w:val="nil"/>
            </w:tcBorders>
            <w:noWrap w:val="0"/>
            <w:vAlign w:val="center"/>
          </w:tcPr>
          <w:p w14:paraId="790DCED2">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15</w:t>
            </w:r>
          </w:p>
        </w:tc>
        <w:tc>
          <w:tcPr>
            <w:tcW w:w="2071" w:type="dxa"/>
            <w:tcBorders>
              <w:tl2br w:val="nil"/>
              <w:tr2bl w:val="nil"/>
            </w:tcBorders>
            <w:noWrap w:val="0"/>
            <w:vAlign w:val="center"/>
          </w:tcPr>
          <w:p w14:paraId="161902EE">
            <w:pPr>
              <w:pStyle w:val="54"/>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响应文件解密</w:t>
            </w:r>
            <w:r>
              <w:rPr>
                <w:rFonts w:hint="eastAsia" w:ascii="仿宋" w:hAnsi="仿宋" w:eastAsia="仿宋" w:cs="仿宋"/>
                <w:b/>
                <w:bCs/>
                <w:sz w:val="24"/>
                <w:szCs w:val="24"/>
                <w:highlight w:val="none"/>
              </w:rPr>
              <w:t>时间</w:t>
            </w:r>
          </w:p>
        </w:tc>
        <w:tc>
          <w:tcPr>
            <w:tcW w:w="7161" w:type="dxa"/>
            <w:tcBorders>
              <w:tl2br w:val="nil"/>
              <w:tr2bl w:val="nil"/>
            </w:tcBorders>
            <w:noWrap w:val="0"/>
            <w:vAlign w:val="center"/>
          </w:tcPr>
          <w:p w14:paraId="4F0D585D">
            <w:pPr>
              <w:pStyle w:val="56"/>
              <w:spacing w:line="460" w:lineRule="exact"/>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采用不见面开标：</w:t>
            </w:r>
          </w:p>
          <w:p w14:paraId="1A9FDB26">
            <w:pPr>
              <w:pStyle w:val="56"/>
              <w:spacing w:line="46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2025年07月21日</w:t>
            </w:r>
            <w:r>
              <w:rPr>
                <w:rFonts w:hint="eastAsia" w:ascii="仿宋" w:hAnsi="仿宋" w:eastAsia="仿宋" w:cs="仿宋"/>
                <w:color w:val="000000"/>
                <w:sz w:val="24"/>
                <w:szCs w:val="24"/>
                <w:highlight w:val="none"/>
              </w:rPr>
              <w:t>11：00-1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0（北京时间）前供应商可以登录“政采云”平台，用“项目采购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开标评标”功能进行解密投标文件。若供应商在规定时间内（</w:t>
            </w:r>
            <w:r>
              <w:rPr>
                <w:rFonts w:hint="eastAsia" w:ascii="仿宋" w:hAnsi="仿宋" w:eastAsia="仿宋" w:cs="仿宋"/>
                <w:color w:val="000000"/>
                <w:sz w:val="24"/>
                <w:szCs w:val="24"/>
                <w:highlight w:val="none"/>
                <w:lang w:eastAsia="zh-CN"/>
              </w:rPr>
              <w:t>2025年07月21日</w:t>
            </w:r>
            <w:r>
              <w:rPr>
                <w:rFonts w:hint="eastAsia" w:ascii="仿宋" w:hAnsi="仿宋" w:eastAsia="仿宋" w:cs="仿宋"/>
                <w:color w:val="000000"/>
                <w:sz w:val="24"/>
                <w:szCs w:val="24"/>
                <w:highlight w:val="none"/>
              </w:rPr>
              <w:t>上午1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0前）未按时解密的，视为投标文件撤回。</w:t>
            </w:r>
          </w:p>
          <w:p w14:paraId="2E024C2C">
            <w:pPr>
              <w:pStyle w:val="56"/>
              <w:spacing w:line="46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w:t>
            </w:r>
          </w:p>
          <w:p w14:paraId="3D687BCC">
            <w:pPr>
              <w:pStyle w:val="56"/>
              <w:spacing w:line="46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1、不见面开标默认解密时长</w:t>
            </w:r>
            <w:r>
              <w:rPr>
                <w:rFonts w:hint="eastAsia" w:ascii="仿宋" w:hAnsi="仿宋" w:eastAsia="仿宋" w:cs="仿宋"/>
                <w:color w:val="000000"/>
                <w:sz w:val="24"/>
                <w:szCs w:val="24"/>
                <w:highlight w:val="none"/>
                <w:u w:val="none"/>
              </w:rPr>
              <w:t>：</w:t>
            </w:r>
            <w:r>
              <w:rPr>
                <w:rFonts w:hint="eastAsia" w:ascii="仿宋" w:hAnsi="仿宋" w:eastAsia="仿宋" w:cs="仿宋"/>
                <w:color w:val="000000"/>
                <w:sz w:val="24"/>
                <w:szCs w:val="24"/>
                <w:highlight w:val="none"/>
                <w:u w:val="single"/>
                <w:lang w:val="en-US" w:eastAsia="zh-CN"/>
              </w:rPr>
              <w:t>30</w:t>
            </w:r>
            <w:r>
              <w:rPr>
                <w:rFonts w:hint="eastAsia" w:ascii="仿宋" w:hAnsi="仿宋" w:eastAsia="仿宋" w:cs="仿宋"/>
                <w:color w:val="000000"/>
                <w:sz w:val="24"/>
                <w:szCs w:val="24"/>
                <w:highlight w:val="none"/>
                <w:u w:val="single"/>
              </w:rPr>
              <w:t>分钟</w:t>
            </w:r>
          </w:p>
          <w:p w14:paraId="0436E65E">
            <w:pPr>
              <w:pStyle w:val="56"/>
              <w:spacing w:line="460" w:lineRule="exact"/>
              <w:outlineLvl w:val="9"/>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2、本项目采用远程不见面</w:t>
            </w:r>
            <w:r>
              <w:rPr>
                <w:rFonts w:hint="eastAsia" w:ascii="仿宋" w:hAnsi="仿宋" w:eastAsia="仿宋" w:cs="仿宋"/>
                <w:color w:val="000000"/>
                <w:sz w:val="24"/>
                <w:szCs w:val="24"/>
                <w:highlight w:val="none"/>
                <w:lang w:val="en-US" w:eastAsia="zh-CN"/>
              </w:rPr>
              <w:t>开评标</w:t>
            </w:r>
            <w:r>
              <w:rPr>
                <w:rFonts w:hint="eastAsia" w:ascii="仿宋" w:hAnsi="仿宋" w:eastAsia="仿宋" w:cs="仿宋"/>
                <w:color w:val="000000"/>
                <w:sz w:val="24"/>
                <w:szCs w:val="24"/>
                <w:highlight w:val="none"/>
              </w:rPr>
              <w:t>的模式</w:t>
            </w:r>
            <w:r>
              <w:rPr>
                <w:rFonts w:hint="eastAsia" w:ascii="仿宋" w:hAnsi="仿宋" w:eastAsia="仿宋" w:cs="仿宋"/>
                <w:b/>
                <w:color w:val="000000"/>
                <w:sz w:val="24"/>
                <w:szCs w:val="24"/>
                <w:highlight w:val="none"/>
              </w:rPr>
              <w:t>。</w:t>
            </w:r>
          </w:p>
          <w:p w14:paraId="2AD6CB3A">
            <w:pPr>
              <w:pStyle w:val="56"/>
              <w:spacing w:line="460" w:lineRule="exact"/>
              <w:outlineLvl w:val="9"/>
              <w:rPr>
                <w:rFonts w:hint="eastAsia" w:ascii="仿宋" w:hAnsi="仿宋" w:eastAsia="仿宋" w:cs="仿宋"/>
                <w:color w:val="000000"/>
                <w:sz w:val="24"/>
                <w:szCs w:val="24"/>
                <w:highlight w:val="none"/>
                <w:u w:val="single"/>
              </w:rPr>
            </w:pPr>
            <w:r>
              <w:rPr>
                <w:rFonts w:hint="eastAsia" w:ascii="仿宋" w:hAnsi="仿宋" w:eastAsia="仿宋" w:cs="仿宋"/>
                <w:b/>
                <w:color w:val="000000"/>
                <w:sz w:val="24"/>
                <w:szCs w:val="24"/>
                <w:highlight w:val="none"/>
              </w:rPr>
              <w:t>开标当日，投标人无需到达开标现场，仅需在任意地点通过政采云平台（</w:t>
            </w:r>
            <w:r>
              <w:rPr>
                <w:rFonts w:hint="eastAsia" w:ascii="仿宋" w:hAnsi="仿宋" w:eastAsia="仿宋" w:cs="仿宋"/>
                <w:b/>
                <w:color w:val="000000"/>
                <w:sz w:val="24"/>
                <w:szCs w:val="24"/>
                <w:highlight w:val="none"/>
                <w:lang w:eastAsia="zh-CN"/>
              </w:rPr>
              <w:t>https:</w:t>
            </w:r>
            <w:r>
              <w:rPr>
                <w:rFonts w:hint="eastAsia" w:ascii="仿宋" w:hAnsi="仿宋" w:eastAsia="仿宋" w:cs="仿宋"/>
                <w:b/>
                <w:color w:val="000000"/>
                <w:sz w:val="24"/>
                <w:szCs w:val="24"/>
                <w:highlight w:val="none"/>
              </w:rPr>
              <w:t>//www.zcygov.cn）不见面开标系统完成远程解密、提疑澄清、开标唱标等交互环节。投标人必须使用能正确解密投标文件的“CA锁”在规定的时间内完成远程解密，因投标人原因未能解密、解密失败或解密超时，视为投标人撤销其投标文件，默认自动放弃；因采购人原因或网上招投标平台发生故障，导致无法按时完成投标文件解密的，供应商需将未加密的投标文件提供给采购代理机构，采购代理机构通过异常处理端口上传、解密。（友情提示：投标人编制标书的CA需与解密CA保持一致）。</w:t>
            </w:r>
          </w:p>
        </w:tc>
      </w:tr>
      <w:tr w14:paraId="4E634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1117" w:type="dxa"/>
            <w:tcBorders>
              <w:tl2br w:val="nil"/>
              <w:tr2bl w:val="nil"/>
            </w:tcBorders>
            <w:noWrap w:val="0"/>
            <w:vAlign w:val="center"/>
          </w:tcPr>
          <w:p w14:paraId="78D546BD">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16</w:t>
            </w:r>
          </w:p>
        </w:tc>
        <w:tc>
          <w:tcPr>
            <w:tcW w:w="2071" w:type="dxa"/>
            <w:tcBorders>
              <w:tl2br w:val="nil"/>
              <w:tr2bl w:val="nil"/>
            </w:tcBorders>
            <w:noWrap w:val="0"/>
            <w:vAlign w:val="center"/>
          </w:tcPr>
          <w:p w14:paraId="6AA45FC8">
            <w:pPr>
              <w:pStyle w:val="54"/>
              <w:adjustRightInd w:val="0"/>
              <w:snapToGrid w:val="0"/>
              <w:spacing w:line="460" w:lineRule="exact"/>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磋商小组的组建及评审专家的确定方式</w:t>
            </w:r>
          </w:p>
        </w:tc>
        <w:tc>
          <w:tcPr>
            <w:tcW w:w="7161" w:type="dxa"/>
            <w:tcBorders>
              <w:tl2br w:val="nil"/>
              <w:tr2bl w:val="nil"/>
            </w:tcBorders>
            <w:noWrap w:val="0"/>
            <w:vAlign w:val="center"/>
          </w:tcPr>
          <w:p w14:paraId="593D99D3">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招标</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依法组建磋商小组共</w:t>
            </w:r>
            <w:r>
              <w:rPr>
                <w:rFonts w:hint="eastAsia" w:ascii="仿宋" w:hAnsi="仿宋" w:eastAsia="仿宋" w:cs="仿宋"/>
                <w:sz w:val="24"/>
                <w:szCs w:val="24"/>
                <w:highlight w:val="none"/>
                <w:u w:val="single"/>
              </w:rPr>
              <w:t xml:space="preserve"> 3 </w:t>
            </w:r>
            <w:r>
              <w:rPr>
                <w:rFonts w:hint="eastAsia" w:ascii="仿宋" w:hAnsi="仿宋" w:eastAsia="仿宋" w:cs="仿宋"/>
                <w:sz w:val="24"/>
                <w:szCs w:val="24"/>
                <w:highlight w:val="none"/>
              </w:rPr>
              <w:t>人组成，由采购人代表</w:t>
            </w:r>
            <w:r>
              <w:rPr>
                <w:rFonts w:hint="eastAsia" w:ascii="仿宋" w:hAnsi="仿宋" w:eastAsia="仿宋" w:cs="仿宋"/>
                <w:sz w:val="24"/>
                <w:szCs w:val="24"/>
                <w:highlight w:val="none"/>
                <w:u w:val="single"/>
                <w:lang w:val="en-US" w:eastAsia="zh-CN"/>
              </w:rPr>
              <w:t xml:space="preserve"> 1 </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和专家评委</w:t>
            </w:r>
            <w:r>
              <w:rPr>
                <w:rFonts w:hint="eastAsia" w:ascii="仿宋" w:hAnsi="仿宋" w:eastAsia="仿宋" w:cs="仿宋"/>
                <w:sz w:val="24"/>
                <w:szCs w:val="24"/>
                <w:highlight w:val="none"/>
                <w:u w:val="single"/>
                <w:lang w:val="en-US" w:eastAsia="zh-CN"/>
              </w:rPr>
              <w:t xml:space="preserve"> 2 </w:t>
            </w:r>
            <w:r>
              <w:rPr>
                <w:rFonts w:hint="eastAsia" w:ascii="仿宋" w:hAnsi="仿宋" w:eastAsia="仿宋" w:cs="仿宋"/>
                <w:sz w:val="24"/>
                <w:szCs w:val="24"/>
                <w:highlight w:val="none"/>
              </w:rPr>
              <w:t>组成。</w:t>
            </w:r>
          </w:p>
          <w:p w14:paraId="7733D0E9">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小组确定方式：由招标代理在开标前48小时在新疆政府采购网专家库中随机抽取此次评标专家</w:t>
            </w:r>
          </w:p>
        </w:tc>
      </w:tr>
      <w:tr w14:paraId="58B1E4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1" w:hRule="atLeast"/>
        </w:trPr>
        <w:tc>
          <w:tcPr>
            <w:tcW w:w="1117" w:type="dxa"/>
            <w:vMerge w:val="restart"/>
            <w:tcBorders>
              <w:tl2br w:val="nil"/>
              <w:tr2bl w:val="nil"/>
            </w:tcBorders>
            <w:noWrap w:val="0"/>
            <w:vAlign w:val="center"/>
          </w:tcPr>
          <w:p w14:paraId="2AE16A75">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w:t>
            </w:r>
          </w:p>
        </w:tc>
        <w:tc>
          <w:tcPr>
            <w:tcW w:w="2071" w:type="dxa"/>
            <w:vMerge w:val="restart"/>
            <w:tcBorders>
              <w:tl2br w:val="nil"/>
              <w:tr2bl w:val="nil"/>
            </w:tcBorders>
            <w:noWrap w:val="0"/>
            <w:vAlign w:val="center"/>
          </w:tcPr>
          <w:p w14:paraId="6C6FDCD9">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磋商保证金</w:t>
            </w:r>
          </w:p>
        </w:tc>
        <w:tc>
          <w:tcPr>
            <w:tcW w:w="7161" w:type="dxa"/>
            <w:tcBorders>
              <w:tl2br w:val="nil"/>
              <w:tr2bl w:val="nil"/>
            </w:tcBorders>
            <w:noWrap w:val="0"/>
            <w:vAlign w:val="center"/>
          </w:tcPr>
          <w:p w14:paraId="737B7C1D">
            <w:pPr>
              <w:pStyle w:val="16"/>
              <w:spacing w:line="460" w:lineRule="exact"/>
              <w:outlineLvl w:val="9"/>
              <w:rPr>
                <w:rFonts w:hint="eastAsia" w:ascii="仿宋" w:hAnsi="仿宋" w:eastAsia="仿宋" w:cs="仿宋"/>
                <w:highlight w:val="none"/>
              </w:rPr>
            </w:pPr>
            <w:r>
              <w:rPr>
                <w:rFonts w:hint="eastAsia" w:ascii="仿宋" w:hAnsi="仿宋" w:eastAsia="仿宋" w:cs="仿宋"/>
                <w:kern w:val="0"/>
                <w:sz w:val="24"/>
                <w:highlight w:val="none"/>
              </w:rPr>
              <w:t>缴纳方式：电汇、转账、保函等非现金形式缴纳。</w:t>
            </w:r>
          </w:p>
        </w:tc>
      </w:tr>
      <w:tr w14:paraId="754D30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17" w:type="dxa"/>
            <w:vMerge w:val="continue"/>
            <w:tcBorders>
              <w:tl2br w:val="nil"/>
              <w:tr2bl w:val="nil"/>
            </w:tcBorders>
            <w:noWrap w:val="0"/>
            <w:vAlign w:val="center"/>
          </w:tcPr>
          <w:p w14:paraId="59561BA4">
            <w:pPr>
              <w:pStyle w:val="14"/>
              <w:snapToGrid w:val="0"/>
              <w:spacing w:line="460" w:lineRule="exact"/>
              <w:outlineLvl w:val="9"/>
              <w:rPr>
                <w:rFonts w:hint="eastAsia" w:ascii="仿宋" w:hAnsi="仿宋" w:eastAsia="仿宋" w:cs="仿宋"/>
                <w:highlight w:val="none"/>
              </w:rPr>
            </w:pPr>
          </w:p>
        </w:tc>
        <w:tc>
          <w:tcPr>
            <w:tcW w:w="2071" w:type="dxa"/>
            <w:vMerge w:val="continue"/>
            <w:tcBorders>
              <w:tl2br w:val="nil"/>
              <w:tr2bl w:val="nil"/>
            </w:tcBorders>
            <w:noWrap w:val="0"/>
            <w:vAlign w:val="center"/>
          </w:tcPr>
          <w:p w14:paraId="1E685D79">
            <w:pPr>
              <w:pStyle w:val="14"/>
              <w:snapToGrid w:val="0"/>
              <w:spacing w:line="460" w:lineRule="exact"/>
              <w:outlineLvl w:val="9"/>
              <w:rPr>
                <w:rFonts w:hint="eastAsia" w:ascii="仿宋" w:hAnsi="仿宋" w:eastAsia="仿宋" w:cs="仿宋"/>
                <w:highlight w:val="none"/>
              </w:rPr>
            </w:pPr>
          </w:p>
        </w:tc>
        <w:tc>
          <w:tcPr>
            <w:tcW w:w="7161" w:type="dxa"/>
            <w:tcBorders>
              <w:tl2br w:val="nil"/>
              <w:tr2bl w:val="nil"/>
            </w:tcBorders>
            <w:noWrap w:val="0"/>
            <w:vAlign w:val="center"/>
          </w:tcPr>
          <w:p w14:paraId="18A53C4B">
            <w:pPr>
              <w:pStyle w:val="56"/>
              <w:spacing w:line="46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金额（小写）：</w:t>
            </w:r>
            <w:r>
              <w:rPr>
                <w:rFonts w:hint="eastAsia" w:ascii="仿宋" w:hAnsi="仿宋" w:eastAsia="仿宋" w:cs="仿宋"/>
                <w:color w:val="000000"/>
                <w:sz w:val="24"/>
                <w:szCs w:val="24"/>
                <w:highlight w:val="none"/>
                <w:u w:val="single"/>
                <w:lang w:val="en-US" w:eastAsia="zh-CN"/>
              </w:rPr>
              <w:t>7000.00</w:t>
            </w:r>
            <w:r>
              <w:rPr>
                <w:rFonts w:hint="eastAsia" w:ascii="仿宋" w:hAnsi="仿宋" w:eastAsia="仿宋" w:cs="仿宋"/>
                <w:color w:val="000000"/>
                <w:sz w:val="24"/>
                <w:szCs w:val="24"/>
                <w:highlight w:val="none"/>
                <w:u w:val="none"/>
              </w:rPr>
              <w:t>元</w:t>
            </w:r>
          </w:p>
          <w:p w14:paraId="397076AA">
            <w:pPr>
              <w:pStyle w:val="56"/>
              <w:spacing w:line="460" w:lineRule="exact"/>
              <w:outlineLvl w:val="9"/>
              <w:rPr>
                <w:rFonts w:hint="eastAsia" w:ascii="仿宋" w:hAnsi="仿宋" w:eastAsia="仿宋" w:cs="仿宋"/>
                <w:szCs w:val="21"/>
                <w:highlight w:val="none"/>
                <w:lang w:eastAsia="zh-CN"/>
              </w:rPr>
            </w:pPr>
            <w:r>
              <w:rPr>
                <w:rFonts w:hint="eastAsia" w:ascii="仿宋" w:hAnsi="仿宋" w:eastAsia="仿宋" w:cs="仿宋"/>
                <w:color w:val="000000"/>
                <w:sz w:val="24"/>
                <w:szCs w:val="24"/>
                <w:highlight w:val="none"/>
              </w:rPr>
              <w:t>金额（大写）：</w:t>
            </w:r>
            <w:r>
              <w:rPr>
                <w:rFonts w:hint="eastAsia" w:ascii="仿宋" w:hAnsi="仿宋" w:eastAsia="仿宋" w:cs="仿宋"/>
                <w:color w:val="000000"/>
                <w:sz w:val="24"/>
                <w:szCs w:val="24"/>
                <w:highlight w:val="none"/>
                <w:u w:val="single"/>
                <w:lang w:val="en-US" w:eastAsia="zh-CN"/>
              </w:rPr>
              <w:t>柒仟元整</w:t>
            </w:r>
          </w:p>
        </w:tc>
      </w:tr>
      <w:tr w14:paraId="21F1A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1" w:hRule="atLeast"/>
        </w:trPr>
        <w:tc>
          <w:tcPr>
            <w:tcW w:w="1117" w:type="dxa"/>
            <w:vMerge w:val="continue"/>
            <w:tcBorders>
              <w:tl2br w:val="nil"/>
              <w:tr2bl w:val="nil"/>
            </w:tcBorders>
            <w:noWrap w:val="0"/>
            <w:vAlign w:val="center"/>
          </w:tcPr>
          <w:p w14:paraId="6F1B8560">
            <w:pPr>
              <w:pStyle w:val="14"/>
              <w:snapToGrid w:val="0"/>
              <w:spacing w:line="460" w:lineRule="exact"/>
              <w:outlineLvl w:val="9"/>
              <w:rPr>
                <w:rFonts w:hint="eastAsia" w:ascii="仿宋" w:hAnsi="仿宋" w:eastAsia="仿宋" w:cs="仿宋"/>
                <w:sz w:val="24"/>
                <w:szCs w:val="24"/>
                <w:highlight w:val="none"/>
              </w:rPr>
            </w:pPr>
          </w:p>
        </w:tc>
        <w:tc>
          <w:tcPr>
            <w:tcW w:w="2071" w:type="dxa"/>
            <w:vMerge w:val="continue"/>
            <w:tcBorders>
              <w:tl2br w:val="nil"/>
              <w:tr2bl w:val="nil"/>
            </w:tcBorders>
            <w:noWrap w:val="0"/>
            <w:vAlign w:val="center"/>
          </w:tcPr>
          <w:p w14:paraId="06B495AC">
            <w:pPr>
              <w:pStyle w:val="14"/>
              <w:snapToGrid w:val="0"/>
              <w:spacing w:line="460" w:lineRule="exact"/>
              <w:outlineLvl w:val="9"/>
              <w:rPr>
                <w:rFonts w:hint="eastAsia" w:ascii="仿宋" w:hAnsi="仿宋" w:eastAsia="仿宋" w:cs="仿宋"/>
                <w:sz w:val="24"/>
                <w:szCs w:val="24"/>
                <w:highlight w:val="none"/>
              </w:rPr>
            </w:pPr>
          </w:p>
        </w:tc>
        <w:tc>
          <w:tcPr>
            <w:tcW w:w="7161" w:type="dxa"/>
            <w:tcBorders>
              <w:tl2br w:val="nil"/>
              <w:tr2bl w:val="nil"/>
            </w:tcBorders>
            <w:noWrap w:val="0"/>
            <w:vAlign w:val="center"/>
          </w:tcPr>
          <w:p w14:paraId="50A39900">
            <w:pPr>
              <w:pStyle w:val="30"/>
              <w:spacing w:line="460" w:lineRule="exact"/>
              <w:outlineLvl w:val="9"/>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银行账号：</w:t>
            </w:r>
          </w:p>
          <w:p w14:paraId="4EDEEB8A">
            <w:pPr>
              <w:pStyle w:val="56"/>
              <w:spacing w:line="460" w:lineRule="exact"/>
              <w:outlineLvl w:val="9"/>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单位名称：墨玉县公共资源交易平台中心</w:t>
            </w:r>
          </w:p>
          <w:p w14:paraId="7DE1F75B">
            <w:pPr>
              <w:pStyle w:val="56"/>
              <w:spacing w:line="460" w:lineRule="exact"/>
              <w:outlineLvl w:val="9"/>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开户银行：新疆和田农村商业银行股份有限公司墨玉支行</w:t>
            </w:r>
          </w:p>
          <w:p w14:paraId="16C08AEA">
            <w:pPr>
              <w:pStyle w:val="56"/>
              <w:spacing w:line="460" w:lineRule="exact"/>
              <w:outlineLvl w:val="9"/>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账    号：879010012010178915451</w:t>
            </w:r>
          </w:p>
          <w:p w14:paraId="27FC8208">
            <w:pPr>
              <w:pStyle w:val="55"/>
              <w:ind w:left="0" w:leftChars="0" w:firstLine="0" w:firstLineChars="0"/>
              <w:outlineLvl w:val="9"/>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行    号：402896300016</w:t>
            </w:r>
          </w:p>
          <w:p w14:paraId="15468263">
            <w:pPr>
              <w:pStyle w:val="55"/>
              <w:ind w:left="0" w:leftChars="0" w:firstLine="0" w:firstLineChars="0"/>
              <w:outlineLvl w:val="9"/>
              <w:rPr>
                <w:rFonts w:hint="eastAsia" w:ascii="仿宋" w:hAnsi="仿宋" w:eastAsia="仿宋" w:cs="仿宋"/>
                <w:highlight w:val="none"/>
                <w:lang w:val="en-US"/>
              </w:rPr>
            </w:pPr>
            <w:r>
              <w:rPr>
                <w:rFonts w:hint="eastAsia" w:ascii="仿宋" w:hAnsi="仿宋" w:eastAsia="仿宋" w:cs="仿宋"/>
                <w:bCs/>
                <w:kern w:val="2"/>
                <w:sz w:val="24"/>
                <w:szCs w:val="24"/>
                <w:highlight w:val="none"/>
                <w:lang w:val="en-US" w:eastAsia="zh-CN" w:bidi="ar-SA"/>
              </w:rPr>
              <w:t>联系电话：0903-7863806</w:t>
            </w:r>
          </w:p>
        </w:tc>
      </w:tr>
      <w:tr w14:paraId="4BFC1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17" w:type="dxa"/>
            <w:vMerge w:val="continue"/>
            <w:tcBorders>
              <w:tl2br w:val="nil"/>
              <w:tr2bl w:val="nil"/>
            </w:tcBorders>
            <w:noWrap w:val="0"/>
            <w:vAlign w:val="center"/>
          </w:tcPr>
          <w:p w14:paraId="16F9360B">
            <w:pPr>
              <w:pStyle w:val="14"/>
              <w:snapToGrid w:val="0"/>
              <w:spacing w:line="460" w:lineRule="exact"/>
              <w:outlineLvl w:val="9"/>
              <w:rPr>
                <w:rFonts w:hint="eastAsia" w:ascii="仿宋" w:hAnsi="仿宋" w:eastAsia="仿宋" w:cs="仿宋"/>
                <w:sz w:val="24"/>
                <w:szCs w:val="24"/>
                <w:highlight w:val="none"/>
              </w:rPr>
            </w:pPr>
          </w:p>
        </w:tc>
        <w:tc>
          <w:tcPr>
            <w:tcW w:w="2071" w:type="dxa"/>
            <w:vMerge w:val="continue"/>
            <w:tcBorders>
              <w:tl2br w:val="nil"/>
              <w:tr2bl w:val="nil"/>
            </w:tcBorders>
            <w:noWrap w:val="0"/>
            <w:vAlign w:val="center"/>
          </w:tcPr>
          <w:p w14:paraId="3D6CC1D4">
            <w:pPr>
              <w:pStyle w:val="14"/>
              <w:snapToGrid w:val="0"/>
              <w:spacing w:line="460" w:lineRule="exact"/>
              <w:outlineLvl w:val="9"/>
              <w:rPr>
                <w:rFonts w:hint="eastAsia" w:ascii="仿宋" w:hAnsi="仿宋" w:eastAsia="仿宋" w:cs="仿宋"/>
                <w:sz w:val="24"/>
                <w:szCs w:val="24"/>
                <w:highlight w:val="none"/>
              </w:rPr>
            </w:pPr>
          </w:p>
        </w:tc>
        <w:tc>
          <w:tcPr>
            <w:tcW w:w="7161" w:type="dxa"/>
            <w:tcBorders>
              <w:tl2br w:val="nil"/>
              <w:tr2bl w:val="nil"/>
            </w:tcBorders>
            <w:noWrap w:val="0"/>
            <w:vAlign w:val="center"/>
          </w:tcPr>
          <w:p w14:paraId="2940B6DF">
            <w:pPr>
              <w:pStyle w:val="43"/>
              <w:spacing w:line="460" w:lineRule="exact"/>
              <w:outlineLvl w:val="9"/>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注：</w:t>
            </w:r>
            <w:r>
              <w:rPr>
                <w:rFonts w:hint="eastAsia" w:ascii="仿宋" w:hAnsi="仿宋" w:eastAsia="仿宋" w:cs="仿宋"/>
                <w:bCs/>
                <w:sz w:val="24"/>
                <w:szCs w:val="24"/>
                <w:highlight w:val="none"/>
              </w:rPr>
              <w:t>1、磋商保证金必须从企业基</w:t>
            </w:r>
            <w:r>
              <w:rPr>
                <w:rFonts w:hint="eastAsia" w:ascii="仿宋" w:hAnsi="仿宋" w:eastAsia="仿宋" w:cs="仿宋"/>
                <w:bCs/>
                <w:sz w:val="24"/>
                <w:szCs w:val="24"/>
                <w:highlight w:val="none"/>
                <w:lang w:val="en-US" w:eastAsia="zh-CN"/>
              </w:rPr>
              <w:t>本</w:t>
            </w:r>
            <w:r>
              <w:rPr>
                <w:rFonts w:hint="eastAsia" w:ascii="仿宋" w:hAnsi="仿宋" w:eastAsia="仿宋" w:cs="仿宋"/>
                <w:bCs/>
                <w:sz w:val="24"/>
                <w:szCs w:val="24"/>
                <w:highlight w:val="none"/>
              </w:rPr>
              <w:t>帐户缴纳至</w:t>
            </w:r>
            <w:r>
              <w:rPr>
                <w:rFonts w:hint="eastAsia" w:ascii="仿宋" w:hAnsi="仿宋" w:eastAsia="仿宋" w:cs="仿宋"/>
                <w:bCs/>
                <w:sz w:val="24"/>
                <w:szCs w:val="24"/>
                <w:highlight w:val="none"/>
                <w:lang w:val="en-US" w:eastAsia="zh-CN"/>
              </w:rPr>
              <w:t>墨玉县公共资源交易平台中心</w:t>
            </w:r>
            <w:r>
              <w:rPr>
                <w:rFonts w:hint="eastAsia" w:ascii="仿宋" w:hAnsi="仿宋" w:eastAsia="仿宋" w:cs="仿宋"/>
                <w:bCs/>
                <w:sz w:val="24"/>
                <w:szCs w:val="24"/>
                <w:highlight w:val="none"/>
              </w:rPr>
              <w:t>的账户。以个人、企业的办事处、分公司、子公司名义或从他人</w:t>
            </w:r>
            <w:r>
              <w:rPr>
                <w:rFonts w:hint="eastAsia" w:ascii="仿宋" w:hAnsi="仿宋" w:eastAsia="仿宋" w:cs="仿宋"/>
                <w:bCs/>
                <w:sz w:val="24"/>
                <w:szCs w:val="24"/>
                <w:highlight w:val="none"/>
                <w:lang w:eastAsia="zh-CN"/>
              </w:rPr>
              <w:t>账户</w:t>
            </w:r>
            <w:r>
              <w:rPr>
                <w:rFonts w:hint="eastAsia" w:ascii="仿宋" w:hAnsi="仿宋" w:eastAsia="仿宋" w:cs="仿宋"/>
                <w:bCs/>
                <w:sz w:val="24"/>
                <w:szCs w:val="24"/>
                <w:highlight w:val="none"/>
              </w:rPr>
              <w:t>、供应商企业的其他账户缴纳的磋商保证金无效</w:t>
            </w:r>
            <w:r>
              <w:rPr>
                <w:rFonts w:hint="eastAsia" w:ascii="仿宋" w:hAnsi="仿宋" w:eastAsia="仿宋" w:cs="仿宋"/>
                <w:sz w:val="24"/>
                <w:szCs w:val="24"/>
                <w:highlight w:val="none"/>
              </w:rPr>
              <w:t>。</w:t>
            </w:r>
          </w:p>
          <w:p w14:paraId="0DA42DE4">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2、磋商保证金必须在磋商截止时间前缴纳至</w:t>
            </w:r>
            <w:r>
              <w:rPr>
                <w:rFonts w:hint="eastAsia" w:ascii="仿宋" w:hAnsi="仿宋" w:eastAsia="仿宋" w:cs="仿宋"/>
                <w:sz w:val="24"/>
                <w:szCs w:val="24"/>
                <w:highlight w:val="none"/>
                <w:lang w:val="en-US" w:eastAsia="zh-CN"/>
              </w:rPr>
              <w:t>墨玉县公共资源交易平台中心</w:t>
            </w:r>
            <w:r>
              <w:rPr>
                <w:rFonts w:hint="eastAsia" w:ascii="仿宋" w:hAnsi="仿宋" w:eastAsia="仿宋" w:cs="仿宋"/>
                <w:bCs/>
                <w:sz w:val="24"/>
                <w:szCs w:val="24"/>
                <w:highlight w:val="none"/>
              </w:rPr>
              <w:t>账户</w:t>
            </w:r>
            <w:r>
              <w:rPr>
                <w:rFonts w:hint="eastAsia" w:ascii="仿宋" w:hAnsi="仿宋" w:eastAsia="仿宋" w:cs="仿宋"/>
                <w:sz w:val="24"/>
                <w:szCs w:val="24"/>
                <w:highlight w:val="none"/>
              </w:rPr>
              <w:t>。供应商需自行评估因异地、跨行、公休日等因素造成的磋商保证金到账延迟风险，并承担相应责任。</w:t>
            </w:r>
          </w:p>
          <w:p w14:paraId="0E46610E">
            <w:pPr>
              <w:pStyle w:val="56"/>
              <w:spacing w:line="460" w:lineRule="exact"/>
              <w:outlineLvl w:val="9"/>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3、到账截止时间：</w:t>
            </w:r>
            <w:r>
              <w:rPr>
                <w:rFonts w:hint="eastAsia" w:ascii="仿宋" w:hAnsi="仿宋" w:eastAsia="仿宋" w:cs="仿宋"/>
                <w:color w:val="000000"/>
                <w:sz w:val="24"/>
                <w:szCs w:val="24"/>
                <w:highlight w:val="none"/>
                <w:lang w:eastAsia="zh-CN"/>
              </w:rPr>
              <w:t>2025年07月21日</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时00分（北京时间）（以银行记录确认到账为准）。</w:t>
            </w:r>
          </w:p>
          <w:p w14:paraId="356CC978">
            <w:pPr>
              <w:pStyle w:val="55"/>
              <w:outlineLvl w:val="9"/>
              <w:rPr>
                <w:rFonts w:hint="eastAsia" w:ascii="仿宋" w:hAnsi="仿宋" w:eastAsia="仿宋" w:cs="仿宋"/>
                <w:highlight w:val="none"/>
              </w:rPr>
            </w:pPr>
            <w:r>
              <w:rPr>
                <w:rFonts w:hint="eastAsia" w:ascii="仿宋" w:hAnsi="仿宋" w:eastAsia="仿宋" w:cs="仿宋"/>
                <w:b/>
                <w:bCs/>
                <w:kern w:val="0"/>
                <w:sz w:val="24"/>
                <w:highlight w:val="none"/>
              </w:rPr>
              <w:t>注：打款时须注明项目名称（可简称），未按以上要求办理磋商保证金的，所造成的后果由投标人自行承担。</w:t>
            </w:r>
          </w:p>
        </w:tc>
      </w:tr>
      <w:tr w14:paraId="49151E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8" w:hRule="atLeast"/>
        </w:trPr>
        <w:tc>
          <w:tcPr>
            <w:tcW w:w="1117" w:type="dxa"/>
            <w:vMerge w:val="continue"/>
            <w:tcBorders>
              <w:tl2br w:val="nil"/>
              <w:tr2bl w:val="nil"/>
            </w:tcBorders>
            <w:noWrap w:val="0"/>
            <w:vAlign w:val="center"/>
          </w:tcPr>
          <w:p w14:paraId="4DCB1A8E">
            <w:pPr>
              <w:pStyle w:val="14"/>
              <w:snapToGrid w:val="0"/>
              <w:spacing w:line="460" w:lineRule="exact"/>
              <w:outlineLvl w:val="9"/>
              <w:rPr>
                <w:rFonts w:hint="eastAsia" w:ascii="仿宋" w:hAnsi="仿宋" w:eastAsia="仿宋" w:cs="仿宋"/>
                <w:sz w:val="24"/>
                <w:szCs w:val="24"/>
                <w:highlight w:val="none"/>
              </w:rPr>
            </w:pPr>
          </w:p>
        </w:tc>
        <w:tc>
          <w:tcPr>
            <w:tcW w:w="2071" w:type="dxa"/>
            <w:vMerge w:val="continue"/>
            <w:tcBorders>
              <w:tl2br w:val="nil"/>
              <w:tr2bl w:val="nil"/>
            </w:tcBorders>
            <w:noWrap w:val="0"/>
            <w:vAlign w:val="center"/>
          </w:tcPr>
          <w:p w14:paraId="1981BEBA">
            <w:pPr>
              <w:pStyle w:val="14"/>
              <w:snapToGrid w:val="0"/>
              <w:spacing w:line="460" w:lineRule="exact"/>
              <w:outlineLvl w:val="9"/>
              <w:rPr>
                <w:rFonts w:hint="eastAsia" w:ascii="仿宋" w:hAnsi="仿宋" w:eastAsia="仿宋" w:cs="仿宋"/>
                <w:sz w:val="24"/>
                <w:szCs w:val="24"/>
                <w:highlight w:val="none"/>
              </w:rPr>
            </w:pPr>
          </w:p>
        </w:tc>
        <w:tc>
          <w:tcPr>
            <w:tcW w:w="7161" w:type="dxa"/>
            <w:tcBorders>
              <w:tl2br w:val="nil"/>
              <w:tr2bl w:val="nil"/>
            </w:tcBorders>
            <w:noWrap w:val="0"/>
            <w:vAlign w:val="center"/>
          </w:tcPr>
          <w:p w14:paraId="028B94A4">
            <w:pPr>
              <w:pStyle w:val="55"/>
              <w:spacing w:line="460" w:lineRule="exact"/>
              <w:ind w:firstLine="0" w:firstLineChars="0"/>
              <w:outlineLvl w:val="9"/>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采用电子保函形式应按以下要求办理：</w:t>
            </w:r>
          </w:p>
          <w:p w14:paraId="0255D251">
            <w:pPr>
              <w:pStyle w:val="55"/>
              <w:spacing w:line="460" w:lineRule="exact"/>
              <w:ind w:firstLine="0" w:firstLineChars="0"/>
              <w:outlineLvl w:val="9"/>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（1）电子保函按照“一标段一保函”的原则。</w:t>
            </w:r>
          </w:p>
          <w:p w14:paraId="3E74DEB5">
            <w:pPr>
              <w:pStyle w:val="55"/>
              <w:spacing w:line="460" w:lineRule="exact"/>
              <w:ind w:firstLine="0" w:firstLineChars="0"/>
              <w:outlineLvl w:val="9"/>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（2）电子保函须在招标文件规定的投标截止时间前办理完成。</w:t>
            </w:r>
          </w:p>
          <w:p w14:paraId="117B209D">
            <w:pPr>
              <w:pStyle w:val="55"/>
              <w:spacing w:line="460" w:lineRule="exact"/>
              <w:ind w:firstLine="0" w:firstLineChars="0"/>
              <w:outlineLvl w:val="9"/>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（3）具体办理流程详见新疆政府采购网《新疆政府采购电子保函操作流程》。</w:t>
            </w:r>
          </w:p>
          <w:p w14:paraId="7431B9A0">
            <w:pPr>
              <w:pStyle w:val="55"/>
              <w:spacing w:line="460" w:lineRule="exact"/>
              <w:ind w:firstLine="0" w:firstLineChars="0"/>
              <w:outlineLvl w:val="9"/>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保函投保金额</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rPr>
              <w:t>元</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lang w:val="en-US" w:eastAsia="zh-CN"/>
              </w:rPr>
              <w:t>7000.00元整（大写：柒仟元整）</w:t>
            </w:r>
          </w:p>
          <w:p w14:paraId="4CBCD4E2">
            <w:pPr>
              <w:pStyle w:val="55"/>
              <w:spacing w:line="460" w:lineRule="exact"/>
              <w:ind w:firstLine="0" w:firstLineChars="0"/>
              <w:outlineLvl w:val="9"/>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保函承保期限：</w:t>
            </w:r>
            <w:r>
              <w:rPr>
                <w:rFonts w:hint="eastAsia" w:ascii="仿宋" w:hAnsi="仿宋" w:eastAsia="仿宋" w:cs="仿宋"/>
                <w:sz w:val="24"/>
                <w:szCs w:val="24"/>
                <w:highlight w:val="none"/>
                <w:lang w:val="en-US" w:eastAsia="zh-CN"/>
              </w:rPr>
              <w:t>2025年07月21日11:00:00</w:t>
            </w:r>
            <w:r>
              <w:rPr>
                <w:rFonts w:hint="eastAsia" w:ascii="仿宋" w:hAnsi="仿宋" w:eastAsia="仿宋" w:cs="仿宋"/>
                <w:sz w:val="24"/>
                <w:szCs w:val="24"/>
                <w:highlight w:val="none"/>
                <w:lang w:val="en-US"/>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en-US"/>
              </w:rPr>
              <w:t>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lang w:val="en-US"/>
              </w:rPr>
              <w:t>日</w:t>
            </w:r>
            <w:r>
              <w:rPr>
                <w:rFonts w:hint="eastAsia" w:ascii="仿宋" w:hAnsi="仿宋" w:eastAsia="仿宋" w:cs="仿宋"/>
                <w:sz w:val="24"/>
                <w:szCs w:val="24"/>
                <w:highlight w:val="none"/>
                <w:lang w:val="en-US" w:eastAsia="zh-CN"/>
              </w:rPr>
              <w:t>11:00:00</w:t>
            </w:r>
            <w:r>
              <w:rPr>
                <w:rFonts w:hint="eastAsia" w:ascii="仿宋" w:hAnsi="仿宋" w:eastAsia="仿宋" w:cs="仿宋"/>
                <w:sz w:val="24"/>
                <w:szCs w:val="24"/>
                <w:highlight w:val="none"/>
                <w:lang w:val="en-US"/>
              </w:rPr>
              <w:t>（90日历天）</w:t>
            </w:r>
          </w:p>
          <w:p w14:paraId="7F2047A4">
            <w:pPr>
              <w:pStyle w:val="55"/>
              <w:spacing w:line="460" w:lineRule="exact"/>
              <w:outlineLvl w:val="9"/>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投标人以保函形式缴纳投标保证金的，应通过“新疆政府采购信用融资服务平台”，使用其企业CA证书申请购买电子投标保函。（备注：如采用电子保函形式缴纳的，在投标截止日之前须从新疆电子保函服务管理平台中确认是否生效。电子保函服务管理平台技术人员联系方式：95763）。</w:t>
            </w:r>
          </w:p>
          <w:p w14:paraId="2203A1E3">
            <w:pPr>
              <w:pStyle w:val="55"/>
              <w:spacing w:line="460" w:lineRule="exact"/>
              <w:ind w:left="0" w:leftChars="0" w:firstLine="0" w:firstLineChars="0"/>
              <w:outlineLvl w:val="9"/>
              <w:rPr>
                <w:rFonts w:hint="eastAsia" w:ascii="仿宋" w:hAnsi="仿宋" w:eastAsia="仿宋" w:cs="仿宋"/>
                <w:b/>
                <w:bCs/>
                <w:kern w:val="0"/>
                <w:sz w:val="24"/>
                <w:highlight w:val="none"/>
              </w:rPr>
            </w:pPr>
            <w:r>
              <w:rPr>
                <w:rFonts w:hint="eastAsia" w:ascii="仿宋" w:hAnsi="仿宋" w:eastAsia="仿宋" w:cs="仿宋"/>
                <w:sz w:val="24"/>
                <w:szCs w:val="24"/>
                <w:highlight w:val="none"/>
                <w:lang w:val="en-US"/>
              </w:rPr>
              <w:t>鼓励及提倡投标单位使用新疆政府采购电子保函进行投标。</w:t>
            </w:r>
          </w:p>
        </w:tc>
      </w:tr>
      <w:tr w14:paraId="1E7ADE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0" w:hRule="atLeast"/>
        </w:trPr>
        <w:tc>
          <w:tcPr>
            <w:tcW w:w="1117" w:type="dxa"/>
            <w:tcBorders>
              <w:tl2br w:val="nil"/>
              <w:tr2bl w:val="nil"/>
            </w:tcBorders>
            <w:noWrap w:val="0"/>
            <w:vAlign w:val="center"/>
          </w:tcPr>
          <w:p w14:paraId="0146BBA1">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18</w:t>
            </w:r>
          </w:p>
        </w:tc>
        <w:tc>
          <w:tcPr>
            <w:tcW w:w="2071" w:type="dxa"/>
            <w:tcBorders>
              <w:tl2br w:val="nil"/>
              <w:tr2bl w:val="nil"/>
            </w:tcBorders>
            <w:noWrap w:val="0"/>
            <w:vAlign w:val="center"/>
          </w:tcPr>
          <w:p w14:paraId="09BD4137">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评审办法</w:t>
            </w:r>
          </w:p>
        </w:tc>
        <w:tc>
          <w:tcPr>
            <w:tcW w:w="7161" w:type="dxa"/>
            <w:tcBorders>
              <w:tl2br w:val="nil"/>
              <w:tr2bl w:val="nil"/>
            </w:tcBorders>
            <w:noWrap w:val="0"/>
            <w:vAlign w:val="center"/>
          </w:tcPr>
          <w:p w14:paraId="6EB6B976">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b/>
                <w:sz w:val="24"/>
                <w:szCs w:val="24"/>
                <w:highlight w:val="none"/>
              </w:rPr>
              <w:t>综合评分法</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是指在最大限度地满足招标文件实质性要求前提下，按照招标文件中规定的评分细则评审后，以评标最终得分最高的投标人作为中标人的评标方法。每一投标人的最终得分为所有评委评分的算术平均值。得分相同的，报价较低的一方为中标人。得分且投标报价相同的，技术指标较优的一方为中标人。</w:t>
            </w:r>
          </w:p>
        </w:tc>
      </w:tr>
      <w:tr w14:paraId="01AA02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trPr>
        <w:tc>
          <w:tcPr>
            <w:tcW w:w="1117" w:type="dxa"/>
            <w:tcBorders>
              <w:tl2br w:val="nil"/>
              <w:tr2bl w:val="nil"/>
            </w:tcBorders>
            <w:noWrap w:val="0"/>
            <w:vAlign w:val="center"/>
          </w:tcPr>
          <w:p w14:paraId="775FA251">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w:t>
            </w:r>
          </w:p>
        </w:tc>
        <w:tc>
          <w:tcPr>
            <w:tcW w:w="2071" w:type="dxa"/>
            <w:tcBorders>
              <w:tl2br w:val="nil"/>
              <w:tr2bl w:val="nil"/>
            </w:tcBorders>
            <w:noWrap w:val="0"/>
            <w:vAlign w:val="center"/>
          </w:tcPr>
          <w:p w14:paraId="6E42685B">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磋商有效期</w:t>
            </w:r>
          </w:p>
        </w:tc>
        <w:tc>
          <w:tcPr>
            <w:tcW w:w="7161" w:type="dxa"/>
            <w:tcBorders>
              <w:tl2br w:val="nil"/>
              <w:tr2bl w:val="nil"/>
            </w:tcBorders>
            <w:noWrap w:val="0"/>
            <w:vAlign w:val="center"/>
          </w:tcPr>
          <w:p w14:paraId="64E459C7">
            <w:pPr>
              <w:pStyle w:val="54"/>
              <w:adjustRightInd w:val="0"/>
              <w:snapToGrid w:val="0"/>
              <w:spacing w:line="460" w:lineRule="exact"/>
              <w:outlineLvl w:val="9"/>
              <w:rPr>
                <w:rFonts w:hint="eastAsia" w:ascii="仿宋" w:hAnsi="仿宋" w:eastAsia="仿宋" w:cs="仿宋"/>
                <w:bCs/>
                <w:sz w:val="24"/>
                <w:szCs w:val="24"/>
                <w:highlight w:val="none"/>
              </w:rPr>
            </w:pPr>
            <w:r>
              <w:rPr>
                <w:rFonts w:hint="eastAsia" w:ascii="仿宋" w:hAnsi="仿宋" w:eastAsia="仿宋" w:cs="仿宋"/>
                <w:sz w:val="24"/>
                <w:szCs w:val="24"/>
                <w:highlight w:val="none"/>
              </w:rPr>
              <w:t>自首次递交响应文件截止时间起计算</w:t>
            </w:r>
            <w:r>
              <w:rPr>
                <w:rFonts w:hint="eastAsia" w:ascii="仿宋" w:hAnsi="仿宋" w:eastAsia="仿宋" w:cs="仿宋"/>
                <w:sz w:val="24"/>
                <w:szCs w:val="24"/>
                <w:highlight w:val="none"/>
                <w:u w:val="single"/>
              </w:rPr>
              <w:t xml:space="preserve"> 90 </w:t>
            </w:r>
            <w:r>
              <w:rPr>
                <w:rFonts w:hint="eastAsia" w:ascii="仿宋" w:hAnsi="仿宋" w:eastAsia="仿宋" w:cs="仿宋"/>
                <w:sz w:val="24"/>
                <w:szCs w:val="24"/>
                <w:highlight w:val="none"/>
              </w:rPr>
              <w:t>日历日</w:t>
            </w:r>
          </w:p>
        </w:tc>
      </w:tr>
      <w:tr w14:paraId="0E5E6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17" w:type="dxa"/>
            <w:tcBorders>
              <w:tl2br w:val="nil"/>
              <w:tr2bl w:val="nil"/>
            </w:tcBorders>
            <w:noWrap w:val="0"/>
            <w:vAlign w:val="center"/>
          </w:tcPr>
          <w:p w14:paraId="713E0041">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20</w:t>
            </w:r>
          </w:p>
        </w:tc>
        <w:tc>
          <w:tcPr>
            <w:tcW w:w="2071" w:type="dxa"/>
            <w:tcBorders>
              <w:tl2br w:val="nil"/>
              <w:tr2bl w:val="nil"/>
            </w:tcBorders>
            <w:noWrap w:val="0"/>
            <w:vAlign w:val="center"/>
          </w:tcPr>
          <w:p w14:paraId="34A85D66">
            <w:pPr>
              <w:spacing w:line="300" w:lineRule="exact"/>
              <w:ind w:left="105" w:leftChars="0" w:hanging="105" w:firstLineChars="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rPr>
              <w:t>标前准备</w:t>
            </w:r>
          </w:p>
        </w:tc>
        <w:tc>
          <w:tcPr>
            <w:tcW w:w="7161" w:type="dxa"/>
            <w:tcBorders>
              <w:tl2br w:val="nil"/>
              <w:tr2bl w:val="nil"/>
            </w:tcBorders>
            <w:noWrap w:val="0"/>
            <w:vAlign w:val="center"/>
          </w:tcPr>
          <w:p w14:paraId="62B5C14E">
            <w:pPr>
              <w:spacing w:line="360" w:lineRule="auto"/>
              <w:ind w:left="0" w:right="0" w:firstLine="0" w:firstLineChars="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1、本项目实行网上投标，采用电子投标文件。供应商应按照相关格式要求上传投标文件即可，无需到现场开标。若供应商参与投标，自行承担投标一切费用。</w:t>
            </w:r>
          </w:p>
          <w:p w14:paraId="47B5FEAA">
            <w:pPr>
              <w:spacing w:line="360" w:lineRule="auto"/>
              <w:ind w:left="0" w:right="0" w:firstLine="0" w:firstLineChars="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1056AE7">
            <w:pPr>
              <w:spacing w:line="360" w:lineRule="auto"/>
              <w:ind w:left="0" w:right="0" w:firstLine="0" w:firstLineChars="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3、本项目为电子招投标，投标人需要使用CA加密设备，有意向参与新疆区域电子开评标的供应商，请访问新疆数字证书认证中心官方网站（https://www.xjca.com.cn/）或下载</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 xml:space="preserve">“新疆政务通”APP自行进行申领。如需咨询，请联系新疆CA服务热线0991-2819290 </w:t>
            </w:r>
          </w:p>
          <w:p w14:paraId="146613E1">
            <w:pPr>
              <w:spacing w:line="360" w:lineRule="auto"/>
              <w:ind w:left="0" w:leftChars="0" w:right="0" w:rightChars="0" w:firstLine="0" w:firstLineChars="0"/>
              <w:outlineLvl w:val="9"/>
              <w:rPr>
                <w:rFonts w:hint="eastAsia" w:ascii="仿宋" w:hAnsi="仿宋" w:eastAsia="仿宋" w:cs="仿宋"/>
                <w:kern w:val="0"/>
                <w:sz w:val="24"/>
                <w:szCs w:val="24"/>
                <w:highlight w:val="none"/>
              </w:rPr>
            </w:pPr>
            <w:r>
              <w:rPr>
                <w:rFonts w:hint="eastAsia" w:ascii="仿宋" w:hAnsi="仿宋" w:eastAsia="仿宋" w:cs="仿宋"/>
                <w:bCs/>
                <w:sz w:val="24"/>
                <w:szCs w:val="24"/>
                <w:highlight w:val="none"/>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14:paraId="3D19AA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17" w:type="dxa"/>
            <w:tcBorders>
              <w:tl2br w:val="nil"/>
              <w:tr2bl w:val="nil"/>
            </w:tcBorders>
            <w:noWrap w:val="0"/>
            <w:vAlign w:val="center"/>
          </w:tcPr>
          <w:p w14:paraId="724DD134">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21</w:t>
            </w:r>
          </w:p>
        </w:tc>
        <w:tc>
          <w:tcPr>
            <w:tcW w:w="2071" w:type="dxa"/>
            <w:tcBorders>
              <w:tl2br w:val="nil"/>
              <w:tr2bl w:val="nil"/>
            </w:tcBorders>
            <w:noWrap w:val="0"/>
            <w:vAlign w:val="center"/>
          </w:tcPr>
          <w:p w14:paraId="6A8A9C31">
            <w:pPr>
              <w:pStyle w:val="105"/>
              <w:spacing w:line="460" w:lineRule="exact"/>
              <w:jc w:val="center"/>
              <w:outlineLvl w:val="9"/>
              <w:rPr>
                <w:rFonts w:hint="eastAsia" w:ascii="仿宋" w:hAnsi="仿宋" w:eastAsia="仿宋" w:cs="仿宋"/>
                <w:b/>
                <w:bCs/>
                <w:sz w:val="24"/>
                <w:highlight w:val="none"/>
              </w:rPr>
            </w:pPr>
            <w:r>
              <w:rPr>
                <w:rFonts w:hint="eastAsia" w:ascii="仿宋" w:hAnsi="仿宋" w:eastAsia="仿宋" w:cs="仿宋"/>
                <w:b/>
                <w:bCs/>
                <w:sz w:val="24"/>
                <w:highlight w:val="none"/>
                <w:lang w:eastAsia="zh-CN"/>
              </w:rPr>
              <w:t>签字盖章</w:t>
            </w:r>
            <w:r>
              <w:rPr>
                <w:rFonts w:hint="eastAsia" w:ascii="仿宋" w:hAnsi="仿宋" w:eastAsia="仿宋" w:cs="仿宋"/>
                <w:b/>
                <w:bCs/>
                <w:sz w:val="24"/>
                <w:highlight w:val="none"/>
              </w:rPr>
              <w:t>要求</w:t>
            </w:r>
          </w:p>
        </w:tc>
        <w:tc>
          <w:tcPr>
            <w:tcW w:w="7161" w:type="dxa"/>
            <w:tcBorders>
              <w:tl2br w:val="nil"/>
              <w:tr2bl w:val="nil"/>
            </w:tcBorders>
            <w:noWrap w:val="0"/>
            <w:vAlign w:val="top"/>
          </w:tcPr>
          <w:p w14:paraId="691696B7">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响应文件格式文件要求盖单位章和签字的地方，投标人均应使用CA数字证书加盖企业电子签章和法定代表人章或签名（按格式要求）。</w:t>
            </w:r>
          </w:p>
        </w:tc>
      </w:tr>
      <w:tr w14:paraId="26EA95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1117" w:type="dxa"/>
            <w:tcBorders>
              <w:tl2br w:val="nil"/>
              <w:tr2bl w:val="nil"/>
            </w:tcBorders>
            <w:noWrap w:val="0"/>
            <w:vAlign w:val="center"/>
          </w:tcPr>
          <w:p w14:paraId="34FB8DC7">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22</w:t>
            </w:r>
          </w:p>
        </w:tc>
        <w:tc>
          <w:tcPr>
            <w:tcW w:w="2071" w:type="dxa"/>
            <w:tcBorders>
              <w:tl2br w:val="nil"/>
              <w:tr2bl w:val="nil"/>
            </w:tcBorders>
            <w:noWrap w:val="0"/>
            <w:vAlign w:val="center"/>
          </w:tcPr>
          <w:p w14:paraId="00DE9EA3">
            <w:pPr>
              <w:pStyle w:val="16"/>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投标人对招标文件提出质疑的时间</w:t>
            </w:r>
          </w:p>
        </w:tc>
        <w:tc>
          <w:tcPr>
            <w:tcW w:w="7161" w:type="dxa"/>
            <w:tcBorders>
              <w:tl2br w:val="nil"/>
              <w:tr2bl w:val="nil"/>
            </w:tcBorders>
            <w:noWrap w:val="0"/>
            <w:vAlign w:val="center"/>
          </w:tcPr>
          <w:p w14:paraId="3F26B61D">
            <w:pPr>
              <w:pStyle w:val="98"/>
              <w:spacing w:line="460" w:lineRule="exact"/>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标人认为招标文件、招标过程或中标结果使自己的合法权益受到损害的，应当在知道或者应知其权益受到损害之日起七个工作日内，以书面形式向招标人、招标代理机构提出质疑；投标人须对质疑内容的真实性承担责任，由招标人或招标代理机构负责解释。如在规定的日期内未收到任何投标人递交的质疑书，视为投标人可完全响应。质疑函的方式：以书面形式提出质疑，质疑书应列明理由、依据，加盖单位公章递交至墨玉县众信智诚工程项目管理有限公司或将PDF格式电子版质疑文件加盖公章扫描发送至邮箱</w:t>
            </w:r>
          </w:p>
          <w:p w14:paraId="0C093970">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接受质疑的单位：</w:t>
            </w:r>
            <w:r>
              <w:rPr>
                <w:rFonts w:hint="eastAsia" w:ascii="仿宋" w:hAnsi="仿宋" w:eastAsia="仿宋" w:cs="仿宋"/>
                <w:sz w:val="24"/>
                <w:szCs w:val="24"/>
                <w:highlight w:val="none"/>
              </w:rPr>
              <w:t>墨玉县众信智诚工程项目管理有限公司</w:t>
            </w:r>
          </w:p>
          <w:p w14:paraId="57376A35">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联系电话：</w:t>
            </w:r>
            <w:r>
              <w:rPr>
                <w:rFonts w:hint="eastAsia" w:ascii="仿宋" w:hAnsi="仿宋" w:eastAsia="仿宋" w:cs="仿宋"/>
                <w:sz w:val="24"/>
                <w:szCs w:val="24"/>
                <w:highlight w:val="none"/>
              </w:rPr>
              <w:t>0903-6530990</w:t>
            </w:r>
          </w:p>
          <w:p w14:paraId="58F04A3F">
            <w:pPr>
              <w:pStyle w:val="56"/>
              <w:spacing w:line="460" w:lineRule="exact"/>
              <w:outlineLvl w:val="9"/>
              <w:rPr>
                <w:rFonts w:hint="eastAsia" w:ascii="仿宋" w:hAnsi="仿宋" w:eastAsia="仿宋" w:cs="仿宋"/>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祖丽阿娅</w:t>
            </w:r>
          </w:p>
          <w:p w14:paraId="1507AE73">
            <w:pPr>
              <w:pStyle w:val="56"/>
              <w:spacing w:line="46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邮箱：</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"mailto:3060380044@qq.com"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3060380044@qq.com</w:t>
            </w:r>
            <w:r>
              <w:rPr>
                <w:rFonts w:hint="eastAsia" w:ascii="仿宋" w:hAnsi="仿宋" w:eastAsia="仿宋" w:cs="仿宋"/>
                <w:sz w:val="24"/>
                <w:szCs w:val="24"/>
                <w:highlight w:val="none"/>
                <w:lang w:val="en-US" w:eastAsia="zh-CN"/>
              </w:rPr>
              <w:fldChar w:fldCharType="end"/>
            </w:r>
          </w:p>
          <w:p w14:paraId="7BD93613">
            <w:pPr>
              <w:pStyle w:val="56"/>
              <w:spacing w:line="460" w:lineRule="exact"/>
              <w:outlineLvl w:val="9"/>
              <w:rPr>
                <w:rFonts w:hint="eastAsia" w:ascii="仿宋" w:hAnsi="仿宋" w:eastAsia="仿宋" w:cs="仿宋"/>
                <w:kern w:val="0"/>
                <w:sz w:val="24"/>
                <w:szCs w:val="24"/>
                <w:highlight w:val="none"/>
                <w:u w:val="single"/>
              </w:rPr>
            </w:pPr>
            <w:r>
              <w:rPr>
                <w:rFonts w:hint="eastAsia" w:ascii="仿宋" w:hAnsi="仿宋" w:eastAsia="仿宋" w:cs="仿宋"/>
                <w:sz w:val="24"/>
                <w:szCs w:val="24"/>
                <w:highlight w:val="none"/>
                <w:lang w:val="en-US" w:eastAsia="zh-CN"/>
              </w:rPr>
              <w:t>注：供应商认为采购文件、采购过程、中标或者成交结果使自己的权益受到损害的，可以根据中华人民共和国财政部令第94号中第十条，以书面形式向采购人、供应商在法定质疑期内一次性提出针对同一采购程序环节的质疑；</w:t>
            </w:r>
            <w:r>
              <w:rPr>
                <w:rFonts w:hint="eastAsia" w:ascii="仿宋" w:hAnsi="仿宋" w:eastAsia="仿宋" w:cs="仿宋"/>
                <w:sz w:val="24"/>
                <w:szCs w:val="24"/>
                <w:highlight w:val="none"/>
              </w:rPr>
              <w:t>如有最新的答疑后，投标人必须下载并使用该文件制作电子投标文件。</w:t>
            </w:r>
          </w:p>
        </w:tc>
      </w:tr>
      <w:tr w14:paraId="2348F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1117" w:type="dxa"/>
            <w:tcBorders>
              <w:tl2br w:val="nil"/>
              <w:tr2bl w:val="nil"/>
            </w:tcBorders>
            <w:noWrap w:val="0"/>
            <w:vAlign w:val="center"/>
          </w:tcPr>
          <w:p w14:paraId="643A2040">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23</w:t>
            </w:r>
          </w:p>
        </w:tc>
        <w:tc>
          <w:tcPr>
            <w:tcW w:w="2071" w:type="dxa"/>
            <w:tcBorders>
              <w:tl2br w:val="nil"/>
              <w:tr2bl w:val="nil"/>
            </w:tcBorders>
            <w:noWrap w:val="0"/>
            <w:vAlign w:val="center"/>
          </w:tcPr>
          <w:p w14:paraId="7EE1DDB4">
            <w:pPr>
              <w:spacing w:line="360" w:lineRule="auto"/>
              <w:ind w:left="0" w:leftChars="0" w:right="0" w:rightChars="0" w:firstLine="0" w:firstLineChars="0"/>
              <w:jc w:val="center"/>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rPr>
              <w:t>构成招标文件的其他文件</w:t>
            </w:r>
          </w:p>
        </w:tc>
        <w:tc>
          <w:tcPr>
            <w:tcW w:w="7161" w:type="dxa"/>
            <w:tcBorders>
              <w:tl2br w:val="nil"/>
              <w:tr2bl w:val="nil"/>
            </w:tcBorders>
            <w:noWrap w:val="0"/>
            <w:vAlign w:val="center"/>
          </w:tcPr>
          <w:p w14:paraId="398B36A9">
            <w:pPr>
              <w:spacing w:line="360" w:lineRule="auto"/>
              <w:ind w:left="0" w:leftChars="0" w:right="0" w:rightChars="0" w:firstLine="0" w:firstLineChars="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招标文件的澄清、</w:t>
            </w:r>
            <w:r>
              <w:rPr>
                <w:rFonts w:hint="eastAsia" w:ascii="仿宋" w:hAnsi="仿宋" w:eastAsia="仿宋" w:cs="仿宋"/>
                <w:sz w:val="24"/>
                <w:szCs w:val="24"/>
                <w:highlight w:val="none"/>
                <w:lang w:eastAsia="zh-CN"/>
              </w:rPr>
              <w:t>修改</w:t>
            </w:r>
            <w:r>
              <w:rPr>
                <w:rFonts w:hint="eastAsia" w:ascii="仿宋" w:hAnsi="仿宋" w:eastAsia="仿宋" w:cs="仿宋"/>
                <w:sz w:val="24"/>
                <w:szCs w:val="24"/>
                <w:highlight w:val="none"/>
              </w:rPr>
              <w:t>及有关补充通知为招标文件的有效组成部分。</w:t>
            </w:r>
          </w:p>
        </w:tc>
      </w:tr>
      <w:tr w14:paraId="6DDD0C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1117" w:type="dxa"/>
            <w:tcBorders>
              <w:tl2br w:val="nil"/>
              <w:tr2bl w:val="nil"/>
            </w:tcBorders>
            <w:noWrap w:val="0"/>
            <w:vAlign w:val="center"/>
          </w:tcPr>
          <w:p w14:paraId="22BCA023">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24</w:t>
            </w:r>
          </w:p>
        </w:tc>
        <w:tc>
          <w:tcPr>
            <w:tcW w:w="2071" w:type="dxa"/>
            <w:tcBorders>
              <w:tl2br w:val="nil"/>
              <w:tr2bl w:val="nil"/>
            </w:tcBorders>
            <w:noWrap w:val="0"/>
            <w:vAlign w:val="center"/>
          </w:tcPr>
          <w:p w14:paraId="67FAB6FA">
            <w:pPr>
              <w:spacing w:line="360" w:lineRule="auto"/>
              <w:ind w:left="105" w:leftChars="0" w:right="0" w:rightChars="0" w:hanging="105" w:firstLineChars="0"/>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政府采购政策支持</w:t>
            </w:r>
          </w:p>
        </w:tc>
        <w:tc>
          <w:tcPr>
            <w:tcW w:w="7161" w:type="dxa"/>
            <w:tcBorders>
              <w:tl2br w:val="nil"/>
              <w:tr2bl w:val="nil"/>
            </w:tcBorders>
            <w:noWrap w:val="0"/>
            <w:vAlign w:val="top"/>
          </w:tcPr>
          <w:p w14:paraId="4262A0F3">
            <w:pPr>
              <w:spacing w:line="360" w:lineRule="auto"/>
              <w:ind w:left="48" w:right="0" w:hanging="55" w:hangingChars="23"/>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根据《中华人民共和国政府采购法》、财政部、工信部《政府采购促进中小企业发展管理办法》（财库〔2020〕46号）、《关于进一步加大政府采购支持中小企业力度的通知财库〔2022〕19号》等有关法律法规执行；</w:t>
            </w:r>
          </w:p>
          <w:p w14:paraId="53F1DD2E">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w:t>
            </w:r>
          </w:p>
          <w:p w14:paraId="0EAE8749">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中小企业政策</w:t>
            </w:r>
          </w:p>
          <w:p w14:paraId="2A20750D">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本项目不专门面向中小企业预留采购份额。</w:t>
            </w:r>
          </w:p>
          <w:p w14:paraId="6C143F1C">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☑本项目专门面向 </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中小 </w:t>
            </w:r>
            <w:r>
              <w:rPr>
                <w:rFonts w:hint="eastAsia" w:ascii="仿宋" w:hAnsi="仿宋" w:eastAsia="仿宋" w:cs="仿宋"/>
                <w:sz w:val="24"/>
                <w:highlight w:val="none"/>
                <w:lang w:eastAsia="zh-CN"/>
              </w:rPr>
              <w:t>☑</w:t>
            </w:r>
            <w:r>
              <w:rPr>
                <w:rFonts w:hint="eastAsia" w:ascii="仿宋" w:hAnsi="仿宋" w:eastAsia="仿宋" w:cs="仿宋"/>
                <w:sz w:val="24"/>
                <w:highlight w:val="none"/>
              </w:rPr>
              <w:t>小微企业采购。即：提供的货物或服务全部由符合政策要求的中小/小微企业制造、服务全部由符合政策要求的中小/小微企业承接。</w:t>
            </w:r>
          </w:p>
          <w:p w14:paraId="4E2979ED">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本项目为专门面向中小企业项目，参加投标的供应商须为中小企业，否则投标无效。因本项属于专门面向中小企业采购，故小型和微型企业不享受价格扣除优惠政策。JY企业、残疾人福利性单位视同小型和微型企业。</w:t>
            </w:r>
          </w:p>
          <w:p w14:paraId="4EF7CD75">
            <w:pPr>
              <w:pStyle w:val="55"/>
              <w:spacing w:line="360" w:lineRule="auto"/>
              <w:ind w:firstLine="0" w:firstLineChars="0"/>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highlight w:val="none"/>
                <w:lang w:val="en-US" w:eastAsia="zh-CN"/>
              </w:rPr>
              <w:t xml:space="preserve">   /   </w:t>
            </w:r>
          </w:p>
          <w:p w14:paraId="0F6B92D7">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2.2其它落实政府采购政策的资格要求</w:t>
            </w:r>
          </w:p>
          <w:p w14:paraId="01AF39BB">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（1）财政部、国家发展改革委、生态环境部、市场监管总局《关于调整优化节能产品、环境标志产品政府采购执行机制的通知》（财库[2019]9号文）；</w:t>
            </w:r>
          </w:p>
          <w:p w14:paraId="1D534663">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（2）财政部、生态环境部《关于印发环境标志产品政府采购品目清单的通知》（财库[2019]18号文）； </w:t>
            </w:r>
          </w:p>
          <w:p w14:paraId="3553F207">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（3）财政部、发展改革委《关于印发节能产品政府采购品目清单的通知》（财库[2019]19号文）；</w:t>
            </w:r>
          </w:p>
          <w:p w14:paraId="1B79221F">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（4）市场监管总局《市场监管总局关于发布参与实施政府采购节能产品、环境标志产品认证机构名录的公告》（2019年第16号）；  </w:t>
            </w:r>
          </w:p>
          <w:p w14:paraId="74E6C10D">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5）财政部、工业和信息化部《关于印发《政府采购促进中小企业发展管理办法》的通知》（财库[2020]46号文）《关于进一步加大政府采购支持中小企业力度的通知》（财库[2022]19号文）执行；（6）财政部、民政部、中国残疾人联合会《关于促进残疾人就业政府采购政策的通知》（财库[2017]141号）；  </w:t>
            </w:r>
          </w:p>
          <w:p w14:paraId="55806EBB">
            <w:pPr>
              <w:pStyle w:val="55"/>
              <w:spacing w:line="360" w:lineRule="auto"/>
              <w:ind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（7）财政部、</w:t>
            </w:r>
            <w:r>
              <w:rPr>
                <w:rFonts w:hint="eastAsia" w:ascii="仿宋" w:hAnsi="仿宋" w:eastAsia="仿宋" w:cs="仿宋"/>
                <w:sz w:val="24"/>
                <w:highlight w:val="none"/>
                <w:lang w:val="en-US" w:eastAsia="zh-CN"/>
              </w:rPr>
              <w:t>SF</w:t>
            </w:r>
            <w:r>
              <w:rPr>
                <w:rFonts w:hint="eastAsia" w:ascii="仿宋" w:hAnsi="仿宋" w:eastAsia="仿宋" w:cs="仿宋"/>
                <w:sz w:val="24"/>
                <w:highlight w:val="none"/>
              </w:rPr>
              <w:t>部《关于政府采购支持</w:t>
            </w:r>
            <w:r>
              <w:rPr>
                <w:rFonts w:hint="eastAsia" w:ascii="仿宋" w:hAnsi="仿宋" w:eastAsia="仿宋" w:cs="仿宋"/>
                <w:sz w:val="24"/>
                <w:highlight w:val="none"/>
                <w:lang w:val="en-US" w:eastAsia="zh-CN"/>
              </w:rPr>
              <w:t>JY</w:t>
            </w:r>
            <w:r>
              <w:rPr>
                <w:rFonts w:hint="eastAsia" w:ascii="仿宋" w:hAnsi="仿宋" w:eastAsia="仿宋" w:cs="仿宋"/>
                <w:sz w:val="24"/>
                <w:highlight w:val="none"/>
              </w:rPr>
              <w:t>企业发展有关问题的通知》（财库[2014]68号文）；</w:t>
            </w:r>
          </w:p>
          <w:p w14:paraId="45FB4103">
            <w:pPr>
              <w:pStyle w:val="95"/>
              <w:spacing w:line="360" w:lineRule="auto"/>
              <w:jc w:val="left"/>
              <w:rPr>
                <w:rFonts w:hint="eastAsia" w:ascii="仿宋" w:hAnsi="仿宋" w:eastAsia="仿宋" w:cs="仿宋"/>
                <w:highlight w:val="none"/>
              </w:rPr>
            </w:pPr>
            <w:r>
              <w:rPr>
                <w:rFonts w:hint="eastAsia" w:ascii="仿宋" w:hAnsi="仿宋" w:eastAsia="仿宋" w:cs="仿宋"/>
                <w:sz w:val="24"/>
                <w:highlight w:val="none"/>
              </w:rPr>
              <w:t>（8）财政部、生态环境部、国家邮政局《关于印发《商品包装政府采购需求标准（试行）</w:t>
            </w:r>
            <w:r>
              <w:rPr>
                <w:rFonts w:hint="eastAsia" w:ascii="仿宋" w:hAnsi="仿宋" w:eastAsia="仿宋" w:cs="仿宋"/>
                <w:sz w:val="24"/>
                <w:highlight w:val="none"/>
                <w:lang w:eastAsia="zh-CN"/>
              </w:rPr>
              <w:t>》《</w:t>
            </w:r>
            <w:r>
              <w:rPr>
                <w:rFonts w:hint="eastAsia" w:ascii="仿宋" w:hAnsi="仿宋" w:eastAsia="仿宋" w:cs="仿宋"/>
                <w:sz w:val="24"/>
                <w:highlight w:val="none"/>
              </w:rPr>
              <w:t>快递包装政府采购需求标准（试行）》的通知》（财办库〔2020〕123号）。</w:t>
            </w:r>
          </w:p>
          <w:p w14:paraId="4E549CFF">
            <w:pPr>
              <w:spacing w:line="360" w:lineRule="auto"/>
              <w:ind w:left="48" w:right="0" w:hanging="55" w:hangingChars="2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价格扣除幅度：</w:t>
            </w:r>
            <w:r>
              <w:rPr>
                <w:rFonts w:hint="eastAsia" w:ascii="仿宋" w:hAnsi="仿宋" w:eastAsia="仿宋" w:cs="仿宋"/>
                <w:color w:val="auto"/>
                <w:sz w:val="24"/>
                <w:szCs w:val="24"/>
                <w:highlight w:val="none"/>
                <w:lang w:val="en-US" w:eastAsia="zh-CN"/>
              </w:rPr>
              <w:t>货物服务采购项目给予小微企业的价格扣除优惠，由财库〔2020〕46号文件规定给予</w:t>
            </w:r>
            <w:r>
              <w:rPr>
                <w:rFonts w:hint="eastAsia" w:ascii="仿宋" w:hAnsi="仿宋" w:eastAsia="仿宋" w:cs="仿宋"/>
                <w:b/>
                <w:bCs/>
                <w:color w:val="auto"/>
                <w:sz w:val="24"/>
                <w:szCs w:val="24"/>
                <w:highlight w:val="none"/>
                <w:u w:val="single"/>
                <w:lang w:val="en-US" w:eastAsia="zh-CN"/>
              </w:rPr>
              <w:t>10%</w:t>
            </w:r>
            <w:r>
              <w:rPr>
                <w:rFonts w:hint="eastAsia" w:ascii="仿宋" w:hAnsi="仿宋" w:eastAsia="仿宋" w:cs="仿宋"/>
                <w:color w:val="auto"/>
                <w:sz w:val="24"/>
                <w:szCs w:val="24"/>
                <w:highlight w:val="none"/>
                <w:lang w:val="en-US" w:eastAsia="zh-CN"/>
              </w:rPr>
              <w:t>的扣除，以扣除后的报价参与评审。大中型企业与小微企业组成联合体或者大中型企业向小微企业分包的，给予6%的扣除，以扣除后的报价参与评审。政府采购工程的价格评审优惠按照财库〔2020〕46 号文件的规定执行。</w:t>
            </w:r>
          </w:p>
          <w:p w14:paraId="486377A3">
            <w:pPr>
              <w:spacing w:line="360" w:lineRule="auto"/>
              <w:ind w:left="48" w:right="0" w:hanging="55" w:hangingChars="23"/>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注：（1）小</w:t>
            </w:r>
            <w:r>
              <w:rPr>
                <w:rFonts w:hint="eastAsia" w:ascii="仿宋" w:hAnsi="仿宋" w:eastAsia="仿宋" w:cs="仿宋"/>
                <w:color w:val="auto"/>
                <w:sz w:val="24"/>
                <w:szCs w:val="24"/>
                <w:highlight w:val="none"/>
                <w:lang w:eastAsia="zh-CN"/>
              </w:rPr>
              <w:t>微企</w:t>
            </w:r>
            <w:r>
              <w:rPr>
                <w:rFonts w:hint="eastAsia" w:ascii="仿宋" w:hAnsi="仿宋" w:eastAsia="仿宋" w:cs="仿宋"/>
                <w:color w:val="auto"/>
                <w:sz w:val="24"/>
                <w:szCs w:val="24"/>
                <w:highlight w:val="none"/>
              </w:rPr>
              <w:t>业以供应商填写的《中小企业声明函》（见投标格式）为判定标准，残疾人福利性单位以供应商填写的《残疾人福利性单位声 明函》（见投标格式）为判定标准，JY企业须供应商提供由省级以上JY管理局、JD管理局（含新疆生产建设兵团）出具的属于JY企业的证明文件，否则不予认定</w:t>
            </w:r>
            <w:r>
              <w:rPr>
                <w:rFonts w:hint="eastAsia" w:ascii="仿宋" w:hAnsi="仿宋" w:eastAsia="仿宋" w:cs="仿宋"/>
                <w:color w:val="auto"/>
                <w:sz w:val="24"/>
                <w:szCs w:val="24"/>
                <w:highlight w:val="none"/>
                <w:lang w:eastAsia="zh-CN"/>
              </w:rPr>
              <w:t>。</w:t>
            </w:r>
          </w:p>
          <w:p w14:paraId="239136BD">
            <w:pPr>
              <w:spacing w:line="360" w:lineRule="auto"/>
              <w:ind w:left="48" w:right="0" w:hanging="55" w:hangingChars="23"/>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供应商应当对《中小企业声明函》、JY企业证明文件、《残疾 人福利性单位声明函》的真实性负责，上述材料与事实不符的，依照《政府采购法》第七十七条第一款的规定，处以采购金额千分之五以上千分之十以下的罚款，列入不良行为记录名单，在一至三年内禁止参加政府 采购活动，有违法所得的，并处没收违法所得，情节严重的，由工商行政管理机关吊销营业执照；构成犯罪的，依法追究刑事责任，中小企业应当提供《中小企业声明函》。</w:t>
            </w:r>
          </w:p>
          <w:p w14:paraId="58DFE085">
            <w:pPr>
              <w:spacing w:line="360" w:lineRule="auto"/>
              <w:ind w:left="55" w:leftChars="0" w:right="0" w:rightChars="0" w:hanging="55" w:hangingChars="23"/>
              <w:outlineLvl w:val="9"/>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本项目所属行业：</w:t>
            </w:r>
            <w:r>
              <w:rPr>
                <w:rFonts w:hint="eastAsia" w:ascii="仿宋" w:hAnsi="仿宋" w:eastAsia="仿宋" w:cs="仿宋"/>
                <w:b/>
                <w:bCs/>
                <w:color w:val="000000"/>
                <w:sz w:val="24"/>
                <w:szCs w:val="24"/>
                <w:highlight w:val="none"/>
              </w:rPr>
              <w:t>其他未列明行业</w:t>
            </w:r>
          </w:p>
        </w:tc>
      </w:tr>
      <w:tr w14:paraId="17B1CE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1117" w:type="dxa"/>
            <w:tcBorders>
              <w:tl2br w:val="nil"/>
              <w:tr2bl w:val="nil"/>
            </w:tcBorders>
            <w:noWrap w:val="0"/>
            <w:vAlign w:val="center"/>
          </w:tcPr>
          <w:p w14:paraId="1205DC9C">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24</w:t>
            </w:r>
          </w:p>
        </w:tc>
        <w:tc>
          <w:tcPr>
            <w:tcW w:w="2071" w:type="dxa"/>
            <w:tcBorders>
              <w:tl2br w:val="nil"/>
              <w:tr2bl w:val="nil"/>
            </w:tcBorders>
            <w:noWrap w:val="0"/>
            <w:vAlign w:val="center"/>
          </w:tcPr>
          <w:p w14:paraId="38496E15">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rPr>
              <w:t>关于小微企业报价扣除比例说明</w:t>
            </w:r>
          </w:p>
        </w:tc>
        <w:tc>
          <w:tcPr>
            <w:tcW w:w="7161" w:type="dxa"/>
            <w:tcBorders>
              <w:tl2br w:val="nil"/>
              <w:tr2bl w:val="nil"/>
            </w:tcBorders>
            <w:noWrap w:val="0"/>
            <w:vAlign w:val="center"/>
          </w:tcPr>
          <w:p w14:paraId="07F517E6">
            <w:pPr>
              <w:pStyle w:val="16"/>
              <w:spacing w:line="460" w:lineRule="exact"/>
              <w:outlineLvl w:val="9"/>
              <w:rPr>
                <w:rFonts w:hint="eastAsia" w:ascii="仿宋" w:hAnsi="仿宋" w:eastAsia="仿宋" w:cs="仿宋"/>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根据财政部、工业和信息化部发布的关于印发《政府采</w:t>
            </w:r>
            <w:r>
              <w:rPr>
                <w:rFonts w:hint="eastAsia" w:ascii="仿宋" w:hAnsi="仿宋" w:eastAsia="仿宋" w:cs="仿宋"/>
                <w:sz w:val="24"/>
                <w:szCs w:val="24"/>
                <w:highlight w:val="none"/>
              </w:rPr>
              <w:t>购促进中小企业发展管理办法》的通知，财库[2020]46号）规定执行；本次采购标的所属行业为</w:t>
            </w:r>
            <w:r>
              <w:rPr>
                <w:rFonts w:hint="eastAsia" w:ascii="仿宋" w:hAnsi="仿宋" w:eastAsia="仿宋" w:cs="仿宋"/>
                <w:sz w:val="24"/>
                <w:szCs w:val="24"/>
                <w:highlight w:val="none"/>
                <w:u w:val="single"/>
                <w:lang w:val="en-US" w:eastAsia="zh-CN"/>
              </w:rPr>
              <w:t>餐饮业</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符合以下条件的中小微型企业可按照招标文件格式要求提供《中小企业声明函》，并享受相应政策。</w:t>
            </w:r>
          </w:p>
          <w:p w14:paraId="496AC60E">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价格扣除幅度：价格给予</w:t>
            </w:r>
            <w:r>
              <w:rPr>
                <w:rFonts w:hint="eastAsia" w:ascii="仿宋" w:hAnsi="仿宋" w:eastAsia="仿宋" w:cs="仿宋"/>
                <w:b/>
                <w:sz w:val="24"/>
                <w:szCs w:val="24"/>
                <w:highlight w:val="none"/>
                <w:u w:val="single"/>
              </w:rPr>
              <w:t xml:space="preserve"> 10% </w:t>
            </w:r>
            <w:r>
              <w:rPr>
                <w:rFonts w:hint="eastAsia" w:ascii="仿宋" w:hAnsi="仿宋" w:eastAsia="仿宋" w:cs="仿宋"/>
                <w:sz w:val="24"/>
                <w:szCs w:val="24"/>
                <w:highlight w:val="none"/>
              </w:rPr>
              <w:t>的扣除，计算投标报价分时，用扣除后的价格参与评审。</w:t>
            </w:r>
          </w:p>
          <w:p w14:paraId="6A5453E9">
            <w:pPr>
              <w:pStyle w:val="55"/>
              <w:ind w:left="0" w:leftChars="0" w:firstLine="0" w:firstLineChars="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注：1.本项目专门面向中小企业采购，不再享受价格扣除。</w:t>
            </w:r>
          </w:p>
          <w:p w14:paraId="643B9EB0">
            <w:pPr>
              <w:pStyle w:val="55"/>
              <w:outlineLvl w:val="9"/>
              <w:rPr>
                <w:rFonts w:hint="eastAsia" w:ascii="仿宋" w:hAnsi="仿宋" w:eastAsia="仿宋" w:cs="仿宋"/>
                <w:highlight w:val="none"/>
              </w:rPr>
            </w:pPr>
            <w:r>
              <w:rPr>
                <w:rFonts w:hint="eastAsia" w:ascii="仿宋" w:hAnsi="仿宋" w:eastAsia="仿宋" w:cs="仿宋"/>
                <w:kern w:val="2"/>
                <w:sz w:val="24"/>
                <w:szCs w:val="24"/>
                <w:highlight w:val="none"/>
                <w:lang w:val="en-US" w:eastAsia="zh-CN" w:bidi="ar-SA"/>
              </w:rPr>
              <w:t>2.本项目JY企业、残疾人福利性单位视同小型、微型企业。</w:t>
            </w:r>
          </w:p>
        </w:tc>
      </w:tr>
      <w:tr w14:paraId="65847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1117" w:type="dxa"/>
            <w:tcBorders>
              <w:tl2br w:val="nil"/>
              <w:tr2bl w:val="nil"/>
            </w:tcBorders>
            <w:noWrap w:val="0"/>
            <w:vAlign w:val="center"/>
          </w:tcPr>
          <w:p w14:paraId="5850CC16">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25</w:t>
            </w:r>
          </w:p>
        </w:tc>
        <w:tc>
          <w:tcPr>
            <w:tcW w:w="2071" w:type="dxa"/>
            <w:tcBorders>
              <w:tl2br w:val="nil"/>
              <w:tr2bl w:val="nil"/>
            </w:tcBorders>
            <w:noWrap w:val="0"/>
            <w:vAlign w:val="center"/>
          </w:tcPr>
          <w:p w14:paraId="5729150B">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磋商轮数和最后报价的其他要求</w:t>
            </w:r>
          </w:p>
        </w:tc>
        <w:tc>
          <w:tcPr>
            <w:tcW w:w="7161" w:type="dxa"/>
            <w:tcBorders>
              <w:tl2br w:val="nil"/>
              <w:tr2bl w:val="nil"/>
            </w:tcBorders>
            <w:noWrap w:val="0"/>
            <w:vAlign w:val="center"/>
          </w:tcPr>
          <w:p w14:paraId="4F525899">
            <w:pPr>
              <w:pStyle w:val="56"/>
              <w:spacing w:line="460" w:lineRule="exact"/>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1、本项目采购方式为竞争性磋商，报价采用二次报价方式进行，且投标供应商的第二次报价为针对本项目的最终报价。不接受可选择或可调整的投标方案和报价，任何有选择的或可调整的投标方案和报价将被视为非响应性投标而被拒绝。对于出现的政采云平台经投标供应商确认的投标报价与响应文件中开标一览表的报价不一致的现象，视作选择性报价，将被作为无效投标处理。如出现第二次报价大于第一次报价的情况，其投标将被拒绝。</w:t>
            </w:r>
          </w:p>
          <w:p w14:paraId="021CBC30">
            <w:pPr>
              <w:pStyle w:val="56"/>
              <w:spacing w:line="460" w:lineRule="exact"/>
              <w:outlineLvl w:val="9"/>
              <w:rPr>
                <w:rFonts w:hint="eastAsia" w:ascii="仿宋" w:hAnsi="仿宋" w:eastAsia="仿宋" w:cs="仿宋"/>
                <w:highlight w:val="none"/>
              </w:rPr>
            </w:pPr>
            <w:r>
              <w:rPr>
                <w:rFonts w:hint="eastAsia" w:ascii="仿宋" w:hAnsi="仿宋" w:eastAsia="仿宋" w:cs="仿宋"/>
                <w:b/>
                <w:sz w:val="24"/>
                <w:szCs w:val="24"/>
                <w:highlight w:val="none"/>
              </w:rPr>
              <w:t>2、各投标供应商在政采云不见面开标大厅进行二次报价，二次报价时限为30分钟，请各供应商务必在系统规定时间内完成二次报价，如超时未完成，视为自动放弃该项目的磋商。</w:t>
            </w:r>
          </w:p>
        </w:tc>
      </w:tr>
      <w:tr w14:paraId="09D22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17" w:type="dxa"/>
            <w:tcBorders>
              <w:tl2br w:val="nil"/>
              <w:tr2bl w:val="nil"/>
            </w:tcBorders>
            <w:noWrap w:val="0"/>
            <w:vAlign w:val="center"/>
          </w:tcPr>
          <w:p w14:paraId="29A48911">
            <w:pPr>
              <w:pStyle w:val="54"/>
              <w:tabs>
                <w:tab w:val="left" w:pos="265"/>
              </w:tabs>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26</w:t>
            </w:r>
          </w:p>
        </w:tc>
        <w:tc>
          <w:tcPr>
            <w:tcW w:w="2071" w:type="dxa"/>
            <w:tcBorders>
              <w:tl2br w:val="nil"/>
              <w:tr2bl w:val="nil"/>
            </w:tcBorders>
            <w:noWrap w:val="0"/>
            <w:vAlign w:val="center"/>
          </w:tcPr>
          <w:p w14:paraId="4FD32DBE">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代理服务费</w:t>
            </w:r>
          </w:p>
        </w:tc>
        <w:tc>
          <w:tcPr>
            <w:tcW w:w="7161" w:type="dxa"/>
            <w:tcBorders>
              <w:tl2br w:val="nil"/>
              <w:tr2bl w:val="nil"/>
            </w:tcBorders>
            <w:noWrap w:val="0"/>
            <w:vAlign w:val="center"/>
          </w:tcPr>
          <w:p w14:paraId="2D776E3F">
            <w:pPr>
              <w:pStyle w:val="56"/>
              <w:numPr>
                <w:ilvl w:val="0"/>
                <w:numId w:val="0"/>
              </w:numPr>
              <w:spacing w:line="46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标准：招标代理服务费：参考</w:t>
            </w:r>
            <w:r>
              <w:rPr>
                <w:rFonts w:hint="eastAsia" w:ascii="仿宋" w:hAnsi="仿宋" w:eastAsia="仿宋" w:cs="仿宋"/>
                <w:sz w:val="24"/>
                <w:szCs w:val="24"/>
              </w:rPr>
              <w:t>新建招协[2024]4号《新疆维吾尔自治区招标代理服务收费指导意见》</w:t>
            </w:r>
            <w:r>
              <w:rPr>
                <w:rFonts w:hint="eastAsia" w:ascii="仿宋" w:hAnsi="仿宋" w:eastAsia="仿宋" w:cs="仿宋"/>
                <w:sz w:val="24"/>
                <w:szCs w:val="24"/>
                <w:highlight w:val="none"/>
                <w:lang w:val="en-US" w:eastAsia="zh-CN"/>
              </w:rPr>
              <w:t>、发改价格〔2015〕299号文《国家发展改革委关于进一步放开建设项目专业服务价格的通知》差额累进计取。</w:t>
            </w:r>
          </w:p>
          <w:p w14:paraId="44E3AE70">
            <w:pPr>
              <w:pStyle w:val="56"/>
              <w:spacing w:line="46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以 (☑ 中标金额/□采购预算/□暂定中标金额/□其他 ) 为计费额，按服务招标采用差额定率累进法计算出收费基准价格，采购代理收费以 (☑ 收费基准价格□收费基准价格下浮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lang w:val="en-US" w:eastAsia="zh-CN"/>
              </w:rPr>
              <w:t xml:space="preserve"> %□收费基准价格上浮 / %) 收取。</w:t>
            </w:r>
          </w:p>
          <w:p w14:paraId="4E5950F6">
            <w:pPr>
              <w:pStyle w:val="56"/>
              <w:spacing w:line="46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□固定采购代理收费</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lang w:val="en-US" w:eastAsia="zh-CN"/>
              </w:rPr>
              <w:t xml:space="preserve">  。</w:t>
            </w:r>
          </w:p>
          <w:p w14:paraId="34752316">
            <w:pPr>
              <w:pStyle w:val="55"/>
              <w:numPr>
                <w:ilvl w:val="0"/>
                <w:numId w:val="2"/>
              </w:numPr>
              <w:ind w:left="0" w:leftChars="0" w:firstLine="0" w:firstLineChars="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付款方式</w:t>
            </w:r>
          </w:p>
          <w:p w14:paraId="783CFF93">
            <w:pPr>
              <w:pStyle w:val="55"/>
              <w:numPr>
                <w:ilvl w:val="0"/>
                <w:numId w:val="0"/>
              </w:numPr>
              <w:ind w:leftChars="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☑本项目代理服务费由中标人在领取中标通知书前，一次性向采购代理机构支付。</w:t>
            </w:r>
          </w:p>
          <w:p w14:paraId="2293CA64">
            <w:pPr>
              <w:pStyle w:val="55"/>
              <w:numPr>
                <w:ilvl w:val="0"/>
                <w:numId w:val="0"/>
              </w:numPr>
              <w:ind w:leftChars="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□采购人支付。</w:t>
            </w:r>
          </w:p>
          <w:p w14:paraId="451B6C9C">
            <w:pPr>
              <w:pStyle w:val="55"/>
              <w:numPr>
                <w:ilvl w:val="0"/>
                <w:numId w:val="0"/>
              </w:numPr>
              <w:ind w:leftChars="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□本项目不收取代理服务费。</w:t>
            </w:r>
          </w:p>
          <w:p w14:paraId="1FDD769C">
            <w:pPr>
              <w:pStyle w:val="55"/>
              <w:numPr>
                <w:ilvl w:val="0"/>
                <w:numId w:val="0"/>
              </w:numPr>
              <w:ind w:leftChars="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3.收款账户信息</w:t>
            </w:r>
          </w:p>
          <w:p w14:paraId="1440C4D6">
            <w:pPr>
              <w:pStyle w:val="56"/>
              <w:spacing w:line="460" w:lineRule="exact"/>
              <w:outlineLvl w:val="9"/>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账户名称：墨玉县众信智诚工程项目管理有限公司</w:t>
            </w:r>
          </w:p>
          <w:p w14:paraId="1A8A0730">
            <w:pPr>
              <w:pStyle w:val="56"/>
              <w:spacing w:line="460" w:lineRule="exact"/>
              <w:outlineLvl w:val="9"/>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开户银行：中国银行股份有限公司墨玉县支行</w:t>
            </w:r>
          </w:p>
          <w:p w14:paraId="5B5B2C62">
            <w:pPr>
              <w:pStyle w:val="56"/>
              <w:spacing w:line="460" w:lineRule="exact"/>
              <w:outlineLvl w:val="9"/>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银行账号：108296516643</w:t>
            </w:r>
          </w:p>
          <w:p w14:paraId="0B13781A">
            <w:pPr>
              <w:pStyle w:val="56"/>
              <w:spacing w:line="460" w:lineRule="exact"/>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开户行行号：104896302018</w:t>
            </w:r>
          </w:p>
        </w:tc>
      </w:tr>
      <w:tr w14:paraId="73FE4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rPr>
        <w:tc>
          <w:tcPr>
            <w:tcW w:w="1117" w:type="dxa"/>
            <w:tcBorders>
              <w:tl2br w:val="nil"/>
              <w:tr2bl w:val="nil"/>
            </w:tcBorders>
            <w:noWrap w:val="0"/>
            <w:vAlign w:val="center"/>
          </w:tcPr>
          <w:p w14:paraId="18004641">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27</w:t>
            </w:r>
          </w:p>
        </w:tc>
        <w:tc>
          <w:tcPr>
            <w:tcW w:w="2071" w:type="dxa"/>
            <w:tcBorders>
              <w:tl2br w:val="nil"/>
              <w:tr2bl w:val="nil"/>
            </w:tcBorders>
            <w:noWrap w:val="0"/>
            <w:vAlign w:val="center"/>
          </w:tcPr>
          <w:p w14:paraId="23D1B1F3">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rPr>
              <w:t>履约保证金</w:t>
            </w:r>
          </w:p>
        </w:tc>
        <w:tc>
          <w:tcPr>
            <w:tcW w:w="7161" w:type="dxa"/>
            <w:tcBorders>
              <w:tl2br w:val="nil"/>
              <w:tr2bl w:val="nil"/>
            </w:tcBorders>
            <w:noWrap w:val="0"/>
            <w:vAlign w:val="center"/>
          </w:tcPr>
          <w:p w14:paraId="14BF4B11">
            <w:pPr>
              <w:pStyle w:val="54"/>
              <w:adjustRightInd w:val="0"/>
              <w:snapToGrid w:val="0"/>
              <w:spacing w:line="460" w:lineRule="exact"/>
              <w:jc w:val="left"/>
              <w:outlineLvl w:val="9"/>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不超过</w:t>
            </w:r>
            <w:r>
              <w:rPr>
                <w:rFonts w:hint="eastAsia" w:ascii="仿宋" w:hAnsi="仿宋" w:eastAsia="仿宋" w:cs="仿宋"/>
                <w:sz w:val="24"/>
                <w:szCs w:val="24"/>
                <w:highlight w:val="none"/>
                <w:u w:val="none"/>
              </w:rPr>
              <w:t>合同总价的</w:t>
            </w:r>
            <w:r>
              <w:rPr>
                <w:rFonts w:hint="eastAsia" w:ascii="仿宋" w:hAnsi="仿宋" w:eastAsia="仿宋" w:cs="仿宋"/>
                <w:b/>
                <w:bCs/>
                <w:sz w:val="24"/>
                <w:szCs w:val="24"/>
                <w:highlight w:val="none"/>
                <w:u w:val="single"/>
              </w:rPr>
              <w:t>10%</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具体以与甲方合同签订为准</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064A4A68">
            <w:pPr>
              <w:pStyle w:val="54"/>
              <w:adjustRightInd w:val="0"/>
              <w:snapToGrid w:val="0"/>
              <w:spacing w:line="460" w:lineRule="exact"/>
              <w:jc w:val="left"/>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履约保证金形式：支票、汇票、本票</w:t>
            </w:r>
            <w:r>
              <w:rPr>
                <w:rFonts w:hint="eastAsia" w:ascii="仿宋" w:hAnsi="仿宋" w:eastAsia="仿宋" w:cs="仿宋"/>
                <w:sz w:val="24"/>
                <w:szCs w:val="24"/>
                <w:highlight w:val="none"/>
                <w:u w:val="none"/>
                <w:lang w:eastAsia="zh-CN"/>
              </w:rPr>
              <w:t>，或者</w:t>
            </w:r>
            <w:r>
              <w:rPr>
                <w:rFonts w:hint="eastAsia" w:ascii="仿宋" w:hAnsi="仿宋" w:eastAsia="仿宋" w:cs="仿宋"/>
                <w:sz w:val="24"/>
                <w:szCs w:val="24"/>
                <w:highlight w:val="none"/>
                <w:u w:val="none"/>
              </w:rPr>
              <w:t>金融机构、担保机构出具的保函</w:t>
            </w:r>
            <w:r>
              <w:rPr>
                <w:rFonts w:hint="eastAsia" w:ascii="仿宋" w:hAnsi="仿宋" w:eastAsia="仿宋" w:cs="仿宋"/>
                <w:sz w:val="24"/>
                <w:szCs w:val="24"/>
                <w:highlight w:val="none"/>
                <w:u w:val="none"/>
                <w:lang w:eastAsia="zh-CN"/>
              </w:rPr>
              <w:t>等</w:t>
            </w:r>
            <w:r>
              <w:rPr>
                <w:rFonts w:hint="eastAsia" w:ascii="仿宋" w:hAnsi="仿宋" w:eastAsia="仿宋" w:cs="仿宋"/>
                <w:sz w:val="24"/>
                <w:szCs w:val="24"/>
                <w:highlight w:val="none"/>
                <w:u w:val="none"/>
              </w:rPr>
              <w:t>非现金形式提交（履约赔付地点为项目所在地）</w:t>
            </w:r>
          </w:p>
        </w:tc>
      </w:tr>
      <w:tr w14:paraId="5BDA5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7" w:hRule="atLeast"/>
        </w:trPr>
        <w:tc>
          <w:tcPr>
            <w:tcW w:w="1117" w:type="dxa"/>
            <w:tcBorders>
              <w:tl2br w:val="nil"/>
              <w:tr2bl w:val="nil"/>
            </w:tcBorders>
            <w:noWrap w:val="0"/>
            <w:vAlign w:val="center"/>
          </w:tcPr>
          <w:p w14:paraId="3C219866">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28</w:t>
            </w:r>
          </w:p>
        </w:tc>
        <w:tc>
          <w:tcPr>
            <w:tcW w:w="2071" w:type="dxa"/>
            <w:tcBorders>
              <w:tl2br w:val="nil"/>
              <w:tr2bl w:val="nil"/>
            </w:tcBorders>
            <w:noWrap w:val="0"/>
            <w:vAlign w:val="center"/>
          </w:tcPr>
          <w:p w14:paraId="36B59986">
            <w:pPr>
              <w:pStyle w:val="54"/>
              <w:adjustRightInd w:val="0"/>
              <w:snapToGrid w:val="0"/>
              <w:spacing w:line="460" w:lineRule="exact"/>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合同履约期限</w:t>
            </w:r>
          </w:p>
        </w:tc>
        <w:tc>
          <w:tcPr>
            <w:tcW w:w="7161" w:type="dxa"/>
            <w:tcBorders>
              <w:tl2br w:val="nil"/>
              <w:tr2bl w:val="nil"/>
            </w:tcBorders>
            <w:noWrap w:val="0"/>
            <w:vAlign w:val="center"/>
          </w:tcPr>
          <w:p w14:paraId="5972896C">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30天</w:t>
            </w:r>
            <w:r>
              <w:rPr>
                <w:rFonts w:hint="eastAsia" w:ascii="仿宋" w:hAnsi="仿宋" w:eastAsia="仿宋" w:cs="仿宋"/>
                <w:kern w:val="0"/>
                <w:sz w:val="24"/>
                <w:szCs w:val="24"/>
                <w:highlight w:val="none"/>
                <w:lang w:bidi="ar"/>
              </w:rPr>
              <w:t>（具体以与招标人签订合同为准）</w:t>
            </w:r>
          </w:p>
        </w:tc>
      </w:tr>
      <w:tr w14:paraId="16EDEE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trPr>
        <w:tc>
          <w:tcPr>
            <w:tcW w:w="1117" w:type="dxa"/>
            <w:tcBorders>
              <w:tl2br w:val="nil"/>
              <w:tr2bl w:val="nil"/>
            </w:tcBorders>
            <w:noWrap w:val="0"/>
            <w:vAlign w:val="center"/>
          </w:tcPr>
          <w:p w14:paraId="6AE18D45">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w:t>
            </w:r>
          </w:p>
        </w:tc>
        <w:tc>
          <w:tcPr>
            <w:tcW w:w="2071" w:type="dxa"/>
            <w:tcBorders>
              <w:tl2br w:val="nil"/>
              <w:tr2bl w:val="nil"/>
            </w:tcBorders>
            <w:noWrap w:val="0"/>
            <w:vAlign w:val="center"/>
          </w:tcPr>
          <w:p w14:paraId="569CA9BC">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付款方式</w:t>
            </w:r>
          </w:p>
        </w:tc>
        <w:tc>
          <w:tcPr>
            <w:tcW w:w="7161" w:type="dxa"/>
            <w:tcBorders>
              <w:tl2br w:val="nil"/>
              <w:tr2bl w:val="nil"/>
            </w:tcBorders>
            <w:noWrap w:val="0"/>
            <w:vAlign w:val="center"/>
          </w:tcPr>
          <w:p w14:paraId="05018A42">
            <w:pPr>
              <w:pStyle w:val="54"/>
              <w:adjustRightInd w:val="0"/>
              <w:snapToGrid w:val="0"/>
              <w:spacing w:line="460" w:lineRule="exact"/>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成交供应商和甲方签订合同时约定支付</w:t>
            </w:r>
          </w:p>
        </w:tc>
      </w:tr>
      <w:tr w14:paraId="1136D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7" w:hRule="atLeast"/>
        </w:trPr>
        <w:tc>
          <w:tcPr>
            <w:tcW w:w="1117" w:type="dxa"/>
            <w:tcBorders>
              <w:tl2br w:val="nil"/>
              <w:tr2bl w:val="nil"/>
            </w:tcBorders>
            <w:noWrap w:val="0"/>
            <w:vAlign w:val="center"/>
          </w:tcPr>
          <w:p w14:paraId="72AA543A">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26</w:t>
            </w:r>
          </w:p>
        </w:tc>
        <w:tc>
          <w:tcPr>
            <w:tcW w:w="2071" w:type="dxa"/>
            <w:tcBorders>
              <w:tl2br w:val="nil"/>
              <w:tr2bl w:val="nil"/>
            </w:tcBorders>
            <w:noWrap w:val="0"/>
            <w:vAlign w:val="center"/>
          </w:tcPr>
          <w:p w14:paraId="5433D384">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服务</w:t>
            </w:r>
            <w:r>
              <w:rPr>
                <w:rFonts w:hint="eastAsia" w:ascii="仿宋" w:hAnsi="仿宋" w:eastAsia="仿宋" w:cs="仿宋"/>
                <w:b/>
                <w:bCs/>
                <w:sz w:val="24"/>
                <w:szCs w:val="24"/>
                <w:highlight w:val="none"/>
              </w:rPr>
              <w:t>地点</w:t>
            </w:r>
          </w:p>
        </w:tc>
        <w:tc>
          <w:tcPr>
            <w:tcW w:w="7161" w:type="dxa"/>
            <w:tcBorders>
              <w:tl2br w:val="nil"/>
              <w:tr2bl w:val="nil"/>
            </w:tcBorders>
            <w:noWrap w:val="0"/>
            <w:vAlign w:val="center"/>
          </w:tcPr>
          <w:p w14:paraId="65EA0412">
            <w:pPr>
              <w:pStyle w:val="54"/>
              <w:adjustRightInd w:val="0"/>
              <w:snapToGrid w:val="0"/>
              <w:spacing w:line="460" w:lineRule="exact"/>
              <w:jc w:val="left"/>
              <w:outlineLvl w:val="9"/>
              <w:rPr>
                <w:rFonts w:hint="eastAsia" w:ascii="仿宋" w:hAnsi="仿宋" w:eastAsia="仿宋" w:cs="仿宋"/>
                <w:sz w:val="24"/>
                <w:szCs w:val="24"/>
                <w:highlight w:val="none"/>
              </w:rPr>
            </w:pPr>
            <w:r>
              <w:rPr>
                <w:rFonts w:hint="eastAsia" w:ascii="仿宋" w:hAnsi="仿宋" w:eastAsia="仿宋" w:cs="仿宋"/>
                <w:bCs/>
                <w:sz w:val="24"/>
                <w:szCs w:val="24"/>
                <w:highlight w:val="none"/>
              </w:rPr>
              <w:t>由采购人指定地点。</w:t>
            </w:r>
          </w:p>
        </w:tc>
      </w:tr>
      <w:tr w14:paraId="7983CB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trPr>
        <w:tc>
          <w:tcPr>
            <w:tcW w:w="1117" w:type="dxa"/>
            <w:tcBorders>
              <w:tl2br w:val="nil"/>
              <w:tr2bl w:val="nil"/>
            </w:tcBorders>
            <w:noWrap w:val="0"/>
            <w:vAlign w:val="center"/>
          </w:tcPr>
          <w:p w14:paraId="39E3D6BB">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27</w:t>
            </w:r>
          </w:p>
        </w:tc>
        <w:tc>
          <w:tcPr>
            <w:tcW w:w="2071" w:type="dxa"/>
            <w:tcBorders>
              <w:tl2br w:val="nil"/>
              <w:tr2bl w:val="nil"/>
            </w:tcBorders>
            <w:noWrap w:val="0"/>
            <w:vAlign w:val="center"/>
          </w:tcPr>
          <w:p w14:paraId="7799C16C">
            <w:pPr>
              <w:pStyle w:val="105"/>
              <w:spacing w:line="460" w:lineRule="exact"/>
              <w:jc w:val="center"/>
              <w:outlineLvl w:val="9"/>
              <w:rPr>
                <w:rFonts w:hint="eastAsia" w:ascii="仿宋" w:hAnsi="仿宋" w:eastAsia="仿宋" w:cs="仿宋"/>
                <w:b/>
                <w:bCs/>
                <w:sz w:val="24"/>
                <w:highlight w:val="none"/>
              </w:rPr>
            </w:pPr>
            <w:r>
              <w:rPr>
                <w:rFonts w:hint="eastAsia" w:ascii="仿宋" w:hAnsi="仿宋" w:eastAsia="仿宋" w:cs="仿宋"/>
                <w:b/>
                <w:bCs/>
                <w:sz w:val="24"/>
                <w:highlight w:val="none"/>
              </w:rPr>
              <w:t>推荐成交候选供应商的数量</w:t>
            </w:r>
          </w:p>
        </w:tc>
        <w:tc>
          <w:tcPr>
            <w:tcW w:w="7161" w:type="dxa"/>
            <w:tcBorders>
              <w:tl2br w:val="nil"/>
              <w:tr2bl w:val="nil"/>
            </w:tcBorders>
            <w:noWrap w:val="0"/>
            <w:vAlign w:val="center"/>
          </w:tcPr>
          <w:p w14:paraId="5E7F3A81">
            <w:pPr>
              <w:pStyle w:val="105"/>
              <w:spacing w:line="460" w:lineRule="exact"/>
              <w:outlineLvl w:val="9"/>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家</w:t>
            </w:r>
          </w:p>
        </w:tc>
      </w:tr>
      <w:tr w14:paraId="3EFA9E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117" w:type="dxa"/>
            <w:tcBorders>
              <w:tl2br w:val="nil"/>
              <w:tr2bl w:val="nil"/>
            </w:tcBorders>
            <w:noWrap w:val="0"/>
            <w:vAlign w:val="center"/>
          </w:tcPr>
          <w:p w14:paraId="0ADFF133">
            <w:pPr>
              <w:pStyle w:val="54"/>
              <w:adjustRightInd w:val="0"/>
              <w:snapToGrid w:val="0"/>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28</w:t>
            </w:r>
          </w:p>
        </w:tc>
        <w:tc>
          <w:tcPr>
            <w:tcW w:w="2071" w:type="dxa"/>
            <w:tcBorders>
              <w:tl2br w:val="nil"/>
              <w:tr2bl w:val="nil"/>
            </w:tcBorders>
            <w:noWrap w:val="0"/>
            <w:vAlign w:val="center"/>
          </w:tcPr>
          <w:p w14:paraId="00AA82D3">
            <w:pPr>
              <w:pStyle w:val="105"/>
              <w:spacing w:line="460" w:lineRule="exact"/>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成交结果公示媒体</w:t>
            </w:r>
          </w:p>
        </w:tc>
        <w:tc>
          <w:tcPr>
            <w:tcW w:w="7161" w:type="dxa"/>
            <w:tcBorders>
              <w:tl2br w:val="nil"/>
              <w:tr2bl w:val="nil"/>
            </w:tcBorders>
            <w:noWrap w:val="0"/>
            <w:vAlign w:val="center"/>
          </w:tcPr>
          <w:p w14:paraId="77A59CB4">
            <w:pPr>
              <w:pStyle w:val="105"/>
              <w:spacing w:line="460" w:lineRule="exact"/>
              <w:outlineLvl w:val="9"/>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新疆政府采购网（http://www.ccgp-xinjiang.gov.cn）</w:t>
            </w:r>
            <w:r>
              <w:rPr>
                <w:rFonts w:hint="eastAsia" w:ascii="仿宋" w:hAnsi="仿宋" w:eastAsia="仿宋" w:cs="仿宋"/>
                <w:bCs/>
                <w:sz w:val="24"/>
                <w:szCs w:val="24"/>
                <w:highlight w:val="none"/>
                <w:lang w:eastAsia="zh-CN"/>
              </w:rPr>
              <w:t>、</w:t>
            </w:r>
            <w:r>
              <w:rPr>
                <w:rFonts w:hint="eastAsia" w:ascii="仿宋" w:hAnsi="仿宋" w:eastAsia="仿宋" w:cs="仿宋"/>
                <w:color w:val="000000"/>
                <w:sz w:val="24"/>
                <w:szCs w:val="24"/>
                <w:highlight w:val="none"/>
                <w:lang w:val="en-US" w:eastAsia="zh-CN"/>
              </w:rPr>
              <w:t>中国政府采购网（http://www.ccgp.gov.cn/）</w:t>
            </w:r>
          </w:p>
        </w:tc>
      </w:tr>
      <w:tr w14:paraId="5D7FD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117" w:type="dxa"/>
            <w:tcBorders>
              <w:tl2br w:val="nil"/>
              <w:tr2bl w:val="nil"/>
            </w:tcBorders>
            <w:noWrap w:val="0"/>
            <w:vAlign w:val="center"/>
          </w:tcPr>
          <w:p w14:paraId="167BA50A">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29</w:t>
            </w:r>
          </w:p>
        </w:tc>
        <w:tc>
          <w:tcPr>
            <w:tcW w:w="2071" w:type="dxa"/>
            <w:tcBorders>
              <w:tl2br w:val="nil"/>
              <w:tr2bl w:val="nil"/>
            </w:tcBorders>
            <w:noWrap w:val="0"/>
            <w:vAlign w:val="center"/>
          </w:tcPr>
          <w:p w14:paraId="418637E4">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仿宋" w:hAnsi="仿宋" w:eastAsia="仿宋" w:cs="仿宋"/>
                <w:b/>
                <w:bCs/>
                <w:sz w:val="24"/>
                <w:szCs w:val="24"/>
                <w:highlight w:val="none"/>
              </w:rPr>
            </w:pPr>
            <w:r>
              <w:rPr>
                <w:rFonts w:hint="eastAsia" w:ascii="仿宋" w:hAnsi="仿宋" w:eastAsia="仿宋" w:cs="仿宋"/>
                <w:color w:val="auto"/>
                <w:sz w:val="24"/>
                <w:szCs w:val="22"/>
                <w:highlight w:val="none"/>
              </w:rPr>
              <w:t>合同备案</w:t>
            </w:r>
          </w:p>
        </w:tc>
        <w:tc>
          <w:tcPr>
            <w:tcW w:w="7161" w:type="dxa"/>
            <w:tcBorders>
              <w:tl2br w:val="nil"/>
              <w:tr2bl w:val="nil"/>
            </w:tcBorders>
            <w:noWrap w:val="0"/>
            <w:vAlign w:val="top"/>
          </w:tcPr>
          <w:p w14:paraId="395990CB">
            <w:pPr>
              <w:numPr>
                <w:ilvl w:val="0"/>
                <w:numId w:val="0"/>
              </w:numPr>
              <w:spacing w:line="360" w:lineRule="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须在中标通知书发出之日起</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日内与采购人签订合同。</w:t>
            </w:r>
          </w:p>
          <w:p w14:paraId="380A4131">
            <w:pPr>
              <w:numPr>
                <w:ilvl w:val="0"/>
                <w:numId w:val="0"/>
              </w:numPr>
              <w:spacing w:line="360" w:lineRule="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与采购人签订合同后，</w:t>
            </w:r>
            <w:r>
              <w:rPr>
                <w:rFonts w:hint="eastAsia" w:ascii="仿宋" w:hAnsi="仿宋" w:eastAsia="仿宋" w:cs="仿宋"/>
                <w:sz w:val="24"/>
                <w:highlight w:val="none"/>
                <w:lang w:val="en-US" w:eastAsia="zh-CN"/>
              </w:rPr>
              <w:t>在</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个工作日</w:t>
            </w:r>
            <w:r>
              <w:rPr>
                <w:rFonts w:hint="eastAsia" w:ascii="仿宋" w:hAnsi="仿宋" w:eastAsia="仿宋" w:cs="仿宋"/>
                <w:sz w:val="24"/>
                <w:highlight w:val="none"/>
              </w:rPr>
              <w:t>内将合同扫描件电子版发给</w:t>
            </w:r>
            <w:r>
              <w:rPr>
                <w:rFonts w:hint="eastAsia" w:ascii="仿宋" w:hAnsi="仿宋" w:eastAsia="仿宋" w:cs="仿宋"/>
                <w:sz w:val="24"/>
                <w:szCs w:val="24"/>
                <w:highlight w:val="none"/>
              </w:rPr>
              <w:t>墨玉县众信智诚工程项目管理有限公司</w:t>
            </w:r>
            <w:r>
              <w:rPr>
                <w:rFonts w:hint="eastAsia" w:ascii="仿宋" w:hAnsi="仿宋" w:eastAsia="仿宋" w:cs="仿宋"/>
                <w:sz w:val="24"/>
                <w:highlight w:val="none"/>
              </w:rPr>
              <w:t>：邮箱：</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"mailto:3060380044@qq.com"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3060380044@qq.com</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highlight w:val="none"/>
              </w:rPr>
              <w:t>；</w:t>
            </w:r>
          </w:p>
          <w:p w14:paraId="042E7A00">
            <w:pPr>
              <w:numPr>
                <w:ilvl w:val="0"/>
                <w:numId w:val="0"/>
              </w:numPr>
              <w:spacing w:line="360" w:lineRule="auto"/>
              <w:ind w:left="0" w:leftChars="0" w:firstLine="0" w:firstLineChars="0"/>
              <w:outlineLvl w:val="9"/>
              <w:rPr>
                <w:rFonts w:hint="eastAsia" w:ascii="仿宋" w:hAnsi="仿宋" w:eastAsia="仿宋" w:cs="仿宋"/>
                <w:bCs/>
                <w:sz w:val="24"/>
                <w:szCs w:val="24"/>
                <w:highlight w:val="none"/>
              </w:rPr>
            </w:pPr>
            <w:r>
              <w:rPr>
                <w:rFonts w:hint="eastAsia" w:ascii="仿宋" w:hAnsi="仿宋" w:eastAsia="仿宋" w:cs="仿宋"/>
                <w:sz w:val="24"/>
                <w:highlight w:val="none"/>
              </w:rPr>
              <w:t>3、本项目政府采购合同按规定在</w:t>
            </w:r>
            <w:r>
              <w:rPr>
                <w:rFonts w:hint="eastAsia" w:ascii="仿宋" w:hAnsi="仿宋" w:eastAsia="仿宋" w:cs="仿宋"/>
                <w:sz w:val="24"/>
                <w:highlight w:val="none"/>
                <w:lang w:val="en-US" w:eastAsia="zh-CN"/>
              </w:rPr>
              <w:t>新疆</w:t>
            </w:r>
            <w:r>
              <w:rPr>
                <w:rFonts w:hint="eastAsia" w:ascii="仿宋" w:hAnsi="仿宋" w:eastAsia="仿宋" w:cs="仿宋"/>
                <w:sz w:val="24"/>
                <w:highlight w:val="none"/>
              </w:rPr>
              <w:t>政府采购网（</w:t>
            </w:r>
            <w:r>
              <w:rPr>
                <w:rFonts w:hint="eastAsia" w:ascii="仿宋" w:hAnsi="仿宋" w:eastAsia="仿宋" w:cs="仿宋"/>
                <w:color w:val="000000"/>
                <w:sz w:val="24"/>
                <w:szCs w:val="24"/>
                <w:highlight w:val="none"/>
                <w:lang w:val="en-US" w:eastAsia="zh-CN"/>
              </w:rPr>
              <w:t>http://</w:t>
            </w:r>
            <w:r>
              <w:rPr>
                <w:rFonts w:hint="eastAsia" w:ascii="仿宋" w:hAnsi="仿宋" w:eastAsia="仿宋" w:cs="仿宋"/>
                <w:sz w:val="24"/>
                <w:highlight w:val="none"/>
              </w:rPr>
              <w:t>www.ccgp-xinjiang.gov.cn/）</w:t>
            </w:r>
            <w:r>
              <w:rPr>
                <w:rFonts w:hint="eastAsia" w:ascii="仿宋" w:hAnsi="仿宋" w:eastAsia="仿宋" w:cs="仿宋"/>
                <w:sz w:val="24"/>
                <w:highlight w:val="none"/>
                <w:lang w:eastAsia="zh-CN"/>
              </w:rPr>
              <w:t>、</w:t>
            </w:r>
            <w:r>
              <w:rPr>
                <w:rFonts w:hint="eastAsia" w:ascii="仿宋" w:hAnsi="仿宋" w:eastAsia="仿宋" w:cs="仿宋"/>
                <w:color w:val="000000"/>
                <w:sz w:val="24"/>
                <w:szCs w:val="24"/>
                <w:highlight w:val="none"/>
                <w:lang w:val="en-US" w:eastAsia="zh-CN"/>
              </w:rPr>
              <w:t>中国政府采购网（http://www.ccgp.gov.cn/）</w:t>
            </w:r>
            <w:r>
              <w:rPr>
                <w:rFonts w:hint="eastAsia" w:ascii="仿宋" w:hAnsi="仿宋" w:eastAsia="仿宋" w:cs="仿宋"/>
                <w:sz w:val="24"/>
                <w:highlight w:val="none"/>
              </w:rPr>
              <w:t>予以公告。</w:t>
            </w:r>
          </w:p>
        </w:tc>
      </w:tr>
      <w:tr w14:paraId="24E64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117" w:type="dxa"/>
            <w:tcBorders>
              <w:tl2br w:val="nil"/>
              <w:tr2bl w:val="nil"/>
            </w:tcBorders>
            <w:noWrap w:val="0"/>
            <w:vAlign w:val="center"/>
          </w:tcPr>
          <w:p w14:paraId="799D621D">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30</w:t>
            </w:r>
          </w:p>
        </w:tc>
        <w:tc>
          <w:tcPr>
            <w:tcW w:w="2071" w:type="dxa"/>
            <w:tcBorders>
              <w:tl2br w:val="nil"/>
              <w:tr2bl w:val="nil"/>
            </w:tcBorders>
            <w:noWrap w:val="0"/>
            <w:vAlign w:val="center"/>
          </w:tcPr>
          <w:p w14:paraId="007A0F80">
            <w:pPr>
              <w:spacing w:line="360" w:lineRule="auto"/>
              <w:ind w:left="105" w:leftChars="0" w:hanging="105" w:firstLineChars="0"/>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质疑联系部门及</w:t>
            </w:r>
          </w:p>
          <w:p w14:paraId="0FE2BDB2">
            <w:pPr>
              <w:spacing w:line="360" w:lineRule="auto"/>
              <w:ind w:left="105" w:leftChars="0" w:hanging="105" w:firstLineChars="0"/>
              <w:jc w:val="center"/>
              <w:outlineLvl w:val="9"/>
              <w:rPr>
                <w:rFonts w:hint="eastAsia" w:ascii="仿宋" w:hAnsi="仿宋" w:eastAsia="仿宋" w:cs="仿宋"/>
                <w:sz w:val="24"/>
                <w:szCs w:val="24"/>
                <w:highlight w:val="none"/>
              </w:rPr>
            </w:pPr>
          </w:p>
          <w:p w14:paraId="30A7F844">
            <w:pPr>
              <w:spacing w:line="360" w:lineRule="auto"/>
              <w:ind w:left="105" w:leftChars="0" w:hanging="105" w:firstLineChars="0"/>
              <w:jc w:val="center"/>
              <w:outlineLvl w:val="9"/>
              <w:rPr>
                <w:rFonts w:hint="eastAsia" w:ascii="仿宋" w:hAnsi="仿宋" w:eastAsia="仿宋" w:cs="仿宋"/>
                <w:sz w:val="24"/>
                <w:szCs w:val="24"/>
                <w:highlight w:val="none"/>
              </w:rPr>
            </w:pPr>
          </w:p>
          <w:p w14:paraId="69179C11">
            <w:pPr>
              <w:spacing w:line="360" w:lineRule="auto"/>
              <w:jc w:val="center"/>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质疑联系部门及</w:t>
            </w:r>
            <w:r>
              <w:rPr>
                <w:rFonts w:hint="eastAsia" w:ascii="仿宋" w:hAnsi="仿宋" w:eastAsia="仿宋" w:cs="仿宋"/>
                <w:sz w:val="24"/>
                <w:szCs w:val="24"/>
                <w:highlight w:val="none"/>
              </w:rPr>
              <w:t>联系方式</w:t>
            </w:r>
          </w:p>
        </w:tc>
        <w:tc>
          <w:tcPr>
            <w:tcW w:w="7161" w:type="dxa"/>
            <w:tcBorders>
              <w:tl2br w:val="nil"/>
              <w:tr2bl w:val="nil"/>
            </w:tcBorders>
            <w:noWrap w:val="0"/>
            <w:vAlign w:val="center"/>
          </w:tcPr>
          <w:p w14:paraId="613EF488">
            <w:pPr>
              <w:spacing w:line="360" w:lineRule="auto"/>
              <w:ind w:right="0" w:firstLineChars="0"/>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采购代理机构：</w:t>
            </w:r>
            <w:r>
              <w:rPr>
                <w:rFonts w:hint="eastAsia" w:ascii="仿宋" w:hAnsi="仿宋" w:eastAsia="仿宋" w:cs="仿宋"/>
                <w:color w:val="000000"/>
                <w:sz w:val="24"/>
                <w:szCs w:val="24"/>
                <w:highlight w:val="none"/>
                <w:lang w:eastAsia="zh-CN"/>
              </w:rPr>
              <w:t xml:space="preserve">墨玉县众信智诚工程项目管理有限公司 </w:t>
            </w:r>
          </w:p>
          <w:p w14:paraId="5E1A6460">
            <w:pPr>
              <w:spacing w:line="360" w:lineRule="auto"/>
              <w:ind w:right="0" w:firstLineChars="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val="en-US" w:eastAsia="zh-CN"/>
              </w:rPr>
              <w:t>祖丽阿娅</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lang w:val="en-US" w:eastAsia="zh-CN"/>
              </w:rPr>
              <w:t xml:space="preserve">0903-6530990   </w:t>
            </w:r>
            <w:r>
              <w:rPr>
                <w:rFonts w:hint="eastAsia" w:ascii="仿宋" w:hAnsi="仿宋" w:eastAsia="仿宋" w:cs="仿宋"/>
                <w:color w:val="000000"/>
                <w:sz w:val="24"/>
                <w:szCs w:val="24"/>
                <w:highlight w:val="none"/>
              </w:rPr>
              <w:t xml:space="preserve"> </w:t>
            </w:r>
          </w:p>
          <w:p w14:paraId="75949B36">
            <w:pPr>
              <w:spacing w:line="360" w:lineRule="auto"/>
              <w:ind w:right="0" w:firstLineChars="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邮箱：</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"mailto:3060380044@qq.com"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3060380044@qq.com</w:t>
            </w:r>
            <w:r>
              <w:rPr>
                <w:rFonts w:hint="eastAsia" w:ascii="仿宋" w:hAnsi="仿宋" w:eastAsia="仿宋" w:cs="仿宋"/>
                <w:sz w:val="24"/>
                <w:szCs w:val="24"/>
                <w:highlight w:val="none"/>
                <w:lang w:val="en-US" w:eastAsia="zh-CN"/>
              </w:rPr>
              <w:fldChar w:fldCharType="end"/>
            </w:r>
          </w:p>
          <w:p w14:paraId="1E67C5BE">
            <w:pPr>
              <w:spacing w:line="360" w:lineRule="auto"/>
              <w:ind w:right="0" w:firstLineChars="0"/>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通讯地址：</w:t>
            </w:r>
            <w:r>
              <w:rPr>
                <w:rFonts w:hint="eastAsia" w:ascii="仿宋" w:hAnsi="仿宋" w:eastAsia="仿宋" w:cs="仿宋"/>
                <w:color w:val="000000"/>
                <w:sz w:val="24"/>
                <w:szCs w:val="24"/>
                <w:highlight w:val="none"/>
                <w:lang w:eastAsia="zh-CN"/>
              </w:rPr>
              <w:t xml:space="preserve">墨玉县乐民社区B栋二楼 </w:t>
            </w:r>
          </w:p>
          <w:p w14:paraId="1D18C530">
            <w:pPr>
              <w:spacing w:line="360" w:lineRule="auto"/>
              <w:ind w:right="0" w:firstLineChars="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b w:val="0"/>
                <w:bCs w:val="0"/>
                <w:kern w:val="2"/>
                <w:sz w:val="24"/>
                <w:szCs w:val="24"/>
                <w:highlight w:val="none"/>
                <w:lang w:val="en-US" w:eastAsia="zh-CN" w:bidi="ar-SA"/>
              </w:rPr>
              <w:t>墨玉县卫生健康委员会</w:t>
            </w:r>
          </w:p>
          <w:p w14:paraId="70F733F5">
            <w:pPr>
              <w:spacing w:line="360" w:lineRule="auto"/>
              <w:ind w:right="0" w:firstLineChars="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sz w:val="24"/>
                <w:szCs w:val="24"/>
                <w:highlight w:val="none"/>
                <w:lang w:val="en-US" w:eastAsia="zh-CN"/>
              </w:rPr>
              <w:t>热则耶</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lang w:val="en-US" w:eastAsia="zh-CN"/>
              </w:rPr>
              <w:t>0903-</w:t>
            </w:r>
            <w:r>
              <w:rPr>
                <w:rFonts w:hint="eastAsia" w:ascii="仿宋" w:hAnsi="仿宋" w:eastAsia="仿宋" w:cs="仿宋"/>
                <w:sz w:val="24"/>
                <w:szCs w:val="24"/>
                <w:highlight w:val="none"/>
                <w:lang w:val="zh-CN" w:eastAsia="zh-CN"/>
              </w:rPr>
              <w:t>65</w:t>
            </w:r>
            <w:r>
              <w:rPr>
                <w:rFonts w:hint="eastAsia" w:ascii="仿宋" w:hAnsi="仿宋" w:eastAsia="仿宋" w:cs="仿宋"/>
                <w:sz w:val="24"/>
                <w:szCs w:val="24"/>
                <w:highlight w:val="none"/>
                <w:lang w:val="en-US" w:eastAsia="zh-CN"/>
              </w:rPr>
              <w:t>12318</w:t>
            </w:r>
          </w:p>
          <w:p w14:paraId="662030A6">
            <w:pPr>
              <w:spacing w:line="360" w:lineRule="auto"/>
              <w:ind w:right="0" w:rightChars="0" w:firstLine="0" w:firstLineChars="0"/>
              <w:outlineLvl w:val="9"/>
              <w:rPr>
                <w:rFonts w:hint="eastAsia" w:ascii="仿宋" w:hAnsi="仿宋" w:eastAsia="仿宋" w:cs="仿宋"/>
                <w:bCs/>
                <w:sz w:val="24"/>
                <w:szCs w:val="24"/>
                <w:highlight w:val="none"/>
              </w:rPr>
            </w:pPr>
            <w:r>
              <w:rPr>
                <w:rFonts w:hint="eastAsia" w:ascii="仿宋" w:hAnsi="仿宋" w:eastAsia="仿宋" w:cs="仿宋"/>
                <w:color w:val="000000"/>
                <w:sz w:val="24"/>
                <w:szCs w:val="24"/>
                <w:highlight w:val="none"/>
              </w:rPr>
              <w:t>通讯地址：</w:t>
            </w:r>
            <w:r>
              <w:rPr>
                <w:rFonts w:hint="eastAsia" w:ascii="仿宋" w:hAnsi="仿宋" w:eastAsia="仿宋" w:cs="仿宋"/>
                <w:b w:val="0"/>
                <w:bCs w:val="0"/>
                <w:kern w:val="2"/>
                <w:sz w:val="24"/>
                <w:szCs w:val="24"/>
                <w:highlight w:val="none"/>
                <w:lang w:val="en-US" w:eastAsia="zh-CN" w:bidi="ar-SA"/>
              </w:rPr>
              <w:t>墨玉县库木鲁克南路49号</w:t>
            </w:r>
          </w:p>
        </w:tc>
      </w:tr>
      <w:tr w14:paraId="5B573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117" w:type="dxa"/>
            <w:tcBorders>
              <w:tl2br w:val="nil"/>
              <w:tr2bl w:val="nil"/>
            </w:tcBorders>
            <w:noWrap w:val="0"/>
            <w:vAlign w:val="center"/>
          </w:tcPr>
          <w:p w14:paraId="498C9D19">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31</w:t>
            </w:r>
          </w:p>
        </w:tc>
        <w:tc>
          <w:tcPr>
            <w:tcW w:w="2071" w:type="dxa"/>
            <w:tcBorders>
              <w:tl2br w:val="nil"/>
              <w:tr2bl w:val="nil"/>
            </w:tcBorders>
            <w:noWrap w:val="0"/>
            <w:vAlign w:val="center"/>
          </w:tcPr>
          <w:p w14:paraId="271AE32E">
            <w:pPr>
              <w:spacing w:line="360" w:lineRule="auto"/>
              <w:ind w:left="105" w:leftChars="0" w:hanging="105" w:firstLineChars="0"/>
              <w:jc w:val="center"/>
              <w:outlineLvl w:val="9"/>
              <w:rPr>
                <w:rFonts w:hint="eastAsia" w:ascii="仿宋" w:hAnsi="仿宋" w:eastAsia="仿宋" w:cs="仿宋"/>
                <w:b/>
                <w:bCs/>
                <w:sz w:val="24"/>
                <w:szCs w:val="24"/>
                <w:highlight w:val="none"/>
              </w:rPr>
            </w:pPr>
            <w:r>
              <w:rPr>
                <w:rFonts w:hint="eastAsia" w:ascii="仿宋" w:hAnsi="仿宋" w:eastAsia="仿宋" w:cs="仿宋"/>
                <w:color w:val="000000"/>
                <w:sz w:val="24"/>
                <w:szCs w:val="24"/>
                <w:highlight w:val="none"/>
              </w:rPr>
              <w:t>现场提交质疑办理业务时间</w:t>
            </w:r>
          </w:p>
        </w:tc>
        <w:tc>
          <w:tcPr>
            <w:tcW w:w="7161" w:type="dxa"/>
            <w:tcBorders>
              <w:tl2br w:val="nil"/>
              <w:tr2bl w:val="nil"/>
            </w:tcBorders>
            <w:noWrap w:val="0"/>
            <w:vAlign w:val="center"/>
          </w:tcPr>
          <w:p w14:paraId="1EA04D6A">
            <w:pPr>
              <w:spacing w:line="360" w:lineRule="auto"/>
              <w:ind w:right="0" w:rightChars="0" w:firstLine="0" w:firstLineChars="0"/>
              <w:outlineLvl w:val="9"/>
              <w:rPr>
                <w:rFonts w:hint="eastAsia" w:ascii="仿宋" w:hAnsi="仿宋" w:eastAsia="仿宋" w:cs="仿宋"/>
                <w:bCs/>
                <w:sz w:val="24"/>
                <w:szCs w:val="24"/>
                <w:highlight w:val="none"/>
              </w:rPr>
            </w:pPr>
            <w:r>
              <w:rPr>
                <w:rFonts w:hint="eastAsia" w:ascii="仿宋" w:hAnsi="仿宋" w:eastAsia="仿宋" w:cs="仿宋"/>
                <w:color w:val="000000"/>
                <w:sz w:val="24"/>
                <w:szCs w:val="24"/>
                <w:highlight w:val="none"/>
              </w:rPr>
              <w:t>质疑期内每个工作日10时00分到14时00分，1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时</w:t>
            </w:r>
            <w:r>
              <w:rPr>
                <w:rFonts w:hint="eastAsia" w:ascii="仿宋" w:hAnsi="仿宋" w:eastAsia="仿宋" w:cs="仿宋"/>
                <w:color w:val="000000"/>
                <w:sz w:val="24"/>
                <w:szCs w:val="24"/>
                <w:highlight w:val="none"/>
                <w:lang w:val="en-US" w:eastAsia="zh-CN"/>
              </w:rPr>
              <w:t>00</w:t>
            </w:r>
            <w:r>
              <w:rPr>
                <w:rFonts w:hint="eastAsia" w:ascii="仿宋" w:hAnsi="仿宋" w:eastAsia="仿宋" w:cs="仿宋"/>
                <w:color w:val="000000"/>
                <w:sz w:val="24"/>
                <w:szCs w:val="24"/>
                <w:highlight w:val="none"/>
              </w:rPr>
              <w:t>分到</w:t>
            </w: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时</w:t>
            </w:r>
            <w:r>
              <w:rPr>
                <w:rFonts w:hint="eastAsia" w:ascii="仿宋" w:hAnsi="仿宋" w:eastAsia="仿宋" w:cs="仿宋"/>
                <w:color w:val="000000"/>
                <w:sz w:val="24"/>
                <w:szCs w:val="24"/>
                <w:highlight w:val="none"/>
                <w:lang w:val="en-US" w:eastAsia="zh-CN"/>
              </w:rPr>
              <w:t>00</w:t>
            </w:r>
            <w:r>
              <w:rPr>
                <w:rFonts w:hint="eastAsia" w:ascii="仿宋" w:hAnsi="仿宋" w:eastAsia="仿宋" w:cs="仿宋"/>
                <w:color w:val="000000"/>
                <w:sz w:val="24"/>
                <w:szCs w:val="24"/>
                <w:highlight w:val="none"/>
              </w:rPr>
              <w:t>分</w:t>
            </w:r>
          </w:p>
        </w:tc>
      </w:tr>
      <w:tr w14:paraId="7282F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7" w:type="dxa"/>
            <w:tcBorders>
              <w:tl2br w:val="nil"/>
              <w:tr2bl w:val="nil"/>
            </w:tcBorders>
            <w:noWrap w:val="0"/>
            <w:vAlign w:val="center"/>
          </w:tcPr>
          <w:p w14:paraId="39538F67">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32</w:t>
            </w:r>
          </w:p>
        </w:tc>
        <w:tc>
          <w:tcPr>
            <w:tcW w:w="2071" w:type="dxa"/>
            <w:tcBorders>
              <w:tl2br w:val="nil"/>
              <w:tr2bl w:val="nil"/>
            </w:tcBorders>
            <w:noWrap w:val="0"/>
            <w:vAlign w:val="center"/>
          </w:tcPr>
          <w:p w14:paraId="43C1404C">
            <w:pPr>
              <w:spacing w:line="360" w:lineRule="auto"/>
              <w:ind w:left="105" w:leftChars="0" w:hanging="105" w:firstLineChars="0"/>
              <w:jc w:val="center"/>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rPr>
              <w:t>投诉</w:t>
            </w:r>
          </w:p>
        </w:tc>
        <w:tc>
          <w:tcPr>
            <w:tcW w:w="7161" w:type="dxa"/>
            <w:tcBorders>
              <w:tl2br w:val="nil"/>
              <w:tr2bl w:val="nil"/>
            </w:tcBorders>
            <w:noWrap w:val="0"/>
            <w:vAlign w:val="center"/>
          </w:tcPr>
          <w:p w14:paraId="2AAF6D4F">
            <w:pPr>
              <w:spacing w:line="360" w:lineRule="auto"/>
              <w:ind w:left="105" w:hanging="105"/>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（1）质疑供应商对采购人、采购代理机构的答复不满意或者采购人、采购代理机构未在规定的时间内作出答复的，可以在答复期满后十五个工作日内向同级政府采购监督管理部门投诉。 </w:t>
            </w:r>
          </w:p>
          <w:p w14:paraId="3E203345">
            <w:pPr>
              <w:spacing w:line="360" w:lineRule="auto"/>
              <w:ind w:left="105" w:hanging="105"/>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（2）质疑、投诉应当采用书面或邮件形式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经过质疑的事项才可投诉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，质疑书、投诉书均应明确阐述招标文件 、采购过程或中标结果中使自己合法权益受到损害的实质性内容，提供相关事实、依据和证据及其来源或线索，便于有关单位调查、答复和处理。</w:t>
            </w:r>
          </w:p>
          <w:p w14:paraId="2DD08F4B">
            <w:pPr>
              <w:spacing w:line="360" w:lineRule="auto"/>
              <w:ind w:left="105" w:hanging="105"/>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注：根据《中华人民共和国政府采购法实施条例》的规定，供应商投诉事项不得超出已质疑事项的范围。</w:t>
            </w:r>
          </w:p>
          <w:p w14:paraId="75C12ACC">
            <w:pPr>
              <w:spacing w:line="360" w:lineRule="auto"/>
              <w:ind w:left="105" w:hanging="105"/>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同级政府采购监督管理部门 </w:t>
            </w:r>
          </w:p>
          <w:p w14:paraId="5B565EB1">
            <w:pPr>
              <w:spacing w:line="360" w:lineRule="auto"/>
              <w:ind w:left="105" w:hanging="105"/>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墨玉县财政局</w:t>
            </w:r>
            <w:r>
              <w:rPr>
                <w:rFonts w:hint="eastAsia" w:ascii="仿宋" w:hAnsi="仿宋" w:eastAsia="仿宋" w:cs="仿宋"/>
                <w:sz w:val="24"/>
                <w:szCs w:val="24"/>
                <w:highlight w:val="none"/>
                <w:lang w:val="en-US" w:eastAsia="zh-CN"/>
              </w:rPr>
              <w:t>采购办</w:t>
            </w:r>
          </w:p>
          <w:p w14:paraId="085D5420">
            <w:pPr>
              <w:spacing w:line="360" w:lineRule="auto"/>
              <w:ind w:left="105" w:hanging="105"/>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墨玉县行政服务中心</w:t>
            </w:r>
            <w:r>
              <w:rPr>
                <w:rFonts w:hint="eastAsia" w:ascii="仿宋" w:hAnsi="仿宋" w:eastAsia="仿宋" w:cs="仿宋"/>
                <w:sz w:val="24"/>
                <w:szCs w:val="24"/>
                <w:highlight w:val="none"/>
                <w:lang w:val="en-US" w:eastAsia="zh-CN"/>
              </w:rPr>
              <w:t>325办公室</w:t>
            </w:r>
          </w:p>
          <w:p w14:paraId="0E05F020">
            <w:pPr>
              <w:spacing w:line="360" w:lineRule="auto"/>
              <w:ind w:left="105" w:leftChars="0" w:hanging="105" w:firstLineChars="0"/>
              <w:jc w:val="left"/>
              <w:outlineLvl w:val="9"/>
              <w:rPr>
                <w:rFonts w:hint="eastAsia" w:ascii="仿宋" w:hAnsi="仿宋" w:eastAsia="仿宋" w:cs="仿宋"/>
                <w:bCs/>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0903-6565062</w:t>
            </w:r>
          </w:p>
        </w:tc>
      </w:tr>
      <w:tr w14:paraId="0281C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117" w:type="dxa"/>
            <w:tcBorders>
              <w:tl2br w:val="nil"/>
              <w:tr2bl w:val="nil"/>
            </w:tcBorders>
            <w:noWrap w:val="0"/>
            <w:vAlign w:val="center"/>
          </w:tcPr>
          <w:p w14:paraId="446B0FD8">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33</w:t>
            </w:r>
          </w:p>
        </w:tc>
        <w:tc>
          <w:tcPr>
            <w:tcW w:w="2071" w:type="dxa"/>
            <w:tcBorders>
              <w:tl2br w:val="nil"/>
              <w:tr2bl w:val="nil"/>
            </w:tcBorders>
            <w:noWrap w:val="0"/>
            <w:vAlign w:val="center"/>
          </w:tcPr>
          <w:p w14:paraId="74C7461C">
            <w:pPr>
              <w:pStyle w:val="105"/>
              <w:spacing w:line="360" w:lineRule="auto"/>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信用信誉查询</w:t>
            </w:r>
          </w:p>
        </w:tc>
        <w:tc>
          <w:tcPr>
            <w:tcW w:w="7161" w:type="dxa"/>
            <w:tcBorders>
              <w:tl2br w:val="nil"/>
              <w:tr2bl w:val="nil"/>
            </w:tcBorders>
            <w:noWrap w:val="0"/>
            <w:vAlign w:val="center"/>
          </w:tcPr>
          <w:p w14:paraId="64A9C248">
            <w:pPr>
              <w:pStyle w:val="55"/>
              <w:spacing w:line="360" w:lineRule="auto"/>
              <w:ind w:left="0" w:leftChars="0" w:firstLine="0" w:firstLineChars="0"/>
              <w:outlineLvl w:val="9"/>
              <w:rPr>
                <w:rFonts w:hint="eastAsia" w:ascii="仿宋" w:hAnsi="仿宋" w:eastAsia="仿宋" w:cs="仿宋"/>
                <w:sz w:val="24"/>
                <w:szCs w:val="28"/>
                <w:highlight w:val="none"/>
              </w:rPr>
            </w:pPr>
            <w:r>
              <w:rPr>
                <w:rFonts w:hint="eastAsia" w:ascii="仿宋" w:hAnsi="仿宋" w:eastAsia="仿宋" w:cs="仿宋"/>
                <w:sz w:val="24"/>
                <w:szCs w:val="28"/>
                <w:highlight w:val="none"/>
              </w:rPr>
              <w:t>查询渠道：信用中国网站（</w:t>
            </w:r>
            <w:r>
              <w:rPr>
                <w:rFonts w:hint="eastAsia" w:ascii="仿宋" w:hAnsi="仿宋" w:eastAsia="仿宋" w:cs="仿宋"/>
                <w:color w:val="000000"/>
                <w:sz w:val="24"/>
                <w:szCs w:val="24"/>
                <w:highlight w:val="none"/>
                <w:lang w:val="en-US" w:eastAsia="zh-CN"/>
              </w:rPr>
              <w:t>http://</w:t>
            </w:r>
            <w:r>
              <w:rPr>
                <w:rFonts w:hint="eastAsia" w:ascii="仿宋" w:hAnsi="仿宋" w:eastAsia="仿宋" w:cs="仿宋"/>
                <w:sz w:val="24"/>
                <w:szCs w:val="28"/>
                <w:highlight w:val="none"/>
              </w:rPr>
              <w:t>www.creditchina.gov.cn</w:t>
            </w:r>
            <w:r>
              <w:rPr>
                <w:rFonts w:hint="eastAsia" w:ascii="仿宋" w:hAnsi="仿宋" w:eastAsia="仿宋" w:cs="仿宋"/>
                <w:sz w:val="24"/>
                <w:szCs w:val="28"/>
                <w:highlight w:val="none"/>
                <w:lang w:val="en-US" w:eastAsia="zh-CN"/>
              </w:rPr>
              <w:t>)、</w:t>
            </w:r>
            <w:r>
              <w:rPr>
                <w:rFonts w:hint="eastAsia" w:ascii="仿宋" w:hAnsi="仿宋" w:eastAsia="仿宋" w:cs="仿宋"/>
                <w:sz w:val="24"/>
                <w:szCs w:val="28"/>
                <w:highlight w:val="none"/>
              </w:rPr>
              <w:t>中国政府采购网</w:t>
            </w:r>
            <w:r>
              <w:rPr>
                <w:rFonts w:hint="eastAsia" w:ascii="仿宋" w:hAnsi="仿宋" w:eastAsia="仿宋" w:cs="仿宋"/>
                <w:sz w:val="24"/>
                <w:szCs w:val="28"/>
                <w:highlight w:val="none"/>
                <w:lang w:eastAsia="zh-CN"/>
              </w:rPr>
              <w:t>（</w:t>
            </w:r>
            <w:r>
              <w:rPr>
                <w:rFonts w:hint="eastAsia" w:ascii="仿宋" w:hAnsi="仿宋" w:eastAsia="仿宋" w:cs="仿宋"/>
                <w:color w:val="000000"/>
                <w:sz w:val="24"/>
                <w:szCs w:val="24"/>
                <w:highlight w:val="none"/>
                <w:lang w:val="en-US" w:eastAsia="zh-CN"/>
              </w:rPr>
              <w:t>http://</w:t>
            </w:r>
            <w:r>
              <w:rPr>
                <w:rFonts w:hint="eastAsia" w:ascii="仿宋" w:hAnsi="仿宋" w:eastAsia="仿宋" w:cs="仿宋"/>
                <w:sz w:val="24"/>
                <w:szCs w:val="28"/>
                <w:highlight w:val="none"/>
              </w:rPr>
              <w:t>www.ccgp.gov.cn）；</w:t>
            </w:r>
          </w:p>
          <w:p w14:paraId="679A39C2">
            <w:pPr>
              <w:pStyle w:val="55"/>
              <w:spacing w:line="360" w:lineRule="auto"/>
              <w:ind w:left="0" w:leftChars="0" w:firstLine="0" w:firstLineChars="0"/>
              <w:outlineLvl w:val="9"/>
              <w:rPr>
                <w:rFonts w:hint="eastAsia" w:ascii="仿宋" w:hAnsi="仿宋" w:eastAsia="仿宋" w:cs="仿宋"/>
                <w:sz w:val="24"/>
                <w:szCs w:val="28"/>
                <w:highlight w:val="none"/>
              </w:rPr>
            </w:pPr>
            <w:r>
              <w:rPr>
                <w:rFonts w:hint="eastAsia" w:ascii="仿宋" w:hAnsi="仿宋" w:eastAsia="仿宋" w:cs="仿宋"/>
                <w:sz w:val="24"/>
                <w:szCs w:val="28"/>
                <w:highlight w:val="none"/>
              </w:rPr>
              <w:t>截止时点：投标截止时间以后、资格审查阶段采购人或采购代理机构</w:t>
            </w:r>
            <w:r>
              <w:rPr>
                <w:rFonts w:hint="eastAsia" w:ascii="仿宋" w:hAnsi="仿宋" w:eastAsia="仿宋" w:cs="仿宋"/>
                <w:sz w:val="24"/>
                <w:szCs w:val="28"/>
                <w:highlight w:val="none"/>
                <w:lang w:val="en-US" w:eastAsia="zh-CN"/>
              </w:rPr>
              <w:t>或磋商小组</w:t>
            </w:r>
            <w:r>
              <w:rPr>
                <w:rFonts w:hint="eastAsia" w:ascii="仿宋" w:hAnsi="仿宋" w:eastAsia="仿宋" w:cs="仿宋"/>
                <w:sz w:val="24"/>
                <w:szCs w:val="28"/>
                <w:highlight w:val="none"/>
              </w:rPr>
              <w:t>的实际查询时间；</w:t>
            </w:r>
          </w:p>
          <w:p w14:paraId="6EB281B9">
            <w:pPr>
              <w:pStyle w:val="55"/>
              <w:spacing w:line="360" w:lineRule="auto"/>
              <w:ind w:left="0" w:leftChars="0" w:firstLine="0" w:firstLineChars="0"/>
              <w:outlineLvl w:val="9"/>
              <w:rPr>
                <w:rFonts w:hint="eastAsia" w:ascii="仿宋" w:hAnsi="仿宋" w:eastAsia="仿宋" w:cs="仿宋"/>
                <w:highlight w:val="none"/>
              </w:rPr>
            </w:pPr>
            <w:r>
              <w:rPr>
                <w:rFonts w:hint="eastAsia" w:ascii="仿宋" w:hAnsi="仿宋" w:eastAsia="仿宋" w:cs="仿宋"/>
                <w:sz w:val="24"/>
                <w:szCs w:val="28"/>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r>
      <w:tr w14:paraId="529DC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7" w:hRule="atLeast"/>
        </w:trPr>
        <w:tc>
          <w:tcPr>
            <w:tcW w:w="1117" w:type="dxa"/>
            <w:tcBorders>
              <w:tl2br w:val="nil"/>
              <w:tr2bl w:val="nil"/>
            </w:tcBorders>
            <w:noWrap w:val="0"/>
            <w:vAlign w:val="center"/>
          </w:tcPr>
          <w:p w14:paraId="6398EAB8">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4</w:t>
            </w:r>
          </w:p>
        </w:tc>
        <w:tc>
          <w:tcPr>
            <w:tcW w:w="2071" w:type="dxa"/>
            <w:tcBorders>
              <w:tl2br w:val="nil"/>
              <w:tr2bl w:val="nil"/>
            </w:tcBorders>
            <w:noWrap w:val="0"/>
            <w:vAlign w:val="center"/>
          </w:tcPr>
          <w:p w14:paraId="453678F4">
            <w:pPr>
              <w:pStyle w:val="105"/>
              <w:spacing w:line="460" w:lineRule="exact"/>
              <w:jc w:val="center"/>
              <w:outlineLvl w:val="9"/>
              <w:rPr>
                <w:rFonts w:hint="eastAsia" w:ascii="仿宋" w:hAnsi="仿宋" w:eastAsia="仿宋" w:cs="仿宋"/>
                <w:b/>
                <w:bCs/>
                <w:sz w:val="24"/>
                <w:highlight w:val="none"/>
              </w:rPr>
            </w:pPr>
            <w:r>
              <w:rPr>
                <w:rFonts w:hint="eastAsia" w:ascii="仿宋" w:hAnsi="仿宋" w:eastAsia="仿宋" w:cs="仿宋"/>
                <w:b/>
                <w:sz w:val="24"/>
                <w:highlight w:val="none"/>
              </w:rPr>
              <w:t>解释权</w:t>
            </w:r>
          </w:p>
        </w:tc>
        <w:tc>
          <w:tcPr>
            <w:tcW w:w="7161" w:type="dxa"/>
            <w:tcBorders>
              <w:tl2br w:val="nil"/>
              <w:tr2bl w:val="nil"/>
            </w:tcBorders>
            <w:noWrap w:val="0"/>
            <w:vAlign w:val="center"/>
          </w:tcPr>
          <w:p w14:paraId="744BA01E">
            <w:pPr>
              <w:pStyle w:val="56"/>
              <w:spacing w:line="460" w:lineRule="exact"/>
              <w:outlineLvl w:val="9"/>
              <w:rPr>
                <w:rFonts w:hint="eastAsia" w:ascii="仿宋" w:hAnsi="仿宋" w:eastAsia="仿宋" w:cs="仿宋"/>
                <w:sz w:val="24"/>
                <w:highlight w:val="none"/>
              </w:rPr>
            </w:pPr>
            <w:r>
              <w:rPr>
                <w:rFonts w:hint="eastAsia" w:ascii="仿宋" w:hAnsi="仿宋" w:eastAsia="仿宋" w:cs="仿宋"/>
                <w:sz w:val="24"/>
                <w:szCs w:val="24"/>
                <w:highlight w:val="none"/>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5CA93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5" w:hRule="atLeast"/>
        </w:trPr>
        <w:tc>
          <w:tcPr>
            <w:tcW w:w="1117" w:type="dxa"/>
            <w:tcBorders>
              <w:tl2br w:val="nil"/>
              <w:tr2bl w:val="nil"/>
            </w:tcBorders>
            <w:noWrap w:val="0"/>
            <w:vAlign w:val="center"/>
          </w:tcPr>
          <w:p w14:paraId="481F660C">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5</w:t>
            </w:r>
          </w:p>
        </w:tc>
        <w:tc>
          <w:tcPr>
            <w:tcW w:w="2071" w:type="dxa"/>
            <w:tcBorders>
              <w:tl2br w:val="nil"/>
              <w:tr2bl w:val="nil"/>
            </w:tcBorders>
            <w:noWrap w:val="0"/>
            <w:vAlign w:val="center"/>
          </w:tcPr>
          <w:p w14:paraId="77187073">
            <w:pPr>
              <w:pStyle w:val="16"/>
              <w:autoSpaceDE w:val="0"/>
              <w:autoSpaceDN w:val="0"/>
              <w:adjustRightInd w:val="0"/>
              <w:spacing w:line="460" w:lineRule="exact"/>
              <w:jc w:val="center"/>
              <w:outlineLvl w:val="9"/>
              <w:rPr>
                <w:rFonts w:hint="eastAsia" w:ascii="仿宋" w:hAnsi="仿宋" w:eastAsia="仿宋" w:cs="仿宋"/>
                <w:b/>
                <w:sz w:val="24"/>
                <w:highlight w:val="none"/>
              </w:rPr>
            </w:pPr>
            <w:r>
              <w:rPr>
                <w:rFonts w:hint="eastAsia" w:ascii="仿宋" w:hAnsi="仿宋" w:eastAsia="仿宋" w:cs="仿宋"/>
                <w:b/>
                <w:kern w:val="0"/>
                <w:sz w:val="24"/>
                <w:szCs w:val="24"/>
                <w:highlight w:val="none"/>
              </w:rPr>
              <w:t>评标过程中的澄清、说明或补正</w:t>
            </w:r>
          </w:p>
        </w:tc>
        <w:tc>
          <w:tcPr>
            <w:tcW w:w="7161" w:type="dxa"/>
            <w:tcBorders>
              <w:tl2br w:val="nil"/>
              <w:tr2bl w:val="nil"/>
            </w:tcBorders>
            <w:noWrap w:val="0"/>
            <w:vAlign w:val="center"/>
          </w:tcPr>
          <w:p w14:paraId="1C3EC441">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1、系统询标：</w:t>
            </w:r>
          </w:p>
          <w:p w14:paraId="49FF0E50">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（1）评标委员会通过政采云平台系统将需要澄清、说明补正的内容以询标函的形式发送给投标人，投标人应安排专人登录政采云平台并保持在线状态，以便及时接收评标委员会可能发出的询标函。</w:t>
            </w:r>
          </w:p>
          <w:p w14:paraId="4976F10B">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（2）因投标人未登录政采云平台导致无法及时接收询标函（远程网上询标）或未在规定时间按评标委员会要求进行澄清、说明或补正内容的视同投标人放弃</w:t>
            </w:r>
            <w:r>
              <w:rPr>
                <w:rFonts w:hint="eastAsia" w:ascii="仿宋" w:hAnsi="仿宋" w:eastAsia="仿宋" w:cs="仿宋"/>
                <w:sz w:val="24"/>
                <w:szCs w:val="24"/>
                <w:highlight w:val="none"/>
                <w:lang w:eastAsia="zh-CN"/>
              </w:rPr>
              <w:t>澄</w:t>
            </w:r>
            <w:r>
              <w:rPr>
                <w:rFonts w:hint="eastAsia" w:ascii="仿宋" w:hAnsi="仿宋" w:eastAsia="仿宋" w:cs="仿宋"/>
                <w:sz w:val="24"/>
                <w:szCs w:val="24"/>
                <w:highlight w:val="none"/>
              </w:rPr>
              <w:t>清、说明或补正内容的权利，评标委员会可按对投标人不利的解释进行判定。</w:t>
            </w:r>
          </w:p>
          <w:p w14:paraId="137BE02F">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2、电话询标：向投标人指定的授权委托人电话询标，确认被询标人回复。</w:t>
            </w:r>
          </w:p>
          <w:p w14:paraId="66AE3B93">
            <w:pPr>
              <w:pStyle w:val="65"/>
              <w:spacing w:before="0" w:beforeAutospacing="0" w:after="0" w:afterAutospacing="0" w:line="460" w:lineRule="exact"/>
              <w:outlineLvl w:val="9"/>
              <w:rPr>
                <w:rFonts w:hint="eastAsia" w:ascii="仿宋" w:hAnsi="仿宋" w:eastAsia="仿宋" w:cs="仿宋"/>
                <w:highlight w:val="none"/>
              </w:rPr>
            </w:pPr>
            <w:r>
              <w:rPr>
                <w:rFonts w:hint="eastAsia" w:ascii="仿宋" w:hAnsi="仿宋" w:eastAsia="仿宋" w:cs="仿宋"/>
                <w:b/>
                <w:bCs/>
                <w:highlight w:val="none"/>
              </w:rPr>
              <w:t>注：投标人须在</w:t>
            </w:r>
            <w:r>
              <w:rPr>
                <w:rFonts w:hint="eastAsia" w:ascii="仿宋" w:hAnsi="仿宋" w:eastAsia="仿宋" w:cs="仿宋"/>
                <w:b/>
                <w:bCs/>
                <w:highlight w:val="none"/>
                <w:lang w:val="en-US" w:eastAsia="zh-CN"/>
              </w:rPr>
              <w:t>30</w:t>
            </w:r>
            <w:r>
              <w:rPr>
                <w:rFonts w:hint="eastAsia" w:ascii="仿宋" w:hAnsi="仿宋" w:eastAsia="仿宋" w:cs="仿宋"/>
                <w:b/>
                <w:bCs/>
                <w:highlight w:val="none"/>
              </w:rPr>
              <w:t>分钟内回复，否则视为放弃澄清。</w:t>
            </w:r>
          </w:p>
        </w:tc>
      </w:tr>
      <w:tr w14:paraId="7D817F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1117" w:type="dxa"/>
            <w:tcBorders>
              <w:tl2br w:val="nil"/>
              <w:tr2bl w:val="nil"/>
            </w:tcBorders>
            <w:noWrap w:val="0"/>
            <w:vAlign w:val="center"/>
          </w:tcPr>
          <w:p w14:paraId="253B80AD">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6</w:t>
            </w:r>
          </w:p>
        </w:tc>
        <w:tc>
          <w:tcPr>
            <w:tcW w:w="2071" w:type="dxa"/>
            <w:tcBorders>
              <w:tl2br w:val="nil"/>
              <w:tr2bl w:val="nil"/>
            </w:tcBorders>
            <w:noWrap w:val="0"/>
            <w:vAlign w:val="center"/>
          </w:tcPr>
          <w:p w14:paraId="4FE7AFD3">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其他说明</w:t>
            </w:r>
            <w:r>
              <w:rPr>
                <w:rFonts w:hint="eastAsia" w:ascii="仿宋" w:hAnsi="仿宋" w:eastAsia="仿宋" w:cs="仿宋"/>
                <w:b/>
                <w:bCs/>
                <w:sz w:val="24"/>
                <w:szCs w:val="24"/>
                <w:highlight w:val="none"/>
                <w:lang w:val="en-US" w:eastAsia="zh-CN"/>
              </w:rPr>
              <w:t>1</w:t>
            </w:r>
          </w:p>
        </w:tc>
        <w:tc>
          <w:tcPr>
            <w:tcW w:w="7161" w:type="dxa"/>
            <w:tcBorders>
              <w:tl2br w:val="nil"/>
              <w:tr2bl w:val="nil"/>
            </w:tcBorders>
            <w:noWrap w:val="0"/>
            <w:vAlign w:val="center"/>
          </w:tcPr>
          <w:p w14:paraId="5150F9AB">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1、供应商应依照磋商文件要求在响应文件中提供相关材料原件的扫描件。</w:t>
            </w:r>
          </w:p>
          <w:p w14:paraId="47609A21">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2、各供应商在网上及时查询本项目的澄清、修改和补充等内容，如未及时查询相关内容，造成后果自行承担。</w:t>
            </w:r>
          </w:p>
          <w:p w14:paraId="758347BE">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3、在磋商过程直至签订合同前的任何时间，如经证实发现供应商提供虚假响应资料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包括技术支持资料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或信息骗取中标的，或者未按本磋商文件要求提交履约保证金的（如有要求），将取消其中标资格，没收其磋商保证金，并报主管部门备案。</w:t>
            </w:r>
          </w:p>
          <w:p w14:paraId="761E8E63">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4、关于磋商保证金的退还：</w:t>
            </w:r>
          </w:p>
          <w:p w14:paraId="2A99BA40">
            <w:pPr>
              <w:pStyle w:val="56"/>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为确保投标保证金的及时退还，结果公示后投标企业需提供保证金汇款凭证、开户许可证复印件、收据并注明开户行行号、联系方式（加盖公司鲜公章）交至</w:t>
            </w:r>
            <w:r>
              <w:rPr>
                <w:rFonts w:hint="eastAsia" w:ascii="仿宋" w:hAnsi="仿宋" w:eastAsia="仿宋" w:cs="仿宋"/>
                <w:sz w:val="24"/>
                <w:szCs w:val="24"/>
                <w:highlight w:val="none"/>
                <w:lang w:val="en-US" w:eastAsia="zh-CN"/>
              </w:rPr>
              <w:t>墨玉县公共资源交易平台中心</w:t>
            </w:r>
            <w:r>
              <w:rPr>
                <w:rFonts w:hint="eastAsia" w:ascii="仿宋" w:hAnsi="仿宋" w:eastAsia="仿宋" w:cs="仿宋"/>
                <w:sz w:val="24"/>
                <w:szCs w:val="24"/>
                <w:highlight w:val="none"/>
              </w:rPr>
              <w:t>财务室办理。（注：废标项目投标保证金在后续项目再次招标时银行系统不做统计，投标企业及时办理退款）。</w:t>
            </w:r>
          </w:p>
          <w:p w14:paraId="4FBCA02A">
            <w:pPr>
              <w:pStyle w:val="56"/>
              <w:numPr>
                <w:ilvl w:val="0"/>
                <w:numId w:val="3"/>
              </w:numPr>
              <w:spacing w:line="460" w:lineRule="exact"/>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本项目资格审查模块由磋商小组进行资格审查</w:t>
            </w:r>
            <w:r>
              <w:rPr>
                <w:rFonts w:hint="eastAsia" w:ascii="仿宋" w:hAnsi="仿宋" w:eastAsia="仿宋" w:cs="仿宋"/>
                <w:sz w:val="24"/>
                <w:szCs w:val="24"/>
                <w:highlight w:val="none"/>
              </w:rPr>
              <w:t>。</w:t>
            </w:r>
          </w:p>
          <w:p w14:paraId="61E3FF02">
            <w:pPr>
              <w:pStyle w:val="56"/>
              <w:numPr>
                <w:ilvl w:val="0"/>
                <w:numId w:val="0"/>
              </w:numPr>
              <w:spacing w:line="4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6、本项目的采购活动以及相关当事人须接受财政监督部门依法实施的监督。</w:t>
            </w:r>
          </w:p>
          <w:p w14:paraId="0BB31145">
            <w:pPr>
              <w:pStyle w:val="55"/>
              <w:spacing w:line="460" w:lineRule="exact"/>
              <w:ind w:firstLine="0" w:firstLineChars="0"/>
              <w:outlineLvl w:val="9"/>
              <w:rPr>
                <w:rFonts w:hint="eastAsia" w:ascii="仿宋" w:hAnsi="仿宋" w:eastAsia="仿宋" w:cs="仿宋"/>
                <w:b/>
                <w:sz w:val="24"/>
                <w:szCs w:val="24"/>
                <w:highlight w:val="none"/>
                <w:lang w:val="en-US"/>
              </w:rPr>
            </w:pPr>
            <w:r>
              <w:rPr>
                <w:rFonts w:hint="eastAsia" w:ascii="仿宋" w:hAnsi="仿宋" w:eastAsia="仿宋" w:cs="仿宋"/>
                <w:b/>
                <w:sz w:val="24"/>
                <w:szCs w:val="24"/>
                <w:highlight w:val="none"/>
                <w:lang w:val="en-US"/>
              </w:rPr>
              <w:t>7、本项目为全流程电子化开评标，投标人须自备具备视频及语音通话功能的设备。</w:t>
            </w:r>
          </w:p>
          <w:p w14:paraId="2A3732C0">
            <w:pPr>
              <w:pStyle w:val="55"/>
              <w:spacing w:line="460" w:lineRule="exact"/>
              <w:ind w:firstLine="0" w:firstLineChars="0"/>
              <w:outlineLvl w:val="9"/>
              <w:rPr>
                <w:rFonts w:hint="eastAsia" w:ascii="仿宋" w:hAnsi="仿宋" w:eastAsia="仿宋" w:cs="仿宋"/>
                <w:b/>
                <w:sz w:val="24"/>
                <w:szCs w:val="24"/>
                <w:highlight w:val="none"/>
                <w:lang w:val="en-US"/>
              </w:rPr>
            </w:pPr>
            <w:r>
              <w:rPr>
                <w:rFonts w:hint="eastAsia" w:ascii="仿宋" w:hAnsi="仿宋" w:eastAsia="仿宋" w:cs="仿宋"/>
                <w:b/>
                <w:sz w:val="24"/>
                <w:szCs w:val="24"/>
                <w:highlight w:val="none"/>
                <w:lang w:val="en-US"/>
              </w:rPr>
              <w:t>8、</w:t>
            </w:r>
            <w:r>
              <w:rPr>
                <w:rFonts w:hint="eastAsia" w:ascii="仿宋" w:hAnsi="仿宋" w:eastAsia="仿宋" w:cs="仿宋"/>
                <w:b/>
                <w:sz w:val="24"/>
                <w:szCs w:val="24"/>
                <w:highlight w:val="none"/>
                <w:lang w:val="en-US" w:eastAsia="zh-CN"/>
              </w:rPr>
              <w:t>成交供应商</w:t>
            </w:r>
            <w:r>
              <w:rPr>
                <w:rFonts w:hint="eastAsia" w:ascii="仿宋" w:hAnsi="仿宋" w:eastAsia="仿宋" w:cs="仿宋"/>
                <w:b/>
                <w:sz w:val="24"/>
                <w:szCs w:val="24"/>
                <w:highlight w:val="none"/>
                <w:lang w:val="en-US"/>
              </w:rPr>
              <w:t>为采购人提供的服务不得出现侵犯版权等问题，如有所造成的后果，均由</w:t>
            </w:r>
            <w:r>
              <w:rPr>
                <w:rFonts w:hint="eastAsia" w:ascii="仿宋" w:hAnsi="仿宋" w:eastAsia="仿宋" w:cs="仿宋"/>
                <w:b/>
                <w:sz w:val="24"/>
                <w:szCs w:val="24"/>
                <w:highlight w:val="none"/>
                <w:lang w:val="en-US" w:eastAsia="zh-CN"/>
              </w:rPr>
              <w:t>成交供应商</w:t>
            </w:r>
            <w:r>
              <w:rPr>
                <w:rFonts w:hint="eastAsia" w:ascii="仿宋" w:hAnsi="仿宋" w:eastAsia="仿宋" w:cs="仿宋"/>
                <w:b/>
                <w:sz w:val="24"/>
                <w:szCs w:val="24"/>
                <w:highlight w:val="none"/>
                <w:lang w:val="en-US"/>
              </w:rPr>
              <w:t>承担。</w:t>
            </w:r>
          </w:p>
          <w:p w14:paraId="45BDAA61">
            <w:pPr>
              <w:pStyle w:val="55"/>
              <w:spacing w:line="460" w:lineRule="exact"/>
              <w:ind w:firstLine="0" w:firstLineChars="0"/>
              <w:outlineLvl w:val="9"/>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9、投标人在签到时所填写电话务必是开标当天开标人电话，以便于询问相关事宜，如填写其他人员电话，导致无法联系，所造成的后果由投标人自己承担。</w:t>
            </w:r>
          </w:p>
        </w:tc>
      </w:tr>
      <w:tr w14:paraId="511E1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1117" w:type="dxa"/>
            <w:tcBorders>
              <w:tl2br w:val="nil"/>
              <w:tr2bl w:val="nil"/>
            </w:tcBorders>
            <w:noWrap w:val="0"/>
            <w:vAlign w:val="center"/>
          </w:tcPr>
          <w:p w14:paraId="5C787CF4">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37</w:t>
            </w:r>
          </w:p>
        </w:tc>
        <w:tc>
          <w:tcPr>
            <w:tcW w:w="2071" w:type="dxa"/>
            <w:tcBorders>
              <w:tl2br w:val="nil"/>
              <w:tr2bl w:val="nil"/>
            </w:tcBorders>
            <w:noWrap w:val="0"/>
            <w:vAlign w:val="center"/>
          </w:tcPr>
          <w:p w14:paraId="04AF7C0C">
            <w:pPr>
              <w:spacing w:line="360" w:lineRule="auto"/>
              <w:ind w:left="0" w:leftChars="0" w:right="0" w:rightChars="0" w:firstLine="0" w:firstLineChars="0"/>
              <w:jc w:val="center"/>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rPr>
              <w:t>其他说明2</w:t>
            </w:r>
          </w:p>
        </w:tc>
        <w:tc>
          <w:tcPr>
            <w:tcW w:w="7161" w:type="dxa"/>
            <w:tcBorders>
              <w:tl2br w:val="nil"/>
              <w:tr2bl w:val="nil"/>
            </w:tcBorders>
            <w:noWrap w:val="0"/>
            <w:vAlign w:val="center"/>
          </w:tcPr>
          <w:p w14:paraId="1E40FAE6">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54AAF904">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2、投标文件中有弄虚作假的内容，其投标文件作废。（如</w:t>
            </w:r>
            <w:r>
              <w:rPr>
                <w:rFonts w:hint="eastAsia" w:ascii="仿宋" w:hAnsi="仿宋" w:eastAsia="仿宋" w:cs="仿宋"/>
                <w:color w:val="000000"/>
                <w:sz w:val="24"/>
                <w:szCs w:val="24"/>
                <w:highlight w:val="none"/>
                <w:lang w:val="en-US" w:eastAsia="zh-CN"/>
              </w:rPr>
              <w:t>虚假</w:t>
            </w:r>
            <w:r>
              <w:rPr>
                <w:rFonts w:hint="eastAsia" w:ascii="仿宋" w:hAnsi="仿宋" w:eastAsia="仿宋" w:cs="仿宋"/>
                <w:color w:val="000000"/>
                <w:sz w:val="24"/>
                <w:szCs w:val="24"/>
                <w:highlight w:val="none"/>
              </w:rPr>
              <w:t>证书、</w:t>
            </w:r>
            <w:r>
              <w:rPr>
                <w:rFonts w:hint="eastAsia" w:ascii="仿宋" w:hAnsi="仿宋" w:eastAsia="仿宋" w:cs="仿宋"/>
                <w:color w:val="000000"/>
                <w:sz w:val="24"/>
                <w:szCs w:val="24"/>
                <w:highlight w:val="none"/>
                <w:lang w:val="en-US" w:eastAsia="zh-CN"/>
              </w:rPr>
              <w:t>虚假</w:t>
            </w:r>
            <w:r>
              <w:rPr>
                <w:rFonts w:hint="eastAsia" w:ascii="仿宋" w:hAnsi="仿宋" w:eastAsia="仿宋" w:cs="仿宋"/>
                <w:color w:val="000000"/>
                <w:sz w:val="24"/>
                <w:szCs w:val="24"/>
                <w:highlight w:val="none"/>
              </w:rPr>
              <w:t>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2D67B10C">
            <w:pPr>
              <w:spacing w:line="360" w:lineRule="auto"/>
              <w:ind w:left="0" w:right="0" w:firstLine="480" w:firstLineChars="200"/>
              <w:outlineLvl w:val="9"/>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zh-CN"/>
              </w:rPr>
              <w:t>本项目的招标投标活动以及相关当事人须接受财政监督部门依法实施的监督。</w:t>
            </w:r>
          </w:p>
          <w:p w14:paraId="2A81BDE2">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服务的成本（应根据供应商企业类型予以区别）、税金及附加、销售费用、管理费用、财务费用等成本构成事项详细陈述。</w:t>
            </w:r>
          </w:p>
          <w:p w14:paraId="20FA6AE5">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5331F02">
            <w:pPr>
              <w:spacing w:line="360" w:lineRule="auto"/>
              <w:ind w:left="0" w:leftChars="0" w:right="0" w:rightChars="0" w:firstLine="480" w:firstLineChars="200"/>
              <w:outlineLvl w:val="9"/>
              <w:rPr>
                <w:rFonts w:hint="eastAsia" w:ascii="仿宋" w:hAnsi="仿宋" w:eastAsia="仿宋" w:cs="仿宋"/>
                <w:b/>
                <w:sz w:val="24"/>
                <w:szCs w:val="24"/>
                <w:highlight w:val="none"/>
                <w:lang w:val="en-US"/>
              </w:rPr>
            </w:pPr>
            <w:r>
              <w:rPr>
                <w:rFonts w:hint="eastAsia" w:ascii="仿宋" w:hAnsi="仿宋" w:eastAsia="仿宋" w:cs="仿宋"/>
                <w:color w:val="000000"/>
                <w:sz w:val="24"/>
                <w:szCs w:val="24"/>
                <w:highlight w:val="none"/>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21AEE2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1117" w:type="dxa"/>
            <w:tcBorders>
              <w:tl2br w:val="nil"/>
              <w:tr2bl w:val="nil"/>
            </w:tcBorders>
            <w:noWrap w:val="0"/>
            <w:vAlign w:val="center"/>
          </w:tcPr>
          <w:p w14:paraId="23560EC8">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38</w:t>
            </w:r>
          </w:p>
        </w:tc>
        <w:tc>
          <w:tcPr>
            <w:tcW w:w="2071" w:type="dxa"/>
            <w:tcBorders>
              <w:tl2br w:val="nil"/>
              <w:tr2bl w:val="nil"/>
            </w:tcBorders>
            <w:noWrap w:val="0"/>
            <w:vAlign w:val="center"/>
          </w:tcPr>
          <w:p w14:paraId="11FA7D8D">
            <w:pPr>
              <w:spacing w:line="360" w:lineRule="auto"/>
              <w:ind w:left="105" w:leftChars="0" w:hanging="105" w:firstLineChars="0"/>
              <w:jc w:val="center"/>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rPr>
              <w:t>重要提示</w:t>
            </w:r>
          </w:p>
        </w:tc>
        <w:tc>
          <w:tcPr>
            <w:tcW w:w="7161" w:type="dxa"/>
            <w:tcBorders>
              <w:tl2br w:val="nil"/>
              <w:tr2bl w:val="nil"/>
            </w:tcBorders>
            <w:noWrap w:val="0"/>
            <w:vAlign w:val="center"/>
          </w:tcPr>
          <w:p w14:paraId="65BCBA19">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供应商应在规定期限内领取《</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通知书》，若</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未在规定期限内领取《</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通知书》，采购人有权取消</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中标资格，并将相关违约行为报送监管部门，实施信用惩戒；</w:t>
            </w:r>
          </w:p>
          <w:p w14:paraId="2ACE6429">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应在规定期限内提交履约担保并与采购人签订合同，若</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未能在规定期限内提交履约担保或签订合同，采购人有权取消</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中标资格，并将相关违约行为报送监管部门，实施信用惩戒；</w:t>
            </w:r>
          </w:p>
          <w:p w14:paraId="42F08B52">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（3）合同签订后，</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存在规定时间内不组织人员进场开工，不履行供货、安装或服务义务等情况，采购人有权解除合同，并追究违约责任，同时将相关违约行为报送监管部门，记不良行为记录，实施信用惩戒；</w:t>
            </w:r>
          </w:p>
          <w:p w14:paraId="256E48AE">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 xml:space="preserve">中标后被监管部门查实存在违法行为，不满足中标条件的，由采购人取消中标资格，并做好项目后续工作； </w:t>
            </w:r>
          </w:p>
          <w:p w14:paraId="5EDCA674">
            <w:pPr>
              <w:spacing w:line="360" w:lineRule="auto"/>
              <w:ind w:left="0" w:leftChars="0" w:right="0" w:rightChars="0" w:firstLine="480" w:firstLineChars="200"/>
              <w:outlineLvl w:val="9"/>
              <w:rPr>
                <w:rFonts w:hint="eastAsia" w:ascii="仿宋" w:hAnsi="仿宋" w:eastAsia="仿宋" w:cs="仿宋"/>
                <w:b/>
                <w:sz w:val="24"/>
                <w:szCs w:val="24"/>
                <w:highlight w:val="none"/>
                <w:lang w:val="en-US"/>
              </w:rPr>
            </w:pP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在中标项目发生投诉、信访举报案件、履约存在争议时，拒绝协助配合执法部门调查案件的，采购人可以取消其中标资格或解除合同，并追究其违约责任。</w:t>
            </w:r>
          </w:p>
        </w:tc>
      </w:tr>
      <w:tr w14:paraId="3E24A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1117" w:type="dxa"/>
            <w:tcBorders>
              <w:tl2br w:val="nil"/>
              <w:tr2bl w:val="nil"/>
            </w:tcBorders>
            <w:noWrap w:val="0"/>
            <w:vAlign w:val="center"/>
          </w:tcPr>
          <w:p w14:paraId="74232AE7">
            <w:pPr>
              <w:pStyle w:val="54"/>
              <w:adjustRightInd w:val="0"/>
              <w:snapToGrid w:val="0"/>
              <w:spacing w:line="460" w:lineRule="exact"/>
              <w:jc w:val="center"/>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39</w:t>
            </w:r>
          </w:p>
        </w:tc>
        <w:tc>
          <w:tcPr>
            <w:tcW w:w="2071" w:type="dxa"/>
            <w:tcBorders>
              <w:tl2br w:val="nil"/>
              <w:tr2bl w:val="nil"/>
            </w:tcBorders>
            <w:noWrap w:val="0"/>
            <w:vAlign w:val="center"/>
          </w:tcPr>
          <w:p w14:paraId="63D415AB">
            <w:pPr>
              <w:spacing w:line="360" w:lineRule="auto"/>
              <w:ind w:left="105" w:leftChars="0" w:hanging="105" w:firstLineChars="0"/>
              <w:jc w:val="center"/>
              <w:outlineLvl w:val="9"/>
              <w:rPr>
                <w:rFonts w:hint="eastAsia" w:ascii="仿宋" w:hAnsi="仿宋" w:eastAsia="仿宋" w:cs="仿宋"/>
                <w:b/>
                <w:bCs/>
                <w:sz w:val="24"/>
                <w:szCs w:val="24"/>
                <w:highlight w:val="none"/>
              </w:rPr>
            </w:pPr>
            <w:r>
              <w:rPr>
                <w:rFonts w:hint="eastAsia" w:ascii="仿宋" w:hAnsi="仿宋" w:eastAsia="仿宋" w:cs="仿宋"/>
                <w:sz w:val="24"/>
                <w:szCs w:val="24"/>
                <w:highlight w:val="none"/>
              </w:rPr>
              <w:t>其他方式采购</w:t>
            </w:r>
          </w:p>
        </w:tc>
        <w:tc>
          <w:tcPr>
            <w:tcW w:w="7161" w:type="dxa"/>
            <w:tcBorders>
              <w:tl2br w:val="nil"/>
              <w:tr2bl w:val="nil"/>
            </w:tcBorders>
            <w:noWrap w:val="0"/>
            <w:vAlign w:val="center"/>
          </w:tcPr>
          <w:p w14:paraId="256C5815">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竞争性磋商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20DC69D0">
            <w:pPr>
              <w:spacing w:line="360" w:lineRule="auto"/>
              <w:ind w:left="0" w:right="0" w:firstLine="480" w:firstLineChars="200"/>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（1）招标文件存在不合理条款或者采购程序不符合规定的，采购人、采购代理机构改正后依法重新采购；</w:t>
            </w:r>
          </w:p>
          <w:p w14:paraId="23AACB53">
            <w:pPr>
              <w:spacing w:line="360" w:lineRule="auto"/>
              <w:ind w:left="0" w:leftChars="0" w:right="0" w:rightChars="0" w:firstLine="480" w:firstLineChars="200"/>
              <w:outlineLvl w:val="9"/>
              <w:rPr>
                <w:rFonts w:hint="eastAsia" w:ascii="仿宋" w:hAnsi="仿宋" w:eastAsia="仿宋" w:cs="仿宋"/>
                <w:b/>
                <w:sz w:val="24"/>
                <w:szCs w:val="24"/>
                <w:highlight w:val="none"/>
                <w:lang w:val="en-US"/>
              </w:rPr>
            </w:pPr>
            <w:r>
              <w:rPr>
                <w:rFonts w:hint="eastAsia" w:ascii="仿宋" w:hAnsi="仿宋" w:eastAsia="仿宋" w:cs="仿宋"/>
                <w:color w:val="000000"/>
                <w:sz w:val="24"/>
                <w:szCs w:val="24"/>
                <w:highlight w:val="none"/>
              </w:rPr>
              <w:t>（2）招标文件没有不合理条款、采购程序符合规定，需要采用其他采购方式采购的，采购人应当依法报财政部门批准。</w:t>
            </w:r>
          </w:p>
        </w:tc>
      </w:tr>
      <w:tr w14:paraId="79684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1" w:hRule="atLeast"/>
        </w:trPr>
        <w:tc>
          <w:tcPr>
            <w:tcW w:w="1117" w:type="dxa"/>
            <w:tcBorders>
              <w:tl2br w:val="nil"/>
              <w:tr2bl w:val="nil"/>
            </w:tcBorders>
            <w:noWrap w:val="0"/>
            <w:vAlign w:val="center"/>
          </w:tcPr>
          <w:p w14:paraId="1E8E1CAA">
            <w:pPr>
              <w:pStyle w:val="54"/>
              <w:adjustRightInd w:val="0"/>
              <w:snapToGrid w:val="0"/>
              <w:spacing w:line="460" w:lineRule="exact"/>
              <w:jc w:val="center"/>
              <w:outlineLvl w:val="9"/>
              <w:rPr>
                <w:rFonts w:hint="eastAsia" w:ascii="仿宋" w:hAnsi="仿宋" w:eastAsia="仿宋" w:cs="仿宋"/>
                <w:sz w:val="24"/>
                <w:szCs w:val="24"/>
                <w:highlight w:val="none"/>
              </w:rPr>
            </w:pPr>
            <w:r>
              <w:rPr>
                <w:rFonts w:hint="eastAsia" w:ascii="仿宋" w:hAnsi="仿宋" w:eastAsia="仿宋" w:cs="仿宋"/>
                <w:b/>
                <w:bCs/>
                <w:sz w:val="24"/>
                <w:szCs w:val="24"/>
                <w:highlight w:val="none"/>
              </w:rPr>
              <w:t>备注</w:t>
            </w:r>
          </w:p>
        </w:tc>
        <w:tc>
          <w:tcPr>
            <w:tcW w:w="9232" w:type="dxa"/>
            <w:gridSpan w:val="2"/>
            <w:tcBorders>
              <w:tl2br w:val="nil"/>
              <w:tr2bl w:val="nil"/>
            </w:tcBorders>
            <w:noWrap w:val="0"/>
            <w:vAlign w:val="center"/>
          </w:tcPr>
          <w:p w14:paraId="587E60BF">
            <w:pPr>
              <w:pStyle w:val="56"/>
              <w:spacing w:line="460" w:lineRule="exact"/>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如果投标人电子投标文件无法制作或无法导入及导出等问题，可拨打政采云服务热线进行咨询联系。</w:t>
            </w:r>
          </w:p>
          <w:p w14:paraId="6E0C2F64">
            <w:pPr>
              <w:pStyle w:val="56"/>
              <w:spacing w:line="460" w:lineRule="exact"/>
              <w:outlineLvl w:val="9"/>
              <w:rPr>
                <w:rFonts w:hint="eastAsia" w:ascii="仿宋" w:hAnsi="仿宋" w:eastAsia="仿宋" w:cs="仿宋"/>
                <w:sz w:val="24"/>
                <w:szCs w:val="24"/>
                <w:highlight w:val="none"/>
                <w:u w:val="single"/>
              </w:rPr>
            </w:pPr>
            <w:r>
              <w:rPr>
                <w:rFonts w:hint="eastAsia" w:ascii="仿宋" w:hAnsi="仿宋" w:eastAsia="仿宋" w:cs="仿宋"/>
                <w:b/>
                <w:sz w:val="24"/>
                <w:szCs w:val="24"/>
                <w:highlight w:val="none"/>
              </w:rPr>
              <w:t>联系人：政采云客户服务热线    联系电话：95763</w:t>
            </w:r>
          </w:p>
        </w:tc>
      </w:tr>
    </w:tbl>
    <w:p w14:paraId="6849134B">
      <w:pPr>
        <w:pStyle w:val="14"/>
        <w:keepNext/>
        <w:keepLines/>
        <w:adjustRightInd w:val="0"/>
        <w:snapToGrid w:val="0"/>
        <w:spacing w:line="460" w:lineRule="exact"/>
        <w:ind w:firstLine="482" w:firstLineChars="200"/>
        <w:contextualSpacing/>
        <w:jc w:val="both"/>
        <w:outlineLvl w:val="1"/>
        <w:rPr>
          <w:rFonts w:hint="eastAsia" w:ascii="仿宋" w:hAnsi="仿宋" w:eastAsia="仿宋" w:cs="仿宋"/>
          <w:kern w:val="0"/>
          <w:sz w:val="24"/>
          <w:highlight w:val="none"/>
        </w:rPr>
      </w:pPr>
      <w:r>
        <w:rPr>
          <w:rFonts w:hint="eastAsia" w:ascii="仿宋" w:hAnsi="仿宋" w:eastAsia="仿宋" w:cs="仿宋"/>
          <w:b/>
          <w:bCs/>
          <w:kern w:val="0"/>
          <w:sz w:val="24"/>
          <w:szCs w:val="24"/>
          <w:highlight w:val="none"/>
        </w:rPr>
        <w:t>注：</w:t>
      </w:r>
      <w:r>
        <w:rPr>
          <w:rFonts w:hint="eastAsia" w:ascii="仿宋" w:hAnsi="仿宋" w:eastAsia="仿宋" w:cs="仿宋"/>
          <w:kern w:val="0"/>
          <w:sz w:val="24"/>
          <w:highlight w:val="none"/>
        </w:rPr>
        <w:t>本表内容与磋商文件其它内容不一致的，应当以本表内容为准。</w:t>
      </w:r>
      <w:bookmarkStart w:id="47" w:name="_Toc1621"/>
      <w:bookmarkStart w:id="48" w:name="_Toc25124"/>
      <w:bookmarkStart w:id="49" w:name="_Toc32457"/>
      <w:bookmarkStart w:id="50" w:name="_Toc20759"/>
    </w:p>
    <w:p w14:paraId="02FA7732">
      <w:pPr>
        <w:pStyle w:val="14"/>
        <w:keepNext/>
        <w:keepLines/>
        <w:adjustRightInd w:val="0"/>
        <w:snapToGrid w:val="0"/>
        <w:spacing w:line="240" w:lineRule="auto"/>
        <w:contextualSpacing/>
        <w:jc w:val="center"/>
        <w:outlineLvl w:val="1"/>
        <w:rPr>
          <w:rFonts w:hint="eastAsia" w:ascii="仿宋" w:hAnsi="仿宋" w:eastAsia="仿宋" w:cs="仿宋"/>
          <w:b/>
          <w:sz w:val="30"/>
          <w:szCs w:val="30"/>
          <w:highlight w:val="none"/>
        </w:rPr>
      </w:pPr>
      <w:r>
        <w:rPr>
          <w:rFonts w:hint="eastAsia" w:ascii="仿宋" w:hAnsi="仿宋" w:eastAsia="仿宋" w:cs="仿宋"/>
          <w:kern w:val="0"/>
          <w:sz w:val="24"/>
          <w:highlight w:val="none"/>
        </w:rPr>
        <w:br w:type="page"/>
      </w:r>
      <w:r>
        <w:rPr>
          <w:rFonts w:hint="eastAsia" w:ascii="仿宋" w:hAnsi="仿宋" w:eastAsia="仿宋" w:cs="仿宋"/>
          <w:b/>
          <w:sz w:val="30"/>
          <w:szCs w:val="30"/>
          <w:highlight w:val="none"/>
        </w:rPr>
        <w:t>一、 说明</w:t>
      </w:r>
      <w:bookmarkEnd w:id="47"/>
      <w:bookmarkEnd w:id="48"/>
      <w:bookmarkEnd w:id="49"/>
      <w:bookmarkEnd w:id="50"/>
    </w:p>
    <w:p w14:paraId="6121D7C4">
      <w:pPr>
        <w:pStyle w:val="14"/>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1.1适用范围</w:t>
      </w:r>
    </w:p>
    <w:p w14:paraId="45AF8D50">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 .1本磋商文件仅适用于本磋商文件中所述项目服务的采购。</w:t>
      </w:r>
    </w:p>
    <w:p w14:paraId="2F5FC7EF">
      <w:pPr>
        <w:pStyle w:val="14"/>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1.2定义</w:t>
      </w:r>
    </w:p>
    <w:p w14:paraId="3E80E79E">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1.2.1“采购人”是指：详见供应商须知前附表.</w:t>
      </w:r>
    </w:p>
    <w:p w14:paraId="12AB4D8D">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1.2.2“采购代理机构”是指：详见供应商须知前附表.</w:t>
      </w:r>
    </w:p>
    <w:p w14:paraId="797CE917">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1.2.3“监管部门”是指：当地财政部门.</w:t>
      </w:r>
    </w:p>
    <w:p w14:paraId="06C2A663">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1.2.4 “供应商”是指：响应磋商文件要求并且符合磋商文件规定资格条件和参加竞争性磋商的法人、其他组织或者自然人。</w:t>
      </w:r>
    </w:p>
    <w:p w14:paraId="1E9A8840">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1.2.5“电子响应文件”是指：利用</w:t>
      </w:r>
      <w:r>
        <w:rPr>
          <w:rFonts w:hint="eastAsia" w:ascii="仿宋" w:hAnsi="仿宋" w:eastAsia="仿宋" w:cs="仿宋"/>
          <w:sz w:val="24"/>
          <w:highlight w:val="none"/>
        </w:rPr>
        <w:t>政采云电子投标客户端编制</w:t>
      </w:r>
      <w:r>
        <w:rPr>
          <w:rFonts w:hint="eastAsia" w:ascii="仿宋" w:hAnsi="仿宋" w:eastAsia="仿宋" w:cs="仿宋"/>
          <w:sz w:val="24"/>
          <w:szCs w:val="24"/>
          <w:highlight w:val="none"/>
        </w:rPr>
        <w:t>加密的响应文件。</w:t>
      </w:r>
    </w:p>
    <w:p w14:paraId="60F1A38C">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1.2.6“成交供应商”是指：是指经磋商小组评审，授予合同的供应商。</w:t>
      </w:r>
    </w:p>
    <w:p w14:paraId="264BD407">
      <w:pPr>
        <w:pStyle w:val="14"/>
        <w:spacing w:line="460" w:lineRule="exact"/>
        <w:ind w:firstLine="484" w:firstLineChars="202"/>
        <w:jc w:val="left"/>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1.2.7采购人和采购代理机构统称为招标</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p>
    <w:p w14:paraId="6F1E0E7B">
      <w:pPr>
        <w:pStyle w:val="14"/>
        <w:spacing w:line="460" w:lineRule="exact"/>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1.3、货物和服务</w:t>
      </w:r>
    </w:p>
    <w:p w14:paraId="56A03523">
      <w:pPr>
        <w:pStyle w:val="14"/>
        <w:spacing w:line="460" w:lineRule="exact"/>
        <w:ind w:firstLine="484" w:firstLineChars="202"/>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仿宋" w:hAnsi="仿宋" w:eastAsia="仿宋" w:cs="仿宋"/>
          <w:snapToGrid w:val="0"/>
          <w:kern w:val="0"/>
          <w:sz w:val="24"/>
          <w:szCs w:val="24"/>
          <w:highlight w:val="none"/>
        </w:rPr>
        <w:t>提供的货物必须是其合法生产的符合国家有关标准要求的货物，并能够按照合同规定的品牌、产地、质量、价格和有效期等履约。</w:t>
      </w:r>
      <w:r>
        <w:rPr>
          <w:rFonts w:hint="eastAsia" w:ascii="仿宋" w:hAnsi="仿宋" w:eastAsia="仿宋" w:cs="仿宋"/>
          <w:snapToGrid w:val="0"/>
          <w:kern w:val="0"/>
          <w:sz w:val="24"/>
          <w:szCs w:val="24"/>
          <w:highlight w:val="none"/>
          <w:lang w:val="en-US" w:eastAsia="zh-CN"/>
        </w:rPr>
        <w:t>注：本项目不适用</w:t>
      </w:r>
    </w:p>
    <w:p w14:paraId="7D952B8A">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1.3.2“服务”是指：除货物和工程以外的其他政府采购对象。包括：政府自身需要的服务和政府向社会公众提供的公共服务。</w:t>
      </w:r>
    </w:p>
    <w:p w14:paraId="3AD6AD7A">
      <w:pPr>
        <w:pStyle w:val="14"/>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1.4、磋商费用</w:t>
      </w:r>
    </w:p>
    <w:p w14:paraId="4DBA5001">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1.4.1供应商应承担所有与准备和参加竞争性磋商有关的费用。不论磋商的结果如何，</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均无义务和责任承担这些费用。</w:t>
      </w:r>
    </w:p>
    <w:p w14:paraId="072F02E6">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sz w:val="30"/>
          <w:szCs w:val="30"/>
          <w:highlight w:val="none"/>
        </w:rPr>
      </w:pPr>
      <w:bookmarkStart w:id="51" w:name="_Toc293736011"/>
      <w:bookmarkStart w:id="52" w:name="_Toc3092"/>
      <w:bookmarkStart w:id="53" w:name="_Toc293738992"/>
      <w:bookmarkStart w:id="54" w:name="_Toc293736054"/>
      <w:bookmarkStart w:id="55" w:name="_Toc30094"/>
      <w:bookmarkStart w:id="56" w:name="_Toc26092"/>
      <w:bookmarkStart w:id="57" w:name="_Toc446599311"/>
      <w:bookmarkStart w:id="58" w:name="_Toc18317"/>
      <w:r>
        <w:rPr>
          <w:rFonts w:hint="eastAsia" w:ascii="仿宋" w:hAnsi="仿宋" w:eastAsia="仿宋" w:cs="仿宋"/>
          <w:b/>
          <w:sz w:val="30"/>
          <w:szCs w:val="30"/>
          <w:highlight w:val="none"/>
        </w:rPr>
        <w:t>二、磋商文件</w:t>
      </w:r>
      <w:bookmarkEnd w:id="51"/>
      <w:bookmarkEnd w:id="52"/>
      <w:bookmarkEnd w:id="53"/>
      <w:bookmarkEnd w:id="54"/>
      <w:bookmarkEnd w:id="55"/>
      <w:bookmarkEnd w:id="56"/>
      <w:bookmarkEnd w:id="57"/>
      <w:bookmarkEnd w:id="58"/>
    </w:p>
    <w:p w14:paraId="5C7721FA">
      <w:pPr>
        <w:pStyle w:val="14"/>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2.1.磋商文件的构成</w:t>
      </w:r>
    </w:p>
    <w:p w14:paraId="57D415F1">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2.1.1磋商文件由下列文件以及在采购过程中发出的修正和补充文件组成：</w:t>
      </w:r>
    </w:p>
    <w:p w14:paraId="46D0BCB7">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bCs w:val="0"/>
          <w:szCs w:val="36"/>
          <w:highlight w:val="none"/>
        </w:rPr>
        <w:t>竞争性磋商公告</w:t>
      </w:r>
      <w:r>
        <w:rPr>
          <w:rFonts w:hint="eastAsia" w:ascii="仿宋" w:hAnsi="仿宋" w:eastAsia="仿宋" w:cs="仿宋"/>
          <w:sz w:val="24"/>
          <w:szCs w:val="24"/>
          <w:highlight w:val="none"/>
        </w:rPr>
        <w:t>；</w:t>
      </w:r>
    </w:p>
    <w:p w14:paraId="08755B76">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（2）供应商须知；</w:t>
      </w:r>
    </w:p>
    <w:p w14:paraId="51543624">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（3）采购需求；</w:t>
      </w:r>
    </w:p>
    <w:p w14:paraId="34F17BA7">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（4）评审方法；</w:t>
      </w:r>
    </w:p>
    <w:p w14:paraId="47C2DB3C">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（5）合同格式及合同条款；</w:t>
      </w:r>
    </w:p>
    <w:p w14:paraId="453849DF">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（6）竞争性磋商响应文件格式；</w:t>
      </w:r>
    </w:p>
    <w:p w14:paraId="4224C5A4">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（7）在磋商过程中由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发出的澄清和补充文件等。</w:t>
      </w:r>
    </w:p>
    <w:p w14:paraId="1CA400F9">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33CC06B1">
      <w:pPr>
        <w:pStyle w:val="14"/>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2.2. 磋商文件的澄清</w:t>
      </w:r>
    </w:p>
    <w:p w14:paraId="7B72DD8E">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2.2.1供应商应仔细阅读和检查磋商文件的全部内容。供应商若对磋商文件有任何疑问，均应在响应文件递交截止时间5日前</w:t>
      </w:r>
      <w:r>
        <w:rPr>
          <w:rFonts w:hint="eastAsia" w:ascii="仿宋" w:hAnsi="仿宋" w:eastAsia="仿宋" w:cs="仿宋"/>
          <w:sz w:val="24"/>
          <w:szCs w:val="24"/>
          <w:highlight w:val="none"/>
          <w:lang w:eastAsia="zh-CN"/>
        </w:rPr>
        <w:t>向</w:t>
      </w:r>
      <w:r>
        <w:rPr>
          <w:rFonts w:hint="eastAsia" w:ascii="仿宋" w:hAnsi="仿宋" w:eastAsia="仿宋" w:cs="仿宋"/>
          <w:sz w:val="24"/>
          <w:szCs w:val="24"/>
          <w:highlight w:val="none"/>
        </w:rPr>
        <w:t>代理机构发出书面函。</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对供应商所要求澄清的内容均予以答复（答复中不包括问题的来源）。必要时，</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将组织相关专家召开答疑会，并向所有供应商公布，供应商可在会员专区对应栏目下载澄清文件。澄清文件作为磋商文件的组成部分，对供应商具有同等约束作用。</w:t>
      </w:r>
    </w:p>
    <w:p w14:paraId="0FD11ABC">
      <w:pPr>
        <w:pStyle w:val="14"/>
        <w:spacing w:line="460" w:lineRule="exact"/>
        <w:ind w:firstLine="460" w:firstLineChars="202"/>
        <w:jc w:val="left"/>
        <w:outlineLvl w:val="9"/>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2.2.2</w:t>
      </w:r>
      <w:r>
        <w:rPr>
          <w:rFonts w:hint="eastAsia" w:ascii="仿宋" w:hAnsi="仿宋" w:eastAsia="仿宋" w:cs="仿宋"/>
          <w:sz w:val="24"/>
          <w:szCs w:val="24"/>
          <w:highlight w:val="none"/>
        </w:rPr>
        <w:t>供应商在本项目采购公告期限届满之日起5个工作日内未对磋商文件提出异议的，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将视其为同意。在规定的时间后就磋商文件内容提出的质疑将不予受理。</w:t>
      </w:r>
    </w:p>
    <w:p w14:paraId="00EB5D48">
      <w:pPr>
        <w:pStyle w:val="14"/>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2.3. 磋商文件的修改</w:t>
      </w:r>
    </w:p>
    <w:p w14:paraId="169D4E73">
      <w:pPr>
        <w:pStyle w:val="14"/>
        <w:spacing w:line="460" w:lineRule="exact"/>
        <w:ind w:firstLine="460" w:firstLineChars="202"/>
        <w:jc w:val="left"/>
        <w:outlineLvl w:val="9"/>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2.3.1</w:t>
      </w:r>
      <w:r>
        <w:rPr>
          <w:rFonts w:hint="eastAsia" w:ascii="仿宋" w:hAnsi="仿宋" w:eastAsia="仿宋" w:cs="仿宋"/>
          <w:spacing w:val="-6"/>
          <w:sz w:val="24"/>
          <w:szCs w:val="24"/>
          <w:highlight w:val="none"/>
          <w:lang w:eastAsia="zh-CN"/>
        </w:rPr>
        <w:t>采购人</w:t>
      </w:r>
      <w:r>
        <w:rPr>
          <w:rFonts w:hint="eastAsia" w:ascii="仿宋" w:hAnsi="仿宋" w:eastAsia="仿宋" w:cs="仿宋"/>
          <w:spacing w:val="-6"/>
          <w:sz w:val="24"/>
          <w:szCs w:val="24"/>
          <w:highlight w:val="none"/>
        </w:rPr>
        <w:t>可以对已发出的磋商文件进行必要的澄清或者修改。</w:t>
      </w:r>
      <w:r>
        <w:rPr>
          <w:rFonts w:hint="eastAsia" w:ascii="仿宋" w:hAnsi="仿宋" w:eastAsia="仿宋" w:cs="仿宋"/>
          <w:sz w:val="24"/>
          <w:szCs w:val="24"/>
          <w:highlight w:val="none"/>
        </w:rPr>
        <w:t>澄清或者修改的内容可能影响响应文件编制的，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 xml:space="preserve">将在响应文件递交截止时间五日前在新疆政府采购网（http://www.ccgp-xinjiang.gov.cn）发布更正公告。 </w:t>
      </w:r>
    </w:p>
    <w:p w14:paraId="258DD7AC">
      <w:pPr>
        <w:pStyle w:val="14"/>
        <w:spacing w:line="460" w:lineRule="exact"/>
        <w:ind w:firstLine="460" w:firstLineChars="202"/>
        <w:jc w:val="left"/>
        <w:outlineLvl w:val="9"/>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2.3.2澄清或者修改的内容是磋商文件的组成部分，将在</w:t>
      </w:r>
      <w:r>
        <w:rPr>
          <w:rFonts w:hint="eastAsia" w:ascii="仿宋" w:hAnsi="仿宋" w:eastAsia="仿宋" w:cs="仿宋"/>
          <w:sz w:val="24"/>
          <w:szCs w:val="24"/>
          <w:highlight w:val="none"/>
        </w:rPr>
        <w:t>新疆政府采购网（http://www.ccgp-xinjiang.gov.cn）向所有供应商公布，并对供应商具有约束力。</w:t>
      </w:r>
    </w:p>
    <w:p w14:paraId="35E6B1DD">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2.3.3为使供应商有充足的时间对磋商文件的修改部分进行研究，</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可适当推迟响应文件截止期，并通过在新疆政府采购网（http://www.ccgp-xinjiang.gov.cn）上发布公告方式通知所有下载磋商文件的供应商。</w:t>
      </w:r>
    </w:p>
    <w:p w14:paraId="737A86D2">
      <w:pPr>
        <w:pStyle w:val="14"/>
        <w:spacing w:line="460" w:lineRule="exact"/>
        <w:ind w:firstLine="460" w:firstLineChars="202"/>
        <w:jc w:val="left"/>
        <w:outlineLvl w:val="9"/>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2.3.4供应商应注意及时浏览网上发布的澄清或修改通知并下载，因供应商原因未</w:t>
      </w:r>
      <w:bookmarkStart w:id="59" w:name="_Toc293738994"/>
      <w:bookmarkStart w:id="60" w:name="_Toc293736056"/>
      <w:bookmarkStart w:id="61" w:name="_Toc293736013"/>
      <w:bookmarkStart w:id="62" w:name="_Toc256000004"/>
      <w:bookmarkStart w:id="63" w:name="_Toc446599313"/>
      <w:r>
        <w:rPr>
          <w:rFonts w:hint="eastAsia" w:ascii="仿宋" w:hAnsi="仿宋" w:eastAsia="仿宋" w:cs="仿宋"/>
          <w:spacing w:val="-6"/>
          <w:sz w:val="24"/>
          <w:szCs w:val="24"/>
          <w:highlight w:val="none"/>
        </w:rPr>
        <w:t>及时获知澄清、修改或补充内容而导致的任何后果将由供应商自行承担</w:t>
      </w:r>
    </w:p>
    <w:bookmarkEnd w:id="59"/>
    <w:bookmarkEnd w:id="60"/>
    <w:bookmarkEnd w:id="61"/>
    <w:bookmarkEnd w:id="62"/>
    <w:bookmarkEnd w:id="63"/>
    <w:p w14:paraId="36452185">
      <w:pPr>
        <w:pStyle w:val="153"/>
        <w:spacing w:before="0" w:after="0" w:line="460" w:lineRule="exact"/>
        <w:ind w:left="0" w:leftChars="0"/>
        <w:outlineLvl w:val="1"/>
        <w:rPr>
          <w:rFonts w:hint="eastAsia" w:ascii="仿宋" w:hAnsi="仿宋" w:eastAsia="仿宋" w:cs="仿宋"/>
          <w:sz w:val="30"/>
          <w:szCs w:val="30"/>
          <w:highlight w:val="none"/>
        </w:rPr>
      </w:pPr>
      <w:bookmarkStart w:id="64" w:name="_Toc4213"/>
      <w:bookmarkStart w:id="65" w:name="_Toc28910"/>
      <w:r>
        <w:rPr>
          <w:rFonts w:hint="eastAsia" w:ascii="仿宋" w:hAnsi="仿宋" w:eastAsia="仿宋" w:cs="仿宋"/>
          <w:sz w:val="30"/>
          <w:szCs w:val="30"/>
          <w:highlight w:val="none"/>
        </w:rPr>
        <w:t>三、响应文件的编制和数量</w:t>
      </w:r>
      <w:bookmarkEnd w:id="64"/>
      <w:bookmarkEnd w:id="65"/>
    </w:p>
    <w:p w14:paraId="483F6724">
      <w:pPr>
        <w:pStyle w:val="176"/>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3.1．响应文件的语言</w:t>
      </w:r>
    </w:p>
    <w:p w14:paraId="1851FC0C">
      <w:pPr>
        <w:pStyle w:val="135"/>
        <w:spacing w:line="460" w:lineRule="exact"/>
        <w:ind w:firstLine="460" w:firstLineChars="202"/>
        <w:jc w:val="left"/>
        <w:outlineLvl w:val="9"/>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3.1.1供应商提交的响应文件以及供应商与</w:t>
      </w:r>
      <w:r>
        <w:rPr>
          <w:rFonts w:hint="eastAsia" w:ascii="仿宋" w:hAnsi="仿宋" w:eastAsia="仿宋" w:cs="仿宋"/>
          <w:spacing w:val="-6"/>
          <w:sz w:val="24"/>
          <w:szCs w:val="24"/>
          <w:highlight w:val="none"/>
          <w:lang w:eastAsia="zh-CN"/>
        </w:rPr>
        <w:t>采购人</w:t>
      </w:r>
      <w:r>
        <w:rPr>
          <w:rFonts w:hint="eastAsia" w:ascii="仿宋" w:hAnsi="仿宋" w:eastAsia="仿宋" w:cs="仿宋"/>
          <w:spacing w:val="-6"/>
          <w:sz w:val="24"/>
          <w:szCs w:val="24"/>
          <w:highlight w:val="none"/>
        </w:rPr>
        <w:t>就有关磋商的所有来往函电均应使用中文。供应商提交的支持文件或印刷的文献可以用另一种语言，但相应内容应附有中文翻译本，在解释响应文件的修改内容时以中文翻译本为准。</w:t>
      </w:r>
    </w:p>
    <w:p w14:paraId="7E8FB311">
      <w:pPr>
        <w:pStyle w:val="176"/>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3.2响应文件的构成</w:t>
      </w:r>
    </w:p>
    <w:p w14:paraId="1ACDBEA9">
      <w:pPr>
        <w:pStyle w:val="135"/>
        <w:spacing w:line="460" w:lineRule="exact"/>
        <w:ind w:firstLine="484" w:firstLineChars="202"/>
        <w:jc w:val="left"/>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3.2.1供应商编制的响应文件应包括但不少于下列内容：</w:t>
      </w:r>
    </w:p>
    <w:p w14:paraId="74E7BF70">
      <w:pPr>
        <w:pStyle w:val="135"/>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（1）资格响应文件</w:t>
      </w:r>
    </w:p>
    <w:p w14:paraId="2297240C">
      <w:pPr>
        <w:pStyle w:val="135"/>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（2）价格响应文件</w:t>
      </w:r>
    </w:p>
    <w:p w14:paraId="4D6733C7">
      <w:pPr>
        <w:pStyle w:val="135"/>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（3）商务技术响应文件</w:t>
      </w:r>
    </w:p>
    <w:p w14:paraId="2868A483">
      <w:pPr>
        <w:pStyle w:val="176"/>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3.3响应文件编制</w:t>
      </w:r>
    </w:p>
    <w:p w14:paraId="4830791C">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3.3.1</w:t>
      </w:r>
      <w:r>
        <w:rPr>
          <w:rFonts w:hint="eastAsia" w:ascii="仿宋" w:hAnsi="仿宋" w:eastAsia="仿宋" w:cs="仿宋"/>
          <w:spacing w:val="-6"/>
          <w:sz w:val="24"/>
          <w:szCs w:val="24"/>
          <w:highlight w:val="none"/>
        </w:rPr>
        <w:t>电子</w:t>
      </w:r>
      <w:r>
        <w:rPr>
          <w:rFonts w:hint="eastAsia" w:ascii="仿宋" w:hAnsi="仿宋" w:eastAsia="仿宋" w:cs="仿宋"/>
          <w:kern w:val="0"/>
          <w:sz w:val="24"/>
          <w:szCs w:val="24"/>
          <w:highlight w:val="none"/>
        </w:rPr>
        <w:t>响应文件制作时，应按照统一的“投标文件制作工具”和磋商文件中明确的响应文件目录和投标</w:t>
      </w:r>
      <w:r>
        <w:rPr>
          <w:rFonts w:hint="eastAsia" w:ascii="仿宋" w:hAnsi="仿宋" w:eastAsia="仿宋" w:cs="仿宋"/>
          <w:sz w:val="24"/>
          <w:szCs w:val="24"/>
          <w:highlight w:val="none"/>
        </w:rPr>
        <w:t>技术规格、参数及相关要求</w:t>
      </w:r>
      <w:r>
        <w:rPr>
          <w:rFonts w:hint="eastAsia" w:ascii="仿宋" w:hAnsi="仿宋" w:eastAsia="仿宋" w:cs="仿宋"/>
          <w:kern w:val="0"/>
          <w:sz w:val="24"/>
          <w:szCs w:val="24"/>
          <w:highlight w:val="none"/>
        </w:rPr>
        <w:t>格式进行编制，保证目录清晰、内容完整。</w:t>
      </w:r>
    </w:p>
    <w:p w14:paraId="63244BE6">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3.3.2供应商应按照供应商须知前附表要求的份数编制响应文件。</w:t>
      </w:r>
    </w:p>
    <w:p w14:paraId="0E7DDA78">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3.3.3</w:t>
      </w:r>
      <w:r>
        <w:rPr>
          <w:rFonts w:hint="eastAsia" w:ascii="仿宋" w:hAnsi="仿宋" w:eastAsia="仿宋" w:cs="仿宋"/>
          <w:b/>
          <w:bCs/>
          <w:kern w:val="0"/>
          <w:sz w:val="24"/>
          <w:szCs w:val="24"/>
          <w:highlight w:val="none"/>
        </w:rPr>
        <w:t>政采云电子投标客户端标书生成后有两份，一份为加密标书（用于供应商投标上传），一份为备份标书（用于解密异常处理时使用）。其中加密标书文件后缀格式为.jmbs；备份标书文件后缀格式为.bfbs。</w:t>
      </w:r>
      <w:r>
        <w:rPr>
          <w:rFonts w:hint="eastAsia" w:ascii="仿宋" w:hAnsi="仿宋" w:eastAsia="仿宋" w:cs="仿宋"/>
          <w:kern w:val="0"/>
          <w:sz w:val="24"/>
          <w:szCs w:val="24"/>
          <w:highlight w:val="none"/>
        </w:rPr>
        <w:t xml:space="preserve"> </w:t>
      </w:r>
    </w:p>
    <w:p w14:paraId="337DE440">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3.3.4供应商因自身原因导致电子响应文件无法导入电子评标系统的，该响应文件视为无效文件。 </w:t>
      </w:r>
    </w:p>
    <w:p w14:paraId="7D79814C">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3.3.5电子响应文件具有法律效力，与其他形式的响应文件在内容和格式上等同，若响应文件与磋商文件要求不一致，其内容影响成交结果时，责任由供应商自行承担。 </w:t>
      </w:r>
    </w:p>
    <w:p w14:paraId="09D437CB">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3.3.6为了保证</w:t>
      </w:r>
      <w:r>
        <w:rPr>
          <w:rFonts w:hint="eastAsia" w:ascii="仿宋" w:hAnsi="仿宋" w:eastAsia="仿宋" w:cs="仿宋"/>
          <w:spacing w:val="-6"/>
          <w:sz w:val="24"/>
          <w:szCs w:val="24"/>
          <w:highlight w:val="none"/>
        </w:rPr>
        <w:t>电子</w:t>
      </w:r>
      <w:r>
        <w:rPr>
          <w:rFonts w:hint="eastAsia" w:ascii="仿宋" w:hAnsi="仿宋" w:eastAsia="仿宋" w:cs="仿宋"/>
          <w:kern w:val="0"/>
          <w:sz w:val="24"/>
          <w:szCs w:val="24"/>
          <w:highlight w:val="none"/>
        </w:rPr>
        <w:t>标书的合法性、安全性和完整性，电子响应文件转换完成后，应在规定区域加盖单位和法定代表人CA印章或电子签字。电子响应文件若无 CA电子签章，则视为无效文件。</w:t>
      </w:r>
    </w:p>
    <w:p w14:paraId="5B9E2817">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3.3.7供应商应完整地</w:t>
      </w:r>
      <w:r>
        <w:rPr>
          <w:rFonts w:hint="eastAsia" w:ascii="仿宋" w:hAnsi="仿宋" w:eastAsia="仿宋" w:cs="仿宋"/>
          <w:spacing w:val="-6"/>
          <w:sz w:val="24"/>
          <w:szCs w:val="24"/>
          <w:highlight w:val="none"/>
        </w:rPr>
        <w:t>填写</w:t>
      </w:r>
      <w:r>
        <w:rPr>
          <w:rFonts w:hint="eastAsia" w:ascii="仿宋" w:hAnsi="仿宋" w:eastAsia="仿宋" w:cs="仿宋"/>
          <w:kern w:val="0"/>
          <w:sz w:val="24"/>
          <w:szCs w:val="24"/>
          <w:highlight w:val="none"/>
        </w:rPr>
        <w:t>磋商文件中提供的《竞争性磋商函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 xml:space="preserve">竞争性磋商报价一览表》等磋商文件中规定的所有内容。 </w:t>
      </w:r>
    </w:p>
    <w:p w14:paraId="7953426D">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3.3.8供应商必须保证响应文件所提供的全部资料真实可靠，并接受</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 xml:space="preserve">对其中任何资料进一步核实的要求。 </w:t>
      </w:r>
    </w:p>
    <w:p w14:paraId="72493FE6">
      <w:pPr>
        <w:pStyle w:val="176"/>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3.4. 磋商报价要求</w:t>
      </w:r>
    </w:p>
    <w:p w14:paraId="49BBBD54">
      <w:pPr>
        <w:pStyle w:val="135"/>
        <w:spacing w:line="460" w:lineRule="exact"/>
        <w:ind w:firstLine="484" w:firstLineChars="202"/>
        <w:jc w:val="left"/>
        <w:outlineLvl w:val="3"/>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3.4.1供应商所提供的服务均以人民币报价。</w:t>
      </w:r>
    </w:p>
    <w:p w14:paraId="50E0585C">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3.4.2供应商应按照“第三章 采购需求”规定的服务内容、责任范围以及合同条款进行报价。并按《竞争性磋商报价一览表》确定的格式报出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3E0CF25C">
      <w:pPr>
        <w:pStyle w:val="135"/>
        <w:spacing w:line="460" w:lineRule="exact"/>
        <w:ind w:firstLine="480"/>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3.4.3《竞争性磋商报价明细表》填写时应响应下列要求（如有）：</w:t>
      </w:r>
    </w:p>
    <w:p w14:paraId="497DF3B1">
      <w:pPr>
        <w:pStyle w:val="135"/>
        <w:spacing w:line="460" w:lineRule="exact"/>
        <w:ind w:firstLine="484" w:firstLineChars="202"/>
        <w:jc w:val="left"/>
        <w:outlineLvl w:val="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（1）对于报价免费的项目应标明“免费”；</w:t>
      </w:r>
    </w:p>
    <w:p w14:paraId="380DE142">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（2）所有根据合同或其它原因应由供应商支付的税款和其它应</w:t>
      </w:r>
      <w:r>
        <w:rPr>
          <w:rFonts w:hint="eastAsia" w:ascii="仿宋" w:hAnsi="仿宋" w:eastAsia="仿宋" w:cs="仿宋"/>
          <w:kern w:val="0"/>
          <w:sz w:val="24"/>
          <w:szCs w:val="24"/>
          <w:highlight w:val="none"/>
          <w:lang w:eastAsia="zh-CN"/>
        </w:rPr>
        <w:t>缴纳</w:t>
      </w:r>
      <w:r>
        <w:rPr>
          <w:rFonts w:hint="eastAsia" w:ascii="仿宋" w:hAnsi="仿宋" w:eastAsia="仿宋" w:cs="仿宋"/>
          <w:kern w:val="0"/>
          <w:sz w:val="24"/>
          <w:szCs w:val="24"/>
          <w:highlight w:val="none"/>
        </w:rPr>
        <w:t>的费用都要包括在供应商提交的磋商总价中；</w:t>
      </w:r>
    </w:p>
    <w:p w14:paraId="0F271184">
      <w:pPr>
        <w:pStyle w:val="135"/>
        <w:spacing w:line="460" w:lineRule="exact"/>
        <w:ind w:firstLine="484" w:firstLineChars="202"/>
        <w:jc w:val="left"/>
        <w:outlineLvl w:val="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（3）应包含</w:t>
      </w:r>
      <w:r>
        <w:rPr>
          <w:rFonts w:hint="eastAsia" w:ascii="仿宋" w:hAnsi="仿宋" w:eastAsia="仿宋" w:cs="仿宋"/>
          <w:kern w:val="0"/>
          <w:sz w:val="24"/>
          <w:szCs w:val="24"/>
          <w:highlight w:val="none"/>
          <w:lang w:val="en-US" w:eastAsia="zh-CN"/>
        </w:rPr>
        <w:t>本次</w:t>
      </w:r>
      <w:r>
        <w:rPr>
          <w:rFonts w:hint="eastAsia" w:ascii="仿宋" w:hAnsi="仿宋" w:eastAsia="仿宋" w:cs="仿宋"/>
          <w:kern w:val="0"/>
          <w:sz w:val="24"/>
          <w:szCs w:val="24"/>
          <w:highlight w:val="none"/>
        </w:rPr>
        <w:t>服务的有关费用。</w:t>
      </w:r>
    </w:p>
    <w:p w14:paraId="748EE385">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3.4.4每一种规格的服务只允许有一个报价，否则将被视为无效投标。</w:t>
      </w:r>
    </w:p>
    <w:p w14:paraId="46C5C4B2">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3.4.5供应商所报的总价在合同执行过程中是固定不变的，不得以任何理由予以变更。</w:t>
      </w:r>
    </w:p>
    <w:p w14:paraId="29663568">
      <w:pPr>
        <w:pStyle w:val="135"/>
        <w:spacing w:line="460" w:lineRule="exact"/>
        <w:ind w:firstLine="484" w:firstLineChars="202"/>
        <w:jc w:val="left"/>
        <w:outlineLvl w:val="3"/>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3.4.6供应商的最后磋商报价超过最高限价的为无效报价。</w:t>
      </w:r>
    </w:p>
    <w:p w14:paraId="2B0A4DD8">
      <w:pPr>
        <w:pStyle w:val="135"/>
        <w:spacing w:line="460" w:lineRule="exact"/>
        <w:ind w:firstLine="484" w:firstLineChars="202"/>
        <w:jc w:val="left"/>
        <w:outlineLvl w:val="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3.5备选方案</w:t>
      </w:r>
    </w:p>
    <w:p w14:paraId="462A8BC9">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3.5.1供应商应按照供应商须知前附表要求编制磋商备选方案，否则将被视为无效响应文件。</w:t>
      </w:r>
    </w:p>
    <w:p w14:paraId="491E1499">
      <w:pPr>
        <w:pStyle w:val="135"/>
        <w:spacing w:line="460" w:lineRule="exact"/>
        <w:ind w:firstLine="484" w:firstLineChars="202"/>
        <w:jc w:val="left"/>
        <w:outlineLvl w:val="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3.6联合体投标</w:t>
      </w:r>
    </w:p>
    <w:p w14:paraId="698914AF">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3.6.1两个以上供应商可以组成一个联合体，以一个供应商的身份共同参与磋商。</w:t>
      </w:r>
    </w:p>
    <w:p w14:paraId="07AD2247">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58896D8F">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3.6.3联合体各方之间必须签订联合磋商协议，明确约定联合体主体及各方承担的工作和相应的责任，其响应文件中必须提供联合磋商协议。</w:t>
      </w:r>
    </w:p>
    <w:p w14:paraId="4D47D78B">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3.6.4以联合体形式参加政府采购活动的，联合体各方不得再单独参加或者与其他供应商另外组成联合体参加同一合同项下的政府采购活动。</w:t>
      </w:r>
    </w:p>
    <w:p w14:paraId="7D3B071A">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49AC747C">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3.6.6联合体成交的，联合体各方应当共同与采购人签订采购合同。</w:t>
      </w:r>
    </w:p>
    <w:p w14:paraId="6E5769E9">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3.6.7联合体中有同类资质的供应商按照联合体分工承担相同工作的，应当按照资质等级较低的供应商确定资质等级。</w:t>
      </w:r>
    </w:p>
    <w:p w14:paraId="2C2CAEA4">
      <w:pPr>
        <w:pStyle w:val="135"/>
        <w:spacing w:line="460" w:lineRule="exact"/>
        <w:ind w:firstLine="484" w:firstLineChars="202"/>
        <w:jc w:val="left"/>
        <w:outlineLvl w:val="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 供应商资格证明文件</w:t>
      </w:r>
    </w:p>
    <w:p w14:paraId="4E4979F6">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3.7.1供应商应提交证明其有资格参加磋商和成交后有能力履行合同的文件，并作为其响应文件的一部分。</w:t>
      </w:r>
    </w:p>
    <w:p w14:paraId="25A5DD8D">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3.7.2资格证明文件必须真实可靠、不得伪造。</w:t>
      </w:r>
    </w:p>
    <w:p w14:paraId="3AADBFE9">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3.7.3供应商相关资格证明文件：</w:t>
      </w:r>
    </w:p>
    <w:p w14:paraId="009AD93A">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355386B5">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2.落实政府采购政策需满足的资格要求：</w:t>
      </w:r>
    </w:p>
    <w:p w14:paraId="1E186FB3">
      <w:pPr>
        <w:pStyle w:val="135"/>
        <w:spacing w:line="460" w:lineRule="exact"/>
        <w:ind w:firstLine="484" w:firstLineChars="202"/>
        <w:jc w:val="left"/>
        <w:outlineLvl w:val="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2.1中小企业政策</w:t>
      </w:r>
    </w:p>
    <w:p w14:paraId="08B41362">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本项目不专门面向中小企业预留采购份额。</w:t>
      </w:r>
    </w:p>
    <w:p w14:paraId="45102D0D">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☑本项目专门面向 </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 xml:space="preserve">中小 </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小微企业采购。即：提供的货物或服务全部由符合政策要求的中小/小微企业制造、服务全部由符合政策要求的中小/小微企业承接。</w:t>
      </w:r>
    </w:p>
    <w:p w14:paraId="474ACBBD">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本项目为专门面向中小企业项目，参加投标的供应商须为中小企业，否则投标无效。因本项属于专门面向中小企业采购，故小型和微型企业不享受价格扣除优惠政策。JY企业、残疾人福利性单位视同小型和微型企业。</w:t>
      </w:r>
    </w:p>
    <w:p w14:paraId="4746DEB3">
      <w:pPr>
        <w:pStyle w:val="135"/>
        <w:spacing w:line="460" w:lineRule="exact"/>
        <w:ind w:firstLine="484" w:firstLineChars="202"/>
        <w:jc w:val="left"/>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u w:val="single"/>
          <w:lang w:val="en-US" w:eastAsia="zh-CN"/>
        </w:rPr>
        <w:t xml:space="preserve">  / </w:t>
      </w:r>
      <w:r>
        <w:rPr>
          <w:rFonts w:hint="eastAsia" w:ascii="仿宋" w:hAnsi="仿宋" w:eastAsia="仿宋" w:cs="仿宋"/>
          <w:kern w:val="0"/>
          <w:sz w:val="24"/>
          <w:szCs w:val="24"/>
          <w:highlight w:val="none"/>
          <w:lang w:val="en-US" w:eastAsia="zh-CN"/>
        </w:rPr>
        <w:t xml:space="preserve">  </w:t>
      </w:r>
    </w:p>
    <w:p w14:paraId="5ACE039A">
      <w:pPr>
        <w:pStyle w:val="135"/>
        <w:spacing w:line="460" w:lineRule="exact"/>
        <w:ind w:firstLine="484" w:firstLineChars="202"/>
        <w:jc w:val="left"/>
        <w:outlineLvl w:val="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2.2其它落实政府采购政策的资格要求</w:t>
      </w:r>
    </w:p>
    <w:p w14:paraId="3F51B516">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（1）财政部、国家发展改革委、生态环境部、市场监管总局《关于调整优化节能产品、环境标志产品政府采购执行机制的通知》（财库[2019]9号文）；  </w:t>
      </w:r>
    </w:p>
    <w:p w14:paraId="2323E376">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（2）财政部、生态环境部《关于印发环境标志产品政府采购品目清单的通知》（财库[2019]18号文）； </w:t>
      </w:r>
    </w:p>
    <w:p w14:paraId="29CF1844">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（3）财政部、发展改革委《关于印发节能产品政府采购品目清单的通知》（财库[2019]19号文）； </w:t>
      </w:r>
    </w:p>
    <w:p w14:paraId="60B3357F">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（4）市场监管总局《市场监管总局关于发布参与实施政府采购节能产品、环境标志产品认证机构名录的公告》（2019年第16号）；  </w:t>
      </w:r>
    </w:p>
    <w:p w14:paraId="41947140">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（5）财政部、工业和信息化部《关于印发《政府采购促进中小企业发展管理办法》的通知》（财库[2020]46号文）《关于进一步加大政府采购支持中小企业力度的通知》（财库[2022]19号文）执行； </w:t>
      </w:r>
    </w:p>
    <w:p w14:paraId="4C47AA3C">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（6）财政部、民政部、中国残疾人联合会《关于促进残疾人就业政府采购政策的通知》（财库[2017]141号）；  </w:t>
      </w:r>
    </w:p>
    <w:p w14:paraId="7D4B872A">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（7）财政部、</w:t>
      </w:r>
      <w:r>
        <w:rPr>
          <w:rFonts w:hint="eastAsia" w:ascii="仿宋" w:hAnsi="仿宋" w:eastAsia="仿宋" w:cs="仿宋"/>
          <w:kern w:val="0"/>
          <w:sz w:val="24"/>
          <w:szCs w:val="24"/>
          <w:highlight w:val="none"/>
          <w:lang w:val="en-US" w:eastAsia="zh-CN"/>
        </w:rPr>
        <w:t>SF</w:t>
      </w:r>
      <w:r>
        <w:rPr>
          <w:rFonts w:hint="eastAsia" w:ascii="仿宋" w:hAnsi="仿宋" w:eastAsia="仿宋" w:cs="仿宋"/>
          <w:kern w:val="0"/>
          <w:sz w:val="24"/>
          <w:szCs w:val="24"/>
          <w:highlight w:val="none"/>
        </w:rPr>
        <w:t>部《关于政府采购支持</w:t>
      </w:r>
      <w:r>
        <w:rPr>
          <w:rFonts w:hint="eastAsia" w:ascii="仿宋" w:hAnsi="仿宋" w:eastAsia="仿宋" w:cs="仿宋"/>
          <w:kern w:val="0"/>
          <w:sz w:val="24"/>
          <w:szCs w:val="24"/>
          <w:highlight w:val="none"/>
          <w:lang w:val="en-US" w:eastAsia="zh-CN"/>
        </w:rPr>
        <w:t>JY</w:t>
      </w:r>
      <w:r>
        <w:rPr>
          <w:rFonts w:hint="eastAsia" w:ascii="仿宋" w:hAnsi="仿宋" w:eastAsia="仿宋" w:cs="仿宋"/>
          <w:kern w:val="0"/>
          <w:sz w:val="24"/>
          <w:szCs w:val="24"/>
          <w:highlight w:val="none"/>
        </w:rPr>
        <w:t xml:space="preserve">企业发展有关问题的通知》（财库[2014]68号文）； </w:t>
      </w:r>
    </w:p>
    <w:p w14:paraId="316BB64D">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（8）财政部、生态环境部、国家邮政局《关于印发《商品包装政府采购需求标准（试行）</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快递包装政府采购需求标准（试行）》的通知》（财办库〔2020〕123号）。</w:t>
      </w:r>
    </w:p>
    <w:p w14:paraId="2E5DF3C9">
      <w:pPr>
        <w:pStyle w:val="135"/>
        <w:spacing w:line="460" w:lineRule="exact"/>
        <w:ind w:firstLine="484" w:firstLineChars="202"/>
        <w:jc w:val="left"/>
        <w:outlineLvl w:val="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标项1：</w:t>
      </w:r>
    </w:p>
    <w:p w14:paraId="0005891E">
      <w:pPr>
        <w:pStyle w:val="135"/>
        <w:spacing w:line="460" w:lineRule="exact"/>
        <w:ind w:firstLine="484" w:firstLineChars="202"/>
        <w:jc w:val="left"/>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（1）供应商须具备三证合一的营业执照；</w:t>
      </w:r>
    </w:p>
    <w:p w14:paraId="63B8FF74">
      <w:pPr>
        <w:pStyle w:val="135"/>
        <w:spacing w:line="460" w:lineRule="exact"/>
        <w:ind w:firstLine="484" w:firstLineChars="202"/>
        <w:jc w:val="left"/>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供应商代表法定代表人需提供法定代表人证明书及法定代表人身份证，委托代理人需提供法定代表人授权委托书及委托代理人身份证，并提供近3个月任意1个月社保证明材料（社保缴费凭证及个人明细表）；新公司按实际发生提供；</w:t>
      </w:r>
    </w:p>
    <w:p w14:paraId="5AD41747">
      <w:pPr>
        <w:pStyle w:val="135"/>
        <w:spacing w:line="460" w:lineRule="exact"/>
        <w:ind w:firstLine="484" w:firstLineChars="202"/>
        <w:jc w:val="left"/>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（3）提供税务机关出具近3个月任意1个月的完税证明或报税材料（依法免缴的，应提供依法免缴的相关证明文件），新公司按实际发生提供；</w:t>
      </w:r>
    </w:p>
    <w:p w14:paraId="1A0BC30F">
      <w:pPr>
        <w:pStyle w:val="135"/>
        <w:spacing w:line="460" w:lineRule="exact"/>
        <w:ind w:firstLine="484" w:firstLineChars="202"/>
        <w:jc w:val="left"/>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（4）提供2024年度由第三方财务审计机构出具的财务审计报告，2025年新成立的公司提供银行出具的近一个月的资信证明；；</w:t>
      </w:r>
    </w:p>
    <w:p w14:paraId="6E71B376">
      <w:pPr>
        <w:pStyle w:val="135"/>
        <w:spacing w:line="460" w:lineRule="exact"/>
        <w:ind w:firstLine="484" w:firstLineChars="202"/>
        <w:jc w:val="left"/>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（5）提供参加政府采购活动前 3 年内在经营活动中没有重大违法记录的书面声明；</w:t>
      </w:r>
    </w:p>
    <w:p w14:paraId="70110793">
      <w:pPr>
        <w:pStyle w:val="135"/>
        <w:spacing w:line="460" w:lineRule="exact"/>
        <w:ind w:firstLine="484" w:firstLineChars="202"/>
        <w:jc w:val="left"/>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（6）企业负责人为同一人或者存在直接控股、管理关系的不同投标人，不得参加同一合同项下的政府采购活动声明函；</w:t>
      </w:r>
    </w:p>
    <w:p w14:paraId="6B184423">
      <w:pPr>
        <w:pStyle w:val="135"/>
        <w:spacing w:line="460" w:lineRule="exact"/>
        <w:ind w:firstLine="484" w:firstLineChars="202"/>
        <w:jc w:val="left"/>
        <w:outlineLvl w:val="9"/>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（7）本项目不接受联合体投标；</w:t>
      </w:r>
    </w:p>
    <w:p w14:paraId="5DCDC1FC">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en-US" w:eastAsia="zh-CN"/>
        </w:rPr>
        <w:t>（8）投标保证金或电子保函 ：7000.00元整（大写 ：柒仟元整）</w:t>
      </w:r>
      <w:r>
        <w:rPr>
          <w:rFonts w:hint="eastAsia" w:ascii="仿宋" w:hAnsi="仿宋" w:eastAsia="仿宋" w:cs="仿宋"/>
          <w:kern w:val="0"/>
          <w:sz w:val="24"/>
          <w:szCs w:val="24"/>
          <w:highlight w:val="none"/>
        </w:rPr>
        <w:t>。</w:t>
      </w:r>
    </w:p>
    <w:p w14:paraId="2BD73EA1">
      <w:pPr>
        <w:pStyle w:val="135"/>
        <w:spacing w:line="460" w:lineRule="exact"/>
        <w:ind w:firstLine="484" w:firstLineChars="202"/>
        <w:jc w:val="left"/>
        <w:outlineLvl w:val="3"/>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）本项目不接受联合体投标</w:t>
      </w:r>
      <w:r>
        <w:rPr>
          <w:rFonts w:hint="eastAsia" w:ascii="仿宋" w:hAnsi="仿宋" w:eastAsia="仿宋" w:cs="仿宋"/>
          <w:kern w:val="0"/>
          <w:sz w:val="24"/>
          <w:szCs w:val="24"/>
          <w:highlight w:val="none"/>
          <w:lang w:eastAsia="zh-CN"/>
        </w:rPr>
        <w:t>；</w:t>
      </w:r>
    </w:p>
    <w:p w14:paraId="4967013E">
      <w:pPr>
        <w:pStyle w:val="135"/>
        <w:spacing w:line="460" w:lineRule="exact"/>
        <w:ind w:firstLine="484" w:firstLineChars="202"/>
        <w:jc w:val="left"/>
        <w:outlineLvl w:val="3"/>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特定资格要求：</w:t>
      </w:r>
      <w:r>
        <w:rPr>
          <w:rFonts w:hint="eastAsia" w:ascii="仿宋" w:hAnsi="仿宋" w:eastAsia="仿宋" w:cs="仿宋"/>
          <w:color w:val="000000"/>
          <w:sz w:val="24"/>
          <w:szCs w:val="24"/>
          <w:highlight w:val="none"/>
          <w:lang w:val="en-US" w:eastAsia="zh-CN"/>
        </w:rPr>
        <w:t>具备医学教育培训相关资质。</w:t>
      </w:r>
    </w:p>
    <w:p w14:paraId="7601FD3E">
      <w:pPr>
        <w:pStyle w:val="135"/>
        <w:spacing w:line="460" w:lineRule="exact"/>
        <w:ind w:firstLine="484" w:firstLineChars="202"/>
        <w:jc w:val="left"/>
        <w:outlineLvl w:val="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3.7.4 证明投标服务的合格性和符合磋商文件规定的文件。</w:t>
      </w:r>
    </w:p>
    <w:p w14:paraId="1B317F26">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采取资格预审方式项目的供应商在递交投标文件时，其资格条件与资格预审时发生变化的，提交变化后的资料。</w:t>
      </w:r>
    </w:p>
    <w:p w14:paraId="05019022">
      <w:pPr>
        <w:pStyle w:val="176"/>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3.8. 磋商保证金</w:t>
      </w:r>
    </w:p>
    <w:p w14:paraId="07417019">
      <w:pPr>
        <w:pStyle w:val="135"/>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3.8.1</w:t>
      </w:r>
      <w:r>
        <w:rPr>
          <w:rFonts w:hint="eastAsia" w:ascii="仿宋" w:hAnsi="仿宋" w:eastAsia="仿宋" w:cs="仿宋"/>
          <w:kern w:val="0"/>
          <w:sz w:val="24"/>
          <w:szCs w:val="24"/>
          <w:highlight w:val="none"/>
        </w:rPr>
        <w:t>供应商</w:t>
      </w:r>
      <w:r>
        <w:rPr>
          <w:rFonts w:hint="eastAsia" w:ascii="仿宋" w:hAnsi="仿宋" w:eastAsia="仿宋" w:cs="仿宋"/>
          <w:sz w:val="24"/>
          <w:szCs w:val="24"/>
          <w:highlight w:val="none"/>
        </w:rPr>
        <w:t>应在响应文件截止时间之前，通过企业银行账户，将所规定数额的保证金以转账或电汇方式缴纳至该项目所</w:t>
      </w:r>
      <w:r>
        <w:rPr>
          <w:rFonts w:hint="eastAsia" w:ascii="仿宋" w:hAnsi="仿宋" w:eastAsia="仿宋" w:cs="仿宋"/>
          <w:kern w:val="0"/>
          <w:sz w:val="24"/>
          <w:szCs w:val="24"/>
          <w:highlight w:val="none"/>
        </w:rPr>
        <w:t>对应的保证金收取账号内（不接受现金缴纳）。保证金缴纳时间以该项目所对应的保证金收取账号中显示的到账时间为准。</w:t>
      </w:r>
    </w:p>
    <w:p w14:paraId="4DAFB17F">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3.8.2对于未能按要求提交保证金的将视为未响应磋商文件的要求，其响应文件无效。</w:t>
      </w:r>
    </w:p>
    <w:p w14:paraId="3DC5061C">
      <w:pPr>
        <w:pStyle w:val="176"/>
        <w:adjustRightInd w:val="0"/>
        <w:snapToGrid w:val="0"/>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ker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r>
        <w:rPr>
          <w:rFonts w:hint="eastAsia" w:ascii="仿宋" w:hAnsi="仿宋" w:eastAsia="仿宋" w:cs="仿宋"/>
          <w:b/>
          <w:bCs/>
          <w:sz w:val="24"/>
          <w:szCs w:val="24"/>
          <w:highlight w:val="none"/>
        </w:rPr>
        <w:t>中标（成交）人办理保证金退款申请时，中标（成交）人还须提供与采购人签订的已加盖中标方公章的合同复印件或扫描件一份（代理机构存档备查）。</w:t>
      </w:r>
    </w:p>
    <w:p w14:paraId="432E9A0F">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2B9D0FB9">
      <w:pPr>
        <w:pStyle w:val="135"/>
        <w:spacing w:line="460" w:lineRule="exact"/>
        <w:ind w:firstLine="484" w:firstLineChars="202"/>
        <w:jc w:val="left"/>
        <w:outlineLvl w:val="3"/>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3.8.5有下列情形之一的，保证金将被没收：</w:t>
      </w:r>
    </w:p>
    <w:p w14:paraId="254FFEF9">
      <w:pPr>
        <w:pStyle w:val="135"/>
        <w:spacing w:line="460" w:lineRule="exact"/>
        <w:ind w:firstLine="484" w:firstLineChars="202"/>
        <w:jc w:val="left"/>
        <w:outlineLvl w:val="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（1）供应商在响应文件中提供虚假资料的；</w:t>
      </w:r>
    </w:p>
    <w:p w14:paraId="59A83430">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（2）除因不可抗力或磋商文件认可的情形以外，成交供应商不与采购人签订合同的；</w:t>
      </w:r>
    </w:p>
    <w:p w14:paraId="034F2037">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（3）供应商与采购人、其他供应商或者采购代理机构恶意串通的；</w:t>
      </w:r>
    </w:p>
    <w:p w14:paraId="32FC8F72">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（4）磋商文件规定的其他情形。</w:t>
      </w:r>
    </w:p>
    <w:p w14:paraId="6FF3D594">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3.8.6如开标时供应商对本单位磋商保证金缴纳情况有疑义，供应商应在开标结束前向招标人提交书面申请核实保证金缴纳情况。由银行或保险公司核实后出具书面材料予以答复。</w:t>
      </w:r>
    </w:p>
    <w:p w14:paraId="3B4DDDD9">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3.8.7开标结束后，转账、电汇、网银形式缴纳的保证金由招标代理或招标人统一办理中标人和未中标人的保证金退还事宜。如本项目招标中遇质疑，投诉，复议等特殊情况，保证金退还时间按相关规定执行。</w:t>
      </w:r>
    </w:p>
    <w:p w14:paraId="36D6782B">
      <w:pPr>
        <w:pStyle w:val="135"/>
        <w:spacing w:line="460" w:lineRule="exact"/>
        <w:ind w:firstLine="484" w:firstLineChars="202"/>
        <w:jc w:val="left"/>
        <w:outlineLvl w:val="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3.9. 磋商的有效期</w:t>
      </w:r>
    </w:p>
    <w:p w14:paraId="163ECD1F">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3.9.1磋商有效期详见供应商须知前附表。供应商响应文件中有效期不足的将被视为无效文件。</w:t>
      </w:r>
    </w:p>
    <w:p w14:paraId="5AC3E7F7">
      <w:pPr>
        <w:pStyle w:val="135"/>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3.9.2 有效期内供应商未经采购结果确认谈判达成一致不得改变其磋商最后报价及承诺的全部义务。</w:t>
      </w:r>
    </w:p>
    <w:p w14:paraId="79746948">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sz w:val="30"/>
          <w:szCs w:val="30"/>
          <w:highlight w:val="none"/>
        </w:rPr>
      </w:pPr>
      <w:bookmarkStart w:id="66" w:name="_Toc14442"/>
      <w:bookmarkStart w:id="67" w:name="_Toc26836"/>
      <w:r>
        <w:rPr>
          <w:rFonts w:hint="eastAsia" w:ascii="仿宋" w:hAnsi="仿宋" w:eastAsia="仿宋" w:cs="仿宋"/>
          <w:b/>
          <w:sz w:val="30"/>
          <w:szCs w:val="30"/>
          <w:highlight w:val="none"/>
        </w:rPr>
        <w:t>四、响应文件的递交</w:t>
      </w:r>
      <w:bookmarkEnd w:id="66"/>
      <w:bookmarkEnd w:id="67"/>
    </w:p>
    <w:p w14:paraId="61CF5F5F">
      <w:pPr>
        <w:pStyle w:val="14"/>
        <w:spacing w:line="460" w:lineRule="exact"/>
        <w:ind w:firstLine="484" w:firstLineChars="202"/>
        <w:jc w:val="left"/>
        <w:outlineLvl w:val="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 响应文件的密封和标记</w:t>
      </w:r>
    </w:p>
    <w:p w14:paraId="4E652136">
      <w:pPr>
        <w:pStyle w:val="14"/>
        <w:spacing w:line="460" w:lineRule="exact"/>
        <w:ind w:firstLine="482" w:firstLineChars="201"/>
        <w:contextualSpacing/>
        <w:jc w:val="left"/>
        <w:outlineLvl w:val="9"/>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4.1 .1</w:t>
      </w:r>
      <w:r>
        <w:rPr>
          <w:rFonts w:hint="eastAsia" w:ascii="仿宋" w:hAnsi="仿宋" w:eastAsia="仿宋" w:cs="仿宋"/>
          <w:b/>
          <w:bCs/>
          <w:kern w:val="0"/>
          <w:sz w:val="24"/>
          <w:szCs w:val="24"/>
          <w:highlight w:val="none"/>
        </w:rPr>
        <w:t>本项目采用不见面开标，供应商应通过政采云电子投标客户端严格按磋商文件要求制作响应文件，在响应文件递交截止时间前完成经过数字证书电子签章并加密的电子响应文件（加密和解密必须使用同一把数字证书）的上传。供应商在响应文件递交截止时间前，可以对其所递交的响应文件进行撤销、修改并重新上传，但以响应文件递交截止时间前最后一次完成上传的响应文件为有效响应文件。逾期系统将自动关闭，未完成上传的响应文件视为逾期送达，将被拒绝。</w:t>
      </w:r>
    </w:p>
    <w:p w14:paraId="60E67EC9">
      <w:pPr>
        <w:pStyle w:val="14"/>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4.2响应文件的递交</w:t>
      </w:r>
    </w:p>
    <w:p w14:paraId="04FEC725">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4.2.1供应商应在磋商文件规定的响应文件递交截止时间前将电子响应文件上</w:t>
      </w:r>
      <w:r>
        <w:rPr>
          <w:rFonts w:hint="eastAsia" w:ascii="仿宋" w:hAnsi="仿宋" w:eastAsia="仿宋" w:cs="仿宋"/>
          <w:kern w:val="0"/>
          <w:sz w:val="24"/>
          <w:szCs w:val="24"/>
          <w:highlight w:val="none"/>
          <w:lang w:eastAsia="zh-CN"/>
        </w:rPr>
        <w:t>传到</w:t>
      </w:r>
      <w:r>
        <w:rPr>
          <w:rFonts w:hint="eastAsia" w:ascii="仿宋" w:hAnsi="仿宋" w:eastAsia="仿宋" w:cs="仿宋"/>
          <w:sz w:val="24"/>
          <w:szCs w:val="24"/>
          <w:highlight w:val="none"/>
        </w:rPr>
        <w:t>新疆政府采购网（http://www.ccgp-xinjiang.gov.cn）</w:t>
      </w:r>
      <w:r>
        <w:rPr>
          <w:rFonts w:hint="eastAsia" w:ascii="仿宋" w:hAnsi="仿宋" w:eastAsia="仿宋" w:cs="仿宋"/>
          <w:kern w:val="0"/>
          <w:sz w:val="24"/>
          <w:szCs w:val="24"/>
          <w:highlight w:val="none"/>
        </w:rPr>
        <w:t>的指定栏目。未在响应文件递交截止时间前完成上传的电子响应文件视为逾期送达。逾期上传或未按规定方式上传的电子响应文件，</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不予受理。</w:t>
      </w:r>
    </w:p>
    <w:p w14:paraId="67C590EB">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4.2.2供应商应在磋商文件规定的响应文件递交截止时间前递交电子响应文件光盘。逾期送达的，或者未送达指定地点，以及未按指定方式送达的响应文件光盘，</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不予受理。</w:t>
      </w:r>
    </w:p>
    <w:p w14:paraId="64A926E8">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4.2.3是否采用不见面开标详见供应商须知前附表，若项目采用不见面开标。只需将加密电子投标文件在投标截止时间前通过</w:t>
      </w:r>
      <w:r>
        <w:rPr>
          <w:rFonts w:hint="eastAsia" w:ascii="仿宋" w:hAnsi="仿宋" w:eastAsia="仿宋" w:cs="仿宋"/>
          <w:sz w:val="24"/>
          <w:highlight w:val="none"/>
        </w:rPr>
        <w:t>新疆政府采购网（http://www.ccgp-xinjiang.gov.cn）</w:t>
      </w:r>
      <w:r>
        <w:rPr>
          <w:rFonts w:hint="eastAsia" w:ascii="仿宋" w:hAnsi="仿宋" w:eastAsia="仿宋" w:cs="仿宋"/>
          <w:kern w:val="0"/>
          <w:sz w:val="24"/>
          <w:szCs w:val="24"/>
          <w:highlight w:val="none"/>
        </w:rPr>
        <w:t>上传完成。逾期上传的或者未上传到平台的投标文件，采购人不予受理。</w:t>
      </w:r>
    </w:p>
    <w:p w14:paraId="4ABAFFC3">
      <w:pPr>
        <w:pStyle w:val="14"/>
        <w:spacing w:line="460" w:lineRule="exact"/>
        <w:ind w:firstLine="484" w:firstLineChars="201"/>
        <w:contextualSpacing/>
        <w:jc w:val="left"/>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4.3迟交的响应文件</w:t>
      </w:r>
    </w:p>
    <w:p w14:paraId="3C3BA2CF">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4.3</w:t>
      </w: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采购人</w:t>
      </w:r>
      <w:r>
        <w:rPr>
          <w:rFonts w:hint="eastAsia" w:ascii="仿宋" w:hAnsi="仿宋" w:eastAsia="仿宋" w:cs="仿宋"/>
          <w:kern w:val="0"/>
          <w:sz w:val="24"/>
          <w:szCs w:val="24"/>
          <w:highlight w:val="none"/>
        </w:rPr>
        <w:t>将拒绝并原封退回在规定的响应文件递交截止期后送达的任何响应文件。由于对网上招标操作不熟悉或自身电脑、网络的原因导致不能在响应文件递交截止时间之前上传响应文件，</w:t>
      </w:r>
      <w:r>
        <w:rPr>
          <w:rFonts w:hint="eastAsia" w:ascii="仿宋" w:hAnsi="仿宋" w:eastAsia="仿宋" w:cs="仿宋"/>
          <w:sz w:val="24"/>
          <w:highlight w:val="none"/>
        </w:rPr>
        <w:t>政采云平台</w:t>
      </w:r>
      <w:r>
        <w:rPr>
          <w:rFonts w:hint="eastAsia" w:ascii="仿宋" w:hAnsi="仿宋" w:eastAsia="仿宋" w:cs="仿宋"/>
          <w:kern w:val="0"/>
          <w:sz w:val="24"/>
          <w:szCs w:val="24"/>
          <w:highlight w:val="none"/>
        </w:rPr>
        <w:t>将不负任何责任。建议于开标前1个工作日完成响应文件的制作与上传。</w:t>
      </w:r>
    </w:p>
    <w:p w14:paraId="7E088685">
      <w:pPr>
        <w:pStyle w:val="14"/>
        <w:spacing w:line="460" w:lineRule="exact"/>
        <w:ind w:firstLine="484" w:firstLineChars="201"/>
        <w:contextualSpacing/>
        <w:jc w:val="left"/>
        <w:outlineLvl w:val="2"/>
        <w:rPr>
          <w:rFonts w:hint="eastAsia" w:ascii="仿宋" w:hAnsi="仿宋" w:eastAsia="仿宋" w:cs="仿宋"/>
          <w:kern w:val="0"/>
          <w:sz w:val="22"/>
          <w:szCs w:val="20"/>
          <w:highlight w:val="none"/>
        </w:rPr>
      </w:pPr>
      <w:r>
        <w:rPr>
          <w:rFonts w:hint="eastAsia" w:ascii="仿宋" w:hAnsi="仿宋" w:eastAsia="仿宋" w:cs="仿宋"/>
          <w:b/>
          <w:sz w:val="24"/>
          <w:szCs w:val="24"/>
          <w:highlight w:val="none"/>
        </w:rPr>
        <w:t>4.4响应文件的修改和撤回</w:t>
      </w:r>
    </w:p>
    <w:p w14:paraId="3B3C08BD">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84A6326">
      <w:pPr>
        <w:pStyle w:val="14"/>
        <w:spacing w:line="460" w:lineRule="exact"/>
        <w:ind w:firstLine="484" w:firstLineChars="202"/>
        <w:jc w:val="left"/>
        <w:outlineLvl w:val="9"/>
        <w:rPr>
          <w:rFonts w:hint="eastAsia" w:ascii="仿宋" w:hAnsi="仿宋" w:eastAsia="仿宋" w:cs="仿宋"/>
          <w:b/>
          <w:sz w:val="28"/>
          <w:szCs w:val="24"/>
          <w:highlight w:val="none"/>
        </w:rPr>
      </w:pPr>
      <w:r>
        <w:rPr>
          <w:rFonts w:hint="eastAsia" w:ascii="仿宋" w:hAnsi="仿宋" w:eastAsia="仿宋" w:cs="仿宋"/>
          <w:kern w:val="0"/>
          <w:sz w:val="24"/>
          <w:szCs w:val="24"/>
          <w:highlight w:val="none"/>
        </w:rPr>
        <w:t>4.4.2供应商所提交的响应文件在评审结束后，无论中标与否都不退还。</w:t>
      </w:r>
      <w:bookmarkStart w:id="68" w:name="_Toc293738995"/>
      <w:bookmarkStart w:id="69" w:name="_Toc293736014"/>
      <w:bookmarkStart w:id="70" w:name="_Toc293736057"/>
      <w:bookmarkStart w:id="71" w:name="_Toc446599314"/>
      <w:bookmarkStart w:id="72" w:name="_Toc9220"/>
      <w:bookmarkStart w:id="73" w:name="_Toc4087"/>
    </w:p>
    <w:p w14:paraId="1C2C0C8C">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sz w:val="30"/>
          <w:szCs w:val="30"/>
          <w:highlight w:val="none"/>
        </w:rPr>
      </w:pPr>
      <w:bookmarkStart w:id="74" w:name="_Toc641"/>
      <w:bookmarkStart w:id="75" w:name="_Toc11856"/>
    </w:p>
    <w:p w14:paraId="171C863C">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五、</w:t>
      </w:r>
      <w:bookmarkEnd w:id="68"/>
      <w:bookmarkEnd w:id="69"/>
      <w:bookmarkEnd w:id="70"/>
      <w:bookmarkEnd w:id="71"/>
      <w:r>
        <w:rPr>
          <w:rFonts w:hint="eastAsia" w:ascii="仿宋" w:hAnsi="仿宋" w:eastAsia="仿宋" w:cs="仿宋"/>
          <w:b/>
          <w:sz w:val="30"/>
          <w:szCs w:val="30"/>
          <w:highlight w:val="none"/>
        </w:rPr>
        <w:t>竞争性磋商程序</w:t>
      </w:r>
      <w:bookmarkEnd w:id="72"/>
      <w:bookmarkEnd w:id="73"/>
      <w:bookmarkEnd w:id="74"/>
      <w:bookmarkEnd w:id="75"/>
    </w:p>
    <w:p w14:paraId="1181F01C">
      <w:pPr>
        <w:pStyle w:val="14"/>
        <w:spacing w:line="460" w:lineRule="exact"/>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5.1磋商仪式</w:t>
      </w:r>
    </w:p>
    <w:p w14:paraId="6E0682A9">
      <w:pPr>
        <w:pStyle w:val="14"/>
        <w:spacing w:line="460" w:lineRule="exact"/>
        <w:ind w:firstLine="482" w:firstLineChars="200"/>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采购人在本章规定的响应文件递交截止时间和供应商须知前附表规定的地点开标。供应商的法定代表人或其委托代理人无需到达开标现场，仅需在任意地点通过</w:t>
      </w:r>
      <w:r>
        <w:rPr>
          <w:rFonts w:hint="eastAsia" w:ascii="仿宋" w:hAnsi="仿宋" w:eastAsia="仿宋" w:cs="仿宋"/>
          <w:b/>
          <w:bCs/>
          <w:sz w:val="24"/>
          <w:highlight w:val="none"/>
        </w:rPr>
        <w:t>政采云平台</w:t>
      </w:r>
      <w:r>
        <w:rPr>
          <w:rFonts w:hint="eastAsia" w:ascii="仿宋" w:hAnsi="仿宋" w:eastAsia="仿宋" w:cs="仿宋"/>
          <w:b/>
          <w:bCs/>
          <w:spacing w:val="-20"/>
          <w:sz w:val="24"/>
          <w:highlight w:val="none"/>
        </w:rPr>
        <w:t>（https://www.zcygov.cn）</w:t>
      </w:r>
      <w:r>
        <w:rPr>
          <w:rFonts w:hint="eastAsia" w:ascii="仿宋" w:hAnsi="仿宋" w:eastAsia="仿宋" w:cs="仿宋"/>
          <w:b/>
          <w:bCs/>
          <w:sz w:val="24"/>
          <w:szCs w:val="24"/>
          <w:highlight w:val="none"/>
        </w:rPr>
        <w:t>不见面开标系统使用CA密钥完成远程解密、提疑澄清、开标唱标等交互环节。</w:t>
      </w:r>
    </w:p>
    <w:p w14:paraId="040E608E">
      <w:pPr>
        <w:pStyle w:val="14"/>
        <w:spacing w:line="460" w:lineRule="exact"/>
        <w:ind w:firstLine="482" w:firstLineChars="200"/>
        <w:outlineLvl w:val="9"/>
        <w:rPr>
          <w:rFonts w:hint="eastAsia" w:ascii="仿宋" w:hAnsi="仿宋" w:eastAsia="仿宋" w:cs="仿宋"/>
          <w:sz w:val="24"/>
          <w:szCs w:val="24"/>
          <w:highlight w:val="none"/>
        </w:rPr>
      </w:pPr>
      <w:r>
        <w:rPr>
          <w:rFonts w:hint="eastAsia" w:ascii="仿宋" w:hAnsi="仿宋" w:eastAsia="仿宋" w:cs="仿宋"/>
          <w:b/>
          <w:bCs/>
          <w:sz w:val="24"/>
          <w:szCs w:val="24"/>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5A473CFA">
      <w:pPr>
        <w:pStyle w:val="14"/>
        <w:widowControl/>
        <w:spacing w:line="460" w:lineRule="exact"/>
        <w:textAlignment w:val="baseline"/>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5</w:t>
      </w:r>
      <w:r>
        <w:rPr>
          <w:rFonts w:hint="eastAsia" w:ascii="仿宋" w:hAnsi="仿宋" w:eastAsia="仿宋" w:cs="仿宋"/>
          <w:b/>
          <w:kern w:val="0"/>
          <w:sz w:val="24"/>
          <w:szCs w:val="24"/>
          <w:highlight w:val="none"/>
        </w:rPr>
        <w:t>.</w:t>
      </w:r>
      <w:r>
        <w:rPr>
          <w:rFonts w:hint="eastAsia" w:ascii="仿宋" w:hAnsi="仿宋" w:eastAsia="仿宋" w:cs="仿宋"/>
          <w:b/>
          <w:sz w:val="24"/>
          <w:szCs w:val="24"/>
          <w:highlight w:val="none"/>
        </w:rPr>
        <w:t>2磋商小组的组成</w:t>
      </w:r>
    </w:p>
    <w:p w14:paraId="54F9923C">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5.2.1评审由</w:t>
      </w:r>
      <w:r>
        <w:rPr>
          <w:rFonts w:hint="eastAsia" w:ascii="仿宋" w:hAnsi="仿宋" w:eastAsia="仿宋" w:cs="仿宋"/>
          <w:kern w:val="0"/>
          <w:sz w:val="24"/>
          <w:szCs w:val="24"/>
          <w:highlight w:val="none"/>
          <w:lang w:eastAsia="zh-CN"/>
        </w:rPr>
        <w:t>采购人</w:t>
      </w:r>
      <w:r>
        <w:rPr>
          <w:rFonts w:hint="eastAsia" w:ascii="仿宋" w:hAnsi="仿宋" w:eastAsia="仿宋" w:cs="仿宋"/>
          <w:kern w:val="0"/>
          <w:sz w:val="24"/>
          <w:szCs w:val="24"/>
          <w:highlight w:val="none"/>
        </w:rPr>
        <w:t>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HYPERLINK "../Documents/WeChat Files/Yun1183348621/WordForm/e944b4b1-01b6-4e42-b170-f783fcf7903a.doc" \l "_评标委员会"</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供应商须知前附表</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w:t>
      </w:r>
    </w:p>
    <w:p w14:paraId="59658C73">
      <w:pPr>
        <w:pStyle w:val="14"/>
        <w:spacing w:line="460" w:lineRule="exact"/>
        <w:jc w:val="left"/>
        <w:outlineLvl w:val="2"/>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5.3磋商方法</w:t>
      </w:r>
    </w:p>
    <w:p w14:paraId="4D665F62">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5.3.1磋商小组将按照磋商文件确定的评审方法进行评审。磋商小组对响应文件的评审分为响应文件初审、澄清有关问题、比较与评价响应文件、推荐中标候选人名单。</w:t>
      </w:r>
    </w:p>
    <w:p w14:paraId="193CD270">
      <w:pPr>
        <w:pStyle w:val="14"/>
        <w:spacing w:line="460" w:lineRule="exact"/>
        <w:ind w:firstLine="484" w:firstLineChars="202"/>
        <w:jc w:val="left"/>
        <w:outlineLvl w:val="3"/>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5.3.1项目评审方法详见磋商文件“第四章 评审方法”。</w:t>
      </w:r>
    </w:p>
    <w:p w14:paraId="61A57993">
      <w:pPr>
        <w:pStyle w:val="14"/>
        <w:spacing w:line="460" w:lineRule="exact"/>
        <w:jc w:val="left"/>
        <w:outlineLvl w:val="2"/>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5.4响应文件的初审</w:t>
      </w:r>
    </w:p>
    <w:p w14:paraId="4B485056">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初审分为资格性检查和符合性检查。</w:t>
      </w:r>
    </w:p>
    <w:p w14:paraId="1BCD8B78">
      <w:pPr>
        <w:pStyle w:val="14"/>
        <w:spacing w:line="460" w:lineRule="exact"/>
        <w:ind w:firstLine="484" w:firstLineChars="202"/>
        <w:jc w:val="left"/>
        <w:outlineLvl w:val="3"/>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5.4.1资格性检查</w:t>
      </w:r>
    </w:p>
    <w:p w14:paraId="255FAE06">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（1）磋商小组根据评审办法前附表规定的评审因素和评审标准，对供应商的响应文件进行资格评审。资格性检查不合格的供应商的响应文件作无效文件处理。</w:t>
      </w:r>
    </w:p>
    <w:p w14:paraId="190834EA">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（2）磋商小组在进行资格检查时，不得改变磋商文件中已载明的资格条件、标准和办法。资格性检查不合格的供应商的响应文件作无效文件处理。</w:t>
      </w:r>
    </w:p>
    <w:p w14:paraId="3DA9383D">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（3）供应商在递交响应文件的同时，应逐项对照上述资格性检查要求提交相应的原件和资格证明文件供磋商小组核查，否则评委将不予采信。</w:t>
      </w:r>
    </w:p>
    <w:p w14:paraId="37FF64A6">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（4）磋商小组在评审中必要时可按供应商提供的联系方式就有关问题进行查询核实，或要求供应商做出书面澄清，查询及澄清结果将作为审查的依据。</w:t>
      </w:r>
    </w:p>
    <w:p w14:paraId="77752FBA">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（5）通过全部资格性检查条件合格的供应商才能通过资格检查，其响应文件方可进入下一个检查阶段。</w:t>
      </w:r>
    </w:p>
    <w:p w14:paraId="44B86489">
      <w:pPr>
        <w:pStyle w:val="14"/>
        <w:spacing w:line="460" w:lineRule="exact"/>
        <w:ind w:firstLine="484" w:firstLineChars="202"/>
        <w:jc w:val="left"/>
        <w:outlineLvl w:val="3"/>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5.4.2符合性检查</w:t>
      </w:r>
    </w:p>
    <w:p w14:paraId="4F691AC6">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磋商小组根据评审办法前附表规定的评审因素和评审标准，对供应商的响应文件进行符合性检查。符合性检查不合格的供应商的响应文件作无效文件处理。</w:t>
      </w:r>
    </w:p>
    <w:p w14:paraId="773DEE6A">
      <w:pPr>
        <w:pStyle w:val="14"/>
        <w:spacing w:line="460" w:lineRule="exact"/>
        <w:jc w:val="left"/>
        <w:outlineLvl w:val="2"/>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 xml:space="preserve">5.5违法违规行为 </w:t>
      </w:r>
    </w:p>
    <w:p w14:paraId="25FBDB5D">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5.5.1在评审过程中，磋商小组发现供应商有下列情形之一的，作无效文件处理：</w:t>
      </w:r>
    </w:p>
    <w:p w14:paraId="75A3878A">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（1）属于同一集团、协会、商会等组织成员的供应商按照该组织要求协同投标；</w:t>
      </w:r>
    </w:p>
    <w:p w14:paraId="2EB7D31A">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（2）不同供应商的响应文件由同一单位或者个人编制；</w:t>
      </w:r>
    </w:p>
    <w:p w14:paraId="5523871F">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（3）不同供应商委托同一单位或者个人办理投标事宜；</w:t>
      </w:r>
    </w:p>
    <w:p w14:paraId="32AE6357">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（4）不同供应商的响应文件载明的项目管理成员为同一人；</w:t>
      </w:r>
    </w:p>
    <w:p w14:paraId="657A47BA">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（5）不同供应商的响应文件异常一致或者投标报价呈规律性差异；</w:t>
      </w:r>
    </w:p>
    <w:p w14:paraId="484CA645">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（6）不同供应商的响应文件相互混装；</w:t>
      </w:r>
    </w:p>
    <w:p w14:paraId="32DF2485">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（7）不同供应商的磋商保证金从同一单位或者个人的账户转出；</w:t>
      </w:r>
    </w:p>
    <w:p w14:paraId="7A8C5AB2">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（8）使用伪造、变造的行政许可证件；</w:t>
      </w:r>
    </w:p>
    <w:p w14:paraId="50DA1060">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（9）提供虚假的财务状况或者业绩；</w:t>
      </w:r>
    </w:p>
    <w:p w14:paraId="655291DF">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（10）提供虚假的项目负责人或者主要技术人员简历、劳动关系证明；</w:t>
      </w:r>
    </w:p>
    <w:p w14:paraId="133FD297">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（11）提供虚假的信用状况；</w:t>
      </w:r>
    </w:p>
    <w:p w14:paraId="0A6FCF17">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（12）其他弄虚作假的行为。</w:t>
      </w:r>
    </w:p>
    <w:p w14:paraId="27D1EEF6">
      <w:pPr>
        <w:pStyle w:val="14"/>
        <w:spacing w:line="460" w:lineRule="exact"/>
        <w:jc w:val="left"/>
        <w:outlineLvl w:val="2"/>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5.6 磋商小组审查响应文件是否完整、有无计算上的错误等。</w:t>
      </w:r>
    </w:p>
    <w:p w14:paraId="67CD18E5">
      <w:pPr>
        <w:pStyle w:val="14"/>
        <w:spacing w:line="460" w:lineRule="exact"/>
        <w:ind w:firstLine="484" w:firstLineChars="202"/>
        <w:jc w:val="left"/>
        <w:outlineLvl w:val="3"/>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5.6.1 响应文件的修正及澄清</w:t>
      </w:r>
    </w:p>
    <w:p w14:paraId="56CC65FB">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（1）磋商小组对确定为实质上响应磋商文件要求的响应文件进行校核，看其是否有计算或表达上的错误，算术错误将按以下方法更正：</w:t>
      </w:r>
    </w:p>
    <w:p w14:paraId="66D23FED">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3A986153">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5.6.2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35B0F91E">
      <w:pPr>
        <w:pStyle w:val="14"/>
        <w:spacing w:line="460" w:lineRule="exact"/>
        <w:ind w:firstLine="484" w:firstLineChars="202"/>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5.6.3实质上没有响应磋商文件要求的响应文件将被视为无效文件。供应商不得通过修正或撤销不合要求的偏离从而使其成为实质上响应的文件。</w:t>
      </w:r>
    </w:p>
    <w:p w14:paraId="7F26385C">
      <w:pPr>
        <w:pStyle w:val="14"/>
        <w:spacing w:line="460" w:lineRule="exact"/>
        <w:ind w:firstLine="482" w:firstLineChars="201"/>
        <w:contextualSpacing/>
        <w:jc w:val="left"/>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5.6.4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75728103">
      <w:pPr>
        <w:pStyle w:val="14"/>
        <w:spacing w:line="460" w:lineRule="exact"/>
        <w:ind w:firstLine="484" w:firstLineChars="202"/>
        <w:jc w:val="left"/>
        <w:outlineLvl w:val="3"/>
        <w:rPr>
          <w:rFonts w:hint="eastAsia" w:ascii="仿宋" w:hAnsi="仿宋" w:eastAsia="仿宋" w:cs="仿宋"/>
          <w:sz w:val="24"/>
          <w:szCs w:val="24"/>
          <w:highlight w:val="none"/>
        </w:rPr>
      </w:pPr>
      <w:r>
        <w:rPr>
          <w:rFonts w:hint="eastAsia" w:ascii="仿宋" w:hAnsi="仿宋" w:eastAsia="仿宋" w:cs="仿宋"/>
          <w:kern w:val="0"/>
          <w:sz w:val="24"/>
          <w:szCs w:val="24"/>
          <w:highlight w:val="none"/>
        </w:rPr>
        <w:t>5.6.5供应商的澄清文件是其响应文件</w:t>
      </w:r>
      <w:r>
        <w:rPr>
          <w:rFonts w:hint="eastAsia" w:ascii="仿宋" w:hAnsi="仿宋" w:eastAsia="仿宋" w:cs="仿宋"/>
          <w:sz w:val="24"/>
          <w:szCs w:val="24"/>
          <w:highlight w:val="none"/>
        </w:rPr>
        <w:t>的组成部分。</w:t>
      </w:r>
    </w:p>
    <w:p w14:paraId="239B93A0">
      <w:pPr>
        <w:pStyle w:val="14"/>
        <w:spacing w:line="460" w:lineRule="exact"/>
        <w:jc w:val="left"/>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5.7磋商</w:t>
      </w:r>
    </w:p>
    <w:p w14:paraId="4D26494F">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5.7.1磋商小组所有成员应当集中与单一供应商分别进行磋商，并给予所有参加磋商的供应商平等的磋商机会。</w:t>
      </w:r>
    </w:p>
    <w:p w14:paraId="2C3989E8">
      <w:pPr>
        <w:pStyle w:val="14"/>
        <w:spacing w:line="460" w:lineRule="exact"/>
        <w:ind w:firstLine="484" w:firstLineChars="202"/>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5.7.2在磋商过程中，磋商小组可以根据磋商文件和磋商情况实质性变动采购需求中的技术、服务要求以及合同草案条款，但不得变动磋商文件中的其他内容。实质性变动的内容，须经采购人代表确认。</w:t>
      </w:r>
    </w:p>
    <w:p w14:paraId="1AC90BC4">
      <w:pPr>
        <w:pStyle w:val="14"/>
        <w:spacing w:line="460" w:lineRule="exact"/>
        <w:ind w:firstLine="484" w:firstLineChars="202"/>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5.7.3对磋商文件作出的实质性变动是磋商文件的有效组成部分，磋商小组应当及时以书面形式同时通知所有参加磋商的供应商。</w:t>
      </w:r>
    </w:p>
    <w:p w14:paraId="1F1C5785">
      <w:pPr>
        <w:pStyle w:val="14"/>
        <w:spacing w:line="460" w:lineRule="exact"/>
        <w:ind w:firstLine="484" w:firstLineChars="202"/>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5.7.4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23B0A4F">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5.7.5磋商文件能够详细列明采购标的的技术、服务要求的，磋商结束后，磋商小组应当要求所有实质性响应的供应商在规定时间内提交最后报价，提交最后报价的供应商不得少于3家。</w:t>
      </w:r>
    </w:p>
    <w:p w14:paraId="7C50FC08">
      <w:pPr>
        <w:pStyle w:val="14"/>
        <w:spacing w:line="460" w:lineRule="exact"/>
        <w:ind w:firstLine="480" w:firstLineChars="200"/>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5.7.6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76A8C76">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5.7.7已提交响应文件的供应商，在提交最后报价之前，可以根据磋商情况退出磋商。其磋商保证金将予以退还。</w:t>
      </w:r>
    </w:p>
    <w:p w14:paraId="5B2E7D7B">
      <w:pPr>
        <w:pStyle w:val="14"/>
        <w:widowControl/>
        <w:spacing w:line="460" w:lineRule="exact"/>
        <w:ind w:firstLine="480" w:firstLineChars="20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5.7.8最后报价是供应商响应文件的有效组成部分。符合《政府采购竞争性磋商采购方式管理办法》第三条第四项情形的，提交最后报价的供应商可以为2家。</w:t>
      </w:r>
    </w:p>
    <w:p w14:paraId="5A63CBE0">
      <w:pPr>
        <w:pStyle w:val="14"/>
        <w:spacing w:line="460" w:lineRule="exact"/>
        <w:ind w:firstLine="480" w:firstLineChars="200"/>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5.7.9经磋商确定最终采购需求和提交最后报价的供应商后，由磋商小组采用综合评分法对提交最后报价的供应商的响应文件和最后报价进行综合评分。</w:t>
      </w:r>
    </w:p>
    <w:p w14:paraId="240B5443">
      <w:pPr>
        <w:pStyle w:val="14"/>
        <w:spacing w:line="460" w:lineRule="exact"/>
        <w:ind w:firstLine="480" w:firstLineChars="200"/>
        <w:jc w:val="left"/>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5.7.10采购结果确认</w:t>
      </w:r>
    </w:p>
    <w:p w14:paraId="4D369B7F">
      <w:pPr>
        <w:pStyle w:val="14"/>
        <w:spacing w:line="460" w:lineRule="exact"/>
        <w:ind w:firstLine="480" w:firstLineChars="200"/>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（1）磋商小组按照采购文件确定的评标方法、步骤、标准，对响应文件进行评审。按评审后得分</w:t>
      </w:r>
      <w:r>
        <w:rPr>
          <w:rFonts w:hint="eastAsia" w:ascii="仿宋" w:hAnsi="仿宋" w:eastAsia="仿宋" w:cs="仿宋"/>
          <w:sz w:val="24"/>
          <w:szCs w:val="24"/>
          <w:highlight w:val="none"/>
          <w:lang w:eastAsia="zh-CN"/>
        </w:rPr>
        <w:t>由高到低</w:t>
      </w:r>
      <w:r>
        <w:rPr>
          <w:rFonts w:hint="eastAsia" w:ascii="仿宋" w:hAnsi="仿宋" w:eastAsia="仿宋" w:cs="仿宋"/>
          <w:sz w:val="24"/>
          <w:szCs w:val="24"/>
          <w:highlight w:val="none"/>
        </w:rPr>
        <w:t>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14765240">
      <w:pPr>
        <w:pStyle w:val="14"/>
        <w:widowControl/>
        <w:spacing w:line="460" w:lineRule="exact"/>
        <w:jc w:val="left"/>
        <w:textAlignment w:val="baseline"/>
        <w:outlineLvl w:val="2"/>
        <w:rPr>
          <w:rFonts w:hint="eastAsia" w:ascii="仿宋" w:hAnsi="仿宋" w:eastAsia="仿宋" w:cs="仿宋"/>
          <w:b/>
          <w:bCs/>
          <w:kern w:val="0"/>
          <w:sz w:val="24"/>
          <w:szCs w:val="24"/>
          <w:highlight w:val="none"/>
        </w:rPr>
      </w:pPr>
      <w:bookmarkStart w:id="76" w:name="_Toc293736015"/>
      <w:bookmarkStart w:id="77" w:name="_Toc293738996"/>
      <w:bookmarkStart w:id="78" w:name="_Toc293736058"/>
      <w:bookmarkStart w:id="79" w:name="_Toc446599315"/>
      <w:r>
        <w:rPr>
          <w:rFonts w:hint="eastAsia" w:ascii="仿宋" w:hAnsi="仿宋" w:eastAsia="仿宋" w:cs="仿宋"/>
          <w:b/>
          <w:bCs/>
          <w:kern w:val="0"/>
          <w:sz w:val="24"/>
          <w:szCs w:val="24"/>
          <w:highlight w:val="none"/>
        </w:rPr>
        <w:t>5.8公示或公告</w:t>
      </w:r>
    </w:p>
    <w:p w14:paraId="0C31C26F">
      <w:pPr>
        <w:pStyle w:val="14"/>
        <w:widowControl/>
        <w:spacing w:line="460" w:lineRule="exact"/>
        <w:ind w:firstLine="520" w:firstLineChars="217"/>
        <w:jc w:val="left"/>
        <w:textAlignment w:val="baseline"/>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5.8.1成交供应商确定后，采购代理机构将在政府采购监管部门指定的媒体上发布成交公告，同时向成交供应商发出《成交通知书》。《成交通知书》是合同的组成部分，对成交供应商和采购人具有同等法律效力。</w:t>
      </w:r>
      <w:bookmarkStart w:id="80" w:name="_Toc21441"/>
      <w:bookmarkStart w:id="81" w:name="_Toc10373"/>
    </w:p>
    <w:p w14:paraId="41665322">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sz w:val="30"/>
          <w:szCs w:val="30"/>
          <w:highlight w:val="none"/>
        </w:rPr>
      </w:pPr>
      <w:bookmarkStart w:id="82" w:name="_Toc13854"/>
      <w:bookmarkStart w:id="83" w:name="_Toc5631"/>
      <w:r>
        <w:rPr>
          <w:rFonts w:hint="eastAsia" w:ascii="仿宋" w:hAnsi="仿宋" w:eastAsia="仿宋" w:cs="仿宋"/>
          <w:b/>
          <w:sz w:val="30"/>
          <w:szCs w:val="30"/>
          <w:highlight w:val="none"/>
        </w:rPr>
        <w:t>六、 授予合同</w:t>
      </w:r>
      <w:bookmarkEnd w:id="76"/>
      <w:bookmarkEnd w:id="77"/>
      <w:bookmarkEnd w:id="78"/>
      <w:bookmarkEnd w:id="79"/>
      <w:bookmarkEnd w:id="80"/>
      <w:bookmarkEnd w:id="81"/>
      <w:bookmarkEnd w:id="82"/>
      <w:bookmarkEnd w:id="83"/>
    </w:p>
    <w:p w14:paraId="67A8CEC2">
      <w:pPr>
        <w:pStyle w:val="14"/>
        <w:adjustRightInd w:val="0"/>
        <w:snapToGrid w:val="0"/>
        <w:spacing w:line="460" w:lineRule="exact"/>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6.1 签订合同</w:t>
      </w:r>
    </w:p>
    <w:p w14:paraId="6700A7A1">
      <w:pPr>
        <w:pStyle w:val="14"/>
        <w:tabs>
          <w:tab w:val="left" w:pos="1875"/>
        </w:tabs>
        <w:adjustRightInd w:val="0"/>
        <w:snapToGrid w:val="0"/>
        <w:spacing w:line="460" w:lineRule="exact"/>
        <w:ind w:firstLine="480" w:firstLineChars="200"/>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6.1.1采购人应按磋商文件要求和中标人的响应文件承诺订立书面合同，不得超出磋商文件和中标人响应文件的范围，也不得再另行订立背离合同实质性内容的其他协议。</w:t>
      </w:r>
    </w:p>
    <w:p w14:paraId="7A367287">
      <w:pPr>
        <w:pStyle w:val="14"/>
        <w:tabs>
          <w:tab w:val="left" w:pos="1875"/>
        </w:tabs>
        <w:adjustRightInd w:val="0"/>
        <w:snapToGrid w:val="0"/>
        <w:spacing w:line="460" w:lineRule="exact"/>
        <w:ind w:firstLine="480" w:firstLineChars="200"/>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6.1.2采购人应在《中标通知书》发出之日起30天内与中标人签订政府采购合同。签订政府采购合同后7个工作日内，采购人应将政府采购合同副本报政府采购监管部门和政府采购代理机构备案。</w:t>
      </w:r>
    </w:p>
    <w:p w14:paraId="1762BE90">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sz w:val="30"/>
          <w:szCs w:val="30"/>
          <w:highlight w:val="none"/>
        </w:rPr>
      </w:pPr>
      <w:bookmarkStart w:id="84" w:name="_Toc293736016"/>
      <w:bookmarkStart w:id="85" w:name="_Toc293738997"/>
      <w:bookmarkStart w:id="86" w:name="_Toc446599316"/>
      <w:bookmarkStart w:id="87" w:name="_Toc293736059"/>
      <w:bookmarkStart w:id="88" w:name="_Toc27978"/>
      <w:bookmarkStart w:id="89" w:name="_Toc2750"/>
      <w:bookmarkStart w:id="90" w:name="_Toc14775"/>
      <w:bookmarkStart w:id="91" w:name="_Toc3715"/>
      <w:r>
        <w:rPr>
          <w:rFonts w:hint="eastAsia" w:ascii="仿宋" w:hAnsi="仿宋" w:eastAsia="仿宋" w:cs="仿宋"/>
          <w:b/>
          <w:sz w:val="30"/>
          <w:szCs w:val="30"/>
          <w:highlight w:val="none"/>
        </w:rPr>
        <w:t>七、质疑</w:t>
      </w:r>
      <w:bookmarkEnd w:id="84"/>
      <w:bookmarkEnd w:id="85"/>
      <w:bookmarkEnd w:id="86"/>
      <w:bookmarkEnd w:id="87"/>
      <w:r>
        <w:rPr>
          <w:rFonts w:hint="eastAsia" w:ascii="仿宋" w:hAnsi="仿宋" w:eastAsia="仿宋" w:cs="仿宋"/>
          <w:b/>
          <w:sz w:val="30"/>
          <w:szCs w:val="30"/>
          <w:highlight w:val="none"/>
        </w:rPr>
        <w:t>和投诉</w:t>
      </w:r>
      <w:bookmarkEnd w:id="88"/>
      <w:bookmarkEnd w:id="89"/>
      <w:bookmarkEnd w:id="90"/>
      <w:bookmarkEnd w:id="91"/>
    </w:p>
    <w:p w14:paraId="7E3C241E">
      <w:pPr>
        <w:pStyle w:val="14"/>
        <w:spacing w:line="460" w:lineRule="exact"/>
        <w:ind w:firstLine="480" w:firstLineChars="200"/>
        <w:outlineLvl w:val="2"/>
        <w:rPr>
          <w:rFonts w:hint="eastAsia" w:ascii="仿宋" w:hAnsi="仿宋" w:eastAsia="仿宋" w:cs="仿宋"/>
          <w:sz w:val="24"/>
          <w:szCs w:val="24"/>
          <w:highlight w:val="none"/>
        </w:rPr>
      </w:pPr>
      <w:bookmarkStart w:id="92" w:name="_Toc293736060"/>
      <w:bookmarkStart w:id="93" w:name="_Toc294515577"/>
      <w:bookmarkStart w:id="94" w:name="_Toc293736017"/>
      <w:bookmarkStart w:id="95" w:name="_Toc446599317"/>
      <w:bookmarkStart w:id="96" w:name="_Toc293738998"/>
      <w:r>
        <w:rPr>
          <w:rFonts w:hint="eastAsia" w:ascii="仿宋" w:hAnsi="仿宋" w:eastAsia="仿宋" w:cs="仿宋"/>
          <w:sz w:val="24"/>
          <w:szCs w:val="24"/>
          <w:highlight w:val="none"/>
        </w:rPr>
        <w:t>7.1质疑</w:t>
      </w:r>
    </w:p>
    <w:p w14:paraId="60B47292">
      <w:pPr>
        <w:pStyle w:val="14"/>
        <w:topLinePunct/>
        <w:spacing w:line="460" w:lineRule="exact"/>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7.1.1供应商提出质疑应当符合以下条件：</w:t>
      </w:r>
    </w:p>
    <w:p w14:paraId="16A0E4CC">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如果供应商对此次采购活动有疑问，可依据《政府采购法》等相关规定，在规定的时间内以书面形式向采购人或代理机构提出质疑。质疑书应当包括下列主要内容：</w:t>
      </w:r>
    </w:p>
    <w:p w14:paraId="187B3B6C">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（1）质疑人的名称、地址、电话等；</w:t>
      </w:r>
    </w:p>
    <w:p w14:paraId="0D4D1F0D">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（2）质疑人法人签章和单位公章；</w:t>
      </w:r>
    </w:p>
    <w:p w14:paraId="77743FD5">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（3）具体的质疑事项及事实依据；</w:t>
      </w:r>
    </w:p>
    <w:p w14:paraId="73876ACB">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（4）明确的请求和必要（合法来源）的证明材料；</w:t>
      </w:r>
    </w:p>
    <w:p w14:paraId="21CFBC04">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（5）以联合体形式参与资格预审的，则必须联合体各方共同签署、盖章；</w:t>
      </w:r>
    </w:p>
    <w:p w14:paraId="2F63DEE9">
      <w:pPr>
        <w:pStyle w:val="14"/>
        <w:topLinePunct/>
        <w:spacing w:line="460" w:lineRule="exact"/>
        <w:ind w:firstLine="480" w:firstLineChars="200"/>
        <w:outlineLvl w:val="4"/>
        <w:rPr>
          <w:rFonts w:hint="eastAsia" w:ascii="仿宋" w:hAnsi="仿宋" w:eastAsia="仿宋" w:cs="仿宋"/>
          <w:sz w:val="24"/>
          <w:szCs w:val="24"/>
          <w:highlight w:val="none"/>
        </w:rPr>
      </w:pPr>
      <w:r>
        <w:rPr>
          <w:rFonts w:hint="eastAsia" w:ascii="仿宋" w:hAnsi="仿宋" w:eastAsia="仿宋" w:cs="仿宋"/>
          <w:sz w:val="24"/>
          <w:szCs w:val="24"/>
          <w:highlight w:val="none"/>
        </w:rPr>
        <w:t>（6）提起质疑的日期。</w:t>
      </w:r>
    </w:p>
    <w:p w14:paraId="490BD783">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特注：未按上述程序规定的必备内容进行质疑的，采购人或代理机构将不予以受理。</w:t>
      </w:r>
    </w:p>
    <w:p w14:paraId="3CBAF8B4">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7A9C974">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7.1.3质疑人可以委托代理人办理质疑事项，代理人办理质疑事项时，除提交质疑书外，还应当提交质疑人的授权委托书及代理人的有效身份证明，授权委托书应当载明委托代理的具体权限和事项。</w:t>
      </w:r>
    </w:p>
    <w:p w14:paraId="0A42783E">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7.1.4被质疑人应当在受理质疑后7个工作日内作出答复，并以书面形式通知质疑人和其他有关供应商，答复内容仅限于供应商所质疑的内容，不得涉及国家秘密和商业秘密。</w:t>
      </w:r>
    </w:p>
    <w:p w14:paraId="41575898">
      <w:pPr>
        <w:spacing w:before="101" w:line="224" w:lineRule="auto"/>
        <w:ind w:left="140" w:hanging="140"/>
        <w:outlineLvl w:val="1"/>
        <w:rPr>
          <w:rFonts w:hint="eastAsia" w:ascii="仿宋" w:hAnsi="仿宋" w:eastAsia="仿宋" w:cs="仿宋"/>
          <w:sz w:val="24"/>
          <w:highlight w:val="none"/>
        </w:rPr>
      </w:pPr>
      <w:bookmarkStart w:id="97" w:name="_Toc21178"/>
      <w:bookmarkStart w:id="98" w:name="_Toc110010424"/>
      <w:bookmarkStart w:id="99" w:name="_Toc1224"/>
      <w:r>
        <w:rPr>
          <w:rFonts w:hint="eastAsia" w:ascii="仿宋" w:hAnsi="仿宋" w:eastAsia="仿宋" w:cs="仿宋"/>
          <w:spacing w:val="8"/>
          <w:sz w:val="24"/>
          <w:highlight w:val="none"/>
        </w:rPr>
        <w:br w:type="page"/>
      </w:r>
      <w:bookmarkStart w:id="100" w:name="_Toc5613"/>
      <w:r>
        <w:rPr>
          <w:rFonts w:hint="eastAsia" w:ascii="仿宋" w:hAnsi="仿宋" w:eastAsia="仿宋" w:cs="仿宋"/>
          <w:spacing w:val="8"/>
          <w:sz w:val="24"/>
          <w:highlight w:val="none"/>
        </w:rPr>
        <w:t>附</w:t>
      </w:r>
      <w:r>
        <w:rPr>
          <w:rFonts w:hint="eastAsia" w:ascii="仿宋" w:hAnsi="仿宋" w:eastAsia="仿宋" w:cs="仿宋"/>
          <w:spacing w:val="6"/>
          <w:sz w:val="24"/>
          <w:highlight w:val="none"/>
        </w:rPr>
        <w:t>件：质疑函范本</w:t>
      </w:r>
      <w:bookmarkEnd w:id="97"/>
      <w:bookmarkEnd w:id="98"/>
      <w:bookmarkEnd w:id="99"/>
      <w:bookmarkEnd w:id="100"/>
    </w:p>
    <w:p w14:paraId="3F1B0413">
      <w:pPr>
        <w:spacing w:before="101" w:line="225" w:lineRule="auto"/>
        <w:ind w:left="145" w:hanging="145"/>
        <w:jc w:val="center"/>
        <w:rPr>
          <w:rFonts w:hint="eastAsia" w:ascii="仿宋" w:hAnsi="仿宋" w:eastAsia="仿宋" w:cs="仿宋"/>
          <w:sz w:val="24"/>
          <w:highlight w:val="none"/>
        </w:rPr>
      </w:pPr>
      <w:r>
        <w:rPr>
          <w:rFonts w:hint="eastAsia" w:ascii="仿宋" w:hAnsi="仿宋" w:eastAsia="仿宋" w:cs="仿宋"/>
          <w:spacing w:val="25"/>
          <w:sz w:val="24"/>
          <w:highlight w:val="none"/>
        </w:rPr>
        <w:t>质</w:t>
      </w:r>
      <w:r>
        <w:rPr>
          <w:rFonts w:hint="eastAsia" w:ascii="仿宋" w:hAnsi="仿宋" w:eastAsia="仿宋" w:cs="仿宋"/>
          <w:spacing w:val="24"/>
          <w:sz w:val="24"/>
          <w:highlight w:val="none"/>
        </w:rPr>
        <w:t>疑函</w:t>
      </w:r>
    </w:p>
    <w:p w14:paraId="752E9350">
      <w:pPr>
        <w:spacing w:before="237" w:line="468" w:lineRule="exact"/>
        <w:ind w:left="118" w:hanging="118"/>
        <w:outlineLvl w:val="1"/>
        <w:rPr>
          <w:rFonts w:hint="eastAsia" w:ascii="仿宋" w:hAnsi="仿宋" w:eastAsia="仿宋" w:cs="仿宋"/>
          <w:sz w:val="24"/>
          <w:highlight w:val="none"/>
        </w:rPr>
      </w:pPr>
      <w:bookmarkStart w:id="101" w:name="_Toc110010425"/>
      <w:bookmarkStart w:id="102" w:name="_Toc1299"/>
      <w:bookmarkStart w:id="103" w:name="_Toc5896"/>
      <w:bookmarkStart w:id="104" w:name="_Toc25739"/>
      <w:bookmarkStart w:id="105" w:name="_Toc9474"/>
      <w:r>
        <w:rPr>
          <w:rFonts w:hint="eastAsia" w:ascii="仿宋" w:hAnsi="仿宋" w:eastAsia="仿宋" w:cs="仿宋"/>
          <w:spacing w:val="-2"/>
          <w:position w:val="2"/>
          <w:sz w:val="24"/>
          <w:highlight w:val="none"/>
        </w:rPr>
        <w:t>一、质</w:t>
      </w:r>
      <w:r>
        <w:rPr>
          <w:rFonts w:hint="eastAsia" w:ascii="仿宋" w:hAnsi="仿宋" w:eastAsia="仿宋" w:cs="仿宋"/>
          <w:spacing w:val="-1"/>
          <w:position w:val="2"/>
          <w:sz w:val="24"/>
          <w:highlight w:val="none"/>
        </w:rPr>
        <w:t>疑供应商基本信息</w:t>
      </w:r>
      <w:bookmarkEnd w:id="101"/>
      <w:bookmarkEnd w:id="102"/>
      <w:bookmarkEnd w:id="103"/>
      <w:bookmarkEnd w:id="104"/>
      <w:bookmarkEnd w:id="105"/>
    </w:p>
    <w:p w14:paraId="1BD61107">
      <w:pPr>
        <w:spacing w:before="77" w:line="219" w:lineRule="auto"/>
        <w:ind w:left="117" w:hanging="117"/>
        <w:rPr>
          <w:rFonts w:hint="eastAsia" w:ascii="仿宋" w:hAnsi="仿宋" w:eastAsia="仿宋" w:cs="仿宋"/>
          <w:sz w:val="24"/>
          <w:highlight w:val="none"/>
        </w:rPr>
      </w:pPr>
      <w:r>
        <w:rPr>
          <w:rFonts w:hint="eastAsia" w:ascii="仿宋" w:hAnsi="仿宋" w:eastAsia="仿宋" w:cs="仿宋"/>
          <w:spacing w:val="-3"/>
          <w:sz w:val="24"/>
          <w:highlight w:val="none"/>
        </w:rPr>
        <w:t>质</w:t>
      </w:r>
      <w:r>
        <w:rPr>
          <w:rFonts w:hint="eastAsia" w:ascii="仿宋" w:hAnsi="仿宋" w:eastAsia="仿宋" w:cs="仿宋"/>
          <w:spacing w:val="-2"/>
          <w:sz w:val="24"/>
          <w:highlight w:val="none"/>
        </w:rPr>
        <w:t>疑供应商：</w:t>
      </w:r>
      <w:r>
        <w:rPr>
          <w:rFonts w:hint="eastAsia" w:ascii="仿宋" w:hAnsi="仿宋" w:eastAsia="仿宋" w:cs="仿宋"/>
          <w:sz w:val="24"/>
          <w:highlight w:val="none"/>
          <w:u w:val="dotted"/>
        </w:rPr>
        <w:t xml:space="preserve">                                       </w:t>
      </w:r>
    </w:p>
    <w:p w14:paraId="575358E4">
      <w:pPr>
        <w:spacing w:before="212" w:line="220" w:lineRule="auto"/>
        <w:ind w:left="112" w:hanging="112"/>
        <w:rPr>
          <w:rFonts w:hint="eastAsia" w:ascii="仿宋" w:hAnsi="仿宋" w:eastAsia="仿宋" w:cs="仿宋"/>
          <w:sz w:val="24"/>
          <w:highlight w:val="none"/>
        </w:rPr>
      </w:pPr>
      <w:r>
        <w:rPr>
          <w:rFonts w:hint="eastAsia" w:ascii="仿宋" w:hAnsi="仿宋" w:eastAsia="仿宋" w:cs="仿宋"/>
          <w:spacing w:val="-8"/>
          <w:sz w:val="24"/>
          <w:highlight w:val="none"/>
        </w:rPr>
        <w:t>地址：</w:t>
      </w:r>
      <w:r>
        <w:rPr>
          <w:rFonts w:hint="eastAsia" w:ascii="仿宋" w:hAnsi="仿宋" w:eastAsia="仿宋" w:cs="仿宋"/>
          <w:spacing w:val="-8"/>
          <w:sz w:val="24"/>
          <w:highlight w:val="none"/>
          <w:u w:val="dotted"/>
        </w:rPr>
        <w:t xml:space="preserve">  </w:t>
      </w:r>
      <w:r>
        <w:rPr>
          <w:rFonts w:hint="eastAsia" w:ascii="仿宋" w:hAnsi="仿宋" w:eastAsia="仿宋" w:cs="仿宋"/>
          <w:spacing w:val="-5"/>
          <w:sz w:val="24"/>
          <w:highlight w:val="none"/>
          <w:u w:val="dotted"/>
        </w:rPr>
        <w:t xml:space="preserve"> </w:t>
      </w:r>
      <w:r>
        <w:rPr>
          <w:rFonts w:hint="eastAsia" w:ascii="仿宋" w:hAnsi="仿宋" w:eastAsia="仿宋" w:cs="仿宋"/>
          <w:spacing w:val="-4"/>
          <w:sz w:val="24"/>
          <w:highlight w:val="none"/>
          <w:u w:val="dotted"/>
        </w:rPr>
        <w:t xml:space="preserve">                        </w:t>
      </w:r>
      <w:r>
        <w:rPr>
          <w:rFonts w:hint="eastAsia" w:ascii="仿宋" w:hAnsi="仿宋" w:eastAsia="仿宋" w:cs="仿宋"/>
          <w:spacing w:val="-4"/>
          <w:sz w:val="24"/>
          <w:highlight w:val="none"/>
        </w:rPr>
        <w:t>邮编：</w:t>
      </w:r>
      <w:r>
        <w:rPr>
          <w:rFonts w:hint="eastAsia" w:ascii="仿宋" w:hAnsi="仿宋" w:eastAsia="仿宋" w:cs="仿宋"/>
          <w:sz w:val="24"/>
          <w:highlight w:val="none"/>
          <w:u w:val="dotted"/>
        </w:rPr>
        <w:t xml:space="preserve">                   </w:t>
      </w:r>
    </w:p>
    <w:p w14:paraId="605FE19B">
      <w:pPr>
        <w:spacing w:before="211" w:line="222" w:lineRule="auto"/>
        <w:ind w:left="112" w:hanging="112"/>
        <w:rPr>
          <w:rFonts w:hint="eastAsia" w:ascii="仿宋" w:hAnsi="仿宋" w:eastAsia="仿宋" w:cs="仿宋"/>
          <w:sz w:val="24"/>
          <w:highlight w:val="none"/>
        </w:rPr>
      </w:pPr>
      <w:r>
        <w:rPr>
          <w:rFonts w:hint="eastAsia" w:ascii="仿宋" w:hAnsi="仿宋" w:eastAsia="仿宋" w:cs="仿宋"/>
          <w:spacing w:val="-8"/>
          <w:sz w:val="24"/>
          <w:highlight w:val="none"/>
        </w:rPr>
        <w:t>联系人：</w:t>
      </w:r>
      <w:r>
        <w:rPr>
          <w:rFonts w:hint="eastAsia" w:ascii="仿宋" w:hAnsi="仿宋" w:eastAsia="仿宋" w:cs="仿宋"/>
          <w:spacing w:val="-8"/>
          <w:sz w:val="24"/>
          <w:highlight w:val="none"/>
          <w:u w:val="dotted"/>
        </w:rPr>
        <w:t xml:space="preserve">  </w:t>
      </w:r>
      <w:r>
        <w:rPr>
          <w:rFonts w:hint="eastAsia" w:ascii="仿宋" w:hAnsi="仿宋" w:eastAsia="仿宋" w:cs="仿宋"/>
          <w:spacing w:val="-4"/>
          <w:sz w:val="24"/>
          <w:highlight w:val="none"/>
          <w:u w:val="dotted"/>
        </w:rPr>
        <w:t xml:space="preserve">                     </w:t>
      </w:r>
      <w:r>
        <w:rPr>
          <w:rFonts w:hint="eastAsia" w:ascii="仿宋" w:hAnsi="仿宋" w:eastAsia="仿宋" w:cs="仿宋"/>
          <w:spacing w:val="-4"/>
          <w:sz w:val="24"/>
          <w:highlight w:val="none"/>
        </w:rPr>
        <w:t>联系电话：</w:t>
      </w:r>
      <w:r>
        <w:rPr>
          <w:rFonts w:hint="eastAsia" w:ascii="仿宋" w:hAnsi="仿宋" w:eastAsia="仿宋" w:cs="仿宋"/>
          <w:sz w:val="24"/>
          <w:highlight w:val="none"/>
          <w:u w:val="dotted"/>
        </w:rPr>
        <w:t xml:space="preserve">                 </w:t>
      </w:r>
    </w:p>
    <w:p w14:paraId="27B273FC">
      <w:pPr>
        <w:spacing w:before="205" w:line="220" w:lineRule="auto"/>
        <w:ind w:left="117" w:hanging="117"/>
        <w:rPr>
          <w:rFonts w:hint="eastAsia" w:ascii="仿宋" w:hAnsi="仿宋" w:eastAsia="仿宋" w:cs="仿宋"/>
          <w:sz w:val="24"/>
          <w:highlight w:val="none"/>
        </w:rPr>
      </w:pPr>
      <w:r>
        <w:rPr>
          <w:rFonts w:hint="eastAsia" w:ascii="仿宋" w:hAnsi="仿宋" w:eastAsia="仿宋" w:cs="仿宋"/>
          <w:spacing w:val="-3"/>
          <w:sz w:val="24"/>
          <w:highlight w:val="none"/>
        </w:rPr>
        <w:t>授</w:t>
      </w:r>
      <w:r>
        <w:rPr>
          <w:rFonts w:hint="eastAsia" w:ascii="仿宋" w:hAnsi="仿宋" w:eastAsia="仿宋" w:cs="仿宋"/>
          <w:spacing w:val="-2"/>
          <w:sz w:val="24"/>
          <w:highlight w:val="none"/>
        </w:rPr>
        <w:t>权代表：</w:t>
      </w:r>
      <w:r>
        <w:rPr>
          <w:rFonts w:hint="eastAsia" w:ascii="仿宋" w:hAnsi="仿宋" w:eastAsia="仿宋" w:cs="仿宋"/>
          <w:sz w:val="24"/>
          <w:highlight w:val="none"/>
          <w:u w:val="dotted"/>
        </w:rPr>
        <w:t xml:space="preserve">                                         </w:t>
      </w:r>
    </w:p>
    <w:p w14:paraId="4A9A7B55">
      <w:pPr>
        <w:spacing w:before="214" w:line="222" w:lineRule="auto"/>
        <w:ind w:left="116" w:hanging="116"/>
        <w:rPr>
          <w:rFonts w:hint="eastAsia" w:ascii="仿宋" w:hAnsi="仿宋" w:eastAsia="仿宋" w:cs="仿宋"/>
          <w:sz w:val="24"/>
          <w:highlight w:val="none"/>
        </w:rPr>
      </w:pPr>
      <w:r>
        <w:rPr>
          <w:rFonts w:hint="eastAsia" w:ascii="仿宋" w:hAnsi="仿宋" w:eastAsia="仿宋" w:cs="仿宋"/>
          <w:spacing w:val="-4"/>
          <w:sz w:val="24"/>
          <w:highlight w:val="none"/>
        </w:rPr>
        <w:t>联系</w:t>
      </w:r>
      <w:r>
        <w:rPr>
          <w:rFonts w:hint="eastAsia" w:ascii="仿宋" w:hAnsi="仿宋" w:eastAsia="仿宋" w:cs="仿宋"/>
          <w:spacing w:val="-2"/>
          <w:sz w:val="24"/>
          <w:highlight w:val="none"/>
        </w:rPr>
        <w:t>电话：</w:t>
      </w:r>
      <w:r>
        <w:rPr>
          <w:rFonts w:hint="eastAsia" w:ascii="仿宋" w:hAnsi="仿宋" w:eastAsia="仿宋" w:cs="仿宋"/>
          <w:sz w:val="24"/>
          <w:highlight w:val="none"/>
          <w:u w:val="dotted"/>
        </w:rPr>
        <w:t xml:space="preserve">                                          </w:t>
      </w:r>
    </w:p>
    <w:p w14:paraId="0458A12C">
      <w:pPr>
        <w:spacing w:before="208" w:line="220" w:lineRule="auto"/>
        <w:ind w:left="112" w:hanging="112"/>
        <w:rPr>
          <w:rFonts w:hint="eastAsia" w:ascii="仿宋" w:hAnsi="仿宋" w:eastAsia="仿宋" w:cs="仿宋"/>
          <w:sz w:val="24"/>
          <w:highlight w:val="none"/>
        </w:rPr>
      </w:pPr>
      <w:r>
        <w:rPr>
          <w:rFonts w:hint="eastAsia" w:ascii="仿宋" w:hAnsi="仿宋" w:eastAsia="仿宋" w:cs="仿宋"/>
          <w:spacing w:val="-8"/>
          <w:sz w:val="24"/>
          <w:highlight w:val="none"/>
        </w:rPr>
        <w:t>地址：</w:t>
      </w:r>
      <w:r>
        <w:rPr>
          <w:rFonts w:hint="eastAsia" w:ascii="仿宋" w:hAnsi="仿宋" w:eastAsia="仿宋" w:cs="仿宋"/>
          <w:spacing w:val="-8"/>
          <w:sz w:val="24"/>
          <w:highlight w:val="none"/>
          <w:u w:val="dotted"/>
        </w:rPr>
        <w:t xml:space="preserve">   </w:t>
      </w:r>
      <w:r>
        <w:rPr>
          <w:rFonts w:hint="eastAsia" w:ascii="仿宋" w:hAnsi="仿宋" w:eastAsia="仿宋" w:cs="仿宋"/>
          <w:spacing w:val="-5"/>
          <w:sz w:val="24"/>
          <w:highlight w:val="none"/>
          <w:u w:val="dotted"/>
        </w:rPr>
        <w:t xml:space="preserve"> </w:t>
      </w:r>
      <w:r>
        <w:rPr>
          <w:rFonts w:hint="eastAsia" w:ascii="仿宋" w:hAnsi="仿宋" w:eastAsia="仿宋" w:cs="仿宋"/>
          <w:spacing w:val="-4"/>
          <w:sz w:val="24"/>
          <w:highlight w:val="none"/>
          <w:u w:val="dotted"/>
        </w:rPr>
        <w:t xml:space="preserve">                      </w:t>
      </w:r>
      <w:r>
        <w:rPr>
          <w:rFonts w:hint="eastAsia" w:ascii="仿宋" w:hAnsi="仿宋" w:eastAsia="仿宋" w:cs="仿宋"/>
          <w:spacing w:val="-4"/>
          <w:sz w:val="24"/>
          <w:highlight w:val="none"/>
        </w:rPr>
        <w:t>邮编：</w:t>
      </w:r>
      <w:r>
        <w:rPr>
          <w:rFonts w:hint="eastAsia" w:ascii="仿宋" w:hAnsi="仿宋" w:eastAsia="仿宋" w:cs="仿宋"/>
          <w:sz w:val="24"/>
          <w:highlight w:val="none"/>
          <w:u w:val="dotted"/>
        </w:rPr>
        <w:t xml:space="preserve">                    </w:t>
      </w:r>
    </w:p>
    <w:p w14:paraId="3B1E2DF0">
      <w:pPr>
        <w:spacing w:before="209" w:line="371" w:lineRule="exact"/>
        <w:ind w:left="118" w:hanging="118"/>
        <w:outlineLvl w:val="1"/>
        <w:rPr>
          <w:rFonts w:hint="eastAsia" w:ascii="仿宋" w:hAnsi="仿宋" w:eastAsia="仿宋" w:cs="仿宋"/>
          <w:sz w:val="24"/>
          <w:highlight w:val="none"/>
        </w:rPr>
      </w:pPr>
      <w:bookmarkStart w:id="106" w:name="_Toc110010426"/>
      <w:bookmarkStart w:id="107" w:name="_Toc15098"/>
      <w:bookmarkStart w:id="108" w:name="_Toc1061"/>
      <w:bookmarkStart w:id="109" w:name="_Toc17018"/>
      <w:bookmarkStart w:id="110" w:name="_Toc3585"/>
      <w:r>
        <w:rPr>
          <w:rFonts w:hint="eastAsia" w:ascii="仿宋" w:hAnsi="仿宋" w:eastAsia="仿宋" w:cs="仿宋"/>
          <w:spacing w:val="-2"/>
          <w:position w:val="1"/>
          <w:sz w:val="24"/>
          <w:highlight w:val="none"/>
        </w:rPr>
        <w:t>二、质疑项</w:t>
      </w:r>
      <w:r>
        <w:rPr>
          <w:rFonts w:hint="eastAsia" w:ascii="仿宋" w:hAnsi="仿宋" w:eastAsia="仿宋" w:cs="仿宋"/>
          <w:spacing w:val="-1"/>
          <w:position w:val="1"/>
          <w:sz w:val="24"/>
          <w:highlight w:val="none"/>
        </w:rPr>
        <w:t>目基本情况</w:t>
      </w:r>
      <w:bookmarkEnd w:id="106"/>
      <w:bookmarkEnd w:id="107"/>
      <w:bookmarkEnd w:id="108"/>
      <w:bookmarkEnd w:id="109"/>
      <w:bookmarkEnd w:id="110"/>
    </w:p>
    <w:p w14:paraId="1E89045E">
      <w:pPr>
        <w:spacing w:before="173" w:line="221" w:lineRule="auto"/>
        <w:ind w:left="118" w:hanging="118"/>
        <w:rPr>
          <w:rFonts w:hint="eastAsia" w:ascii="仿宋" w:hAnsi="仿宋" w:eastAsia="仿宋" w:cs="仿宋"/>
          <w:sz w:val="24"/>
          <w:highlight w:val="none"/>
        </w:rPr>
      </w:pPr>
      <w:r>
        <w:rPr>
          <w:rFonts w:hint="eastAsia" w:ascii="仿宋" w:hAnsi="仿宋" w:eastAsia="仿宋" w:cs="仿宋"/>
          <w:spacing w:val="-2"/>
          <w:sz w:val="24"/>
          <w:highlight w:val="none"/>
        </w:rPr>
        <w:t>质疑项目</w:t>
      </w:r>
      <w:r>
        <w:rPr>
          <w:rFonts w:hint="eastAsia" w:ascii="仿宋" w:hAnsi="仿宋" w:eastAsia="仿宋" w:cs="仿宋"/>
          <w:spacing w:val="-1"/>
          <w:sz w:val="24"/>
          <w:highlight w:val="none"/>
        </w:rPr>
        <w:t>的名称：</w:t>
      </w:r>
      <w:r>
        <w:rPr>
          <w:rFonts w:hint="eastAsia" w:ascii="仿宋" w:hAnsi="仿宋" w:eastAsia="仿宋" w:cs="仿宋"/>
          <w:sz w:val="24"/>
          <w:highlight w:val="none"/>
          <w:u w:val="dotted"/>
        </w:rPr>
        <w:t xml:space="preserve">                                         </w:t>
      </w:r>
    </w:p>
    <w:p w14:paraId="6ADCB336">
      <w:pPr>
        <w:spacing w:before="210" w:line="220" w:lineRule="auto"/>
        <w:ind w:left="110" w:hanging="110"/>
        <w:rPr>
          <w:rFonts w:hint="eastAsia" w:ascii="仿宋" w:hAnsi="仿宋" w:eastAsia="仿宋" w:cs="仿宋"/>
          <w:sz w:val="24"/>
          <w:highlight w:val="none"/>
        </w:rPr>
      </w:pPr>
      <w:r>
        <w:rPr>
          <w:rFonts w:hint="eastAsia" w:ascii="仿宋" w:hAnsi="仿宋" w:eastAsia="仿宋" w:cs="仿宋"/>
          <w:spacing w:val="-10"/>
          <w:sz w:val="24"/>
          <w:highlight w:val="none"/>
        </w:rPr>
        <w:t>质疑项</w:t>
      </w:r>
      <w:r>
        <w:rPr>
          <w:rFonts w:hint="eastAsia" w:ascii="仿宋" w:hAnsi="仿宋" w:eastAsia="仿宋" w:cs="仿宋"/>
          <w:spacing w:val="-9"/>
          <w:sz w:val="24"/>
          <w:highlight w:val="none"/>
        </w:rPr>
        <w:t>目</w:t>
      </w:r>
      <w:r>
        <w:rPr>
          <w:rFonts w:hint="eastAsia" w:ascii="仿宋" w:hAnsi="仿宋" w:eastAsia="仿宋" w:cs="仿宋"/>
          <w:spacing w:val="-5"/>
          <w:sz w:val="24"/>
          <w:highlight w:val="none"/>
        </w:rPr>
        <w:t>的编号：</w:t>
      </w:r>
      <w:r>
        <w:rPr>
          <w:rFonts w:hint="eastAsia" w:ascii="仿宋" w:hAnsi="仿宋" w:eastAsia="仿宋" w:cs="仿宋"/>
          <w:spacing w:val="-5"/>
          <w:sz w:val="24"/>
          <w:highlight w:val="none"/>
          <w:u w:val="dotted"/>
        </w:rPr>
        <w:t xml:space="preserve">                </w:t>
      </w:r>
      <w:r>
        <w:rPr>
          <w:rFonts w:hint="eastAsia" w:ascii="仿宋" w:hAnsi="仿宋" w:eastAsia="仿宋" w:cs="仿宋"/>
          <w:spacing w:val="-5"/>
          <w:sz w:val="24"/>
          <w:highlight w:val="none"/>
        </w:rPr>
        <w:t>包号：</w:t>
      </w:r>
      <w:r>
        <w:rPr>
          <w:rFonts w:hint="eastAsia" w:ascii="仿宋" w:hAnsi="仿宋" w:eastAsia="仿宋" w:cs="仿宋"/>
          <w:sz w:val="24"/>
          <w:highlight w:val="none"/>
          <w:u w:val="dotted"/>
        </w:rPr>
        <w:t xml:space="preserve">                    </w:t>
      </w:r>
    </w:p>
    <w:p w14:paraId="16462350">
      <w:pPr>
        <w:spacing w:before="212" w:line="219" w:lineRule="auto"/>
        <w:ind w:left="118" w:hanging="118"/>
        <w:rPr>
          <w:rFonts w:hint="eastAsia" w:ascii="仿宋" w:hAnsi="仿宋" w:eastAsia="仿宋" w:cs="仿宋"/>
          <w:sz w:val="24"/>
          <w:highlight w:val="none"/>
        </w:rPr>
      </w:pPr>
      <w:r>
        <w:rPr>
          <w:rFonts w:hint="eastAsia" w:ascii="仿宋" w:hAnsi="仿宋" w:eastAsia="仿宋" w:cs="仿宋"/>
          <w:spacing w:val="-2"/>
          <w:sz w:val="24"/>
          <w:highlight w:val="none"/>
        </w:rPr>
        <w:t>采购人名</w:t>
      </w:r>
      <w:r>
        <w:rPr>
          <w:rFonts w:hint="eastAsia" w:ascii="仿宋" w:hAnsi="仿宋" w:eastAsia="仿宋" w:cs="仿宋"/>
          <w:spacing w:val="-1"/>
          <w:sz w:val="24"/>
          <w:highlight w:val="none"/>
        </w:rPr>
        <w:t>称：</w:t>
      </w:r>
      <w:r>
        <w:rPr>
          <w:rFonts w:hint="eastAsia" w:ascii="仿宋" w:hAnsi="仿宋" w:eastAsia="仿宋" w:cs="仿宋"/>
          <w:sz w:val="24"/>
          <w:highlight w:val="none"/>
          <w:u w:val="dotted"/>
        </w:rPr>
        <w:t xml:space="preserve">                                           </w:t>
      </w:r>
    </w:p>
    <w:p w14:paraId="33B8D624">
      <w:pPr>
        <w:spacing w:before="212" w:line="219" w:lineRule="auto"/>
        <w:ind w:left="118" w:hanging="118"/>
        <w:rPr>
          <w:rFonts w:hint="eastAsia" w:ascii="仿宋" w:hAnsi="仿宋" w:eastAsia="仿宋" w:cs="仿宋"/>
          <w:sz w:val="24"/>
          <w:highlight w:val="none"/>
        </w:rPr>
      </w:pPr>
      <w:r>
        <w:rPr>
          <w:rFonts w:hint="eastAsia" w:ascii="仿宋" w:hAnsi="仿宋" w:eastAsia="仿宋" w:cs="仿宋"/>
          <w:spacing w:val="-2"/>
          <w:sz w:val="24"/>
          <w:highlight w:val="none"/>
        </w:rPr>
        <w:t>采购</w:t>
      </w:r>
      <w:r>
        <w:rPr>
          <w:rFonts w:hint="eastAsia" w:ascii="仿宋" w:hAnsi="仿宋" w:eastAsia="仿宋" w:cs="仿宋"/>
          <w:spacing w:val="-1"/>
          <w:sz w:val="24"/>
          <w:highlight w:val="none"/>
        </w:rPr>
        <w:t>文件获取日期：</w:t>
      </w:r>
      <w:r>
        <w:rPr>
          <w:rFonts w:hint="eastAsia" w:ascii="仿宋" w:hAnsi="仿宋" w:eastAsia="仿宋" w:cs="仿宋"/>
          <w:sz w:val="24"/>
          <w:highlight w:val="none"/>
          <w:u w:val="dotted"/>
        </w:rPr>
        <w:t xml:space="preserve">                                       </w:t>
      </w:r>
    </w:p>
    <w:p w14:paraId="1EA2E6FB">
      <w:pPr>
        <w:spacing w:before="213" w:line="237" w:lineRule="auto"/>
        <w:ind w:left="118" w:hanging="118"/>
        <w:outlineLvl w:val="1"/>
        <w:rPr>
          <w:rFonts w:hint="eastAsia" w:ascii="仿宋" w:hAnsi="仿宋" w:eastAsia="仿宋" w:cs="仿宋"/>
          <w:sz w:val="24"/>
          <w:highlight w:val="none"/>
        </w:rPr>
      </w:pPr>
      <w:bookmarkStart w:id="111" w:name="_Toc6364"/>
      <w:bookmarkStart w:id="112" w:name="_Toc22496"/>
      <w:bookmarkStart w:id="113" w:name="_Toc32569"/>
      <w:bookmarkStart w:id="114" w:name="_Toc14686"/>
      <w:bookmarkStart w:id="115" w:name="_Toc110010427"/>
      <w:r>
        <w:rPr>
          <w:rFonts w:hint="eastAsia" w:ascii="仿宋" w:hAnsi="仿宋" w:eastAsia="仿宋" w:cs="仿宋"/>
          <w:spacing w:val="-2"/>
          <w:sz w:val="24"/>
          <w:highlight w:val="none"/>
        </w:rPr>
        <w:t>三</w:t>
      </w:r>
      <w:r>
        <w:rPr>
          <w:rFonts w:hint="eastAsia" w:ascii="仿宋" w:hAnsi="仿宋" w:eastAsia="仿宋" w:cs="仿宋"/>
          <w:spacing w:val="-1"/>
          <w:sz w:val="24"/>
          <w:highlight w:val="none"/>
        </w:rPr>
        <w:t>、质疑事项具体内容</w:t>
      </w:r>
      <w:bookmarkEnd w:id="111"/>
      <w:bookmarkEnd w:id="112"/>
      <w:bookmarkEnd w:id="113"/>
      <w:bookmarkEnd w:id="114"/>
      <w:bookmarkEnd w:id="115"/>
    </w:p>
    <w:p w14:paraId="61395BB7">
      <w:pPr>
        <w:spacing w:before="184" w:line="221" w:lineRule="auto"/>
        <w:ind w:left="103" w:hanging="103"/>
        <w:rPr>
          <w:rFonts w:hint="eastAsia" w:ascii="仿宋" w:hAnsi="仿宋" w:eastAsia="仿宋" w:cs="仿宋"/>
          <w:sz w:val="24"/>
          <w:highlight w:val="none"/>
        </w:rPr>
      </w:pPr>
      <w:r>
        <w:rPr>
          <w:rFonts w:hint="eastAsia" w:ascii="仿宋" w:hAnsi="仿宋" w:eastAsia="仿宋" w:cs="仿宋"/>
          <w:spacing w:val="-17"/>
          <w:sz w:val="24"/>
          <w:highlight w:val="none"/>
        </w:rPr>
        <w:t>质</w:t>
      </w:r>
      <w:r>
        <w:rPr>
          <w:rFonts w:hint="eastAsia" w:ascii="仿宋" w:hAnsi="仿宋" w:eastAsia="仿宋" w:cs="仿宋"/>
          <w:spacing w:val="-11"/>
          <w:sz w:val="24"/>
          <w:highlight w:val="none"/>
        </w:rPr>
        <w:t>疑事项 1：</w:t>
      </w:r>
      <w:r>
        <w:rPr>
          <w:rFonts w:hint="eastAsia" w:ascii="仿宋" w:hAnsi="仿宋" w:eastAsia="仿宋" w:cs="仿宋"/>
          <w:sz w:val="24"/>
          <w:highlight w:val="none"/>
          <w:u w:val="dotted"/>
        </w:rPr>
        <w:t xml:space="preserve">                                             </w:t>
      </w:r>
    </w:p>
    <w:p w14:paraId="64DF1CC4">
      <w:pPr>
        <w:spacing w:before="211" w:line="219" w:lineRule="auto"/>
        <w:ind w:left="116" w:hanging="116"/>
        <w:rPr>
          <w:rFonts w:hint="eastAsia" w:ascii="仿宋" w:hAnsi="仿宋" w:eastAsia="仿宋" w:cs="仿宋"/>
          <w:sz w:val="24"/>
          <w:highlight w:val="none"/>
        </w:rPr>
      </w:pPr>
      <w:r>
        <w:rPr>
          <w:rFonts w:hint="eastAsia" w:ascii="仿宋" w:hAnsi="仿宋" w:eastAsia="仿宋" w:cs="仿宋"/>
          <w:spacing w:val="-4"/>
          <w:sz w:val="24"/>
          <w:highlight w:val="none"/>
        </w:rPr>
        <w:t>事</w:t>
      </w:r>
      <w:r>
        <w:rPr>
          <w:rFonts w:hint="eastAsia" w:ascii="仿宋" w:hAnsi="仿宋" w:eastAsia="仿宋" w:cs="仿宋"/>
          <w:spacing w:val="-2"/>
          <w:sz w:val="24"/>
          <w:highlight w:val="none"/>
        </w:rPr>
        <w:t>实依据：</w:t>
      </w:r>
      <w:r>
        <w:rPr>
          <w:rFonts w:hint="eastAsia" w:ascii="仿宋" w:hAnsi="仿宋" w:eastAsia="仿宋" w:cs="仿宋"/>
          <w:sz w:val="24"/>
          <w:highlight w:val="none"/>
          <w:u w:val="dotted"/>
        </w:rPr>
        <w:t xml:space="preserve">                                             </w:t>
      </w:r>
    </w:p>
    <w:p w14:paraId="716ABA5D">
      <w:pPr>
        <w:spacing w:before="230" w:line="219" w:lineRule="auto"/>
        <w:ind w:left="116" w:hanging="116"/>
        <w:rPr>
          <w:rFonts w:hint="eastAsia" w:ascii="仿宋" w:hAnsi="仿宋" w:eastAsia="仿宋" w:cs="仿宋"/>
          <w:sz w:val="24"/>
          <w:highlight w:val="none"/>
        </w:rPr>
      </w:pPr>
      <w:r>
        <w:rPr>
          <w:rFonts w:hint="eastAsia" w:ascii="仿宋" w:hAnsi="仿宋" w:eastAsia="仿宋" w:cs="仿宋"/>
          <w:spacing w:val="-4"/>
          <w:sz w:val="24"/>
          <w:highlight w:val="none"/>
        </w:rPr>
        <w:t>法律</w:t>
      </w:r>
      <w:r>
        <w:rPr>
          <w:rFonts w:hint="eastAsia" w:ascii="仿宋" w:hAnsi="仿宋" w:eastAsia="仿宋" w:cs="仿宋"/>
          <w:spacing w:val="-2"/>
          <w:sz w:val="24"/>
          <w:highlight w:val="none"/>
        </w:rPr>
        <w:t>依据：</w:t>
      </w:r>
      <w:r>
        <w:rPr>
          <w:rFonts w:hint="eastAsia" w:ascii="仿宋" w:hAnsi="仿宋" w:eastAsia="仿宋" w:cs="仿宋"/>
          <w:sz w:val="24"/>
          <w:highlight w:val="none"/>
          <w:u w:val="dotted"/>
        </w:rPr>
        <w:t xml:space="preserve">                                             </w:t>
      </w:r>
    </w:p>
    <w:p w14:paraId="50FA8D49">
      <w:pPr>
        <w:spacing w:before="227" w:line="545" w:lineRule="exact"/>
        <w:ind w:left="105" w:hanging="105"/>
        <w:rPr>
          <w:rFonts w:hint="eastAsia" w:ascii="仿宋" w:hAnsi="仿宋" w:eastAsia="仿宋" w:cs="仿宋"/>
          <w:sz w:val="24"/>
          <w:highlight w:val="none"/>
        </w:rPr>
      </w:pPr>
      <w:r>
        <w:rPr>
          <w:rFonts w:hint="eastAsia" w:ascii="仿宋" w:hAnsi="仿宋" w:eastAsia="仿宋" w:cs="仿宋"/>
          <w:spacing w:val="-15"/>
          <w:position w:val="19"/>
          <w:sz w:val="24"/>
          <w:highlight w:val="none"/>
        </w:rPr>
        <w:t>质</w:t>
      </w:r>
      <w:r>
        <w:rPr>
          <w:rFonts w:hint="eastAsia" w:ascii="仿宋" w:hAnsi="仿宋" w:eastAsia="仿宋" w:cs="仿宋"/>
          <w:spacing w:val="-11"/>
          <w:position w:val="19"/>
          <w:sz w:val="24"/>
          <w:highlight w:val="none"/>
        </w:rPr>
        <w:t>疑事项 2</w:t>
      </w:r>
    </w:p>
    <w:p w14:paraId="20661C9A">
      <w:pPr>
        <w:spacing w:line="442" w:lineRule="exact"/>
        <w:ind w:left="120" w:hanging="120"/>
        <w:rPr>
          <w:rFonts w:hint="eastAsia" w:ascii="仿宋" w:hAnsi="仿宋" w:eastAsia="仿宋" w:cs="仿宋"/>
          <w:sz w:val="24"/>
          <w:highlight w:val="none"/>
        </w:rPr>
      </w:pPr>
      <w:r>
        <w:rPr>
          <w:rFonts w:hint="eastAsia" w:ascii="仿宋" w:hAnsi="仿宋" w:eastAsia="仿宋" w:cs="仿宋"/>
          <w:position w:val="3"/>
          <w:sz w:val="24"/>
          <w:highlight w:val="none"/>
        </w:rPr>
        <w:t>……</w:t>
      </w:r>
    </w:p>
    <w:p w14:paraId="230E7937">
      <w:pPr>
        <w:spacing w:line="442" w:lineRule="exact"/>
        <w:ind w:left="120" w:hanging="120"/>
        <w:rPr>
          <w:rFonts w:hint="eastAsia" w:ascii="仿宋" w:hAnsi="仿宋" w:eastAsia="仿宋" w:cs="仿宋"/>
          <w:position w:val="3"/>
          <w:sz w:val="24"/>
          <w:highlight w:val="none"/>
        </w:rPr>
      </w:pPr>
      <w:r>
        <w:rPr>
          <w:rFonts w:hint="eastAsia" w:ascii="仿宋" w:hAnsi="仿宋" w:eastAsia="仿宋" w:cs="仿宋"/>
          <w:position w:val="3"/>
          <w:sz w:val="24"/>
          <w:highlight w:val="none"/>
        </w:rPr>
        <w:t>签字(签章)：                          日期：</w:t>
      </w:r>
    </w:p>
    <w:p w14:paraId="2F0F3921">
      <w:pPr>
        <w:spacing w:line="442" w:lineRule="exact"/>
        <w:ind w:left="120" w:hanging="120"/>
        <w:rPr>
          <w:rFonts w:hint="eastAsia" w:ascii="仿宋" w:hAnsi="仿宋" w:eastAsia="仿宋" w:cs="仿宋"/>
          <w:position w:val="3"/>
          <w:sz w:val="24"/>
          <w:highlight w:val="none"/>
        </w:rPr>
      </w:pPr>
    </w:p>
    <w:p w14:paraId="09C25656">
      <w:pPr>
        <w:spacing w:before="91" w:line="360" w:lineRule="auto"/>
        <w:ind w:left="225" w:leftChars="107" w:firstLine="337" w:firstLineChars="143"/>
        <w:rPr>
          <w:rFonts w:hint="eastAsia" w:ascii="仿宋" w:hAnsi="仿宋" w:eastAsia="仿宋" w:cs="仿宋"/>
          <w:sz w:val="24"/>
          <w:highlight w:val="none"/>
        </w:rPr>
      </w:pPr>
      <w:r>
        <w:rPr>
          <w:rFonts w:hint="eastAsia" w:ascii="仿宋" w:hAnsi="仿宋" w:eastAsia="仿宋" w:cs="仿宋"/>
          <w:spacing w:val="-2"/>
          <w:sz w:val="24"/>
          <w:highlight w:val="none"/>
        </w:rPr>
        <w:t>质疑函制</w:t>
      </w:r>
      <w:r>
        <w:rPr>
          <w:rFonts w:hint="eastAsia" w:ascii="仿宋" w:hAnsi="仿宋" w:eastAsia="仿宋" w:cs="仿宋"/>
          <w:spacing w:val="-1"/>
          <w:sz w:val="24"/>
          <w:highlight w:val="none"/>
        </w:rPr>
        <w:t>作说明：</w:t>
      </w:r>
    </w:p>
    <w:p w14:paraId="09F6DE96">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1.供应商提出质疑时，应提交质疑函和必要的证明材料。</w:t>
      </w:r>
    </w:p>
    <w:p w14:paraId="15130C4F">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2.质疑供应商若委托代理人进行质疑的，质疑函应按要求列明 “授权代表”的有关内容，并在附件中提交由质疑供应商签署的授权 委托书。授权委托书应载明代理人的姓名或者名称、代理事项、具体 权限、期限和相关事项。</w:t>
      </w:r>
    </w:p>
    <w:p w14:paraId="08F9AD5C">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3.质疑供应商若对项目的某一分包进行质疑，质疑函中应列明具体分包号。</w:t>
      </w:r>
    </w:p>
    <w:p w14:paraId="2C0CE81F">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4.质疑函的质疑事项应具体、明确，并有必要的事实依据和法律依据。</w:t>
      </w:r>
    </w:p>
    <w:p w14:paraId="70D69314">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5.质疑函的质疑请求应与质疑事项相关。</w:t>
      </w:r>
    </w:p>
    <w:p w14:paraId="6607CC07">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6.质疑供应商为自然人的，质疑函应由本人签字；质疑供应商为法人或者其他组织的，质疑函应由法定代表人、主要负责人，或者其授权代表签字或者盖章，并加盖公章。</w:t>
      </w:r>
    </w:p>
    <w:p w14:paraId="73A162AA">
      <w:pPr>
        <w:pStyle w:val="14"/>
        <w:spacing w:line="460" w:lineRule="exact"/>
        <w:ind w:firstLine="480" w:firstLineChars="200"/>
        <w:outlineLvl w:val="3"/>
        <w:rPr>
          <w:rFonts w:hint="eastAsia" w:ascii="仿宋" w:hAnsi="仿宋" w:eastAsia="仿宋" w:cs="仿宋"/>
          <w:sz w:val="24"/>
          <w:szCs w:val="24"/>
          <w:highlight w:val="none"/>
        </w:rPr>
      </w:pPr>
      <w:bookmarkStart w:id="116" w:name="_Toc9365"/>
      <w:bookmarkStart w:id="117" w:name="_Toc456336161"/>
      <w:bookmarkStart w:id="118" w:name="_Toc483174929"/>
      <w:bookmarkStart w:id="119" w:name="_Toc450546725"/>
      <w:r>
        <w:rPr>
          <w:rFonts w:hint="eastAsia" w:ascii="仿宋" w:hAnsi="仿宋" w:eastAsia="仿宋" w:cs="仿宋"/>
          <w:sz w:val="24"/>
          <w:szCs w:val="24"/>
          <w:highlight w:val="none"/>
        </w:rPr>
        <w:t>7.2投诉</w:t>
      </w:r>
      <w:bookmarkEnd w:id="116"/>
      <w:bookmarkEnd w:id="117"/>
      <w:bookmarkEnd w:id="118"/>
      <w:bookmarkEnd w:id="119"/>
    </w:p>
    <w:p w14:paraId="773F5E1A">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7.2.1质疑人如对被质疑人的质疑回复不满意或在规定时间内未</w:t>
      </w:r>
      <w:r>
        <w:rPr>
          <w:rFonts w:hint="eastAsia" w:ascii="仿宋" w:hAnsi="仿宋" w:eastAsia="仿宋" w:cs="仿宋"/>
          <w:sz w:val="24"/>
          <w:szCs w:val="24"/>
          <w:highlight w:val="none"/>
          <w:lang w:eastAsia="zh-CN"/>
        </w:rPr>
        <w:t>作出</w:t>
      </w:r>
      <w:r>
        <w:rPr>
          <w:rFonts w:hint="eastAsia" w:ascii="仿宋" w:hAnsi="仿宋" w:eastAsia="仿宋" w:cs="仿宋"/>
          <w:sz w:val="24"/>
          <w:szCs w:val="24"/>
          <w:highlight w:val="none"/>
        </w:rPr>
        <w:t>回复的，可在答复期满后15个工作日内向本项目管辖内的政府采购监督部门提起投诉。供应商投诉应当有明确的请求和必要的证明材料。</w:t>
      </w:r>
    </w:p>
    <w:p w14:paraId="1618FCD5">
      <w:pPr>
        <w:pStyle w:val="14"/>
        <w:topLinePunct/>
        <w:spacing w:line="460" w:lineRule="exact"/>
        <w:ind w:firstLine="480" w:firstLineChars="200"/>
        <w:outlineLvl w:val="4"/>
        <w:rPr>
          <w:rFonts w:hint="eastAsia" w:ascii="仿宋" w:hAnsi="仿宋" w:eastAsia="仿宋" w:cs="仿宋"/>
          <w:sz w:val="24"/>
          <w:szCs w:val="24"/>
          <w:highlight w:val="none"/>
        </w:rPr>
      </w:pPr>
      <w:r>
        <w:rPr>
          <w:rFonts w:hint="eastAsia" w:ascii="仿宋" w:hAnsi="仿宋" w:eastAsia="仿宋" w:cs="仿宋"/>
          <w:sz w:val="24"/>
          <w:szCs w:val="24"/>
          <w:highlight w:val="none"/>
        </w:rPr>
        <w:t>7.2.2投诉人提起投诉应符合以下条件：</w:t>
      </w:r>
    </w:p>
    <w:p w14:paraId="50162D02">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投诉人应是参与项目的供应商；</w:t>
      </w:r>
    </w:p>
    <w:p w14:paraId="5FE9BA20">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投诉前已依法进行质疑；</w:t>
      </w:r>
    </w:p>
    <w:p w14:paraId="77344913">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投诉书内容符合中华人民共和国财政部94号令《政府采购质疑和投诉办法》的规定；</w:t>
      </w:r>
    </w:p>
    <w:p w14:paraId="313B6FBF">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在投诉有效期内；</w:t>
      </w:r>
    </w:p>
    <w:p w14:paraId="3E04DE2F">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同一投诉事项未经处理的；</w:t>
      </w:r>
    </w:p>
    <w:p w14:paraId="4CF3EC8E">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GB" w:eastAsia="zh-CN"/>
        </w:rPr>
        <w:t>（</w:t>
      </w:r>
      <w:r>
        <w:rPr>
          <w:rFonts w:hint="eastAsia" w:ascii="仿宋" w:hAnsi="仿宋" w:eastAsia="仿宋" w:cs="仿宋"/>
          <w:sz w:val="24"/>
          <w:szCs w:val="24"/>
          <w:highlight w:val="none"/>
          <w:lang w:val="en-GB"/>
        </w:rPr>
        <w:t>6</w:t>
      </w:r>
      <w:r>
        <w:rPr>
          <w:rFonts w:hint="eastAsia" w:ascii="仿宋" w:hAnsi="仿宋" w:eastAsia="仿宋" w:cs="仿宋"/>
          <w:sz w:val="24"/>
          <w:szCs w:val="24"/>
          <w:highlight w:val="none"/>
          <w:lang w:val="en-GB" w:eastAsia="zh-CN"/>
        </w:rPr>
        <w:t>）</w:t>
      </w:r>
      <w:r>
        <w:rPr>
          <w:rFonts w:hint="eastAsia" w:ascii="仿宋" w:hAnsi="仿宋" w:eastAsia="仿宋" w:cs="仿宋"/>
          <w:sz w:val="24"/>
          <w:szCs w:val="24"/>
          <w:highlight w:val="none"/>
        </w:rPr>
        <w:t>相关法律、法规和省级以上人民政府财政部门规定的其他条件。</w:t>
      </w:r>
    </w:p>
    <w:p w14:paraId="2168215B">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7.2.3供应商投诉时，应当当面提交投诉书，投诉书应当包括下列主要内容：</w:t>
      </w:r>
    </w:p>
    <w:p w14:paraId="355648B5">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投诉人的姓名或者名称、住所、联系方式及相关证明；</w:t>
      </w:r>
    </w:p>
    <w:p w14:paraId="385115AA">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被投诉人的名称、住所、联系方式；</w:t>
      </w:r>
    </w:p>
    <w:p w14:paraId="38F8251E">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具体的投诉事项、事实根据和法律依据；</w:t>
      </w:r>
    </w:p>
    <w:p w14:paraId="040927AB">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质疑和质疑答复情况及相关证明材料；</w:t>
      </w:r>
    </w:p>
    <w:p w14:paraId="4D853B35">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提起投诉的日期。</w:t>
      </w:r>
    </w:p>
    <w:p w14:paraId="6E94B114">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投诉人为自然人的，应当由本人签字。投诉人为法人的，应当由其法定代表人签字并加盖单位公章。投诉人为其他组织的，应当由其主要负责人签字盖章并加盖单位公章。</w:t>
      </w:r>
    </w:p>
    <w:p w14:paraId="6EF4156D">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7.2.4投诉人可以授权代理人办理投诉事务。代理人办理投诉事务时，除提交投诉书外，还应当向监督部门提交投诉人的授权委托书，授权委托书应当载明委托代理的具体权限和事项。</w:t>
      </w:r>
    </w:p>
    <w:p w14:paraId="61A93129">
      <w:pPr>
        <w:pStyle w:val="14"/>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7.2.5投诉人不符合上述规定提起的投诉，政府采购监督部门不予受理。</w:t>
      </w:r>
      <w:bookmarkStart w:id="120" w:name="_Toc3182"/>
      <w:bookmarkStart w:id="121" w:name="_Toc8018"/>
    </w:p>
    <w:p w14:paraId="50AB7853">
      <w:pPr>
        <w:spacing w:before="101" w:line="224" w:lineRule="auto"/>
        <w:ind w:left="120" w:hanging="120"/>
        <w:outlineLvl w:val="1"/>
        <w:rPr>
          <w:rFonts w:hint="eastAsia" w:ascii="仿宋" w:hAnsi="仿宋" w:eastAsia="仿宋" w:cs="仿宋"/>
          <w:sz w:val="24"/>
          <w:highlight w:val="none"/>
        </w:rPr>
      </w:pPr>
      <w:bookmarkStart w:id="122" w:name="_Toc23110"/>
      <w:bookmarkStart w:id="123" w:name="_Toc110010428"/>
      <w:bookmarkStart w:id="124" w:name="_Toc22150"/>
      <w:bookmarkStart w:id="125" w:name="_Toc31259"/>
      <w:bookmarkStart w:id="126" w:name="_Toc20812"/>
      <w:r>
        <w:rPr>
          <w:rFonts w:hint="eastAsia" w:ascii="仿宋" w:hAnsi="仿宋" w:eastAsia="仿宋" w:cs="仿宋"/>
          <w:spacing w:val="8"/>
          <w:sz w:val="24"/>
          <w:highlight w:val="none"/>
        </w:rPr>
        <w:br w:type="page"/>
      </w:r>
      <w:bookmarkStart w:id="127" w:name="_Toc7300"/>
      <w:r>
        <w:rPr>
          <w:rFonts w:hint="eastAsia" w:ascii="仿宋" w:hAnsi="仿宋" w:eastAsia="仿宋" w:cs="仿宋"/>
          <w:spacing w:val="8"/>
          <w:sz w:val="24"/>
          <w:highlight w:val="none"/>
        </w:rPr>
        <w:t>附</w:t>
      </w:r>
      <w:r>
        <w:rPr>
          <w:rFonts w:hint="eastAsia" w:ascii="仿宋" w:hAnsi="仿宋" w:eastAsia="仿宋" w:cs="仿宋"/>
          <w:spacing w:val="6"/>
          <w:sz w:val="24"/>
          <w:highlight w:val="none"/>
        </w:rPr>
        <w:t>件：投诉书范本</w:t>
      </w:r>
      <w:bookmarkEnd w:id="122"/>
      <w:bookmarkEnd w:id="123"/>
      <w:bookmarkEnd w:id="124"/>
      <w:bookmarkEnd w:id="125"/>
      <w:bookmarkEnd w:id="127"/>
    </w:p>
    <w:p w14:paraId="4F302202">
      <w:pPr>
        <w:spacing w:before="115" w:line="224" w:lineRule="auto"/>
        <w:ind w:left="144" w:hanging="144"/>
        <w:jc w:val="center"/>
        <w:rPr>
          <w:rFonts w:hint="eastAsia" w:ascii="仿宋" w:hAnsi="仿宋" w:eastAsia="仿宋" w:cs="仿宋"/>
          <w:sz w:val="24"/>
          <w:highlight w:val="none"/>
        </w:rPr>
      </w:pPr>
      <w:r>
        <w:rPr>
          <w:rFonts w:hint="eastAsia" w:ascii="仿宋" w:hAnsi="仿宋" w:eastAsia="仿宋" w:cs="仿宋"/>
          <w:spacing w:val="24"/>
          <w:sz w:val="24"/>
          <w:highlight w:val="none"/>
        </w:rPr>
        <w:t>投诉</w:t>
      </w:r>
      <w:r>
        <w:rPr>
          <w:rFonts w:hint="eastAsia" w:ascii="仿宋" w:hAnsi="仿宋" w:eastAsia="仿宋" w:cs="仿宋"/>
          <w:spacing w:val="23"/>
          <w:sz w:val="24"/>
          <w:highlight w:val="none"/>
        </w:rPr>
        <w:t>书</w:t>
      </w:r>
    </w:p>
    <w:p w14:paraId="4343E621">
      <w:pPr>
        <w:spacing w:before="265" w:line="434" w:lineRule="exact"/>
        <w:ind w:left="118" w:hanging="118"/>
        <w:outlineLvl w:val="1"/>
        <w:rPr>
          <w:rFonts w:hint="eastAsia" w:ascii="仿宋" w:hAnsi="仿宋" w:eastAsia="仿宋" w:cs="仿宋"/>
          <w:sz w:val="24"/>
          <w:highlight w:val="none"/>
        </w:rPr>
      </w:pPr>
      <w:bookmarkStart w:id="128" w:name="_Toc912"/>
      <w:bookmarkStart w:id="129" w:name="_Toc5746"/>
      <w:bookmarkStart w:id="130" w:name="_Toc21592"/>
      <w:bookmarkStart w:id="131" w:name="_Toc26371"/>
      <w:bookmarkStart w:id="132" w:name="_Toc110010429"/>
      <w:r>
        <w:rPr>
          <w:rFonts w:hint="eastAsia" w:ascii="仿宋" w:hAnsi="仿宋" w:eastAsia="仿宋" w:cs="仿宋"/>
          <w:spacing w:val="-2"/>
          <w:position w:val="1"/>
          <w:sz w:val="24"/>
          <w:highlight w:val="none"/>
        </w:rPr>
        <w:t>一、投诉</w:t>
      </w:r>
      <w:r>
        <w:rPr>
          <w:rFonts w:hint="eastAsia" w:ascii="仿宋" w:hAnsi="仿宋" w:eastAsia="仿宋" w:cs="仿宋"/>
          <w:spacing w:val="-1"/>
          <w:position w:val="1"/>
          <w:sz w:val="24"/>
          <w:highlight w:val="none"/>
        </w:rPr>
        <w:t>相关主体基本情况</w:t>
      </w:r>
      <w:bookmarkEnd w:id="128"/>
      <w:bookmarkEnd w:id="129"/>
      <w:bookmarkEnd w:id="130"/>
      <w:bookmarkEnd w:id="131"/>
      <w:bookmarkEnd w:id="132"/>
    </w:p>
    <w:p w14:paraId="4E8CE741">
      <w:pPr>
        <w:spacing w:before="1" w:line="220" w:lineRule="auto"/>
        <w:ind w:left="114" w:hanging="114"/>
        <w:rPr>
          <w:rFonts w:hint="eastAsia" w:ascii="仿宋" w:hAnsi="仿宋" w:eastAsia="仿宋" w:cs="仿宋"/>
          <w:sz w:val="24"/>
          <w:highlight w:val="none"/>
        </w:rPr>
      </w:pPr>
      <w:r>
        <w:rPr>
          <w:rFonts w:hint="eastAsia" w:ascii="仿宋" w:hAnsi="仿宋" w:eastAsia="仿宋" w:cs="仿宋"/>
          <w:spacing w:val="-6"/>
          <w:sz w:val="24"/>
          <w:highlight w:val="none"/>
        </w:rPr>
        <w:t>投</w:t>
      </w:r>
      <w:r>
        <w:rPr>
          <w:rFonts w:hint="eastAsia" w:ascii="仿宋" w:hAnsi="仿宋" w:eastAsia="仿宋" w:cs="仿宋"/>
          <w:spacing w:val="-3"/>
          <w:sz w:val="24"/>
          <w:highlight w:val="none"/>
        </w:rPr>
        <w:t>诉人：</w:t>
      </w:r>
      <w:r>
        <w:rPr>
          <w:rFonts w:hint="eastAsia" w:ascii="仿宋" w:hAnsi="仿宋" w:eastAsia="仿宋" w:cs="仿宋"/>
          <w:sz w:val="24"/>
          <w:highlight w:val="none"/>
          <w:u w:val="dotted"/>
        </w:rPr>
        <w:t xml:space="preserve">                                                 </w:t>
      </w:r>
    </w:p>
    <w:p w14:paraId="6297E773">
      <w:pPr>
        <w:spacing w:before="102" w:line="220" w:lineRule="auto"/>
        <w:ind w:left="112" w:hanging="112"/>
        <w:rPr>
          <w:rFonts w:hint="eastAsia" w:ascii="仿宋" w:hAnsi="仿宋" w:eastAsia="仿宋" w:cs="仿宋"/>
          <w:sz w:val="24"/>
          <w:highlight w:val="none"/>
        </w:rPr>
      </w:pPr>
      <w:r>
        <w:rPr>
          <w:rFonts w:hint="eastAsia" w:ascii="仿宋" w:hAnsi="仿宋" w:eastAsia="仿宋" w:cs="仿宋"/>
          <w:spacing w:val="-8"/>
          <w:sz w:val="24"/>
          <w:highlight w:val="none"/>
        </w:rPr>
        <w:t>地址：</w:t>
      </w:r>
      <w:r>
        <w:rPr>
          <w:rFonts w:hint="eastAsia" w:ascii="仿宋" w:hAnsi="仿宋" w:eastAsia="仿宋" w:cs="仿宋"/>
          <w:spacing w:val="-8"/>
          <w:sz w:val="24"/>
          <w:highlight w:val="none"/>
          <w:u w:val="dotted"/>
        </w:rPr>
        <w:t xml:space="preserve">  </w:t>
      </w:r>
      <w:r>
        <w:rPr>
          <w:rFonts w:hint="eastAsia" w:ascii="仿宋" w:hAnsi="仿宋" w:eastAsia="仿宋" w:cs="仿宋"/>
          <w:spacing w:val="-5"/>
          <w:sz w:val="24"/>
          <w:highlight w:val="none"/>
          <w:u w:val="dotted"/>
        </w:rPr>
        <w:t xml:space="preserve"> </w:t>
      </w:r>
      <w:r>
        <w:rPr>
          <w:rFonts w:hint="eastAsia" w:ascii="仿宋" w:hAnsi="仿宋" w:eastAsia="仿宋" w:cs="仿宋"/>
          <w:spacing w:val="-4"/>
          <w:sz w:val="24"/>
          <w:highlight w:val="none"/>
          <w:u w:val="dotted"/>
        </w:rPr>
        <w:t xml:space="preserve">                        </w:t>
      </w:r>
      <w:r>
        <w:rPr>
          <w:rFonts w:hint="eastAsia" w:ascii="仿宋" w:hAnsi="仿宋" w:eastAsia="仿宋" w:cs="仿宋"/>
          <w:spacing w:val="-4"/>
          <w:sz w:val="24"/>
          <w:highlight w:val="none"/>
        </w:rPr>
        <w:t>邮编：</w:t>
      </w:r>
      <w:r>
        <w:rPr>
          <w:rFonts w:hint="eastAsia" w:ascii="仿宋" w:hAnsi="仿宋" w:eastAsia="仿宋" w:cs="仿宋"/>
          <w:sz w:val="24"/>
          <w:highlight w:val="none"/>
          <w:u w:val="dotted"/>
        </w:rPr>
        <w:t xml:space="preserve">                   </w:t>
      </w:r>
    </w:p>
    <w:p w14:paraId="3FB73794">
      <w:pPr>
        <w:spacing w:before="101" w:line="220" w:lineRule="auto"/>
        <w:ind w:left="118" w:hanging="118"/>
        <w:rPr>
          <w:rFonts w:hint="eastAsia" w:ascii="仿宋" w:hAnsi="仿宋" w:eastAsia="仿宋" w:cs="仿宋"/>
          <w:sz w:val="24"/>
          <w:highlight w:val="none"/>
        </w:rPr>
      </w:pPr>
      <w:r>
        <w:rPr>
          <w:rFonts w:hint="eastAsia" w:ascii="仿宋" w:hAnsi="仿宋" w:eastAsia="仿宋" w:cs="仿宋"/>
          <w:spacing w:val="-2"/>
          <w:sz w:val="24"/>
          <w:highlight w:val="none"/>
        </w:rPr>
        <w:t>法定代</w:t>
      </w:r>
      <w:r>
        <w:rPr>
          <w:rFonts w:hint="eastAsia" w:ascii="仿宋" w:hAnsi="仿宋" w:eastAsia="仿宋" w:cs="仿宋"/>
          <w:spacing w:val="-1"/>
          <w:sz w:val="24"/>
          <w:highlight w:val="none"/>
        </w:rPr>
        <w:t>表人/主要负责人：</w:t>
      </w:r>
      <w:r>
        <w:rPr>
          <w:rFonts w:hint="eastAsia" w:ascii="仿宋" w:hAnsi="仿宋" w:eastAsia="仿宋" w:cs="仿宋"/>
          <w:sz w:val="24"/>
          <w:highlight w:val="none"/>
          <w:u w:val="dotted"/>
        </w:rPr>
        <w:t xml:space="preserve">                                  </w:t>
      </w:r>
    </w:p>
    <w:p w14:paraId="14CD7E4A">
      <w:pPr>
        <w:spacing w:before="104" w:line="222" w:lineRule="auto"/>
        <w:ind w:left="116" w:hanging="116"/>
        <w:rPr>
          <w:rFonts w:hint="eastAsia" w:ascii="仿宋" w:hAnsi="仿宋" w:eastAsia="仿宋" w:cs="仿宋"/>
          <w:sz w:val="24"/>
          <w:highlight w:val="none"/>
        </w:rPr>
      </w:pPr>
      <w:r>
        <w:rPr>
          <w:rFonts w:hint="eastAsia" w:ascii="仿宋" w:hAnsi="仿宋" w:eastAsia="仿宋" w:cs="仿宋"/>
          <w:spacing w:val="-4"/>
          <w:sz w:val="24"/>
          <w:highlight w:val="none"/>
        </w:rPr>
        <w:t>联系</w:t>
      </w:r>
      <w:r>
        <w:rPr>
          <w:rFonts w:hint="eastAsia" w:ascii="仿宋" w:hAnsi="仿宋" w:eastAsia="仿宋" w:cs="仿宋"/>
          <w:spacing w:val="-2"/>
          <w:sz w:val="24"/>
          <w:highlight w:val="none"/>
        </w:rPr>
        <w:t>电话：</w:t>
      </w:r>
      <w:r>
        <w:rPr>
          <w:rFonts w:hint="eastAsia" w:ascii="仿宋" w:hAnsi="仿宋" w:eastAsia="仿宋" w:cs="仿宋"/>
          <w:sz w:val="24"/>
          <w:highlight w:val="none"/>
          <w:u w:val="dotted"/>
        </w:rPr>
        <w:t xml:space="preserve">                                             </w:t>
      </w:r>
    </w:p>
    <w:p w14:paraId="4AF807BC">
      <w:pPr>
        <w:spacing w:before="99" w:line="220" w:lineRule="auto"/>
        <w:ind w:left="112" w:hanging="112"/>
        <w:rPr>
          <w:rFonts w:hint="eastAsia" w:ascii="仿宋" w:hAnsi="仿宋" w:eastAsia="仿宋" w:cs="仿宋"/>
          <w:sz w:val="24"/>
          <w:highlight w:val="none"/>
        </w:rPr>
      </w:pPr>
      <w:r>
        <w:rPr>
          <w:rFonts w:hint="eastAsia" w:ascii="仿宋" w:hAnsi="仿宋" w:eastAsia="仿宋" w:cs="仿宋"/>
          <w:spacing w:val="-8"/>
          <w:sz w:val="24"/>
          <w:highlight w:val="none"/>
        </w:rPr>
        <w:t>授权代表：</w:t>
      </w:r>
      <w:r>
        <w:rPr>
          <w:rFonts w:hint="eastAsia" w:ascii="仿宋" w:hAnsi="仿宋" w:eastAsia="仿宋" w:cs="仿宋"/>
          <w:spacing w:val="-6"/>
          <w:sz w:val="24"/>
          <w:highlight w:val="none"/>
          <w:u w:val="dotted"/>
        </w:rPr>
        <w:t xml:space="preserve"> </w:t>
      </w:r>
      <w:r>
        <w:rPr>
          <w:rFonts w:hint="eastAsia" w:ascii="仿宋" w:hAnsi="仿宋" w:eastAsia="仿宋" w:cs="仿宋"/>
          <w:spacing w:val="-4"/>
          <w:sz w:val="24"/>
          <w:highlight w:val="none"/>
          <w:u w:val="dotted"/>
        </w:rPr>
        <w:t xml:space="preserve">                      </w:t>
      </w:r>
      <w:r>
        <w:rPr>
          <w:rFonts w:hint="eastAsia" w:ascii="仿宋" w:hAnsi="仿宋" w:eastAsia="仿宋" w:cs="仿宋"/>
          <w:spacing w:val="-4"/>
          <w:sz w:val="24"/>
          <w:highlight w:val="none"/>
        </w:rPr>
        <w:t>联系电话：</w:t>
      </w:r>
      <w:r>
        <w:rPr>
          <w:rFonts w:hint="eastAsia" w:ascii="仿宋" w:hAnsi="仿宋" w:eastAsia="仿宋" w:cs="仿宋"/>
          <w:sz w:val="24"/>
          <w:highlight w:val="none"/>
          <w:u w:val="dotted"/>
        </w:rPr>
        <w:t xml:space="preserve">                </w:t>
      </w:r>
    </w:p>
    <w:p w14:paraId="3CFB7C75">
      <w:pPr>
        <w:spacing w:before="101" w:line="220" w:lineRule="auto"/>
        <w:ind w:left="112" w:hanging="112"/>
        <w:rPr>
          <w:rFonts w:hint="eastAsia" w:ascii="仿宋" w:hAnsi="仿宋" w:eastAsia="仿宋" w:cs="仿宋"/>
          <w:sz w:val="24"/>
          <w:highlight w:val="none"/>
        </w:rPr>
      </w:pPr>
      <w:r>
        <w:rPr>
          <w:rFonts w:hint="eastAsia" w:ascii="仿宋" w:hAnsi="仿宋" w:eastAsia="仿宋" w:cs="仿宋"/>
          <w:spacing w:val="-8"/>
          <w:sz w:val="24"/>
          <w:highlight w:val="none"/>
        </w:rPr>
        <w:t>地址：</w:t>
      </w:r>
      <w:r>
        <w:rPr>
          <w:rFonts w:hint="eastAsia" w:ascii="仿宋" w:hAnsi="仿宋" w:eastAsia="仿宋" w:cs="仿宋"/>
          <w:spacing w:val="-8"/>
          <w:sz w:val="24"/>
          <w:highlight w:val="none"/>
          <w:u w:val="dotted"/>
        </w:rPr>
        <w:t xml:space="preserve">   </w:t>
      </w:r>
      <w:r>
        <w:rPr>
          <w:rFonts w:hint="eastAsia" w:ascii="仿宋" w:hAnsi="仿宋" w:eastAsia="仿宋" w:cs="仿宋"/>
          <w:spacing w:val="-5"/>
          <w:sz w:val="24"/>
          <w:highlight w:val="none"/>
          <w:u w:val="dotted"/>
        </w:rPr>
        <w:t xml:space="preserve"> </w:t>
      </w:r>
      <w:r>
        <w:rPr>
          <w:rFonts w:hint="eastAsia" w:ascii="仿宋" w:hAnsi="仿宋" w:eastAsia="仿宋" w:cs="仿宋"/>
          <w:spacing w:val="-4"/>
          <w:sz w:val="24"/>
          <w:highlight w:val="none"/>
          <w:u w:val="dotted"/>
        </w:rPr>
        <w:t xml:space="preserve">                       </w:t>
      </w:r>
      <w:r>
        <w:rPr>
          <w:rFonts w:hint="eastAsia" w:ascii="仿宋" w:hAnsi="仿宋" w:eastAsia="仿宋" w:cs="仿宋"/>
          <w:spacing w:val="-4"/>
          <w:sz w:val="24"/>
          <w:highlight w:val="none"/>
        </w:rPr>
        <w:t>邮编：</w:t>
      </w:r>
      <w:r>
        <w:rPr>
          <w:rFonts w:hint="eastAsia" w:ascii="仿宋" w:hAnsi="仿宋" w:eastAsia="仿宋" w:cs="仿宋"/>
          <w:sz w:val="24"/>
          <w:highlight w:val="none"/>
          <w:u w:val="dotted"/>
        </w:rPr>
        <w:t xml:space="preserve">                    </w:t>
      </w:r>
    </w:p>
    <w:p w14:paraId="431E1B24">
      <w:pPr>
        <w:spacing w:before="103" w:line="220" w:lineRule="auto"/>
        <w:ind w:left="103" w:hanging="103"/>
        <w:rPr>
          <w:rFonts w:hint="eastAsia" w:ascii="仿宋" w:hAnsi="仿宋" w:eastAsia="仿宋" w:cs="仿宋"/>
          <w:sz w:val="24"/>
          <w:highlight w:val="none"/>
        </w:rPr>
      </w:pPr>
      <w:r>
        <w:rPr>
          <w:rFonts w:hint="eastAsia" w:ascii="仿宋" w:hAnsi="仿宋" w:eastAsia="仿宋" w:cs="仿宋"/>
          <w:spacing w:val="-17"/>
          <w:sz w:val="24"/>
          <w:highlight w:val="none"/>
        </w:rPr>
        <w:t>被</w:t>
      </w:r>
      <w:r>
        <w:rPr>
          <w:rFonts w:hint="eastAsia" w:ascii="仿宋" w:hAnsi="仿宋" w:eastAsia="仿宋" w:cs="仿宋"/>
          <w:spacing w:val="-11"/>
          <w:sz w:val="24"/>
          <w:highlight w:val="none"/>
        </w:rPr>
        <w:t>投诉人 1：</w:t>
      </w:r>
    </w:p>
    <w:p w14:paraId="7218E64E">
      <w:pPr>
        <w:spacing w:before="101" w:line="185" w:lineRule="auto"/>
        <w:ind w:left="112" w:hanging="112"/>
        <w:rPr>
          <w:rFonts w:hint="eastAsia" w:ascii="仿宋" w:hAnsi="仿宋" w:eastAsia="仿宋" w:cs="仿宋"/>
          <w:sz w:val="24"/>
          <w:highlight w:val="none"/>
        </w:rPr>
      </w:pPr>
      <w:r>
        <w:rPr>
          <w:rFonts w:hint="eastAsia" w:ascii="仿宋" w:hAnsi="仿宋" w:eastAsia="仿宋" w:cs="仿宋"/>
          <w:spacing w:val="-8"/>
          <w:sz w:val="24"/>
          <w:highlight w:val="none"/>
        </w:rPr>
        <w:t>地址：</w:t>
      </w:r>
      <w:r>
        <w:rPr>
          <w:rFonts w:hint="eastAsia" w:ascii="仿宋" w:hAnsi="仿宋" w:eastAsia="仿宋" w:cs="仿宋"/>
          <w:spacing w:val="-8"/>
          <w:sz w:val="24"/>
          <w:highlight w:val="none"/>
          <w:u w:val="dotted"/>
        </w:rPr>
        <w:t xml:space="preserve">   </w:t>
      </w:r>
      <w:r>
        <w:rPr>
          <w:rFonts w:hint="eastAsia" w:ascii="仿宋" w:hAnsi="仿宋" w:eastAsia="仿宋" w:cs="仿宋"/>
          <w:spacing w:val="-5"/>
          <w:sz w:val="24"/>
          <w:highlight w:val="none"/>
          <w:u w:val="dotted"/>
        </w:rPr>
        <w:t xml:space="preserve"> </w:t>
      </w:r>
      <w:r>
        <w:rPr>
          <w:rFonts w:hint="eastAsia" w:ascii="仿宋" w:hAnsi="仿宋" w:eastAsia="仿宋" w:cs="仿宋"/>
          <w:spacing w:val="-4"/>
          <w:sz w:val="24"/>
          <w:highlight w:val="none"/>
          <w:u w:val="dotted"/>
        </w:rPr>
        <w:t xml:space="preserve">                       </w:t>
      </w:r>
      <w:r>
        <w:rPr>
          <w:rFonts w:hint="eastAsia" w:ascii="仿宋" w:hAnsi="仿宋" w:eastAsia="仿宋" w:cs="仿宋"/>
          <w:spacing w:val="-4"/>
          <w:sz w:val="24"/>
          <w:highlight w:val="none"/>
        </w:rPr>
        <w:t>邮编：</w:t>
      </w:r>
      <w:r>
        <w:rPr>
          <w:rFonts w:hint="eastAsia" w:ascii="仿宋" w:hAnsi="仿宋" w:eastAsia="仿宋" w:cs="仿宋"/>
          <w:sz w:val="24"/>
          <w:highlight w:val="none"/>
          <w:u w:val="dotted"/>
        </w:rPr>
        <w:t xml:space="preserve">                    </w:t>
      </w:r>
    </w:p>
    <w:p w14:paraId="588F87A2">
      <w:pPr>
        <w:ind w:left="120" w:hanging="120"/>
        <w:rPr>
          <w:rFonts w:hint="eastAsia" w:ascii="仿宋" w:hAnsi="仿宋" w:eastAsia="仿宋" w:cs="仿宋"/>
          <w:sz w:val="24"/>
          <w:highlight w:val="none"/>
        </w:rPr>
      </w:pPr>
    </w:p>
    <w:p w14:paraId="5625846B">
      <w:pPr>
        <w:spacing w:before="103" w:line="220" w:lineRule="auto"/>
        <w:ind w:left="103" w:hanging="103"/>
        <w:rPr>
          <w:rFonts w:hint="eastAsia" w:ascii="仿宋" w:hAnsi="仿宋" w:eastAsia="仿宋" w:cs="仿宋"/>
          <w:spacing w:val="-17"/>
          <w:sz w:val="24"/>
          <w:highlight w:val="none"/>
        </w:rPr>
      </w:pPr>
      <w:r>
        <w:rPr>
          <w:rFonts w:hint="eastAsia" w:ascii="仿宋" w:hAnsi="仿宋" w:eastAsia="仿宋" w:cs="仿宋"/>
          <w:spacing w:val="-17"/>
          <w:sz w:val="24"/>
          <w:highlight w:val="none"/>
        </w:rPr>
        <w:t>联系人：</w:t>
      </w:r>
      <w:r>
        <w:rPr>
          <w:rFonts w:hint="eastAsia" w:ascii="仿宋" w:hAnsi="仿宋" w:eastAsia="仿宋" w:cs="仿宋"/>
          <w:spacing w:val="-8"/>
          <w:sz w:val="24"/>
          <w:highlight w:val="none"/>
          <w:u w:val="dotted"/>
        </w:rPr>
        <w:t xml:space="preserve">   </w:t>
      </w:r>
      <w:r>
        <w:rPr>
          <w:rFonts w:hint="eastAsia" w:ascii="仿宋" w:hAnsi="仿宋" w:eastAsia="仿宋" w:cs="仿宋"/>
          <w:spacing w:val="-5"/>
          <w:sz w:val="24"/>
          <w:highlight w:val="none"/>
          <w:u w:val="dotted"/>
        </w:rPr>
        <w:t xml:space="preserve"> </w:t>
      </w:r>
      <w:r>
        <w:rPr>
          <w:rFonts w:hint="eastAsia" w:ascii="仿宋" w:hAnsi="仿宋" w:eastAsia="仿宋" w:cs="仿宋"/>
          <w:spacing w:val="-4"/>
          <w:sz w:val="24"/>
          <w:highlight w:val="none"/>
          <w:u w:val="dotted"/>
        </w:rPr>
        <w:t xml:space="preserve">                      </w:t>
      </w:r>
      <w:r>
        <w:rPr>
          <w:rFonts w:hint="eastAsia" w:ascii="仿宋" w:hAnsi="仿宋" w:eastAsia="仿宋" w:cs="仿宋"/>
          <w:spacing w:val="-17"/>
          <w:sz w:val="24"/>
          <w:highlight w:val="none"/>
        </w:rPr>
        <w:t xml:space="preserve">联系电话：                </w:t>
      </w:r>
    </w:p>
    <w:p w14:paraId="044A4DED">
      <w:pPr>
        <w:spacing w:before="103" w:line="220" w:lineRule="auto"/>
        <w:ind w:left="103" w:hanging="103"/>
        <w:rPr>
          <w:rFonts w:hint="eastAsia" w:ascii="仿宋" w:hAnsi="仿宋" w:eastAsia="仿宋" w:cs="仿宋"/>
          <w:sz w:val="24"/>
          <w:highlight w:val="none"/>
        </w:rPr>
      </w:pPr>
      <w:r>
        <w:rPr>
          <w:rFonts w:hint="eastAsia" w:ascii="仿宋" w:hAnsi="仿宋" w:eastAsia="仿宋" w:cs="仿宋"/>
          <w:spacing w:val="-17"/>
          <w:sz w:val="24"/>
          <w:highlight w:val="none"/>
        </w:rPr>
        <w:t>联系人：</w:t>
      </w:r>
      <w:r>
        <w:rPr>
          <w:rFonts w:hint="eastAsia" w:ascii="仿宋" w:hAnsi="仿宋" w:eastAsia="仿宋" w:cs="仿宋"/>
          <w:spacing w:val="-8"/>
          <w:sz w:val="24"/>
          <w:highlight w:val="none"/>
          <w:u w:val="dotted"/>
        </w:rPr>
        <w:t xml:space="preserve">   </w:t>
      </w:r>
      <w:r>
        <w:rPr>
          <w:rFonts w:hint="eastAsia" w:ascii="仿宋" w:hAnsi="仿宋" w:eastAsia="仿宋" w:cs="仿宋"/>
          <w:spacing w:val="-5"/>
          <w:sz w:val="24"/>
          <w:highlight w:val="none"/>
          <w:u w:val="dotted"/>
        </w:rPr>
        <w:t xml:space="preserve"> </w:t>
      </w:r>
      <w:r>
        <w:rPr>
          <w:rFonts w:hint="eastAsia" w:ascii="仿宋" w:hAnsi="仿宋" w:eastAsia="仿宋" w:cs="仿宋"/>
          <w:spacing w:val="-4"/>
          <w:sz w:val="24"/>
          <w:highlight w:val="none"/>
          <w:u w:val="dotted"/>
        </w:rPr>
        <w:t xml:space="preserve">                      </w:t>
      </w:r>
      <w:r>
        <w:rPr>
          <w:rFonts w:hint="eastAsia" w:ascii="仿宋" w:hAnsi="仿宋" w:eastAsia="仿宋" w:cs="仿宋"/>
          <w:spacing w:val="-17"/>
          <w:sz w:val="24"/>
          <w:highlight w:val="none"/>
        </w:rPr>
        <w:t xml:space="preserve">联系电话：     </w:t>
      </w:r>
      <w:r>
        <w:rPr>
          <w:rFonts w:hint="eastAsia" w:ascii="仿宋" w:hAnsi="仿宋" w:eastAsia="仿宋" w:cs="仿宋"/>
          <w:sz w:val="24"/>
          <w:highlight w:val="none"/>
          <w:u w:val="dotted"/>
        </w:rPr>
        <w:t xml:space="preserve">           </w:t>
      </w:r>
    </w:p>
    <w:p w14:paraId="400DB954">
      <w:pPr>
        <w:spacing w:before="100" w:line="371" w:lineRule="exact"/>
        <w:ind w:left="118" w:hanging="118"/>
        <w:outlineLvl w:val="1"/>
        <w:rPr>
          <w:rFonts w:hint="eastAsia" w:ascii="仿宋" w:hAnsi="仿宋" w:eastAsia="仿宋" w:cs="仿宋"/>
          <w:sz w:val="24"/>
          <w:highlight w:val="none"/>
        </w:rPr>
      </w:pPr>
      <w:bookmarkStart w:id="133" w:name="_Toc377"/>
      <w:bookmarkStart w:id="134" w:name="_Toc27620"/>
      <w:bookmarkStart w:id="135" w:name="_Toc110010430"/>
      <w:bookmarkStart w:id="136" w:name="_Toc9491"/>
      <w:bookmarkStart w:id="137" w:name="_Toc25199"/>
      <w:r>
        <w:rPr>
          <w:rFonts w:hint="eastAsia" w:ascii="仿宋" w:hAnsi="仿宋" w:eastAsia="仿宋" w:cs="仿宋"/>
          <w:spacing w:val="-2"/>
          <w:position w:val="1"/>
          <w:sz w:val="24"/>
          <w:highlight w:val="none"/>
        </w:rPr>
        <w:t>二、投诉项目</w:t>
      </w:r>
      <w:r>
        <w:rPr>
          <w:rFonts w:hint="eastAsia" w:ascii="仿宋" w:hAnsi="仿宋" w:eastAsia="仿宋" w:cs="仿宋"/>
          <w:spacing w:val="-1"/>
          <w:position w:val="1"/>
          <w:sz w:val="24"/>
          <w:highlight w:val="none"/>
        </w:rPr>
        <w:t>基本情况</w:t>
      </w:r>
      <w:bookmarkEnd w:id="133"/>
      <w:bookmarkEnd w:id="134"/>
      <w:bookmarkEnd w:id="135"/>
      <w:bookmarkEnd w:id="136"/>
      <w:bookmarkEnd w:id="137"/>
    </w:p>
    <w:p w14:paraId="00C027E1">
      <w:pPr>
        <w:spacing w:before="64" w:line="219" w:lineRule="auto"/>
        <w:ind w:left="118" w:hanging="118"/>
        <w:rPr>
          <w:rFonts w:hint="eastAsia" w:ascii="仿宋" w:hAnsi="仿宋" w:eastAsia="仿宋" w:cs="仿宋"/>
          <w:sz w:val="24"/>
          <w:highlight w:val="none"/>
        </w:rPr>
      </w:pPr>
      <w:r>
        <w:rPr>
          <w:rFonts w:hint="eastAsia" w:ascii="仿宋" w:hAnsi="仿宋" w:eastAsia="仿宋" w:cs="仿宋"/>
          <w:spacing w:val="-2"/>
          <w:sz w:val="24"/>
          <w:highlight w:val="none"/>
        </w:rPr>
        <w:t>采购项</w:t>
      </w:r>
      <w:r>
        <w:rPr>
          <w:rFonts w:hint="eastAsia" w:ascii="仿宋" w:hAnsi="仿宋" w:eastAsia="仿宋" w:cs="仿宋"/>
          <w:spacing w:val="-1"/>
          <w:sz w:val="24"/>
          <w:highlight w:val="none"/>
        </w:rPr>
        <w:t>目名称：</w:t>
      </w:r>
      <w:r>
        <w:rPr>
          <w:rFonts w:hint="eastAsia" w:ascii="仿宋" w:hAnsi="仿宋" w:eastAsia="仿宋" w:cs="仿宋"/>
          <w:sz w:val="24"/>
          <w:highlight w:val="none"/>
          <w:u w:val="dotted"/>
        </w:rPr>
        <w:t xml:space="preserve">                                           </w:t>
      </w:r>
    </w:p>
    <w:p w14:paraId="5FE187F6">
      <w:pPr>
        <w:spacing w:before="104" w:line="219" w:lineRule="auto"/>
        <w:ind w:left="112" w:hanging="112"/>
        <w:rPr>
          <w:rFonts w:hint="eastAsia" w:ascii="仿宋" w:hAnsi="仿宋" w:eastAsia="仿宋" w:cs="仿宋"/>
          <w:sz w:val="24"/>
          <w:highlight w:val="none"/>
        </w:rPr>
      </w:pPr>
      <w:r>
        <w:rPr>
          <w:rFonts w:hint="eastAsia" w:ascii="仿宋" w:hAnsi="仿宋" w:eastAsia="仿宋" w:cs="仿宋"/>
          <w:spacing w:val="-8"/>
          <w:sz w:val="24"/>
          <w:highlight w:val="none"/>
        </w:rPr>
        <w:t>采购项目</w:t>
      </w:r>
      <w:r>
        <w:rPr>
          <w:rFonts w:hint="eastAsia" w:ascii="仿宋" w:hAnsi="仿宋" w:eastAsia="仿宋" w:cs="仿宋"/>
          <w:spacing w:val="-4"/>
          <w:sz w:val="24"/>
          <w:highlight w:val="none"/>
        </w:rPr>
        <w:t>编号：</w:t>
      </w:r>
      <w:r>
        <w:rPr>
          <w:rFonts w:hint="eastAsia" w:ascii="仿宋" w:hAnsi="仿宋" w:eastAsia="仿宋" w:cs="仿宋"/>
          <w:spacing w:val="-4"/>
          <w:sz w:val="24"/>
          <w:highlight w:val="none"/>
          <w:u w:val="dotted"/>
        </w:rPr>
        <w:t xml:space="preserve">                        </w:t>
      </w:r>
      <w:r>
        <w:rPr>
          <w:rFonts w:hint="eastAsia" w:ascii="仿宋" w:hAnsi="仿宋" w:eastAsia="仿宋" w:cs="仿宋"/>
          <w:spacing w:val="-4"/>
          <w:sz w:val="24"/>
          <w:highlight w:val="none"/>
        </w:rPr>
        <w:t>包号：</w:t>
      </w:r>
      <w:r>
        <w:rPr>
          <w:rFonts w:hint="eastAsia" w:ascii="仿宋" w:hAnsi="仿宋" w:eastAsia="仿宋" w:cs="仿宋"/>
          <w:sz w:val="24"/>
          <w:highlight w:val="none"/>
          <w:u w:val="dotted"/>
        </w:rPr>
        <w:t xml:space="preserve">              </w:t>
      </w:r>
    </w:p>
    <w:p w14:paraId="0C0917BD">
      <w:pPr>
        <w:spacing w:before="102" w:line="219" w:lineRule="auto"/>
        <w:ind w:left="118" w:hanging="118"/>
        <w:rPr>
          <w:rFonts w:hint="eastAsia" w:ascii="仿宋" w:hAnsi="仿宋" w:eastAsia="仿宋" w:cs="仿宋"/>
          <w:sz w:val="24"/>
          <w:highlight w:val="none"/>
        </w:rPr>
      </w:pPr>
      <w:r>
        <w:rPr>
          <w:rFonts w:hint="eastAsia" w:ascii="仿宋" w:hAnsi="仿宋" w:eastAsia="仿宋" w:cs="仿宋"/>
          <w:spacing w:val="-2"/>
          <w:sz w:val="24"/>
          <w:highlight w:val="none"/>
        </w:rPr>
        <w:t>采购人名</w:t>
      </w:r>
      <w:r>
        <w:rPr>
          <w:rFonts w:hint="eastAsia" w:ascii="仿宋" w:hAnsi="仿宋" w:eastAsia="仿宋" w:cs="仿宋"/>
          <w:spacing w:val="-1"/>
          <w:sz w:val="24"/>
          <w:highlight w:val="none"/>
        </w:rPr>
        <w:t>称：</w:t>
      </w:r>
      <w:r>
        <w:rPr>
          <w:rFonts w:hint="eastAsia" w:ascii="仿宋" w:hAnsi="仿宋" w:eastAsia="仿宋" w:cs="仿宋"/>
          <w:sz w:val="24"/>
          <w:highlight w:val="none"/>
          <w:u w:val="dotted"/>
        </w:rPr>
        <w:t xml:space="preserve">                                           </w:t>
      </w:r>
    </w:p>
    <w:p w14:paraId="201484FF">
      <w:pPr>
        <w:spacing w:before="105" w:line="219" w:lineRule="auto"/>
        <w:ind w:left="118" w:hanging="118"/>
        <w:rPr>
          <w:rFonts w:hint="eastAsia" w:ascii="仿宋" w:hAnsi="仿宋" w:eastAsia="仿宋" w:cs="仿宋"/>
          <w:sz w:val="24"/>
          <w:highlight w:val="none"/>
        </w:rPr>
      </w:pPr>
      <w:r>
        <w:rPr>
          <w:rFonts w:hint="eastAsia" w:ascii="仿宋" w:hAnsi="仿宋" w:eastAsia="仿宋" w:cs="仿宋"/>
          <w:spacing w:val="-2"/>
          <w:sz w:val="24"/>
          <w:highlight w:val="none"/>
        </w:rPr>
        <w:t>代理机构名</w:t>
      </w:r>
      <w:r>
        <w:rPr>
          <w:rFonts w:hint="eastAsia" w:ascii="仿宋" w:hAnsi="仿宋" w:eastAsia="仿宋" w:cs="仿宋"/>
          <w:spacing w:val="-1"/>
          <w:sz w:val="24"/>
          <w:highlight w:val="none"/>
        </w:rPr>
        <w:t>称：</w:t>
      </w:r>
      <w:r>
        <w:rPr>
          <w:rFonts w:hint="eastAsia" w:ascii="仿宋" w:hAnsi="仿宋" w:eastAsia="仿宋" w:cs="仿宋"/>
          <w:sz w:val="24"/>
          <w:highlight w:val="none"/>
          <w:u w:val="dotted"/>
        </w:rPr>
        <w:t xml:space="preserve">                                           </w:t>
      </w:r>
    </w:p>
    <w:p w14:paraId="6CF18579">
      <w:pPr>
        <w:spacing w:before="104" w:line="219" w:lineRule="auto"/>
        <w:ind w:left="127" w:hanging="127"/>
        <w:rPr>
          <w:rFonts w:hint="eastAsia" w:ascii="仿宋" w:hAnsi="仿宋" w:eastAsia="仿宋" w:cs="仿宋"/>
          <w:sz w:val="24"/>
          <w:highlight w:val="none"/>
        </w:rPr>
      </w:pPr>
      <w:r>
        <w:rPr>
          <w:rFonts w:hint="eastAsia" w:ascii="仿宋" w:hAnsi="仿宋" w:eastAsia="仿宋" w:cs="仿宋"/>
          <w:spacing w:val="7"/>
          <w:sz w:val="24"/>
          <w:highlight w:val="none"/>
        </w:rPr>
        <w:t>采购文件公告:</w:t>
      </w:r>
      <w:r>
        <w:rPr>
          <w:rFonts w:hint="eastAsia" w:ascii="仿宋" w:hAnsi="仿宋" w:eastAsia="仿宋" w:cs="仿宋"/>
          <w:spacing w:val="7"/>
          <w:sz w:val="24"/>
          <w:highlight w:val="none"/>
          <w:u w:val="single"/>
        </w:rPr>
        <w:t xml:space="preserve">  是/否 </w:t>
      </w:r>
      <w:r>
        <w:rPr>
          <w:rFonts w:hint="eastAsia" w:ascii="仿宋" w:hAnsi="仿宋" w:eastAsia="仿宋" w:cs="仿宋"/>
          <w:spacing w:val="7"/>
          <w:sz w:val="24"/>
          <w:highlight w:val="none"/>
        </w:rPr>
        <w:t xml:space="preserve"> 公告期限</w:t>
      </w:r>
      <w:r>
        <w:rPr>
          <w:rFonts w:hint="eastAsia" w:ascii="仿宋" w:hAnsi="仿宋" w:eastAsia="仿宋" w:cs="仿宋"/>
          <w:spacing w:val="3"/>
          <w:sz w:val="24"/>
          <w:highlight w:val="none"/>
        </w:rPr>
        <w:t>：</w:t>
      </w:r>
      <w:r>
        <w:rPr>
          <w:rFonts w:hint="eastAsia" w:ascii="仿宋" w:hAnsi="仿宋" w:eastAsia="仿宋" w:cs="仿宋"/>
          <w:sz w:val="24"/>
          <w:highlight w:val="none"/>
          <w:u w:val="dotted"/>
        </w:rPr>
        <w:t xml:space="preserve">                        </w:t>
      </w:r>
    </w:p>
    <w:p w14:paraId="46F6EFC1">
      <w:pPr>
        <w:spacing w:before="103" w:line="287" w:lineRule="auto"/>
        <w:ind w:left="119" w:right="12" w:hanging="119"/>
        <w:rPr>
          <w:rFonts w:hint="eastAsia" w:ascii="仿宋" w:hAnsi="仿宋" w:eastAsia="仿宋" w:cs="仿宋"/>
          <w:sz w:val="24"/>
          <w:highlight w:val="none"/>
        </w:rPr>
      </w:pPr>
      <w:r>
        <w:rPr>
          <w:rFonts w:hint="eastAsia" w:ascii="仿宋" w:hAnsi="仿宋" w:eastAsia="仿宋" w:cs="仿宋"/>
          <w:spacing w:val="-1"/>
          <w:sz w:val="24"/>
          <w:highlight w:val="none"/>
        </w:rPr>
        <w:t>采购结果公告：</w:t>
      </w:r>
      <w:r>
        <w:rPr>
          <w:rFonts w:hint="eastAsia" w:ascii="仿宋" w:hAnsi="仿宋" w:eastAsia="仿宋" w:cs="仿宋"/>
          <w:spacing w:val="-1"/>
          <w:sz w:val="24"/>
          <w:highlight w:val="none"/>
          <w:u w:val="single"/>
        </w:rPr>
        <w:t xml:space="preserve">  是/否 </w:t>
      </w:r>
      <w:r>
        <w:rPr>
          <w:rFonts w:hint="eastAsia" w:ascii="仿宋" w:hAnsi="仿宋" w:eastAsia="仿宋" w:cs="仿宋"/>
          <w:spacing w:val="-1"/>
          <w:sz w:val="24"/>
          <w:highlight w:val="none"/>
        </w:rPr>
        <w:t xml:space="preserve"> 公告期限：</w:t>
      </w:r>
      <w:r>
        <w:rPr>
          <w:rFonts w:hint="eastAsia" w:ascii="仿宋" w:hAnsi="仿宋" w:eastAsia="仿宋" w:cs="仿宋"/>
          <w:spacing w:val="-1"/>
          <w:sz w:val="24"/>
          <w:highlight w:val="none"/>
          <w:u w:val="dotted"/>
        </w:rPr>
        <w:t xml:space="preserve">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6A48073">
      <w:pPr>
        <w:spacing w:before="100" w:line="371" w:lineRule="exact"/>
        <w:ind w:left="118" w:right="0" w:hanging="118"/>
        <w:outlineLvl w:val="1"/>
        <w:rPr>
          <w:rFonts w:hint="eastAsia" w:ascii="仿宋" w:hAnsi="仿宋" w:eastAsia="仿宋" w:cs="仿宋"/>
          <w:spacing w:val="-2"/>
          <w:position w:val="1"/>
          <w:sz w:val="24"/>
          <w:highlight w:val="none"/>
        </w:rPr>
      </w:pPr>
      <w:bookmarkStart w:id="138" w:name="_Toc30345"/>
      <w:r>
        <w:rPr>
          <w:rFonts w:hint="eastAsia" w:ascii="仿宋" w:hAnsi="仿宋" w:eastAsia="仿宋" w:cs="仿宋"/>
          <w:spacing w:val="-2"/>
          <w:position w:val="1"/>
          <w:sz w:val="24"/>
          <w:highlight w:val="none"/>
        </w:rPr>
        <w:t>三、质疑基本情况</w:t>
      </w:r>
      <w:bookmarkEnd w:id="138"/>
    </w:p>
    <w:p w14:paraId="2322F96A">
      <w:pPr>
        <w:spacing w:before="1" w:line="287" w:lineRule="auto"/>
        <w:ind w:left="108" w:right="11" w:hanging="108"/>
        <w:rPr>
          <w:rFonts w:hint="eastAsia" w:ascii="仿宋" w:hAnsi="仿宋" w:eastAsia="仿宋" w:cs="仿宋"/>
          <w:sz w:val="24"/>
          <w:highlight w:val="none"/>
        </w:rPr>
      </w:pPr>
      <w:r>
        <w:rPr>
          <w:rFonts w:hint="eastAsia" w:ascii="仿宋" w:hAnsi="仿宋" w:eastAsia="仿宋" w:cs="仿宋"/>
          <w:spacing w:val="-12"/>
          <w:sz w:val="24"/>
          <w:highlight w:val="none"/>
        </w:rPr>
        <w:t>投</w:t>
      </w:r>
      <w:r>
        <w:rPr>
          <w:rFonts w:hint="eastAsia" w:ascii="仿宋" w:hAnsi="仿宋" w:eastAsia="仿宋" w:cs="仿宋"/>
          <w:spacing w:val="-6"/>
          <w:sz w:val="24"/>
          <w:highlight w:val="none"/>
        </w:rPr>
        <w:t>诉人于</w:t>
      </w:r>
      <w:r>
        <w:rPr>
          <w:rFonts w:hint="eastAsia" w:ascii="仿宋" w:hAnsi="仿宋" w:eastAsia="仿宋" w:cs="仿宋"/>
          <w:spacing w:val="-6"/>
          <w:sz w:val="24"/>
          <w:highlight w:val="none"/>
          <w:u w:val="dotted"/>
        </w:rPr>
        <w:t xml:space="preserve">           </w:t>
      </w:r>
      <w:r>
        <w:rPr>
          <w:rFonts w:hint="eastAsia" w:ascii="仿宋" w:hAnsi="仿宋" w:eastAsia="仿宋" w:cs="仿宋"/>
          <w:spacing w:val="-6"/>
          <w:sz w:val="24"/>
          <w:highlight w:val="none"/>
        </w:rPr>
        <w:t>年</w:t>
      </w:r>
      <w:r>
        <w:rPr>
          <w:rFonts w:hint="eastAsia" w:ascii="仿宋" w:hAnsi="仿宋" w:eastAsia="仿宋" w:cs="仿宋"/>
          <w:spacing w:val="-6"/>
          <w:sz w:val="24"/>
          <w:highlight w:val="none"/>
          <w:u w:val="dotted"/>
        </w:rPr>
        <w:t xml:space="preserve">           </w:t>
      </w:r>
      <w:r>
        <w:rPr>
          <w:rFonts w:hint="eastAsia" w:ascii="仿宋" w:hAnsi="仿宋" w:eastAsia="仿宋" w:cs="仿宋"/>
          <w:spacing w:val="-6"/>
          <w:sz w:val="24"/>
          <w:highlight w:val="none"/>
        </w:rPr>
        <w:t>月</w:t>
      </w:r>
      <w:r>
        <w:rPr>
          <w:rFonts w:hint="eastAsia" w:ascii="仿宋" w:hAnsi="仿宋" w:eastAsia="仿宋" w:cs="仿宋"/>
          <w:spacing w:val="-6"/>
          <w:sz w:val="24"/>
          <w:highlight w:val="none"/>
          <w:u w:val="dotted"/>
        </w:rPr>
        <w:t xml:space="preserve">            </w:t>
      </w:r>
      <w:r>
        <w:rPr>
          <w:rFonts w:hint="eastAsia" w:ascii="仿宋" w:hAnsi="仿宋" w:eastAsia="仿宋" w:cs="仿宋"/>
          <w:spacing w:val="-6"/>
          <w:sz w:val="24"/>
          <w:highlight w:val="none"/>
        </w:rPr>
        <w:t>日 ，向</w:t>
      </w:r>
      <w:r>
        <w:rPr>
          <w:rFonts w:hint="eastAsia" w:ascii="仿宋" w:hAnsi="仿宋" w:eastAsia="仿宋" w:cs="仿宋"/>
          <w:spacing w:val="-4"/>
          <w:sz w:val="24"/>
          <w:highlight w:val="none"/>
        </w:rPr>
        <w:t>提</w:t>
      </w:r>
      <w:r>
        <w:rPr>
          <w:rFonts w:hint="eastAsia" w:ascii="仿宋" w:hAnsi="仿宋" w:eastAsia="仿宋" w:cs="仿宋"/>
          <w:spacing w:val="-2"/>
          <w:sz w:val="24"/>
          <w:highlight w:val="none"/>
        </w:rPr>
        <w:t>出质疑，</w:t>
      </w:r>
    </w:p>
    <w:p w14:paraId="4FC2291B">
      <w:pPr>
        <w:spacing w:before="1" w:line="220" w:lineRule="auto"/>
        <w:ind w:left="117" w:hanging="117"/>
        <w:rPr>
          <w:rFonts w:hint="eastAsia" w:ascii="仿宋" w:hAnsi="仿宋" w:eastAsia="仿宋" w:cs="仿宋"/>
          <w:sz w:val="24"/>
          <w:highlight w:val="none"/>
        </w:rPr>
      </w:pPr>
      <w:r>
        <w:rPr>
          <w:rFonts w:hint="eastAsia" w:ascii="仿宋" w:hAnsi="仿宋" w:eastAsia="仿宋" w:cs="仿宋"/>
          <w:spacing w:val="-3"/>
          <w:sz w:val="24"/>
          <w:highlight w:val="none"/>
        </w:rPr>
        <w:t>质</w:t>
      </w:r>
      <w:r>
        <w:rPr>
          <w:rFonts w:hint="eastAsia" w:ascii="仿宋" w:hAnsi="仿宋" w:eastAsia="仿宋" w:cs="仿宋"/>
          <w:spacing w:val="-2"/>
          <w:sz w:val="24"/>
          <w:highlight w:val="none"/>
        </w:rPr>
        <w:t>疑事项为：</w:t>
      </w:r>
      <w:r>
        <w:rPr>
          <w:rFonts w:hint="eastAsia" w:ascii="仿宋" w:hAnsi="仿宋" w:eastAsia="仿宋" w:cs="仿宋"/>
          <w:sz w:val="24"/>
          <w:highlight w:val="none"/>
          <w:u w:val="dotted"/>
        </w:rPr>
        <w:t xml:space="preserve">                                           </w:t>
      </w:r>
    </w:p>
    <w:p w14:paraId="5CCC629F">
      <w:pPr>
        <w:spacing w:before="103" w:line="287" w:lineRule="auto"/>
        <w:ind w:left="116" w:right="11" w:hanging="116"/>
        <w:rPr>
          <w:rFonts w:hint="eastAsia" w:ascii="仿宋" w:hAnsi="仿宋" w:eastAsia="仿宋" w:cs="仿宋"/>
          <w:sz w:val="24"/>
          <w:highlight w:val="none"/>
        </w:rPr>
      </w:pPr>
      <w:r>
        <w:rPr>
          <w:rFonts w:hint="eastAsia" w:ascii="仿宋" w:hAnsi="仿宋" w:eastAsia="仿宋" w:cs="仿宋"/>
          <w:spacing w:val="-4"/>
          <w:sz w:val="24"/>
          <w:highlight w:val="none"/>
        </w:rPr>
        <w:t>采购人/</w:t>
      </w:r>
      <w:r>
        <w:rPr>
          <w:rFonts w:hint="eastAsia" w:ascii="仿宋" w:hAnsi="仿宋" w:eastAsia="仿宋" w:cs="仿宋"/>
          <w:spacing w:val="-2"/>
          <w:sz w:val="24"/>
          <w:highlight w:val="none"/>
        </w:rPr>
        <w:t>采购代理机构于</w:t>
      </w:r>
      <w:r>
        <w:rPr>
          <w:rFonts w:hint="eastAsia" w:ascii="仿宋" w:hAnsi="仿宋" w:eastAsia="仿宋" w:cs="仿宋"/>
          <w:spacing w:val="-2"/>
          <w:sz w:val="24"/>
          <w:highlight w:val="none"/>
          <w:u w:val="dotted"/>
        </w:rPr>
        <w:t xml:space="preserve">      </w:t>
      </w:r>
      <w:r>
        <w:rPr>
          <w:rFonts w:hint="eastAsia" w:ascii="仿宋" w:hAnsi="仿宋" w:eastAsia="仿宋" w:cs="仿宋"/>
          <w:spacing w:val="-2"/>
          <w:sz w:val="24"/>
          <w:highlight w:val="none"/>
        </w:rPr>
        <w:t xml:space="preserve"> 年</w:t>
      </w:r>
      <w:r>
        <w:rPr>
          <w:rFonts w:hint="eastAsia" w:ascii="仿宋" w:hAnsi="仿宋" w:eastAsia="仿宋" w:cs="仿宋"/>
          <w:spacing w:val="-2"/>
          <w:sz w:val="24"/>
          <w:highlight w:val="none"/>
          <w:u w:val="dotted"/>
        </w:rPr>
        <w:t xml:space="preserve">      </w:t>
      </w:r>
      <w:r>
        <w:rPr>
          <w:rFonts w:hint="eastAsia" w:ascii="仿宋" w:hAnsi="仿宋" w:eastAsia="仿宋" w:cs="仿宋"/>
          <w:spacing w:val="-2"/>
          <w:sz w:val="24"/>
          <w:highlight w:val="none"/>
        </w:rPr>
        <w:t xml:space="preserve"> 月</w:t>
      </w:r>
      <w:r>
        <w:rPr>
          <w:rFonts w:hint="eastAsia" w:ascii="仿宋" w:hAnsi="仿宋" w:eastAsia="仿宋" w:cs="仿宋"/>
          <w:spacing w:val="-2"/>
          <w:sz w:val="24"/>
          <w:highlight w:val="none"/>
          <w:u w:val="dotted"/>
        </w:rPr>
        <w:t xml:space="preserve">      </w:t>
      </w:r>
      <w:r>
        <w:rPr>
          <w:rFonts w:hint="eastAsia" w:ascii="仿宋" w:hAnsi="仿宋" w:eastAsia="仿宋" w:cs="仿宋"/>
          <w:spacing w:val="-2"/>
          <w:sz w:val="24"/>
          <w:highlight w:val="none"/>
        </w:rPr>
        <w:t xml:space="preserve"> 日，就质疑</w:t>
      </w:r>
      <w:r>
        <w:rPr>
          <w:rFonts w:hint="eastAsia" w:ascii="仿宋" w:hAnsi="仿宋" w:eastAsia="仿宋" w:cs="仿宋"/>
          <w:sz w:val="24"/>
          <w:highlight w:val="none"/>
        </w:rPr>
        <w:t xml:space="preserve"> </w:t>
      </w:r>
      <w:r>
        <w:rPr>
          <w:rFonts w:hint="eastAsia" w:ascii="仿宋" w:hAnsi="仿宋" w:eastAsia="仿宋" w:cs="仿宋"/>
          <w:spacing w:val="-1"/>
          <w:sz w:val="24"/>
          <w:highlight w:val="none"/>
        </w:rPr>
        <w:t>事项做出了答复/没有在</w:t>
      </w:r>
      <w:r>
        <w:rPr>
          <w:rFonts w:hint="eastAsia" w:ascii="仿宋" w:hAnsi="仿宋" w:eastAsia="仿宋" w:cs="仿宋"/>
          <w:sz w:val="24"/>
          <w:highlight w:val="none"/>
        </w:rPr>
        <w:t>法定期限内做出答复。</w:t>
      </w:r>
    </w:p>
    <w:p w14:paraId="10A89EB3">
      <w:pPr>
        <w:spacing w:before="100" w:line="371" w:lineRule="exact"/>
        <w:ind w:left="118" w:hanging="118"/>
        <w:outlineLvl w:val="1"/>
        <w:rPr>
          <w:rFonts w:hint="eastAsia" w:ascii="仿宋" w:hAnsi="仿宋" w:eastAsia="仿宋" w:cs="仿宋"/>
          <w:spacing w:val="-2"/>
          <w:position w:val="1"/>
          <w:sz w:val="24"/>
          <w:highlight w:val="none"/>
        </w:rPr>
      </w:pPr>
      <w:bookmarkStart w:id="139" w:name="_Toc29275"/>
      <w:r>
        <w:rPr>
          <w:rFonts w:hint="eastAsia" w:ascii="仿宋" w:hAnsi="仿宋" w:eastAsia="仿宋" w:cs="仿宋"/>
          <w:spacing w:val="-2"/>
          <w:position w:val="1"/>
          <w:sz w:val="24"/>
          <w:highlight w:val="none"/>
        </w:rPr>
        <w:t>四、投诉事项具体内容</w:t>
      </w:r>
      <w:bookmarkEnd w:id="139"/>
    </w:p>
    <w:p w14:paraId="65A63104">
      <w:pPr>
        <w:spacing w:before="98" w:line="221" w:lineRule="auto"/>
        <w:ind w:left="104" w:hanging="104"/>
        <w:rPr>
          <w:rFonts w:hint="eastAsia" w:ascii="仿宋" w:hAnsi="仿宋" w:eastAsia="仿宋" w:cs="仿宋"/>
          <w:sz w:val="24"/>
          <w:highlight w:val="none"/>
        </w:rPr>
      </w:pPr>
      <w:r>
        <w:rPr>
          <w:rFonts w:hint="eastAsia" w:ascii="仿宋" w:hAnsi="仿宋" w:eastAsia="仿宋" w:cs="仿宋"/>
          <w:spacing w:val="-16"/>
          <w:sz w:val="24"/>
          <w:highlight w:val="none"/>
        </w:rPr>
        <w:t>投</w:t>
      </w:r>
      <w:r>
        <w:rPr>
          <w:rFonts w:hint="eastAsia" w:ascii="仿宋" w:hAnsi="仿宋" w:eastAsia="仿宋" w:cs="仿宋"/>
          <w:spacing w:val="-10"/>
          <w:sz w:val="24"/>
          <w:highlight w:val="none"/>
        </w:rPr>
        <w:t>诉事项 1 ：</w:t>
      </w:r>
      <w:r>
        <w:rPr>
          <w:rFonts w:hint="eastAsia" w:ascii="仿宋" w:hAnsi="仿宋" w:eastAsia="仿宋" w:cs="仿宋"/>
          <w:sz w:val="24"/>
          <w:highlight w:val="none"/>
          <w:u w:val="dotted"/>
        </w:rPr>
        <w:t xml:space="preserve">                                            </w:t>
      </w:r>
    </w:p>
    <w:p w14:paraId="4F9966A2">
      <w:pPr>
        <w:spacing w:before="100" w:line="219" w:lineRule="auto"/>
        <w:ind w:left="116" w:hanging="116"/>
        <w:rPr>
          <w:rFonts w:hint="eastAsia" w:ascii="仿宋" w:hAnsi="仿宋" w:eastAsia="仿宋" w:cs="仿宋"/>
          <w:sz w:val="24"/>
          <w:highlight w:val="none"/>
        </w:rPr>
      </w:pPr>
      <w:r>
        <w:rPr>
          <w:rFonts w:hint="eastAsia" w:ascii="仿宋" w:hAnsi="仿宋" w:eastAsia="仿宋" w:cs="仿宋"/>
          <w:spacing w:val="-4"/>
          <w:sz w:val="24"/>
          <w:highlight w:val="none"/>
        </w:rPr>
        <w:t>事</w:t>
      </w:r>
      <w:r>
        <w:rPr>
          <w:rFonts w:hint="eastAsia" w:ascii="仿宋" w:hAnsi="仿宋" w:eastAsia="仿宋" w:cs="仿宋"/>
          <w:spacing w:val="-2"/>
          <w:sz w:val="24"/>
          <w:highlight w:val="none"/>
        </w:rPr>
        <w:t>实依据：</w:t>
      </w:r>
      <w:r>
        <w:rPr>
          <w:rFonts w:hint="eastAsia" w:ascii="仿宋" w:hAnsi="仿宋" w:eastAsia="仿宋" w:cs="仿宋"/>
          <w:sz w:val="24"/>
          <w:highlight w:val="none"/>
          <w:u w:val="dotted"/>
        </w:rPr>
        <w:t xml:space="preserve">                                             </w:t>
      </w:r>
    </w:p>
    <w:p w14:paraId="0BE95BC9">
      <w:pPr>
        <w:spacing w:before="118" w:line="219" w:lineRule="auto"/>
        <w:ind w:left="116" w:hanging="116"/>
        <w:rPr>
          <w:rFonts w:hint="eastAsia" w:ascii="仿宋" w:hAnsi="仿宋" w:eastAsia="仿宋" w:cs="仿宋"/>
          <w:sz w:val="24"/>
          <w:highlight w:val="none"/>
        </w:rPr>
      </w:pPr>
      <w:r>
        <w:rPr>
          <w:rFonts w:hint="eastAsia" w:ascii="仿宋" w:hAnsi="仿宋" w:eastAsia="仿宋" w:cs="仿宋"/>
          <w:spacing w:val="-4"/>
          <w:sz w:val="24"/>
          <w:highlight w:val="none"/>
        </w:rPr>
        <w:t>法律</w:t>
      </w:r>
      <w:r>
        <w:rPr>
          <w:rFonts w:hint="eastAsia" w:ascii="仿宋" w:hAnsi="仿宋" w:eastAsia="仿宋" w:cs="仿宋"/>
          <w:spacing w:val="-2"/>
          <w:sz w:val="24"/>
          <w:highlight w:val="none"/>
        </w:rPr>
        <w:t>依据：</w:t>
      </w:r>
      <w:r>
        <w:rPr>
          <w:rFonts w:hint="eastAsia" w:ascii="仿宋" w:hAnsi="仿宋" w:eastAsia="仿宋" w:cs="仿宋"/>
          <w:sz w:val="24"/>
          <w:highlight w:val="none"/>
          <w:u w:val="dotted"/>
        </w:rPr>
        <w:t xml:space="preserve">                                             </w:t>
      </w:r>
    </w:p>
    <w:p w14:paraId="40EEC516">
      <w:pPr>
        <w:spacing w:before="118" w:line="437" w:lineRule="exact"/>
        <w:ind w:left="107" w:hanging="107"/>
        <w:rPr>
          <w:rFonts w:hint="eastAsia" w:ascii="仿宋" w:hAnsi="仿宋" w:eastAsia="仿宋" w:cs="仿宋"/>
          <w:sz w:val="24"/>
          <w:highlight w:val="none"/>
        </w:rPr>
      </w:pPr>
      <w:r>
        <w:rPr>
          <w:rFonts w:hint="eastAsia" w:ascii="仿宋" w:hAnsi="仿宋" w:eastAsia="仿宋" w:cs="仿宋"/>
          <w:spacing w:val="-13"/>
          <w:position w:val="11"/>
          <w:sz w:val="24"/>
          <w:highlight w:val="none"/>
        </w:rPr>
        <w:t>投</w:t>
      </w:r>
      <w:r>
        <w:rPr>
          <w:rFonts w:hint="eastAsia" w:ascii="仿宋" w:hAnsi="仿宋" w:eastAsia="仿宋" w:cs="仿宋"/>
          <w:spacing w:val="-12"/>
          <w:position w:val="11"/>
          <w:sz w:val="24"/>
          <w:highlight w:val="none"/>
        </w:rPr>
        <w:t>诉事项 2</w:t>
      </w:r>
    </w:p>
    <w:p w14:paraId="7A46FEAE">
      <w:pPr>
        <w:spacing w:line="437" w:lineRule="exact"/>
        <w:ind w:left="120" w:hanging="120"/>
        <w:rPr>
          <w:rFonts w:hint="eastAsia" w:ascii="仿宋" w:hAnsi="仿宋" w:eastAsia="仿宋" w:cs="仿宋"/>
          <w:sz w:val="24"/>
          <w:highlight w:val="none"/>
        </w:rPr>
      </w:pPr>
      <w:r>
        <w:rPr>
          <w:rFonts w:hint="eastAsia" w:ascii="仿宋" w:hAnsi="仿宋" w:eastAsia="仿宋" w:cs="仿宋"/>
          <w:position w:val="3"/>
          <w:sz w:val="24"/>
          <w:highlight w:val="none"/>
        </w:rPr>
        <w:t>……</w:t>
      </w:r>
    </w:p>
    <w:p w14:paraId="3B61117B">
      <w:pPr>
        <w:spacing w:before="56" w:line="437" w:lineRule="exact"/>
        <w:ind w:left="118" w:hanging="118"/>
        <w:rPr>
          <w:rFonts w:hint="eastAsia" w:ascii="仿宋" w:hAnsi="仿宋" w:eastAsia="仿宋" w:cs="仿宋"/>
          <w:spacing w:val="-1"/>
          <w:position w:val="11"/>
          <w:sz w:val="24"/>
          <w:highlight w:val="none"/>
        </w:rPr>
      </w:pPr>
      <w:r>
        <w:rPr>
          <w:rFonts w:hint="eastAsia" w:ascii="仿宋" w:hAnsi="仿宋" w:eastAsia="仿宋" w:cs="仿宋"/>
          <w:spacing w:val="-2"/>
          <w:position w:val="11"/>
          <w:sz w:val="24"/>
          <w:highlight w:val="none"/>
        </w:rPr>
        <w:t>签字(签</w:t>
      </w:r>
      <w:r>
        <w:rPr>
          <w:rFonts w:hint="eastAsia" w:ascii="仿宋" w:hAnsi="仿宋" w:eastAsia="仿宋" w:cs="仿宋"/>
          <w:spacing w:val="-1"/>
          <w:position w:val="11"/>
          <w:sz w:val="24"/>
          <w:highlight w:val="none"/>
        </w:rPr>
        <w:t xml:space="preserve">章)： </w:t>
      </w:r>
    </w:p>
    <w:p w14:paraId="646C14AF">
      <w:pPr>
        <w:spacing w:before="56" w:line="437" w:lineRule="exact"/>
        <w:ind w:left="100" w:hanging="100"/>
        <w:rPr>
          <w:rFonts w:hint="eastAsia" w:ascii="仿宋" w:hAnsi="仿宋" w:eastAsia="仿宋" w:cs="仿宋"/>
          <w:spacing w:val="-1"/>
          <w:position w:val="11"/>
          <w:sz w:val="24"/>
          <w:highlight w:val="none"/>
        </w:rPr>
      </w:pPr>
      <w:r>
        <w:rPr>
          <w:rFonts w:hint="eastAsia" w:ascii="仿宋" w:hAnsi="仿宋" w:eastAsia="仿宋" w:cs="仿宋"/>
          <w:spacing w:val="-20"/>
          <w:sz w:val="24"/>
          <w:highlight w:val="none"/>
        </w:rPr>
        <w:t>日</w:t>
      </w:r>
      <w:r>
        <w:rPr>
          <w:rFonts w:hint="eastAsia" w:ascii="仿宋" w:hAnsi="仿宋" w:eastAsia="仿宋" w:cs="仿宋"/>
          <w:spacing w:val="-19"/>
          <w:sz w:val="24"/>
          <w:highlight w:val="none"/>
        </w:rPr>
        <w:t>期：</w:t>
      </w:r>
      <w:r>
        <w:rPr>
          <w:rFonts w:hint="eastAsia" w:ascii="仿宋" w:hAnsi="仿宋" w:eastAsia="仿宋" w:cs="仿宋"/>
          <w:spacing w:val="-1"/>
          <w:position w:val="11"/>
          <w:sz w:val="24"/>
          <w:highlight w:val="none"/>
        </w:rPr>
        <w:t xml:space="preserve"> </w:t>
      </w:r>
    </w:p>
    <w:p w14:paraId="4988B094">
      <w:pPr>
        <w:spacing w:line="392" w:lineRule="auto"/>
        <w:ind w:left="120" w:hanging="120"/>
        <w:rPr>
          <w:rFonts w:hint="eastAsia" w:ascii="仿宋" w:hAnsi="仿宋" w:eastAsia="仿宋" w:cs="仿宋"/>
          <w:sz w:val="24"/>
          <w:highlight w:val="none"/>
        </w:rPr>
      </w:pPr>
    </w:p>
    <w:p w14:paraId="1D62F06A">
      <w:pPr>
        <w:keepNext w:val="0"/>
        <w:keepLines w:val="0"/>
        <w:pageBreakBefore w:val="0"/>
        <w:widowControl w:val="0"/>
        <w:kinsoku/>
        <w:wordWrap/>
        <w:overflowPunct/>
        <w:topLinePunct w:val="0"/>
        <w:autoSpaceDE/>
        <w:autoSpaceDN/>
        <w:bidi w:val="0"/>
        <w:adjustRightInd/>
        <w:snapToGrid/>
        <w:spacing w:before="91" w:line="360" w:lineRule="auto"/>
        <w:ind w:left="0" w:firstLine="472" w:firstLineChars="200"/>
        <w:textAlignment w:val="auto"/>
        <w:rPr>
          <w:rFonts w:hint="eastAsia" w:ascii="仿宋" w:hAnsi="仿宋" w:eastAsia="仿宋" w:cs="仿宋"/>
          <w:sz w:val="24"/>
          <w:highlight w:val="none"/>
        </w:rPr>
      </w:pPr>
      <w:r>
        <w:rPr>
          <w:rFonts w:hint="eastAsia" w:ascii="仿宋" w:hAnsi="仿宋" w:eastAsia="仿宋" w:cs="仿宋"/>
          <w:spacing w:val="-2"/>
          <w:sz w:val="24"/>
          <w:highlight w:val="none"/>
        </w:rPr>
        <w:t>投诉书制作说</w:t>
      </w:r>
      <w:r>
        <w:rPr>
          <w:rFonts w:hint="eastAsia" w:ascii="仿宋" w:hAnsi="仿宋" w:eastAsia="仿宋" w:cs="仿宋"/>
          <w:spacing w:val="-1"/>
          <w:sz w:val="24"/>
          <w:highlight w:val="none"/>
        </w:rPr>
        <w:t>明：</w:t>
      </w:r>
    </w:p>
    <w:p w14:paraId="6068EA08">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1.投诉人提起投诉时，应当提交投诉书和必要的证明材料，并按 照被投诉人和与投诉事项有关的供应商数量提供投诉书副本。</w:t>
      </w:r>
    </w:p>
    <w:p w14:paraId="5CDE1CEF">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33A08862">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3.投诉人若对项目的某一分包进行投诉，投诉书中应列明具体分 包号。</w:t>
      </w:r>
    </w:p>
    <w:p w14:paraId="0F79948B">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4.投诉书应简要列明质疑事项，质疑函、质疑答复等作为附件材 料提供。</w:t>
      </w:r>
    </w:p>
    <w:p w14:paraId="138061E3">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5.投诉书的投诉事项应具体、明确，并有必要的事实依据和法律 依据。</w:t>
      </w:r>
    </w:p>
    <w:p w14:paraId="564B910B">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6.投诉书的投诉请求应与投诉事项相关。</w:t>
      </w:r>
    </w:p>
    <w:p w14:paraId="518FEFEE">
      <w:pPr>
        <w:keepNext w:val="0"/>
        <w:keepLines w:val="0"/>
        <w:pageBreakBefore w:val="0"/>
        <w:widowControl w:val="0"/>
        <w:kinsoku/>
        <w:wordWrap/>
        <w:overflowPunct/>
        <w:topLinePunct w:val="0"/>
        <w:autoSpaceDE/>
        <w:autoSpaceDN/>
        <w:bidi w:val="0"/>
        <w:adjustRightInd/>
        <w:snapToGrid/>
        <w:spacing w:before="31" w:line="360" w:lineRule="auto"/>
        <w:ind w:left="0" w:firstLine="472" w:firstLineChars="200"/>
        <w:textAlignment w:val="auto"/>
        <w:rPr>
          <w:rFonts w:hint="eastAsia" w:ascii="仿宋" w:hAnsi="仿宋" w:eastAsia="仿宋" w:cs="仿宋"/>
          <w:spacing w:val="-2"/>
          <w:sz w:val="24"/>
          <w:highlight w:val="none"/>
        </w:rPr>
      </w:pPr>
      <w:r>
        <w:rPr>
          <w:rFonts w:hint="eastAsia" w:ascii="仿宋" w:hAnsi="仿宋" w:eastAsia="仿宋" w:cs="仿宋"/>
          <w:spacing w:val="-2"/>
          <w:sz w:val="24"/>
          <w:highlight w:val="none"/>
        </w:rPr>
        <w:t>7.投诉人为自然人的，投诉书应由本人签字；投诉人为法人或者 其他组织的，投诉书应当由法定代表人、主要负责人，或者其授权代 表签字或者盖章，并加盖公章。</w:t>
      </w:r>
    </w:p>
    <w:p w14:paraId="43D54D49">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kern w:val="0"/>
          <w:sz w:val="30"/>
          <w:szCs w:val="30"/>
          <w:highlight w:val="none"/>
        </w:rPr>
      </w:pPr>
      <w:bookmarkStart w:id="140" w:name="_Toc14266"/>
      <w:r>
        <w:rPr>
          <w:rFonts w:hint="eastAsia" w:ascii="仿宋" w:hAnsi="仿宋" w:eastAsia="仿宋" w:cs="仿宋"/>
          <w:b/>
          <w:sz w:val="30"/>
          <w:szCs w:val="30"/>
          <w:highlight w:val="none"/>
        </w:rPr>
        <w:t>八、项目验收</w:t>
      </w:r>
      <w:bookmarkEnd w:id="92"/>
      <w:bookmarkEnd w:id="93"/>
      <w:bookmarkEnd w:id="94"/>
      <w:bookmarkEnd w:id="95"/>
      <w:bookmarkEnd w:id="96"/>
      <w:bookmarkEnd w:id="120"/>
      <w:bookmarkEnd w:id="121"/>
      <w:bookmarkEnd w:id="126"/>
      <w:bookmarkEnd w:id="140"/>
    </w:p>
    <w:p w14:paraId="5FE9EF07">
      <w:pPr>
        <w:pStyle w:val="14"/>
        <w:wordWrap w:val="0"/>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8.1</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按照政府采购合同规定的技术、服务、安全标准对供应商履约情况进行验收，并出具验收书。验收书包括每一项技术、服务、安全标准的履约情况。</w:t>
      </w:r>
    </w:p>
    <w:p w14:paraId="65C36CD6">
      <w:pPr>
        <w:pStyle w:val="14"/>
        <w:wordWrap w:val="0"/>
        <w:topLinePunct/>
        <w:spacing w:line="460" w:lineRule="exact"/>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8.2验收标准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磋商文件、响应文件、政府采购合同规定的标准。</w:t>
      </w:r>
      <w:bookmarkStart w:id="141" w:name="_Toc293736018"/>
      <w:bookmarkStart w:id="142" w:name="_Toc446599318"/>
      <w:bookmarkStart w:id="143" w:name="_Toc6671"/>
      <w:bookmarkStart w:id="144" w:name="_Toc28499"/>
      <w:bookmarkStart w:id="145" w:name="_Toc293736061"/>
      <w:bookmarkStart w:id="146" w:name="_Toc293738999"/>
    </w:p>
    <w:p w14:paraId="747E702D">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sz w:val="30"/>
          <w:szCs w:val="30"/>
          <w:highlight w:val="none"/>
        </w:rPr>
      </w:pPr>
      <w:bookmarkStart w:id="147" w:name="_Toc22193"/>
      <w:bookmarkStart w:id="148" w:name="_Toc24781"/>
      <w:r>
        <w:rPr>
          <w:rFonts w:hint="eastAsia" w:ascii="仿宋" w:hAnsi="仿宋" w:eastAsia="仿宋" w:cs="仿宋"/>
          <w:b/>
          <w:sz w:val="30"/>
          <w:szCs w:val="30"/>
          <w:highlight w:val="none"/>
        </w:rPr>
        <w:t>九、适用法律</w:t>
      </w:r>
      <w:bookmarkEnd w:id="141"/>
      <w:bookmarkEnd w:id="142"/>
      <w:bookmarkEnd w:id="143"/>
      <w:bookmarkEnd w:id="144"/>
      <w:bookmarkEnd w:id="145"/>
      <w:bookmarkEnd w:id="146"/>
      <w:bookmarkEnd w:id="147"/>
      <w:bookmarkEnd w:id="148"/>
    </w:p>
    <w:p w14:paraId="0F6EDBBF">
      <w:pPr>
        <w:pStyle w:val="14"/>
        <w:wordWrap w:val="0"/>
        <w:topLinePunct/>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9.1招标</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和供应商的一切招标投标活动均适用于《政府采购法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政府采购实施条例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政府采购竞争性磋商采购方式管理办法》等相关规定。</w:t>
      </w:r>
    </w:p>
    <w:p w14:paraId="0F5A2BD5">
      <w:pPr>
        <w:pStyle w:val="14"/>
        <w:autoSpaceDE w:val="0"/>
        <w:autoSpaceDN w:val="0"/>
        <w:spacing w:line="500" w:lineRule="exact"/>
        <w:ind w:left="480" w:right="32" w:hanging="480" w:hangingChars="200"/>
        <w:contextualSpacing/>
        <w:rPr>
          <w:rFonts w:hint="eastAsia" w:ascii="仿宋" w:hAnsi="仿宋" w:eastAsia="仿宋" w:cs="仿宋"/>
          <w:sz w:val="24"/>
          <w:szCs w:val="24"/>
          <w:highlight w:val="none"/>
        </w:rPr>
      </w:pPr>
    </w:p>
    <w:p w14:paraId="0CFA91D8">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sz w:val="30"/>
          <w:szCs w:val="30"/>
          <w:highlight w:val="none"/>
        </w:rPr>
      </w:pPr>
      <w:bookmarkStart w:id="149" w:name="_Toc9477"/>
      <w:bookmarkStart w:id="150" w:name="_Toc20211"/>
      <w:bookmarkStart w:id="151" w:name="_Toc26356"/>
      <w:bookmarkStart w:id="152" w:name="_Toc278891599"/>
      <w:bookmarkStart w:id="153" w:name="_Toc21968"/>
      <w:bookmarkStart w:id="154" w:name="_Toc437611460"/>
      <w:bookmarkStart w:id="155" w:name="_Toc272247702"/>
      <w:bookmarkStart w:id="156" w:name="_Toc446599319"/>
      <w:r>
        <w:rPr>
          <w:rFonts w:hint="eastAsia" w:ascii="仿宋" w:hAnsi="仿宋" w:eastAsia="仿宋" w:cs="仿宋"/>
          <w:b/>
          <w:sz w:val="30"/>
          <w:szCs w:val="30"/>
          <w:highlight w:val="none"/>
        </w:rPr>
        <w:t>十、磋商文件的解释权</w:t>
      </w:r>
      <w:bookmarkEnd w:id="149"/>
      <w:bookmarkEnd w:id="150"/>
      <w:bookmarkEnd w:id="151"/>
      <w:bookmarkEnd w:id="152"/>
      <w:bookmarkEnd w:id="153"/>
      <w:bookmarkEnd w:id="154"/>
      <w:bookmarkEnd w:id="155"/>
      <w:bookmarkEnd w:id="156"/>
    </w:p>
    <w:p w14:paraId="29368D6D">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10.1本项目磋商文件的最终解释权为墨玉县众信智诚工程项目管理有限公司所有。</w:t>
      </w:r>
      <w:bookmarkStart w:id="157" w:name="_Toc437611461"/>
      <w:bookmarkStart w:id="158" w:name="_Toc21207"/>
      <w:bookmarkStart w:id="159" w:name="_Toc15447"/>
      <w:bookmarkStart w:id="160" w:name="_Toc446599320"/>
    </w:p>
    <w:p w14:paraId="6EC23344">
      <w:pPr>
        <w:pStyle w:val="14"/>
        <w:keepNext/>
        <w:keepLines/>
        <w:adjustRightInd w:val="0"/>
        <w:snapToGrid w:val="0"/>
        <w:spacing w:before="260" w:after="260" w:line="500" w:lineRule="exact"/>
        <w:ind w:left="-88" w:leftChars="-42"/>
        <w:contextualSpacing/>
        <w:jc w:val="center"/>
        <w:outlineLvl w:val="1"/>
        <w:rPr>
          <w:rFonts w:hint="eastAsia" w:ascii="仿宋" w:hAnsi="仿宋" w:eastAsia="仿宋" w:cs="仿宋"/>
          <w:b/>
          <w:sz w:val="30"/>
          <w:szCs w:val="30"/>
          <w:highlight w:val="none"/>
        </w:rPr>
      </w:pPr>
      <w:bookmarkStart w:id="161" w:name="_Toc8558"/>
      <w:bookmarkStart w:id="162" w:name="_Toc2453"/>
      <w:r>
        <w:rPr>
          <w:rFonts w:hint="eastAsia" w:ascii="仿宋" w:hAnsi="仿宋" w:eastAsia="仿宋" w:cs="仿宋"/>
          <w:b/>
          <w:sz w:val="30"/>
          <w:szCs w:val="30"/>
          <w:highlight w:val="none"/>
        </w:rPr>
        <w:t>十一、其他注意事项</w:t>
      </w:r>
      <w:bookmarkEnd w:id="157"/>
      <w:bookmarkEnd w:id="158"/>
      <w:bookmarkEnd w:id="159"/>
      <w:bookmarkEnd w:id="160"/>
      <w:bookmarkEnd w:id="161"/>
      <w:bookmarkEnd w:id="162"/>
    </w:p>
    <w:p w14:paraId="5CEDFDA2">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11.1单位负责人为同一人或者存在直接控股、管理关系的不同供应商，不得参加同一合同项下的政府采购活动。</w:t>
      </w:r>
    </w:p>
    <w:p w14:paraId="188EDC3F">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11.2政府采购法第二十二条第一款第五项所称重大违法记录，是指供应商因违法经营受到刑事处罚或者责令停产停业、吊销许可证或者执照、较大数额罚款等行政处罚。</w:t>
      </w:r>
    </w:p>
    <w:p w14:paraId="2C8A505F">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11.3按照财政部《关于规范政府采购行政处罚有关问题的通知》的规定，各级人民政府财政部门依法对参加政府采购活动的供应商作出的禁止参加政府采购活动等行政处罚决定在全国范围内生效。</w:t>
      </w:r>
    </w:p>
    <w:p w14:paraId="584C82FC">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11.4供应商在参加政府采购活动前3年内因违法经营被禁止在一定期限内参加政府采购活动，期限届满的，可以参加政府采购活动。</w:t>
      </w:r>
    </w:p>
    <w:p w14:paraId="7E4D9A75">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11.5出现下列情形之一的，采购人或者采购代理机构应当终止竞争性磋商采购活动，发布项目终止公告并说明原因，重新开展采购活动：</w:t>
      </w:r>
    </w:p>
    <w:p w14:paraId="1655EEE2">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（1）因情况变化，不再符合规定的竞争性磋商采购方式适用情形的；</w:t>
      </w:r>
    </w:p>
    <w:p w14:paraId="3A950152">
      <w:pPr>
        <w:pStyle w:val="14"/>
        <w:spacing w:line="460" w:lineRule="exact"/>
        <w:ind w:firstLine="484" w:firstLineChars="202"/>
        <w:jc w:val="left"/>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（2）出现影响采购公正的违法、违规行为的；</w:t>
      </w:r>
    </w:p>
    <w:p w14:paraId="3087C546">
      <w:pPr>
        <w:pStyle w:val="14"/>
        <w:spacing w:line="460" w:lineRule="exact"/>
        <w:ind w:firstLine="484" w:firstLineChars="202"/>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（3）除政府采购竞争性磋商采购方式管理暂行办法第二十一条第三款规定的情形外，在采购过程中符合要求的供应商或者报价未超过采购预算的供应商不足3家的。</w:t>
      </w:r>
    </w:p>
    <w:p w14:paraId="35A0A6F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仿宋" w:hAnsi="仿宋" w:eastAsia="仿宋" w:cs="仿宋"/>
          <w:b/>
          <w:bCs w:val="0"/>
          <w:sz w:val="36"/>
          <w:szCs w:val="36"/>
          <w:highlight w:val="none"/>
        </w:rPr>
      </w:pPr>
      <w:r>
        <w:rPr>
          <w:rFonts w:hint="eastAsia" w:ascii="仿宋" w:hAnsi="仿宋" w:eastAsia="仿宋" w:cs="仿宋"/>
          <w:sz w:val="24"/>
          <w:szCs w:val="24"/>
          <w:highlight w:val="none"/>
        </w:rPr>
        <w:t>11.6在采购活动中因重大变故，采购任务取消的，采购人或者采购代理机构应当终止采购活动，通知所有参加采购活动的供应商，并将项目实施情况和采购任务取消原因报送本级财政部门。</w:t>
      </w:r>
      <w:r>
        <w:rPr>
          <w:rFonts w:hint="eastAsia" w:ascii="仿宋" w:hAnsi="仿宋" w:eastAsia="仿宋" w:cs="仿宋"/>
          <w:b/>
          <w:bCs w:val="0"/>
          <w:sz w:val="36"/>
          <w:szCs w:val="36"/>
          <w:highlight w:val="none"/>
        </w:rPr>
        <w:br w:type="page"/>
      </w:r>
    </w:p>
    <w:p w14:paraId="27E9E344">
      <w:pPr>
        <w:numPr>
          <w:ilvl w:val="0"/>
          <w:numId w:val="4"/>
        </w:numPr>
        <w:bidi w:val="0"/>
        <w:jc w:val="center"/>
        <w:outlineLvl w:val="0"/>
        <w:rPr>
          <w:rFonts w:hint="eastAsia" w:ascii="仿宋" w:hAnsi="仿宋" w:eastAsia="仿宋" w:cs="仿宋"/>
          <w:b/>
          <w:bCs w:val="0"/>
          <w:sz w:val="36"/>
          <w:szCs w:val="36"/>
          <w:highlight w:val="none"/>
        </w:rPr>
      </w:pPr>
      <w:bookmarkStart w:id="163" w:name="_Toc18146"/>
      <w:bookmarkStart w:id="164" w:name="_Toc9074"/>
      <w:bookmarkStart w:id="165" w:name="_Toc10767"/>
      <w:r>
        <w:rPr>
          <w:rFonts w:hint="eastAsia" w:ascii="仿宋" w:hAnsi="仿宋" w:eastAsia="仿宋" w:cs="仿宋"/>
          <w:b/>
          <w:bCs w:val="0"/>
          <w:sz w:val="36"/>
          <w:szCs w:val="36"/>
          <w:highlight w:val="none"/>
        </w:rPr>
        <w:t>采购需求</w:t>
      </w:r>
      <w:bookmarkEnd w:id="163"/>
      <w:bookmarkEnd w:id="164"/>
      <w:bookmarkEnd w:id="165"/>
    </w:p>
    <w:p w14:paraId="2DDFDB67">
      <w:pPr>
        <w:numPr>
          <w:ilvl w:val="0"/>
          <w:numId w:val="0"/>
        </w:numPr>
        <w:bidi w:val="0"/>
        <w:jc w:val="both"/>
        <w:outlineLvl w:val="0"/>
        <w:rPr>
          <w:rFonts w:hint="eastAsia" w:ascii="仿宋" w:hAnsi="仿宋" w:eastAsia="仿宋" w:cs="仿宋"/>
          <w:b/>
          <w:bCs w:val="0"/>
          <w:sz w:val="36"/>
          <w:szCs w:val="36"/>
          <w:highlight w:val="none"/>
        </w:rPr>
      </w:pPr>
    </w:p>
    <w:bookmarkEnd w:id="8"/>
    <w:bookmarkEnd w:id="45"/>
    <w:bookmarkEnd w:id="46"/>
    <w:p w14:paraId="5448569C">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rPr>
      </w:pPr>
      <w:bookmarkStart w:id="166" w:name="_Toc532543566"/>
      <w:bookmarkStart w:id="167" w:name="_Toc531075010"/>
      <w:bookmarkStart w:id="168" w:name="_Toc293736020"/>
      <w:bookmarkStart w:id="169" w:name="_Toc10724"/>
      <w:bookmarkStart w:id="170" w:name="_Toc446599322"/>
      <w:bookmarkStart w:id="171" w:name="_Toc293736063"/>
      <w:bookmarkStart w:id="172" w:name="_Toc293739001"/>
      <w:r>
        <w:rPr>
          <w:rFonts w:hint="eastAsia" w:ascii="仿宋" w:hAnsi="仿宋" w:eastAsia="仿宋" w:cs="仿宋"/>
          <w:b/>
          <w:sz w:val="30"/>
          <w:szCs w:val="30"/>
          <w:highlight w:val="none"/>
        </w:rPr>
        <w:t>一、项目背景</w:t>
      </w:r>
    </w:p>
    <w:p w14:paraId="030820DA">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按照《关于</w:t>
      </w:r>
      <w:r>
        <w:rPr>
          <w:rFonts w:hint="eastAsia" w:ascii="仿宋" w:hAnsi="仿宋" w:eastAsia="仿宋" w:cs="仿宋"/>
          <w:sz w:val="24"/>
          <w:szCs w:val="24"/>
          <w:highlight w:val="none"/>
          <w:lang w:eastAsia="zh-CN"/>
        </w:rPr>
        <w:t>墨玉县卫健系统邀请专家进行临床执业(助理)医师能力提升培训</w:t>
      </w:r>
      <w:r>
        <w:rPr>
          <w:rFonts w:hint="eastAsia" w:ascii="仿宋" w:hAnsi="仿宋" w:eastAsia="仿宋" w:cs="仿宋"/>
          <w:sz w:val="24"/>
          <w:szCs w:val="24"/>
          <w:highlight w:val="none"/>
        </w:rPr>
        <w:t>实施方案的批复》墨援组办(2025)17号文件要求，为进一步提升执业(助理)医师的专业技能、临床诊疗水平及职业素养，规范医疗服务行为，开展系统化、标准化的执业(助理)医师培训项目(</w:t>
      </w:r>
      <w:r>
        <w:rPr>
          <w:rFonts w:hint="eastAsia" w:ascii="仿宋" w:hAnsi="仿宋" w:eastAsia="仿宋" w:cs="仿宋"/>
          <w:sz w:val="24"/>
          <w:szCs w:val="24"/>
          <w:highlight w:val="none"/>
          <w:lang w:eastAsia="zh-CN"/>
        </w:rPr>
        <w:t>墨玉县卫健系统邀请专家进行临床执业(助理)医师能力提升培训</w:t>
      </w:r>
      <w:r>
        <w:rPr>
          <w:rFonts w:hint="eastAsia" w:ascii="仿宋" w:hAnsi="仿宋" w:eastAsia="仿宋" w:cs="仿宋"/>
          <w:sz w:val="24"/>
          <w:szCs w:val="24"/>
          <w:highlight w:val="none"/>
        </w:rPr>
        <w:t>)。通过政府购买服务的方式，以竞争性磋商形式公开遴选专业培训机构，开展系统性、针对性的医师培训项目，全面提升医师临床诊疗能力、法律合规意识和职业资格考试通过率，夯实基层医疗卫生服务人才基础。</w:t>
      </w:r>
    </w:p>
    <w:p w14:paraId="2B0B64EB">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二</w:t>
      </w:r>
      <w:r>
        <w:rPr>
          <w:rFonts w:hint="eastAsia" w:ascii="仿宋" w:hAnsi="仿宋" w:eastAsia="仿宋" w:cs="仿宋"/>
          <w:b/>
          <w:sz w:val="30"/>
          <w:szCs w:val="30"/>
          <w:highlight w:val="none"/>
        </w:rPr>
        <w:t>、培训目标</w:t>
      </w:r>
    </w:p>
    <w:p w14:paraId="396817C9">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确保参训医师熟练掌握临床诊疗规范、最新医学指南及操作标准;针对未取得执业(助理)医师资格证书的参训人员，实现考试通过率较上年度提升10%以上;强化医师对医疗卫生法律法规、医疗伦理的认知，杜绝因专业能力不足或法律意识淡薄导致的违规执业行为。</w:t>
      </w:r>
    </w:p>
    <w:p w14:paraId="6F81B288">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三</w:t>
      </w:r>
      <w:r>
        <w:rPr>
          <w:rFonts w:hint="eastAsia" w:ascii="仿宋" w:hAnsi="仿宋" w:eastAsia="仿宋" w:cs="仿宋"/>
          <w:b/>
          <w:sz w:val="30"/>
          <w:szCs w:val="30"/>
          <w:highlight w:val="none"/>
        </w:rPr>
        <w:t>、培训对象</w:t>
      </w:r>
    </w:p>
    <w:p w14:paraId="5243A036">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执业医师、执业助理医师，参训人数200人(具体以实际报名为准)。</w:t>
      </w:r>
    </w:p>
    <w:p w14:paraId="5A90C2A9">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四</w:t>
      </w:r>
      <w:r>
        <w:rPr>
          <w:rFonts w:hint="eastAsia" w:ascii="仿宋" w:hAnsi="仿宋" w:eastAsia="仿宋" w:cs="仿宋"/>
          <w:b/>
          <w:sz w:val="30"/>
          <w:szCs w:val="30"/>
          <w:highlight w:val="none"/>
        </w:rPr>
        <w:t>、培训形式</w:t>
      </w:r>
    </w:p>
    <w:p w14:paraId="42F5D681">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配备标准化实训场地及模拟教具，组织集中面授、分组实操及案例研讨，考前冲刺，强化应试技巧与知识巩固，</w:t>
      </w:r>
      <w:r>
        <w:rPr>
          <w:rFonts w:hint="eastAsia" w:ascii="仿宋" w:hAnsi="仿宋" w:eastAsia="仿宋" w:cs="仿宋"/>
          <w:sz w:val="24"/>
          <w:szCs w:val="24"/>
          <w:highlight w:val="none"/>
          <w:lang w:val="en-US" w:eastAsia="zh-CN"/>
        </w:rPr>
        <w:t>每人</w:t>
      </w:r>
      <w:r>
        <w:rPr>
          <w:rFonts w:hint="eastAsia" w:ascii="仿宋" w:hAnsi="仿宋" w:eastAsia="仿宋" w:cs="仿宋"/>
          <w:sz w:val="24"/>
          <w:szCs w:val="24"/>
          <w:highlight w:val="none"/>
        </w:rPr>
        <w:t>集中培训时</w:t>
      </w:r>
      <w:r>
        <w:rPr>
          <w:rFonts w:hint="eastAsia" w:ascii="仿宋" w:hAnsi="仿宋" w:eastAsia="仿宋" w:cs="仿宋"/>
          <w:sz w:val="24"/>
          <w:szCs w:val="24"/>
          <w:highlight w:val="none"/>
          <w:lang w:val="en-US" w:eastAsia="zh-CN"/>
        </w:rPr>
        <w:t>长</w:t>
      </w:r>
      <w:r>
        <w:rPr>
          <w:rFonts w:hint="eastAsia" w:ascii="仿宋" w:hAnsi="仿宋" w:eastAsia="仿宋" w:cs="仿宋"/>
          <w:sz w:val="24"/>
          <w:szCs w:val="24"/>
          <w:highlight w:val="none"/>
        </w:rPr>
        <w:t>不少于28天，1天8学时。</w:t>
      </w:r>
    </w:p>
    <w:p w14:paraId="4D8BEEE3">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五</w:t>
      </w:r>
      <w:r>
        <w:rPr>
          <w:rFonts w:hint="eastAsia" w:ascii="仿宋" w:hAnsi="仿宋" w:eastAsia="仿宋" w:cs="仿宋"/>
          <w:b/>
          <w:sz w:val="30"/>
          <w:szCs w:val="30"/>
          <w:highlight w:val="none"/>
        </w:rPr>
        <w:t>、项目周期</w:t>
      </w:r>
    </w:p>
    <w:p w14:paraId="3864B059">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自合同签订之日起1个月内完成全部培训工作。</w:t>
      </w:r>
    </w:p>
    <w:p w14:paraId="1FE1A722">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t>七、预算控制</w:t>
      </w:r>
    </w:p>
    <w:p w14:paraId="57B76C62">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本项目预算金额为人民币72万元，投标人报价不得超过预算上限。合同签订后预付60%，完成全部培训任务后支付40%;项目资金来源为援疆项目资金。</w:t>
      </w:r>
    </w:p>
    <w:p w14:paraId="43A86793">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t>八、投标人资质要求</w:t>
      </w:r>
    </w:p>
    <w:p w14:paraId="6C8B9428">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理论授课教师须具备副高级及以上医学专业技术职称或三甲医院5年以上临床工作经验;执业资格考试辅导教师须具有连续3年以上医师资格考试培训经验。</w:t>
      </w:r>
    </w:p>
    <w:p w14:paraId="71528DE3">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t>九、投标人资质要求</w:t>
      </w:r>
    </w:p>
    <w:p w14:paraId="191273B9">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1.具有独立承担民事责任能力的法人或其他组织;</w:t>
      </w:r>
    </w:p>
    <w:p w14:paraId="19D45884">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2.具备医学教育培训相关资质，近三年承担过同类医师培训项目;</w:t>
      </w:r>
    </w:p>
    <w:p w14:paraId="41685A6E">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3.无违法违规记录，信用状况良好;</w:t>
      </w:r>
    </w:p>
    <w:p w14:paraId="1913613A">
      <w:pPr>
        <w:spacing w:line="460" w:lineRule="exact"/>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4.法律、行政法规规定的其他条件</w:t>
      </w:r>
      <w:r>
        <w:rPr>
          <w:rFonts w:hint="eastAsia" w:ascii="仿宋" w:hAnsi="仿宋" w:eastAsia="仿宋" w:cs="仿宋"/>
          <w:sz w:val="24"/>
          <w:szCs w:val="24"/>
          <w:highlight w:val="none"/>
          <w:lang w:eastAsia="zh-CN"/>
        </w:rPr>
        <w:t>；</w:t>
      </w:r>
    </w:p>
    <w:p w14:paraId="361350FB">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t>十、投标文件要求</w:t>
      </w:r>
    </w:p>
    <w:p w14:paraId="7F4F3C3F">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1.公司资质证明(营业执照、办学许可证等);</w:t>
      </w:r>
    </w:p>
    <w:p w14:paraId="662A544B">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2.培训方案(含课程设置、师资介绍、教学计划等):</w:t>
      </w:r>
    </w:p>
    <w:p w14:paraId="7DEDEB27">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3.服务承诺及质量保障措施;</w:t>
      </w:r>
    </w:p>
    <w:p w14:paraId="2A884EA9">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4.类似项目业绩证明及学员评价材料;</w:t>
      </w:r>
    </w:p>
    <w:p w14:paraId="61BE2A33">
      <w:pPr>
        <w:spacing w:line="460" w:lineRule="exact"/>
        <w:ind w:firstLine="480" w:firstLineChars="200"/>
        <w:jc w:val="both"/>
        <w:outlineLvl w:val="9"/>
        <w:rPr>
          <w:rFonts w:hint="eastAsia" w:ascii="仿宋" w:hAnsi="仿宋" w:eastAsia="仿宋" w:cs="仿宋"/>
          <w:b/>
          <w:bCs/>
          <w:sz w:val="44"/>
          <w:szCs w:val="44"/>
          <w:highlight w:val="none"/>
        </w:rPr>
      </w:pPr>
      <w:r>
        <w:rPr>
          <w:rFonts w:hint="eastAsia" w:ascii="仿宋" w:hAnsi="仿宋" w:eastAsia="仿宋" w:cs="仿宋"/>
          <w:sz w:val="24"/>
          <w:szCs w:val="24"/>
          <w:highlight w:val="none"/>
        </w:rPr>
        <w:t>5.报价明细及预算说明。</w:t>
      </w:r>
      <w:r>
        <w:rPr>
          <w:rFonts w:hint="eastAsia" w:ascii="仿宋" w:hAnsi="仿宋" w:eastAsia="仿宋" w:cs="仿宋"/>
          <w:b/>
          <w:bCs/>
          <w:sz w:val="44"/>
          <w:szCs w:val="44"/>
          <w:highlight w:val="none"/>
        </w:rPr>
        <w:br w:type="page"/>
      </w:r>
      <w:bookmarkStart w:id="173" w:name="_Toc6209"/>
      <w:bookmarkStart w:id="174" w:name="_Toc19486"/>
      <w:bookmarkStart w:id="175" w:name="_Toc12266"/>
      <w:bookmarkStart w:id="176" w:name="_Toc8515"/>
    </w:p>
    <w:p w14:paraId="6CE82002">
      <w:pPr>
        <w:spacing w:line="460" w:lineRule="exact"/>
        <w:jc w:val="center"/>
        <w:outlineLvl w:val="9"/>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第四章 评审方法</w:t>
      </w:r>
      <w:bookmarkEnd w:id="166"/>
      <w:bookmarkEnd w:id="167"/>
      <w:bookmarkEnd w:id="168"/>
      <w:bookmarkEnd w:id="169"/>
      <w:bookmarkEnd w:id="170"/>
      <w:bookmarkEnd w:id="171"/>
      <w:bookmarkEnd w:id="172"/>
      <w:bookmarkEnd w:id="173"/>
      <w:bookmarkEnd w:id="174"/>
      <w:bookmarkEnd w:id="175"/>
      <w:bookmarkEnd w:id="176"/>
      <w:bookmarkStart w:id="177" w:name="_Toc293736067"/>
      <w:bookmarkStart w:id="178" w:name="_Toc446599330"/>
      <w:bookmarkStart w:id="179" w:name="_Toc293736024"/>
      <w:bookmarkStart w:id="180" w:name="_Toc293739005"/>
    </w:p>
    <w:p w14:paraId="77A7CE9B">
      <w:pPr>
        <w:tabs>
          <w:tab w:val="left" w:pos="420"/>
          <w:tab w:val="left" w:pos="7560"/>
          <w:tab w:val="left" w:pos="7740"/>
          <w:tab w:val="left" w:pos="7920"/>
        </w:tabs>
        <w:adjustRightInd w:val="0"/>
        <w:snapToGrid w:val="0"/>
        <w:spacing w:line="460" w:lineRule="exact"/>
        <w:outlineLvl w:val="1"/>
        <w:rPr>
          <w:rFonts w:hint="eastAsia" w:ascii="仿宋" w:hAnsi="仿宋" w:eastAsia="仿宋" w:cs="仿宋"/>
          <w:b/>
          <w:sz w:val="30"/>
          <w:szCs w:val="30"/>
          <w:highlight w:val="none"/>
        </w:rPr>
      </w:pPr>
      <w:bookmarkStart w:id="181" w:name="_Toc7367"/>
      <w:r>
        <w:rPr>
          <w:rFonts w:hint="eastAsia" w:ascii="仿宋" w:hAnsi="仿宋" w:eastAsia="仿宋" w:cs="仿宋"/>
          <w:b/>
          <w:sz w:val="30"/>
          <w:szCs w:val="30"/>
          <w:highlight w:val="none"/>
        </w:rPr>
        <w:t>一、综合评分</w:t>
      </w:r>
      <w:bookmarkEnd w:id="181"/>
    </w:p>
    <w:p w14:paraId="67EE009A">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1、经磋商确定最终采购需求和提交最后报价的供应商后，由磋商小组采用综合评分法对提交最后报价的供应商的响应文件和最后报价进行综合评分。</w:t>
      </w:r>
    </w:p>
    <w:p w14:paraId="08276FEF">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综合评分法，是指响应文件满足磋商文件全部实质性要求且按评审因素的量化指标评审得分最高的供应商为成交候选供应商的评审方法。</w:t>
      </w:r>
    </w:p>
    <w:p w14:paraId="0C3CA4D7">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2、评审时，磋商小组各成员应当独立对每个有效响应的文件进行评价、打分，然后汇总每个供应商每项评分因素的得分。</w:t>
      </w:r>
    </w:p>
    <w:p w14:paraId="2E3C1A45">
      <w:pPr>
        <w:spacing w:line="4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07D56A98">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 w:hAnsi="仿宋" w:eastAsia="仿宋" w:cs="仿宋"/>
          <w:b/>
          <w:bCs/>
          <w:sz w:val="30"/>
          <w:szCs w:val="30"/>
          <w:highlight w:val="none"/>
          <w:lang w:eastAsia="zh-CN"/>
        </w:rPr>
      </w:pPr>
      <w:bookmarkStart w:id="182" w:name="_Toc26326"/>
      <w:r>
        <w:rPr>
          <w:rFonts w:hint="eastAsia" w:ascii="仿宋" w:hAnsi="仿宋" w:eastAsia="仿宋" w:cs="仿宋"/>
          <w:b/>
          <w:bCs/>
          <w:sz w:val="30"/>
          <w:szCs w:val="30"/>
          <w:highlight w:val="none"/>
        </w:rPr>
        <w:t>二、</w:t>
      </w:r>
      <w:bookmarkEnd w:id="182"/>
      <w:r>
        <w:rPr>
          <w:rFonts w:hint="eastAsia" w:ascii="仿宋" w:hAnsi="仿宋" w:eastAsia="仿宋" w:cs="仿宋"/>
          <w:b/>
          <w:bCs/>
          <w:sz w:val="30"/>
          <w:szCs w:val="30"/>
          <w:highlight w:val="none"/>
          <w:lang w:val="en-US" w:eastAsia="zh-CN"/>
        </w:rPr>
        <w:t>资格性审查</w:t>
      </w:r>
    </w:p>
    <w:tbl>
      <w:tblPr>
        <w:tblStyle w:val="6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2079"/>
        <w:gridCol w:w="5057"/>
        <w:gridCol w:w="1719"/>
      </w:tblGrid>
      <w:tr w14:paraId="2526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noWrap w:val="0"/>
            <w:vAlign w:val="center"/>
          </w:tcPr>
          <w:p w14:paraId="098145F7">
            <w:pPr>
              <w:tabs>
                <w:tab w:val="left" w:pos="1080"/>
              </w:tabs>
              <w:snapToGri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067" w:type="pct"/>
            <w:noWrap w:val="0"/>
            <w:vAlign w:val="center"/>
          </w:tcPr>
          <w:p w14:paraId="1E67ACD8">
            <w:pPr>
              <w:tabs>
                <w:tab w:val="left" w:pos="1080"/>
              </w:tabs>
              <w:snapToGri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审查因素</w:t>
            </w:r>
          </w:p>
        </w:tc>
        <w:tc>
          <w:tcPr>
            <w:tcW w:w="2595" w:type="pct"/>
            <w:noWrap w:val="0"/>
            <w:vAlign w:val="center"/>
          </w:tcPr>
          <w:p w14:paraId="4C6BC0B0">
            <w:pPr>
              <w:tabs>
                <w:tab w:val="left" w:pos="1080"/>
              </w:tabs>
              <w:snapToGri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审查内容</w:t>
            </w:r>
          </w:p>
        </w:tc>
        <w:tc>
          <w:tcPr>
            <w:tcW w:w="882" w:type="pct"/>
            <w:noWrap w:val="0"/>
            <w:vAlign w:val="center"/>
          </w:tcPr>
          <w:p w14:paraId="11AAC8D7">
            <w:pPr>
              <w:tabs>
                <w:tab w:val="left" w:pos="1080"/>
              </w:tabs>
              <w:snapToGri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格式要求</w:t>
            </w:r>
          </w:p>
        </w:tc>
      </w:tr>
      <w:tr w14:paraId="02C6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123EACA7">
            <w:pPr>
              <w:tabs>
                <w:tab w:val="left" w:pos="1080"/>
              </w:tabs>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067" w:type="pct"/>
            <w:noWrap w:val="0"/>
            <w:vAlign w:val="center"/>
          </w:tcPr>
          <w:p w14:paraId="552E9D6B">
            <w:pPr>
              <w:tabs>
                <w:tab w:val="left" w:pos="1080"/>
              </w:tabs>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 xml:space="preserve">具有独立承担民事责任的能力 </w:t>
            </w:r>
          </w:p>
        </w:tc>
        <w:tc>
          <w:tcPr>
            <w:tcW w:w="2595" w:type="pct"/>
            <w:noWrap w:val="0"/>
            <w:vAlign w:val="center"/>
          </w:tcPr>
          <w:p w14:paraId="4BB44418">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供应商须具备三证合一的营业执照；</w:t>
            </w:r>
          </w:p>
        </w:tc>
        <w:tc>
          <w:tcPr>
            <w:tcW w:w="882" w:type="pct"/>
            <w:noWrap w:val="0"/>
            <w:vAlign w:val="center"/>
          </w:tcPr>
          <w:p w14:paraId="0979FCC3">
            <w:pPr>
              <w:tabs>
                <w:tab w:val="left" w:pos="1080"/>
              </w:tabs>
              <w:snapToGrid w:val="0"/>
              <w:spacing w:line="240" w:lineRule="auto"/>
              <w:rPr>
                <w:rFonts w:hint="eastAsia" w:ascii="仿宋" w:hAnsi="仿宋" w:eastAsia="仿宋" w:cs="仿宋"/>
                <w:sz w:val="24"/>
                <w:szCs w:val="24"/>
                <w:highlight w:val="none"/>
              </w:rPr>
            </w:pPr>
          </w:p>
        </w:tc>
      </w:tr>
      <w:tr w14:paraId="39590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230187F4">
            <w:pPr>
              <w:tabs>
                <w:tab w:val="left" w:pos="1080"/>
              </w:tabs>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1067" w:type="pct"/>
            <w:noWrap w:val="0"/>
            <w:vAlign w:val="center"/>
          </w:tcPr>
          <w:p w14:paraId="32CBB98D">
            <w:pPr>
              <w:tabs>
                <w:tab w:val="left" w:pos="1080"/>
              </w:tabs>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有依法缴纳税收和社会保障资金的良好记录 </w:t>
            </w:r>
          </w:p>
        </w:tc>
        <w:tc>
          <w:tcPr>
            <w:tcW w:w="2595" w:type="pct"/>
            <w:noWrap w:val="0"/>
            <w:vAlign w:val="center"/>
          </w:tcPr>
          <w:p w14:paraId="7158DD5D">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提供投标截止日前3个月内任意1个月的社保证明材料，如依法不需要缴纳社会保障资金的，应提供相应文件证明；提供投标截止日前3个月内任意1个月的缴纳税收的完税证明或税务部门出具的纳税证明；如依法免税的，应提供相应文件证明；</w:t>
            </w:r>
          </w:p>
        </w:tc>
        <w:tc>
          <w:tcPr>
            <w:tcW w:w="882" w:type="pct"/>
            <w:noWrap w:val="0"/>
            <w:vAlign w:val="center"/>
          </w:tcPr>
          <w:p w14:paraId="5D0E0458">
            <w:pPr>
              <w:tabs>
                <w:tab w:val="left" w:pos="1080"/>
              </w:tabs>
              <w:snapToGrid w:val="0"/>
              <w:spacing w:line="240" w:lineRule="auto"/>
              <w:rPr>
                <w:rFonts w:hint="eastAsia" w:ascii="仿宋" w:hAnsi="仿宋" w:eastAsia="仿宋" w:cs="仿宋"/>
                <w:sz w:val="24"/>
                <w:szCs w:val="24"/>
                <w:highlight w:val="none"/>
              </w:rPr>
            </w:pPr>
          </w:p>
        </w:tc>
      </w:tr>
      <w:tr w14:paraId="32C31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645F9790">
            <w:pPr>
              <w:tabs>
                <w:tab w:val="left" w:pos="1080"/>
              </w:tabs>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67" w:type="pct"/>
            <w:noWrap w:val="0"/>
            <w:vAlign w:val="center"/>
          </w:tcPr>
          <w:p w14:paraId="3DD3909E">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具有良好的商业信誉和健全的财务会计制度</w:t>
            </w:r>
          </w:p>
        </w:tc>
        <w:tc>
          <w:tcPr>
            <w:tcW w:w="2595" w:type="pct"/>
            <w:noWrap w:val="0"/>
            <w:vAlign w:val="center"/>
          </w:tcPr>
          <w:p w14:paraId="07EB8270">
            <w:pPr>
              <w:tabs>
                <w:tab w:val="left" w:pos="1080"/>
              </w:tabs>
              <w:snapToGrid w:val="0"/>
              <w:spacing w:line="240" w:lineRule="auto"/>
              <w:rPr>
                <w:rFonts w:hint="eastAsia" w:ascii="仿宋" w:hAnsi="仿宋" w:eastAsia="仿宋" w:cs="仿宋"/>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提供2024年度由第三方财务审计机构出具的财务审计报告，2025年新成立的公司提供银行出具的近一个月的资信证明；</w:t>
            </w:r>
          </w:p>
        </w:tc>
        <w:tc>
          <w:tcPr>
            <w:tcW w:w="882" w:type="pct"/>
            <w:noWrap w:val="0"/>
            <w:vAlign w:val="center"/>
          </w:tcPr>
          <w:p w14:paraId="79C0502E">
            <w:pPr>
              <w:tabs>
                <w:tab w:val="left" w:pos="1080"/>
              </w:tabs>
              <w:snapToGrid w:val="0"/>
              <w:spacing w:line="240" w:lineRule="auto"/>
              <w:rPr>
                <w:rFonts w:hint="eastAsia" w:ascii="仿宋" w:hAnsi="仿宋" w:eastAsia="仿宋" w:cs="仿宋"/>
                <w:sz w:val="24"/>
                <w:szCs w:val="24"/>
                <w:highlight w:val="none"/>
              </w:rPr>
            </w:pPr>
          </w:p>
        </w:tc>
      </w:tr>
      <w:tr w14:paraId="7204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29665920">
            <w:pPr>
              <w:tabs>
                <w:tab w:val="left" w:pos="1080"/>
              </w:tabs>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067" w:type="pct"/>
            <w:noWrap w:val="0"/>
            <w:vAlign w:val="center"/>
          </w:tcPr>
          <w:p w14:paraId="4FBD3762">
            <w:pPr>
              <w:tabs>
                <w:tab w:val="left" w:pos="1080"/>
              </w:tabs>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 xml:space="preserve">履行合同所必需的设备和专业技术能力 </w:t>
            </w:r>
          </w:p>
        </w:tc>
        <w:tc>
          <w:tcPr>
            <w:tcW w:w="2595" w:type="pct"/>
            <w:noWrap w:val="0"/>
            <w:vAlign w:val="center"/>
          </w:tcPr>
          <w:p w14:paraId="6F046BB7">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提供履行合同所必需的设备和专业技术能力的书面承诺函并加盖单位公章；</w:t>
            </w:r>
          </w:p>
        </w:tc>
        <w:tc>
          <w:tcPr>
            <w:tcW w:w="882" w:type="pct"/>
            <w:noWrap w:val="0"/>
            <w:vAlign w:val="center"/>
          </w:tcPr>
          <w:p w14:paraId="1B258220">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格式见《投标文件格式》</w:t>
            </w:r>
          </w:p>
        </w:tc>
      </w:tr>
      <w:tr w14:paraId="5E805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01E07968">
            <w:pPr>
              <w:tabs>
                <w:tab w:val="left" w:pos="1080"/>
              </w:tabs>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067" w:type="pct"/>
            <w:noWrap w:val="0"/>
            <w:vAlign w:val="center"/>
          </w:tcPr>
          <w:p w14:paraId="7482F0C0">
            <w:pPr>
              <w:tabs>
                <w:tab w:val="left" w:pos="1080"/>
              </w:tabs>
              <w:snapToGrid w:val="0"/>
              <w:spacing w:line="240"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参加采购活动前3年内，在经营活动中没有重大违法记录</w:t>
            </w:r>
          </w:p>
        </w:tc>
        <w:tc>
          <w:tcPr>
            <w:tcW w:w="2595" w:type="pct"/>
            <w:noWrap w:val="0"/>
            <w:vAlign w:val="center"/>
          </w:tcPr>
          <w:p w14:paraId="49EE2995">
            <w:pPr>
              <w:tabs>
                <w:tab w:val="left" w:pos="1080"/>
              </w:tabs>
              <w:snapToGrid w:val="0"/>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提供参加本次政府采购活动前3年内在经营活动中没有重大违法记录的书面承诺函并加盖单位公章。</w:t>
            </w:r>
          </w:p>
          <w:p w14:paraId="50A3257D">
            <w:pPr>
              <w:tabs>
                <w:tab w:val="left" w:pos="1080"/>
              </w:tabs>
              <w:snapToGrid w:val="0"/>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882" w:type="pct"/>
            <w:noWrap w:val="0"/>
            <w:vAlign w:val="center"/>
          </w:tcPr>
          <w:p w14:paraId="34DB0A4F">
            <w:pPr>
              <w:tabs>
                <w:tab w:val="left" w:pos="1080"/>
              </w:tabs>
              <w:snapToGrid w:val="0"/>
              <w:spacing w:line="240" w:lineRule="auto"/>
              <w:rPr>
                <w:rFonts w:hint="eastAsia" w:ascii="仿宋" w:hAnsi="仿宋" w:eastAsia="仿宋" w:cs="仿宋"/>
                <w:sz w:val="24"/>
                <w:szCs w:val="24"/>
                <w:highlight w:val="none"/>
              </w:rPr>
            </w:pPr>
          </w:p>
        </w:tc>
      </w:tr>
      <w:tr w14:paraId="2D32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010F8C21">
            <w:pPr>
              <w:tabs>
                <w:tab w:val="left" w:pos="1080"/>
              </w:tabs>
              <w:snapToGri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067" w:type="pct"/>
            <w:noWrap w:val="0"/>
            <w:vAlign w:val="center"/>
          </w:tcPr>
          <w:p w14:paraId="7AD7CAE0">
            <w:pPr>
              <w:tabs>
                <w:tab w:val="left" w:pos="1080"/>
              </w:tabs>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投标人信用记录</w:t>
            </w:r>
          </w:p>
        </w:tc>
        <w:tc>
          <w:tcPr>
            <w:tcW w:w="2595" w:type="pct"/>
            <w:noWrap w:val="0"/>
            <w:vAlign w:val="center"/>
          </w:tcPr>
          <w:p w14:paraId="4B4318A6">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查询渠道</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信用中国网站</w:t>
            </w:r>
            <w:r>
              <w:rPr>
                <w:rFonts w:hint="eastAsia" w:ascii="仿宋" w:hAnsi="仿宋" w:eastAsia="仿宋" w:cs="仿宋"/>
                <w:sz w:val="24"/>
                <w:szCs w:val="24"/>
                <w:highlight w:val="none"/>
                <w:lang w:eastAsia="zh-CN"/>
              </w:rPr>
              <w:t>（</w:t>
            </w:r>
            <w:r>
              <w:rPr>
                <w:rFonts w:hint="eastAsia" w:ascii="仿宋" w:hAnsi="仿宋" w:eastAsia="仿宋" w:cs="仿宋"/>
                <w:kern w:val="2"/>
                <w:sz w:val="24"/>
                <w:szCs w:val="24"/>
                <w:highlight w:val="none"/>
                <w:lang w:val="en-US" w:eastAsia="zh-CN" w:bidi="ar-SA"/>
              </w:rPr>
              <w:t>http://</w:t>
            </w:r>
            <w:r>
              <w:rPr>
                <w:rFonts w:hint="eastAsia" w:ascii="仿宋" w:hAnsi="仿宋" w:eastAsia="仿宋" w:cs="仿宋"/>
                <w:sz w:val="24"/>
                <w:szCs w:val="24"/>
                <w:highlight w:val="none"/>
              </w:rPr>
              <w:t>www.creditchina.gov.cn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和中国政府采购网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www.ccgp.gov.cn）；</w:t>
            </w:r>
          </w:p>
          <w:p w14:paraId="64BF948F">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截止时点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投标截止时间以后、资格审查阶段采购人或采购代理机构的实际查询时间；</w:t>
            </w:r>
          </w:p>
          <w:p w14:paraId="7C9E72F1">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信用信息查询记录和证据留存具体方式</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查询结果网页打印页作为查询记录和证据，与其他采购文件一并保存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并形成承诺</w:t>
            </w:r>
            <w:r>
              <w:rPr>
                <w:rFonts w:hint="eastAsia" w:ascii="仿宋" w:hAnsi="仿宋" w:eastAsia="仿宋" w:cs="仿宋"/>
                <w:sz w:val="24"/>
                <w:szCs w:val="24"/>
                <w:highlight w:val="none"/>
              </w:rPr>
              <w:t>；</w:t>
            </w:r>
          </w:p>
          <w:p w14:paraId="6A6057B8">
            <w:pPr>
              <w:tabs>
                <w:tab w:val="left" w:pos="1080"/>
              </w:tabs>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信用信息的使用原则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经认定的被列入失信被执行人、重大税收违法案件当事人名单、政府采购严重违法失信行为记录名单的投标人，其投标无效。联合体形式投标的，联合体成员存在不良信用记录，视同联合体存在不良信用记录</w:t>
            </w:r>
            <w:r>
              <w:rPr>
                <w:rFonts w:hint="eastAsia" w:ascii="仿宋" w:hAnsi="仿宋" w:eastAsia="仿宋" w:cs="仿宋"/>
                <w:sz w:val="24"/>
                <w:szCs w:val="24"/>
                <w:highlight w:val="none"/>
                <w:lang w:eastAsia="zh-CN"/>
              </w:rPr>
              <w:t>；</w:t>
            </w:r>
          </w:p>
        </w:tc>
        <w:tc>
          <w:tcPr>
            <w:tcW w:w="882" w:type="pct"/>
            <w:noWrap w:val="0"/>
            <w:vAlign w:val="center"/>
          </w:tcPr>
          <w:p w14:paraId="3B55A9C7">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无须投标人提供，由采购人或采购代理机构查询。</w:t>
            </w:r>
          </w:p>
        </w:tc>
      </w:tr>
      <w:tr w14:paraId="0E84F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00193696">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067" w:type="pct"/>
            <w:noWrap w:val="0"/>
            <w:vAlign w:val="center"/>
          </w:tcPr>
          <w:p w14:paraId="20F093BE">
            <w:pPr>
              <w:tabs>
                <w:tab w:val="left" w:pos="1080"/>
              </w:tabs>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存在直接控股、管理关系</w:t>
            </w:r>
          </w:p>
        </w:tc>
        <w:tc>
          <w:tcPr>
            <w:tcW w:w="2595" w:type="pct"/>
            <w:noWrap w:val="0"/>
            <w:vAlign w:val="center"/>
          </w:tcPr>
          <w:p w14:paraId="688D895D">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企业负责人为同一人或者存在直接控股、管理关系的不同投标人，不得参加同一合同项下的政府采购活动，并形成承诺；否则，皆取消投标资格；</w:t>
            </w:r>
          </w:p>
        </w:tc>
        <w:tc>
          <w:tcPr>
            <w:tcW w:w="882" w:type="pct"/>
            <w:noWrap w:val="0"/>
            <w:vAlign w:val="center"/>
          </w:tcPr>
          <w:p w14:paraId="18652A2C">
            <w:pPr>
              <w:tabs>
                <w:tab w:val="left" w:pos="1080"/>
              </w:tabs>
              <w:snapToGrid w:val="0"/>
              <w:spacing w:line="240" w:lineRule="auto"/>
              <w:rPr>
                <w:rFonts w:hint="eastAsia" w:ascii="仿宋" w:hAnsi="仿宋" w:eastAsia="仿宋" w:cs="仿宋"/>
                <w:sz w:val="24"/>
                <w:szCs w:val="24"/>
                <w:highlight w:val="none"/>
              </w:rPr>
            </w:pPr>
          </w:p>
        </w:tc>
      </w:tr>
      <w:tr w14:paraId="493E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0C95F0DE">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067" w:type="pct"/>
            <w:noWrap w:val="0"/>
            <w:vAlign w:val="center"/>
          </w:tcPr>
          <w:p w14:paraId="74C3F7BE">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投标保证金或电子保函 </w:t>
            </w:r>
          </w:p>
        </w:tc>
        <w:tc>
          <w:tcPr>
            <w:tcW w:w="2595" w:type="pct"/>
            <w:noWrap w:val="0"/>
            <w:vAlign w:val="center"/>
          </w:tcPr>
          <w:p w14:paraId="04456FC0">
            <w:pPr>
              <w:tabs>
                <w:tab w:val="left" w:pos="1080"/>
              </w:tabs>
              <w:snapToGrid w:val="0"/>
              <w:spacing w:line="240" w:lineRule="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sz w:val="24"/>
                <w:szCs w:val="24"/>
                <w:highlight w:val="none"/>
                <w:lang w:val="en-US" w:eastAsia="zh-CN"/>
              </w:rPr>
              <w:t>7000.00元整（大写 ：柒仟元整）（缴费凭证或者保函单）</w:t>
            </w:r>
          </w:p>
        </w:tc>
        <w:tc>
          <w:tcPr>
            <w:tcW w:w="882" w:type="pct"/>
            <w:noWrap w:val="0"/>
            <w:vAlign w:val="center"/>
          </w:tcPr>
          <w:p w14:paraId="07F98193">
            <w:pPr>
              <w:tabs>
                <w:tab w:val="left" w:pos="1080"/>
              </w:tabs>
              <w:snapToGrid w:val="0"/>
              <w:spacing w:line="240" w:lineRule="auto"/>
              <w:rPr>
                <w:rFonts w:hint="eastAsia" w:ascii="仿宋" w:hAnsi="仿宋" w:eastAsia="仿宋" w:cs="仿宋"/>
                <w:sz w:val="24"/>
                <w:szCs w:val="24"/>
                <w:highlight w:val="none"/>
              </w:rPr>
            </w:pPr>
          </w:p>
        </w:tc>
      </w:tr>
      <w:tr w14:paraId="0D27A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1F832CA6">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067" w:type="pct"/>
            <w:noWrap w:val="0"/>
            <w:vAlign w:val="center"/>
          </w:tcPr>
          <w:p w14:paraId="63DFEDC7">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本项目不接受联合体投标</w:t>
            </w:r>
          </w:p>
        </w:tc>
        <w:tc>
          <w:tcPr>
            <w:tcW w:w="2595" w:type="pct"/>
            <w:noWrap w:val="0"/>
            <w:vAlign w:val="center"/>
          </w:tcPr>
          <w:p w14:paraId="00E010C5">
            <w:pPr>
              <w:tabs>
                <w:tab w:val="left" w:pos="1080"/>
              </w:tabs>
              <w:snapToGrid w:val="0"/>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提供书面承诺函并加盖单位公章；</w:t>
            </w:r>
          </w:p>
        </w:tc>
        <w:tc>
          <w:tcPr>
            <w:tcW w:w="882" w:type="pct"/>
            <w:noWrap w:val="0"/>
            <w:vAlign w:val="center"/>
          </w:tcPr>
          <w:p w14:paraId="51CC8F8C">
            <w:pPr>
              <w:tabs>
                <w:tab w:val="left" w:pos="1080"/>
              </w:tabs>
              <w:snapToGrid w:val="0"/>
              <w:spacing w:line="240" w:lineRule="auto"/>
              <w:rPr>
                <w:rFonts w:hint="eastAsia" w:ascii="仿宋" w:hAnsi="仿宋" w:eastAsia="仿宋" w:cs="仿宋"/>
                <w:sz w:val="24"/>
                <w:szCs w:val="24"/>
                <w:highlight w:val="none"/>
              </w:rPr>
            </w:pPr>
          </w:p>
        </w:tc>
      </w:tr>
      <w:tr w14:paraId="7D262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6F0E100E">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067" w:type="pct"/>
            <w:noWrap w:val="0"/>
            <w:vAlign w:val="center"/>
          </w:tcPr>
          <w:p w14:paraId="73F6C257">
            <w:pPr>
              <w:tabs>
                <w:tab w:val="left" w:pos="1080"/>
              </w:tabs>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中小企业声明函</w:t>
            </w:r>
          </w:p>
        </w:tc>
        <w:tc>
          <w:tcPr>
            <w:tcW w:w="2595" w:type="pct"/>
            <w:noWrap w:val="0"/>
            <w:vAlign w:val="center"/>
          </w:tcPr>
          <w:p w14:paraId="62F4CD7B">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当本项目（包）涉及预留份额专门面向中小企业采购，此时建议在《资格证明文件》中提供。</w:t>
            </w:r>
          </w:p>
          <w:p w14:paraId="1801FF59">
            <w:pPr>
              <w:tabs>
                <w:tab w:val="left" w:pos="1080"/>
              </w:tabs>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1、投标人单独投标的，应提供中小企业声明函；如为</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企业或残疾人福利性单位，不必提供中小企业声明函，但须按注1或注2要求提供证明材料</w:t>
            </w:r>
            <w:r>
              <w:rPr>
                <w:rFonts w:hint="eastAsia" w:ascii="仿宋" w:hAnsi="仿宋" w:eastAsia="仿宋" w:cs="仿宋"/>
                <w:sz w:val="24"/>
                <w:szCs w:val="24"/>
                <w:highlight w:val="none"/>
                <w:lang w:eastAsia="zh-CN"/>
              </w:rPr>
              <w:t>；</w:t>
            </w:r>
          </w:p>
          <w:p w14:paraId="2BF3FAE0">
            <w:pPr>
              <w:tabs>
                <w:tab w:val="left" w:pos="1080"/>
              </w:tabs>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如招标文件要求以联合体形式参加或者要求合同分包的，且投标人为联合体或拟进行合同分包的，则联合体中的中小企业、签订分包意向协议的中小企业具体情况须在《中小企业声明函》中如实填报。上述中小企业如为</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企业或残疾人福利性单位应在声明函中如实列明单位性质，并按注1或注2要求提供证明材料</w:t>
            </w:r>
            <w:r>
              <w:rPr>
                <w:rFonts w:hint="eastAsia" w:ascii="仿宋" w:hAnsi="仿宋" w:eastAsia="仿宋" w:cs="仿宋"/>
                <w:sz w:val="24"/>
                <w:szCs w:val="24"/>
                <w:highlight w:val="none"/>
                <w:lang w:eastAsia="zh-CN"/>
              </w:rPr>
              <w:t>。</w:t>
            </w:r>
          </w:p>
          <w:p w14:paraId="2089F674">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sz w:val="24"/>
                <w:szCs w:val="24"/>
                <w:highlight w:val="none"/>
                <w:lang w:eastAsia="zh-CN"/>
              </w:rPr>
              <w:t xml:space="preserve"> ：JY</w:t>
            </w:r>
            <w:r>
              <w:rPr>
                <w:rFonts w:hint="eastAsia" w:ascii="仿宋" w:hAnsi="仿宋" w:eastAsia="仿宋" w:cs="仿宋"/>
                <w:sz w:val="24"/>
                <w:szCs w:val="24"/>
                <w:highlight w:val="none"/>
              </w:rPr>
              <w:t>企业须提供由省级以上</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管理局（北京市含教育矫治局）、</w:t>
            </w:r>
            <w:r>
              <w:rPr>
                <w:rFonts w:hint="eastAsia" w:ascii="仿宋" w:hAnsi="仿宋" w:eastAsia="仿宋" w:cs="仿宋"/>
                <w:sz w:val="24"/>
                <w:szCs w:val="24"/>
                <w:highlight w:val="none"/>
                <w:lang w:eastAsia="zh-CN"/>
              </w:rPr>
              <w:t>JD</w:t>
            </w:r>
            <w:r>
              <w:rPr>
                <w:rFonts w:hint="eastAsia" w:ascii="仿宋" w:hAnsi="仿宋" w:eastAsia="仿宋" w:cs="仿宋"/>
                <w:sz w:val="24"/>
                <w:szCs w:val="24"/>
                <w:highlight w:val="none"/>
              </w:rPr>
              <w:t>管理局（含新疆生产建设兵团）出具的属于</w:t>
            </w:r>
            <w:r>
              <w:rPr>
                <w:rFonts w:hint="eastAsia" w:ascii="仿宋" w:hAnsi="仿宋" w:eastAsia="仿宋" w:cs="仿宋"/>
                <w:sz w:val="24"/>
                <w:szCs w:val="24"/>
                <w:highlight w:val="none"/>
                <w:lang w:eastAsia="zh-CN"/>
              </w:rPr>
              <w:t>JY</w:t>
            </w:r>
            <w:r>
              <w:rPr>
                <w:rFonts w:hint="eastAsia" w:ascii="仿宋" w:hAnsi="仿宋" w:eastAsia="仿宋" w:cs="仿宋"/>
                <w:sz w:val="24"/>
                <w:szCs w:val="24"/>
                <w:highlight w:val="none"/>
              </w:rPr>
              <w:t>企业的证明文件。</w:t>
            </w:r>
          </w:p>
          <w:p w14:paraId="360241B2">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注2</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残疾人福利性单位须按招标文件要求提供《残疾人福利性单位声明函》</w:t>
            </w:r>
          </w:p>
        </w:tc>
        <w:tc>
          <w:tcPr>
            <w:tcW w:w="882" w:type="pct"/>
            <w:noWrap w:val="0"/>
            <w:vAlign w:val="center"/>
          </w:tcPr>
          <w:p w14:paraId="5A34DF42">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格式见《投标文件格式》</w:t>
            </w:r>
          </w:p>
        </w:tc>
      </w:tr>
      <w:tr w14:paraId="0A335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41AE3960">
            <w:pPr>
              <w:tabs>
                <w:tab w:val="left" w:pos="1080"/>
              </w:tabs>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067" w:type="pct"/>
            <w:noWrap w:val="0"/>
            <w:vAlign w:val="center"/>
          </w:tcPr>
          <w:p w14:paraId="747A3EAE">
            <w:pPr>
              <w:tabs>
                <w:tab w:val="left" w:pos="1080"/>
              </w:tabs>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特定资质要求</w:t>
            </w:r>
          </w:p>
        </w:tc>
        <w:tc>
          <w:tcPr>
            <w:tcW w:w="2595" w:type="pct"/>
            <w:noWrap w:val="0"/>
            <w:vAlign w:val="center"/>
          </w:tcPr>
          <w:p w14:paraId="122E1688">
            <w:pPr>
              <w:tabs>
                <w:tab w:val="left" w:pos="1080"/>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供应商需提供合格的医学教育培训相关资质；</w:t>
            </w:r>
          </w:p>
        </w:tc>
        <w:tc>
          <w:tcPr>
            <w:tcW w:w="882" w:type="pct"/>
            <w:noWrap w:val="0"/>
            <w:vAlign w:val="center"/>
          </w:tcPr>
          <w:p w14:paraId="3EDA1A49">
            <w:pPr>
              <w:tabs>
                <w:tab w:val="left" w:pos="1080"/>
              </w:tabs>
              <w:snapToGrid w:val="0"/>
              <w:spacing w:line="240" w:lineRule="auto"/>
              <w:rPr>
                <w:rFonts w:hint="eastAsia" w:ascii="仿宋" w:hAnsi="仿宋" w:eastAsia="仿宋" w:cs="仿宋"/>
                <w:sz w:val="24"/>
                <w:szCs w:val="24"/>
                <w:highlight w:val="none"/>
              </w:rPr>
            </w:pPr>
          </w:p>
        </w:tc>
      </w:tr>
    </w:tbl>
    <w:p w14:paraId="35FA0C98">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 w:hAnsi="仿宋" w:eastAsia="仿宋" w:cs="仿宋"/>
          <w:b/>
          <w:bCs/>
          <w:sz w:val="30"/>
          <w:szCs w:val="30"/>
          <w:highlight w:val="none"/>
        </w:rPr>
      </w:pPr>
    </w:p>
    <w:p w14:paraId="24EBD58A">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三、符合性审查</w:t>
      </w:r>
    </w:p>
    <w:tbl>
      <w:tblPr>
        <w:tblStyle w:val="69"/>
        <w:tblpPr w:leftFromText="180" w:rightFromText="180" w:vertAnchor="text" w:horzAnchor="page" w:tblpXSpec="center" w:tblpY="131"/>
        <w:tblOverlap w:val="never"/>
        <w:tblW w:w="5043"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75" w:type="dxa"/>
          <w:left w:w="75" w:type="dxa"/>
          <w:bottom w:w="75" w:type="dxa"/>
          <w:right w:w="75" w:type="dxa"/>
        </w:tblCellMar>
      </w:tblPr>
      <w:tblGrid>
        <w:gridCol w:w="764"/>
        <w:gridCol w:w="1762"/>
        <w:gridCol w:w="5496"/>
        <w:gridCol w:w="798"/>
        <w:gridCol w:w="937"/>
      </w:tblGrid>
      <w:tr w14:paraId="4297A4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75" w:type="dxa"/>
            <w:left w:w="75" w:type="dxa"/>
            <w:bottom w:w="75" w:type="dxa"/>
            <w:right w:w="75" w:type="dxa"/>
          </w:tblCellMar>
        </w:tblPrEx>
        <w:trPr>
          <w:jc w:val="center"/>
        </w:trPr>
        <w:tc>
          <w:tcPr>
            <w:tcW w:w="391" w:type="pct"/>
            <w:vMerge w:val="restart"/>
            <w:tcBorders>
              <w:tl2br w:val="nil"/>
              <w:tr2bl w:val="nil"/>
            </w:tcBorders>
            <w:noWrap w:val="0"/>
            <w:vAlign w:val="center"/>
          </w:tcPr>
          <w:p w14:paraId="3B1701CC">
            <w:pPr>
              <w:pStyle w:val="14"/>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val="en-US" w:eastAsia="zh-CN"/>
              </w:rPr>
              <w:t>序号</w:t>
            </w:r>
          </w:p>
        </w:tc>
        <w:tc>
          <w:tcPr>
            <w:tcW w:w="902" w:type="pct"/>
            <w:vMerge w:val="restart"/>
            <w:tcBorders>
              <w:tl2br w:val="nil"/>
              <w:tr2bl w:val="nil"/>
            </w:tcBorders>
            <w:noWrap w:val="0"/>
            <w:vAlign w:val="center"/>
          </w:tcPr>
          <w:p w14:paraId="4A4D9C8C">
            <w:pPr>
              <w:pStyle w:val="14"/>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val="en-US" w:eastAsia="zh-CN"/>
              </w:rPr>
              <w:t>评标因素</w:t>
            </w:r>
          </w:p>
        </w:tc>
        <w:tc>
          <w:tcPr>
            <w:tcW w:w="2816" w:type="pct"/>
            <w:vMerge w:val="restart"/>
            <w:tcBorders>
              <w:tl2br w:val="nil"/>
              <w:tr2bl w:val="nil"/>
            </w:tcBorders>
            <w:noWrap w:val="0"/>
            <w:vAlign w:val="center"/>
          </w:tcPr>
          <w:p w14:paraId="39ED171F">
            <w:pPr>
              <w:pStyle w:val="14"/>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仿宋" w:hAnsi="仿宋" w:eastAsia="仿宋" w:cs="仿宋"/>
                <w:sz w:val="24"/>
                <w:szCs w:val="24"/>
                <w:highlight w:val="none"/>
              </w:rPr>
            </w:pPr>
            <w:r>
              <w:rPr>
                <w:rFonts w:hint="eastAsia" w:ascii="仿宋" w:hAnsi="仿宋" w:eastAsia="仿宋" w:cs="仿宋"/>
                <w:b/>
                <w:sz w:val="24"/>
                <w:szCs w:val="24"/>
                <w:highlight w:val="none"/>
              </w:rPr>
              <w:t>评分标准</w:t>
            </w:r>
          </w:p>
        </w:tc>
        <w:tc>
          <w:tcPr>
            <w:tcW w:w="888" w:type="pct"/>
            <w:gridSpan w:val="2"/>
            <w:tcBorders>
              <w:tl2br w:val="nil"/>
              <w:tr2bl w:val="nil"/>
            </w:tcBorders>
            <w:noWrap w:val="0"/>
            <w:vAlign w:val="center"/>
          </w:tcPr>
          <w:p w14:paraId="574C80E3">
            <w:pPr>
              <w:pStyle w:val="14"/>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9"/>
              <w:rPr>
                <w:rFonts w:hint="eastAsia" w:ascii="仿宋" w:hAnsi="仿宋" w:eastAsia="仿宋" w:cs="仿宋"/>
                <w:sz w:val="24"/>
                <w:szCs w:val="24"/>
                <w:highlight w:val="none"/>
              </w:rPr>
            </w:pPr>
            <w:r>
              <w:rPr>
                <w:rFonts w:hint="eastAsia" w:ascii="仿宋" w:hAnsi="仿宋" w:eastAsia="仿宋" w:cs="仿宋"/>
                <w:b/>
                <w:sz w:val="24"/>
                <w:szCs w:val="24"/>
                <w:highlight w:val="none"/>
              </w:rPr>
              <w:t>评审意见</w:t>
            </w:r>
          </w:p>
        </w:tc>
      </w:tr>
      <w:tr w14:paraId="5F283E7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75" w:type="dxa"/>
            <w:left w:w="75" w:type="dxa"/>
            <w:bottom w:w="75" w:type="dxa"/>
            <w:right w:w="75" w:type="dxa"/>
          </w:tblCellMar>
        </w:tblPrEx>
        <w:trPr>
          <w:trHeight w:val="575" w:hRule="atLeast"/>
          <w:jc w:val="center"/>
        </w:trPr>
        <w:tc>
          <w:tcPr>
            <w:tcW w:w="391" w:type="pct"/>
            <w:vMerge w:val="continue"/>
            <w:tcBorders>
              <w:tl2br w:val="nil"/>
              <w:tr2bl w:val="nil"/>
            </w:tcBorders>
            <w:noWrap w:val="0"/>
            <w:vAlign w:val="center"/>
          </w:tcPr>
          <w:p w14:paraId="1AA3B723">
            <w:pPr>
              <w:pStyle w:val="14"/>
              <w:spacing w:line="460" w:lineRule="exact"/>
              <w:jc w:val="center"/>
              <w:outlineLvl w:val="9"/>
              <w:rPr>
                <w:rFonts w:hint="eastAsia" w:ascii="仿宋" w:hAnsi="仿宋" w:eastAsia="仿宋" w:cs="仿宋"/>
                <w:sz w:val="24"/>
                <w:szCs w:val="24"/>
                <w:highlight w:val="none"/>
              </w:rPr>
            </w:pPr>
          </w:p>
        </w:tc>
        <w:tc>
          <w:tcPr>
            <w:tcW w:w="902" w:type="pct"/>
            <w:vMerge w:val="continue"/>
            <w:tcBorders>
              <w:tl2br w:val="nil"/>
              <w:tr2bl w:val="nil"/>
            </w:tcBorders>
            <w:noWrap w:val="0"/>
            <w:vAlign w:val="center"/>
          </w:tcPr>
          <w:p w14:paraId="29360E22">
            <w:pPr>
              <w:pStyle w:val="14"/>
              <w:spacing w:line="460" w:lineRule="exact"/>
              <w:jc w:val="center"/>
              <w:outlineLvl w:val="9"/>
              <w:rPr>
                <w:rFonts w:hint="eastAsia" w:ascii="仿宋" w:hAnsi="仿宋" w:eastAsia="仿宋" w:cs="仿宋"/>
                <w:sz w:val="24"/>
                <w:szCs w:val="24"/>
                <w:highlight w:val="none"/>
              </w:rPr>
            </w:pPr>
          </w:p>
        </w:tc>
        <w:tc>
          <w:tcPr>
            <w:tcW w:w="2816" w:type="pct"/>
            <w:vMerge w:val="continue"/>
            <w:tcBorders>
              <w:tl2br w:val="nil"/>
              <w:tr2bl w:val="nil"/>
            </w:tcBorders>
            <w:noWrap w:val="0"/>
            <w:vAlign w:val="center"/>
          </w:tcPr>
          <w:p w14:paraId="50D9C54F">
            <w:pPr>
              <w:pStyle w:val="14"/>
              <w:spacing w:line="460" w:lineRule="exact"/>
              <w:jc w:val="center"/>
              <w:outlineLvl w:val="9"/>
              <w:rPr>
                <w:rFonts w:hint="eastAsia" w:ascii="仿宋" w:hAnsi="仿宋" w:eastAsia="仿宋" w:cs="仿宋"/>
                <w:sz w:val="24"/>
                <w:szCs w:val="24"/>
                <w:highlight w:val="none"/>
              </w:rPr>
            </w:pPr>
          </w:p>
        </w:tc>
        <w:tc>
          <w:tcPr>
            <w:tcW w:w="408" w:type="pct"/>
            <w:tcBorders>
              <w:tl2br w:val="nil"/>
              <w:tr2bl w:val="nil"/>
            </w:tcBorders>
            <w:noWrap w:val="0"/>
            <w:vAlign w:val="center"/>
          </w:tcPr>
          <w:p w14:paraId="075A0EE2">
            <w:pPr>
              <w:pStyle w:val="14"/>
              <w:spacing w:line="460" w:lineRule="exact"/>
              <w:jc w:val="center"/>
              <w:outlineLvl w:val="9"/>
              <w:rPr>
                <w:rFonts w:hint="eastAsia" w:ascii="仿宋" w:hAnsi="仿宋" w:eastAsia="仿宋" w:cs="仿宋"/>
                <w:sz w:val="24"/>
                <w:szCs w:val="24"/>
                <w:highlight w:val="none"/>
              </w:rPr>
            </w:pPr>
            <w:r>
              <w:rPr>
                <w:rFonts w:hint="eastAsia" w:ascii="仿宋" w:hAnsi="仿宋" w:eastAsia="仿宋" w:cs="仿宋"/>
                <w:b/>
                <w:sz w:val="24"/>
                <w:szCs w:val="24"/>
                <w:highlight w:val="none"/>
              </w:rPr>
              <w:t>是</w:t>
            </w:r>
          </w:p>
        </w:tc>
        <w:tc>
          <w:tcPr>
            <w:tcW w:w="480" w:type="pct"/>
            <w:tcBorders>
              <w:tl2br w:val="nil"/>
              <w:tr2bl w:val="nil"/>
            </w:tcBorders>
            <w:noWrap w:val="0"/>
            <w:vAlign w:val="center"/>
          </w:tcPr>
          <w:p w14:paraId="6A5C8550">
            <w:pPr>
              <w:pStyle w:val="14"/>
              <w:spacing w:line="460" w:lineRule="exact"/>
              <w:jc w:val="center"/>
              <w:outlineLvl w:val="9"/>
              <w:rPr>
                <w:rFonts w:hint="eastAsia" w:ascii="仿宋" w:hAnsi="仿宋" w:eastAsia="仿宋" w:cs="仿宋"/>
                <w:sz w:val="24"/>
                <w:szCs w:val="24"/>
                <w:highlight w:val="none"/>
              </w:rPr>
            </w:pPr>
            <w:r>
              <w:rPr>
                <w:rFonts w:hint="eastAsia" w:ascii="仿宋" w:hAnsi="仿宋" w:eastAsia="仿宋" w:cs="仿宋"/>
                <w:b/>
                <w:sz w:val="24"/>
                <w:szCs w:val="24"/>
                <w:highlight w:val="none"/>
              </w:rPr>
              <w:t>否</w:t>
            </w:r>
          </w:p>
        </w:tc>
      </w:tr>
      <w:tr w14:paraId="4E98FA2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75" w:type="dxa"/>
            <w:left w:w="75" w:type="dxa"/>
            <w:bottom w:w="75" w:type="dxa"/>
            <w:right w:w="75" w:type="dxa"/>
          </w:tblCellMar>
        </w:tblPrEx>
        <w:trPr>
          <w:trHeight w:val="1073" w:hRule="atLeast"/>
          <w:jc w:val="center"/>
        </w:trPr>
        <w:tc>
          <w:tcPr>
            <w:tcW w:w="391" w:type="pct"/>
            <w:tcBorders>
              <w:tl2br w:val="nil"/>
              <w:tr2bl w:val="nil"/>
            </w:tcBorders>
            <w:noWrap w:val="0"/>
            <w:vAlign w:val="center"/>
          </w:tcPr>
          <w:p w14:paraId="5DB0D78D">
            <w:pPr>
              <w:pStyle w:val="14"/>
              <w:spacing w:line="460" w:lineRule="exact"/>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902" w:type="pct"/>
            <w:tcBorders>
              <w:tl2br w:val="nil"/>
              <w:tr2bl w:val="nil"/>
            </w:tcBorders>
            <w:noWrap w:val="0"/>
            <w:vAlign w:val="center"/>
          </w:tcPr>
          <w:p w14:paraId="51BDA30A">
            <w:pPr>
              <w:pStyle w:val="14"/>
              <w:spacing w:line="46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响应文件签署</w:t>
            </w:r>
          </w:p>
        </w:tc>
        <w:tc>
          <w:tcPr>
            <w:tcW w:w="2816" w:type="pct"/>
            <w:tcBorders>
              <w:tl2br w:val="nil"/>
              <w:tr2bl w:val="nil"/>
            </w:tcBorders>
            <w:noWrap w:val="0"/>
            <w:vAlign w:val="center"/>
          </w:tcPr>
          <w:p w14:paraId="4FFB54E6">
            <w:pPr>
              <w:pStyle w:val="14"/>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符合磋商文件要求在规定区域加盖单位电子公章或签字</w:t>
            </w:r>
            <w:r>
              <w:rPr>
                <w:rFonts w:hint="eastAsia" w:ascii="仿宋" w:hAnsi="仿宋" w:eastAsia="仿宋" w:cs="仿宋"/>
                <w:sz w:val="24"/>
                <w:szCs w:val="24"/>
                <w:highlight w:val="none"/>
                <w:lang w:eastAsia="zh-CN"/>
              </w:rPr>
              <w:t>；</w:t>
            </w:r>
          </w:p>
        </w:tc>
        <w:tc>
          <w:tcPr>
            <w:tcW w:w="408" w:type="pct"/>
            <w:tcBorders>
              <w:tl2br w:val="nil"/>
              <w:tr2bl w:val="nil"/>
            </w:tcBorders>
            <w:noWrap w:val="0"/>
            <w:vAlign w:val="center"/>
          </w:tcPr>
          <w:p w14:paraId="69F07400">
            <w:pPr>
              <w:pStyle w:val="14"/>
              <w:spacing w:line="460" w:lineRule="exact"/>
              <w:outlineLvl w:val="9"/>
              <w:rPr>
                <w:rFonts w:hint="eastAsia" w:ascii="仿宋" w:hAnsi="仿宋" w:eastAsia="仿宋" w:cs="仿宋"/>
                <w:sz w:val="24"/>
                <w:szCs w:val="24"/>
                <w:highlight w:val="none"/>
              </w:rPr>
            </w:pPr>
          </w:p>
        </w:tc>
        <w:tc>
          <w:tcPr>
            <w:tcW w:w="480" w:type="pct"/>
            <w:tcBorders>
              <w:tl2br w:val="nil"/>
              <w:tr2bl w:val="nil"/>
            </w:tcBorders>
            <w:noWrap w:val="0"/>
            <w:vAlign w:val="center"/>
          </w:tcPr>
          <w:p w14:paraId="5F00B345">
            <w:pPr>
              <w:pStyle w:val="14"/>
              <w:spacing w:line="460" w:lineRule="exact"/>
              <w:outlineLvl w:val="9"/>
              <w:rPr>
                <w:rFonts w:hint="eastAsia" w:ascii="仿宋" w:hAnsi="仿宋" w:eastAsia="仿宋" w:cs="仿宋"/>
                <w:sz w:val="24"/>
                <w:szCs w:val="24"/>
                <w:highlight w:val="none"/>
              </w:rPr>
            </w:pPr>
          </w:p>
        </w:tc>
      </w:tr>
      <w:tr w14:paraId="7305BD1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75" w:type="dxa"/>
            <w:left w:w="75" w:type="dxa"/>
            <w:bottom w:w="75" w:type="dxa"/>
            <w:right w:w="75" w:type="dxa"/>
          </w:tblCellMar>
        </w:tblPrEx>
        <w:trPr>
          <w:trHeight w:val="744" w:hRule="atLeast"/>
          <w:jc w:val="center"/>
        </w:trPr>
        <w:tc>
          <w:tcPr>
            <w:tcW w:w="391" w:type="pct"/>
            <w:tcBorders>
              <w:tl2br w:val="nil"/>
              <w:tr2bl w:val="nil"/>
            </w:tcBorders>
            <w:noWrap w:val="0"/>
            <w:vAlign w:val="center"/>
          </w:tcPr>
          <w:p w14:paraId="5B98CD10">
            <w:pPr>
              <w:pStyle w:val="14"/>
              <w:spacing w:line="46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902" w:type="pct"/>
            <w:tcBorders>
              <w:tl2br w:val="nil"/>
              <w:tr2bl w:val="nil"/>
            </w:tcBorders>
            <w:noWrap w:val="0"/>
            <w:vAlign w:val="center"/>
          </w:tcPr>
          <w:p w14:paraId="4F6A242F">
            <w:pPr>
              <w:pStyle w:val="14"/>
              <w:spacing w:line="46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磋商有效期</w:t>
            </w:r>
          </w:p>
        </w:tc>
        <w:tc>
          <w:tcPr>
            <w:tcW w:w="2816" w:type="pct"/>
            <w:tcBorders>
              <w:tl2br w:val="nil"/>
              <w:tr2bl w:val="nil"/>
            </w:tcBorders>
            <w:noWrap w:val="0"/>
            <w:vAlign w:val="center"/>
          </w:tcPr>
          <w:p w14:paraId="10086AAD">
            <w:pPr>
              <w:pStyle w:val="14"/>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符合供应商须知前附表的规定</w:t>
            </w:r>
            <w:r>
              <w:rPr>
                <w:rFonts w:hint="eastAsia" w:ascii="仿宋" w:hAnsi="仿宋" w:eastAsia="仿宋" w:cs="仿宋"/>
                <w:sz w:val="24"/>
                <w:szCs w:val="24"/>
                <w:highlight w:val="none"/>
                <w:lang w:eastAsia="zh-CN"/>
              </w:rPr>
              <w:t>；</w:t>
            </w:r>
          </w:p>
        </w:tc>
        <w:tc>
          <w:tcPr>
            <w:tcW w:w="408" w:type="pct"/>
            <w:tcBorders>
              <w:tl2br w:val="nil"/>
              <w:tr2bl w:val="nil"/>
            </w:tcBorders>
            <w:noWrap w:val="0"/>
            <w:vAlign w:val="center"/>
          </w:tcPr>
          <w:p w14:paraId="742DDDC4">
            <w:pPr>
              <w:pStyle w:val="14"/>
              <w:spacing w:line="460" w:lineRule="exact"/>
              <w:outlineLvl w:val="9"/>
              <w:rPr>
                <w:rFonts w:hint="eastAsia" w:ascii="仿宋" w:hAnsi="仿宋" w:eastAsia="仿宋" w:cs="仿宋"/>
                <w:sz w:val="24"/>
                <w:szCs w:val="24"/>
                <w:highlight w:val="none"/>
              </w:rPr>
            </w:pPr>
          </w:p>
        </w:tc>
        <w:tc>
          <w:tcPr>
            <w:tcW w:w="480" w:type="pct"/>
            <w:tcBorders>
              <w:tl2br w:val="nil"/>
              <w:tr2bl w:val="nil"/>
            </w:tcBorders>
            <w:noWrap w:val="0"/>
            <w:vAlign w:val="center"/>
          </w:tcPr>
          <w:p w14:paraId="034BE9A6">
            <w:pPr>
              <w:pStyle w:val="14"/>
              <w:spacing w:line="460" w:lineRule="exact"/>
              <w:outlineLvl w:val="9"/>
              <w:rPr>
                <w:rFonts w:hint="eastAsia" w:ascii="仿宋" w:hAnsi="仿宋" w:eastAsia="仿宋" w:cs="仿宋"/>
                <w:sz w:val="24"/>
                <w:szCs w:val="24"/>
                <w:highlight w:val="none"/>
              </w:rPr>
            </w:pPr>
          </w:p>
        </w:tc>
      </w:tr>
      <w:tr w14:paraId="6941D1D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75" w:type="dxa"/>
            <w:left w:w="75" w:type="dxa"/>
            <w:bottom w:w="75" w:type="dxa"/>
            <w:right w:w="75" w:type="dxa"/>
          </w:tblCellMar>
        </w:tblPrEx>
        <w:trPr>
          <w:trHeight w:val="1147" w:hRule="atLeast"/>
          <w:jc w:val="center"/>
        </w:trPr>
        <w:tc>
          <w:tcPr>
            <w:tcW w:w="391" w:type="pct"/>
            <w:tcBorders>
              <w:tl2br w:val="nil"/>
              <w:tr2bl w:val="nil"/>
            </w:tcBorders>
            <w:noWrap w:val="0"/>
            <w:vAlign w:val="center"/>
          </w:tcPr>
          <w:p w14:paraId="06C21FEB">
            <w:pPr>
              <w:pStyle w:val="14"/>
              <w:spacing w:line="46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902" w:type="pct"/>
            <w:tcBorders>
              <w:tl2br w:val="nil"/>
              <w:tr2bl w:val="nil"/>
            </w:tcBorders>
            <w:noWrap w:val="0"/>
            <w:vAlign w:val="center"/>
          </w:tcPr>
          <w:p w14:paraId="59468FD7">
            <w:pPr>
              <w:pStyle w:val="14"/>
              <w:spacing w:line="46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报价唯一</w:t>
            </w:r>
          </w:p>
        </w:tc>
        <w:tc>
          <w:tcPr>
            <w:tcW w:w="2816" w:type="pct"/>
            <w:tcBorders>
              <w:tl2br w:val="nil"/>
              <w:tr2bl w:val="nil"/>
            </w:tcBorders>
            <w:noWrap w:val="0"/>
            <w:vAlign w:val="center"/>
          </w:tcPr>
          <w:p w14:paraId="203B6682">
            <w:pPr>
              <w:pStyle w:val="14"/>
              <w:spacing w:line="46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其报价未超过最高</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限价，且只有一个有效报价，不得提交选择性报价</w:t>
            </w:r>
            <w:r>
              <w:rPr>
                <w:rFonts w:hint="eastAsia" w:ascii="仿宋" w:hAnsi="仿宋" w:eastAsia="仿宋" w:cs="仿宋"/>
                <w:sz w:val="24"/>
                <w:szCs w:val="24"/>
                <w:highlight w:val="none"/>
                <w:lang w:eastAsia="zh-CN"/>
              </w:rPr>
              <w:t>；</w:t>
            </w:r>
          </w:p>
        </w:tc>
        <w:tc>
          <w:tcPr>
            <w:tcW w:w="408" w:type="pct"/>
            <w:tcBorders>
              <w:tl2br w:val="nil"/>
              <w:tr2bl w:val="nil"/>
            </w:tcBorders>
            <w:noWrap w:val="0"/>
            <w:vAlign w:val="center"/>
          </w:tcPr>
          <w:p w14:paraId="6ED074E7">
            <w:pPr>
              <w:pStyle w:val="14"/>
              <w:spacing w:line="460" w:lineRule="exact"/>
              <w:outlineLvl w:val="9"/>
              <w:rPr>
                <w:rFonts w:hint="eastAsia" w:ascii="仿宋" w:hAnsi="仿宋" w:eastAsia="仿宋" w:cs="仿宋"/>
                <w:sz w:val="24"/>
                <w:szCs w:val="24"/>
                <w:highlight w:val="none"/>
              </w:rPr>
            </w:pPr>
          </w:p>
        </w:tc>
        <w:tc>
          <w:tcPr>
            <w:tcW w:w="480" w:type="pct"/>
            <w:tcBorders>
              <w:tl2br w:val="nil"/>
              <w:tr2bl w:val="nil"/>
            </w:tcBorders>
            <w:noWrap w:val="0"/>
            <w:vAlign w:val="center"/>
          </w:tcPr>
          <w:p w14:paraId="534CB5A1">
            <w:pPr>
              <w:pStyle w:val="14"/>
              <w:spacing w:line="460" w:lineRule="exact"/>
              <w:outlineLvl w:val="9"/>
              <w:rPr>
                <w:rFonts w:hint="eastAsia" w:ascii="仿宋" w:hAnsi="仿宋" w:eastAsia="仿宋" w:cs="仿宋"/>
                <w:sz w:val="24"/>
                <w:szCs w:val="24"/>
                <w:highlight w:val="none"/>
              </w:rPr>
            </w:pPr>
          </w:p>
        </w:tc>
      </w:tr>
      <w:tr w14:paraId="42CC8D9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75" w:type="dxa"/>
            <w:left w:w="75" w:type="dxa"/>
            <w:bottom w:w="75" w:type="dxa"/>
            <w:right w:w="75" w:type="dxa"/>
          </w:tblCellMar>
        </w:tblPrEx>
        <w:trPr>
          <w:trHeight w:val="1049" w:hRule="atLeast"/>
          <w:jc w:val="center"/>
        </w:trPr>
        <w:tc>
          <w:tcPr>
            <w:tcW w:w="391" w:type="pct"/>
            <w:tcBorders>
              <w:tl2br w:val="nil"/>
              <w:tr2bl w:val="nil"/>
            </w:tcBorders>
            <w:noWrap w:val="0"/>
            <w:vAlign w:val="center"/>
          </w:tcPr>
          <w:p w14:paraId="5EF0C54F">
            <w:pPr>
              <w:pStyle w:val="14"/>
              <w:spacing w:line="46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902" w:type="pct"/>
            <w:tcBorders>
              <w:tl2br w:val="nil"/>
              <w:tr2bl w:val="nil"/>
            </w:tcBorders>
            <w:noWrap w:val="0"/>
            <w:vAlign w:val="center"/>
          </w:tcPr>
          <w:p w14:paraId="47701875">
            <w:pPr>
              <w:pStyle w:val="14"/>
              <w:spacing w:line="46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商务要求</w:t>
            </w:r>
          </w:p>
        </w:tc>
        <w:tc>
          <w:tcPr>
            <w:tcW w:w="2816" w:type="pct"/>
            <w:tcBorders>
              <w:tl2br w:val="nil"/>
              <w:tr2bl w:val="nil"/>
            </w:tcBorders>
            <w:noWrap w:val="0"/>
            <w:vAlign w:val="center"/>
          </w:tcPr>
          <w:p w14:paraId="735F4254">
            <w:pPr>
              <w:pStyle w:val="14"/>
              <w:spacing w:line="460" w:lineRule="exact"/>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响应文件未附有采购人不能接受或不符合磋商文件的商务要求</w:t>
            </w:r>
            <w:r>
              <w:rPr>
                <w:rFonts w:hint="eastAsia" w:ascii="仿宋" w:hAnsi="仿宋" w:eastAsia="仿宋" w:cs="仿宋"/>
                <w:sz w:val="24"/>
                <w:szCs w:val="24"/>
                <w:highlight w:val="none"/>
                <w:lang w:eastAsia="zh-CN"/>
              </w:rPr>
              <w:t>；</w:t>
            </w:r>
          </w:p>
        </w:tc>
        <w:tc>
          <w:tcPr>
            <w:tcW w:w="408" w:type="pct"/>
            <w:tcBorders>
              <w:tl2br w:val="nil"/>
              <w:tr2bl w:val="nil"/>
            </w:tcBorders>
            <w:noWrap w:val="0"/>
            <w:vAlign w:val="center"/>
          </w:tcPr>
          <w:p w14:paraId="4BE6AE35">
            <w:pPr>
              <w:pStyle w:val="14"/>
              <w:spacing w:line="460" w:lineRule="exact"/>
              <w:outlineLvl w:val="9"/>
              <w:rPr>
                <w:rFonts w:hint="eastAsia" w:ascii="仿宋" w:hAnsi="仿宋" w:eastAsia="仿宋" w:cs="仿宋"/>
                <w:sz w:val="24"/>
                <w:szCs w:val="24"/>
                <w:highlight w:val="none"/>
              </w:rPr>
            </w:pPr>
          </w:p>
        </w:tc>
        <w:tc>
          <w:tcPr>
            <w:tcW w:w="480" w:type="pct"/>
            <w:tcBorders>
              <w:tl2br w:val="nil"/>
              <w:tr2bl w:val="nil"/>
            </w:tcBorders>
            <w:noWrap w:val="0"/>
            <w:vAlign w:val="center"/>
          </w:tcPr>
          <w:p w14:paraId="16229845">
            <w:pPr>
              <w:pStyle w:val="14"/>
              <w:spacing w:line="460" w:lineRule="exact"/>
              <w:outlineLvl w:val="9"/>
              <w:rPr>
                <w:rFonts w:hint="eastAsia" w:ascii="仿宋" w:hAnsi="仿宋" w:eastAsia="仿宋" w:cs="仿宋"/>
                <w:sz w:val="24"/>
                <w:szCs w:val="24"/>
                <w:highlight w:val="none"/>
              </w:rPr>
            </w:pPr>
          </w:p>
        </w:tc>
      </w:tr>
      <w:tr w14:paraId="646FDC1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75" w:type="dxa"/>
            <w:left w:w="75" w:type="dxa"/>
            <w:bottom w:w="75" w:type="dxa"/>
            <w:right w:w="75" w:type="dxa"/>
          </w:tblCellMar>
        </w:tblPrEx>
        <w:trPr>
          <w:trHeight w:val="1262" w:hRule="atLeast"/>
          <w:jc w:val="center"/>
        </w:trPr>
        <w:tc>
          <w:tcPr>
            <w:tcW w:w="391" w:type="pct"/>
            <w:tcBorders>
              <w:tl2br w:val="nil"/>
              <w:tr2bl w:val="nil"/>
            </w:tcBorders>
            <w:noWrap w:val="0"/>
            <w:vAlign w:val="center"/>
          </w:tcPr>
          <w:p w14:paraId="1F8EEDCD">
            <w:pPr>
              <w:pStyle w:val="14"/>
              <w:spacing w:line="46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902" w:type="pct"/>
            <w:tcBorders>
              <w:bottom w:val="single" w:color="000000" w:sz="2" w:space="0"/>
              <w:tl2br w:val="nil"/>
              <w:tr2bl w:val="nil"/>
            </w:tcBorders>
            <w:noWrap w:val="0"/>
            <w:vAlign w:val="center"/>
          </w:tcPr>
          <w:p w14:paraId="799AEB35">
            <w:pPr>
              <w:pStyle w:val="14"/>
              <w:spacing w:line="46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技术要求</w:t>
            </w:r>
          </w:p>
        </w:tc>
        <w:tc>
          <w:tcPr>
            <w:tcW w:w="2816" w:type="pct"/>
            <w:tcBorders>
              <w:bottom w:val="single" w:color="000000" w:sz="2" w:space="0"/>
              <w:tl2br w:val="nil"/>
              <w:tr2bl w:val="nil"/>
            </w:tcBorders>
            <w:noWrap w:val="0"/>
            <w:vAlign w:val="center"/>
          </w:tcPr>
          <w:p w14:paraId="2EAC3FAD">
            <w:pPr>
              <w:pStyle w:val="14"/>
              <w:spacing w:line="460" w:lineRule="exact"/>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响应文件未附有采购人不能接受或不符合磋商文件的技术要求</w:t>
            </w:r>
            <w:r>
              <w:rPr>
                <w:rFonts w:hint="eastAsia" w:ascii="仿宋" w:hAnsi="仿宋" w:eastAsia="仿宋" w:cs="仿宋"/>
                <w:sz w:val="24"/>
                <w:szCs w:val="24"/>
                <w:highlight w:val="none"/>
                <w:lang w:eastAsia="zh-CN"/>
              </w:rPr>
              <w:t>；</w:t>
            </w:r>
          </w:p>
        </w:tc>
        <w:tc>
          <w:tcPr>
            <w:tcW w:w="408" w:type="pct"/>
            <w:vMerge w:val="restart"/>
            <w:tcBorders>
              <w:tl2br w:val="nil"/>
              <w:tr2bl w:val="nil"/>
            </w:tcBorders>
            <w:noWrap w:val="0"/>
            <w:vAlign w:val="center"/>
          </w:tcPr>
          <w:p w14:paraId="015DB478">
            <w:pPr>
              <w:pStyle w:val="14"/>
              <w:spacing w:line="460" w:lineRule="exact"/>
              <w:outlineLvl w:val="9"/>
              <w:rPr>
                <w:rFonts w:hint="eastAsia" w:ascii="仿宋" w:hAnsi="仿宋" w:eastAsia="仿宋" w:cs="仿宋"/>
                <w:sz w:val="24"/>
                <w:szCs w:val="24"/>
                <w:highlight w:val="none"/>
              </w:rPr>
            </w:pPr>
          </w:p>
        </w:tc>
        <w:tc>
          <w:tcPr>
            <w:tcW w:w="480" w:type="pct"/>
            <w:vMerge w:val="restart"/>
            <w:tcBorders>
              <w:tl2br w:val="nil"/>
              <w:tr2bl w:val="nil"/>
            </w:tcBorders>
            <w:noWrap w:val="0"/>
            <w:vAlign w:val="center"/>
          </w:tcPr>
          <w:p w14:paraId="62687A49">
            <w:pPr>
              <w:pStyle w:val="14"/>
              <w:spacing w:line="460" w:lineRule="exact"/>
              <w:outlineLvl w:val="9"/>
              <w:rPr>
                <w:rFonts w:hint="eastAsia" w:ascii="仿宋" w:hAnsi="仿宋" w:eastAsia="仿宋" w:cs="仿宋"/>
                <w:sz w:val="24"/>
                <w:szCs w:val="24"/>
                <w:highlight w:val="none"/>
              </w:rPr>
            </w:pPr>
          </w:p>
        </w:tc>
      </w:tr>
      <w:tr w14:paraId="40B2690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75" w:type="dxa"/>
            <w:left w:w="75" w:type="dxa"/>
            <w:bottom w:w="75" w:type="dxa"/>
            <w:right w:w="75" w:type="dxa"/>
          </w:tblCellMar>
        </w:tblPrEx>
        <w:trPr>
          <w:trHeight w:val="235" w:hRule="atLeast"/>
          <w:jc w:val="center"/>
        </w:trPr>
        <w:tc>
          <w:tcPr>
            <w:tcW w:w="391" w:type="pct"/>
            <w:tcBorders>
              <w:tl2br w:val="nil"/>
              <w:tr2bl w:val="nil"/>
            </w:tcBorders>
            <w:noWrap w:val="0"/>
            <w:vAlign w:val="center"/>
          </w:tcPr>
          <w:p w14:paraId="2BFE3771">
            <w:pPr>
              <w:pStyle w:val="14"/>
              <w:spacing w:line="46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902" w:type="pct"/>
            <w:tcBorders>
              <w:top w:val="single" w:color="000000" w:sz="2" w:space="0"/>
              <w:bottom w:val="single" w:color="000000" w:sz="2" w:space="0"/>
              <w:tl2br w:val="nil"/>
              <w:tr2bl w:val="nil"/>
            </w:tcBorders>
            <w:noWrap w:val="0"/>
            <w:vAlign w:val="center"/>
          </w:tcPr>
          <w:p w14:paraId="54A969B0">
            <w:pPr>
              <w:pStyle w:val="14"/>
              <w:spacing w:line="46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其他要求</w:t>
            </w:r>
          </w:p>
        </w:tc>
        <w:tc>
          <w:tcPr>
            <w:tcW w:w="2816" w:type="pct"/>
            <w:tcBorders>
              <w:top w:val="single" w:color="000000" w:sz="2" w:space="0"/>
              <w:bottom w:val="single" w:color="000000" w:sz="2" w:space="0"/>
              <w:tl2br w:val="nil"/>
              <w:tr2bl w:val="nil"/>
            </w:tcBorders>
            <w:noWrap w:val="0"/>
            <w:vAlign w:val="center"/>
          </w:tcPr>
          <w:p w14:paraId="0576BDA4">
            <w:pPr>
              <w:pStyle w:val="14"/>
              <w:spacing w:line="460" w:lineRule="exact"/>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响应文件</w:t>
            </w:r>
            <w:r>
              <w:rPr>
                <w:rFonts w:hint="eastAsia" w:ascii="仿宋" w:hAnsi="仿宋" w:eastAsia="仿宋" w:cs="仿宋"/>
                <w:sz w:val="24"/>
                <w:szCs w:val="24"/>
                <w:highlight w:val="none"/>
                <w:lang w:val="en-US" w:eastAsia="zh-CN"/>
              </w:rPr>
              <w:t>不</w:t>
            </w:r>
            <w:r>
              <w:rPr>
                <w:rFonts w:hint="eastAsia" w:ascii="仿宋" w:hAnsi="仿宋" w:eastAsia="仿宋" w:cs="仿宋"/>
                <w:sz w:val="24"/>
                <w:szCs w:val="24"/>
                <w:highlight w:val="none"/>
                <w:lang w:eastAsia="zh-CN"/>
              </w:rPr>
              <w:t>存在</w:t>
            </w:r>
            <w:r>
              <w:rPr>
                <w:rFonts w:hint="eastAsia" w:ascii="仿宋" w:hAnsi="仿宋" w:eastAsia="仿宋" w:cs="仿宋"/>
                <w:sz w:val="24"/>
                <w:szCs w:val="24"/>
                <w:highlight w:val="none"/>
              </w:rPr>
              <w:t>法律、法规和招标文件规定的其他无效情形</w:t>
            </w:r>
            <w:r>
              <w:rPr>
                <w:rFonts w:hint="eastAsia" w:ascii="仿宋" w:hAnsi="仿宋" w:eastAsia="仿宋" w:cs="仿宋"/>
                <w:sz w:val="24"/>
                <w:szCs w:val="24"/>
                <w:highlight w:val="none"/>
                <w:lang w:eastAsia="zh-CN"/>
              </w:rPr>
              <w:t>；</w:t>
            </w:r>
          </w:p>
        </w:tc>
        <w:tc>
          <w:tcPr>
            <w:tcW w:w="408" w:type="pct"/>
            <w:vMerge w:val="continue"/>
            <w:tcBorders>
              <w:tl2br w:val="nil"/>
              <w:tr2bl w:val="nil"/>
            </w:tcBorders>
            <w:noWrap w:val="0"/>
            <w:vAlign w:val="center"/>
          </w:tcPr>
          <w:p w14:paraId="257223F3">
            <w:pPr>
              <w:pStyle w:val="14"/>
              <w:spacing w:line="460" w:lineRule="exact"/>
              <w:outlineLvl w:val="9"/>
              <w:rPr>
                <w:rFonts w:hint="eastAsia" w:ascii="仿宋" w:hAnsi="仿宋" w:eastAsia="仿宋" w:cs="仿宋"/>
                <w:sz w:val="24"/>
                <w:szCs w:val="24"/>
                <w:highlight w:val="none"/>
              </w:rPr>
            </w:pPr>
          </w:p>
        </w:tc>
        <w:tc>
          <w:tcPr>
            <w:tcW w:w="480" w:type="pct"/>
            <w:vMerge w:val="continue"/>
            <w:tcBorders>
              <w:tl2br w:val="nil"/>
              <w:tr2bl w:val="nil"/>
            </w:tcBorders>
            <w:noWrap w:val="0"/>
            <w:vAlign w:val="center"/>
          </w:tcPr>
          <w:p w14:paraId="22EFDB7D">
            <w:pPr>
              <w:pStyle w:val="14"/>
              <w:spacing w:line="460" w:lineRule="exact"/>
              <w:outlineLvl w:val="9"/>
              <w:rPr>
                <w:rFonts w:hint="eastAsia" w:ascii="仿宋" w:hAnsi="仿宋" w:eastAsia="仿宋" w:cs="仿宋"/>
                <w:sz w:val="24"/>
                <w:szCs w:val="24"/>
                <w:highlight w:val="none"/>
              </w:rPr>
            </w:pPr>
          </w:p>
        </w:tc>
      </w:tr>
    </w:tbl>
    <w:p w14:paraId="35115541">
      <w:pPr>
        <w:tabs>
          <w:tab w:val="left" w:pos="1080"/>
        </w:tabs>
        <w:snapToGrid w:val="0"/>
        <w:spacing w:line="240" w:lineRule="auto"/>
        <w:jc w:val="center"/>
        <w:rPr>
          <w:rFonts w:hint="eastAsia" w:ascii="仿宋" w:hAnsi="仿宋" w:eastAsia="仿宋" w:cs="仿宋"/>
          <w:sz w:val="24"/>
          <w:szCs w:val="24"/>
          <w:highlight w:val="none"/>
          <w:lang w:val="en-US" w:eastAsia="zh-CN"/>
        </w:rPr>
      </w:pPr>
    </w:p>
    <w:p w14:paraId="3C43A72F">
      <w:pPr>
        <w:tabs>
          <w:tab w:val="left" w:pos="1080"/>
        </w:tabs>
        <w:snapToGrid w:val="0"/>
        <w:spacing w:line="240" w:lineRule="auto"/>
        <w:jc w:val="center"/>
        <w:rPr>
          <w:rFonts w:hint="eastAsia" w:ascii="仿宋" w:hAnsi="仿宋" w:eastAsia="仿宋" w:cs="仿宋"/>
          <w:sz w:val="24"/>
          <w:szCs w:val="24"/>
          <w:highlight w:val="none"/>
          <w:lang w:val="en-US" w:eastAsia="zh-CN"/>
        </w:rPr>
      </w:pPr>
    </w:p>
    <w:p w14:paraId="5CB60E77">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四、商务和技术评分表</w:t>
      </w:r>
    </w:p>
    <w:tbl>
      <w:tblPr>
        <w:tblStyle w:val="69"/>
        <w:tblW w:w="98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1225"/>
        <w:gridCol w:w="713"/>
        <w:gridCol w:w="7174"/>
      </w:tblGrid>
      <w:tr w14:paraId="341D0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00" w:type="dxa"/>
            <w:noWrap w:val="0"/>
            <w:vAlign w:val="center"/>
          </w:tcPr>
          <w:p w14:paraId="1403DCB4">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序号</w:t>
            </w:r>
          </w:p>
        </w:tc>
        <w:tc>
          <w:tcPr>
            <w:tcW w:w="1225" w:type="dxa"/>
            <w:noWrap w:val="0"/>
            <w:vAlign w:val="center"/>
          </w:tcPr>
          <w:p w14:paraId="3FA2D256">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评审点</w:t>
            </w:r>
          </w:p>
        </w:tc>
        <w:tc>
          <w:tcPr>
            <w:tcW w:w="713" w:type="dxa"/>
            <w:noWrap w:val="0"/>
            <w:vAlign w:val="center"/>
          </w:tcPr>
          <w:p w14:paraId="4B74F7EB">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分值</w:t>
            </w:r>
          </w:p>
        </w:tc>
        <w:tc>
          <w:tcPr>
            <w:tcW w:w="7174" w:type="dxa"/>
            <w:noWrap w:val="0"/>
            <w:vAlign w:val="center"/>
          </w:tcPr>
          <w:p w14:paraId="066001F8">
            <w:pPr>
              <w:spacing w:line="360" w:lineRule="auto"/>
              <w:jc w:val="center"/>
              <w:rPr>
                <w:rFonts w:hint="eastAsia" w:ascii="仿宋" w:hAnsi="仿宋" w:eastAsia="仿宋" w:cs="仿宋"/>
                <w:sz w:val="24"/>
                <w:szCs w:val="22"/>
                <w:highlight w:val="none"/>
                <w:lang w:eastAsia="zh-CN"/>
              </w:rPr>
            </w:pPr>
            <w:r>
              <w:rPr>
                <w:rFonts w:hint="eastAsia" w:ascii="仿宋" w:hAnsi="仿宋" w:eastAsia="仿宋" w:cs="仿宋"/>
                <w:b/>
                <w:bCs/>
                <w:sz w:val="24"/>
                <w:szCs w:val="24"/>
                <w:highlight w:val="none"/>
                <w:lang w:val="en-US" w:eastAsia="zh-CN"/>
              </w:rPr>
              <w:t>评分因素</w:t>
            </w:r>
          </w:p>
        </w:tc>
      </w:tr>
      <w:tr w14:paraId="533C9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00" w:type="dxa"/>
            <w:noWrap w:val="0"/>
            <w:vAlign w:val="center"/>
          </w:tcPr>
          <w:p w14:paraId="65223458">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225" w:type="dxa"/>
            <w:noWrap w:val="0"/>
            <w:vAlign w:val="center"/>
          </w:tcPr>
          <w:p w14:paraId="5EA46D7B">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价格评审</w:t>
            </w:r>
          </w:p>
        </w:tc>
        <w:tc>
          <w:tcPr>
            <w:tcW w:w="713" w:type="dxa"/>
            <w:noWrap w:val="0"/>
            <w:vAlign w:val="center"/>
          </w:tcPr>
          <w:p w14:paraId="5B7F3CB0">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10分</w:t>
            </w:r>
          </w:p>
        </w:tc>
        <w:tc>
          <w:tcPr>
            <w:tcW w:w="7174" w:type="dxa"/>
            <w:noWrap w:val="0"/>
            <w:vAlign w:val="center"/>
          </w:tcPr>
          <w:p w14:paraId="19A04D1E">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以经评委会一致认定满足磋商文件要求且投标价格最低的投标报价为评审基准价，其价格得分计1</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分。其他供应商的价格得分统一按公式计算：报价得分＝评标基准价/投标报价×投标报价权重。</w:t>
            </w:r>
          </w:p>
        </w:tc>
      </w:tr>
      <w:tr w14:paraId="1497F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700" w:type="dxa"/>
            <w:noWrap w:val="0"/>
            <w:vAlign w:val="center"/>
          </w:tcPr>
          <w:p w14:paraId="7D817A14">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225" w:type="dxa"/>
            <w:noWrap w:val="0"/>
            <w:vAlign w:val="center"/>
          </w:tcPr>
          <w:p w14:paraId="24CE0750">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项目理解</w:t>
            </w:r>
          </w:p>
        </w:tc>
        <w:tc>
          <w:tcPr>
            <w:tcW w:w="713" w:type="dxa"/>
            <w:noWrap w:val="0"/>
            <w:vAlign w:val="center"/>
          </w:tcPr>
          <w:p w14:paraId="3576452E">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20分</w:t>
            </w:r>
          </w:p>
        </w:tc>
        <w:tc>
          <w:tcPr>
            <w:tcW w:w="7174" w:type="dxa"/>
            <w:noWrap w:val="0"/>
            <w:vAlign w:val="center"/>
          </w:tcPr>
          <w:p w14:paraId="43394888">
            <w:p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 xml:space="preserve">为保证项目顺利实施，供应商须对本项目人才培养的理解进行分析,分析内容包括：①如何提高区域医疗服务水平；②如何强化专科医疗能力；③如何促进科研和学术交流；④如何服务区域医疗卫生事业可持续发展；⑤如何服务区域居民健康需求；以上 5 项内容有针对性、把握重点、难点及关键点等合理得 </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 xml:space="preserve"> 分；每缺漏一项内容扣 </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分，每有一处内容存在缺陷的扣 </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分；扣完为止。注：“缺陷”定义</w:t>
            </w:r>
            <w:r>
              <w:rPr>
                <w:rFonts w:hint="eastAsia" w:ascii="仿宋" w:hAnsi="仿宋" w:eastAsia="仿宋" w:cs="仿宋"/>
                <w:sz w:val="24"/>
                <w:szCs w:val="24"/>
                <w:highlight w:val="none"/>
                <w:lang w:val="en-US" w:eastAsia="zh-CN"/>
              </w:rPr>
              <w:t>见本表注释</w:t>
            </w:r>
            <w:r>
              <w:rPr>
                <w:rFonts w:hint="eastAsia" w:ascii="仿宋" w:hAnsi="仿宋" w:eastAsia="仿宋" w:cs="仿宋"/>
                <w:sz w:val="24"/>
                <w:szCs w:val="24"/>
                <w:highlight w:val="none"/>
              </w:rPr>
              <w:t>。</w:t>
            </w:r>
          </w:p>
        </w:tc>
      </w:tr>
      <w:tr w14:paraId="251AB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700" w:type="dxa"/>
            <w:noWrap w:val="0"/>
            <w:vAlign w:val="center"/>
          </w:tcPr>
          <w:p w14:paraId="6E83608F">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1225" w:type="dxa"/>
            <w:noWrap w:val="0"/>
            <w:vAlign w:val="center"/>
          </w:tcPr>
          <w:p w14:paraId="203DB7B7">
            <w:pPr>
              <w:pStyle w:val="221"/>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实施</w:t>
            </w:r>
            <w:r>
              <w:rPr>
                <w:rFonts w:hint="eastAsia" w:ascii="仿宋" w:hAnsi="仿宋" w:eastAsia="仿宋" w:cs="仿宋"/>
                <w:sz w:val="24"/>
                <w:highlight w:val="none"/>
              </w:rPr>
              <w:t>方案</w:t>
            </w:r>
          </w:p>
        </w:tc>
        <w:tc>
          <w:tcPr>
            <w:tcW w:w="713" w:type="dxa"/>
            <w:noWrap w:val="0"/>
            <w:vAlign w:val="center"/>
          </w:tcPr>
          <w:p w14:paraId="7DF7D3A2">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24</w:t>
            </w:r>
            <w:r>
              <w:rPr>
                <w:rFonts w:hint="eastAsia" w:ascii="仿宋" w:hAnsi="仿宋" w:eastAsia="仿宋" w:cs="仿宋"/>
                <w:sz w:val="24"/>
                <w:highlight w:val="none"/>
              </w:rPr>
              <w:t>分</w:t>
            </w:r>
          </w:p>
        </w:tc>
        <w:tc>
          <w:tcPr>
            <w:tcW w:w="7174" w:type="dxa"/>
            <w:noWrap w:val="0"/>
            <w:vAlign w:val="center"/>
          </w:tcPr>
          <w:p w14:paraId="7D1E45C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供应商针对本项目提供的实施方案进行评审，评审内容包括：①培训时间安排；②培训方案设计；③培训内容；④培训师资；⑤培训形式；⑥住宿方案、⑦餐饮保障方案、⑧交通出行安排方案。以上 8 项内容</w:t>
            </w:r>
          </w:p>
          <w:p w14:paraId="0D3BC14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齐全且满足本项目需求的得 24 分；每缺漏一项内容扣 3 分，每有一处内容存在缺陷的扣 1.5 分；扣完为止。</w:t>
            </w:r>
          </w:p>
          <w:p w14:paraId="04493340">
            <w:p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“缺陷”定义</w:t>
            </w:r>
            <w:r>
              <w:rPr>
                <w:rFonts w:hint="eastAsia" w:ascii="仿宋" w:hAnsi="仿宋" w:eastAsia="仿宋" w:cs="仿宋"/>
                <w:sz w:val="24"/>
                <w:szCs w:val="24"/>
                <w:highlight w:val="none"/>
                <w:lang w:val="en-US" w:eastAsia="zh-CN"/>
              </w:rPr>
              <w:t>见本表注释</w:t>
            </w:r>
            <w:r>
              <w:rPr>
                <w:rFonts w:hint="eastAsia" w:ascii="仿宋" w:hAnsi="仿宋" w:eastAsia="仿宋" w:cs="仿宋"/>
                <w:sz w:val="24"/>
                <w:szCs w:val="24"/>
                <w:highlight w:val="none"/>
              </w:rPr>
              <w:t>。</w:t>
            </w:r>
          </w:p>
        </w:tc>
      </w:tr>
      <w:tr w14:paraId="5F06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700" w:type="dxa"/>
            <w:noWrap w:val="0"/>
            <w:vAlign w:val="center"/>
          </w:tcPr>
          <w:p w14:paraId="63D3AD77">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25" w:type="dxa"/>
            <w:noWrap w:val="0"/>
            <w:vAlign w:val="center"/>
          </w:tcPr>
          <w:p w14:paraId="256AF81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应急保障措施</w:t>
            </w:r>
          </w:p>
        </w:tc>
        <w:tc>
          <w:tcPr>
            <w:tcW w:w="713" w:type="dxa"/>
            <w:noWrap w:val="0"/>
            <w:vAlign w:val="center"/>
          </w:tcPr>
          <w:p w14:paraId="4422EF5D">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c>
          <w:tcPr>
            <w:tcW w:w="7174" w:type="dxa"/>
            <w:noWrap w:val="0"/>
            <w:vAlign w:val="center"/>
          </w:tcPr>
          <w:p w14:paraId="32BEDE6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投标人需结合本项目实际，对突发性事件预估合理性、全面性、可操作性，提出应急预案（内容包括：①人员安全防护、②人员突发各类疾病、③交通安全、④紧急情况应急措施、⑤食物中毒等），内容详细满分 10 分，每缺漏一项内容扣 2 分，每有一处内容存在缺陷的扣 1分；扣完为止。</w:t>
            </w:r>
          </w:p>
          <w:p w14:paraId="172E7F5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“缺陷”定义</w:t>
            </w:r>
            <w:r>
              <w:rPr>
                <w:rFonts w:hint="eastAsia" w:ascii="仿宋" w:hAnsi="仿宋" w:eastAsia="仿宋" w:cs="仿宋"/>
                <w:sz w:val="24"/>
                <w:szCs w:val="24"/>
                <w:highlight w:val="none"/>
                <w:lang w:val="en-US" w:eastAsia="zh-CN"/>
              </w:rPr>
              <w:t>见本表注释</w:t>
            </w:r>
            <w:r>
              <w:rPr>
                <w:rFonts w:hint="eastAsia" w:ascii="仿宋" w:hAnsi="仿宋" w:eastAsia="仿宋" w:cs="仿宋"/>
                <w:sz w:val="24"/>
                <w:szCs w:val="24"/>
                <w:highlight w:val="none"/>
              </w:rPr>
              <w:t>。</w:t>
            </w:r>
          </w:p>
        </w:tc>
      </w:tr>
      <w:tr w14:paraId="66DD7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00" w:type="dxa"/>
            <w:noWrap w:val="0"/>
            <w:vAlign w:val="center"/>
          </w:tcPr>
          <w:p w14:paraId="479683FA">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225" w:type="dxa"/>
            <w:noWrap w:val="0"/>
            <w:vAlign w:val="center"/>
          </w:tcPr>
          <w:p w14:paraId="4ED9FEDD">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培训资源</w:t>
            </w:r>
          </w:p>
        </w:tc>
        <w:tc>
          <w:tcPr>
            <w:tcW w:w="713" w:type="dxa"/>
            <w:noWrap w:val="0"/>
            <w:vAlign w:val="center"/>
          </w:tcPr>
          <w:p w14:paraId="633AFBC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7174" w:type="dxa"/>
            <w:noWrap w:val="0"/>
            <w:vAlign w:val="center"/>
          </w:tcPr>
          <w:p w14:paraId="069FC83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每邀请 1 名正高级职称（教授、主任医师）</w:t>
            </w:r>
            <w:r>
              <w:rPr>
                <w:rFonts w:hint="eastAsia" w:ascii="仿宋" w:hAnsi="仿宋" w:eastAsia="仿宋" w:cs="仿宋"/>
                <w:sz w:val="24"/>
                <w:szCs w:val="24"/>
                <w:highlight w:val="none"/>
                <w:lang w:val="en-US" w:eastAsia="zh-CN"/>
              </w:rPr>
              <w:t>或三甲医院5年以上临床工作经验的理论授课教师</w:t>
            </w:r>
            <w:r>
              <w:rPr>
                <w:rFonts w:hint="eastAsia" w:ascii="仿宋" w:hAnsi="仿宋" w:eastAsia="仿宋" w:cs="仿宋"/>
                <w:sz w:val="24"/>
                <w:szCs w:val="24"/>
                <w:highlight w:val="none"/>
              </w:rPr>
              <w:t>进行培训得 2 分；</w:t>
            </w:r>
          </w:p>
          <w:p w14:paraId="0EE32DD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每邀请 1 名副高级职称（副教授、副主任医师）</w:t>
            </w:r>
            <w:r>
              <w:rPr>
                <w:rFonts w:hint="eastAsia" w:ascii="仿宋" w:hAnsi="仿宋" w:eastAsia="仿宋" w:cs="仿宋"/>
                <w:sz w:val="24"/>
                <w:szCs w:val="24"/>
                <w:highlight w:val="none"/>
                <w:lang w:val="en-US" w:eastAsia="zh-CN"/>
              </w:rPr>
              <w:t>或具有连续3年以上医师资格考试培训经验的理论授课教师</w:t>
            </w:r>
            <w:r>
              <w:rPr>
                <w:rFonts w:hint="eastAsia" w:ascii="仿宋" w:hAnsi="仿宋" w:eastAsia="仿宋" w:cs="仿宋"/>
                <w:sz w:val="24"/>
                <w:szCs w:val="24"/>
                <w:highlight w:val="none"/>
              </w:rPr>
              <w:t>进行培训得 1 分；</w:t>
            </w:r>
          </w:p>
          <w:p w14:paraId="13F604E2">
            <w:pPr>
              <w:spacing w:line="360" w:lineRule="auto"/>
              <w:rPr>
                <w:rFonts w:hint="eastAsia" w:ascii="仿宋" w:hAnsi="仿宋" w:eastAsia="仿宋" w:cs="仿宋"/>
                <w:highlight w:val="none"/>
              </w:rPr>
            </w:pPr>
            <w:r>
              <w:rPr>
                <w:rFonts w:hint="eastAsia" w:ascii="仿宋" w:hAnsi="仿宋" w:eastAsia="仿宋" w:cs="仿宋"/>
                <w:sz w:val="24"/>
                <w:szCs w:val="24"/>
                <w:highlight w:val="none"/>
              </w:rPr>
              <w:t xml:space="preserve">最多得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 分，供应商须提供培训专家职称证书，未提供不得分。</w:t>
            </w:r>
          </w:p>
        </w:tc>
      </w:tr>
      <w:tr w14:paraId="4E110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00" w:type="dxa"/>
            <w:noWrap w:val="0"/>
            <w:vAlign w:val="center"/>
          </w:tcPr>
          <w:p w14:paraId="1C11089B">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225" w:type="dxa"/>
            <w:noWrap w:val="0"/>
            <w:vAlign w:val="center"/>
          </w:tcPr>
          <w:p w14:paraId="05D93477">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类似业绩</w:t>
            </w:r>
          </w:p>
        </w:tc>
        <w:tc>
          <w:tcPr>
            <w:tcW w:w="713" w:type="dxa"/>
            <w:noWrap w:val="0"/>
            <w:vAlign w:val="center"/>
          </w:tcPr>
          <w:p w14:paraId="6516751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c>
          <w:tcPr>
            <w:tcW w:w="7174" w:type="dxa"/>
            <w:noWrap w:val="0"/>
            <w:vAlign w:val="center"/>
          </w:tcPr>
          <w:p w14:paraId="09CD8AB1">
            <w:pPr>
              <w:spacing w:line="360" w:lineRule="auto"/>
              <w:rPr>
                <w:rFonts w:hint="eastAsia" w:ascii="仿宋" w:hAnsi="仿宋" w:eastAsia="仿宋" w:cs="仿宋"/>
                <w:b/>
                <w:bCs/>
                <w:color w:val="000000"/>
                <w:sz w:val="24"/>
                <w:szCs w:val="22"/>
                <w:highlight w:val="none"/>
              </w:rPr>
            </w:pPr>
            <w:r>
              <w:rPr>
                <w:rFonts w:hint="eastAsia" w:ascii="仿宋" w:hAnsi="仿宋" w:eastAsia="仿宋" w:cs="仿宋"/>
                <w:color w:val="000000"/>
                <w:sz w:val="24"/>
                <w:szCs w:val="22"/>
                <w:highlight w:val="none"/>
              </w:rPr>
              <w:t>供应商近三年（202</w:t>
            </w:r>
            <w:r>
              <w:rPr>
                <w:rFonts w:hint="eastAsia" w:ascii="仿宋" w:hAnsi="仿宋" w:eastAsia="仿宋" w:cs="仿宋"/>
                <w:color w:val="000000"/>
                <w:sz w:val="24"/>
                <w:szCs w:val="22"/>
                <w:highlight w:val="none"/>
                <w:lang w:val="en-US" w:eastAsia="zh-CN"/>
              </w:rPr>
              <w:t>2</w:t>
            </w:r>
            <w:r>
              <w:rPr>
                <w:rFonts w:hint="eastAsia" w:ascii="仿宋" w:hAnsi="仿宋" w:eastAsia="仿宋" w:cs="仿宋"/>
                <w:color w:val="000000"/>
                <w:sz w:val="24"/>
                <w:szCs w:val="22"/>
                <w:highlight w:val="none"/>
              </w:rPr>
              <w:t xml:space="preserve">年 </w:t>
            </w:r>
            <w:r>
              <w:rPr>
                <w:rFonts w:hint="eastAsia" w:ascii="仿宋" w:hAnsi="仿宋" w:eastAsia="仿宋" w:cs="仿宋"/>
                <w:color w:val="000000"/>
                <w:sz w:val="24"/>
                <w:szCs w:val="22"/>
                <w:highlight w:val="none"/>
                <w:lang w:val="en-US" w:eastAsia="zh-CN"/>
              </w:rPr>
              <w:t>7</w:t>
            </w:r>
            <w:r>
              <w:rPr>
                <w:rFonts w:hint="eastAsia" w:ascii="仿宋" w:hAnsi="仿宋" w:eastAsia="仿宋" w:cs="仿宋"/>
                <w:color w:val="000000"/>
                <w:sz w:val="24"/>
                <w:szCs w:val="22"/>
                <w:highlight w:val="none"/>
              </w:rPr>
              <w:t xml:space="preserve"> 月至今）承担过类似项目的，每个计</w:t>
            </w:r>
            <w:r>
              <w:rPr>
                <w:rFonts w:hint="eastAsia" w:ascii="仿宋" w:hAnsi="仿宋" w:eastAsia="仿宋" w:cs="仿宋"/>
                <w:color w:val="000000"/>
                <w:sz w:val="24"/>
                <w:szCs w:val="22"/>
                <w:highlight w:val="none"/>
                <w:lang w:val="en-US" w:eastAsia="zh-CN"/>
              </w:rPr>
              <w:t>2</w:t>
            </w:r>
            <w:r>
              <w:rPr>
                <w:rFonts w:hint="eastAsia" w:ascii="仿宋" w:hAnsi="仿宋" w:eastAsia="仿宋" w:cs="仿宋"/>
                <w:color w:val="000000"/>
                <w:sz w:val="24"/>
                <w:szCs w:val="22"/>
                <w:highlight w:val="none"/>
              </w:rPr>
              <w:t xml:space="preserve">分，计满 </w:t>
            </w:r>
            <w:r>
              <w:rPr>
                <w:rFonts w:hint="eastAsia" w:ascii="仿宋" w:hAnsi="仿宋" w:eastAsia="仿宋" w:cs="仿宋"/>
                <w:color w:val="000000"/>
                <w:sz w:val="24"/>
                <w:szCs w:val="22"/>
                <w:highlight w:val="none"/>
                <w:lang w:val="en-US" w:eastAsia="zh-CN"/>
              </w:rPr>
              <w:t>4</w:t>
            </w:r>
            <w:r>
              <w:rPr>
                <w:rFonts w:hint="eastAsia" w:ascii="仿宋" w:hAnsi="仿宋" w:eastAsia="仿宋" w:cs="仿宋"/>
                <w:color w:val="000000"/>
                <w:sz w:val="24"/>
                <w:szCs w:val="22"/>
                <w:highlight w:val="none"/>
              </w:rPr>
              <w:t xml:space="preserve"> 分为止。（提供合同扫描件并加盖公章，未提供或资料不全的不得分。）</w:t>
            </w:r>
          </w:p>
        </w:tc>
      </w:tr>
      <w:tr w14:paraId="65EF9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00" w:type="dxa"/>
            <w:vMerge w:val="restart"/>
            <w:noWrap w:val="0"/>
            <w:vAlign w:val="center"/>
          </w:tcPr>
          <w:p w14:paraId="14F70B1D">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1225" w:type="dxa"/>
            <w:vMerge w:val="restart"/>
            <w:noWrap w:val="0"/>
            <w:vAlign w:val="center"/>
          </w:tcPr>
          <w:p w14:paraId="308B7BF7">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服务团队实力</w:t>
            </w:r>
          </w:p>
        </w:tc>
        <w:tc>
          <w:tcPr>
            <w:tcW w:w="713" w:type="dxa"/>
            <w:noWrap w:val="0"/>
            <w:vAlign w:val="center"/>
          </w:tcPr>
          <w:p w14:paraId="520ECF7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10分</w:t>
            </w:r>
          </w:p>
        </w:tc>
        <w:tc>
          <w:tcPr>
            <w:tcW w:w="7174" w:type="dxa"/>
            <w:noWrap w:val="0"/>
            <w:vAlign w:val="center"/>
          </w:tcPr>
          <w:p w14:paraId="12F48B8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项目团队成员（10分）：教学服务团队成员配备科学合理，投标人拟派教辅团队成员具有卫生专业技术资格证书中级（含）以上资格证；每有一人得 2 分，最高得 4 分，其余不得分。</w:t>
            </w:r>
          </w:p>
          <w:p w14:paraId="7374BEE2">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教学服务团队成员具有医师资格证相关专业证书的，每有一人得1分，最高得6分，其余不得分。</w:t>
            </w:r>
          </w:p>
          <w:p w14:paraId="7BEF2C2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项目团队成员中投标人拟派教辅团队成员和教学服务团队成员不能为同一人；以上人员须提供证书、劳动合同原件、近三个月本单位社保缴纳证明（或退休返聘合同及3个月发放工资证明）的扫描件并加盖公章，否则不得分。</w:t>
            </w:r>
          </w:p>
        </w:tc>
      </w:tr>
      <w:tr w14:paraId="1E878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00" w:type="dxa"/>
            <w:vMerge w:val="continue"/>
            <w:noWrap w:val="0"/>
            <w:vAlign w:val="center"/>
          </w:tcPr>
          <w:p w14:paraId="68FC6612">
            <w:pPr>
              <w:spacing w:line="360" w:lineRule="auto"/>
              <w:ind w:firstLine="482" w:firstLineChars="0"/>
              <w:rPr>
                <w:rFonts w:hint="eastAsia" w:ascii="仿宋" w:hAnsi="仿宋" w:eastAsia="仿宋" w:cs="仿宋"/>
              </w:rPr>
            </w:pPr>
          </w:p>
        </w:tc>
        <w:tc>
          <w:tcPr>
            <w:tcW w:w="1225" w:type="dxa"/>
            <w:vMerge w:val="continue"/>
            <w:noWrap w:val="0"/>
            <w:vAlign w:val="center"/>
          </w:tcPr>
          <w:p w14:paraId="785DBB5A">
            <w:pPr>
              <w:spacing w:line="360" w:lineRule="auto"/>
              <w:ind w:firstLine="482" w:firstLineChars="0"/>
              <w:rPr>
                <w:rFonts w:hint="eastAsia" w:ascii="仿宋" w:hAnsi="仿宋" w:eastAsia="仿宋" w:cs="仿宋"/>
              </w:rPr>
            </w:pPr>
          </w:p>
        </w:tc>
        <w:tc>
          <w:tcPr>
            <w:tcW w:w="713" w:type="dxa"/>
            <w:noWrap w:val="0"/>
            <w:vAlign w:val="center"/>
          </w:tcPr>
          <w:p w14:paraId="065CEFEB">
            <w:pPr>
              <w:jc w:val="center"/>
              <w:rPr>
                <w:rFonts w:hint="eastAsia" w:ascii="仿宋" w:hAnsi="仿宋" w:eastAsia="仿宋" w:cs="仿宋"/>
                <w:lang w:val="en-US" w:eastAsia="zh-CN"/>
              </w:rPr>
            </w:pPr>
            <w:r>
              <w:rPr>
                <w:rFonts w:hint="eastAsia" w:ascii="仿宋" w:hAnsi="仿宋" w:eastAsia="仿宋" w:cs="仿宋"/>
                <w:kern w:val="2"/>
                <w:sz w:val="24"/>
                <w:szCs w:val="24"/>
                <w:highlight w:val="none"/>
                <w:lang w:val="en-US" w:eastAsia="zh-CN" w:bidi="ar-SA"/>
              </w:rPr>
              <w:t>6分</w:t>
            </w:r>
          </w:p>
        </w:tc>
        <w:tc>
          <w:tcPr>
            <w:tcW w:w="7174" w:type="dxa"/>
            <w:noWrap w:val="0"/>
            <w:vAlign w:val="center"/>
          </w:tcPr>
          <w:p w14:paraId="7A66C04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供应商同三级甲等（含）以上医疗机构、科研院所、医疗相关的社会组织有合作交流经验的，每提供一项证明文件得 3 分，满分 6 分，未提供的不得分。</w:t>
            </w:r>
          </w:p>
          <w:p w14:paraId="4FDA9C3C">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注：证明文件类型（同相应单位签订的合作协议或由合作单位出具的加盖公章的证明文件。）</w:t>
            </w:r>
          </w:p>
        </w:tc>
      </w:tr>
      <w:tr w14:paraId="70A8F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700" w:type="dxa"/>
            <w:noWrap w:val="0"/>
            <w:vAlign w:val="center"/>
          </w:tcPr>
          <w:p w14:paraId="5857BDC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1225" w:type="dxa"/>
            <w:noWrap w:val="0"/>
            <w:vAlign w:val="center"/>
          </w:tcPr>
          <w:p w14:paraId="12CD56CD">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相关承诺</w:t>
            </w:r>
          </w:p>
        </w:tc>
        <w:tc>
          <w:tcPr>
            <w:tcW w:w="713" w:type="dxa"/>
            <w:noWrap w:val="0"/>
            <w:vAlign w:val="center"/>
          </w:tcPr>
          <w:p w14:paraId="63F25B05">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6分</w:t>
            </w:r>
          </w:p>
        </w:tc>
        <w:tc>
          <w:tcPr>
            <w:tcW w:w="7174" w:type="dxa"/>
            <w:noWrap w:val="0"/>
            <w:vAlign w:val="center"/>
          </w:tcPr>
          <w:p w14:paraId="77C937F3">
            <w:pPr>
              <w:spacing w:line="360" w:lineRule="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lang w:val="en-US" w:eastAsia="zh-CN"/>
              </w:rPr>
              <w:t>1.</w:t>
            </w:r>
            <w:r>
              <w:rPr>
                <w:rFonts w:hint="eastAsia" w:ascii="仿宋" w:hAnsi="仿宋" w:eastAsia="仿宋" w:cs="仿宋"/>
                <w:color w:val="000000"/>
                <w:sz w:val="24"/>
                <w:szCs w:val="22"/>
                <w:highlight w:val="none"/>
              </w:rPr>
              <w:t xml:space="preserve">投标人承诺如中标，在合同履行期限内提供 </w:t>
            </w:r>
            <w:r>
              <w:rPr>
                <w:rFonts w:hint="eastAsia" w:ascii="仿宋" w:hAnsi="仿宋" w:eastAsia="仿宋" w:cs="仿宋"/>
                <w:color w:val="000000"/>
                <w:sz w:val="24"/>
                <w:szCs w:val="22"/>
                <w:highlight w:val="none"/>
                <w:lang w:val="en-US" w:eastAsia="zh-CN"/>
              </w:rPr>
              <w:t>7</w:t>
            </w:r>
            <w:r>
              <w:rPr>
                <w:rFonts w:hint="eastAsia" w:ascii="仿宋" w:hAnsi="仿宋" w:eastAsia="仿宋" w:cs="仿宋"/>
                <w:color w:val="000000"/>
                <w:sz w:val="24"/>
                <w:szCs w:val="22"/>
                <w:highlight w:val="none"/>
              </w:rPr>
              <w:t>*24 小时服务，的得 2 分；</w:t>
            </w:r>
          </w:p>
          <w:p w14:paraId="0E6D5E98">
            <w:pPr>
              <w:spacing w:line="360" w:lineRule="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2.投标人承诺如中标，在合同履行期限内，遵守采购人单位相关规章制度的得2 分；</w:t>
            </w:r>
          </w:p>
          <w:p w14:paraId="4D63D03E">
            <w:pPr>
              <w:spacing w:line="360" w:lineRule="auto"/>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3.投标人承诺如中标，在合同履行期限内，随时根据采购人单位要求替换不合格人员的得 </w:t>
            </w:r>
            <w:r>
              <w:rPr>
                <w:rFonts w:hint="eastAsia" w:ascii="仿宋" w:hAnsi="仿宋" w:eastAsia="仿宋" w:cs="仿宋"/>
                <w:color w:val="000000"/>
                <w:sz w:val="24"/>
                <w:szCs w:val="22"/>
                <w:highlight w:val="none"/>
                <w:lang w:val="en-US" w:eastAsia="zh-CN"/>
              </w:rPr>
              <w:t>2</w:t>
            </w:r>
            <w:r>
              <w:rPr>
                <w:rFonts w:hint="eastAsia" w:ascii="仿宋" w:hAnsi="仿宋" w:eastAsia="仿宋" w:cs="仿宋"/>
                <w:color w:val="000000"/>
                <w:sz w:val="24"/>
                <w:szCs w:val="22"/>
                <w:highlight w:val="none"/>
              </w:rPr>
              <w:t xml:space="preserve"> 分；</w:t>
            </w:r>
          </w:p>
          <w:p w14:paraId="317900B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2"/>
                <w:highlight w:val="none"/>
              </w:rPr>
              <w:t>注：上述三项承诺均须单独出具承诺书，格式自拟，承诺书内容包含上述承诺内容即可，承诺书附于电子投标文件中并加盖电子签章，未单独出具或未按要求承诺内容或未加盖电子签章的不予认可。</w:t>
            </w:r>
          </w:p>
        </w:tc>
      </w:tr>
      <w:tr w14:paraId="36509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noWrap w:val="0"/>
            <w:vAlign w:val="center"/>
          </w:tcPr>
          <w:p w14:paraId="267C756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总分</w:t>
            </w:r>
          </w:p>
        </w:tc>
        <w:tc>
          <w:tcPr>
            <w:tcW w:w="1938" w:type="dxa"/>
            <w:gridSpan w:val="2"/>
            <w:noWrap w:val="0"/>
            <w:vAlign w:val="center"/>
          </w:tcPr>
          <w:p w14:paraId="34C9FEF7">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100分</w:t>
            </w:r>
          </w:p>
        </w:tc>
        <w:tc>
          <w:tcPr>
            <w:tcW w:w="7174" w:type="dxa"/>
            <w:noWrap w:val="0"/>
            <w:vAlign w:val="center"/>
          </w:tcPr>
          <w:p w14:paraId="556BFF93">
            <w:pPr>
              <w:spacing w:line="360" w:lineRule="auto"/>
              <w:ind w:firstLine="482" w:firstLineChars="0"/>
              <w:rPr>
                <w:rFonts w:hint="eastAsia" w:ascii="仿宋" w:hAnsi="仿宋" w:eastAsia="仿宋" w:cs="仿宋"/>
                <w:color w:val="000000"/>
                <w:kern w:val="2"/>
                <w:sz w:val="24"/>
                <w:szCs w:val="22"/>
                <w:highlight w:val="none"/>
                <w:lang w:val="en-US" w:eastAsia="zh-CN" w:bidi="ar-SA"/>
              </w:rPr>
            </w:pPr>
          </w:p>
        </w:tc>
      </w:tr>
      <w:tr w14:paraId="24CD1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12" w:type="dxa"/>
            <w:gridSpan w:val="4"/>
            <w:noWrap w:val="0"/>
            <w:vAlign w:val="center"/>
          </w:tcPr>
          <w:p w14:paraId="337831DC">
            <w:pPr>
              <w:spacing w:line="360" w:lineRule="auto"/>
              <w:jc w:val="both"/>
              <w:rPr>
                <w:rFonts w:hint="eastAsia" w:ascii="仿宋" w:hAnsi="仿宋" w:eastAsia="仿宋" w:cs="仿宋"/>
                <w:color w:val="000000"/>
                <w:kern w:val="2"/>
                <w:sz w:val="24"/>
                <w:szCs w:val="22"/>
                <w:highlight w:val="none"/>
                <w:lang w:val="en-US" w:eastAsia="zh-CN" w:bidi="ar-SA"/>
              </w:rPr>
            </w:pPr>
            <w:bookmarkStart w:id="183" w:name="_Toc12532"/>
            <w:r>
              <w:rPr>
                <w:rFonts w:hint="eastAsia" w:ascii="仿宋" w:hAnsi="仿宋" w:eastAsia="仿宋" w:cs="仿宋"/>
                <w:color w:val="000000"/>
                <w:sz w:val="24"/>
                <w:szCs w:val="22"/>
                <w:highlight w:val="none"/>
                <w:lang w:val="en-US" w:eastAsia="zh-CN"/>
              </w:rPr>
              <w:t>注释：“</w:t>
            </w:r>
            <w:r>
              <w:rPr>
                <w:rFonts w:hint="eastAsia" w:ascii="仿宋" w:hAnsi="仿宋" w:eastAsia="仿宋" w:cs="仿宋"/>
                <w:color w:val="000000"/>
                <w:sz w:val="24"/>
                <w:szCs w:val="22"/>
                <w:highlight w:val="none"/>
              </w:rPr>
              <w:t>缺陷</w:t>
            </w:r>
            <w:r>
              <w:rPr>
                <w:rFonts w:hint="eastAsia" w:ascii="仿宋" w:hAnsi="仿宋" w:eastAsia="仿宋" w:cs="仿宋"/>
                <w:color w:val="000000"/>
                <w:sz w:val="24"/>
                <w:szCs w:val="22"/>
                <w:highlight w:val="none"/>
                <w:lang w:val="en-US" w:eastAsia="zh-CN"/>
              </w:rPr>
              <w:t>”</w:t>
            </w:r>
            <w:r>
              <w:rPr>
                <w:rFonts w:hint="eastAsia" w:ascii="仿宋" w:hAnsi="仿宋" w:eastAsia="仿宋" w:cs="仿宋"/>
                <w:color w:val="000000"/>
                <w:sz w:val="24"/>
                <w:szCs w:val="22"/>
                <w:highlight w:val="none"/>
              </w:rPr>
              <w:t>是指内容仅有标题或框架缺乏具体说明阐述；内容不符合国家、地方、行业标准、行业惯例以及项目特点；语言、项目名称、实施地点、政策、规范标准错误；内容生搬硬造、套用其他项目内容、与本项目无关的任一情形</w:t>
            </w:r>
            <w:r>
              <w:rPr>
                <w:rFonts w:hint="eastAsia" w:ascii="仿宋" w:hAnsi="仿宋" w:eastAsia="仿宋" w:cs="仿宋"/>
                <w:color w:val="000000"/>
                <w:sz w:val="24"/>
                <w:szCs w:val="22"/>
                <w:highlight w:val="none"/>
                <w:lang w:eastAsia="zh-CN"/>
              </w:rPr>
              <w:t>。</w:t>
            </w:r>
          </w:p>
        </w:tc>
      </w:tr>
    </w:tbl>
    <w:p w14:paraId="149E5231">
      <w:pPr>
        <w:widowControl/>
        <w:adjustRightInd w:val="0"/>
        <w:snapToGrid w:val="0"/>
        <w:spacing w:line="460" w:lineRule="exact"/>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三、推荐成交供应商</w:t>
      </w:r>
      <w:bookmarkEnd w:id="183"/>
    </w:p>
    <w:p w14:paraId="0A149A99">
      <w:pPr>
        <w:widowControl/>
        <w:adjustRightInd w:val="0"/>
        <w:snapToGrid w:val="0"/>
        <w:spacing w:line="460" w:lineRule="exact"/>
        <w:ind w:firstLine="480" w:firstLineChars="20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34805F09">
      <w:pPr>
        <w:widowControl/>
        <w:adjustRightInd w:val="0"/>
        <w:snapToGrid w:val="0"/>
        <w:spacing w:line="460" w:lineRule="exact"/>
        <w:ind w:firstLine="480" w:firstLineChars="200"/>
        <w:outlineLvl w:val="2"/>
        <w:rPr>
          <w:rFonts w:hint="eastAsia" w:ascii="仿宋" w:hAnsi="仿宋" w:eastAsia="仿宋" w:cs="仿宋"/>
          <w:bCs/>
          <w:sz w:val="24"/>
          <w:szCs w:val="24"/>
          <w:highlight w:val="none"/>
        </w:rPr>
      </w:pPr>
      <w:r>
        <w:rPr>
          <w:rFonts w:hint="eastAsia" w:ascii="仿宋" w:hAnsi="仿宋" w:eastAsia="仿宋" w:cs="仿宋"/>
          <w:bCs/>
          <w:sz w:val="24"/>
          <w:szCs w:val="24"/>
          <w:highlight w:val="none"/>
        </w:rPr>
        <w:t>2.评分计算方法解释</w:t>
      </w:r>
    </w:p>
    <w:p w14:paraId="7525EB2F">
      <w:pPr>
        <w:widowControl/>
        <w:adjustRightInd w:val="0"/>
        <w:snapToGrid w:val="0"/>
        <w:spacing w:line="460" w:lineRule="exact"/>
        <w:ind w:firstLine="480" w:firstLineChars="20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（1）供应商的评审得分是指所有磋商小组成员对其评分的算术平均值。</w:t>
      </w:r>
    </w:p>
    <w:p w14:paraId="6A9A4DD3">
      <w:pPr>
        <w:widowControl/>
        <w:adjustRightInd w:val="0"/>
        <w:snapToGrid w:val="0"/>
        <w:spacing w:line="460" w:lineRule="exact"/>
        <w:ind w:firstLine="480" w:firstLineChars="20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（2）计算过程中，算术平均值保留2位小数（百分比亦取2位小数），第三位小数四舍五入。</w:t>
      </w:r>
    </w:p>
    <w:p w14:paraId="4D5E8750">
      <w:pPr>
        <w:widowControl/>
        <w:adjustRightInd w:val="0"/>
        <w:snapToGrid w:val="0"/>
        <w:spacing w:line="460" w:lineRule="exact"/>
        <w:outlineLvl w:val="1"/>
        <w:rPr>
          <w:rFonts w:hint="eastAsia" w:ascii="仿宋" w:hAnsi="仿宋" w:eastAsia="仿宋" w:cs="仿宋"/>
          <w:b/>
          <w:bCs/>
          <w:sz w:val="30"/>
          <w:szCs w:val="30"/>
          <w:highlight w:val="none"/>
        </w:rPr>
      </w:pPr>
      <w:bookmarkStart w:id="184" w:name="_Toc3115"/>
      <w:r>
        <w:rPr>
          <w:rFonts w:hint="eastAsia" w:ascii="仿宋" w:hAnsi="仿宋" w:eastAsia="仿宋" w:cs="仿宋"/>
          <w:b/>
          <w:bCs/>
          <w:sz w:val="30"/>
          <w:szCs w:val="30"/>
          <w:highlight w:val="none"/>
        </w:rPr>
        <w:t>四、确定成交供应商</w:t>
      </w:r>
      <w:bookmarkEnd w:id="184"/>
    </w:p>
    <w:p w14:paraId="21A907EA">
      <w:pPr>
        <w:widowControl/>
        <w:adjustRightInd w:val="0"/>
        <w:snapToGrid w:val="0"/>
        <w:spacing w:line="460" w:lineRule="exact"/>
        <w:ind w:firstLine="480" w:firstLineChars="200"/>
        <w:jc w:val="left"/>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1.采购代理机构应当在评审结束后2个工作日内将评审报告送采购人确认。</w:t>
      </w:r>
    </w:p>
    <w:p w14:paraId="6D751510">
      <w:pPr>
        <w:widowControl/>
        <w:adjustRightInd w:val="0"/>
        <w:snapToGrid w:val="0"/>
        <w:spacing w:line="460" w:lineRule="exact"/>
        <w:ind w:firstLine="480" w:firstLineChars="200"/>
        <w:jc w:val="left"/>
        <w:outlineLvl w:val="9"/>
        <w:rPr>
          <w:rFonts w:hint="eastAsia" w:ascii="仿宋" w:hAnsi="仿宋" w:eastAsia="仿宋" w:cs="仿宋"/>
          <w:b/>
          <w:bCs/>
          <w:szCs w:val="20"/>
          <w:highlight w:val="none"/>
        </w:rPr>
      </w:pPr>
      <w:r>
        <w:rPr>
          <w:rFonts w:hint="eastAsia" w:ascii="仿宋" w:hAnsi="仿宋" w:eastAsia="仿宋" w:cs="仿宋"/>
          <w:bCs/>
          <w:sz w:val="24"/>
          <w:szCs w:val="24"/>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bookmarkStart w:id="185" w:name="_Toc6170"/>
      <w:bookmarkStart w:id="186" w:name="_Toc532543567"/>
      <w:bookmarkStart w:id="187" w:name="_Toc531075011"/>
      <w:r>
        <w:rPr>
          <w:rFonts w:hint="eastAsia" w:ascii="仿宋" w:hAnsi="仿宋" w:eastAsia="仿宋" w:cs="仿宋"/>
          <w:b/>
          <w:bCs/>
          <w:szCs w:val="20"/>
          <w:highlight w:val="none"/>
        </w:rPr>
        <w:br w:type="page"/>
      </w:r>
    </w:p>
    <w:p w14:paraId="234A63BA">
      <w:pPr>
        <w:widowControl/>
        <w:adjustRightInd w:val="0"/>
        <w:snapToGrid w:val="0"/>
        <w:spacing w:line="460" w:lineRule="exact"/>
        <w:ind w:firstLine="723" w:firstLineChars="200"/>
        <w:jc w:val="center"/>
        <w:outlineLvl w:val="0"/>
        <w:rPr>
          <w:rFonts w:hint="eastAsia" w:ascii="仿宋" w:hAnsi="仿宋" w:eastAsia="仿宋" w:cs="仿宋"/>
          <w:bCs/>
          <w:sz w:val="24"/>
          <w:szCs w:val="24"/>
          <w:highlight w:val="none"/>
        </w:rPr>
      </w:pPr>
      <w:bookmarkStart w:id="188" w:name="_Toc28575"/>
      <w:bookmarkStart w:id="189" w:name="_Toc30335"/>
      <w:bookmarkStart w:id="190" w:name="_Toc18361"/>
      <w:bookmarkStart w:id="191" w:name="_Toc1843"/>
      <w:r>
        <w:rPr>
          <w:rFonts w:hint="eastAsia" w:ascii="仿宋" w:hAnsi="仿宋" w:eastAsia="仿宋" w:cs="仿宋"/>
          <w:b/>
          <w:kern w:val="44"/>
          <w:sz w:val="36"/>
          <w:szCs w:val="36"/>
          <w:highlight w:val="none"/>
        </w:rPr>
        <w:t>第五章 合同格式及合同条款</w:t>
      </w:r>
      <w:bookmarkEnd w:id="177"/>
      <w:bookmarkEnd w:id="178"/>
      <w:bookmarkEnd w:id="179"/>
      <w:bookmarkEnd w:id="180"/>
      <w:bookmarkEnd w:id="185"/>
      <w:bookmarkEnd w:id="186"/>
      <w:bookmarkEnd w:id="187"/>
      <w:bookmarkEnd w:id="188"/>
      <w:bookmarkEnd w:id="189"/>
      <w:bookmarkEnd w:id="190"/>
      <w:bookmarkEnd w:id="191"/>
    </w:p>
    <w:p w14:paraId="4348FCB6">
      <w:pPr>
        <w:rPr>
          <w:rFonts w:hint="eastAsia" w:ascii="仿宋" w:hAnsi="仿宋" w:eastAsia="仿宋" w:cs="仿宋"/>
          <w:highlight w:val="none"/>
        </w:rPr>
      </w:pPr>
      <w:bookmarkStart w:id="192" w:name="EB549d73658a6846bf944104fe82e48c66"/>
    </w:p>
    <w:bookmarkEnd w:id="192"/>
    <w:p w14:paraId="752C99D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合同编号：           </w:t>
      </w:r>
    </w:p>
    <w:p w14:paraId="1F017C9A">
      <w:pPr>
        <w:spacing w:line="560" w:lineRule="exact"/>
        <w:ind w:firstLine="480" w:firstLineChars="200"/>
        <w:rPr>
          <w:rFonts w:hint="eastAsia" w:ascii="仿宋" w:hAnsi="仿宋" w:eastAsia="仿宋" w:cs="仿宋"/>
          <w:sz w:val="24"/>
          <w:highlight w:val="none"/>
        </w:rPr>
      </w:pPr>
    </w:p>
    <w:p w14:paraId="73FAD6AE">
      <w:pPr>
        <w:spacing w:line="560" w:lineRule="exact"/>
        <w:ind w:firstLine="480" w:firstLineChars="200"/>
        <w:rPr>
          <w:rFonts w:hint="eastAsia" w:ascii="仿宋" w:hAnsi="仿宋" w:eastAsia="仿宋" w:cs="仿宋"/>
          <w:sz w:val="24"/>
          <w:highlight w:val="none"/>
        </w:rPr>
      </w:pPr>
    </w:p>
    <w:p w14:paraId="5B42B39C">
      <w:pPr>
        <w:spacing w:line="560" w:lineRule="exact"/>
        <w:ind w:firstLine="480" w:firstLineChars="200"/>
        <w:rPr>
          <w:rFonts w:hint="eastAsia" w:ascii="仿宋" w:hAnsi="仿宋" w:eastAsia="仿宋" w:cs="仿宋"/>
          <w:sz w:val="24"/>
          <w:highlight w:val="none"/>
        </w:rPr>
      </w:pPr>
    </w:p>
    <w:p w14:paraId="5B48462B">
      <w:pPr>
        <w:spacing w:line="560" w:lineRule="exact"/>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政府采购合同参考范本</w:t>
      </w:r>
    </w:p>
    <w:p w14:paraId="7D3F81AA">
      <w:pPr>
        <w:spacing w:line="560" w:lineRule="exact"/>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（服务类）</w:t>
      </w:r>
    </w:p>
    <w:p w14:paraId="72342233">
      <w:pPr>
        <w:spacing w:line="560" w:lineRule="exact"/>
        <w:ind w:firstLine="480" w:firstLineChars="200"/>
        <w:rPr>
          <w:rFonts w:hint="eastAsia" w:ascii="仿宋" w:hAnsi="仿宋" w:eastAsia="仿宋" w:cs="仿宋"/>
          <w:sz w:val="24"/>
          <w:highlight w:val="none"/>
        </w:rPr>
      </w:pPr>
    </w:p>
    <w:p w14:paraId="285243CF">
      <w:pPr>
        <w:spacing w:line="560" w:lineRule="exact"/>
        <w:ind w:firstLine="480" w:firstLineChars="200"/>
        <w:rPr>
          <w:rFonts w:hint="eastAsia" w:ascii="仿宋" w:hAnsi="仿宋" w:eastAsia="仿宋" w:cs="仿宋"/>
          <w:sz w:val="24"/>
          <w:highlight w:val="none"/>
        </w:rPr>
      </w:pPr>
    </w:p>
    <w:p w14:paraId="0477AAB4">
      <w:pPr>
        <w:spacing w:line="560" w:lineRule="exact"/>
        <w:ind w:firstLine="480" w:firstLineChars="200"/>
        <w:rPr>
          <w:rFonts w:hint="eastAsia" w:ascii="仿宋" w:hAnsi="仿宋" w:eastAsia="仿宋" w:cs="仿宋"/>
          <w:sz w:val="24"/>
          <w:highlight w:val="none"/>
        </w:rPr>
      </w:pPr>
    </w:p>
    <w:p w14:paraId="5AB8C0E9">
      <w:pPr>
        <w:spacing w:line="560" w:lineRule="exact"/>
        <w:ind w:firstLine="480" w:firstLineChars="200"/>
        <w:rPr>
          <w:rFonts w:hint="eastAsia" w:ascii="仿宋" w:hAnsi="仿宋" w:eastAsia="仿宋" w:cs="仿宋"/>
          <w:sz w:val="24"/>
          <w:highlight w:val="none"/>
        </w:rPr>
      </w:pPr>
    </w:p>
    <w:p w14:paraId="4612E44B">
      <w:pPr>
        <w:spacing w:line="560" w:lineRule="exact"/>
        <w:ind w:firstLine="480" w:firstLineChars="200"/>
        <w:rPr>
          <w:rFonts w:hint="eastAsia" w:ascii="仿宋" w:hAnsi="仿宋" w:eastAsia="仿宋" w:cs="仿宋"/>
          <w:sz w:val="24"/>
          <w:highlight w:val="none"/>
        </w:rPr>
      </w:pPr>
    </w:p>
    <w:p w14:paraId="68D7F98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5C87FD95">
      <w:pPr>
        <w:spacing w:line="560" w:lineRule="exact"/>
        <w:ind w:firstLine="480" w:firstLineChars="200"/>
        <w:rPr>
          <w:rFonts w:hint="eastAsia" w:ascii="仿宋" w:hAnsi="仿宋" w:eastAsia="仿宋" w:cs="仿宋"/>
          <w:sz w:val="24"/>
          <w:highlight w:val="none"/>
        </w:rPr>
      </w:pPr>
    </w:p>
    <w:p w14:paraId="2639BD43">
      <w:pPr>
        <w:spacing w:line="560" w:lineRule="exact"/>
        <w:ind w:firstLine="480" w:firstLineChars="200"/>
        <w:rPr>
          <w:rFonts w:hint="eastAsia" w:ascii="仿宋" w:hAnsi="仿宋" w:eastAsia="仿宋" w:cs="仿宋"/>
          <w:sz w:val="24"/>
          <w:highlight w:val="none"/>
        </w:rPr>
      </w:pPr>
    </w:p>
    <w:p w14:paraId="4EA33D97">
      <w:pPr>
        <w:spacing w:line="560" w:lineRule="exact"/>
        <w:ind w:firstLine="480" w:firstLineChars="200"/>
        <w:rPr>
          <w:rFonts w:hint="eastAsia" w:ascii="仿宋" w:hAnsi="仿宋" w:eastAsia="仿宋" w:cs="仿宋"/>
          <w:sz w:val="24"/>
          <w:highlight w:val="none"/>
        </w:rPr>
      </w:pPr>
    </w:p>
    <w:p w14:paraId="62AF73E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463E0038">
      <w:pPr>
        <w:spacing w:line="560" w:lineRule="exact"/>
        <w:ind w:firstLine="480" w:firstLineChars="200"/>
        <w:rPr>
          <w:rFonts w:hint="eastAsia" w:ascii="仿宋" w:hAnsi="仿宋" w:eastAsia="仿宋" w:cs="仿宋"/>
          <w:sz w:val="24"/>
          <w:highlight w:val="none"/>
        </w:rPr>
      </w:pPr>
    </w:p>
    <w:p w14:paraId="7242F5F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31F20C0C">
      <w:pPr>
        <w:spacing w:line="560" w:lineRule="exact"/>
        <w:ind w:firstLine="480" w:firstLineChars="200"/>
        <w:rPr>
          <w:rFonts w:hint="eastAsia" w:ascii="仿宋" w:hAnsi="仿宋" w:eastAsia="仿宋" w:cs="仿宋"/>
          <w:sz w:val="24"/>
          <w:highlight w:val="none"/>
        </w:rPr>
      </w:pPr>
    </w:p>
    <w:p w14:paraId="7FB7521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6C41EAC6">
      <w:pPr>
        <w:spacing w:line="560" w:lineRule="exact"/>
        <w:ind w:firstLine="480" w:firstLineChars="200"/>
        <w:rPr>
          <w:rFonts w:hint="eastAsia" w:ascii="仿宋" w:hAnsi="仿宋" w:eastAsia="仿宋" w:cs="仿宋"/>
          <w:sz w:val="24"/>
          <w:highlight w:val="none"/>
        </w:rPr>
      </w:pPr>
    </w:p>
    <w:p w14:paraId="2B1559B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签订日期：               年       月       日</w:t>
      </w:r>
    </w:p>
    <w:p w14:paraId="47E22862">
      <w:pPr>
        <w:spacing w:line="560" w:lineRule="exact"/>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br w:type="page"/>
      </w:r>
      <w:r>
        <w:rPr>
          <w:rFonts w:hint="eastAsia" w:ascii="仿宋" w:hAnsi="仿宋" w:eastAsia="仿宋" w:cs="仿宋"/>
          <w:sz w:val="24"/>
          <w:highlight w:val="none"/>
        </w:rPr>
        <w:t>第一部分 合同书</w:t>
      </w:r>
    </w:p>
    <w:p w14:paraId="67D53FE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年    月    日，   （采购人名称）   以   （政府采购方式）  对   （同前页项目名称）   项目进行了采购。经   （相关评定主体名称）   评定，   （</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名称） 为该项目</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。现于中标通知书发出之日起三十日内，按照采购文件确定的事项签订本合同。</w:t>
      </w:r>
    </w:p>
    <w:p w14:paraId="7E65C1D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根据《中华人民共和国</w:t>
      </w:r>
      <w:r>
        <w:rPr>
          <w:rFonts w:hint="eastAsia" w:ascii="仿宋" w:hAnsi="仿宋" w:eastAsia="仿宋" w:cs="仿宋"/>
          <w:sz w:val="24"/>
          <w:highlight w:val="none"/>
          <w:lang w:eastAsia="zh-CN"/>
        </w:rPr>
        <w:t>民法典</w:t>
      </w:r>
      <w:r>
        <w:rPr>
          <w:rFonts w:hint="eastAsia" w:ascii="仿宋" w:hAnsi="仿宋" w:eastAsia="仿宋" w:cs="仿宋"/>
          <w:sz w:val="24"/>
          <w:highlight w:val="none"/>
        </w:rPr>
        <w:t>》、《中华人民共和国政府采购法》等相关法律法规之规定，按照平等、自愿、公平和诚实信用的原则，经   （采购人名称）   (以下简称：甲方)和   （</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名称）   (以下简称：乙方)协商一致，约定以下合同条款，以兹共同遵守、全面履行。</w:t>
      </w:r>
    </w:p>
    <w:p w14:paraId="2A9CF27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合同组成部分</w:t>
      </w:r>
    </w:p>
    <w:p w14:paraId="42FA6AB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E4823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23A650F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中标通知书；</w:t>
      </w:r>
    </w:p>
    <w:p w14:paraId="4B4697A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投标文件（含澄清或者说明文件）；</w:t>
      </w:r>
    </w:p>
    <w:p w14:paraId="006B2C6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招标文件（含澄清或者修改文件）；</w:t>
      </w:r>
    </w:p>
    <w:p w14:paraId="62986CA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08197F1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 标的</w:t>
      </w:r>
    </w:p>
    <w:p w14:paraId="77D62D1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 标的名称：                                                ；</w:t>
      </w:r>
    </w:p>
    <w:p w14:paraId="0540203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 标的数量：                                                ；</w:t>
      </w:r>
    </w:p>
    <w:p w14:paraId="15E4682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 标的质量：　　　　　　　　　                      　      。</w:t>
      </w:r>
    </w:p>
    <w:p w14:paraId="6E8DCCF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 价款</w:t>
      </w:r>
    </w:p>
    <w:p w14:paraId="64C8824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本合同总价为：￥           元（大写：                 元人民币）。</w:t>
      </w:r>
    </w:p>
    <w:p w14:paraId="7C84E76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分项价格：</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5448"/>
        <w:gridCol w:w="3247"/>
      </w:tblGrid>
      <w:tr w14:paraId="0851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33136DEE">
            <w:pPr>
              <w:spacing w:line="560" w:lineRule="exact"/>
              <w:jc w:val="center"/>
              <w:rPr>
                <w:rFonts w:hint="eastAsia" w:ascii="仿宋" w:hAnsi="仿宋" w:eastAsia="仿宋" w:cs="仿宋"/>
                <w:sz w:val="24"/>
                <w:highlight w:val="none"/>
                <w:vertAlign w:val="baseline"/>
              </w:rPr>
            </w:pPr>
            <w:r>
              <w:rPr>
                <w:rFonts w:hint="eastAsia" w:ascii="仿宋" w:hAnsi="仿宋" w:eastAsia="仿宋" w:cs="仿宋"/>
                <w:sz w:val="24"/>
                <w:highlight w:val="none"/>
              </w:rPr>
              <w:t>序号</w:t>
            </w:r>
          </w:p>
        </w:tc>
        <w:tc>
          <w:tcPr>
            <w:tcW w:w="5448" w:type="dxa"/>
            <w:noWrap w:val="0"/>
            <w:vAlign w:val="top"/>
          </w:tcPr>
          <w:p w14:paraId="48F381AE">
            <w:pPr>
              <w:spacing w:line="560" w:lineRule="exact"/>
              <w:jc w:val="center"/>
              <w:rPr>
                <w:rFonts w:hint="eastAsia" w:ascii="仿宋" w:hAnsi="仿宋" w:eastAsia="仿宋" w:cs="仿宋"/>
                <w:sz w:val="24"/>
                <w:highlight w:val="none"/>
                <w:vertAlign w:val="baseline"/>
              </w:rPr>
            </w:pPr>
            <w:r>
              <w:rPr>
                <w:rFonts w:hint="eastAsia" w:ascii="仿宋" w:hAnsi="仿宋" w:eastAsia="仿宋" w:cs="仿宋"/>
                <w:sz w:val="24"/>
                <w:highlight w:val="none"/>
              </w:rPr>
              <w:t>分项名称</w:t>
            </w:r>
          </w:p>
        </w:tc>
        <w:tc>
          <w:tcPr>
            <w:tcW w:w="3247" w:type="dxa"/>
            <w:noWrap w:val="0"/>
            <w:vAlign w:val="top"/>
          </w:tcPr>
          <w:p w14:paraId="63424D73">
            <w:pPr>
              <w:spacing w:line="560" w:lineRule="exact"/>
              <w:jc w:val="center"/>
              <w:rPr>
                <w:rFonts w:hint="eastAsia" w:ascii="仿宋" w:hAnsi="仿宋" w:eastAsia="仿宋" w:cs="仿宋"/>
                <w:sz w:val="24"/>
                <w:highlight w:val="none"/>
                <w:vertAlign w:val="baseline"/>
              </w:rPr>
            </w:pPr>
            <w:r>
              <w:rPr>
                <w:rFonts w:hint="eastAsia" w:ascii="仿宋" w:hAnsi="仿宋" w:eastAsia="仿宋" w:cs="仿宋"/>
                <w:sz w:val="24"/>
                <w:highlight w:val="none"/>
              </w:rPr>
              <w:t>分项价格</w:t>
            </w:r>
          </w:p>
        </w:tc>
      </w:tr>
      <w:tr w14:paraId="45F9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422179CC">
            <w:pPr>
              <w:spacing w:line="560" w:lineRule="exact"/>
              <w:jc w:val="center"/>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vertAlign w:val="baseline"/>
                <w:lang w:val="en-US" w:eastAsia="zh-CN"/>
              </w:rPr>
              <w:t>1</w:t>
            </w:r>
          </w:p>
        </w:tc>
        <w:tc>
          <w:tcPr>
            <w:tcW w:w="5448" w:type="dxa"/>
            <w:noWrap w:val="0"/>
            <w:vAlign w:val="top"/>
          </w:tcPr>
          <w:p w14:paraId="61B7B287">
            <w:pPr>
              <w:spacing w:line="560" w:lineRule="exact"/>
              <w:jc w:val="center"/>
              <w:rPr>
                <w:rFonts w:hint="eastAsia" w:ascii="仿宋" w:hAnsi="仿宋" w:eastAsia="仿宋" w:cs="仿宋"/>
                <w:sz w:val="24"/>
                <w:highlight w:val="none"/>
                <w:vertAlign w:val="baseline"/>
              </w:rPr>
            </w:pPr>
          </w:p>
        </w:tc>
        <w:tc>
          <w:tcPr>
            <w:tcW w:w="3247" w:type="dxa"/>
            <w:noWrap w:val="0"/>
            <w:vAlign w:val="top"/>
          </w:tcPr>
          <w:p w14:paraId="2A98B047">
            <w:pPr>
              <w:spacing w:line="560" w:lineRule="exact"/>
              <w:jc w:val="center"/>
              <w:rPr>
                <w:rFonts w:hint="eastAsia" w:ascii="仿宋" w:hAnsi="仿宋" w:eastAsia="仿宋" w:cs="仿宋"/>
                <w:sz w:val="24"/>
                <w:highlight w:val="none"/>
                <w:vertAlign w:val="baseline"/>
              </w:rPr>
            </w:pPr>
          </w:p>
        </w:tc>
      </w:tr>
      <w:tr w14:paraId="4945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69DAFC21">
            <w:pPr>
              <w:spacing w:line="560" w:lineRule="exact"/>
              <w:jc w:val="center"/>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vertAlign w:val="baseline"/>
                <w:lang w:val="en-US" w:eastAsia="zh-CN"/>
              </w:rPr>
              <w:t>2</w:t>
            </w:r>
          </w:p>
        </w:tc>
        <w:tc>
          <w:tcPr>
            <w:tcW w:w="5448" w:type="dxa"/>
            <w:noWrap w:val="0"/>
            <w:vAlign w:val="top"/>
          </w:tcPr>
          <w:p w14:paraId="186FF488">
            <w:pPr>
              <w:spacing w:line="560" w:lineRule="exact"/>
              <w:jc w:val="center"/>
              <w:rPr>
                <w:rFonts w:hint="eastAsia" w:ascii="仿宋" w:hAnsi="仿宋" w:eastAsia="仿宋" w:cs="仿宋"/>
                <w:sz w:val="24"/>
                <w:highlight w:val="none"/>
                <w:vertAlign w:val="baseline"/>
              </w:rPr>
            </w:pPr>
          </w:p>
        </w:tc>
        <w:tc>
          <w:tcPr>
            <w:tcW w:w="3247" w:type="dxa"/>
            <w:noWrap w:val="0"/>
            <w:vAlign w:val="top"/>
          </w:tcPr>
          <w:p w14:paraId="3CBBE648">
            <w:pPr>
              <w:spacing w:line="560" w:lineRule="exact"/>
              <w:jc w:val="center"/>
              <w:rPr>
                <w:rFonts w:hint="eastAsia" w:ascii="仿宋" w:hAnsi="仿宋" w:eastAsia="仿宋" w:cs="仿宋"/>
                <w:sz w:val="24"/>
                <w:highlight w:val="none"/>
                <w:vertAlign w:val="baseline"/>
              </w:rPr>
            </w:pPr>
          </w:p>
        </w:tc>
      </w:tr>
      <w:tr w14:paraId="788D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22A5B1CA">
            <w:pPr>
              <w:spacing w:line="560" w:lineRule="exact"/>
              <w:jc w:val="center"/>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vertAlign w:val="baseline"/>
                <w:lang w:val="en-US" w:eastAsia="zh-CN"/>
              </w:rPr>
              <w:t>3</w:t>
            </w:r>
          </w:p>
        </w:tc>
        <w:tc>
          <w:tcPr>
            <w:tcW w:w="5448" w:type="dxa"/>
            <w:noWrap w:val="0"/>
            <w:vAlign w:val="top"/>
          </w:tcPr>
          <w:p w14:paraId="722CB9F8">
            <w:pPr>
              <w:spacing w:line="560" w:lineRule="exact"/>
              <w:jc w:val="center"/>
              <w:rPr>
                <w:rFonts w:hint="eastAsia" w:ascii="仿宋" w:hAnsi="仿宋" w:eastAsia="仿宋" w:cs="仿宋"/>
                <w:sz w:val="24"/>
                <w:highlight w:val="none"/>
                <w:vertAlign w:val="baseline"/>
              </w:rPr>
            </w:pPr>
          </w:p>
        </w:tc>
        <w:tc>
          <w:tcPr>
            <w:tcW w:w="3247" w:type="dxa"/>
            <w:noWrap w:val="0"/>
            <w:vAlign w:val="top"/>
          </w:tcPr>
          <w:p w14:paraId="2964EF38">
            <w:pPr>
              <w:spacing w:line="560" w:lineRule="exact"/>
              <w:jc w:val="center"/>
              <w:rPr>
                <w:rFonts w:hint="eastAsia" w:ascii="仿宋" w:hAnsi="仿宋" w:eastAsia="仿宋" w:cs="仿宋"/>
                <w:sz w:val="24"/>
                <w:highlight w:val="none"/>
                <w:vertAlign w:val="baseline"/>
              </w:rPr>
            </w:pPr>
          </w:p>
        </w:tc>
      </w:tr>
      <w:tr w14:paraId="5AD8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31240243">
            <w:pPr>
              <w:spacing w:line="560" w:lineRule="exact"/>
              <w:jc w:val="center"/>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vertAlign w:val="baseline"/>
                <w:lang w:val="en-US" w:eastAsia="zh-CN"/>
              </w:rPr>
              <w:t>...</w:t>
            </w:r>
          </w:p>
        </w:tc>
        <w:tc>
          <w:tcPr>
            <w:tcW w:w="5448" w:type="dxa"/>
            <w:noWrap w:val="0"/>
            <w:vAlign w:val="top"/>
          </w:tcPr>
          <w:p w14:paraId="4FB0F44C">
            <w:pPr>
              <w:spacing w:line="560" w:lineRule="exact"/>
              <w:jc w:val="center"/>
              <w:rPr>
                <w:rFonts w:hint="eastAsia" w:ascii="仿宋" w:hAnsi="仿宋" w:eastAsia="仿宋" w:cs="仿宋"/>
                <w:sz w:val="24"/>
                <w:highlight w:val="none"/>
                <w:vertAlign w:val="baseline"/>
              </w:rPr>
            </w:pPr>
          </w:p>
        </w:tc>
        <w:tc>
          <w:tcPr>
            <w:tcW w:w="3247" w:type="dxa"/>
            <w:noWrap w:val="0"/>
            <w:vAlign w:val="top"/>
          </w:tcPr>
          <w:p w14:paraId="6A092670">
            <w:pPr>
              <w:spacing w:line="560" w:lineRule="exact"/>
              <w:jc w:val="center"/>
              <w:rPr>
                <w:rFonts w:hint="eastAsia" w:ascii="仿宋" w:hAnsi="仿宋" w:eastAsia="仿宋" w:cs="仿宋"/>
                <w:sz w:val="24"/>
                <w:highlight w:val="none"/>
                <w:vertAlign w:val="baseline"/>
              </w:rPr>
            </w:pPr>
          </w:p>
        </w:tc>
      </w:tr>
      <w:tr w14:paraId="5005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7E6E22DE">
            <w:pPr>
              <w:spacing w:line="560" w:lineRule="exact"/>
              <w:jc w:val="center"/>
              <w:rPr>
                <w:rFonts w:hint="eastAsia" w:ascii="仿宋" w:hAnsi="仿宋" w:eastAsia="仿宋" w:cs="仿宋"/>
                <w:sz w:val="24"/>
                <w:highlight w:val="none"/>
                <w:vertAlign w:val="baseline"/>
              </w:rPr>
            </w:pPr>
            <w:r>
              <w:rPr>
                <w:rFonts w:hint="eastAsia" w:ascii="仿宋" w:hAnsi="仿宋" w:eastAsia="仿宋" w:cs="仿宋"/>
                <w:sz w:val="24"/>
                <w:highlight w:val="none"/>
              </w:rPr>
              <w:t>总价</w:t>
            </w:r>
          </w:p>
        </w:tc>
        <w:tc>
          <w:tcPr>
            <w:tcW w:w="8695" w:type="dxa"/>
            <w:gridSpan w:val="2"/>
            <w:noWrap w:val="0"/>
            <w:vAlign w:val="top"/>
          </w:tcPr>
          <w:p w14:paraId="6340BE2A">
            <w:pPr>
              <w:spacing w:line="560" w:lineRule="exact"/>
              <w:jc w:val="center"/>
              <w:rPr>
                <w:rFonts w:hint="eastAsia" w:ascii="仿宋" w:hAnsi="仿宋" w:eastAsia="仿宋" w:cs="仿宋"/>
                <w:sz w:val="24"/>
                <w:highlight w:val="none"/>
                <w:vertAlign w:val="baseline"/>
              </w:rPr>
            </w:pPr>
          </w:p>
        </w:tc>
      </w:tr>
    </w:tbl>
    <w:p w14:paraId="142BC57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 付款方式和发票开具方式</w:t>
      </w:r>
    </w:p>
    <w:p w14:paraId="7910CBE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1.4.1付款方式：                                                ；</w:t>
      </w:r>
    </w:p>
    <w:p w14:paraId="5EA16A1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发票开具方式：                                            。</w:t>
      </w:r>
    </w:p>
    <w:p w14:paraId="07D2358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 履行期限、地点和方式</w:t>
      </w:r>
    </w:p>
    <w:p w14:paraId="77FB2CD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1.5.1 履行期限：                                                ；</w:t>
      </w:r>
    </w:p>
    <w:p w14:paraId="4783B72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履行地点：                                                ；</w:t>
      </w:r>
    </w:p>
    <w:p w14:paraId="58C4D7C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 履行方式：　　　　　　　　　                      　      。</w:t>
      </w:r>
    </w:p>
    <w:p w14:paraId="6FA5FB5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 违约责任</w:t>
      </w:r>
    </w:p>
    <w:p w14:paraId="0D25C7C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除不可抗力外，如果乙方没有按照本合同约定的期限、地点和方式履行，那么甲方可要求乙方支付违约金，违约金按每迟延履行一日的应提供而未提供服务价格的    %计算，最高限额为本合同总价的     %；迟延履行的违约金计算数额达到前述最高限额之日起，甲方有权在要求乙方支付违约金的同时，书面通知乙方解除本合同；</w:t>
      </w:r>
    </w:p>
    <w:p w14:paraId="13D90F7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08379C4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194A90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972758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041A78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ED4EF8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 合同争议的解决</w:t>
      </w:r>
    </w:p>
    <w:p w14:paraId="302984A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本合同履行过程中发生的任何争议，双方当事人均可通过和解或者调解解决；不愿和解、调解或者和解、调解不成的，可以选择下列第    种方式解决：</w:t>
      </w:r>
    </w:p>
    <w:p w14:paraId="4971CD9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将争议提交              仲裁委员会依申请仲裁时其现行有效的仲裁规则裁决；</w:t>
      </w:r>
    </w:p>
    <w:p w14:paraId="7929482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向   （被告住所地、合同履行地、合同签订地、原告住所地、标的物所在地等与争议有实际联系的地点中选出的人民法院名称）    人民法院起诉。</w:t>
      </w:r>
    </w:p>
    <w:p w14:paraId="149362D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 合同生效</w:t>
      </w:r>
    </w:p>
    <w:p w14:paraId="0226094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本合同自双方当事人盖章或者签字时生效。</w:t>
      </w:r>
    </w:p>
    <w:p w14:paraId="4B0E52C3">
      <w:pPr>
        <w:spacing w:line="560" w:lineRule="exact"/>
        <w:ind w:firstLine="480" w:firstLineChars="200"/>
        <w:rPr>
          <w:rFonts w:hint="eastAsia" w:ascii="仿宋" w:hAnsi="仿宋" w:eastAsia="仿宋" w:cs="仿宋"/>
          <w:sz w:val="24"/>
          <w:highlight w:val="none"/>
        </w:rPr>
      </w:pPr>
    </w:p>
    <w:p w14:paraId="16992380">
      <w:pPr>
        <w:spacing w:line="560" w:lineRule="exact"/>
        <w:ind w:firstLine="480" w:firstLineChars="200"/>
        <w:rPr>
          <w:rFonts w:hint="eastAsia" w:ascii="仿宋" w:hAnsi="仿宋" w:eastAsia="仿宋" w:cs="仿宋"/>
          <w:sz w:val="24"/>
          <w:highlight w:val="none"/>
        </w:rPr>
      </w:pPr>
    </w:p>
    <w:p w14:paraId="25F8EF1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w:t>
      </w:r>
    </w:p>
    <w:p w14:paraId="58F9225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统一社会信用代码：                        统一社会信用代码或身份证号码：</w:t>
      </w:r>
    </w:p>
    <w:p w14:paraId="58C84036">
      <w:pPr>
        <w:spacing w:line="560" w:lineRule="exact"/>
        <w:ind w:firstLine="480" w:firstLineChars="200"/>
        <w:rPr>
          <w:rFonts w:hint="eastAsia" w:ascii="仿宋" w:hAnsi="仿宋" w:eastAsia="仿宋" w:cs="仿宋"/>
          <w:sz w:val="24"/>
          <w:highlight w:val="none"/>
        </w:rPr>
      </w:pPr>
    </w:p>
    <w:p w14:paraId="0837F58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住所：                                   住所：</w:t>
      </w:r>
    </w:p>
    <w:p w14:paraId="6A09331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法定代表人或                             法定代表人</w:t>
      </w:r>
    </w:p>
    <w:p w14:paraId="10B9D79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授权代表（签字）：                        或授权代表（签字）: </w:t>
      </w:r>
    </w:p>
    <w:p w14:paraId="5BB7032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                                 联系人：</w:t>
      </w:r>
    </w:p>
    <w:p w14:paraId="3197B3C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约定送达地址：                           约定送达地址：</w:t>
      </w:r>
    </w:p>
    <w:p w14:paraId="58EE9B3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邮政编码：                               邮政编码：</w:t>
      </w:r>
    </w:p>
    <w:p w14:paraId="752EE8D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电话:                                    电话: </w:t>
      </w:r>
    </w:p>
    <w:p w14:paraId="12A1D04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                                    传真:</w:t>
      </w:r>
    </w:p>
    <w:p w14:paraId="11A68AC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电子邮箱：                               电子邮箱：</w:t>
      </w:r>
    </w:p>
    <w:p w14:paraId="7AC340A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4FCC022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2BBFCD0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开户账号：                               开户账号：</w:t>
      </w:r>
    </w:p>
    <w:p w14:paraId="4414F390">
      <w:pPr>
        <w:spacing w:line="560" w:lineRule="exact"/>
        <w:ind w:firstLine="480" w:firstLineChars="200"/>
        <w:rPr>
          <w:rFonts w:hint="eastAsia" w:ascii="仿宋" w:hAnsi="仿宋" w:eastAsia="仿宋" w:cs="仿宋"/>
          <w:sz w:val="24"/>
          <w:highlight w:val="none"/>
        </w:rPr>
      </w:pPr>
    </w:p>
    <w:p w14:paraId="704BF924">
      <w:pPr>
        <w:spacing w:line="560" w:lineRule="exact"/>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br w:type="page"/>
      </w:r>
      <w:r>
        <w:rPr>
          <w:rFonts w:hint="eastAsia" w:ascii="仿宋" w:hAnsi="仿宋" w:eastAsia="仿宋" w:cs="仿宋"/>
          <w:sz w:val="24"/>
          <w:highlight w:val="none"/>
        </w:rPr>
        <w:t>第二部分 合同一般条款</w:t>
      </w:r>
    </w:p>
    <w:p w14:paraId="6C48172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定义</w:t>
      </w:r>
    </w:p>
    <w:p w14:paraId="57BD53E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5AFA33C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签订的载明双方当事人所达成的协议，并包括所有的附件、附录和构成合同的其他文件。</w:t>
      </w:r>
    </w:p>
    <w:p w14:paraId="67AEBD2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在完全履行合同义务后，采购人应支付给</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的价格。</w:t>
      </w:r>
    </w:p>
    <w:p w14:paraId="79CE959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根据合同约定应向采购人履行的除货物和工程以外的其他政府采购对象，包括采购人自身需要的服务和向社会公众提供的公共服务。</w:t>
      </w:r>
    </w:p>
    <w:p w14:paraId="3D95AD5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签署合同的采购人；采购人委托采购代理机构代表其与乙方签订合同的，采购人的授权委托书作为合同附件。</w:t>
      </w:r>
    </w:p>
    <w:p w14:paraId="71F5180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356EE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65B2935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技术规范</w:t>
      </w:r>
    </w:p>
    <w:p w14:paraId="7E3F5BD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FAC0C1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知识产权</w:t>
      </w:r>
    </w:p>
    <w:p w14:paraId="1F174A8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E5236F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合同涉及技术成果的归属和收益的分成办法的，详见合同专用条款。</w:t>
      </w:r>
    </w:p>
    <w:p w14:paraId="59A36C3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履约检查和问题反馈</w:t>
      </w:r>
    </w:p>
    <w:p w14:paraId="2E1617A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F23382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194F1E2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 结算方式和付款条件</w:t>
      </w:r>
    </w:p>
    <w:p w14:paraId="019F772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详见合同专用条款。</w:t>
      </w:r>
    </w:p>
    <w:p w14:paraId="66029FD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 技术资料和保密义务</w:t>
      </w:r>
    </w:p>
    <w:p w14:paraId="774CF87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2BBCE3A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78047FC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B6D1ED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质量保证</w:t>
      </w:r>
    </w:p>
    <w:p w14:paraId="7DFA15F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083227F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0EE16A2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 延迟履行</w:t>
      </w:r>
    </w:p>
    <w:p w14:paraId="3A32DBB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F41D77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 合同变更</w:t>
      </w:r>
    </w:p>
    <w:p w14:paraId="0023B3C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1D98A8E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2.9.2 合同继续履行将损害国家利益和社会公共利益的，双方当事人应当以书面形式变更合同。有过错的一方应当承担赔偿责任，双方当事人都有过错的，各自承担相应的责任。</w:t>
      </w:r>
    </w:p>
    <w:p w14:paraId="1BA8E41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2.10 合同转让和分包</w:t>
      </w:r>
    </w:p>
    <w:p w14:paraId="1919BD2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A970E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不可抗力</w:t>
      </w:r>
    </w:p>
    <w:p w14:paraId="43799F4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71CB7A6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33704BF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因不可抗力致使合同有变更必要的，双方当事人应在合同专用条款约定时间内以书面形式变更合同；</w:t>
      </w:r>
    </w:p>
    <w:p w14:paraId="65C250D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2.11.4受不可抗力影响的一方在不可抗力发生后，应在合同专用条款约定时间内以书面形式通知对方当事人，并在合同专用条款约定时间内，将有关部门出具的证明文件送达对方当事人。</w:t>
      </w:r>
    </w:p>
    <w:p w14:paraId="77DA9E8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税费</w:t>
      </w:r>
    </w:p>
    <w:p w14:paraId="2BB34FE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54ACD69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乙方破产</w:t>
      </w:r>
    </w:p>
    <w:p w14:paraId="2DF0341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3C0EE7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合同中止、终止</w:t>
      </w:r>
    </w:p>
    <w:p w14:paraId="269C7C1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3853B1B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6D66816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检验和验收</w:t>
      </w:r>
    </w:p>
    <w:p w14:paraId="44D8421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乙方按照合同专用条款的约定，定期提交服务报告，甲方按照合同专用条款的约定进行定期验收；</w:t>
      </w:r>
    </w:p>
    <w:p w14:paraId="2F77E74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1A6C9E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检验和验收标准、程序等具体内容以及前述验收书的效力详见合同专用条款。</w:t>
      </w:r>
    </w:p>
    <w:p w14:paraId="32BE15D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通知和送达</w:t>
      </w:r>
    </w:p>
    <w:p w14:paraId="78BFE88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p>
    <w:p w14:paraId="41DE61A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6913470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 合同使用的文字和适用的法律</w:t>
      </w:r>
    </w:p>
    <w:p w14:paraId="1A9927C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14:paraId="5E9A957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2ACA8EA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 履约保证金</w:t>
      </w:r>
    </w:p>
    <w:p w14:paraId="04B099E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2.18.1 采购文件要求乙方提交履约保证金的，乙方应按合同专用条款约定的方式，以支票、汇票、本票或者金融机构、担保机构出具的保函等非现金形式，提交不超过合同价10%的履约保证金；</w:t>
      </w:r>
    </w:p>
    <w:p w14:paraId="3868B09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2.18.2 履约保证金在合同专用条款约定期间内不予退还或者应完全有效，前述约定期间届满之日起    个工作日内，甲方应将履约保证金退还乙方；</w:t>
      </w:r>
    </w:p>
    <w:p w14:paraId="07C872B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D44EE6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2.19 合同份数</w:t>
      </w:r>
    </w:p>
    <w:p w14:paraId="6FB3D3A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合同份数按合同专用条款规定，每份均具有同等法律效力。</w:t>
      </w:r>
    </w:p>
    <w:p w14:paraId="6A63BB98">
      <w:pPr>
        <w:spacing w:line="560" w:lineRule="exact"/>
        <w:ind w:firstLine="480" w:firstLineChars="200"/>
        <w:rPr>
          <w:rFonts w:hint="eastAsia" w:ascii="仿宋" w:hAnsi="仿宋" w:eastAsia="仿宋" w:cs="仿宋"/>
          <w:sz w:val="24"/>
          <w:highlight w:val="none"/>
        </w:rPr>
      </w:pPr>
    </w:p>
    <w:p w14:paraId="32FAF31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第三部分  合同专用条款</w:t>
      </w:r>
    </w:p>
    <w:p w14:paraId="5DF1883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2961BE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条款号</w:t>
      </w:r>
      <w:r>
        <w:rPr>
          <w:rFonts w:hint="eastAsia" w:ascii="仿宋" w:hAnsi="仿宋" w:eastAsia="仿宋" w:cs="仿宋"/>
          <w:sz w:val="24"/>
          <w:highlight w:val="none"/>
        </w:rPr>
        <w:tab/>
      </w:r>
      <w:r>
        <w:rPr>
          <w:rFonts w:hint="eastAsia" w:ascii="仿宋" w:hAnsi="仿宋" w:eastAsia="仿宋" w:cs="仿宋"/>
          <w:sz w:val="24"/>
          <w:highlight w:val="none"/>
        </w:rPr>
        <w:t>约定内容</w:t>
      </w:r>
    </w:p>
    <w:p w14:paraId="1BE92BA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b/>
      </w:r>
    </w:p>
    <w:p w14:paraId="570EA66D">
      <w:pPr>
        <w:pStyle w:val="15"/>
        <w:spacing w:line="460" w:lineRule="exact"/>
        <w:jc w:val="both"/>
        <w:rPr>
          <w:rFonts w:hint="eastAsia" w:ascii="仿宋" w:hAnsi="仿宋" w:eastAsia="仿宋" w:cs="仿宋"/>
          <w:sz w:val="24"/>
          <w:highlight w:val="none"/>
        </w:rPr>
      </w:pPr>
      <w:r>
        <w:rPr>
          <w:rFonts w:hint="eastAsia" w:ascii="仿宋" w:hAnsi="仿宋" w:eastAsia="仿宋" w:cs="仿宋"/>
          <w:szCs w:val="24"/>
          <w:highlight w:val="none"/>
        </w:rPr>
        <w:br w:type="page"/>
      </w:r>
      <w:bookmarkStart w:id="193" w:name="_Toc257633148"/>
      <w:bookmarkStart w:id="194" w:name="_Toc531075012"/>
      <w:bookmarkStart w:id="195" w:name="_Toc532543568"/>
      <w:bookmarkStart w:id="196" w:name="_Toc18901"/>
    </w:p>
    <w:p w14:paraId="0724D907">
      <w:pPr>
        <w:pStyle w:val="15"/>
        <w:spacing w:line="460" w:lineRule="exact"/>
        <w:ind w:left="540" w:hanging="540" w:hangingChars="225"/>
        <w:jc w:val="center"/>
        <w:rPr>
          <w:rFonts w:hint="eastAsia" w:ascii="仿宋" w:hAnsi="仿宋" w:eastAsia="仿宋" w:cs="仿宋"/>
          <w:sz w:val="24"/>
          <w:highlight w:val="none"/>
        </w:rPr>
      </w:pPr>
    </w:p>
    <w:p w14:paraId="1BF3DCDF">
      <w:pPr>
        <w:pStyle w:val="15"/>
        <w:spacing w:line="460" w:lineRule="exact"/>
        <w:ind w:left="540" w:hanging="540" w:hangingChars="225"/>
        <w:jc w:val="center"/>
        <w:rPr>
          <w:rFonts w:hint="eastAsia" w:ascii="仿宋" w:hAnsi="仿宋" w:eastAsia="仿宋" w:cs="仿宋"/>
          <w:sz w:val="24"/>
          <w:highlight w:val="none"/>
        </w:rPr>
      </w:pPr>
    </w:p>
    <w:p w14:paraId="2837BF23">
      <w:pPr>
        <w:pStyle w:val="15"/>
        <w:spacing w:line="460" w:lineRule="exact"/>
        <w:ind w:left="540" w:hanging="540" w:hangingChars="225"/>
        <w:jc w:val="center"/>
        <w:rPr>
          <w:rFonts w:hint="eastAsia" w:ascii="仿宋" w:hAnsi="仿宋" w:eastAsia="仿宋" w:cs="仿宋"/>
          <w:sz w:val="24"/>
          <w:highlight w:val="none"/>
        </w:rPr>
      </w:pPr>
    </w:p>
    <w:p w14:paraId="03EB97B8">
      <w:pPr>
        <w:pStyle w:val="15"/>
        <w:spacing w:line="460" w:lineRule="exact"/>
        <w:ind w:left="540" w:hanging="540" w:hangingChars="225"/>
        <w:jc w:val="center"/>
        <w:rPr>
          <w:rFonts w:hint="eastAsia" w:ascii="仿宋" w:hAnsi="仿宋" w:eastAsia="仿宋" w:cs="仿宋"/>
          <w:sz w:val="24"/>
          <w:highlight w:val="none"/>
        </w:rPr>
      </w:pPr>
    </w:p>
    <w:p w14:paraId="13418A2E">
      <w:pPr>
        <w:pStyle w:val="15"/>
        <w:spacing w:line="460" w:lineRule="exact"/>
        <w:ind w:left="540" w:hanging="540" w:hangingChars="225"/>
        <w:jc w:val="center"/>
        <w:rPr>
          <w:rFonts w:hint="eastAsia" w:ascii="仿宋" w:hAnsi="仿宋" w:eastAsia="仿宋" w:cs="仿宋"/>
          <w:sz w:val="24"/>
          <w:highlight w:val="none"/>
        </w:rPr>
      </w:pPr>
    </w:p>
    <w:p w14:paraId="3C4C2986">
      <w:pPr>
        <w:pStyle w:val="15"/>
        <w:spacing w:line="460" w:lineRule="exact"/>
        <w:ind w:left="540" w:hanging="540" w:hangingChars="225"/>
        <w:jc w:val="center"/>
        <w:rPr>
          <w:rFonts w:hint="eastAsia" w:ascii="仿宋" w:hAnsi="仿宋" w:eastAsia="仿宋" w:cs="仿宋"/>
          <w:sz w:val="24"/>
          <w:highlight w:val="none"/>
        </w:rPr>
      </w:pPr>
    </w:p>
    <w:p w14:paraId="5CD6BAD8">
      <w:pPr>
        <w:pStyle w:val="15"/>
        <w:spacing w:line="460" w:lineRule="exact"/>
        <w:ind w:left="540" w:hanging="540" w:hangingChars="225"/>
        <w:jc w:val="center"/>
        <w:rPr>
          <w:rFonts w:hint="eastAsia" w:ascii="仿宋" w:hAnsi="仿宋" w:eastAsia="仿宋" w:cs="仿宋"/>
          <w:sz w:val="24"/>
          <w:highlight w:val="none"/>
        </w:rPr>
      </w:pPr>
    </w:p>
    <w:p w14:paraId="52114170">
      <w:pPr>
        <w:pStyle w:val="15"/>
        <w:spacing w:line="460" w:lineRule="exact"/>
        <w:ind w:left="540" w:hanging="540" w:hangingChars="225"/>
        <w:jc w:val="center"/>
        <w:rPr>
          <w:rFonts w:hint="eastAsia" w:ascii="仿宋" w:hAnsi="仿宋" w:eastAsia="仿宋" w:cs="仿宋"/>
          <w:sz w:val="24"/>
          <w:highlight w:val="none"/>
        </w:rPr>
      </w:pPr>
    </w:p>
    <w:p w14:paraId="36E6C5F6">
      <w:pPr>
        <w:pStyle w:val="15"/>
        <w:spacing w:line="460" w:lineRule="exact"/>
        <w:ind w:left="540" w:hanging="540" w:hangingChars="225"/>
        <w:jc w:val="center"/>
        <w:rPr>
          <w:rFonts w:hint="eastAsia" w:ascii="仿宋" w:hAnsi="仿宋" w:eastAsia="仿宋" w:cs="仿宋"/>
          <w:sz w:val="24"/>
          <w:highlight w:val="none"/>
        </w:rPr>
      </w:pPr>
    </w:p>
    <w:p w14:paraId="3B4F6D19">
      <w:pPr>
        <w:pStyle w:val="15"/>
        <w:spacing w:line="460" w:lineRule="exact"/>
        <w:ind w:left="540" w:hanging="540" w:hangingChars="225"/>
        <w:jc w:val="center"/>
        <w:rPr>
          <w:rFonts w:hint="eastAsia" w:ascii="仿宋" w:hAnsi="仿宋" w:eastAsia="仿宋" w:cs="仿宋"/>
          <w:sz w:val="24"/>
          <w:highlight w:val="none"/>
        </w:rPr>
      </w:pPr>
    </w:p>
    <w:p w14:paraId="1F55D5E1">
      <w:pPr>
        <w:pStyle w:val="15"/>
        <w:spacing w:line="460" w:lineRule="exact"/>
        <w:ind w:left="540" w:hanging="540" w:hangingChars="225"/>
        <w:jc w:val="center"/>
        <w:rPr>
          <w:rFonts w:hint="eastAsia" w:ascii="仿宋" w:hAnsi="仿宋" w:eastAsia="仿宋" w:cs="仿宋"/>
          <w:sz w:val="24"/>
          <w:highlight w:val="none"/>
        </w:rPr>
      </w:pPr>
    </w:p>
    <w:p w14:paraId="76B41FE8">
      <w:pPr>
        <w:pStyle w:val="15"/>
        <w:spacing w:line="460" w:lineRule="exact"/>
        <w:ind w:left="813" w:hanging="813" w:hangingChars="225"/>
        <w:jc w:val="center"/>
        <w:outlineLvl w:val="0"/>
        <w:rPr>
          <w:rFonts w:hint="eastAsia" w:ascii="仿宋" w:hAnsi="仿宋" w:eastAsia="仿宋" w:cs="仿宋"/>
          <w:b/>
          <w:sz w:val="36"/>
          <w:szCs w:val="36"/>
          <w:highlight w:val="none"/>
        </w:rPr>
        <w:sectPr>
          <w:headerReference r:id="rId6" w:type="default"/>
          <w:footerReference r:id="rId7" w:type="default"/>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bookmarkStart w:id="197" w:name="_Toc3455"/>
      <w:bookmarkStart w:id="198" w:name="_Toc32628"/>
      <w:bookmarkStart w:id="199" w:name="_Toc9112"/>
      <w:bookmarkStart w:id="200" w:name="_Toc26971"/>
      <w:r>
        <w:rPr>
          <w:rFonts w:hint="eastAsia" w:ascii="仿宋" w:hAnsi="仿宋" w:eastAsia="仿宋" w:cs="仿宋"/>
          <w:b/>
          <w:sz w:val="36"/>
          <w:szCs w:val="16"/>
          <w:highlight w:val="none"/>
        </w:rPr>
        <w:t>第六章</w:t>
      </w:r>
      <w:r>
        <w:rPr>
          <w:rFonts w:hint="eastAsia" w:ascii="仿宋" w:hAnsi="仿宋" w:eastAsia="仿宋" w:cs="仿宋"/>
          <w:b/>
          <w:sz w:val="36"/>
          <w:szCs w:val="36"/>
          <w:highlight w:val="none"/>
        </w:rPr>
        <w:t xml:space="preserve"> 竞争性磋商响应文件格式</w:t>
      </w:r>
      <w:bookmarkEnd w:id="193"/>
      <w:bookmarkEnd w:id="194"/>
      <w:bookmarkEnd w:id="195"/>
      <w:bookmarkEnd w:id="196"/>
      <w:bookmarkEnd w:id="197"/>
      <w:bookmarkEnd w:id="198"/>
      <w:bookmarkEnd w:id="199"/>
      <w:bookmarkEnd w:id="200"/>
    </w:p>
    <w:p w14:paraId="7A102FC5">
      <w:pPr>
        <w:pStyle w:val="44"/>
        <w:spacing w:line="360" w:lineRule="auto"/>
        <w:outlineLvl w:val="1"/>
        <w:rPr>
          <w:rFonts w:hint="eastAsia" w:ascii="仿宋" w:hAnsi="仿宋" w:eastAsia="仿宋" w:cs="仿宋"/>
          <w:b/>
          <w:sz w:val="28"/>
          <w:highlight w:val="none"/>
        </w:rPr>
      </w:pPr>
      <w:bookmarkStart w:id="201" w:name="_Toc6741"/>
      <w:r>
        <w:rPr>
          <w:rFonts w:hint="eastAsia" w:ascii="仿宋" w:hAnsi="仿宋" w:eastAsia="仿宋" w:cs="仿宋"/>
          <w:b/>
          <w:sz w:val="28"/>
          <w:highlight w:val="none"/>
        </w:rPr>
        <w:t>响应文件封面</w:t>
      </w:r>
      <w:bookmarkEnd w:id="201"/>
    </w:p>
    <w:p w14:paraId="33086D4D">
      <w:pPr>
        <w:pStyle w:val="44"/>
        <w:spacing w:line="360" w:lineRule="auto"/>
        <w:jc w:val="center"/>
        <w:outlineLvl w:val="9"/>
        <w:rPr>
          <w:rFonts w:hint="eastAsia" w:ascii="仿宋" w:hAnsi="仿宋" w:eastAsia="仿宋" w:cs="仿宋"/>
          <w:sz w:val="28"/>
          <w:highlight w:val="none"/>
        </w:rPr>
      </w:pPr>
    </w:p>
    <w:p w14:paraId="2832F028">
      <w:pPr>
        <w:pStyle w:val="44"/>
        <w:spacing w:line="360" w:lineRule="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（项目名称）</w:t>
      </w:r>
    </w:p>
    <w:p w14:paraId="34F2BB8C">
      <w:pPr>
        <w:pStyle w:val="44"/>
        <w:spacing w:line="360" w:lineRule="auto"/>
        <w:jc w:val="center"/>
        <w:outlineLvl w:val="9"/>
        <w:rPr>
          <w:rFonts w:hint="eastAsia" w:ascii="仿宋" w:hAnsi="仿宋" w:eastAsia="仿宋" w:cs="仿宋"/>
          <w:sz w:val="28"/>
          <w:szCs w:val="28"/>
          <w:highlight w:val="none"/>
        </w:rPr>
      </w:pPr>
    </w:p>
    <w:p w14:paraId="3DC89751">
      <w:pPr>
        <w:pStyle w:val="44"/>
        <w:spacing w:line="360" w:lineRule="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（项目编号）</w:t>
      </w:r>
    </w:p>
    <w:p w14:paraId="737EBD9B">
      <w:pPr>
        <w:pStyle w:val="44"/>
        <w:spacing w:line="360" w:lineRule="auto"/>
        <w:jc w:val="center"/>
        <w:outlineLvl w:val="9"/>
        <w:rPr>
          <w:rFonts w:hint="eastAsia" w:ascii="仿宋" w:hAnsi="仿宋" w:eastAsia="仿宋" w:cs="仿宋"/>
          <w:sz w:val="28"/>
          <w:szCs w:val="28"/>
          <w:highlight w:val="none"/>
        </w:rPr>
      </w:pPr>
    </w:p>
    <w:p w14:paraId="660F66FB">
      <w:pPr>
        <w:pStyle w:val="44"/>
        <w:spacing w:line="360" w:lineRule="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7C6A075B">
      <w:pPr>
        <w:pStyle w:val="44"/>
        <w:spacing w:line="360" w:lineRule="auto"/>
        <w:jc w:val="center"/>
        <w:outlineLvl w:val="9"/>
        <w:rPr>
          <w:rFonts w:hint="eastAsia" w:ascii="仿宋" w:hAnsi="仿宋" w:eastAsia="仿宋" w:cs="仿宋"/>
          <w:sz w:val="28"/>
          <w:highlight w:val="none"/>
        </w:rPr>
      </w:pPr>
    </w:p>
    <w:p w14:paraId="5ED282EE">
      <w:pPr>
        <w:pStyle w:val="44"/>
        <w:spacing w:line="360" w:lineRule="auto"/>
        <w:jc w:val="center"/>
        <w:outlineLvl w:val="9"/>
        <w:rPr>
          <w:rFonts w:hint="eastAsia" w:ascii="仿宋" w:hAnsi="仿宋" w:eastAsia="仿宋" w:cs="仿宋"/>
          <w:sz w:val="28"/>
          <w:highlight w:val="none"/>
        </w:rPr>
      </w:pPr>
    </w:p>
    <w:p w14:paraId="4DD9837E">
      <w:pPr>
        <w:pStyle w:val="44"/>
        <w:spacing w:line="360" w:lineRule="auto"/>
        <w:jc w:val="center"/>
        <w:outlineLvl w:val="9"/>
        <w:rPr>
          <w:rFonts w:hint="eastAsia" w:ascii="仿宋" w:hAnsi="仿宋" w:eastAsia="仿宋" w:cs="仿宋"/>
          <w:b/>
          <w:sz w:val="48"/>
          <w:szCs w:val="48"/>
          <w:highlight w:val="none"/>
        </w:rPr>
      </w:pPr>
      <w:r>
        <w:rPr>
          <w:rFonts w:hint="eastAsia" w:ascii="仿宋" w:hAnsi="仿宋" w:eastAsia="仿宋" w:cs="仿宋"/>
          <w:b/>
          <w:sz w:val="48"/>
          <w:szCs w:val="48"/>
          <w:highlight w:val="none"/>
        </w:rPr>
        <w:t>响应文件</w:t>
      </w:r>
    </w:p>
    <w:p w14:paraId="5329C34B">
      <w:pPr>
        <w:pStyle w:val="44"/>
        <w:spacing w:line="360" w:lineRule="auto"/>
        <w:jc w:val="center"/>
        <w:outlineLvl w:val="9"/>
        <w:rPr>
          <w:rFonts w:hint="eastAsia" w:ascii="仿宋" w:hAnsi="仿宋" w:eastAsia="仿宋" w:cs="仿宋"/>
          <w:sz w:val="28"/>
          <w:highlight w:val="none"/>
        </w:rPr>
      </w:pPr>
    </w:p>
    <w:p w14:paraId="0F5384BF">
      <w:pPr>
        <w:pStyle w:val="44"/>
        <w:spacing w:line="360" w:lineRule="auto"/>
        <w:outlineLvl w:val="9"/>
        <w:rPr>
          <w:rFonts w:hint="eastAsia" w:ascii="仿宋" w:hAnsi="仿宋" w:eastAsia="仿宋" w:cs="仿宋"/>
          <w:b/>
          <w:sz w:val="28"/>
          <w:highlight w:val="none"/>
        </w:rPr>
      </w:pPr>
    </w:p>
    <w:p w14:paraId="53CCB9E6">
      <w:pPr>
        <w:pStyle w:val="44"/>
        <w:spacing w:line="360" w:lineRule="auto"/>
        <w:jc w:val="center"/>
        <w:outlineLvl w:val="9"/>
        <w:rPr>
          <w:rFonts w:hint="eastAsia" w:ascii="仿宋" w:hAnsi="仿宋" w:eastAsia="仿宋" w:cs="仿宋"/>
          <w:b/>
          <w:sz w:val="28"/>
          <w:highlight w:val="none"/>
        </w:rPr>
      </w:pPr>
    </w:p>
    <w:p w14:paraId="57678B99">
      <w:pPr>
        <w:pStyle w:val="45"/>
        <w:ind w:left="420" w:hanging="420"/>
        <w:outlineLvl w:val="9"/>
        <w:rPr>
          <w:rFonts w:hint="eastAsia" w:ascii="仿宋" w:hAnsi="仿宋" w:eastAsia="仿宋" w:cs="仿宋"/>
          <w:highlight w:val="none"/>
        </w:rPr>
      </w:pPr>
    </w:p>
    <w:p w14:paraId="6217D5A9">
      <w:pPr>
        <w:pStyle w:val="45"/>
        <w:ind w:left="420" w:hanging="420"/>
        <w:outlineLvl w:val="9"/>
        <w:rPr>
          <w:rFonts w:hint="eastAsia" w:ascii="仿宋" w:hAnsi="仿宋" w:eastAsia="仿宋" w:cs="仿宋"/>
          <w:highlight w:val="none"/>
        </w:rPr>
      </w:pPr>
    </w:p>
    <w:p w14:paraId="42859062">
      <w:pPr>
        <w:pStyle w:val="45"/>
        <w:ind w:left="420" w:hanging="420"/>
        <w:outlineLvl w:val="9"/>
        <w:rPr>
          <w:rFonts w:hint="eastAsia" w:ascii="仿宋" w:hAnsi="仿宋" w:eastAsia="仿宋" w:cs="仿宋"/>
          <w:highlight w:val="none"/>
        </w:rPr>
      </w:pPr>
    </w:p>
    <w:p w14:paraId="6D7D5339">
      <w:pPr>
        <w:pStyle w:val="45"/>
        <w:ind w:left="420" w:hanging="420"/>
        <w:outlineLvl w:val="9"/>
        <w:rPr>
          <w:rFonts w:hint="eastAsia" w:ascii="仿宋" w:hAnsi="仿宋" w:eastAsia="仿宋" w:cs="仿宋"/>
          <w:highlight w:val="none"/>
        </w:rPr>
      </w:pPr>
    </w:p>
    <w:p w14:paraId="15A5CE9F">
      <w:pPr>
        <w:pStyle w:val="45"/>
        <w:ind w:left="420" w:hanging="420"/>
        <w:outlineLvl w:val="9"/>
        <w:rPr>
          <w:rFonts w:hint="eastAsia" w:ascii="仿宋" w:hAnsi="仿宋" w:eastAsia="仿宋" w:cs="仿宋"/>
          <w:highlight w:val="none"/>
        </w:rPr>
      </w:pPr>
    </w:p>
    <w:p w14:paraId="70A5581E">
      <w:pPr>
        <w:pStyle w:val="44"/>
        <w:spacing w:line="480" w:lineRule="auto"/>
        <w:ind w:firstLine="560" w:firstLineChars="200"/>
        <w:outlineLvl w:val="9"/>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（电子签章）</w:t>
      </w:r>
    </w:p>
    <w:p w14:paraId="06E51F00">
      <w:pPr>
        <w:pStyle w:val="44"/>
        <w:spacing w:line="480" w:lineRule="auto"/>
        <w:ind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签字盖章</w:t>
      </w:r>
      <w:r>
        <w:rPr>
          <w:rFonts w:hint="eastAsia" w:ascii="仿宋" w:hAnsi="仿宋" w:eastAsia="仿宋" w:cs="仿宋"/>
          <w:sz w:val="28"/>
          <w:szCs w:val="28"/>
          <w:highlight w:val="none"/>
        </w:rPr>
        <w:t>）</w:t>
      </w:r>
    </w:p>
    <w:p w14:paraId="406EACAD">
      <w:pPr>
        <w:pStyle w:val="42"/>
        <w:spacing w:line="480" w:lineRule="auto"/>
        <w:ind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单位地址：</w:t>
      </w:r>
      <w:r>
        <w:rPr>
          <w:rFonts w:hint="eastAsia" w:ascii="仿宋" w:hAnsi="仿宋" w:eastAsia="仿宋" w:cs="仿宋"/>
          <w:sz w:val="28"/>
          <w:szCs w:val="28"/>
          <w:highlight w:val="none"/>
          <w:u w:val="single"/>
        </w:rPr>
        <w:t xml:space="preserve">                    </w:t>
      </w:r>
    </w:p>
    <w:p w14:paraId="39BE4EB1">
      <w:pPr>
        <w:pStyle w:val="42"/>
        <w:spacing w:line="480" w:lineRule="auto"/>
        <w:ind w:firstLine="560" w:firstLineChars="200"/>
        <w:outlineLvl w:val="9"/>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u w:val="single"/>
        </w:rPr>
        <w:t xml:space="preserve">                      </w:t>
      </w:r>
    </w:p>
    <w:p w14:paraId="46EA07ED">
      <w:pPr>
        <w:pStyle w:val="45"/>
        <w:spacing w:line="480" w:lineRule="auto"/>
        <w:ind w:left="559" w:leftChars="266" w:firstLine="0" w:firstLineChars="0"/>
        <w:outlineLvl w:val="9"/>
        <w:rPr>
          <w:rFonts w:hint="eastAsia" w:ascii="仿宋" w:hAnsi="仿宋" w:eastAsia="仿宋" w:cs="仿宋"/>
          <w:highlight w:val="none"/>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single"/>
        </w:rPr>
        <w:t xml:space="preserve">                    </w:t>
      </w:r>
    </w:p>
    <w:p w14:paraId="3ACB64EE">
      <w:pPr>
        <w:pStyle w:val="44"/>
        <w:spacing w:line="480" w:lineRule="auto"/>
        <w:ind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年/月/日）</w:t>
      </w:r>
    </w:p>
    <w:p w14:paraId="6A87C33E">
      <w:pPr>
        <w:pStyle w:val="15"/>
        <w:spacing w:line="460" w:lineRule="exact"/>
        <w:jc w:val="center"/>
        <w:outlineLvl w:val="1"/>
        <w:rPr>
          <w:rFonts w:hint="eastAsia" w:ascii="仿宋" w:hAnsi="仿宋" w:eastAsia="仿宋" w:cs="仿宋"/>
          <w:b/>
          <w:bCs/>
          <w:sz w:val="32"/>
          <w:szCs w:val="32"/>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rPr>
        <w:t>目  录</w:t>
      </w:r>
    </w:p>
    <w:p w14:paraId="2178078B">
      <w:pPr>
        <w:pStyle w:val="179"/>
        <w:spacing w:line="460" w:lineRule="exact"/>
        <w:outlineLvl w:val="1"/>
        <w:rPr>
          <w:rFonts w:hint="eastAsia" w:ascii="仿宋" w:hAnsi="仿宋" w:eastAsia="仿宋" w:cs="仿宋"/>
          <w:b/>
          <w:bCs/>
          <w:highlight w:val="none"/>
        </w:rPr>
      </w:pPr>
      <w:bookmarkStart w:id="202" w:name="_Toc10403"/>
      <w:r>
        <w:rPr>
          <w:rFonts w:hint="eastAsia" w:ascii="仿宋" w:hAnsi="仿宋" w:eastAsia="仿宋" w:cs="仿宋"/>
          <w:b/>
          <w:bCs/>
          <w:highlight w:val="none"/>
        </w:rPr>
        <w:t>一、资格响应文件</w:t>
      </w:r>
      <w:bookmarkEnd w:id="202"/>
    </w:p>
    <w:p w14:paraId="3FE6BBB9">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（一）营业执照</w:t>
      </w:r>
    </w:p>
    <w:p w14:paraId="648038E6">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（二）法定授权人委托书</w:t>
      </w:r>
    </w:p>
    <w:p w14:paraId="7E068BCC">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（三）《政府采购法》第二十二条应当具备的条件</w:t>
      </w:r>
    </w:p>
    <w:p w14:paraId="0E9D04F3">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（四）磋商保证金</w:t>
      </w:r>
    </w:p>
    <w:p w14:paraId="0A5D824D">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（五）不参与围标串标承诺书</w:t>
      </w:r>
    </w:p>
    <w:p w14:paraId="57EEEC5C">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（六）中、小微企业声明函</w:t>
      </w:r>
    </w:p>
    <w:p w14:paraId="4656A79D">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（七）供应商声明函</w:t>
      </w:r>
    </w:p>
    <w:p w14:paraId="35A459C4">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（八）供应商自觉抵制政府采购领域商业贿赂行为承诺书 </w:t>
      </w:r>
    </w:p>
    <w:p w14:paraId="3315695D">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（九）其他声明及文件资料</w:t>
      </w:r>
    </w:p>
    <w:p w14:paraId="6D87ABAA">
      <w:pPr>
        <w:pStyle w:val="179"/>
        <w:spacing w:line="460" w:lineRule="exact"/>
        <w:outlineLvl w:val="1"/>
        <w:rPr>
          <w:rFonts w:hint="eastAsia" w:ascii="仿宋" w:hAnsi="仿宋" w:eastAsia="仿宋" w:cs="仿宋"/>
          <w:b/>
          <w:bCs/>
          <w:highlight w:val="none"/>
        </w:rPr>
      </w:pPr>
      <w:bookmarkStart w:id="203" w:name="_Toc24903"/>
      <w:r>
        <w:rPr>
          <w:rFonts w:hint="eastAsia" w:ascii="仿宋" w:hAnsi="仿宋" w:eastAsia="仿宋" w:cs="仿宋"/>
          <w:b/>
          <w:bCs/>
          <w:highlight w:val="none"/>
        </w:rPr>
        <w:t>二、价格响应文件</w:t>
      </w:r>
      <w:bookmarkEnd w:id="203"/>
    </w:p>
    <w:p w14:paraId="16C09862">
      <w:pPr>
        <w:pStyle w:val="179"/>
        <w:spacing w:line="460" w:lineRule="exact"/>
        <w:ind w:firstLine="480" w:firstLineChars="200"/>
        <w:outlineLvl w:val="2"/>
        <w:rPr>
          <w:rFonts w:hint="eastAsia" w:ascii="仿宋" w:hAnsi="仿宋" w:eastAsia="仿宋" w:cs="仿宋"/>
          <w:highlight w:val="none"/>
        </w:rPr>
      </w:pPr>
      <w:r>
        <w:rPr>
          <w:rFonts w:hint="eastAsia" w:ascii="仿宋" w:hAnsi="仿宋" w:eastAsia="仿宋" w:cs="仿宋"/>
          <w:highlight w:val="none"/>
        </w:rPr>
        <w:t>（一）开标一览表</w:t>
      </w:r>
    </w:p>
    <w:p w14:paraId="51D1F3E4">
      <w:pPr>
        <w:pStyle w:val="179"/>
        <w:spacing w:line="460" w:lineRule="exact"/>
        <w:outlineLvl w:val="1"/>
        <w:rPr>
          <w:rFonts w:hint="eastAsia" w:ascii="仿宋" w:hAnsi="仿宋" w:eastAsia="仿宋" w:cs="仿宋"/>
          <w:b/>
          <w:bCs/>
          <w:highlight w:val="none"/>
        </w:rPr>
      </w:pPr>
      <w:bookmarkStart w:id="204" w:name="_Toc8533"/>
      <w:r>
        <w:rPr>
          <w:rFonts w:hint="eastAsia" w:ascii="仿宋" w:hAnsi="仿宋" w:eastAsia="仿宋" w:cs="仿宋"/>
          <w:b/>
          <w:bCs/>
          <w:highlight w:val="none"/>
        </w:rPr>
        <w:t>三、商务技术响应文件</w:t>
      </w:r>
      <w:bookmarkEnd w:id="204"/>
    </w:p>
    <w:p w14:paraId="270B9795">
      <w:pPr>
        <w:pStyle w:val="179"/>
        <w:spacing w:line="460" w:lineRule="exact"/>
        <w:ind w:firstLine="480" w:firstLineChars="200"/>
        <w:outlineLvl w:val="9"/>
        <w:rPr>
          <w:rFonts w:hint="eastAsia" w:ascii="仿宋" w:hAnsi="仿宋" w:eastAsia="仿宋" w:cs="仿宋"/>
          <w:highlight w:val="none"/>
        </w:rPr>
      </w:pPr>
      <w:bookmarkStart w:id="205" w:name="_Toc256000019"/>
      <w:r>
        <w:rPr>
          <w:rFonts w:hint="eastAsia" w:ascii="仿宋" w:hAnsi="仿宋" w:eastAsia="仿宋" w:cs="仿宋"/>
          <w:highlight w:val="none"/>
        </w:rPr>
        <w:t>（一）竞争性磋商函</w:t>
      </w:r>
    </w:p>
    <w:p w14:paraId="6B0F5784">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（二）供应商基本情况表</w:t>
      </w:r>
    </w:p>
    <w:p w14:paraId="3E1AB526">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（三）供应商类似项目业绩表</w:t>
      </w:r>
    </w:p>
    <w:p w14:paraId="1C5A9F9D">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（四）项目团队人员</w:t>
      </w:r>
    </w:p>
    <w:p w14:paraId="34A51272">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（五）商务条款偏离说明表</w:t>
      </w:r>
    </w:p>
    <w:p w14:paraId="7E801163">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（六）技术条款偏离说明表</w:t>
      </w:r>
    </w:p>
    <w:p w14:paraId="12025624">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（七）项目理解</w:t>
      </w:r>
      <w:bookmarkStart w:id="284" w:name="_GoBack"/>
      <w:bookmarkEnd w:id="284"/>
    </w:p>
    <w:p w14:paraId="78EA59F0">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（八）实施方案</w:t>
      </w:r>
    </w:p>
    <w:p w14:paraId="00A9738C">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（九）培训资源</w:t>
      </w:r>
    </w:p>
    <w:p w14:paraId="3BF5D065">
      <w:pPr>
        <w:pStyle w:val="179"/>
        <w:spacing w:line="460" w:lineRule="exact"/>
        <w:ind w:firstLine="480" w:firstLineChars="200"/>
        <w:outlineLvl w:val="9"/>
        <w:rPr>
          <w:rFonts w:hint="eastAsia" w:ascii="仿宋" w:hAnsi="仿宋" w:eastAsia="仿宋" w:cs="仿宋"/>
          <w:highlight w:val="none"/>
        </w:rPr>
      </w:pPr>
      <w:r>
        <w:rPr>
          <w:rFonts w:hint="eastAsia" w:ascii="仿宋" w:hAnsi="仿宋" w:eastAsia="仿宋" w:cs="仿宋"/>
          <w:highlight w:val="none"/>
        </w:rPr>
        <w:t>（十）应急处置方案</w:t>
      </w:r>
    </w:p>
    <w:p w14:paraId="79DC8AB3">
      <w:pPr>
        <w:pStyle w:val="179"/>
        <w:spacing w:line="460" w:lineRule="exact"/>
        <w:ind w:firstLine="480" w:firstLineChars="200"/>
        <w:outlineLvl w:val="9"/>
        <w:rPr>
          <w:rFonts w:hint="eastAsia" w:ascii="仿宋" w:hAnsi="仿宋" w:eastAsia="仿宋" w:cs="仿宋"/>
          <w:b/>
          <w:sz w:val="36"/>
          <w:szCs w:val="36"/>
          <w:highlight w:val="none"/>
          <w:lang w:eastAsia="zh-CN"/>
        </w:rPr>
      </w:pPr>
      <w:r>
        <w:rPr>
          <w:rFonts w:hint="eastAsia" w:ascii="仿宋" w:hAnsi="仿宋" w:eastAsia="仿宋" w:cs="仿宋"/>
          <w:highlight w:val="none"/>
        </w:rPr>
        <w:t>（十一）其他声明及文件资料</w:t>
      </w:r>
      <w:r>
        <w:rPr>
          <w:rFonts w:hint="eastAsia" w:ascii="仿宋" w:hAnsi="仿宋" w:eastAsia="仿宋" w:cs="仿宋"/>
          <w:color w:val="000000"/>
          <w:highlight w:val="none"/>
        </w:rPr>
        <w:br w:type="page"/>
      </w:r>
    </w:p>
    <w:p w14:paraId="7DCDFC8A">
      <w:pPr>
        <w:pStyle w:val="190"/>
        <w:jc w:val="center"/>
        <w:outlineLvl w:val="9"/>
        <w:rPr>
          <w:rFonts w:hint="eastAsia" w:ascii="仿宋" w:hAnsi="仿宋" w:eastAsia="仿宋" w:cs="仿宋"/>
          <w:b/>
          <w:sz w:val="36"/>
          <w:szCs w:val="36"/>
          <w:highlight w:val="none"/>
          <w:lang w:eastAsia="zh-CN"/>
        </w:rPr>
      </w:pPr>
    </w:p>
    <w:p w14:paraId="70EF842A">
      <w:pPr>
        <w:pStyle w:val="190"/>
        <w:jc w:val="center"/>
        <w:outlineLvl w:val="9"/>
        <w:rPr>
          <w:rFonts w:hint="eastAsia" w:ascii="仿宋" w:hAnsi="仿宋" w:eastAsia="仿宋" w:cs="仿宋"/>
          <w:b/>
          <w:sz w:val="36"/>
          <w:szCs w:val="36"/>
          <w:highlight w:val="none"/>
          <w:lang w:eastAsia="zh-CN"/>
        </w:rPr>
      </w:pPr>
    </w:p>
    <w:p w14:paraId="748E3747">
      <w:pPr>
        <w:pStyle w:val="190"/>
        <w:jc w:val="center"/>
        <w:outlineLvl w:val="9"/>
        <w:rPr>
          <w:rFonts w:hint="eastAsia" w:ascii="仿宋" w:hAnsi="仿宋" w:eastAsia="仿宋" w:cs="仿宋"/>
          <w:b/>
          <w:sz w:val="36"/>
          <w:szCs w:val="36"/>
          <w:highlight w:val="none"/>
          <w:lang w:eastAsia="zh-CN"/>
        </w:rPr>
      </w:pPr>
    </w:p>
    <w:p w14:paraId="5605ABBA">
      <w:pPr>
        <w:pStyle w:val="190"/>
        <w:jc w:val="center"/>
        <w:outlineLvl w:val="9"/>
        <w:rPr>
          <w:rFonts w:hint="eastAsia" w:ascii="仿宋" w:hAnsi="仿宋" w:eastAsia="仿宋" w:cs="仿宋"/>
          <w:b/>
          <w:sz w:val="36"/>
          <w:szCs w:val="36"/>
          <w:highlight w:val="none"/>
          <w:lang w:eastAsia="zh-CN"/>
        </w:rPr>
      </w:pPr>
    </w:p>
    <w:p w14:paraId="7FD52099">
      <w:pPr>
        <w:pStyle w:val="190"/>
        <w:jc w:val="center"/>
        <w:outlineLvl w:val="9"/>
        <w:rPr>
          <w:rFonts w:hint="eastAsia" w:ascii="仿宋" w:hAnsi="仿宋" w:eastAsia="仿宋" w:cs="仿宋"/>
          <w:b/>
          <w:sz w:val="36"/>
          <w:szCs w:val="36"/>
          <w:highlight w:val="none"/>
          <w:lang w:eastAsia="zh-CN"/>
        </w:rPr>
      </w:pPr>
    </w:p>
    <w:p w14:paraId="564AF12C">
      <w:pPr>
        <w:pStyle w:val="190"/>
        <w:jc w:val="center"/>
        <w:outlineLvl w:val="9"/>
        <w:rPr>
          <w:rFonts w:hint="eastAsia" w:ascii="仿宋" w:hAnsi="仿宋" w:eastAsia="仿宋" w:cs="仿宋"/>
          <w:b/>
          <w:sz w:val="36"/>
          <w:szCs w:val="36"/>
          <w:highlight w:val="none"/>
          <w:lang w:eastAsia="zh-CN"/>
        </w:rPr>
      </w:pPr>
    </w:p>
    <w:p w14:paraId="1ED5A10C">
      <w:pPr>
        <w:pStyle w:val="190"/>
        <w:jc w:val="center"/>
        <w:outlineLvl w:val="9"/>
        <w:rPr>
          <w:rFonts w:hint="eastAsia" w:ascii="仿宋" w:hAnsi="仿宋" w:eastAsia="仿宋" w:cs="仿宋"/>
          <w:b/>
          <w:sz w:val="36"/>
          <w:szCs w:val="36"/>
          <w:highlight w:val="none"/>
          <w:lang w:eastAsia="zh-CN"/>
        </w:rPr>
      </w:pPr>
    </w:p>
    <w:p w14:paraId="55CC67DD">
      <w:pPr>
        <w:pStyle w:val="190"/>
        <w:jc w:val="center"/>
        <w:outlineLvl w:val="1"/>
        <w:rPr>
          <w:rFonts w:hint="eastAsia" w:ascii="仿宋" w:hAnsi="仿宋" w:eastAsia="仿宋" w:cs="仿宋"/>
          <w:sz w:val="36"/>
          <w:szCs w:val="36"/>
          <w:highlight w:val="none"/>
        </w:rPr>
      </w:pPr>
      <w:bookmarkStart w:id="206" w:name="_Toc28327"/>
      <w:r>
        <w:rPr>
          <w:rFonts w:hint="eastAsia" w:ascii="仿宋" w:hAnsi="仿宋" w:eastAsia="仿宋" w:cs="仿宋"/>
          <w:b/>
          <w:sz w:val="36"/>
          <w:szCs w:val="36"/>
          <w:highlight w:val="none"/>
          <w:lang w:eastAsia="zh-CN"/>
        </w:rPr>
        <w:t>一</w:t>
      </w:r>
      <w:r>
        <w:rPr>
          <w:rFonts w:hint="eastAsia" w:ascii="仿宋" w:hAnsi="仿宋" w:eastAsia="仿宋" w:cs="仿宋"/>
          <w:b/>
          <w:sz w:val="36"/>
          <w:szCs w:val="36"/>
          <w:highlight w:val="none"/>
        </w:rPr>
        <w:t>、资格</w:t>
      </w:r>
      <w:bookmarkEnd w:id="205"/>
      <w:r>
        <w:rPr>
          <w:rFonts w:hint="eastAsia" w:ascii="仿宋" w:hAnsi="仿宋" w:eastAsia="仿宋" w:cs="仿宋"/>
          <w:b/>
          <w:sz w:val="36"/>
          <w:szCs w:val="36"/>
          <w:highlight w:val="none"/>
          <w:lang w:eastAsia="zh-CN"/>
        </w:rPr>
        <w:t>响应文件</w:t>
      </w:r>
      <w:bookmarkEnd w:id="206"/>
    </w:p>
    <w:p w14:paraId="3F747AC3">
      <w:pPr>
        <w:pStyle w:val="200"/>
        <w:spacing w:line="360" w:lineRule="auto"/>
        <w:jc w:val="center"/>
        <w:outlineLvl w:val="2"/>
        <w:rPr>
          <w:rFonts w:hint="eastAsia" w:ascii="仿宋" w:hAnsi="仿宋" w:eastAsia="仿宋" w:cs="仿宋"/>
          <w:bCs/>
          <w:sz w:val="30"/>
          <w:szCs w:val="30"/>
          <w:highlight w:val="none"/>
        </w:rPr>
      </w:pPr>
      <w:r>
        <w:rPr>
          <w:rFonts w:hint="eastAsia" w:ascii="仿宋" w:hAnsi="仿宋" w:eastAsia="仿宋" w:cs="仿宋"/>
          <w:highlight w:val="none"/>
        </w:rPr>
        <w:br w:type="page"/>
      </w:r>
      <w:bookmarkStart w:id="207" w:name="_Toc22217"/>
      <w:bookmarkStart w:id="208" w:name="_Toc13040"/>
      <w:bookmarkStart w:id="209" w:name="_Toc27103"/>
      <w:bookmarkStart w:id="210" w:name="_Toc256000020"/>
      <w:r>
        <w:rPr>
          <w:rFonts w:hint="eastAsia" w:ascii="仿宋" w:hAnsi="仿宋" w:eastAsia="仿宋" w:cs="仿宋"/>
          <w:sz w:val="30"/>
          <w:szCs w:val="30"/>
          <w:highlight w:val="none"/>
        </w:rPr>
        <w:t>（一）</w:t>
      </w:r>
      <w:r>
        <w:rPr>
          <w:rFonts w:hint="eastAsia" w:ascii="仿宋" w:hAnsi="仿宋" w:eastAsia="仿宋" w:cs="仿宋"/>
          <w:bCs/>
          <w:sz w:val="30"/>
          <w:szCs w:val="30"/>
          <w:highlight w:val="none"/>
        </w:rPr>
        <w:t>营业执照</w:t>
      </w:r>
      <w:bookmarkEnd w:id="207"/>
      <w:bookmarkEnd w:id="208"/>
      <w:bookmarkEnd w:id="209"/>
    </w:p>
    <w:p w14:paraId="01613348">
      <w:pPr>
        <w:pStyle w:val="174"/>
        <w:spacing w:line="480" w:lineRule="auto"/>
        <w:ind w:firstLine="420"/>
        <w:outlineLvl w:val="9"/>
        <w:rPr>
          <w:rFonts w:hint="eastAsia" w:ascii="仿宋" w:hAnsi="仿宋" w:eastAsia="仿宋" w:cs="仿宋"/>
          <w:sz w:val="16"/>
          <w:szCs w:val="16"/>
          <w:highlight w:val="none"/>
        </w:rPr>
      </w:pPr>
    </w:p>
    <w:p w14:paraId="4AE942DF">
      <w:pPr>
        <w:pStyle w:val="174"/>
        <w:spacing w:line="480" w:lineRule="auto"/>
        <w:ind w:firstLine="420"/>
        <w:outlineLvl w:val="9"/>
        <w:rPr>
          <w:rFonts w:hint="eastAsia" w:ascii="仿宋" w:hAnsi="仿宋" w:eastAsia="仿宋" w:cs="仿宋"/>
          <w:sz w:val="24"/>
          <w:szCs w:val="24"/>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sz w:val="24"/>
          <w:szCs w:val="24"/>
          <w:highlight w:val="none"/>
        </w:rPr>
        <w:t>说明：此处附有效的营业执照</w:t>
      </w:r>
    </w:p>
    <w:bookmarkEnd w:id="210"/>
    <w:p w14:paraId="31197CB1">
      <w:pPr>
        <w:pStyle w:val="178"/>
        <w:spacing w:line="360" w:lineRule="auto"/>
        <w:outlineLvl w:val="2"/>
        <w:rPr>
          <w:rFonts w:hint="eastAsia" w:ascii="仿宋" w:hAnsi="仿宋" w:eastAsia="仿宋" w:cs="仿宋"/>
          <w:sz w:val="30"/>
          <w:szCs w:val="30"/>
          <w:highlight w:val="none"/>
        </w:rPr>
      </w:pPr>
      <w:r>
        <w:rPr>
          <w:rFonts w:hint="eastAsia" w:ascii="仿宋" w:hAnsi="仿宋" w:eastAsia="仿宋" w:cs="仿宋"/>
          <w:kern w:val="2"/>
          <w:sz w:val="30"/>
          <w:szCs w:val="30"/>
          <w:highlight w:val="none"/>
        </w:rPr>
        <w:t>（二）法定授权人委托书</w:t>
      </w:r>
    </w:p>
    <w:p w14:paraId="6EA58F8B">
      <w:pPr>
        <w:pStyle w:val="149"/>
        <w:adjustRightInd w:val="0"/>
        <w:snapToGrid w:val="0"/>
        <w:spacing w:line="360" w:lineRule="auto"/>
        <w:ind w:left="560" w:hanging="560" w:hangingChars="200"/>
        <w:outlineLvl w:val="9"/>
        <w:rPr>
          <w:rFonts w:hint="eastAsia" w:ascii="仿宋" w:hAnsi="仿宋" w:eastAsia="仿宋" w:cs="仿宋"/>
          <w:sz w:val="28"/>
          <w:szCs w:val="28"/>
          <w:highlight w:val="none"/>
        </w:rPr>
      </w:pPr>
    </w:p>
    <w:p w14:paraId="2E82B7C5">
      <w:pPr>
        <w:pStyle w:val="149"/>
        <w:tabs>
          <w:tab w:val="left" w:pos="5580"/>
        </w:tabs>
        <w:spacing w:line="360" w:lineRule="auto"/>
        <w:ind w:firstLine="480"/>
        <w:outlineLvl w:val="9"/>
        <w:rPr>
          <w:rFonts w:hint="eastAsia" w:ascii="仿宋" w:hAnsi="仿宋" w:eastAsia="仿宋" w:cs="仿宋"/>
          <w:sz w:val="24"/>
          <w:highlight w:val="none"/>
          <w:u w:val="single"/>
        </w:rPr>
      </w:pPr>
      <w:r>
        <w:rPr>
          <w:rFonts w:hint="eastAsia" w:ascii="仿宋" w:hAnsi="仿宋" w:eastAsia="仿宋" w:cs="仿宋"/>
          <w:sz w:val="24"/>
          <w:highlight w:val="none"/>
        </w:rPr>
        <w:t>本授权书声明：注册于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（供应商住址）的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（供应商名称）的在下面</w:t>
      </w:r>
      <w:r>
        <w:rPr>
          <w:rFonts w:hint="eastAsia" w:ascii="仿宋" w:hAnsi="仿宋" w:eastAsia="仿宋" w:cs="仿宋"/>
          <w:sz w:val="24"/>
          <w:szCs w:val="21"/>
          <w:highlight w:val="none"/>
          <w:lang w:eastAsia="zh-CN"/>
        </w:rPr>
        <w:t>签字盖章</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（法定代表人姓名、职务）代表本公司授权</w:t>
      </w:r>
      <w:r>
        <w:rPr>
          <w:rFonts w:hint="eastAsia" w:ascii="仿宋" w:hAnsi="仿宋" w:eastAsia="仿宋" w:cs="仿宋"/>
          <w:sz w:val="24"/>
          <w:highlight w:val="none"/>
          <w:u w:val="single"/>
        </w:rPr>
        <w:t xml:space="preserve">      </w:t>
      </w:r>
    </w:p>
    <w:p w14:paraId="11C09C60">
      <w:pPr>
        <w:pStyle w:val="149"/>
        <w:tabs>
          <w:tab w:val="left" w:pos="5580"/>
        </w:tabs>
        <w:spacing w:line="360" w:lineRule="auto"/>
        <w:outlineLvl w:val="9"/>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（授权代理人的姓名、职务）为本公司的合法代理人，就贵方组织</w:t>
      </w:r>
      <w:r>
        <w:rPr>
          <w:rFonts w:hint="eastAsia" w:ascii="仿宋" w:hAnsi="仿宋" w:eastAsia="仿宋" w:cs="仿宋"/>
          <w:sz w:val="24"/>
          <w:highlight w:val="none"/>
          <w:u w:val="single"/>
        </w:rPr>
        <w:t xml:space="preserve">        </w:t>
      </w:r>
    </w:p>
    <w:p w14:paraId="123536D3">
      <w:pPr>
        <w:pStyle w:val="149"/>
        <w:tabs>
          <w:tab w:val="left" w:pos="5580"/>
        </w:tabs>
        <w:spacing w:line="360" w:lineRule="auto"/>
        <w:outlineLvl w:val="9"/>
        <w:rPr>
          <w:rFonts w:hint="eastAsia" w:ascii="仿宋" w:hAnsi="仿宋" w:eastAsia="仿宋" w:cs="仿宋"/>
          <w:sz w:val="24"/>
          <w:szCs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（项目名称）项目（项目编号：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），以本公司名义处理一切与之有关的事宜。</w:t>
      </w:r>
      <w:r>
        <w:rPr>
          <w:rFonts w:hint="eastAsia" w:ascii="仿宋" w:hAnsi="仿宋" w:eastAsia="仿宋" w:cs="仿宋"/>
          <w:sz w:val="24"/>
          <w:szCs w:val="24"/>
          <w:highlight w:val="none"/>
        </w:rPr>
        <w:t>供应商授权代理人在投标过程中所签署的一切文件和处理与之有关的一切事务，本公司均予以认可并对此承担责任。</w:t>
      </w:r>
    </w:p>
    <w:p w14:paraId="1B94C11F">
      <w:pPr>
        <w:pStyle w:val="149"/>
        <w:tabs>
          <w:tab w:val="left" w:pos="5580"/>
        </w:tabs>
        <w:spacing w:line="360" w:lineRule="auto"/>
        <w:ind w:firstLine="480"/>
        <w:outlineLvl w:val="9"/>
        <w:rPr>
          <w:rFonts w:hint="eastAsia" w:ascii="仿宋" w:hAnsi="仿宋" w:eastAsia="仿宋" w:cs="仿宋"/>
          <w:sz w:val="24"/>
          <w:highlight w:val="none"/>
        </w:rPr>
      </w:pPr>
      <w:r>
        <w:rPr>
          <w:rFonts w:hint="eastAsia" w:ascii="仿宋" w:hAnsi="仿宋" w:eastAsia="仿宋" w:cs="仿宋"/>
          <w:sz w:val="24"/>
          <w:szCs w:val="24"/>
          <w:highlight w:val="none"/>
        </w:rPr>
        <w:t>供应商授权代理人无转委托权。特此授权。</w:t>
      </w:r>
      <w:r>
        <w:rPr>
          <w:rFonts w:hint="eastAsia" w:ascii="仿宋" w:hAnsi="仿宋" w:eastAsia="仿宋" w:cs="仿宋"/>
          <w:sz w:val="24"/>
          <w:highlight w:val="none"/>
        </w:rPr>
        <w:cr/>
      </w:r>
      <w:r>
        <w:rPr>
          <w:rFonts w:hint="eastAsia" w:ascii="仿宋" w:hAnsi="仿宋" w:eastAsia="仿宋" w:cs="仿宋"/>
          <w:sz w:val="24"/>
          <w:highlight w:val="none"/>
        </w:rPr>
        <w:t>　　</w:t>
      </w:r>
    </w:p>
    <w:p w14:paraId="400104A7">
      <w:pPr>
        <w:pStyle w:val="149"/>
        <w:tabs>
          <w:tab w:val="left" w:pos="5580"/>
        </w:tabs>
        <w:spacing w:line="360" w:lineRule="auto"/>
        <w:ind w:firstLine="480"/>
        <w:outlineLvl w:val="9"/>
        <w:rPr>
          <w:rFonts w:hint="eastAsia" w:ascii="仿宋" w:hAnsi="仿宋" w:eastAsia="仿宋" w:cs="仿宋"/>
          <w:sz w:val="24"/>
          <w:highlight w:val="none"/>
        </w:rPr>
      </w:pPr>
      <w:r>
        <w:rPr>
          <w:rFonts w:hint="eastAsia" w:ascii="仿宋" w:hAnsi="仿宋" w:eastAsia="仿宋" w:cs="仿宋"/>
          <w:sz w:val="24"/>
          <w:highlight w:val="none"/>
        </w:rPr>
        <w:t>本授权书于________年_____月______日生效，特此声明。</w:t>
      </w:r>
      <w:r>
        <w:rPr>
          <w:rFonts w:hint="eastAsia" w:ascii="仿宋" w:hAnsi="仿宋" w:eastAsia="仿宋" w:cs="仿宋"/>
          <w:sz w:val="24"/>
          <w:highlight w:val="none"/>
        </w:rPr>
        <w:cr/>
      </w:r>
    </w:p>
    <w:p w14:paraId="550DA80A">
      <w:pPr>
        <w:pStyle w:val="167"/>
        <w:outlineLvl w:val="9"/>
        <w:rPr>
          <w:rFonts w:hint="eastAsia" w:ascii="仿宋" w:hAnsi="仿宋" w:eastAsia="仿宋" w:cs="仿宋"/>
          <w:highlight w:val="none"/>
        </w:rPr>
      </w:pPr>
      <w:r>
        <w:rPr>
          <w:rFonts w:hint="eastAsia" w:ascii="仿宋" w:hAnsi="仿宋" w:eastAsia="仿宋" w:cs="仿宋"/>
          <w:sz w:val="24"/>
          <w:highlight w:val="none"/>
        </w:rPr>
        <w:t xml:space="preserve"> （附授权代理人身份证复印件）</w:t>
      </w:r>
    </w:p>
    <w:p w14:paraId="417A3FCB">
      <w:pPr>
        <w:pStyle w:val="167"/>
        <w:outlineLvl w:val="9"/>
        <w:rPr>
          <w:rFonts w:hint="eastAsia" w:ascii="仿宋" w:hAnsi="仿宋" w:eastAsia="仿宋" w:cs="仿宋"/>
          <w:highlight w:val="none"/>
        </w:rPr>
      </w:pPr>
    </w:p>
    <w:p w14:paraId="610E1918">
      <w:pPr>
        <w:pStyle w:val="167"/>
        <w:outlineLvl w:val="9"/>
        <w:rPr>
          <w:rFonts w:hint="eastAsia" w:ascii="仿宋" w:hAnsi="仿宋" w:eastAsia="仿宋" w:cs="仿宋"/>
          <w:highlight w:val="none"/>
        </w:rPr>
      </w:pPr>
    </w:p>
    <w:p w14:paraId="0ABC6CE8">
      <w:pPr>
        <w:pStyle w:val="167"/>
        <w:outlineLvl w:val="9"/>
        <w:rPr>
          <w:rFonts w:hint="eastAsia" w:ascii="仿宋" w:hAnsi="仿宋" w:eastAsia="仿宋" w:cs="仿宋"/>
          <w:highlight w:val="none"/>
        </w:rPr>
      </w:pPr>
    </w:p>
    <w:p w14:paraId="3C494221">
      <w:pPr>
        <w:pStyle w:val="167"/>
        <w:outlineLvl w:val="9"/>
        <w:rPr>
          <w:rFonts w:hint="eastAsia" w:ascii="仿宋" w:hAnsi="仿宋" w:eastAsia="仿宋" w:cs="仿宋"/>
          <w:highlight w:val="none"/>
        </w:rPr>
      </w:pPr>
    </w:p>
    <w:p w14:paraId="2246AABB">
      <w:pPr>
        <w:pStyle w:val="167"/>
        <w:outlineLvl w:val="9"/>
        <w:rPr>
          <w:rFonts w:hint="eastAsia" w:ascii="仿宋" w:hAnsi="仿宋" w:eastAsia="仿宋" w:cs="仿宋"/>
          <w:highlight w:val="none"/>
        </w:rPr>
      </w:pPr>
    </w:p>
    <w:p w14:paraId="63D109E7">
      <w:pPr>
        <w:pStyle w:val="167"/>
        <w:outlineLvl w:val="9"/>
        <w:rPr>
          <w:rFonts w:hint="eastAsia" w:ascii="仿宋" w:hAnsi="仿宋" w:eastAsia="仿宋" w:cs="仿宋"/>
          <w:highlight w:val="none"/>
        </w:rPr>
      </w:pPr>
    </w:p>
    <w:p w14:paraId="740BF429">
      <w:pPr>
        <w:pStyle w:val="167"/>
        <w:outlineLvl w:val="9"/>
        <w:rPr>
          <w:rFonts w:hint="eastAsia" w:ascii="仿宋" w:hAnsi="仿宋" w:eastAsia="仿宋" w:cs="仿宋"/>
          <w:highlight w:val="none"/>
        </w:rPr>
      </w:pPr>
    </w:p>
    <w:p w14:paraId="21ABF46A">
      <w:pPr>
        <w:pStyle w:val="167"/>
        <w:outlineLvl w:val="9"/>
        <w:rPr>
          <w:rFonts w:hint="eastAsia" w:ascii="仿宋" w:hAnsi="仿宋" w:eastAsia="仿宋" w:cs="仿宋"/>
          <w:highlight w:val="none"/>
        </w:rPr>
      </w:pPr>
    </w:p>
    <w:p w14:paraId="794DB0B5">
      <w:pPr>
        <w:pStyle w:val="167"/>
        <w:outlineLvl w:val="9"/>
        <w:rPr>
          <w:rFonts w:hint="eastAsia" w:ascii="仿宋" w:hAnsi="仿宋" w:eastAsia="仿宋" w:cs="仿宋"/>
          <w:highlight w:val="none"/>
        </w:rPr>
      </w:pPr>
    </w:p>
    <w:p w14:paraId="016FE52C">
      <w:pPr>
        <w:pStyle w:val="167"/>
        <w:outlineLvl w:val="9"/>
        <w:rPr>
          <w:rFonts w:hint="eastAsia" w:ascii="仿宋" w:hAnsi="仿宋" w:eastAsia="仿宋" w:cs="仿宋"/>
          <w:highlight w:val="none"/>
        </w:rPr>
      </w:pPr>
    </w:p>
    <w:p w14:paraId="56324777">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2D102FA4">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73D044D3">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41B59475">
      <w:pPr>
        <w:pStyle w:val="137"/>
        <w:spacing w:line="360" w:lineRule="auto"/>
        <w:outlineLvl w:val="9"/>
        <w:rPr>
          <w:rFonts w:hint="eastAsia" w:ascii="仿宋" w:hAnsi="仿宋" w:eastAsia="仿宋" w:cs="仿宋"/>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274D1A40">
      <w:pPr>
        <w:pStyle w:val="149"/>
        <w:widowControl/>
        <w:spacing w:line="360" w:lineRule="auto"/>
        <w:outlineLvl w:val="3"/>
        <w:rPr>
          <w:rFonts w:hint="eastAsia" w:ascii="仿宋" w:hAnsi="仿宋" w:eastAsia="仿宋" w:cs="仿宋"/>
          <w:b/>
          <w:sz w:val="28"/>
          <w:szCs w:val="21"/>
          <w:highlight w:val="none"/>
        </w:rPr>
      </w:pPr>
      <w:r>
        <w:rPr>
          <w:rFonts w:hint="eastAsia" w:ascii="仿宋" w:hAnsi="仿宋" w:eastAsia="仿宋" w:cs="仿宋"/>
          <w:b/>
          <w:sz w:val="28"/>
          <w:szCs w:val="21"/>
          <w:highlight w:val="none"/>
        </w:rPr>
        <w:t>附：法定代表人身份证明书</w:t>
      </w:r>
    </w:p>
    <w:p w14:paraId="00FEA8ED">
      <w:pPr>
        <w:pStyle w:val="149"/>
        <w:spacing w:line="360" w:lineRule="auto"/>
        <w:outlineLvl w:val="9"/>
        <w:rPr>
          <w:rFonts w:hint="eastAsia" w:ascii="仿宋" w:hAnsi="仿宋" w:eastAsia="仿宋" w:cs="仿宋"/>
          <w:sz w:val="24"/>
          <w:highlight w:val="none"/>
        </w:rPr>
      </w:pPr>
    </w:p>
    <w:p w14:paraId="721713D5">
      <w:pPr>
        <w:pStyle w:val="149"/>
        <w:spacing w:line="360" w:lineRule="auto"/>
        <w:outlineLvl w:val="9"/>
        <w:rPr>
          <w:rFonts w:hint="eastAsia" w:ascii="仿宋" w:hAnsi="仿宋" w:eastAsia="仿宋" w:cs="仿宋"/>
          <w:sz w:val="24"/>
          <w:szCs w:val="21"/>
          <w:highlight w:val="none"/>
        </w:rPr>
      </w:pPr>
      <w:r>
        <w:rPr>
          <w:rFonts w:hint="eastAsia" w:ascii="仿宋" w:hAnsi="仿宋" w:eastAsia="仿宋" w:cs="仿宋"/>
          <w:sz w:val="28"/>
          <w:highlight w:val="none"/>
        </w:rPr>
        <w:t xml:space="preserve">   </w:t>
      </w:r>
      <w:r>
        <w:rPr>
          <w:rFonts w:hint="eastAsia" w:ascii="仿宋" w:hAnsi="仿宋" w:eastAsia="仿宋" w:cs="仿宋"/>
          <w:sz w:val="24"/>
          <w:szCs w:val="21"/>
          <w:highlight w:val="none"/>
        </w:rPr>
        <w:t xml:space="preserve"> 单位名称：</w:t>
      </w:r>
      <w:r>
        <w:rPr>
          <w:rFonts w:hint="eastAsia" w:ascii="仿宋" w:hAnsi="仿宋" w:eastAsia="仿宋" w:cs="仿宋"/>
          <w:sz w:val="24"/>
          <w:szCs w:val="21"/>
          <w:highlight w:val="none"/>
          <w:u w:val="single"/>
        </w:rPr>
        <w:t xml:space="preserve">                                  </w:t>
      </w:r>
    </w:p>
    <w:p w14:paraId="0FFCB942">
      <w:pPr>
        <w:pStyle w:val="149"/>
        <w:spacing w:line="360" w:lineRule="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 xml:space="preserve">    单位类型：</w:t>
      </w:r>
      <w:r>
        <w:rPr>
          <w:rFonts w:hint="eastAsia" w:ascii="仿宋" w:hAnsi="仿宋" w:eastAsia="仿宋" w:cs="仿宋"/>
          <w:sz w:val="24"/>
          <w:szCs w:val="21"/>
          <w:highlight w:val="none"/>
          <w:u w:val="single"/>
        </w:rPr>
        <w:t xml:space="preserve">                                  </w:t>
      </w:r>
    </w:p>
    <w:p w14:paraId="0C357EEC">
      <w:pPr>
        <w:pStyle w:val="149"/>
        <w:spacing w:line="360" w:lineRule="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 xml:space="preserve">    住    所：</w:t>
      </w:r>
      <w:r>
        <w:rPr>
          <w:rFonts w:hint="eastAsia" w:ascii="仿宋" w:hAnsi="仿宋" w:eastAsia="仿宋" w:cs="仿宋"/>
          <w:sz w:val="24"/>
          <w:szCs w:val="21"/>
          <w:highlight w:val="none"/>
          <w:u w:val="single"/>
        </w:rPr>
        <w:t xml:space="preserve">                                  </w:t>
      </w:r>
    </w:p>
    <w:p w14:paraId="04034411">
      <w:pPr>
        <w:pStyle w:val="149"/>
        <w:spacing w:line="360" w:lineRule="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 xml:space="preserve">    成立日期：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2F17E7C2">
      <w:pPr>
        <w:pStyle w:val="149"/>
        <w:spacing w:line="360" w:lineRule="auto"/>
        <w:ind w:firstLine="465"/>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营业期限：</w:t>
      </w:r>
      <w:r>
        <w:rPr>
          <w:rFonts w:hint="eastAsia" w:ascii="仿宋" w:hAnsi="仿宋" w:eastAsia="仿宋" w:cs="仿宋"/>
          <w:sz w:val="24"/>
          <w:szCs w:val="21"/>
          <w:highlight w:val="none"/>
          <w:u w:val="single"/>
        </w:rPr>
        <w:t xml:space="preserve">                                  </w:t>
      </w:r>
    </w:p>
    <w:p w14:paraId="749D0E02">
      <w:pPr>
        <w:pStyle w:val="149"/>
        <w:spacing w:line="360" w:lineRule="auto"/>
        <w:ind w:firstLine="465"/>
        <w:outlineLvl w:val="9"/>
        <w:rPr>
          <w:rFonts w:hint="eastAsia" w:ascii="仿宋" w:hAnsi="仿宋" w:eastAsia="仿宋" w:cs="仿宋"/>
          <w:sz w:val="24"/>
          <w:szCs w:val="21"/>
          <w:highlight w:val="none"/>
        </w:rPr>
      </w:pPr>
    </w:p>
    <w:p w14:paraId="6BCDABBB">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姓    名：</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性别：</w:t>
      </w:r>
      <w:r>
        <w:rPr>
          <w:rFonts w:hint="eastAsia" w:ascii="仿宋" w:hAnsi="仿宋" w:eastAsia="仿宋" w:cs="仿宋"/>
          <w:sz w:val="24"/>
          <w:szCs w:val="21"/>
          <w:highlight w:val="none"/>
          <w:u w:val="single"/>
        </w:rPr>
        <w:t xml:space="preserve">           </w:t>
      </w:r>
    </w:p>
    <w:p w14:paraId="247AD2CE">
      <w:pPr>
        <w:pStyle w:val="149"/>
        <w:spacing w:line="360" w:lineRule="auto"/>
        <w:ind w:firstLine="48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系</w:t>
      </w:r>
      <w:r>
        <w:rPr>
          <w:rFonts w:hint="eastAsia" w:ascii="仿宋" w:hAnsi="仿宋" w:eastAsia="仿宋" w:cs="仿宋"/>
          <w:sz w:val="24"/>
          <w:szCs w:val="21"/>
          <w:highlight w:val="none"/>
          <w:u w:val="single"/>
        </w:rPr>
        <w:t xml:space="preserve">    （供应商名称）   </w:t>
      </w:r>
      <w:r>
        <w:rPr>
          <w:rFonts w:hint="eastAsia" w:ascii="仿宋" w:hAnsi="仿宋" w:eastAsia="仿宋" w:cs="仿宋"/>
          <w:sz w:val="24"/>
          <w:szCs w:val="21"/>
          <w:highlight w:val="none"/>
        </w:rPr>
        <w:t>的法定代表人。</w:t>
      </w:r>
    </w:p>
    <w:p w14:paraId="436D9530">
      <w:pPr>
        <w:pStyle w:val="149"/>
        <w:spacing w:line="360" w:lineRule="auto"/>
        <w:ind w:firstLine="480"/>
        <w:outlineLvl w:val="9"/>
        <w:rPr>
          <w:rFonts w:hint="eastAsia" w:ascii="仿宋" w:hAnsi="仿宋" w:eastAsia="仿宋" w:cs="仿宋"/>
          <w:sz w:val="24"/>
          <w:szCs w:val="21"/>
          <w:highlight w:val="none"/>
        </w:rPr>
      </w:pPr>
    </w:p>
    <w:p w14:paraId="11BC1183">
      <w:pPr>
        <w:pStyle w:val="149"/>
        <w:spacing w:line="360" w:lineRule="auto"/>
        <w:ind w:firstLine="48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特此证明。</w:t>
      </w:r>
    </w:p>
    <w:p w14:paraId="0F5CFA1D">
      <w:pPr>
        <w:pStyle w:val="149"/>
        <w:spacing w:line="360" w:lineRule="auto"/>
        <w:ind w:firstLine="480"/>
        <w:outlineLvl w:val="9"/>
        <w:rPr>
          <w:rFonts w:hint="eastAsia" w:ascii="仿宋" w:hAnsi="仿宋" w:eastAsia="仿宋" w:cs="仿宋"/>
          <w:sz w:val="24"/>
          <w:szCs w:val="21"/>
          <w:highlight w:val="none"/>
        </w:rPr>
      </w:pPr>
    </w:p>
    <w:p w14:paraId="32F3597B">
      <w:pPr>
        <w:pStyle w:val="167"/>
        <w:outlineLvl w:val="9"/>
        <w:rPr>
          <w:rFonts w:hint="eastAsia" w:ascii="仿宋" w:hAnsi="仿宋" w:eastAsia="仿宋" w:cs="仿宋"/>
          <w:sz w:val="24"/>
          <w:highlight w:val="none"/>
        </w:rPr>
      </w:pPr>
      <w:r>
        <w:rPr>
          <w:rFonts w:hint="eastAsia" w:ascii="仿宋" w:hAnsi="仿宋" w:eastAsia="仿宋" w:cs="仿宋"/>
          <w:sz w:val="24"/>
          <w:highlight w:val="none"/>
        </w:rPr>
        <w:t xml:space="preserve"> （附法定代表人身份证复印件）</w:t>
      </w:r>
    </w:p>
    <w:p w14:paraId="383A6652">
      <w:pPr>
        <w:pStyle w:val="149"/>
        <w:spacing w:line="360" w:lineRule="auto"/>
        <w:outlineLvl w:val="9"/>
        <w:rPr>
          <w:rFonts w:hint="eastAsia" w:ascii="仿宋" w:hAnsi="仿宋" w:eastAsia="仿宋" w:cs="仿宋"/>
          <w:sz w:val="24"/>
          <w:szCs w:val="21"/>
          <w:highlight w:val="none"/>
        </w:rPr>
      </w:pPr>
    </w:p>
    <w:p w14:paraId="46DB99AA">
      <w:pPr>
        <w:pStyle w:val="149"/>
        <w:spacing w:line="360" w:lineRule="auto"/>
        <w:ind w:firstLine="480"/>
        <w:outlineLvl w:val="9"/>
        <w:rPr>
          <w:rFonts w:hint="eastAsia" w:ascii="仿宋" w:hAnsi="仿宋" w:eastAsia="仿宋" w:cs="仿宋"/>
          <w:sz w:val="24"/>
          <w:szCs w:val="21"/>
          <w:highlight w:val="none"/>
        </w:rPr>
      </w:pPr>
    </w:p>
    <w:p w14:paraId="7F38EEDD">
      <w:pPr>
        <w:pStyle w:val="149"/>
        <w:spacing w:line="360" w:lineRule="auto"/>
        <w:ind w:firstLine="480"/>
        <w:outlineLvl w:val="9"/>
        <w:rPr>
          <w:rFonts w:hint="eastAsia" w:ascii="仿宋" w:hAnsi="仿宋" w:eastAsia="仿宋" w:cs="仿宋"/>
          <w:sz w:val="24"/>
          <w:szCs w:val="21"/>
          <w:highlight w:val="none"/>
        </w:rPr>
      </w:pPr>
    </w:p>
    <w:p w14:paraId="101C6FF7">
      <w:pPr>
        <w:pStyle w:val="149"/>
        <w:spacing w:line="360" w:lineRule="auto"/>
        <w:ind w:firstLine="480"/>
        <w:outlineLvl w:val="9"/>
        <w:rPr>
          <w:rFonts w:hint="eastAsia" w:ascii="仿宋" w:hAnsi="仿宋" w:eastAsia="仿宋" w:cs="仿宋"/>
          <w:sz w:val="24"/>
          <w:szCs w:val="21"/>
          <w:highlight w:val="none"/>
        </w:rPr>
      </w:pPr>
    </w:p>
    <w:p w14:paraId="3B1F2803">
      <w:pPr>
        <w:pStyle w:val="149"/>
        <w:spacing w:line="360" w:lineRule="auto"/>
        <w:ind w:firstLine="480"/>
        <w:outlineLvl w:val="9"/>
        <w:rPr>
          <w:rFonts w:hint="eastAsia" w:ascii="仿宋" w:hAnsi="仿宋" w:eastAsia="仿宋" w:cs="仿宋"/>
          <w:sz w:val="24"/>
          <w:szCs w:val="21"/>
          <w:highlight w:val="none"/>
        </w:rPr>
      </w:pPr>
    </w:p>
    <w:p w14:paraId="7C7C44D8">
      <w:pPr>
        <w:pStyle w:val="149"/>
        <w:spacing w:line="360" w:lineRule="auto"/>
        <w:ind w:firstLine="480"/>
        <w:outlineLvl w:val="9"/>
        <w:rPr>
          <w:rFonts w:hint="eastAsia" w:ascii="仿宋" w:hAnsi="仿宋" w:eastAsia="仿宋" w:cs="仿宋"/>
          <w:sz w:val="24"/>
          <w:szCs w:val="21"/>
          <w:highlight w:val="none"/>
        </w:rPr>
      </w:pPr>
    </w:p>
    <w:p w14:paraId="10020436">
      <w:pPr>
        <w:pStyle w:val="149"/>
        <w:spacing w:line="360" w:lineRule="auto"/>
        <w:ind w:firstLine="480"/>
        <w:outlineLvl w:val="9"/>
        <w:rPr>
          <w:rFonts w:hint="eastAsia" w:ascii="仿宋" w:hAnsi="仿宋" w:eastAsia="仿宋" w:cs="仿宋"/>
          <w:sz w:val="24"/>
          <w:szCs w:val="21"/>
          <w:highlight w:val="none"/>
        </w:rPr>
      </w:pPr>
    </w:p>
    <w:p w14:paraId="728BF569">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27DFE0EE">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0BC997E6">
      <w:pPr>
        <w:pStyle w:val="149"/>
        <w:spacing w:line="360" w:lineRule="auto"/>
        <w:outlineLvl w:val="9"/>
        <w:rPr>
          <w:rFonts w:hint="eastAsia" w:ascii="仿宋" w:hAnsi="仿宋" w:eastAsia="仿宋" w:cs="仿宋"/>
          <w:sz w:val="22"/>
          <w:szCs w:val="21"/>
          <w:highlight w:val="none"/>
        </w:rPr>
      </w:pPr>
    </w:p>
    <w:p w14:paraId="35896E49">
      <w:pPr>
        <w:pStyle w:val="149"/>
        <w:spacing w:line="360" w:lineRule="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注：1、本项目只允许有唯一的供应商授权代理人，且必须为供应商在职员工。</w:t>
      </w:r>
    </w:p>
    <w:p w14:paraId="1E33A7BE">
      <w:pPr>
        <w:pStyle w:val="158"/>
        <w:spacing w:line="360" w:lineRule="auto"/>
        <w:ind w:firstLine="480" w:firstLineChars="200"/>
        <w:outlineLvl w:val="9"/>
        <w:rPr>
          <w:rFonts w:hint="eastAsia" w:ascii="仿宋" w:hAnsi="仿宋" w:eastAsia="仿宋" w:cs="仿宋"/>
          <w:highlight w:val="none"/>
        </w:rPr>
      </w:pPr>
      <w:r>
        <w:rPr>
          <w:rFonts w:hint="eastAsia" w:ascii="仿宋" w:hAnsi="仿宋" w:eastAsia="仿宋" w:cs="仿宋"/>
          <w:sz w:val="24"/>
          <w:szCs w:val="21"/>
          <w:highlight w:val="none"/>
        </w:rPr>
        <w:t>2、供应商法定代表人参加投标的，可以不提供法定代表人授权委托书，但必须提供上述法定代表人身份证明书，否则将按无效投标处理。</w:t>
      </w:r>
    </w:p>
    <w:p w14:paraId="1C81A8E2">
      <w:pPr>
        <w:pStyle w:val="200"/>
        <w:spacing w:line="360" w:lineRule="auto"/>
        <w:jc w:val="center"/>
        <w:outlineLvl w:val="2"/>
        <w:rPr>
          <w:rFonts w:hint="eastAsia" w:ascii="仿宋" w:hAnsi="仿宋" w:eastAsia="仿宋" w:cs="仿宋"/>
          <w:sz w:val="30"/>
          <w:szCs w:val="30"/>
          <w:highlight w:val="none"/>
        </w:rPr>
      </w:pPr>
      <w:r>
        <w:rPr>
          <w:rFonts w:hint="eastAsia" w:ascii="仿宋" w:hAnsi="仿宋" w:eastAsia="仿宋" w:cs="仿宋"/>
          <w:highlight w:val="none"/>
        </w:rPr>
        <w:br w:type="page"/>
      </w:r>
      <w:bookmarkStart w:id="211" w:name="_Toc256000022"/>
      <w:bookmarkStart w:id="212" w:name="_Toc25242"/>
      <w:bookmarkStart w:id="213" w:name="_Toc21811"/>
      <w:bookmarkStart w:id="214" w:name="_Toc31467"/>
      <w:r>
        <w:rPr>
          <w:rFonts w:hint="eastAsia" w:ascii="仿宋" w:hAnsi="仿宋" w:eastAsia="仿宋" w:cs="仿宋"/>
          <w:sz w:val="30"/>
          <w:szCs w:val="30"/>
          <w:highlight w:val="none"/>
        </w:rPr>
        <w:t>（三）</w:t>
      </w:r>
      <w:bookmarkEnd w:id="211"/>
      <w:r>
        <w:rPr>
          <w:rFonts w:hint="eastAsia" w:ascii="仿宋" w:hAnsi="仿宋" w:eastAsia="仿宋" w:cs="仿宋"/>
          <w:sz w:val="30"/>
          <w:szCs w:val="30"/>
          <w:highlight w:val="none"/>
        </w:rPr>
        <w:t>《政府采购法》第二十二条应当具备的条件</w:t>
      </w:r>
      <w:bookmarkEnd w:id="212"/>
      <w:bookmarkEnd w:id="213"/>
      <w:bookmarkEnd w:id="214"/>
    </w:p>
    <w:p w14:paraId="177FCCE2">
      <w:pPr>
        <w:pStyle w:val="55"/>
        <w:spacing w:line="460" w:lineRule="exact"/>
        <w:ind w:firstLine="0" w:firstLineChars="0"/>
        <w:outlineLvl w:val="9"/>
        <w:rPr>
          <w:rFonts w:hint="eastAsia" w:ascii="仿宋" w:hAnsi="仿宋" w:eastAsia="仿宋" w:cs="仿宋"/>
          <w:sz w:val="24"/>
          <w:highlight w:val="none"/>
        </w:rPr>
      </w:pPr>
      <w:bookmarkStart w:id="215" w:name="_Toc21314"/>
      <w:r>
        <w:rPr>
          <w:rFonts w:hint="eastAsia" w:ascii="仿宋" w:hAnsi="仿宋" w:eastAsia="仿宋" w:cs="仿宋"/>
          <w:sz w:val="24"/>
          <w:highlight w:val="none"/>
        </w:rPr>
        <w:t>1.满足《中华人民共和国政府采购法》第二十二条规定；</w:t>
      </w:r>
    </w:p>
    <w:p w14:paraId="571287AA">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（1）供应商须具备三证合一的营业执照；</w:t>
      </w:r>
    </w:p>
    <w:p w14:paraId="7ABF7771">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供应商代表法定代表人需提供法定代表人证明书及法定代表人身份证，委托代理人需提供法定代表人授权委托书及委托代理人身份证，并提供近3个月任意1个月社保证明材料（社保缴费凭证及个人明细表）；新公司按实际发生提供；</w:t>
      </w:r>
    </w:p>
    <w:p w14:paraId="78C96ED2">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（3）提供税务机关出具近3个月任意1个月的完税证明或报税材料（依法免缴的，应提供依法</w:t>
      </w:r>
      <w:r>
        <w:rPr>
          <w:rFonts w:hint="eastAsia" w:ascii="仿宋" w:hAnsi="仿宋" w:eastAsia="仿宋" w:cs="仿宋"/>
          <w:b w:val="0"/>
          <w:bCs w:val="0"/>
          <w:i w:val="0"/>
          <w:iCs w:val="0"/>
          <w:caps w:val="0"/>
          <w:color w:val="000000"/>
          <w:spacing w:val="0"/>
          <w:sz w:val="24"/>
          <w:szCs w:val="24"/>
          <w:highlight w:val="none"/>
          <w:lang w:val="en-US" w:eastAsia="zh-CN"/>
        </w:rPr>
        <w:t>免缴的相关证明文件），新公司按实际发生提供；</w:t>
      </w:r>
    </w:p>
    <w:p w14:paraId="24B55AB1">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（4）提供2024年度由第三方财务审计机构出具的财务审计报告，2025年新成立的公司提供银行出具的近一个月的资信证明；；</w:t>
      </w:r>
    </w:p>
    <w:p w14:paraId="474D4BC0">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（5）提供参加政府采购活动前 3 年内在经营活动中没有重大违法记录的书面声明；</w:t>
      </w:r>
    </w:p>
    <w:p w14:paraId="4D7311A1">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（6）企业负责人为同一人或者存在直接控股、管理关系的不同投标人，不得参加同一合同项下的政府采购活动声明函；</w:t>
      </w:r>
    </w:p>
    <w:p w14:paraId="5F63EC84">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（7）本项目不接受联合体投标；</w:t>
      </w:r>
    </w:p>
    <w:p w14:paraId="3141F54E">
      <w:pPr>
        <w:pStyle w:val="6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sz w:val="24"/>
          <w:highlight w:val="none"/>
          <w:lang w:eastAsia="zh-CN"/>
        </w:rPr>
      </w:pPr>
      <w:r>
        <w:rPr>
          <w:rFonts w:hint="eastAsia" w:ascii="仿宋" w:hAnsi="仿宋" w:eastAsia="仿宋" w:cs="仿宋"/>
          <w:b w:val="0"/>
          <w:bCs w:val="0"/>
          <w:i w:val="0"/>
          <w:iCs w:val="0"/>
          <w:caps w:val="0"/>
          <w:color w:val="000000"/>
          <w:spacing w:val="0"/>
          <w:sz w:val="24"/>
          <w:szCs w:val="24"/>
          <w:highlight w:val="none"/>
          <w:lang w:val="en-US" w:eastAsia="zh-CN"/>
        </w:rPr>
        <w:t>（8）投标保证金或电子保函：7000.00元整（大写 ：柒仟元整）</w:t>
      </w:r>
    </w:p>
    <w:p w14:paraId="4B5D51EC">
      <w:pPr>
        <w:pStyle w:val="200"/>
        <w:spacing w:line="360" w:lineRule="auto"/>
        <w:jc w:val="left"/>
        <w:outlineLvl w:val="9"/>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特定资格要求：</w:t>
      </w:r>
      <w:r>
        <w:rPr>
          <w:rFonts w:hint="eastAsia" w:ascii="仿宋" w:hAnsi="仿宋" w:eastAsia="仿宋" w:cs="仿宋"/>
          <w:b w:val="0"/>
          <w:bCs w:val="0"/>
          <w:color w:val="000000"/>
          <w:sz w:val="24"/>
          <w:szCs w:val="24"/>
          <w:highlight w:val="none"/>
        </w:rPr>
        <w:t>具备医学教育培训相关资质</w:t>
      </w:r>
      <w:r>
        <w:rPr>
          <w:rFonts w:hint="eastAsia" w:ascii="仿宋" w:hAnsi="仿宋" w:eastAsia="仿宋" w:cs="仿宋"/>
          <w:b w:val="0"/>
          <w:bCs w:val="0"/>
          <w:color w:val="000000"/>
          <w:sz w:val="24"/>
          <w:szCs w:val="24"/>
          <w:highlight w:val="none"/>
          <w:lang w:eastAsia="zh-CN"/>
        </w:rPr>
        <w:t>。</w:t>
      </w:r>
    </w:p>
    <w:p w14:paraId="49B09EFE">
      <w:pPr>
        <w:pStyle w:val="200"/>
        <w:spacing w:line="360" w:lineRule="auto"/>
        <w:ind w:firstLine="482" w:firstLineChars="200"/>
        <w:jc w:val="left"/>
        <w:outlineLvl w:val="9"/>
        <w:rPr>
          <w:rFonts w:hint="eastAsia" w:ascii="仿宋" w:hAnsi="仿宋" w:eastAsia="仿宋" w:cs="仿宋"/>
          <w:sz w:val="24"/>
          <w:szCs w:val="21"/>
          <w:highlight w:val="none"/>
          <w:lang w:eastAsia="zh-CN"/>
        </w:rPr>
      </w:pPr>
      <w:r>
        <w:rPr>
          <w:rFonts w:hint="eastAsia" w:ascii="仿宋" w:hAnsi="仿宋" w:eastAsia="仿宋" w:cs="仿宋"/>
          <w:sz w:val="24"/>
          <w:szCs w:val="21"/>
          <w:highlight w:val="none"/>
        </w:rPr>
        <w:t>法律、行政法规规定的其他条件</w:t>
      </w:r>
      <w:r>
        <w:rPr>
          <w:rFonts w:hint="eastAsia" w:ascii="仿宋" w:hAnsi="仿宋" w:eastAsia="仿宋" w:cs="仿宋"/>
          <w:sz w:val="24"/>
          <w:szCs w:val="21"/>
          <w:highlight w:val="none"/>
          <w:lang w:eastAsia="zh-CN"/>
        </w:rPr>
        <w:t>：</w:t>
      </w:r>
    </w:p>
    <w:p w14:paraId="05E2DEBC">
      <w:pPr>
        <w:pStyle w:val="200"/>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30"/>
          <w:szCs w:val="30"/>
          <w:highlight w:val="none"/>
        </w:rPr>
      </w:pPr>
      <w:r>
        <w:rPr>
          <w:rFonts w:hint="eastAsia" w:ascii="仿宋" w:hAnsi="仿宋" w:eastAsia="仿宋" w:cs="仿宋"/>
          <w:sz w:val="24"/>
          <w:highlight w:val="none"/>
          <w:lang w:val="zh-CN"/>
        </w:rPr>
        <w:t>根据《财政部关于在政府采购活动中查询及使用信用记录有关问题的通知》（财库﹝2016﹞125号）的要求，</w:t>
      </w:r>
      <w:bookmarkStart w:id="216" w:name="_Toc256000023"/>
      <w:r>
        <w:rPr>
          <w:rFonts w:hint="eastAsia" w:ascii="仿宋" w:hAnsi="仿宋" w:eastAsia="仿宋" w:cs="仿宋"/>
          <w:sz w:val="24"/>
          <w:highlight w:val="none"/>
          <w:lang w:val="zh-CN"/>
        </w:rPr>
        <w:t xml:space="preserve">凡拟参加本次招标项目的投标人，如在采购活动前3年内“信用中国”网站（ www.creditchina.gov.cn） 被列入失信被执行人、重大税收违法失信主体（（进入信用中国网站－信用服务-失信被执行人、重大税收违法失信主体－查询、截图）、中国政府采购网（http://www.ccgp.gov.cn/search/cr/）严重违法失信行为记录名单的（尚在处罚期内的），将拒绝其参加本次招标活动。 </w:t>
      </w:r>
      <w:r>
        <w:rPr>
          <w:rFonts w:hint="eastAsia" w:ascii="仿宋" w:hAnsi="仿宋" w:eastAsia="仿宋" w:cs="仿宋"/>
          <w:b w:val="0"/>
          <w:bCs/>
          <w:sz w:val="24"/>
          <w:highlight w:val="none"/>
          <w:lang w:val="zh-CN"/>
        </w:rPr>
        <w:br w:type="page"/>
      </w:r>
      <w:bookmarkStart w:id="217" w:name="_Toc7125"/>
      <w:bookmarkStart w:id="218" w:name="_Toc26657"/>
      <w:r>
        <w:rPr>
          <w:rFonts w:hint="eastAsia" w:ascii="仿宋" w:hAnsi="仿宋" w:eastAsia="仿宋" w:cs="仿宋"/>
          <w:sz w:val="30"/>
          <w:szCs w:val="30"/>
          <w:highlight w:val="none"/>
        </w:rPr>
        <w:t>（四）磋商保证金</w:t>
      </w:r>
      <w:bookmarkEnd w:id="215"/>
      <w:bookmarkEnd w:id="217"/>
      <w:bookmarkEnd w:id="218"/>
    </w:p>
    <w:p w14:paraId="6E8F4D30">
      <w:pPr>
        <w:pStyle w:val="106"/>
        <w:tabs>
          <w:tab w:val="left" w:pos="1429"/>
        </w:tabs>
        <w:spacing w:line="360" w:lineRule="auto"/>
        <w:outlineLvl w:val="9"/>
        <w:rPr>
          <w:rFonts w:hint="eastAsia" w:ascii="仿宋" w:hAnsi="仿宋" w:eastAsia="仿宋" w:cs="仿宋"/>
          <w:bCs/>
          <w:highlight w:val="none"/>
        </w:rPr>
      </w:pPr>
    </w:p>
    <w:p w14:paraId="24E6D113">
      <w:pPr>
        <w:pStyle w:val="106"/>
        <w:tabs>
          <w:tab w:val="left" w:pos="1429"/>
        </w:tabs>
        <w:spacing w:line="360" w:lineRule="auto"/>
        <w:outlineLvl w:val="9"/>
        <w:rPr>
          <w:rFonts w:hint="eastAsia" w:ascii="仿宋" w:hAnsi="仿宋" w:eastAsia="仿宋" w:cs="仿宋"/>
          <w:bCs/>
          <w:highlight w:val="none"/>
          <w:lang w:val="en-US" w:eastAsia="zh-CN"/>
        </w:rPr>
      </w:pPr>
      <w:r>
        <w:rPr>
          <w:rFonts w:hint="eastAsia" w:ascii="仿宋" w:hAnsi="仿宋" w:eastAsia="仿宋" w:cs="仿宋"/>
          <w:bCs/>
          <w:highlight w:val="none"/>
        </w:rPr>
        <w:t>说明：</w:t>
      </w:r>
      <w:r>
        <w:rPr>
          <w:rFonts w:hint="eastAsia" w:ascii="仿宋" w:hAnsi="仿宋" w:eastAsia="仿宋" w:cs="仿宋"/>
          <w:bCs/>
          <w:highlight w:val="none"/>
          <w:lang w:eastAsia="zh-CN"/>
        </w:rPr>
        <w:t>1、</w:t>
      </w:r>
      <w:r>
        <w:rPr>
          <w:rFonts w:hint="eastAsia" w:ascii="仿宋" w:hAnsi="仿宋" w:eastAsia="仿宋" w:cs="仿宋"/>
          <w:highlight w:val="none"/>
        </w:rPr>
        <w:t>此处上传投标保证金缴纳证明文件</w:t>
      </w:r>
      <w:r>
        <w:rPr>
          <w:rFonts w:hint="eastAsia" w:ascii="仿宋" w:hAnsi="仿宋" w:eastAsia="仿宋" w:cs="仿宋"/>
          <w:bCs/>
          <w:highlight w:val="none"/>
          <w:lang w:val="en-US" w:eastAsia="zh-CN"/>
        </w:rPr>
        <w:t>。</w:t>
      </w:r>
    </w:p>
    <w:p w14:paraId="67B469D7">
      <w:pPr>
        <w:pStyle w:val="210"/>
        <w:spacing w:line="360" w:lineRule="auto"/>
        <w:outlineLvl w:val="9"/>
        <w:rPr>
          <w:rFonts w:hint="eastAsia" w:ascii="仿宋" w:hAnsi="仿宋" w:eastAsia="仿宋" w:cs="仿宋"/>
          <w:sz w:val="24"/>
          <w:szCs w:val="24"/>
          <w:highlight w:val="none"/>
        </w:rPr>
      </w:pPr>
      <w:r>
        <w:rPr>
          <w:rFonts w:hint="eastAsia" w:ascii="仿宋" w:hAnsi="仿宋" w:eastAsia="仿宋" w:cs="仿宋"/>
          <w:highlight w:val="none"/>
        </w:rPr>
        <w:t xml:space="preserve">    </w:t>
      </w:r>
      <w:r>
        <w:rPr>
          <w:rFonts w:hint="eastAsia" w:ascii="仿宋" w:hAnsi="仿宋" w:eastAsia="仿宋" w:cs="仿宋"/>
          <w:bCs/>
          <w:sz w:val="24"/>
          <w:highlight w:val="none"/>
        </w:rPr>
        <w:t xml:space="preserve"> </w:t>
      </w:r>
    </w:p>
    <w:p w14:paraId="14DB69A1">
      <w:pPr>
        <w:pStyle w:val="62"/>
        <w:outlineLvl w:val="9"/>
        <w:rPr>
          <w:rFonts w:hint="eastAsia" w:ascii="仿宋" w:hAnsi="仿宋" w:eastAsia="仿宋" w:cs="仿宋"/>
          <w:highlight w:val="none"/>
        </w:rPr>
      </w:pPr>
    </w:p>
    <w:p w14:paraId="13F5E5DC">
      <w:pPr>
        <w:pStyle w:val="200"/>
        <w:spacing w:line="360" w:lineRule="auto"/>
        <w:jc w:val="center"/>
        <w:outlineLvl w:val="2"/>
        <w:rPr>
          <w:rFonts w:hint="eastAsia" w:ascii="仿宋" w:hAnsi="仿宋" w:eastAsia="仿宋" w:cs="仿宋"/>
          <w:b w:val="0"/>
          <w:sz w:val="30"/>
          <w:szCs w:val="30"/>
          <w:highlight w:val="none"/>
        </w:rPr>
      </w:pPr>
      <w:r>
        <w:rPr>
          <w:rFonts w:hint="eastAsia" w:ascii="仿宋" w:hAnsi="仿宋" w:eastAsia="仿宋" w:cs="仿宋"/>
          <w:bCs/>
          <w:highlight w:val="none"/>
        </w:rPr>
        <w:t xml:space="preserve"> </w:t>
      </w:r>
      <w:r>
        <w:rPr>
          <w:rFonts w:hint="eastAsia" w:ascii="仿宋" w:hAnsi="仿宋" w:eastAsia="仿宋" w:cs="仿宋"/>
          <w:highlight w:val="none"/>
        </w:rPr>
        <w:br w:type="page"/>
      </w:r>
      <w:bookmarkStart w:id="219" w:name="_Toc12233"/>
      <w:bookmarkStart w:id="220" w:name="_Toc20513"/>
      <w:bookmarkStart w:id="221" w:name="_Toc6073"/>
      <w:r>
        <w:rPr>
          <w:rFonts w:hint="eastAsia" w:ascii="仿宋" w:hAnsi="仿宋" w:eastAsia="仿宋" w:cs="仿宋"/>
          <w:sz w:val="30"/>
          <w:szCs w:val="30"/>
          <w:highlight w:val="none"/>
        </w:rPr>
        <w:t>（五）不参与围标串标承诺书</w:t>
      </w:r>
      <w:bookmarkEnd w:id="216"/>
      <w:bookmarkEnd w:id="219"/>
      <w:bookmarkEnd w:id="220"/>
      <w:bookmarkEnd w:id="221"/>
    </w:p>
    <w:p w14:paraId="69170162">
      <w:pPr>
        <w:pStyle w:val="161"/>
        <w:spacing w:line="4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本人作为</w:t>
      </w:r>
      <w:r>
        <w:rPr>
          <w:rFonts w:hint="eastAsia" w:ascii="仿宋" w:hAnsi="仿宋" w:eastAsia="仿宋" w:cs="仿宋"/>
          <w:sz w:val="24"/>
          <w:highlight w:val="none"/>
          <w:u w:val="single"/>
        </w:rPr>
        <w:t xml:space="preserve">           （单位名称）           </w:t>
      </w:r>
      <w:r>
        <w:rPr>
          <w:rFonts w:hint="eastAsia" w:ascii="仿宋" w:hAnsi="仿宋" w:eastAsia="仿宋" w:cs="仿宋"/>
          <w:sz w:val="24"/>
          <w:highlight w:val="none"/>
        </w:rPr>
        <w:t>的法人，清楚知晓我公司本项目投标活动，对以下事项作出承诺：</w:t>
      </w:r>
    </w:p>
    <w:p w14:paraId="38206090">
      <w:pPr>
        <w:pStyle w:val="161"/>
        <w:spacing w:line="460" w:lineRule="exact"/>
        <w:ind w:firstLine="480" w:firstLineChars="200"/>
        <w:outlineLvl w:val="9"/>
        <w:rPr>
          <w:rFonts w:hint="eastAsia" w:ascii="仿宋" w:hAnsi="仿宋" w:eastAsia="仿宋" w:cs="仿宋"/>
          <w:sz w:val="24"/>
          <w:highlight w:val="none"/>
        </w:rPr>
      </w:pPr>
      <w:r>
        <w:rPr>
          <w:rFonts w:hint="eastAsia" w:ascii="仿宋" w:hAnsi="仿宋" w:eastAsia="仿宋" w:cs="仿宋"/>
          <w:sz w:val="24"/>
          <w:highlight w:val="none"/>
        </w:rPr>
        <w:t>一、我单位遵循公开、公平、公正、诚实守信的原则，依法依规参与本项目竞标。</w:t>
      </w:r>
    </w:p>
    <w:p w14:paraId="32CB2E2F">
      <w:pPr>
        <w:pStyle w:val="161"/>
        <w:spacing w:line="460" w:lineRule="exact"/>
        <w:ind w:firstLine="480" w:firstLineChars="200"/>
        <w:outlineLvl w:val="1"/>
        <w:rPr>
          <w:rFonts w:hint="eastAsia" w:ascii="仿宋" w:hAnsi="仿宋" w:eastAsia="仿宋" w:cs="仿宋"/>
          <w:sz w:val="24"/>
          <w:highlight w:val="none"/>
        </w:rPr>
      </w:pPr>
      <w:bookmarkStart w:id="222" w:name="_Toc15343"/>
      <w:r>
        <w:rPr>
          <w:rFonts w:hint="eastAsia" w:ascii="仿宋" w:hAnsi="仿宋" w:eastAsia="仿宋" w:cs="仿宋"/>
          <w:sz w:val="24"/>
          <w:highlight w:val="none"/>
        </w:rPr>
        <w:t>二、我单位在本项目招标投标活动中，未参与围标串标。</w:t>
      </w:r>
      <w:bookmarkEnd w:id="222"/>
    </w:p>
    <w:p w14:paraId="300B5B61">
      <w:pPr>
        <w:pStyle w:val="161"/>
        <w:spacing w:line="460" w:lineRule="exact"/>
        <w:ind w:firstLine="480" w:firstLineChars="200"/>
        <w:outlineLvl w:val="9"/>
        <w:rPr>
          <w:rFonts w:hint="eastAsia" w:ascii="仿宋" w:hAnsi="仿宋" w:eastAsia="仿宋" w:cs="仿宋"/>
          <w:b/>
          <w:sz w:val="24"/>
          <w:highlight w:val="none"/>
        </w:rPr>
      </w:pPr>
      <w:r>
        <w:rPr>
          <w:rFonts w:hint="eastAsia" w:ascii="仿宋" w:hAnsi="仿宋" w:eastAsia="仿宋" w:cs="仿宋"/>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746442CB">
      <w:pPr>
        <w:pStyle w:val="161"/>
        <w:spacing w:line="640" w:lineRule="exact"/>
        <w:jc w:val="left"/>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2BA81A63">
      <w:pPr>
        <w:pStyle w:val="161"/>
        <w:spacing w:line="640" w:lineRule="exact"/>
        <w:jc w:val="left"/>
        <w:outlineLvl w:val="9"/>
        <w:rPr>
          <w:rFonts w:hint="eastAsia" w:ascii="仿宋" w:hAnsi="仿宋" w:eastAsia="仿宋" w:cs="仿宋"/>
          <w:sz w:val="24"/>
          <w:highlight w:val="none"/>
        </w:rPr>
      </w:pPr>
    </w:p>
    <w:p w14:paraId="496AF944">
      <w:pPr>
        <w:pStyle w:val="161"/>
        <w:spacing w:line="640" w:lineRule="exact"/>
        <w:jc w:val="left"/>
        <w:outlineLvl w:val="9"/>
        <w:rPr>
          <w:rFonts w:hint="eastAsia" w:ascii="仿宋" w:hAnsi="仿宋" w:eastAsia="仿宋" w:cs="仿宋"/>
          <w:sz w:val="24"/>
          <w:highlight w:val="none"/>
        </w:rPr>
      </w:pPr>
    </w:p>
    <w:p w14:paraId="06F35AEC">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6B4F1FA6">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678F737A">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23C8648C">
      <w:pPr>
        <w:pStyle w:val="161"/>
        <w:spacing w:line="640" w:lineRule="exact"/>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4F3C985">
      <w:pPr>
        <w:pStyle w:val="161"/>
        <w:spacing w:line="640" w:lineRule="exact"/>
        <w:jc w:val="left"/>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5B3C3A90">
      <w:pPr>
        <w:pStyle w:val="161"/>
        <w:spacing w:line="640" w:lineRule="exact"/>
        <w:jc w:val="left"/>
        <w:outlineLvl w:val="9"/>
        <w:rPr>
          <w:rFonts w:hint="eastAsia" w:ascii="仿宋" w:hAnsi="仿宋" w:eastAsia="仿宋" w:cs="仿宋"/>
          <w:sz w:val="24"/>
          <w:highlight w:val="none"/>
        </w:rPr>
      </w:pPr>
    </w:p>
    <w:p w14:paraId="195EE3B2">
      <w:pPr>
        <w:pStyle w:val="161"/>
        <w:spacing w:line="640" w:lineRule="exact"/>
        <w:ind w:firstLine="4080" w:firstLineChars="1700"/>
        <w:jc w:val="left"/>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5EC745AB">
      <w:pPr>
        <w:pStyle w:val="200"/>
        <w:spacing w:line="360" w:lineRule="auto"/>
        <w:jc w:val="center"/>
        <w:outlineLvl w:val="2"/>
        <w:rPr>
          <w:rFonts w:hint="eastAsia" w:ascii="仿宋" w:hAnsi="仿宋" w:eastAsia="仿宋" w:cs="仿宋"/>
          <w:sz w:val="30"/>
          <w:szCs w:val="30"/>
          <w:highlight w:val="none"/>
        </w:rPr>
      </w:pPr>
      <w:r>
        <w:rPr>
          <w:rFonts w:hint="eastAsia" w:ascii="仿宋" w:hAnsi="仿宋" w:eastAsia="仿宋" w:cs="仿宋"/>
          <w:sz w:val="24"/>
          <w:highlight w:val="none"/>
        </w:rPr>
        <w:br w:type="page"/>
      </w:r>
      <w:bookmarkStart w:id="223" w:name="_Toc21002"/>
      <w:bookmarkStart w:id="224" w:name="_Toc10578"/>
      <w:bookmarkStart w:id="225" w:name="_Toc256000024"/>
      <w:bookmarkStart w:id="226" w:name="_Toc5767"/>
      <w:r>
        <w:rPr>
          <w:rFonts w:hint="eastAsia" w:ascii="仿宋" w:hAnsi="仿宋" w:eastAsia="仿宋" w:cs="仿宋"/>
          <w:sz w:val="30"/>
          <w:szCs w:val="30"/>
          <w:highlight w:val="none"/>
        </w:rPr>
        <w:t>（六）中、小微企业声明函</w:t>
      </w:r>
      <w:bookmarkEnd w:id="223"/>
      <w:bookmarkEnd w:id="224"/>
      <w:bookmarkEnd w:id="225"/>
      <w:bookmarkEnd w:id="226"/>
    </w:p>
    <w:p w14:paraId="4B295EF5">
      <w:pPr>
        <w:pStyle w:val="27"/>
        <w:outlineLvl w:val="9"/>
        <w:rPr>
          <w:rFonts w:hint="eastAsia" w:ascii="仿宋" w:hAnsi="仿宋" w:eastAsia="仿宋" w:cs="仿宋"/>
          <w:highlight w:val="none"/>
        </w:rPr>
      </w:pPr>
    </w:p>
    <w:p w14:paraId="474FB417">
      <w:pPr>
        <w:pStyle w:val="157"/>
        <w:spacing w:line="360" w:lineRule="auto"/>
        <w:ind w:right="-97"/>
        <w:jc w:val="center"/>
        <w:outlineLvl w:val="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中小企业声明函（服务）</w:t>
      </w:r>
    </w:p>
    <w:p w14:paraId="726F0128">
      <w:pPr>
        <w:pStyle w:val="27"/>
        <w:spacing w:line="460" w:lineRule="exact"/>
        <w:ind w:firstLine="472" w:firstLineChars="200"/>
        <w:outlineLvl w:val="9"/>
        <w:rPr>
          <w:rFonts w:hint="eastAsia" w:ascii="仿宋" w:hAnsi="仿宋" w:eastAsia="仿宋" w:cs="仿宋"/>
          <w:b w:val="0"/>
          <w:bCs/>
          <w:spacing w:val="-2"/>
          <w:sz w:val="24"/>
          <w:szCs w:val="24"/>
          <w:highlight w:val="none"/>
        </w:rPr>
      </w:pPr>
      <w:r>
        <w:rPr>
          <w:rFonts w:hint="eastAsia" w:ascii="仿宋" w:hAnsi="仿宋" w:eastAsia="仿宋" w:cs="仿宋"/>
          <w:b w:val="0"/>
          <w:bCs/>
          <w:spacing w:val="-2"/>
          <w:sz w:val="24"/>
          <w:szCs w:val="24"/>
          <w:highlight w:val="none"/>
        </w:rPr>
        <w:t>本公司（联合体）郑重声明，根据《政府采购促进中小企业发展管理办法》（财库﹝2020﹞46 号）的规定，本公司（联合体）参加</w:t>
      </w:r>
      <w:r>
        <w:rPr>
          <w:rFonts w:hint="eastAsia" w:ascii="仿宋" w:hAnsi="仿宋" w:eastAsia="仿宋" w:cs="仿宋"/>
          <w:b w:val="0"/>
          <w:bCs/>
          <w:spacing w:val="-2"/>
          <w:sz w:val="24"/>
          <w:szCs w:val="24"/>
          <w:highlight w:val="none"/>
          <w:u w:val="single"/>
        </w:rPr>
        <w:t>（单位名称）</w:t>
      </w:r>
      <w:r>
        <w:rPr>
          <w:rFonts w:hint="eastAsia" w:ascii="仿宋" w:hAnsi="仿宋" w:eastAsia="仿宋" w:cs="仿宋"/>
          <w:b w:val="0"/>
          <w:bCs/>
          <w:spacing w:val="-2"/>
          <w:sz w:val="24"/>
          <w:szCs w:val="24"/>
          <w:highlight w:val="none"/>
        </w:rPr>
        <w:t>的</w:t>
      </w:r>
      <w:r>
        <w:rPr>
          <w:rFonts w:hint="eastAsia" w:ascii="仿宋" w:hAnsi="仿宋" w:eastAsia="仿宋" w:cs="仿宋"/>
          <w:b w:val="0"/>
          <w:bCs/>
          <w:spacing w:val="-2"/>
          <w:sz w:val="24"/>
          <w:szCs w:val="24"/>
          <w:highlight w:val="none"/>
          <w:u w:val="single"/>
        </w:rPr>
        <w:t>（项目名称）</w:t>
      </w:r>
      <w:r>
        <w:rPr>
          <w:rFonts w:hint="eastAsia" w:ascii="仿宋" w:hAnsi="仿宋" w:eastAsia="仿宋" w:cs="仿宋"/>
          <w:b w:val="0"/>
          <w:bCs/>
          <w:spacing w:val="-2"/>
          <w:sz w:val="24"/>
          <w:szCs w:val="24"/>
          <w:highlight w:val="none"/>
        </w:rPr>
        <w:t>采购活动，服务全部由符合政策要求的中小企业承接。相关企业（含联合体中的中小企业、签订分包意向协议的中小企业）的具体情况如下：</w:t>
      </w:r>
    </w:p>
    <w:p w14:paraId="6A948E45">
      <w:pPr>
        <w:pStyle w:val="27"/>
        <w:numPr>
          <w:ilvl w:val="0"/>
          <w:numId w:val="5"/>
        </w:numPr>
        <w:spacing w:line="460" w:lineRule="exact"/>
        <w:ind w:firstLine="472" w:firstLineChars="200"/>
        <w:outlineLvl w:val="9"/>
        <w:rPr>
          <w:rFonts w:hint="eastAsia" w:ascii="仿宋" w:hAnsi="仿宋" w:eastAsia="仿宋" w:cs="仿宋"/>
          <w:b w:val="0"/>
          <w:bCs/>
          <w:spacing w:val="-2"/>
          <w:sz w:val="24"/>
          <w:szCs w:val="24"/>
          <w:highlight w:val="none"/>
        </w:rPr>
      </w:pPr>
      <w:r>
        <w:rPr>
          <w:rFonts w:hint="eastAsia" w:ascii="仿宋" w:hAnsi="仿宋" w:eastAsia="仿宋" w:cs="仿宋"/>
          <w:b w:val="0"/>
          <w:bCs/>
          <w:spacing w:val="-2"/>
          <w:sz w:val="24"/>
          <w:szCs w:val="24"/>
          <w:highlight w:val="none"/>
          <w:u w:val="single"/>
        </w:rPr>
        <w:t>（标的名称）</w:t>
      </w:r>
      <w:r>
        <w:rPr>
          <w:rFonts w:hint="eastAsia" w:ascii="仿宋" w:hAnsi="仿宋" w:eastAsia="仿宋" w:cs="仿宋"/>
          <w:b w:val="0"/>
          <w:bCs/>
          <w:spacing w:val="-2"/>
          <w:sz w:val="24"/>
          <w:szCs w:val="24"/>
          <w:highlight w:val="none"/>
        </w:rPr>
        <w:t>，属于</w:t>
      </w:r>
      <w:r>
        <w:rPr>
          <w:rFonts w:hint="eastAsia" w:ascii="仿宋" w:hAnsi="仿宋" w:eastAsia="仿宋" w:cs="仿宋"/>
          <w:b w:val="0"/>
          <w:bCs/>
          <w:spacing w:val="-2"/>
          <w:sz w:val="24"/>
          <w:szCs w:val="24"/>
          <w:highlight w:val="none"/>
          <w:u w:val="single"/>
        </w:rPr>
        <w:t>（采购文件中明确的所属行业）</w:t>
      </w:r>
      <w:r>
        <w:rPr>
          <w:rFonts w:hint="eastAsia" w:ascii="仿宋" w:hAnsi="仿宋" w:eastAsia="仿宋" w:cs="仿宋"/>
          <w:b w:val="0"/>
          <w:bCs/>
          <w:spacing w:val="-2"/>
          <w:sz w:val="24"/>
          <w:szCs w:val="24"/>
          <w:highlight w:val="none"/>
        </w:rPr>
        <w:t>；承建（承接）企业为</w:t>
      </w:r>
      <w:r>
        <w:rPr>
          <w:rFonts w:hint="eastAsia" w:ascii="仿宋" w:hAnsi="仿宋" w:eastAsia="仿宋" w:cs="仿宋"/>
          <w:b w:val="0"/>
          <w:bCs/>
          <w:spacing w:val="-2"/>
          <w:sz w:val="24"/>
          <w:szCs w:val="24"/>
          <w:highlight w:val="none"/>
          <w:u w:val="single"/>
        </w:rPr>
        <w:t>（企业名称）</w:t>
      </w:r>
      <w:r>
        <w:rPr>
          <w:rFonts w:hint="eastAsia" w:ascii="仿宋" w:hAnsi="仿宋" w:eastAsia="仿宋" w:cs="仿宋"/>
          <w:b w:val="0"/>
          <w:bCs/>
          <w:spacing w:val="-2"/>
          <w:sz w:val="24"/>
          <w:szCs w:val="24"/>
          <w:highlight w:val="none"/>
        </w:rPr>
        <w:t>，从业人员</w:t>
      </w:r>
      <w:r>
        <w:rPr>
          <w:rFonts w:hint="eastAsia" w:ascii="仿宋" w:hAnsi="仿宋" w:eastAsia="仿宋" w:cs="仿宋"/>
          <w:b w:val="0"/>
          <w:bCs/>
          <w:spacing w:val="-2"/>
          <w:sz w:val="24"/>
          <w:szCs w:val="24"/>
          <w:highlight w:val="none"/>
          <w:u w:val="single"/>
        </w:rPr>
        <w:t xml:space="preserve">   </w:t>
      </w:r>
      <w:r>
        <w:rPr>
          <w:rFonts w:hint="eastAsia" w:ascii="仿宋" w:hAnsi="仿宋" w:eastAsia="仿宋" w:cs="仿宋"/>
          <w:b w:val="0"/>
          <w:bCs/>
          <w:spacing w:val="-2"/>
          <w:sz w:val="24"/>
          <w:szCs w:val="24"/>
          <w:highlight w:val="none"/>
          <w:u w:val="single"/>
        </w:rPr>
        <w:tab/>
      </w:r>
      <w:r>
        <w:rPr>
          <w:rFonts w:hint="eastAsia" w:ascii="仿宋" w:hAnsi="仿宋" w:eastAsia="仿宋" w:cs="仿宋"/>
          <w:b w:val="0"/>
          <w:bCs/>
          <w:spacing w:val="-2"/>
          <w:sz w:val="24"/>
          <w:szCs w:val="24"/>
          <w:highlight w:val="none"/>
          <w:u w:val="single"/>
        </w:rPr>
        <w:t xml:space="preserve"> </w:t>
      </w:r>
      <w:r>
        <w:rPr>
          <w:rFonts w:hint="eastAsia" w:ascii="仿宋" w:hAnsi="仿宋" w:eastAsia="仿宋" w:cs="仿宋"/>
          <w:b w:val="0"/>
          <w:bCs/>
          <w:spacing w:val="-2"/>
          <w:sz w:val="24"/>
          <w:szCs w:val="24"/>
          <w:highlight w:val="none"/>
        </w:rPr>
        <w:t xml:space="preserve">人，营业收入为 </w:t>
      </w:r>
      <w:r>
        <w:rPr>
          <w:rFonts w:hint="eastAsia" w:ascii="仿宋" w:hAnsi="仿宋" w:eastAsia="仿宋" w:cs="仿宋"/>
          <w:b w:val="0"/>
          <w:bCs/>
          <w:spacing w:val="-2"/>
          <w:sz w:val="24"/>
          <w:szCs w:val="24"/>
          <w:highlight w:val="none"/>
          <w:u w:val="single"/>
        </w:rPr>
        <w:tab/>
      </w:r>
      <w:r>
        <w:rPr>
          <w:rFonts w:hint="eastAsia" w:ascii="仿宋" w:hAnsi="仿宋" w:eastAsia="仿宋" w:cs="仿宋"/>
          <w:b w:val="0"/>
          <w:bCs/>
          <w:spacing w:val="-2"/>
          <w:sz w:val="24"/>
          <w:szCs w:val="24"/>
          <w:highlight w:val="none"/>
          <w:u w:val="single"/>
        </w:rPr>
        <w:t xml:space="preserve">   </w:t>
      </w:r>
      <w:r>
        <w:rPr>
          <w:rFonts w:hint="eastAsia" w:ascii="仿宋" w:hAnsi="仿宋" w:eastAsia="仿宋" w:cs="仿宋"/>
          <w:b w:val="0"/>
          <w:bCs/>
          <w:spacing w:val="-2"/>
          <w:sz w:val="24"/>
          <w:szCs w:val="24"/>
          <w:highlight w:val="none"/>
        </w:rPr>
        <w:t>万元，资产总额为</w:t>
      </w:r>
      <w:r>
        <w:rPr>
          <w:rFonts w:hint="eastAsia" w:ascii="仿宋" w:hAnsi="仿宋" w:eastAsia="仿宋" w:cs="仿宋"/>
          <w:b w:val="0"/>
          <w:bCs/>
          <w:spacing w:val="-2"/>
          <w:sz w:val="24"/>
          <w:szCs w:val="24"/>
          <w:highlight w:val="none"/>
          <w:u w:val="single"/>
        </w:rPr>
        <w:t xml:space="preserve">  </w:t>
      </w:r>
      <w:r>
        <w:rPr>
          <w:rFonts w:hint="eastAsia" w:ascii="仿宋" w:hAnsi="仿宋" w:eastAsia="仿宋" w:cs="仿宋"/>
          <w:b w:val="0"/>
          <w:bCs/>
          <w:spacing w:val="-2"/>
          <w:sz w:val="24"/>
          <w:szCs w:val="24"/>
          <w:highlight w:val="none"/>
          <w:u w:val="single"/>
        </w:rPr>
        <w:tab/>
      </w:r>
      <w:r>
        <w:rPr>
          <w:rFonts w:hint="eastAsia" w:ascii="仿宋" w:hAnsi="仿宋" w:eastAsia="仿宋" w:cs="仿宋"/>
          <w:b w:val="0"/>
          <w:bCs/>
          <w:spacing w:val="-2"/>
          <w:sz w:val="24"/>
          <w:szCs w:val="24"/>
          <w:highlight w:val="none"/>
          <w:u w:val="single"/>
        </w:rPr>
        <w:t xml:space="preserve">  </w:t>
      </w:r>
      <w:r>
        <w:rPr>
          <w:rFonts w:hint="eastAsia" w:ascii="仿宋" w:hAnsi="仿宋" w:eastAsia="仿宋" w:cs="仿宋"/>
          <w:b w:val="0"/>
          <w:bCs/>
          <w:spacing w:val="-2"/>
          <w:sz w:val="24"/>
          <w:szCs w:val="24"/>
          <w:highlight w:val="none"/>
        </w:rPr>
        <w:t>万元，属于</w:t>
      </w:r>
      <w:r>
        <w:rPr>
          <w:rFonts w:hint="eastAsia" w:ascii="仿宋" w:hAnsi="仿宋" w:eastAsia="仿宋" w:cs="仿宋"/>
          <w:b w:val="0"/>
          <w:bCs/>
          <w:spacing w:val="-2"/>
          <w:sz w:val="24"/>
          <w:szCs w:val="24"/>
          <w:highlight w:val="none"/>
          <w:u w:val="single"/>
        </w:rPr>
        <w:t>（中型企业、小型企业、微型企业）</w:t>
      </w:r>
      <w:r>
        <w:rPr>
          <w:rFonts w:hint="eastAsia" w:ascii="仿宋" w:hAnsi="仿宋" w:eastAsia="仿宋" w:cs="仿宋"/>
          <w:b w:val="0"/>
          <w:bCs/>
          <w:spacing w:val="-2"/>
          <w:sz w:val="24"/>
          <w:szCs w:val="24"/>
          <w:highlight w:val="none"/>
        </w:rPr>
        <w:t>；</w:t>
      </w:r>
    </w:p>
    <w:p w14:paraId="1F5FD091">
      <w:pPr>
        <w:pStyle w:val="29"/>
        <w:spacing w:line="460" w:lineRule="exact"/>
        <w:ind w:left="0" w:leftChars="0" w:right="63" w:firstLine="472" w:firstLineChars="200"/>
        <w:jc w:val="left"/>
        <w:outlineLvl w:val="9"/>
        <w:rPr>
          <w:rFonts w:hint="eastAsia" w:ascii="仿宋" w:hAnsi="仿宋" w:eastAsia="仿宋" w:cs="仿宋"/>
          <w:highlight w:val="none"/>
        </w:rPr>
      </w:pPr>
      <w:r>
        <w:rPr>
          <w:rFonts w:hint="eastAsia" w:ascii="仿宋" w:hAnsi="仿宋" w:eastAsia="仿宋" w:cs="仿宋"/>
          <w:bCs/>
          <w:spacing w:val="-2"/>
          <w:sz w:val="24"/>
          <w:szCs w:val="24"/>
          <w:highlight w:val="none"/>
        </w:rPr>
        <w:t>2.</w:t>
      </w:r>
      <w:r>
        <w:rPr>
          <w:rFonts w:hint="eastAsia" w:ascii="仿宋" w:hAnsi="仿宋" w:eastAsia="仿宋" w:cs="仿宋"/>
          <w:bCs/>
          <w:spacing w:val="-2"/>
          <w:sz w:val="24"/>
          <w:szCs w:val="24"/>
          <w:highlight w:val="none"/>
          <w:u w:val="single"/>
        </w:rPr>
        <w:t>（标的名称）</w:t>
      </w:r>
      <w:r>
        <w:rPr>
          <w:rFonts w:hint="eastAsia" w:ascii="仿宋" w:hAnsi="仿宋" w:eastAsia="仿宋" w:cs="仿宋"/>
          <w:bCs/>
          <w:spacing w:val="-2"/>
          <w:sz w:val="24"/>
          <w:szCs w:val="24"/>
          <w:highlight w:val="none"/>
        </w:rPr>
        <w:t>，属于</w:t>
      </w:r>
      <w:r>
        <w:rPr>
          <w:rFonts w:hint="eastAsia" w:ascii="仿宋" w:hAnsi="仿宋" w:eastAsia="仿宋" w:cs="仿宋"/>
          <w:bCs/>
          <w:spacing w:val="-2"/>
          <w:sz w:val="24"/>
          <w:szCs w:val="24"/>
          <w:highlight w:val="none"/>
          <w:u w:val="single"/>
        </w:rPr>
        <w:t>（采购文件中明确的所属行业）</w:t>
      </w:r>
      <w:r>
        <w:rPr>
          <w:rFonts w:hint="eastAsia" w:ascii="仿宋" w:hAnsi="仿宋" w:eastAsia="仿宋" w:cs="仿宋"/>
          <w:bCs/>
          <w:spacing w:val="-2"/>
          <w:sz w:val="24"/>
          <w:szCs w:val="24"/>
          <w:highlight w:val="none"/>
        </w:rPr>
        <w:t>；承建（承接）企业为</w:t>
      </w:r>
      <w:r>
        <w:rPr>
          <w:rFonts w:hint="eastAsia" w:ascii="仿宋" w:hAnsi="仿宋" w:eastAsia="仿宋" w:cs="仿宋"/>
          <w:bCs/>
          <w:spacing w:val="-2"/>
          <w:sz w:val="24"/>
          <w:szCs w:val="24"/>
          <w:highlight w:val="none"/>
          <w:u w:val="single"/>
        </w:rPr>
        <w:t>（企业名称）</w:t>
      </w:r>
      <w:r>
        <w:rPr>
          <w:rFonts w:hint="eastAsia" w:ascii="仿宋" w:hAnsi="仿宋" w:eastAsia="仿宋" w:cs="仿宋"/>
          <w:bCs/>
          <w:spacing w:val="-2"/>
          <w:sz w:val="24"/>
          <w:szCs w:val="24"/>
          <w:highlight w:val="none"/>
        </w:rPr>
        <w:t>，从业人员</w:t>
      </w:r>
      <w:r>
        <w:rPr>
          <w:rFonts w:hint="eastAsia" w:ascii="仿宋" w:hAnsi="仿宋" w:eastAsia="仿宋" w:cs="仿宋"/>
          <w:bCs/>
          <w:spacing w:val="-2"/>
          <w:sz w:val="24"/>
          <w:szCs w:val="24"/>
          <w:highlight w:val="none"/>
          <w:u w:val="single"/>
        </w:rPr>
        <w:t xml:space="preserve">   </w:t>
      </w:r>
      <w:r>
        <w:rPr>
          <w:rFonts w:hint="eastAsia" w:ascii="仿宋" w:hAnsi="仿宋" w:eastAsia="仿宋" w:cs="仿宋"/>
          <w:bCs/>
          <w:spacing w:val="-2"/>
          <w:sz w:val="24"/>
          <w:szCs w:val="24"/>
          <w:highlight w:val="none"/>
          <w:u w:val="single"/>
        </w:rPr>
        <w:tab/>
      </w:r>
      <w:r>
        <w:rPr>
          <w:rFonts w:hint="eastAsia" w:ascii="仿宋" w:hAnsi="仿宋" w:eastAsia="仿宋" w:cs="仿宋"/>
          <w:bCs/>
          <w:spacing w:val="-2"/>
          <w:sz w:val="24"/>
          <w:szCs w:val="24"/>
          <w:highlight w:val="none"/>
          <w:u w:val="single"/>
        </w:rPr>
        <w:t xml:space="preserve"> </w:t>
      </w:r>
      <w:r>
        <w:rPr>
          <w:rFonts w:hint="eastAsia" w:ascii="仿宋" w:hAnsi="仿宋" w:eastAsia="仿宋" w:cs="仿宋"/>
          <w:bCs/>
          <w:spacing w:val="-2"/>
          <w:sz w:val="24"/>
          <w:szCs w:val="24"/>
          <w:highlight w:val="none"/>
        </w:rPr>
        <w:t xml:space="preserve">人，营业收入为 </w:t>
      </w:r>
      <w:r>
        <w:rPr>
          <w:rFonts w:hint="eastAsia" w:ascii="仿宋" w:hAnsi="仿宋" w:eastAsia="仿宋" w:cs="仿宋"/>
          <w:bCs/>
          <w:spacing w:val="-2"/>
          <w:sz w:val="24"/>
          <w:szCs w:val="24"/>
          <w:highlight w:val="none"/>
          <w:u w:val="single"/>
        </w:rPr>
        <w:tab/>
      </w:r>
      <w:r>
        <w:rPr>
          <w:rFonts w:hint="eastAsia" w:ascii="仿宋" w:hAnsi="仿宋" w:eastAsia="仿宋" w:cs="仿宋"/>
          <w:bCs/>
          <w:spacing w:val="-2"/>
          <w:sz w:val="24"/>
          <w:szCs w:val="24"/>
          <w:highlight w:val="none"/>
          <w:u w:val="single"/>
        </w:rPr>
        <w:t xml:space="preserve">   </w:t>
      </w:r>
      <w:r>
        <w:rPr>
          <w:rFonts w:hint="eastAsia" w:ascii="仿宋" w:hAnsi="仿宋" w:eastAsia="仿宋" w:cs="仿宋"/>
          <w:bCs/>
          <w:spacing w:val="-2"/>
          <w:sz w:val="24"/>
          <w:szCs w:val="24"/>
          <w:highlight w:val="none"/>
        </w:rPr>
        <w:t>万元，资产总额为</w:t>
      </w:r>
      <w:r>
        <w:rPr>
          <w:rFonts w:hint="eastAsia" w:ascii="仿宋" w:hAnsi="仿宋" w:eastAsia="仿宋" w:cs="仿宋"/>
          <w:bCs/>
          <w:spacing w:val="-2"/>
          <w:sz w:val="24"/>
          <w:szCs w:val="24"/>
          <w:highlight w:val="none"/>
          <w:u w:val="single"/>
        </w:rPr>
        <w:t xml:space="preserve">  </w:t>
      </w:r>
      <w:r>
        <w:rPr>
          <w:rFonts w:hint="eastAsia" w:ascii="仿宋" w:hAnsi="仿宋" w:eastAsia="仿宋" w:cs="仿宋"/>
          <w:bCs/>
          <w:spacing w:val="-2"/>
          <w:sz w:val="24"/>
          <w:szCs w:val="24"/>
          <w:highlight w:val="none"/>
          <w:u w:val="single"/>
        </w:rPr>
        <w:tab/>
      </w:r>
      <w:r>
        <w:rPr>
          <w:rFonts w:hint="eastAsia" w:ascii="仿宋" w:hAnsi="仿宋" w:eastAsia="仿宋" w:cs="仿宋"/>
          <w:bCs/>
          <w:spacing w:val="-2"/>
          <w:sz w:val="24"/>
          <w:szCs w:val="24"/>
          <w:highlight w:val="none"/>
          <w:u w:val="single"/>
        </w:rPr>
        <w:t xml:space="preserve">  </w:t>
      </w:r>
      <w:r>
        <w:rPr>
          <w:rFonts w:hint="eastAsia" w:ascii="仿宋" w:hAnsi="仿宋" w:eastAsia="仿宋" w:cs="仿宋"/>
          <w:bCs/>
          <w:spacing w:val="-2"/>
          <w:sz w:val="24"/>
          <w:szCs w:val="24"/>
          <w:highlight w:val="none"/>
        </w:rPr>
        <w:t>万元，属于</w:t>
      </w:r>
      <w:r>
        <w:rPr>
          <w:rFonts w:hint="eastAsia" w:ascii="仿宋" w:hAnsi="仿宋" w:eastAsia="仿宋" w:cs="仿宋"/>
          <w:bCs/>
          <w:spacing w:val="-2"/>
          <w:sz w:val="24"/>
          <w:szCs w:val="24"/>
          <w:highlight w:val="none"/>
          <w:u w:val="single"/>
        </w:rPr>
        <w:t>（中型企业、小型企业、微型企业）</w:t>
      </w:r>
      <w:r>
        <w:rPr>
          <w:rFonts w:hint="eastAsia" w:ascii="仿宋" w:hAnsi="仿宋" w:eastAsia="仿宋" w:cs="仿宋"/>
          <w:bCs/>
          <w:spacing w:val="-2"/>
          <w:sz w:val="24"/>
          <w:szCs w:val="24"/>
          <w:highlight w:val="none"/>
        </w:rPr>
        <w:t>；</w:t>
      </w:r>
    </w:p>
    <w:p w14:paraId="509DFAC6">
      <w:pPr>
        <w:pStyle w:val="104"/>
        <w:spacing w:line="460" w:lineRule="exact"/>
        <w:ind w:firstLine="480" w:firstLineChars="20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eastAsia="zh-CN"/>
        </w:rPr>
        <w:t>……</w:t>
      </w:r>
    </w:p>
    <w:p w14:paraId="79782591">
      <w:pPr>
        <w:pStyle w:val="104"/>
        <w:spacing w:line="460" w:lineRule="exact"/>
        <w:ind w:firstLine="240" w:firstLineChars="100"/>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本企业对上述声明内容的真实性负责。如有虚假，将依法承担相应责任。</w:t>
      </w:r>
    </w:p>
    <w:p w14:paraId="4FB53072">
      <w:pPr>
        <w:pStyle w:val="150"/>
        <w:spacing w:line="460" w:lineRule="exact"/>
        <w:ind w:firstLine="472" w:firstLineChars="200"/>
        <w:outlineLvl w:val="9"/>
        <w:rPr>
          <w:rFonts w:hint="eastAsia" w:ascii="仿宋" w:hAnsi="仿宋" w:eastAsia="仿宋" w:cs="仿宋"/>
          <w:bCs/>
          <w:spacing w:val="-2"/>
          <w:sz w:val="24"/>
          <w:szCs w:val="24"/>
          <w:highlight w:val="none"/>
        </w:rPr>
      </w:pPr>
      <w:r>
        <w:rPr>
          <w:rFonts w:hint="eastAsia" w:ascii="仿宋" w:hAnsi="仿宋" w:eastAsia="仿宋" w:cs="仿宋"/>
          <w:bCs/>
          <w:spacing w:val="-2"/>
          <w:sz w:val="24"/>
          <w:szCs w:val="24"/>
          <w:highlight w:val="none"/>
        </w:rPr>
        <w:t>注：</w:t>
      </w:r>
    </w:p>
    <w:p w14:paraId="69A2F685">
      <w:pPr>
        <w:pStyle w:val="150"/>
        <w:spacing w:line="460" w:lineRule="exact"/>
        <w:ind w:firstLine="472" w:firstLineChars="200"/>
        <w:outlineLvl w:val="9"/>
        <w:rPr>
          <w:rFonts w:hint="eastAsia" w:ascii="仿宋" w:hAnsi="仿宋" w:eastAsia="仿宋" w:cs="仿宋"/>
          <w:bCs/>
          <w:spacing w:val="-2"/>
          <w:sz w:val="24"/>
          <w:szCs w:val="24"/>
          <w:highlight w:val="none"/>
        </w:rPr>
      </w:pPr>
      <w:r>
        <w:rPr>
          <w:rFonts w:hint="eastAsia" w:ascii="仿宋" w:hAnsi="仿宋" w:eastAsia="仿宋" w:cs="仿宋"/>
          <w:bCs/>
          <w:spacing w:val="-2"/>
          <w:sz w:val="24"/>
          <w:szCs w:val="24"/>
          <w:highlight w:val="none"/>
        </w:rPr>
        <w:t>1、以上提及的企业，不属于大企业的分支机构，不存在控股股东为大企业的情形，也不存在与大企业的负责人为同一人的情形。</w:t>
      </w:r>
    </w:p>
    <w:p w14:paraId="117631B1">
      <w:pPr>
        <w:pStyle w:val="150"/>
        <w:spacing w:line="460" w:lineRule="exact"/>
        <w:ind w:firstLine="472" w:firstLineChars="200"/>
        <w:outlineLvl w:val="3"/>
        <w:rPr>
          <w:rFonts w:hint="eastAsia" w:ascii="仿宋" w:hAnsi="仿宋" w:eastAsia="仿宋" w:cs="仿宋"/>
          <w:bCs/>
          <w:spacing w:val="-2"/>
          <w:sz w:val="24"/>
          <w:szCs w:val="24"/>
          <w:highlight w:val="none"/>
        </w:rPr>
      </w:pPr>
      <w:r>
        <w:rPr>
          <w:rFonts w:hint="eastAsia" w:ascii="仿宋" w:hAnsi="仿宋" w:eastAsia="仿宋" w:cs="仿宋"/>
          <w:bCs/>
          <w:spacing w:val="-2"/>
          <w:sz w:val="24"/>
          <w:szCs w:val="24"/>
          <w:highlight w:val="none"/>
        </w:rPr>
        <w:t>2、标的名称指所投产品、服务的名称。</w:t>
      </w:r>
    </w:p>
    <w:p w14:paraId="2EEC95EC">
      <w:pPr>
        <w:pStyle w:val="104"/>
        <w:spacing w:before="35" w:line="460" w:lineRule="exact"/>
        <w:ind w:right="2166" w:firstLine="472" w:firstLineChars="200"/>
        <w:outlineLvl w:val="9"/>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 xml:space="preserve">                               </w:t>
      </w:r>
    </w:p>
    <w:p w14:paraId="7899A0B8">
      <w:pPr>
        <w:pStyle w:val="104"/>
        <w:spacing w:before="35" w:line="460" w:lineRule="exact"/>
        <w:ind w:right="2166" w:firstLine="472" w:firstLineChars="200"/>
        <w:outlineLvl w:val="9"/>
        <w:rPr>
          <w:rFonts w:hint="eastAsia" w:ascii="仿宋" w:hAnsi="仿宋" w:eastAsia="仿宋" w:cs="仿宋"/>
          <w:spacing w:val="-2"/>
          <w:sz w:val="24"/>
          <w:szCs w:val="24"/>
          <w:highlight w:val="none"/>
        </w:rPr>
      </w:pPr>
    </w:p>
    <w:p w14:paraId="503EA58D">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0E6FB389">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48DDC62F">
      <w:pPr>
        <w:pStyle w:val="143"/>
        <w:jc w:val="center"/>
        <w:outlineLvl w:val="9"/>
        <w:rPr>
          <w:rFonts w:hint="eastAsia" w:ascii="仿宋" w:hAnsi="仿宋" w:eastAsia="仿宋" w:cs="仿宋"/>
          <w:highlight w:val="none"/>
        </w:rPr>
      </w:pPr>
    </w:p>
    <w:p w14:paraId="0FBA699E">
      <w:pPr>
        <w:pStyle w:val="143"/>
        <w:spacing w:line="360" w:lineRule="auto"/>
        <w:ind w:firstLine="420" w:firstLineChars="200"/>
        <w:outlineLvl w:val="9"/>
        <w:rPr>
          <w:rFonts w:hint="eastAsia" w:ascii="仿宋" w:hAnsi="仿宋" w:eastAsia="仿宋" w:cs="仿宋"/>
          <w:b/>
          <w:bCs/>
          <w:sz w:val="24"/>
          <w:highlight w:val="none"/>
        </w:rPr>
      </w:pPr>
      <w:r>
        <w:rPr>
          <w:rFonts w:hint="eastAsia" w:ascii="仿宋" w:hAnsi="仿宋" w:eastAsia="仿宋" w:cs="仿宋"/>
          <w:szCs w:val="24"/>
          <w:highlight w:val="none"/>
        </w:rPr>
        <w:t>从业人员、营业收入、资产总额填报上一年度数据，无上一年度数据的新成立企业可不填报。</w:t>
      </w:r>
      <w:r>
        <w:rPr>
          <w:rFonts w:hint="eastAsia" w:ascii="仿宋" w:hAnsi="仿宋" w:eastAsia="仿宋" w:cs="仿宋"/>
          <w:szCs w:val="24"/>
          <w:highlight w:val="none"/>
        </w:rPr>
        <w:br w:type="page"/>
      </w:r>
      <w:r>
        <w:rPr>
          <w:rFonts w:hint="eastAsia" w:ascii="仿宋" w:hAnsi="仿宋" w:eastAsia="仿宋" w:cs="仿宋"/>
          <w:b/>
          <w:bCs/>
          <w:sz w:val="24"/>
          <w:highlight w:val="none"/>
        </w:rPr>
        <w:t>注：</w:t>
      </w:r>
    </w:p>
    <w:p w14:paraId="75A29267">
      <w:pPr>
        <w:pStyle w:val="143"/>
        <w:spacing w:line="360" w:lineRule="auto"/>
        <w:ind w:firstLine="482" w:firstLineChars="200"/>
        <w:outlineLvl w:val="9"/>
        <w:rPr>
          <w:rFonts w:hint="eastAsia" w:ascii="仿宋" w:hAnsi="仿宋" w:eastAsia="仿宋" w:cs="仿宋"/>
          <w:b/>
          <w:bCs/>
          <w:sz w:val="24"/>
          <w:highlight w:val="none"/>
        </w:rPr>
      </w:pPr>
      <w:r>
        <w:rPr>
          <w:rFonts w:hint="eastAsia" w:ascii="仿宋" w:hAnsi="仿宋" w:eastAsia="仿宋" w:cs="仿宋"/>
          <w:b/>
          <w:bCs/>
          <w:sz w:val="24"/>
          <w:highlight w:val="none"/>
        </w:rPr>
        <w:t>1、所有潜在投标供应商在做出以上声明前，需根据《关于印发中小企业划型标准规定的通知</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政府采购促进中小企业发展管理办法》的相应内容，确定自身是否可以享受中小企业政策。如可以享受中小企业政策的供应商，按照如上声明函的内容如实填写，若不满足中小企业政策的供应商，请不要填写。</w:t>
      </w:r>
    </w:p>
    <w:p w14:paraId="5A0F7680">
      <w:pPr>
        <w:pStyle w:val="143"/>
        <w:spacing w:line="360" w:lineRule="auto"/>
        <w:ind w:firstLine="482" w:firstLineChars="200"/>
        <w:outlineLvl w:val="9"/>
        <w:rPr>
          <w:rFonts w:hint="eastAsia" w:ascii="仿宋" w:hAnsi="仿宋" w:eastAsia="仿宋" w:cs="仿宋"/>
          <w:b/>
          <w:bCs/>
          <w:sz w:val="24"/>
          <w:highlight w:val="none"/>
        </w:rPr>
      </w:pPr>
      <w:r>
        <w:rPr>
          <w:rFonts w:hint="eastAsia" w:ascii="仿宋" w:hAnsi="仿宋" w:eastAsia="仿宋" w:cs="仿宋"/>
          <w:b/>
          <w:bCs/>
          <w:sz w:val="24"/>
          <w:highlight w:val="none"/>
        </w:rPr>
        <w:t>2、如存在虚假声明或未按实际内容填写，供应商需承担由此产生的一切后果及相应的法律责任。</w:t>
      </w:r>
    </w:p>
    <w:p w14:paraId="67577ED6">
      <w:pPr>
        <w:pStyle w:val="137"/>
        <w:spacing w:line="360" w:lineRule="auto"/>
        <w:ind w:firstLine="482" w:firstLineChars="200"/>
        <w:outlineLvl w:val="9"/>
        <w:rPr>
          <w:rFonts w:hint="eastAsia" w:ascii="仿宋" w:hAnsi="仿宋" w:eastAsia="仿宋" w:cs="仿宋"/>
          <w:bCs/>
          <w:sz w:val="24"/>
          <w:highlight w:val="none"/>
        </w:rPr>
      </w:pPr>
      <w:r>
        <w:rPr>
          <w:rFonts w:hint="eastAsia" w:ascii="仿宋" w:hAnsi="仿宋" w:eastAsia="仿宋" w:cs="仿宋"/>
          <w:bCs/>
          <w:sz w:val="24"/>
          <w:highlight w:val="none"/>
        </w:rPr>
        <w:t>3、后附中小企业划型标准的部分内容。详细内容请在中国政府采购网上查询获取。</w:t>
      </w:r>
      <w:r>
        <w:rPr>
          <w:rFonts w:hint="eastAsia" w:ascii="仿宋" w:hAnsi="仿宋" w:eastAsia="仿宋" w:cs="仿宋"/>
          <w:sz w:val="24"/>
          <w:highlight w:val="none"/>
        </w:rPr>
        <w:t xml:space="preserve"> </w:t>
      </w:r>
    </w:p>
    <w:p w14:paraId="5C6622F0">
      <w:pPr>
        <w:jc w:val="both"/>
        <w:outlineLvl w:val="9"/>
        <w:rPr>
          <w:rFonts w:hint="eastAsia" w:ascii="仿宋" w:hAnsi="仿宋" w:eastAsia="仿宋" w:cs="仿宋"/>
          <w:sz w:val="21"/>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2EE69128">
      <w:pPr>
        <w:spacing w:line="560" w:lineRule="exact"/>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附表：大中小微型企业划分标准</w:t>
      </w:r>
    </w:p>
    <w:tbl>
      <w:tblPr>
        <w:tblStyle w:val="69"/>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28C3D252">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7D7E844E">
            <w:pPr>
              <w:widowControl/>
              <w:spacing w:line="240" w:lineRule="exact"/>
              <w:jc w:val="center"/>
              <w:outlineLvl w:val="9"/>
              <w:rPr>
                <w:rFonts w:hint="eastAsia" w:ascii="仿宋" w:hAnsi="仿宋" w:eastAsia="仿宋" w:cs="仿宋"/>
                <w:b/>
                <w:bCs/>
                <w:kern w:val="0"/>
                <w:sz w:val="20"/>
                <w:highlight w:val="none"/>
              </w:rPr>
            </w:pPr>
            <w:r>
              <w:rPr>
                <w:rFonts w:hint="eastAsia" w:ascii="仿宋" w:hAnsi="仿宋" w:eastAsia="仿宋" w:cs="仿宋"/>
                <w:b/>
                <w:bCs/>
                <w:kern w:val="0"/>
                <w:sz w:val="20"/>
                <w:highlight w:val="none"/>
              </w:rPr>
              <w:t>行业名称</w:t>
            </w:r>
          </w:p>
        </w:tc>
        <w:tc>
          <w:tcPr>
            <w:tcW w:w="1369" w:type="dxa"/>
            <w:tcBorders>
              <w:top w:val="single" w:color="auto" w:sz="4" w:space="0"/>
              <w:left w:val="nil"/>
              <w:bottom w:val="single" w:color="auto" w:sz="4" w:space="0"/>
              <w:right w:val="single" w:color="auto" w:sz="4" w:space="0"/>
            </w:tcBorders>
            <w:noWrap/>
            <w:vAlign w:val="center"/>
          </w:tcPr>
          <w:p w14:paraId="03922C84">
            <w:pPr>
              <w:widowControl/>
              <w:jc w:val="center"/>
              <w:outlineLvl w:val="9"/>
              <w:rPr>
                <w:rFonts w:hint="eastAsia" w:ascii="仿宋" w:hAnsi="仿宋" w:eastAsia="仿宋" w:cs="仿宋"/>
                <w:b/>
                <w:bCs/>
                <w:kern w:val="0"/>
                <w:sz w:val="20"/>
                <w:szCs w:val="20"/>
                <w:highlight w:val="none"/>
              </w:rPr>
            </w:pPr>
            <w:r>
              <w:rPr>
                <w:rFonts w:hint="eastAsia" w:ascii="仿宋" w:hAnsi="仿宋" w:eastAsia="仿宋" w:cs="仿宋"/>
                <w:b/>
                <w:bCs/>
                <w:kern w:val="0"/>
                <w:sz w:val="20"/>
                <w:szCs w:val="20"/>
                <w:highlight w:val="none"/>
              </w:rPr>
              <w:t>指标名称</w:t>
            </w:r>
          </w:p>
        </w:tc>
        <w:tc>
          <w:tcPr>
            <w:tcW w:w="709" w:type="dxa"/>
            <w:tcBorders>
              <w:top w:val="single" w:color="auto" w:sz="4" w:space="0"/>
              <w:left w:val="nil"/>
              <w:bottom w:val="single" w:color="auto" w:sz="4" w:space="0"/>
              <w:right w:val="single" w:color="auto" w:sz="4" w:space="0"/>
            </w:tcBorders>
            <w:noWrap/>
            <w:vAlign w:val="center"/>
          </w:tcPr>
          <w:p w14:paraId="658B7DDB">
            <w:pPr>
              <w:widowControl/>
              <w:jc w:val="center"/>
              <w:outlineLvl w:val="9"/>
              <w:rPr>
                <w:rFonts w:hint="eastAsia" w:ascii="仿宋" w:hAnsi="仿宋" w:eastAsia="仿宋" w:cs="仿宋"/>
                <w:b/>
                <w:bCs/>
                <w:kern w:val="0"/>
                <w:sz w:val="20"/>
                <w:szCs w:val="20"/>
                <w:highlight w:val="none"/>
                <w:lang w:eastAsia="zh-CN"/>
              </w:rPr>
            </w:pPr>
            <w:r>
              <w:rPr>
                <w:rFonts w:hint="eastAsia" w:ascii="仿宋" w:hAnsi="仿宋" w:eastAsia="仿宋" w:cs="仿宋"/>
                <w:b/>
                <w:bCs/>
                <w:kern w:val="0"/>
                <w:sz w:val="20"/>
                <w:szCs w:val="20"/>
                <w:highlight w:val="none"/>
              </w:rPr>
              <w:t>计量</w:t>
            </w:r>
          </w:p>
          <w:p w14:paraId="07D7F6A8">
            <w:pPr>
              <w:widowControl/>
              <w:jc w:val="center"/>
              <w:outlineLvl w:val="9"/>
              <w:rPr>
                <w:rFonts w:hint="eastAsia" w:ascii="仿宋" w:hAnsi="仿宋" w:eastAsia="仿宋" w:cs="仿宋"/>
                <w:b/>
                <w:bCs/>
                <w:kern w:val="0"/>
                <w:sz w:val="20"/>
                <w:szCs w:val="20"/>
                <w:highlight w:val="none"/>
              </w:rPr>
            </w:pPr>
            <w:r>
              <w:rPr>
                <w:rFonts w:hint="eastAsia" w:ascii="仿宋" w:hAnsi="仿宋" w:eastAsia="仿宋" w:cs="仿宋"/>
                <w:b/>
                <w:bCs/>
                <w:kern w:val="0"/>
                <w:sz w:val="20"/>
                <w:szCs w:val="20"/>
                <w:highlight w:val="none"/>
              </w:rPr>
              <w:t>单位</w:t>
            </w:r>
          </w:p>
        </w:tc>
        <w:tc>
          <w:tcPr>
            <w:tcW w:w="1125" w:type="dxa"/>
            <w:tcBorders>
              <w:top w:val="single" w:color="auto" w:sz="4" w:space="0"/>
              <w:left w:val="nil"/>
              <w:bottom w:val="single" w:color="auto" w:sz="4" w:space="0"/>
              <w:right w:val="single" w:color="auto" w:sz="4" w:space="0"/>
            </w:tcBorders>
            <w:noWrap/>
            <w:vAlign w:val="center"/>
          </w:tcPr>
          <w:p w14:paraId="2A622123">
            <w:pPr>
              <w:widowControl/>
              <w:jc w:val="center"/>
              <w:outlineLvl w:val="9"/>
              <w:rPr>
                <w:rFonts w:hint="eastAsia" w:ascii="仿宋" w:hAnsi="仿宋" w:eastAsia="仿宋" w:cs="仿宋"/>
                <w:b/>
                <w:bCs/>
                <w:kern w:val="0"/>
                <w:sz w:val="20"/>
                <w:szCs w:val="20"/>
                <w:highlight w:val="none"/>
              </w:rPr>
            </w:pPr>
            <w:r>
              <w:rPr>
                <w:rFonts w:hint="eastAsia" w:ascii="仿宋" w:hAnsi="仿宋" w:eastAsia="仿宋" w:cs="仿宋"/>
                <w:b/>
                <w:bCs/>
                <w:kern w:val="0"/>
                <w:sz w:val="20"/>
                <w:szCs w:val="20"/>
                <w:highlight w:val="none"/>
              </w:rPr>
              <w:t>大型</w:t>
            </w:r>
          </w:p>
        </w:tc>
        <w:tc>
          <w:tcPr>
            <w:tcW w:w="1828" w:type="dxa"/>
            <w:tcBorders>
              <w:top w:val="single" w:color="auto" w:sz="4" w:space="0"/>
              <w:left w:val="nil"/>
              <w:bottom w:val="single" w:color="auto" w:sz="4" w:space="0"/>
              <w:right w:val="single" w:color="auto" w:sz="4" w:space="0"/>
            </w:tcBorders>
            <w:noWrap/>
            <w:vAlign w:val="center"/>
          </w:tcPr>
          <w:p w14:paraId="54D08BC8">
            <w:pPr>
              <w:widowControl/>
              <w:jc w:val="center"/>
              <w:outlineLvl w:val="9"/>
              <w:rPr>
                <w:rFonts w:hint="eastAsia" w:ascii="仿宋" w:hAnsi="仿宋" w:eastAsia="仿宋" w:cs="仿宋"/>
                <w:b/>
                <w:bCs/>
                <w:kern w:val="0"/>
                <w:sz w:val="20"/>
                <w:szCs w:val="20"/>
                <w:highlight w:val="none"/>
              </w:rPr>
            </w:pPr>
            <w:r>
              <w:rPr>
                <w:rFonts w:hint="eastAsia" w:ascii="仿宋" w:hAnsi="仿宋" w:eastAsia="仿宋" w:cs="仿宋"/>
                <w:b/>
                <w:bCs/>
                <w:kern w:val="0"/>
                <w:sz w:val="20"/>
                <w:szCs w:val="20"/>
                <w:highlight w:val="none"/>
              </w:rPr>
              <w:t>中型</w:t>
            </w:r>
          </w:p>
        </w:tc>
        <w:tc>
          <w:tcPr>
            <w:tcW w:w="1588" w:type="dxa"/>
            <w:tcBorders>
              <w:top w:val="single" w:color="auto" w:sz="4" w:space="0"/>
              <w:left w:val="nil"/>
              <w:bottom w:val="single" w:color="auto" w:sz="4" w:space="0"/>
              <w:right w:val="single" w:color="auto" w:sz="4" w:space="0"/>
            </w:tcBorders>
            <w:noWrap/>
            <w:vAlign w:val="center"/>
          </w:tcPr>
          <w:p w14:paraId="00FAC3FC">
            <w:pPr>
              <w:widowControl/>
              <w:jc w:val="center"/>
              <w:outlineLvl w:val="9"/>
              <w:rPr>
                <w:rFonts w:hint="eastAsia" w:ascii="仿宋" w:hAnsi="仿宋" w:eastAsia="仿宋" w:cs="仿宋"/>
                <w:b/>
                <w:bCs/>
                <w:kern w:val="0"/>
                <w:sz w:val="20"/>
                <w:szCs w:val="20"/>
                <w:highlight w:val="none"/>
              </w:rPr>
            </w:pPr>
            <w:r>
              <w:rPr>
                <w:rFonts w:hint="eastAsia" w:ascii="仿宋" w:hAnsi="仿宋" w:eastAsia="仿宋" w:cs="仿宋"/>
                <w:b/>
                <w:bCs/>
                <w:kern w:val="0"/>
                <w:sz w:val="20"/>
                <w:szCs w:val="20"/>
                <w:highlight w:val="none"/>
              </w:rPr>
              <w:t>小型</w:t>
            </w:r>
          </w:p>
        </w:tc>
        <w:tc>
          <w:tcPr>
            <w:tcW w:w="1122" w:type="dxa"/>
            <w:tcBorders>
              <w:top w:val="single" w:color="auto" w:sz="4" w:space="0"/>
              <w:left w:val="nil"/>
              <w:bottom w:val="single" w:color="auto" w:sz="4" w:space="0"/>
              <w:right w:val="nil"/>
            </w:tcBorders>
            <w:noWrap/>
            <w:vAlign w:val="center"/>
          </w:tcPr>
          <w:p w14:paraId="2E03BEED">
            <w:pPr>
              <w:widowControl/>
              <w:jc w:val="center"/>
              <w:outlineLvl w:val="9"/>
              <w:rPr>
                <w:rFonts w:hint="eastAsia" w:ascii="仿宋" w:hAnsi="仿宋" w:eastAsia="仿宋" w:cs="仿宋"/>
                <w:b/>
                <w:bCs/>
                <w:kern w:val="0"/>
                <w:sz w:val="20"/>
                <w:szCs w:val="20"/>
                <w:highlight w:val="none"/>
              </w:rPr>
            </w:pPr>
            <w:r>
              <w:rPr>
                <w:rFonts w:hint="eastAsia" w:ascii="仿宋" w:hAnsi="仿宋" w:eastAsia="仿宋" w:cs="仿宋"/>
                <w:b/>
                <w:bCs/>
                <w:kern w:val="0"/>
                <w:sz w:val="20"/>
                <w:szCs w:val="20"/>
                <w:highlight w:val="none"/>
              </w:rPr>
              <w:t>微型</w:t>
            </w:r>
          </w:p>
        </w:tc>
      </w:tr>
      <w:tr w14:paraId="5F74AE59">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469E8858">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农、林、牧、渔业</w:t>
            </w:r>
          </w:p>
        </w:tc>
        <w:tc>
          <w:tcPr>
            <w:tcW w:w="1369" w:type="dxa"/>
            <w:tcBorders>
              <w:top w:val="nil"/>
              <w:left w:val="nil"/>
              <w:bottom w:val="single" w:color="auto" w:sz="4" w:space="0"/>
              <w:right w:val="single" w:color="auto" w:sz="4" w:space="0"/>
            </w:tcBorders>
            <w:noWrap/>
            <w:vAlign w:val="center"/>
          </w:tcPr>
          <w:p w14:paraId="1473D65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2DF1180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4FB1CD7A">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Y≥20000</w:t>
            </w:r>
          </w:p>
        </w:tc>
        <w:tc>
          <w:tcPr>
            <w:tcW w:w="1828" w:type="dxa"/>
            <w:tcBorders>
              <w:top w:val="nil"/>
              <w:left w:val="nil"/>
              <w:bottom w:val="single" w:color="auto" w:sz="4" w:space="0"/>
              <w:right w:val="single" w:color="auto" w:sz="4" w:space="0"/>
            </w:tcBorders>
            <w:noWrap/>
            <w:vAlign w:val="center"/>
          </w:tcPr>
          <w:p w14:paraId="7D72BCD1">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500≤Y＜20000</w:t>
            </w:r>
          </w:p>
        </w:tc>
        <w:tc>
          <w:tcPr>
            <w:tcW w:w="1588" w:type="dxa"/>
            <w:tcBorders>
              <w:top w:val="nil"/>
              <w:left w:val="nil"/>
              <w:bottom w:val="single" w:color="auto" w:sz="4" w:space="0"/>
              <w:right w:val="single" w:color="auto" w:sz="4" w:space="0"/>
            </w:tcBorders>
            <w:noWrap/>
            <w:vAlign w:val="center"/>
          </w:tcPr>
          <w:p w14:paraId="7F8DB58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50≤Y＜500</w:t>
            </w:r>
          </w:p>
        </w:tc>
        <w:tc>
          <w:tcPr>
            <w:tcW w:w="1122" w:type="dxa"/>
            <w:tcBorders>
              <w:top w:val="nil"/>
              <w:left w:val="nil"/>
              <w:bottom w:val="single" w:color="auto" w:sz="4" w:space="0"/>
              <w:right w:val="nil"/>
            </w:tcBorders>
            <w:noWrap/>
            <w:vAlign w:val="center"/>
          </w:tcPr>
          <w:p w14:paraId="42B305F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Y＜50</w:t>
            </w:r>
          </w:p>
        </w:tc>
      </w:tr>
      <w:tr w14:paraId="3315462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2135A681">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工业 *</w:t>
            </w:r>
          </w:p>
        </w:tc>
        <w:tc>
          <w:tcPr>
            <w:tcW w:w="1369" w:type="dxa"/>
            <w:tcBorders>
              <w:top w:val="nil"/>
              <w:left w:val="nil"/>
              <w:bottom w:val="nil"/>
              <w:right w:val="single" w:color="auto" w:sz="4" w:space="0"/>
            </w:tcBorders>
            <w:noWrap/>
            <w:vAlign w:val="center"/>
          </w:tcPr>
          <w:p w14:paraId="70A8F09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68DC3B94">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4F4B262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X≥1000</w:t>
            </w:r>
          </w:p>
        </w:tc>
        <w:tc>
          <w:tcPr>
            <w:tcW w:w="1828" w:type="dxa"/>
            <w:tcBorders>
              <w:top w:val="nil"/>
              <w:left w:val="nil"/>
              <w:bottom w:val="nil"/>
              <w:right w:val="single" w:color="auto" w:sz="4" w:space="0"/>
            </w:tcBorders>
            <w:noWrap/>
            <w:vAlign w:val="center"/>
          </w:tcPr>
          <w:p w14:paraId="0AE3404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300≤X＜1000</w:t>
            </w:r>
          </w:p>
        </w:tc>
        <w:tc>
          <w:tcPr>
            <w:tcW w:w="1588" w:type="dxa"/>
            <w:tcBorders>
              <w:top w:val="nil"/>
              <w:left w:val="nil"/>
              <w:bottom w:val="nil"/>
              <w:right w:val="single" w:color="auto" w:sz="4" w:space="0"/>
            </w:tcBorders>
            <w:noWrap/>
            <w:vAlign w:val="center"/>
          </w:tcPr>
          <w:p w14:paraId="46380381">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20≤X＜300</w:t>
            </w:r>
          </w:p>
        </w:tc>
        <w:tc>
          <w:tcPr>
            <w:tcW w:w="1122" w:type="dxa"/>
            <w:tcBorders>
              <w:top w:val="nil"/>
              <w:left w:val="nil"/>
              <w:bottom w:val="nil"/>
              <w:right w:val="nil"/>
            </w:tcBorders>
            <w:noWrap/>
            <w:vAlign w:val="center"/>
          </w:tcPr>
          <w:p w14:paraId="6A20FC12">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X＜20</w:t>
            </w:r>
          </w:p>
        </w:tc>
      </w:tr>
      <w:tr w14:paraId="0C2325E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BD28E93">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780FB391">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75D7F26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74FD1C4A">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Y≥40000</w:t>
            </w:r>
          </w:p>
        </w:tc>
        <w:tc>
          <w:tcPr>
            <w:tcW w:w="1828" w:type="dxa"/>
            <w:tcBorders>
              <w:top w:val="nil"/>
              <w:left w:val="nil"/>
              <w:bottom w:val="single" w:color="auto" w:sz="4" w:space="0"/>
              <w:right w:val="single" w:color="auto" w:sz="4" w:space="0"/>
            </w:tcBorders>
            <w:noWrap/>
            <w:vAlign w:val="center"/>
          </w:tcPr>
          <w:p w14:paraId="252BBEB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2000≤Y＜40000</w:t>
            </w:r>
          </w:p>
        </w:tc>
        <w:tc>
          <w:tcPr>
            <w:tcW w:w="1588" w:type="dxa"/>
            <w:tcBorders>
              <w:top w:val="nil"/>
              <w:left w:val="nil"/>
              <w:bottom w:val="single" w:color="auto" w:sz="4" w:space="0"/>
              <w:right w:val="single" w:color="auto" w:sz="4" w:space="0"/>
            </w:tcBorders>
            <w:noWrap/>
            <w:vAlign w:val="center"/>
          </w:tcPr>
          <w:p w14:paraId="3F55BCD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300≤Y＜2000</w:t>
            </w:r>
          </w:p>
        </w:tc>
        <w:tc>
          <w:tcPr>
            <w:tcW w:w="1122" w:type="dxa"/>
            <w:tcBorders>
              <w:top w:val="nil"/>
              <w:left w:val="nil"/>
              <w:bottom w:val="single" w:color="auto" w:sz="4" w:space="0"/>
              <w:right w:val="nil"/>
            </w:tcBorders>
            <w:noWrap/>
            <w:vAlign w:val="center"/>
          </w:tcPr>
          <w:p w14:paraId="2F0F545C">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Y＜300</w:t>
            </w:r>
          </w:p>
        </w:tc>
      </w:tr>
      <w:tr w14:paraId="402AEB67">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6FFE596E">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建筑业</w:t>
            </w:r>
          </w:p>
        </w:tc>
        <w:tc>
          <w:tcPr>
            <w:tcW w:w="1369" w:type="dxa"/>
            <w:tcBorders>
              <w:top w:val="nil"/>
              <w:left w:val="nil"/>
              <w:bottom w:val="nil"/>
              <w:right w:val="single" w:color="auto" w:sz="4" w:space="0"/>
            </w:tcBorders>
            <w:noWrap/>
            <w:vAlign w:val="center"/>
          </w:tcPr>
          <w:p w14:paraId="3E081E8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nil"/>
              <w:right w:val="single" w:color="auto" w:sz="4" w:space="0"/>
            </w:tcBorders>
            <w:noWrap/>
            <w:vAlign w:val="center"/>
          </w:tcPr>
          <w:p w14:paraId="40D6B2F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nil"/>
              <w:right w:val="single" w:color="auto" w:sz="4" w:space="0"/>
            </w:tcBorders>
            <w:noWrap/>
            <w:vAlign w:val="center"/>
          </w:tcPr>
          <w:p w14:paraId="10E1CB6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Y≥80000</w:t>
            </w:r>
          </w:p>
        </w:tc>
        <w:tc>
          <w:tcPr>
            <w:tcW w:w="1828" w:type="dxa"/>
            <w:tcBorders>
              <w:top w:val="nil"/>
              <w:left w:val="nil"/>
              <w:bottom w:val="nil"/>
              <w:right w:val="single" w:color="auto" w:sz="4" w:space="0"/>
            </w:tcBorders>
            <w:noWrap/>
            <w:vAlign w:val="center"/>
          </w:tcPr>
          <w:p w14:paraId="2216923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6000≤Y＜80000</w:t>
            </w:r>
          </w:p>
        </w:tc>
        <w:tc>
          <w:tcPr>
            <w:tcW w:w="1588" w:type="dxa"/>
            <w:tcBorders>
              <w:top w:val="nil"/>
              <w:left w:val="nil"/>
              <w:bottom w:val="nil"/>
              <w:right w:val="single" w:color="auto" w:sz="4" w:space="0"/>
            </w:tcBorders>
            <w:noWrap/>
            <w:vAlign w:val="center"/>
          </w:tcPr>
          <w:p w14:paraId="2C8D816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300≤Y＜6000</w:t>
            </w:r>
          </w:p>
        </w:tc>
        <w:tc>
          <w:tcPr>
            <w:tcW w:w="1122" w:type="dxa"/>
            <w:tcBorders>
              <w:top w:val="nil"/>
              <w:left w:val="nil"/>
              <w:bottom w:val="nil"/>
              <w:right w:val="nil"/>
            </w:tcBorders>
            <w:noWrap/>
            <w:vAlign w:val="center"/>
          </w:tcPr>
          <w:p w14:paraId="640E0F3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Y＜300</w:t>
            </w:r>
          </w:p>
        </w:tc>
      </w:tr>
      <w:tr w14:paraId="1B4487B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AA83925">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46084F43">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资产总额</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Z)</w:t>
            </w:r>
          </w:p>
        </w:tc>
        <w:tc>
          <w:tcPr>
            <w:tcW w:w="709" w:type="dxa"/>
            <w:tcBorders>
              <w:top w:val="nil"/>
              <w:left w:val="nil"/>
              <w:bottom w:val="single" w:color="auto" w:sz="4" w:space="0"/>
              <w:right w:val="single" w:color="auto" w:sz="4" w:space="0"/>
            </w:tcBorders>
            <w:noWrap/>
            <w:vAlign w:val="center"/>
          </w:tcPr>
          <w:p w14:paraId="6A311A3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3EBBE85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Z≥80000</w:t>
            </w:r>
          </w:p>
        </w:tc>
        <w:tc>
          <w:tcPr>
            <w:tcW w:w="1828" w:type="dxa"/>
            <w:tcBorders>
              <w:top w:val="nil"/>
              <w:left w:val="nil"/>
              <w:bottom w:val="single" w:color="auto" w:sz="4" w:space="0"/>
              <w:right w:val="single" w:color="auto" w:sz="4" w:space="0"/>
            </w:tcBorders>
            <w:noWrap/>
            <w:vAlign w:val="center"/>
          </w:tcPr>
          <w:p w14:paraId="31523F1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5000≤Z＜80000</w:t>
            </w:r>
          </w:p>
        </w:tc>
        <w:tc>
          <w:tcPr>
            <w:tcW w:w="1588" w:type="dxa"/>
            <w:tcBorders>
              <w:top w:val="nil"/>
              <w:left w:val="nil"/>
              <w:bottom w:val="single" w:color="auto" w:sz="4" w:space="0"/>
              <w:right w:val="single" w:color="auto" w:sz="4" w:space="0"/>
            </w:tcBorders>
            <w:noWrap/>
            <w:vAlign w:val="center"/>
          </w:tcPr>
          <w:p w14:paraId="6B555DDC">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300≤Z＜5000</w:t>
            </w:r>
          </w:p>
        </w:tc>
        <w:tc>
          <w:tcPr>
            <w:tcW w:w="1122" w:type="dxa"/>
            <w:tcBorders>
              <w:top w:val="nil"/>
              <w:left w:val="nil"/>
              <w:bottom w:val="single" w:color="auto" w:sz="4" w:space="0"/>
              <w:right w:val="nil"/>
            </w:tcBorders>
            <w:noWrap/>
            <w:vAlign w:val="center"/>
          </w:tcPr>
          <w:p w14:paraId="77B2A11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Z＜300</w:t>
            </w:r>
          </w:p>
        </w:tc>
      </w:tr>
      <w:tr w14:paraId="06148B9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D54E67C">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批发业</w:t>
            </w:r>
          </w:p>
        </w:tc>
        <w:tc>
          <w:tcPr>
            <w:tcW w:w="1369" w:type="dxa"/>
            <w:tcBorders>
              <w:top w:val="nil"/>
              <w:left w:val="nil"/>
              <w:bottom w:val="nil"/>
              <w:right w:val="single" w:color="auto" w:sz="4" w:space="0"/>
            </w:tcBorders>
            <w:noWrap/>
            <w:vAlign w:val="center"/>
          </w:tcPr>
          <w:p w14:paraId="16535B8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1FB736B4">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083A505A">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X≥200</w:t>
            </w:r>
          </w:p>
        </w:tc>
        <w:tc>
          <w:tcPr>
            <w:tcW w:w="1828" w:type="dxa"/>
            <w:tcBorders>
              <w:top w:val="nil"/>
              <w:left w:val="nil"/>
              <w:bottom w:val="nil"/>
              <w:right w:val="single" w:color="auto" w:sz="4" w:space="0"/>
            </w:tcBorders>
            <w:noWrap/>
            <w:vAlign w:val="center"/>
          </w:tcPr>
          <w:p w14:paraId="10A8B39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20≤X＜200</w:t>
            </w:r>
          </w:p>
        </w:tc>
        <w:tc>
          <w:tcPr>
            <w:tcW w:w="1588" w:type="dxa"/>
            <w:tcBorders>
              <w:top w:val="nil"/>
              <w:left w:val="nil"/>
              <w:bottom w:val="nil"/>
              <w:right w:val="single" w:color="auto" w:sz="4" w:space="0"/>
            </w:tcBorders>
            <w:noWrap/>
            <w:vAlign w:val="center"/>
          </w:tcPr>
          <w:p w14:paraId="55E11D0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5≤X＜20</w:t>
            </w:r>
          </w:p>
        </w:tc>
        <w:tc>
          <w:tcPr>
            <w:tcW w:w="1122" w:type="dxa"/>
            <w:tcBorders>
              <w:top w:val="nil"/>
              <w:left w:val="nil"/>
              <w:bottom w:val="nil"/>
              <w:right w:val="nil"/>
            </w:tcBorders>
            <w:noWrap/>
            <w:vAlign w:val="center"/>
          </w:tcPr>
          <w:p w14:paraId="4A2DA79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X＜5</w:t>
            </w:r>
          </w:p>
        </w:tc>
      </w:tr>
      <w:tr w14:paraId="6599D21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9326B7B">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20556BC0">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197743B2">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13D2487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Y≥40000</w:t>
            </w:r>
          </w:p>
        </w:tc>
        <w:tc>
          <w:tcPr>
            <w:tcW w:w="1828" w:type="dxa"/>
            <w:tcBorders>
              <w:top w:val="nil"/>
              <w:left w:val="nil"/>
              <w:bottom w:val="single" w:color="auto" w:sz="4" w:space="0"/>
              <w:right w:val="single" w:color="auto" w:sz="4" w:space="0"/>
            </w:tcBorders>
            <w:noWrap/>
            <w:vAlign w:val="center"/>
          </w:tcPr>
          <w:p w14:paraId="1ECB2DDF">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5000≤Y＜40000</w:t>
            </w:r>
          </w:p>
        </w:tc>
        <w:tc>
          <w:tcPr>
            <w:tcW w:w="1588" w:type="dxa"/>
            <w:tcBorders>
              <w:top w:val="nil"/>
              <w:left w:val="nil"/>
              <w:bottom w:val="single" w:color="auto" w:sz="4" w:space="0"/>
              <w:right w:val="single" w:color="auto" w:sz="4" w:space="0"/>
            </w:tcBorders>
            <w:noWrap/>
            <w:vAlign w:val="center"/>
          </w:tcPr>
          <w:p w14:paraId="386474CB">
            <w:pPr>
              <w:widowControl/>
              <w:ind w:left="-1" w:leftChars="-1" w:hanging="1"/>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1000≤Y＜5000</w:t>
            </w:r>
          </w:p>
        </w:tc>
        <w:tc>
          <w:tcPr>
            <w:tcW w:w="1122" w:type="dxa"/>
            <w:tcBorders>
              <w:top w:val="nil"/>
              <w:left w:val="nil"/>
              <w:bottom w:val="single" w:color="auto" w:sz="4" w:space="0"/>
              <w:right w:val="nil"/>
            </w:tcBorders>
            <w:noWrap/>
            <w:vAlign w:val="center"/>
          </w:tcPr>
          <w:p w14:paraId="7E3CDF4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Y＜1000</w:t>
            </w:r>
          </w:p>
        </w:tc>
      </w:tr>
      <w:tr w14:paraId="5B7F9D7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3BA4F87">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零售业</w:t>
            </w:r>
          </w:p>
        </w:tc>
        <w:tc>
          <w:tcPr>
            <w:tcW w:w="1369" w:type="dxa"/>
            <w:tcBorders>
              <w:top w:val="nil"/>
              <w:left w:val="nil"/>
              <w:bottom w:val="nil"/>
              <w:right w:val="single" w:color="auto" w:sz="4" w:space="0"/>
            </w:tcBorders>
            <w:noWrap/>
            <w:vAlign w:val="center"/>
          </w:tcPr>
          <w:p w14:paraId="4CD9FDA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2F782F8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76FC8582">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X≥300</w:t>
            </w:r>
          </w:p>
        </w:tc>
        <w:tc>
          <w:tcPr>
            <w:tcW w:w="1828" w:type="dxa"/>
            <w:tcBorders>
              <w:top w:val="nil"/>
              <w:left w:val="nil"/>
              <w:bottom w:val="nil"/>
              <w:right w:val="single" w:color="auto" w:sz="4" w:space="0"/>
            </w:tcBorders>
            <w:noWrap/>
            <w:vAlign w:val="center"/>
          </w:tcPr>
          <w:p w14:paraId="26A96ED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50≤X＜300</w:t>
            </w:r>
          </w:p>
        </w:tc>
        <w:tc>
          <w:tcPr>
            <w:tcW w:w="1588" w:type="dxa"/>
            <w:tcBorders>
              <w:top w:val="nil"/>
              <w:left w:val="nil"/>
              <w:bottom w:val="nil"/>
              <w:right w:val="single" w:color="auto" w:sz="4" w:space="0"/>
            </w:tcBorders>
            <w:noWrap/>
            <w:vAlign w:val="center"/>
          </w:tcPr>
          <w:p w14:paraId="6A46212A">
            <w:pPr>
              <w:widowControl/>
              <w:ind w:left="-1" w:leftChars="-1" w:hanging="1"/>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10≤X＜50 </w:t>
            </w:r>
          </w:p>
        </w:tc>
        <w:tc>
          <w:tcPr>
            <w:tcW w:w="1122" w:type="dxa"/>
            <w:tcBorders>
              <w:top w:val="nil"/>
              <w:left w:val="nil"/>
              <w:bottom w:val="nil"/>
              <w:right w:val="nil"/>
            </w:tcBorders>
            <w:noWrap/>
            <w:vAlign w:val="center"/>
          </w:tcPr>
          <w:p w14:paraId="38FA4A8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w:t>
            </w:r>
          </w:p>
        </w:tc>
      </w:tr>
      <w:tr w14:paraId="068D75D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73F47483">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1CD6BE55">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0D6CF82A">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712C43B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Y≥20000</w:t>
            </w:r>
          </w:p>
        </w:tc>
        <w:tc>
          <w:tcPr>
            <w:tcW w:w="1828" w:type="dxa"/>
            <w:tcBorders>
              <w:top w:val="nil"/>
              <w:left w:val="nil"/>
              <w:bottom w:val="single" w:color="auto" w:sz="4" w:space="0"/>
              <w:right w:val="single" w:color="auto" w:sz="4" w:space="0"/>
            </w:tcBorders>
            <w:noWrap/>
            <w:vAlign w:val="center"/>
          </w:tcPr>
          <w:p w14:paraId="7B255E6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500≤Y＜20000</w:t>
            </w:r>
          </w:p>
        </w:tc>
        <w:tc>
          <w:tcPr>
            <w:tcW w:w="1588" w:type="dxa"/>
            <w:tcBorders>
              <w:top w:val="nil"/>
              <w:left w:val="nil"/>
              <w:bottom w:val="single" w:color="auto" w:sz="4" w:space="0"/>
              <w:right w:val="single" w:color="auto" w:sz="4" w:space="0"/>
            </w:tcBorders>
            <w:noWrap/>
            <w:vAlign w:val="center"/>
          </w:tcPr>
          <w:p w14:paraId="4E0C921D">
            <w:pPr>
              <w:widowControl/>
              <w:ind w:left="-1" w:leftChars="-1" w:hanging="1"/>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100≤Y＜500 </w:t>
            </w:r>
          </w:p>
        </w:tc>
        <w:tc>
          <w:tcPr>
            <w:tcW w:w="1122" w:type="dxa"/>
            <w:tcBorders>
              <w:top w:val="nil"/>
              <w:left w:val="nil"/>
              <w:bottom w:val="single" w:color="auto" w:sz="4" w:space="0"/>
              <w:right w:val="nil"/>
            </w:tcBorders>
            <w:noWrap/>
            <w:vAlign w:val="center"/>
          </w:tcPr>
          <w:p w14:paraId="0E4D516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w:t>
            </w:r>
          </w:p>
        </w:tc>
      </w:tr>
      <w:tr w14:paraId="2BD2D992">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03CE1EB">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交通运输业 *</w:t>
            </w:r>
          </w:p>
        </w:tc>
        <w:tc>
          <w:tcPr>
            <w:tcW w:w="1369" w:type="dxa"/>
            <w:tcBorders>
              <w:top w:val="nil"/>
              <w:left w:val="nil"/>
              <w:bottom w:val="nil"/>
              <w:right w:val="single" w:color="auto" w:sz="4" w:space="0"/>
            </w:tcBorders>
            <w:noWrap/>
            <w:vAlign w:val="center"/>
          </w:tcPr>
          <w:p w14:paraId="77F8830C">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3F36C88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5A6F6174">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X≥1000</w:t>
            </w:r>
          </w:p>
        </w:tc>
        <w:tc>
          <w:tcPr>
            <w:tcW w:w="1828" w:type="dxa"/>
            <w:tcBorders>
              <w:top w:val="nil"/>
              <w:left w:val="nil"/>
              <w:bottom w:val="nil"/>
              <w:right w:val="single" w:color="auto" w:sz="4" w:space="0"/>
            </w:tcBorders>
            <w:noWrap/>
            <w:vAlign w:val="center"/>
          </w:tcPr>
          <w:p w14:paraId="41E27AC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300≤X＜1000</w:t>
            </w:r>
          </w:p>
        </w:tc>
        <w:tc>
          <w:tcPr>
            <w:tcW w:w="1588" w:type="dxa"/>
            <w:tcBorders>
              <w:top w:val="nil"/>
              <w:left w:val="nil"/>
              <w:bottom w:val="nil"/>
              <w:right w:val="single" w:color="auto" w:sz="4" w:space="0"/>
            </w:tcBorders>
            <w:noWrap/>
            <w:vAlign w:val="center"/>
          </w:tcPr>
          <w:p w14:paraId="076037D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20≤X＜300</w:t>
            </w:r>
          </w:p>
        </w:tc>
        <w:tc>
          <w:tcPr>
            <w:tcW w:w="1122" w:type="dxa"/>
            <w:tcBorders>
              <w:top w:val="nil"/>
              <w:left w:val="nil"/>
              <w:bottom w:val="nil"/>
              <w:right w:val="nil"/>
            </w:tcBorders>
            <w:noWrap/>
            <w:vAlign w:val="center"/>
          </w:tcPr>
          <w:p w14:paraId="4A1570E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X＜20</w:t>
            </w:r>
          </w:p>
        </w:tc>
      </w:tr>
      <w:tr w14:paraId="19A68D2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7D05AEE">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20B3B83F">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0815379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2BF4CED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Y≥30000</w:t>
            </w:r>
          </w:p>
        </w:tc>
        <w:tc>
          <w:tcPr>
            <w:tcW w:w="1828" w:type="dxa"/>
            <w:tcBorders>
              <w:top w:val="nil"/>
              <w:left w:val="nil"/>
              <w:bottom w:val="single" w:color="auto" w:sz="4" w:space="0"/>
              <w:right w:val="single" w:color="auto" w:sz="4" w:space="0"/>
            </w:tcBorders>
            <w:noWrap/>
            <w:vAlign w:val="center"/>
          </w:tcPr>
          <w:p w14:paraId="2C074E5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3000≤Y＜30000</w:t>
            </w:r>
          </w:p>
        </w:tc>
        <w:tc>
          <w:tcPr>
            <w:tcW w:w="1588" w:type="dxa"/>
            <w:tcBorders>
              <w:top w:val="nil"/>
              <w:left w:val="nil"/>
              <w:bottom w:val="single" w:color="auto" w:sz="4" w:space="0"/>
              <w:right w:val="single" w:color="auto" w:sz="4" w:space="0"/>
            </w:tcBorders>
            <w:noWrap/>
            <w:vAlign w:val="center"/>
          </w:tcPr>
          <w:p w14:paraId="6F4C50F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200≤Y＜3000</w:t>
            </w:r>
          </w:p>
        </w:tc>
        <w:tc>
          <w:tcPr>
            <w:tcW w:w="1122" w:type="dxa"/>
            <w:tcBorders>
              <w:top w:val="nil"/>
              <w:left w:val="nil"/>
              <w:bottom w:val="single" w:color="auto" w:sz="4" w:space="0"/>
              <w:right w:val="nil"/>
            </w:tcBorders>
            <w:noWrap/>
            <w:vAlign w:val="center"/>
          </w:tcPr>
          <w:p w14:paraId="39BBDC59">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Y＜200</w:t>
            </w:r>
          </w:p>
        </w:tc>
      </w:tr>
      <w:tr w14:paraId="48683E82">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0DBF58A">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仓储业*</w:t>
            </w:r>
          </w:p>
        </w:tc>
        <w:tc>
          <w:tcPr>
            <w:tcW w:w="1369" w:type="dxa"/>
            <w:tcBorders>
              <w:top w:val="nil"/>
              <w:left w:val="nil"/>
              <w:bottom w:val="nil"/>
              <w:right w:val="single" w:color="auto" w:sz="4" w:space="0"/>
            </w:tcBorders>
            <w:noWrap/>
            <w:vAlign w:val="center"/>
          </w:tcPr>
          <w:p w14:paraId="1C65838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51DDB64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6AD4129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X≥200</w:t>
            </w:r>
          </w:p>
        </w:tc>
        <w:tc>
          <w:tcPr>
            <w:tcW w:w="1828" w:type="dxa"/>
            <w:tcBorders>
              <w:top w:val="nil"/>
              <w:left w:val="nil"/>
              <w:bottom w:val="nil"/>
              <w:right w:val="single" w:color="auto" w:sz="4" w:space="0"/>
            </w:tcBorders>
            <w:noWrap/>
            <w:vAlign w:val="center"/>
          </w:tcPr>
          <w:p w14:paraId="09DA5E9E">
            <w:pPr>
              <w:widowControl/>
              <w:ind w:left="13" w:leftChars="-51" w:hanging="120" w:hangingChars="60"/>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100≤X＜200</w:t>
            </w:r>
          </w:p>
        </w:tc>
        <w:tc>
          <w:tcPr>
            <w:tcW w:w="1588" w:type="dxa"/>
            <w:tcBorders>
              <w:top w:val="nil"/>
              <w:left w:val="nil"/>
              <w:bottom w:val="nil"/>
              <w:right w:val="single" w:color="auto" w:sz="4" w:space="0"/>
            </w:tcBorders>
            <w:noWrap/>
            <w:vAlign w:val="center"/>
          </w:tcPr>
          <w:p w14:paraId="49E0855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20≤X＜100</w:t>
            </w:r>
          </w:p>
        </w:tc>
        <w:tc>
          <w:tcPr>
            <w:tcW w:w="1122" w:type="dxa"/>
            <w:tcBorders>
              <w:top w:val="nil"/>
              <w:left w:val="nil"/>
              <w:bottom w:val="nil"/>
              <w:right w:val="nil"/>
            </w:tcBorders>
            <w:noWrap/>
            <w:vAlign w:val="center"/>
          </w:tcPr>
          <w:p w14:paraId="0D38440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X＜20</w:t>
            </w:r>
          </w:p>
        </w:tc>
      </w:tr>
      <w:tr w14:paraId="545B3C62">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3A04752">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0933CD6A">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21CF1D7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49169F4F">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Y≥30000</w:t>
            </w:r>
          </w:p>
        </w:tc>
        <w:tc>
          <w:tcPr>
            <w:tcW w:w="1828" w:type="dxa"/>
            <w:tcBorders>
              <w:top w:val="nil"/>
              <w:left w:val="nil"/>
              <w:bottom w:val="single" w:color="auto" w:sz="4" w:space="0"/>
              <w:right w:val="single" w:color="auto" w:sz="4" w:space="0"/>
            </w:tcBorders>
            <w:noWrap/>
            <w:vAlign w:val="center"/>
          </w:tcPr>
          <w:p w14:paraId="41CBF57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1000≤Y＜30000</w:t>
            </w:r>
          </w:p>
        </w:tc>
        <w:tc>
          <w:tcPr>
            <w:tcW w:w="1588" w:type="dxa"/>
            <w:tcBorders>
              <w:top w:val="nil"/>
              <w:left w:val="nil"/>
              <w:bottom w:val="single" w:color="auto" w:sz="4" w:space="0"/>
              <w:right w:val="single" w:color="auto" w:sz="4" w:space="0"/>
            </w:tcBorders>
            <w:noWrap/>
            <w:vAlign w:val="center"/>
          </w:tcPr>
          <w:p w14:paraId="0793BF0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100≤Y＜1000</w:t>
            </w:r>
          </w:p>
        </w:tc>
        <w:tc>
          <w:tcPr>
            <w:tcW w:w="1122" w:type="dxa"/>
            <w:tcBorders>
              <w:top w:val="nil"/>
              <w:left w:val="nil"/>
              <w:bottom w:val="single" w:color="auto" w:sz="4" w:space="0"/>
              <w:right w:val="nil"/>
            </w:tcBorders>
            <w:noWrap/>
            <w:vAlign w:val="center"/>
          </w:tcPr>
          <w:p w14:paraId="50F2425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w:t>
            </w:r>
          </w:p>
        </w:tc>
      </w:tr>
      <w:tr w14:paraId="280BC14D">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409A80B">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邮政业</w:t>
            </w:r>
          </w:p>
        </w:tc>
        <w:tc>
          <w:tcPr>
            <w:tcW w:w="1369" w:type="dxa"/>
            <w:tcBorders>
              <w:top w:val="nil"/>
              <w:left w:val="nil"/>
              <w:bottom w:val="nil"/>
              <w:right w:val="single" w:color="auto" w:sz="4" w:space="0"/>
            </w:tcBorders>
            <w:noWrap/>
            <w:vAlign w:val="center"/>
          </w:tcPr>
          <w:p w14:paraId="2A3285EF">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6A0A370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5F44C42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X≥1000</w:t>
            </w:r>
          </w:p>
        </w:tc>
        <w:tc>
          <w:tcPr>
            <w:tcW w:w="1828" w:type="dxa"/>
            <w:tcBorders>
              <w:top w:val="nil"/>
              <w:left w:val="nil"/>
              <w:bottom w:val="nil"/>
              <w:right w:val="single" w:color="auto" w:sz="4" w:space="0"/>
            </w:tcBorders>
            <w:noWrap/>
            <w:vAlign w:val="center"/>
          </w:tcPr>
          <w:p w14:paraId="6D90B6E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300≤X＜1000</w:t>
            </w:r>
          </w:p>
        </w:tc>
        <w:tc>
          <w:tcPr>
            <w:tcW w:w="1588" w:type="dxa"/>
            <w:tcBorders>
              <w:top w:val="nil"/>
              <w:left w:val="nil"/>
              <w:bottom w:val="nil"/>
              <w:right w:val="single" w:color="auto" w:sz="4" w:space="0"/>
            </w:tcBorders>
            <w:noWrap/>
            <w:vAlign w:val="center"/>
          </w:tcPr>
          <w:p w14:paraId="4473922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20≤X＜300</w:t>
            </w:r>
          </w:p>
        </w:tc>
        <w:tc>
          <w:tcPr>
            <w:tcW w:w="1122" w:type="dxa"/>
            <w:tcBorders>
              <w:top w:val="nil"/>
              <w:left w:val="nil"/>
              <w:bottom w:val="nil"/>
              <w:right w:val="nil"/>
            </w:tcBorders>
            <w:noWrap/>
            <w:vAlign w:val="center"/>
          </w:tcPr>
          <w:p w14:paraId="5F5A9C5C">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X＜20</w:t>
            </w:r>
          </w:p>
        </w:tc>
      </w:tr>
      <w:tr w14:paraId="492F95E9">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24A21B8">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0AAC4BCD">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298D448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05A7BDC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Y≥30000</w:t>
            </w:r>
          </w:p>
        </w:tc>
        <w:tc>
          <w:tcPr>
            <w:tcW w:w="1828" w:type="dxa"/>
            <w:tcBorders>
              <w:top w:val="nil"/>
              <w:left w:val="nil"/>
              <w:bottom w:val="single" w:color="auto" w:sz="4" w:space="0"/>
              <w:right w:val="single" w:color="auto" w:sz="4" w:space="0"/>
            </w:tcBorders>
            <w:noWrap/>
            <w:vAlign w:val="center"/>
          </w:tcPr>
          <w:p w14:paraId="37458D21">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2000≤Y＜30000</w:t>
            </w:r>
          </w:p>
        </w:tc>
        <w:tc>
          <w:tcPr>
            <w:tcW w:w="1588" w:type="dxa"/>
            <w:tcBorders>
              <w:top w:val="nil"/>
              <w:left w:val="nil"/>
              <w:bottom w:val="single" w:color="auto" w:sz="4" w:space="0"/>
              <w:right w:val="single" w:color="auto" w:sz="4" w:space="0"/>
            </w:tcBorders>
            <w:noWrap/>
            <w:vAlign w:val="center"/>
          </w:tcPr>
          <w:p w14:paraId="432C4EB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100≤Y＜2000</w:t>
            </w:r>
          </w:p>
        </w:tc>
        <w:tc>
          <w:tcPr>
            <w:tcW w:w="1122" w:type="dxa"/>
            <w:tcBorders>
              <w:top w:val="nil"/>
              <w:left w:val="nil"/>
              <w:bottom w:val="single" w:color="auto" w:sz="4" w:space="0"/>
              <w:right w:val="nil"/>
            </w:tcBorders>
            <w:noWrap/>
            <w:vAlign w:val="center"/>
          </w:tcPr>
          <w:p w14:paraId="171086A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w:t>
            </w:r>
          </w:p>
        </w:tc>
      </w:tr>
      <w:tr w14:paraId="587A308A">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EE33A39">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住宿业</w:t>
            </w:r>
          </w:p>
        </w:tc>
        <w:tc>
          <w:tcPr>
            <w:tcW w:w="1369" w:type="dxa"/>
            <w:tcBorders>
              <w:top w:val="nil"/>
              <w:left w:val="nil"/>
              <w:bottom w:val="nil"/>
              <w:right w:val="single" w:color="auto" w:sz="4" w:space="0"/>
            </w:tcBorders>
            <w:noWrap/>
            <w:vAlign w:val="center"/>
          </w:tcPr>
          <w:p w14:paraId="60B9171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395FE58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4836073F">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X≥300</w:t>
            </w:r>
          </w:p>
        </w:tc>
        <w:tc>
          <w:tcPr>
            <w:tcW w:w="1828" w:type="dxa"/>
            <w:tcBorders>
              <w:top w:val="nil"/>
              <w:left w:val="nil"/>
              <w:bottom w:val="nil"/>
              <w:right w:val="single" w:color="auto" w:sz="4" w:space="0"/>
            </w:tcBorders>
            <w:noWrap/>
            <w:vAlign w:val="center"/>
          </w:tcPr>
          <w:p w14:paraId="4BBB3FDC">
            <w:pPr>
              <w:widowControl/>
              <w:ind w:left="13" w:leftChars="-51" w:hanging="120" w:hangingChars="60"/>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100≤X＜300 </w:t>
            </w:r>
          </w:p>
        </w:tc>
        <w:tc>
          <w:tcPr>
            <w:tcW w:w="1588" w:type="dxa"/>
            <w:tcBorders>
              <w:top w:val="nil"/>
              <w:left w:val="nil"/>
              <w:bottom w:val="nil"/>
              <w:right w:val="single" w:color="auto" w:sz="4" w:space="0"/>
            </w:tcBorders>
            <w:noWrap/>
            <w:vAlign w:val="center"/>
          </w:tcPr>
          <w:p w14:paraId="45B4857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10≤X＜100</w:t>
            </w:r>
          </w:p>
        </w:tc>
        <w:tc>
          <w:tcPr>
            <w:tcW w:w="1122" w:type="dxa"/>
            <w:tcBorders>
              <w:top w:val="nil"/>
              <w:left w:val="nil"/>
              <w:bottom w:val="nil"/>
              <w:right w:val="nil"/>
            </w:tcBorders>
            <w:noWrap/>
            <w:vAlign w:val="center"/>
          </w:tcPr>
          <w:p w14:paraId="43068F79">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w:t>
            </w:r>
          </w:p>
        </w:tc>
      </w:tr>
      <w:tr w14:paraId="32602A4B">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7FA43EF6">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00F0C970">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2BC17D0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40E3070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Y≥10000</w:t>
            </w:r>
          </w:p>
        </w:tc>
        <w:tc>
          <w:tcPr>
            <w:tcW w:w="1828" w:type="dxa"/>
            <w:tcBorders>
              <w:top w:val="nil"/>
              <w:left w:val="nil"/>
              <w:bottom w:val="single" w:color="auto" w:sz="4" w:space="0"/>
              <w:right w:val="single" w:color="auto" w:sz="4" w:space="0"/>
            </w:tcBorders>
            <w:noWrap/>
            <w:vAlign w:val="center"/>
          </w:tcPr>
          <w:p w14:paraId="72BB8511">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2000≤Y＜10000</w:t>
            </w:r>
          </w:p>
        </w:tc>
        <w:tc>
          <w:tcPr>
            <w:tcW w:w="1588" w:type="dxa"/>
            <w:tcBorders>
              <w:top w:val="nil"/>
              <w:left w:val="nil"/>
              <w:bottom w:val="single" w:color="auto" w:sz="4" w:space="0"/>
              <w:right w:val="single" w:color="auto" w:sz="4" w:space="0"/>
            </w:tcBorders>
            <w:noWrap/>
            <w:vAlign w:val="center"/>
          </w:tcPr>
          <w:p w14:paraId="56C2FC4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100≤Y＜2000</w:t>
            </w:r>
          </w:p>
        </w:tc>
        <w:tc>
          <w:tcPr>
            <w:tcW w:w="1122" w:type="dxa"/>
            <w:tcBorders>
              <w:top w:val="nil"/>
              <w:left w:val="nil"/>
              <w:bottom w:val="single" w:color="auto" w:sz="4" w:space="0"/>
              <w:right w:val="nil"/>
            </w:tcBorders>
            <w:noWrap/>
            <w:vAlign w:val="center"/>
          </w:tcPr>
          <w:p w14:paraId="75084624">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w:t>
            </w:r>
          </w:p>
        </w:tc>
      </w:tr>
      <w:tr w14:paraId="2FF4654E">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2CADBE6">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餐饮业</w:t>
            </w:r>
          </w:p>
        </w:tc>
        <w:tc>
          <w:tcPr>
            <w:tcW w:w="1369" w:type="dxa"/>
            <w:tcBorders>
              <w:top w:val="nil"/>
              <w:left w:val="nil"/>
              <w:bottom w:val="nil"/>
              <w:right w:val="single" w:color="auto" w:sz="4" w:space="0"/>
            </w:tcBorders>
            <w:noWrap/>
            <w:vAlign w:val="center"/>
          </w:tcPr>
          <w:p w14:paraId="2DA0D25C">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2424420A">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6F34411C">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X≥300</w:t>
            </w:r>
          </w:p>
        </w:tc>
        <w:tc>
          <w:tcPr>
            <w:tcW w:w="1828" w:type="dxa"/>
            <w:tcBorders>
              <w:top w:val="nil"/>
              <w:left w:val="nil"/>
              <w:bottom w:val="nil"/>
              <w:right w:val="single" w:color="auto" w:sz="4" w:space="0"/>
            </w:tcBorders>
            <w:noWrap/>
            <w:vAlign w:val="center"/>
          </w:tcPr>
          <w:p w14:paraId="1EBE0B2A">
            <w:pPr>
              <w:widowControl/>
              <w:ind w:left="13" w:leftChars="-51" w:hanging="120" w:hangingChars="60"/>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100≤X＜300 </w:t>
            </w:r>
          </w:p>
        </w:tc>
        <w:tc>
          <w:tcPr>
            <w:tcW w:w="1588" w:type="dxa"/>
            <w:tcBorders>
              <w:top w:val="nil"/>
              <w:left w:val="nil"/>
              <w:bottom w:val="nil"/>
              <w:right w:val="single" w:color="auto" w:sz="4" w:space="0"/>
            </w:tcBorders>
            <w:noWrap/>
            <w:vAlign w:val="center"/>
          </w:tcPr>
          <w:p w14:paraId="328ABD7A">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10≤X＜100</w:t>
            </w:r>
          </w:p>
        </w:tc>
        <w:tc>
          <w:tcPr>
            <w:tcW w:w="1122" w:type="dxa"/>
            <w:tcBorders>
              <w:top w:val="nil"/>
              <w:left w:val="nil"/>
              <w:bottom w:val="nil"/>
              <w:right w:val="nil"/>
            </w:tcBorders>
            <w:noWrap/>
            <w:vAlign w:val="center"/>
          </w:tcPr>
          <w:p w14:paraId="7141EF2F">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w:t>
            </w:r>
          </w:p>
        </w:tc>
      </w:tr>
      <w:tr w14:paraId="007B349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5F234E2">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2FF02D17">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642FB7DF">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064E062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Y≥10000</w:t>
            </w:r>
          </w:p>
        </w:tc>
        <w:tc>
          <w:tcPr>
            <w:tcW w:w="1828" w:type="dxa"/>
            <w:tcBorders>
              <w:top w:val="nil"/>
              <w:left w:val="nil"/>
              <w:bottom w:val="single" w:color="auto" w:sz="4" w:space="0"/>
              <w:right w:val="single" w:color="auto" w:sz="4" w:space="0"/>
            </w:tcBorders>
            <w:noWrap/>
            <w:vAlign w:val="center"/>
          </w:tcPr>
          <w:p w14:paraId="77276A6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2000≤Y＜10000</w:t>
            </w:r>
          </w:p>
        </w:tc>
        <w:tc>
          <w:tcPr>
            <w:tcW w:w="1588" w:type="dxa"/>
            <w:tcBorders>
              <w:top w:val="nil"/>
              <w:left w:val="nil"/>
              <w:bottom w:val="single" w:color="auto" w:sz="4" w:space="0"/>
              <w:right w:val="single" w:color="auto" w:sz="4" w:space="0"/>
            </w:tcBorders>
            <w:noWrap/>
            <w:vAlign w:val="center"/>
          </w:tcPr>
          <w:p w14:paraId="1C85237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100≤Y＜2000</w:t>
            </w:r>
          </w:p>
        </w:tc>
        <w:tc>
          <w:tcPr>
            <w:tcW w:w="1122" w:type="dxa"/>
            <w:tcBorders>
              <w:top w:val="nil"/>
              <w:left w:val="nil"/>
              <w:bottom w:val="single" w:color="auto" w:sz="4" w:space="0"/>
              <w:right w:val="nil"/>
            </w:tcBorders>
            <w:noWrap/>
            <w:vAlign w:val="center"/>
          </w:tcPr>
          <w:p w14:paraId="071C7AB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w:t>
            </w:r>
          </w:p>
        </w:tc>
      </w:tr>
      <w:tr w14:paraId="6092C1D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6B3493A9">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信息传输业 *</w:t>
            </w:r>
          </w:p>
        </w:tc>
        <w:tc>
          <w:tcPr>
            <w:tcW w:w="1369" w:type="dxa"/>
            <w:tcBorders>
              <w:top w:val="nil"/>
              <w:left w:val="nil"/>
              <w:bottom w:val="nil"/>
              <w:right w:val="single" w:color="auto" w:sz="4" w:space="0"/>
            </w:tcBorders>
            <w:noWrap/>
            <w:vAlign w:val="center"/>
          </w:tcPr>
          <w:p w14:paraId="4E89E01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273B3CFF">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5B79B3D1">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X≥2000</w:t>
            </w:r>
          </w:p>
        </w:tc>
        <w:tc>
          <w:tcPr>
            <w:tcW w:w="1828" w:type="dxa"/>
            <w:tcBorders>
              <w:top w:val="nil"/>
              <w:left w:val="nil"/>
              <w:bottom w:val="nil"/>
              <w:right w:val="single" w:color="auto" w:sz="4" w:space="0"/>
            </w:tcBorders>
            <w:noWrap/>
            <w:vAlign w:val="center"/>
          </w:tcPr>
          <w:p w14:paraId="63520FB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100≤X＜2000</w:t>
            </w:r>
          </w:p>
        </w:tc>
        <w:tc>
          <w:tcPr>
            <w:tcW w:w="1588" w:type="dxa"/>
            <w:tcBorders>
              <w:top w:val="nil"/>
              <w:left w:val="nil"/>
              <w:bottom w:val="nil"/>
              <w:right w:val="single" w:color="auto" w:sz="4" w:space="0"/>
            </w:tcBorders>
            <w:noWrap/>
            <w:vAlign w:val="center"/>
          </w:tcPr>
          <w:p w14:paraId="56B3071A">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10≤X＜100</w:t>
            </w:r>
          </w:p>
        </w:tc>
        <w:tc>
          <w:tcPr>
            <w:tcW w:w="1122" w:type="dxa"/>
            <w:tcBorders>
              <w:top w:val="nil"/>
              <w:left w:val="nil"/>
              <w:bottom w:val="nil"/>
              <w:right w:val="nil"/>
            </w:tcBorders>
            <w:noWrap/>
            <w:vAlign w:val="center"/>
          </w:tcPr>
          <w:p w14:paraId="2357F2D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w:t>
            </w:r>
          </w:p>
        </w:tc>
      </w:tr>
      <w:tr w14:paraId="48ABAF9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77C877C">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5CFA8DBB">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5F2FD3B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6736A30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Y≥100000</w:t>
            </w:r>
          </w:p>
        </w:tc>
        <w:tc>
          <w:tcPr>
            <w:tcW w:w="1828" w:type="dxa"/>
            <w:tcBorders>
              <w:top w:val="nil"/>
              <w:left w:val="nil"/>
              <w:bottom w:val="single" w:color="auto" w:sz="4" w:space="0"/>
              <w:right w:val="single" w:color="auto" w:sz="4" w:space="0"/>
            </w:tcBorders>
            <w:noWrap/>
            <w:vAlign w:val="center"/>
          </w:tcPr>
          <w:p w14:paraId="57FA0BF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1000≤Y＜100000</w:t>
            </w:r>
          </w:p>
        </w:tc>
        <w:tc>
          <w:tcPr>
            <w:tcW w:w="1588" w:type="dxa"/>
            <w:tcBorders>
              <w:top w:val="nil"/>
              <w:left w:val="nil"/>
              <w:bottom w:val="single" w:color="auto" w:sz="4" w:space="0"/>
              <w:right w:val="single" w:color="auto" w:sz="4" w:space="0"/>
            </w:tcBorders>
            <w:noWrap/>
            <w:vAlign w:val="center"/>
          </w:tcPr>
          <w:p w14:paraId="74A8349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100≤Y＜1000</w:t>
            </w:r>
          </w:p>
        </w:tc>
        <w:tc>
          <w:tcPr>
            <w:tcW w:w="1122" w:type="dxa"/>
            <w:tcBorders>
              <w:top w:val="nil"/>
              <w:left w:val="nil"/>
              <w:bottom w:val="single" w:color="auto" w:sz="4" w:space="0"/>
              <w:right w:val="nil"/>
            </w:tcBorders>
            <w:noWrap/>
            <w:vAlign w:val="center"/>
          </w:tcPr>
          <w:p w14:paraId="3046822C">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w:t>
            </w:r>
          </w:p>
        </w:tc>
      </w:tr>
      <w:tr w14:paraId="5F74F1DA">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2BEF6829">
            <w:pPr>
              <w:widowControl/>
              <w:spacing w:line="240" w:lineRule="exact"/>
              <w:jc w:val="left"/>
              <w:outlineLvl w:val="9"/>
              <w:rPr>
                <w:rFonts w:hint="eastAsia" w:ascii="仿宋" w:hAnsi="仿宋" w:eastAsia="仿宋" w:cs="仿宋"/>
                <w:spacing w:val="-12"/>
                <w:kern w:val="0"/>
                <w:sz w:val="20"/>
                <w:szCs w:val="20"/>
                <w:highlight w:val="none"/>
              </w:rPr>
            </w:pPr>
            <w:r>
              <w:rPr>
                <w:rFonts w:hint="eastAsia" w:ascii="仿宋" w:hAnsi="仿宋" w:eastAsia="仿宋" w:cs="仿宋"/>
                <w:spacing w:val="-12"/>
                <w:kern w:val="0"/>
                <w:sz w:val="20"/>
                <w:szCs w:val="20"/>
                <w:highlight w:val="none"/>
              </w:rPr>
              <w:t>软件和信息技术服</w:t>
            </w:r>
            <w:r>
              <w:rPr>
                <w:rFonts w:hint="eastAsia" w:ascii="仿宋" w:hAnsi="仿宋" w:eastAsia="仿宋" w:cs="仿宋"/>
                <w:kern w:val="0"/>
                <w:sz w:val="20"/>
                <w:szCs w:val="20"/>
                <w:highlight w:val="none"/>
              </w:rPr>
              <w:t>务业</w:t>
            </w:r>
          </w:p>
        </w:tc>
        <w:tc>
          <w:tcPr>
            <w:tcW w:w="1369" w:type="dxa"/>
            <w:tcBorders>
              <w:top w:val="nil"/>
              <w:left w:val="nil"/>
              <w:bottom w:val="nil"/>
              <w:right w:val="single" w:color="auto" w:sz="4" w:space="0"/>
            </w:tcBorders>
            <w:noWrap/>
            <w:vAlign w:val="center"/>
          </w:tcPr>
          <w:p w14:paraId="670545D9">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4DF70291">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2F57B6B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X≥300</w:t>
            </w:r>
          </w:p>
        </w:tc>
        <w:tc>
          <w:tcPr>
            <w:tcW w:w="1828" w:type="dxa"/>
            <w:tcBorders>
              <w:top w:val="nil"/>
              <w:left w:val="nil"/>
              <w:bottom w:val="nil"/>
              <w:right w:val="single" w:color="auto" w:sz="4" w:space="0"/>
            </w:tcBorders>
            <w:noWrap/>
            <w:vAlign w:val="center"/>
          </w:tcPr>
          <w:p w14:paraId="1D5ED373">
            <w:pPr>
              <w:widowControl/>
              <w:ind w:left="13" w:leftChars="-51" w:hanging="120" w:hangingChars="60"/>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100≤X＜300 </w:t>
            </w:r>
          </w:p>
        </w:tc>
        <w:tc>
          <w:tcPr>
            <w:tcW w:w="1588" w:type="dxa"/>
            <w:tcBorders>
              <w:top w:val="nil"/>
              <w:left w:val="nil"/>
              <w:bottom w:val="nil"/>
              <w:right w:val="single" w:color="auto" w:sz="4" w:space="0"/>
            </w:tcBorders>
            <w:noWrap/>
            <w:vAlign w:val="center"/>
          </w:tcPr>
          <w:p w14:paraId="0A83624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10≤X＜100</w:t>
            </w:r>
          </w:p>
        </w:tc>
        <w:tc>
          <w:tcPr>
            <w:tcW w:w="1122" w:type="dxa"/>
            <w:tcBorders>
              <w:top w:val="nil"/>
              <w:left w:val="nil"/>
              <w:bottom w:val="nil"/>
              <w:right w:val="nil"/>
            </w:tcBorders>
            <w:noWrap/>
            <w:vAlign w:val="center"/>
          </w:tcPr>
          <w:p w14:paraId="7AD5EC3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w:t>
            </w:r>
          </w:p>
        </w:tc>
      </w:tr>
      <w:tr w14:paraId="6709FFCC">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6429B61C">
            <w:pPr>
              <w:widowControl/>
              <w:jc w:val="left"/>
              <w:outlineLvl w:val="9"/>
              <w:rPr>
                <w:rFonts w:hint="eastAsia" w:ascii="仿宋" w:hAnsi="仿宋" w:eastAsia="仿宋" w:cs="仿宋"/>
                <w:spacing w:val="-12"/>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7DC0FC5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580F631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3DE7711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Y≥10000</w:t>
            </w:r>
          </w:p>
        </w:tc>
        <w:tc>
          <w:tcPr>
            <w:tcW w:w="1828" w:type="dxa"/>
            <w:tcBorders>
              <w:top w:val="nil"/>
              <w:left w:val="nil"/>
              <w:bottom w:val="single" w:color="auto" w:sz="4" w:space="0"/>
              <w:right w:val="single" w:color="auto" w:sz="4" w:space="0"/>
            </w:tcBorders>
            <w:noWrap/>
            <w:vAlign w:val="center"/>
          </w:tcPr>
          <w:p w14:paraId="5BF77432">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1000≤Y＜10000</w:t>
            </w:r>
          </w:p>
        </w:tc>
        <w:tc>
          <w:tcPr>
            <w:tcW w:w="1588" w:type="dxa"/>
            <w:tcBorders>
              <w:top w:val="nil"/>
              <w:left w:val="nil"/>
              <w:bottom w:val="single" w:color="auto" w:sz="4" w:space="0"/>
              <w:right w:val="single" w:color="auto" w:sz="4" w:space="0"/>
            </w:tcBorders>
            <w:noWrap/>
            <w:vAlign w:val="center"/>
          </w:tcPr>
          <w:p w14:paraId="3537DAD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50≤Y＜1000</w:t>
            </w:r>
          </w:p>
        </w:tc>
        <w:tc>
          <w:tcPr>
            <w:tcW w:w="1122" w:type="dxa"/>
            <w:tcBorders>
              <w:top w:val="nil"/>
              <w:left w:val="nil"/>
              <w:bottom w:val="single" w:color="auto" w:sz="4" w:space="0"/>
              <w:right w:val="nil"/>
            </w:tcBorders>
            <w:noWrap/>
            <w:vAlign w:val="center"/>
          </w:tcPr>
          <w:p w14:paraId="592C82A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Y＜50</w:t>
            </w:r>
          </w:p>
        </w:tc>
      </w:tr>
      <w:tr w14:paraId="76392F81">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7BFFE44B">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房地产开发经营</w:t>
            </w:r>
          </w:p>
        </w:tc>
        <w:tc>
          <w:tcPr>
            <w:tcW w:w="1369" w:type="dxa"/>
            <w:tcBorders>
              <w:top w:val="nil"/>
              <w:left w:val="nil"/>
              <w:bottom w:val="nil"/>
              <w:right w:val="single" w:color="auto" w:sz="4" w:space="0"/>
            </w:tcBorders>
            <w:noWrap/>
            <w:vAlign w:val="center"/>
          </w:tcPr>
          <w:p w14:paraId="73832A0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nil"/>
              <w:right w:val="single" w:color="auto" w:sz="4" w:space="0"/>
            </w:tcBorders>
            <w:noWrap/>
            <w:vAlign w:val="center"/>
          </w:tcPr>
          <w:p w14:paraId="3650EFD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nil"/>
              <w:right w:val="single" w:color="auto" w:sz="4" w:space="0"/>
            </w:tcBorders>
            <w:noWrap/>
            <w:vAlign w:val="center"/>
          </w:tcPr>
          <w:p w14:paraId="21488811">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Y≥200000</w:t>
            </w:r>
          </w:p>
        </w:tc>
        <w:tc>
          <w:tcPr>
            <w:tcW w:w="1828" w:type="dxa"/>
            <w:tcBorders>
              <w:top w:val="nil"/>
              <w:left w:val="nil"/>
              <w:bottom w:val="nil"/>
              <w:right w:val="single" w:color="auto" w:sz="4" w:space="0"/>
            </w:tcBorders>
            <w:noWrap/>
            <w:vAlign w:val="center"/>
          </w:tcPr>
          <w:p w14:paraId="0A55269F">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1000≤Y＜200000</w:t>
            </w:r>
          </w:p>
        </w:tc>
        <w:tc>
          <w:tcPr>
            <w:tcW w:w="1588" w:type="dxa"/>
            <w:tcBorders>
              <w:top w:val="nil"/>
              <w:left w:val="nil"/>
              <w:bottom w:val="nil"/>
              <w:right w:val="single" w:color="auto" w:sz="4" w:space="0"/>
            </w:tcBorders>
            <w:noWrap/>
            <w:vAlign w:val="center"/>
          </w:tcPr>
          <w:p w14:paraId="238927AA">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100≤Y＜1000</w:t>
            </w:r>
          </w:p>
        </w:tc>
        <w:tc>
          <w:tcPr>
            <w:tcW w:w="1122" w:type="dxa"/>
            <w:tcBorders>
              <w:top w:val="nil"/>
              <w:left w:val="nil"/>
              <w:bottom w:val="nil"/>
              <w:right w:val="nil"/>
            </w:tcBorders>
            <w:noWrap/>
            <w:vAlign w:val="center"/>
          </w:tcPr>
          <w:p w14:paraId="1E02ABA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Y＜100</w:t>
            </w:r>
          </w:p>
        </w:tc>
      </w:tr>
      <w:tr w14:paraId="5AF3A5DC">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5605D094">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233DE2FE">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资产总额</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Z)</w:t>
            </w:r>
          </w:p>
        </w:tc>
        <w:tc>
          <w:tcPr>
            <w:tcW w:w="709" w:type="dxa"/>
            <w:tcBorders>
              <w:top w:val="nil"/>
              <w:left w:val="nil"/>
              <w:bottom w:val="single" w:color="auto" w:sz="4" w:space="0"/>
              <w:right w:val="single" w:color="auto" w:sz="4" w:space="0"/>
            </w:tcBorders>
            <w:noWrap/>
            <w:vAlign w:val="center"/>
          </w:tcPr>
          <w:p w14:paraId="188EAA9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5AA396AD">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Z≥10000</w:t>
            </w:r>
          </w:p>
        </w:tc>
        <w:tc>
          <w:tcPr>
            <w:tcW w:w="1828" w:type="dxa"/>
            <w:tcBorders>
              <w:top w:val="nil"/>
              <w:left w:val="nil"/>
              <w:bottom w:val="single" w:color="auto" w:sz="4" w:space="0"/>
              <w:right w:val="single" w:color="auto" w:sz="4" w:space="0"/>
            </w:tcBorders>
            <w:noWrap/>
            <w:vAlign w:val="center"/>
          </w:tcPr>
          <w:p w14:paraId="4F828022">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5000≤Z＜10000</w:t>
            </w:r>
          </w:p>
        </w:tc>
        <w:tc>
          <w:tcPr>
            <w:tcW w:w="1588" w:type="dxa"/>
            <w:tcBorders>
              <w:top w:val="nil"/>
              <w:left w:val="nil"/>
              <w:bottom w:val="single" w:color="auto" w:sz="4" w:space="0"/>
              <w:right w:val="single" w:color="auto" w:sz="4" w:space="0"/>
            </w:tcBorders>
            <w:noWrap/>
            <w:vAlign w:val="center"/>
          </w:tcPr>
          <w:p w14:paraId="4273F4F9">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2000≤Z＜5000   </w:t>
            </w:r>
          </w:p>
        </w:tc>
        <w:tc>
          <w:tcPr>
            <w:tcW w:w="1122" w:type="dxa"/>
            <w:tcBorders>
              <w:top w:val="nil"/>
              <w:left w:val="nil"/>
              <w:bottom w:val="single" w:color="auto" w:sz="4" w:space="0"/>
              <w:right w:val="nil"/>
            </w:tcBorders>
            <w:noWrap/>
            <w:vAlign w:val="center"/>
          </w:tcPr>
          <w:p w14:paraId="2C8ACEB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Z＜2000</w:t>
            </w:r>
          </w:p>
        </w:tc>
      </w:tr>
      <w:tr w14:paraId="1FF26B58">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E171746">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物业管理</w:t>
            </w:r>
          </w:p>
        </w:tc>
        <w:tc>
          <w:tcPr>
            <w:tcW w:w="1369" w:type="dxa"/>
            <w:tcBorders>
              <w:top w:val="nil"/>
              <w:left w:val="nil"/>
              <w:bottom w:val="nil"/>
              <w:right w:val="single" w:color="auto" w:sz="4" w:space="0"/>
            </w:tcBorders>
            <w:noWrap/>
            <w:vAlign w:val="center"/>
          </w:tcPr>
          <w:p w14:paraId="30FB9B4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0C2AA329">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24DCA62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X≥1000</w:t>
            </w:r>
          </w:p>
        </w:tc>
        <w:tc>
          <w:tcPr>
            <w:tcW w:w="1828" w:type="dxa"/>
            <w:tcBorders>
              <w:top w:val="nil"/>
              <w:left w:val="nil"/>
              <w:bottom w:val="nil"/>
              <w:right w:val="single" w:color="auto" w:sz="4" w:space="0"/>
            </w:tcBorders>
            <w:noWrap/>
            <w:vAlign w:val="center"/>
          </w:tcPr>
          <w:p w14:paraId="72FE2E3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300≤X＜1000</w:t>
            </w:r>
          </w:p>
        </w:tc>
        <w:tc>
          <w:tcPr>
            <w:tcW w:w="1588" w:type="dxa"/>
            <w:tcBorders>
              <w:top w:val="nil"/>
              <w:left w:val="nil"/>
              <w:bottom w:val="nil"/>
              <w:right w:val="single" w:color="auto" w:sz="4" w:space="0"/>
            </w:tcBorders>
            <w:noWrap/>
            <w:vAlign w:val="center"/>
          </w:tcPr>
          <w:p w14:paraId="7FEBBD4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100≤X＜300 </w:t>
            </w:r>
          </w:p>
        </w:tc>
        <w:tc>
          <w:tcPr>
            <w:tcW w:w="1122" w:type="dxa"/>
            <w:tcBorders>
              <w:top w:val="nil"/>
              <w:left w:val="nil"/>
              <w:bottom w:val="nil"/>
              <w:right w:val="nil"/>
            </w:tcBorders>
            <w:noWrap/>
            <w:vAlign w:val="center"/>
          </w:tcPr>
          <w:p w14:paraId="2D152B0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X＜100</w:t>
            </w:r>
          </w:p>
        </w:tc>
      </w:tr>
      <w:tr w14:paraId="760A104F">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21307D8">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7BFE7B13">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营业收入</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Y)</w:t>
            </w:r>
          </w:p>
        </w:tc>
        <w:tc>
          <w:tcPr>
            <w:tcW w:w="709" w:type="dxa"/>
            <w:tcBorders>
              <w:top w:val="nil"/>
              <w:left w:val="nil"/>
              <w:bottom w:val="single" w:color="auto" w:sz="4" w:space="0"/>
              <w:right w:val="single" w:color="auto" w:sz="4" w:space="0"/>
            </w:tcBorders>
            <w:noWrap/>
            <w:vAlign w:val="center"/>
          </w:tcPr>
          <w:p w14:paraId="2378CE54">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67CCB05B">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Y≥5000</w:t>
            </w:r>
          </w:p>
        </w:tc>
        <w:tc>
          <w:tcPr>
            <w:tcW w:w="1828" w:type="dxa"/>
            <w:tcBorders>
              <w:top w:val="nil"/>
              <w:left w:val="nil"/>
              <w:bottom w:val="single" w:color="auto" w:sz="4" w:space="0"/>
              <w:right w:val="single" w:color="auto" w:sz="4" w:space="0"/>
            </w:tcBorders>
            <w:noWrap/>
            <w:vAlign w:val="center"/>
          </w:tcPr>
          <w:p w14:paraId="62462B69">
            <w:pPr>
              <w:widowControl/>
              <w:ind w:left="13" w:leftChars="-51" w:hanging="120" w:hangingChars="60"/>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1000≤Y＜5000 </w:t>
            </w:r>
          </w:p>
        </w:tc>
        <w:tc>
          <w:tcPr>
            <w:tcW w:w="1588" w:type="dxa"/>
            <w:tcBorders>
              <w:top w:val="nil"/>
              <w:left w:val="nil"/>
              <w:bottom w:val="single" w:color="auto" w:sz="4" w:space="0"/>
              <w:right w:val="single" w:color="auto" w:sz="4" w:space="0"/>
            </w:tcBorders>
            <w:noWrap/>
            <w:vAlign w:val="center"/>
          </w:tcPr>
          <w:p w14:paraId="273697C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500≤Y＜1000</w:t>
            </w:r>
          </w:p>
        </w:tc>
        <w:tc>
          <w:tcPr>
            <w:tcW w:w="1122" w:type="dxa"/>
            <w:tcBorders>
              <w:top w:val="nil"/>
              <w:left w:val="nil"/>
              <w:bottom w:val="single" w:color="auto" w:sz="4" w:space="0"/>
              <w:right w:val="nil"/>
            </w:tcBorders>
            <w:noWrap/>
            <w:vAlign w:val="center"/>
          </w:tcPr>
          <w:p w14:paraId="617E1426">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Y＜500</w:t>
            </w:r>
          </w:p>
        </w:tc>
      </w:tr>
      <w:tr w14:paraId="3CC9E938">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8013F87">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租赁和商务服务业</w:t>
            </w:r>
          </w:p>
        </w:tc>
        <w:tc>
          <w:tcPr>
            <w:tcW w:w="1369" w:type="dxa"/>
            <w:tcBorders>
              <w:top w:val="nil"/>
              <w:left w:val="nil"/>
              <w:bottom w:val="nil"/>
              <w:right w:val="single" w:color="auto" w:sz="4" w:space="0"/>
            </w:tcBorders>
            <w:noWrap/>
            <w:vAlign w:val="center"/>
          </w:tcPr>
          <w:p w14:paraId="6775695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nil"/>
              <w:right w:val="single" w:color="auto" w:sz="4" w:space="0"/>
            </w:tcBorders>
            <w:noWrap/>
            <w:vAlign w:val="center"/>
          </w:tcPr>
          <w:p w14:paraId="28ACB7DE">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nil"/>
              <w:right w:val="single" w:color="auto" w:sz="4" w:space="0"/>
            </w:tcBorders>
            <w:noWrap/>
            <w:vAlign w:val="center"/>
          </w:tcPr>
          <w:p w14:paraId="149A659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X≥300</w:t>
            </w:r>
          </w:p>
        </w:tc>
        <w:tc>
          <w:tcPr>
            <w:tcW w:w="1828" w:type="dxa"/>
            <w:tcBorders>
              <w:top w:val="nil"/>
              <w:left w:val="nil"/>
              <w:bottom w:val="nil"/>
              <w:right w:val="single" w:color="auto" w:sz="4" w:space="0"/>
            </w:tcBorders>
            <w:noWrap/>
            <w:vAlign w:val="center"/>
          </w:tcPr>
          <w:p w14:paraId="6F5D35DF">
            <w:pPr>
              <w:widowControl/>
              <w:ind w:left="13" w:leftChars="-51" w:hanging="120" w:hangingChars="60"/>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100≤X＜300 </w:t>
            </w:r>
          </w:p>
        </w:tc>
        <w:tc>
          <w:tcPr>
            <w:tcW w:w="1588" w:type="dxa"/>
            <w:tcBorders>
              <w:top w:val="nil"/>
              <w:left w:val="nil"/>
              <w:bottom w:val="nil"/>
              <w:right w:val="single" w:color="auto" w:sz="4" w:space="0"/>
            </w:tcBorders>
            <w:noWrap/>
            <w:vAlign w:val="center"/>
          </w:tcPr>
          <w:p w14:paraId="08384E55">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10≤X＜100</w:t>
            </w:r>
          </w:p>
        </w:tc>
        <w:tc>
          <w:tcPr>
            <w:tcW w:w="1122" w:type="dxa"/>
            <w:tcBorders>
              <w:top w:val="nil"/>
              <w:left w:val="nil"/>
              <w:bottom w:val="nil"/>
              <w:right w:val="nil"/>
            </w:tcBorders>
            <w:noWrap/>
            <w:vAlign w:val="center"/>
          </w:tcPr>
          <w:p w14:paraId="35A8359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w:t>
            </w:r>
          </w:p>
        </w:tc>
      </w:tr>
      <w:tr w14:paraId="6679B00E">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29CBCF6B">
            <w:pPr>
              <w:widowControl/>
              <w:jc w:val="left"/>
              <w:outlineLvl w:val="9"/>
              <w:rPr>
                <w:rFonts w:hint="eastAsia" w:ascii="仿宋" w:hAnsi="仿宋" w:eastAsia="仿宋" w:cs="仿宋"/>
                <w:kern w:val="0"/>
                <w:sz w:val="20"/>
                <w:szCs w:val="20"/>
                <w:highlight w:val="none"/>
              </w:rPr>
            </w:pPr>
          </w:p>
        </w:tc>
        <w:tc>
          <w:tcPr>
            <w:tcW w:w="1369" w:type="dxa"/>
            <w:tcBorders>
              <w:top w:val="nil"/>
              <w:left w:val="nil"/>
              <w:bottom w:val="single" w:color="auto" w:sz="4" w:space="0"/>
              <w:right w:val="single" w:color="auto" w:sz="4" w:space="0"/>
            </w:tcBorders>
            <w:noWrap/>
            <w:vAlign w:val="center"/>
          </w:tcPr>
          <w:p w14:paraId="3DF0198A">
            <w:pPr>
              <w:widowControl/>
              <w:spacing w:line="240" w:lineRule="exact"/>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资产总额</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Z)</w:t>
            </w:r>
          </w:p>
        </w:tc>
        <w:tc>
          <w:tcPr>
            <w:tcW w:w="709" w:type="dxa"/>
            <w:tcBorders>
              <w:top w:val="nil"/>
              <w:left w:val="nil"/>
              <w:bottom w:val="single" w:color="auto" w:sz="4" w:space="0"/>
              <w:right w:val="single" w:color="auto" w:sz="4" w:space="0"/>
            </w:tcBorders>
            <w:noWrap/>
            <w:vAlign w:val="center"/>
          </w:tcPr>
          <w:p w14:paraId="45092CF9">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1125" w:type="dxa"/>
            <w:tcBorders>
              <w:top w:val="nil"/>
              <w:left w:val="nil"/>
              <w:bottom w:val="single" w:color="auto" w:sz="4" w:space="0"/>
              <w:right w:val="single" w:color="auto" w:sz="4" w:space="0"/>
            </w:tcBorders>
            <w:noWrap/>
            <w:vAlign w:val="center"/>
          </w:tcPr>
          <w:p w14:paraId="705BA253">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Z≥120000</w:t>
            </w:r>
          </w:p>
        </w:tc>
        <w:tc>
          <w:tcPr>
            <w:tcW w:w="1828" w:type="dxa"/>
            <w:tcBorders>
              <w:top w:val="nil"/>
              <w:left w:val="nil"/>
              <w:bottom w:val="single" w:color="auto" w:sz="4" w:space="0"/>
              <w:right w:val="single" w:color="auto" w:sz="4" w:space="0"/>
            </w:tcBorders>
            <w:noWrap/>
            <w:vAlign w:val="center"/>
          </w:tcPr>
          <w:p w14:paraId="6AC9264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8000≤Z＜120000</w:t>
            </w:r>
          </w:p>
        </w:tc>
        <w:tc>
          <w:tcPr>
            <w:tcW w:w="1588" w:type="dxa"/>
            <w:tcBorders>
              <w:top w:val="nil"/>
              <w:left w:val="nil"/>
              <w:bottom w:val="single" w:color="auto" w:sz="4" w:space="0"/>
              <w:right w:val="single" w:color="auto" w:sz="4" w:space="0"/>
            </w:tcBorders>
            <w:noWrap/>
            <w:vAlign w:val="center"/>
          </w:tcPr>
          <w:p w14:paraId="4B4E083A">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100≤Z＜8000</w:t>
            </w:r>
          </w:p>
        </w:tc>
        <w:tc>
          <w:tcPr>
            <w:tcW w:w="1122" w:type="dxa"/>
            <w:tcBorders>
              <w:top w:val="nil"/>
              <w:left w:val="nil"/>
              <w:bottom w:val="single" w:color="auto" w:sz="4" w:space="0"/>
              <w:right w:val="nil"/>
            </w:tcBorders>
            <w:noWrap/>
            <w:vAlign w:val="center"/>
          </w:tcPr>
          <w:p w14:paraId="41413A19">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Z＜100</w:t>
            </w:r>
          </w:p>
        </w:tc>
      </w:tr>
      <w:tr w14:paraId="519C6DF9">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65073A4C">
            <w:pPr>
              <w:widowControl/>
              <w:spacing w:line="240" w:lineRule="exact"/>
              <w:jc w:val="left"/>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其他未列明行业 *</w:t>
            </w:r>
          </w:p>
        </w:tc>
        <w:tc>
          <w:tcPr>
            <w:tcW w:w="1369" w:type="dxa"/>
            <w:tcBorders>
              <w:top w:val="nil"/>
              <w:left w:val="nil"/>
              <w:bottom w:val="single" w:color="auto" w:sz="4" w:space="0"/>
              <w:right w:val="single" w:color="auto" w:sz="4" w:space="0"/>
            </w:tcBorders>
            <w:noWrap/>
            <w:vAlign w:val="center"/>
          </w:tcPr>
          <w:p w14:paraId="202E3CC4">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从业人员</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X)</w:t>
            </w:r>
          </w:p>
        </w:tc>
        <w:tc>
          <w:tcPr>
            <w:tcW w:w="709" w:type="dxa"/>
            <w:tcBorders>
              <w:top w:val="nil"/>
              <w:left w:val="nil"/>
              <w:bottom w:val="single" w:color="auto" w:sz="4" w:space="0"/>
              <w:right w:val="single" w:color="auto" w:sz="4" w:space="0"/>
            </w:tcBorders>
            <w:noWrap/>
            <w:vAlign w:val="center"/>
          </w:tcPr>
          <w:p w14:paraId="54BDC448">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人</w:t>
            </w:r>
          </w:p>
        </w:tc>
        <w:tc>
          <w:tcPr>
            <w:tcW w:w="1125" w:type="dxa"/>
            <w:tcBorders>
              <w:top w:val="nil"/>
              <w:left w:val="nil"/>
              <w:bottom w:val="single" w:color="auto" w:sz="4" w:space="0"/>
              <w:right w:val="single" w:color="auto" w:sz="4" w:space="0"/>
            </w:tcBorders>
            <w:noWrap/>
            <w:vAlign w:val="center"/>
          </w:tcPr>
          <w:p w14:paraId="38EAD281">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X≥300</w:t>
            </w:r>
          </w:p>
        </w:tc>
        <w:tc>
          <w:tcPr>
            <w:tcW w:w="1828" w:type="dxa"/>
            <w:tcBorders>
              <w:top w:val="nil"/>
              <w:left w:val="nil"/>
              <w:bottom w:val="single" w:color="auto" w:sz="4" w:space="0"/>
              <w:right w:val="single" w:color="auto" w:sz="4" w:space="0"/>
            </w:tcBorders>
            <w:noWrap/>
            <w:vAlign w:val="center"/>
          </w:tcPr>
          <w:p w14:paraId="107A0C88">
            <w:pPr>
              <w:widowControl/>
              <w:ind w:left="13" w:leftChars="-51" w:hanging="120" w:hangingChars="60"/>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100≤X＜300 </w:t>
            </w:r>
          </w:p>
        </w:tc>
        <w:tc>
          <w:tcPr>
            <w:tcW w:w="1588" w:type="dxa"/>
            <w:tcBorders>
              <w:top w:val="nil"/>
              <w:left w:val="nil"/>
              <w:bottom w:val="single" w:color="auto" w:sz="4" w:space="0"/>
              <w:right w:val="single" w:color="auto" w:sz="4" w:space="0"/>
            </w:tcBorders>
            <w:noWrap/>
            <w:vAlign w:val="center"/>
          </w:tcPr>
          <w:p w14:paraId="3B50F350">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10≤X＜100</w:t>
            </w:r>
          </w:p>
        </w:tc>
        <w:tc>
          <w:tcPr>
            <w:tcW w:w="1122" w:type="dxa"/>
            <w:tcBorders>
              <w:top w:val="nil"/>
              <w:left w:val="nil"/>
              <w:bottom w:val="single" w:color="auto" w:sz="4" w:space="0"/>
              <w:right w:val="nil"/>
            </w:tcBorders>
            <w:noWrap/>
            <w:vAlign w:val="center"/>
          </w:tcPr>
          <w:p w14:paraId="29F101F7">
            <w:pPr>
              <w:widowControl/>
              <w:jc w:val="center"/>
              <w:outlineLvl w:val="9"/>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X＜10</w:t>
            </w:r>
          </w:p>
        </w:tc>
      </w:tr>
    </w:tbl>
    <w:p w14:paraId="4FE350DA">
      <w:pPr>
        <w:outlineLvl w:val="9"/>
        <w:rPr>
          <w:rFonts w:hint="eastAsia" w:ascii="仿宋" w:hAnsi="仿宋" w:eastAsia="仿宋" w:cs="仿宋"/>
          <w:highlight w:val="none"/>
        </w:rPr>
      </w:pPr>
    </w:p>
    <w:p w14:paraId="2F4DD7E2">
      <w:pPr>
        <w:pStyle w:val="200"/>
        <w:spacing w:line="360" w:lineRule="auto"/>
        <w:jc w:val="center"/>
        <w:outlineLvl w:val="2"/>
        <w:rPr>
          <w:rFonts w:hint="eastAsia" w:ascii="仿宋" w:hAnsi="仿宋" w:eastAsia="仿宋" w:cs="仿宋"/>
          <w:bCs/>
          <w:sz w:val="30"/>
          <w:szCs w:val="30"/>
          <w:highlight w:val="none"/>
        </w:rPr>
      </w:pPr>
      <w:r>
        <w:rPr>
          <w:rFonts w:hint="eastAsia" w:ascii="仿宋" w:hAnsi="仿宋" w:eastAsia="仿宋" w:cs="仿宋"/>
          <w:highlight w:val="none"/>
        </w:rPr>
        <w:br w:type="page"/>
      </w:r>
      <w:bookmarkStart w:id="227" w:name="_Toc31593"/>
      <w:bookmarkStart w:id="228" w:name="_Toc20337"/>
      <w:bookmarkStart w:id="229" w:name="_Toc5602"/>
      <w:r>
        <w:rPr>
          <w:rFonts w:hint="eastAsia" w:ascii="仿宋" w:hAnsi="仿宋" w:eastAsia="仿宋" w:cs="仿宋"/>
          <w:sz w:val="30"/>
          <w:szCs w:val="30"/>
          <w:highlight w:val="none"/>
        </w:rPr>
        <w:t>（七）供应商声明函</w:t>
      </w:r>
      <w:bookmarkEnd w:id="227"/>
      <w:bookmarkEnd w:id="228"/>
      <w:bookmarkEnd w:id="229"/>
    </w:p>
    <w:p w14:paraId="04BE3134">
      <w:pPr>
        <w:pStyle w:val="18"/>
        <w:spacing w:after="0" w:line="360" w:lineRule="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（采购人名称） </w:t>
      </w:r>
    </w:p>
    <w:p w14:paraId="39BBCB65">
      <w:pPr>
        <w:spacing w:line="360" w:lineRule="auto"/>
        <w:ind w:firstLine="480" w:firstLineChars="200"/>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在参与本次项目投标中，我单位</w:t>
      </w:r>
      <w:r>
        <w:rPr>
          <w:rFonts w:hint="eastAsia" w:ascii="仿宋" w:hAnsi="仿宋" w:eastAsia="仿宋" w:cs="仿宋"/>
          <w:b/>
          <w:sz w:val="24"/>
          <w:szCs w:val="24"/>
          <w:highlight w:val="none"/>
        </w:rPr>
        <w:t>郑重承诺</w:t>
      </w:r>
      <w:r>
        <w:rPr>
          <w:rFonts w:hint="eastAsia" w:ascii="仿宋" w:hAnsi="仿宋" w:eastAsia="仿宋" w:cs="仿宋"/>
          <w:sz w:val="24"/>
          <w:szCs w:val="24"/>
          <w:highlight w:val="none"/>
        </w:rPr>
        <w:t>：</w:t>
      </w:r>
    </w:p>
    <w:p w14:paraId="7915F134">
      <w:pPr>
        <w:pStyle w:val="18"/>
        <w:spacing w:after="0"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0907F30F">
      <w:pPr>
        <w:pStyle w:val="18"/>
        <w:spacing w:after="0"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2、我单位具有履行合同所必需的专业技术能力，并在规定工作时间内有能力调配较强工作力量，按时保质完成相关工作任务。</w:t>
      </w:r>
    </w:p>
    <w:p w14:paraId="626D8FD2">
      <w:pPr>
        <w:pStyle w:val="18"/>
        <w:spacing w:after="0"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3、我单位不存在单位负责人为同一人同时参加本项目投标的情况。</w:t>
      </w:r>
    </w:p>
    <w:p w14:paraId="6551BF1E">
      <w:pPr>
        <w:pStyle w:val="18"/>
        <w:spacing w:after="0"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4、我单位不存在直接控股、管理关系的不同供应商同时参与本项目投标的情况。</w:t>
      </w:r>
    </w:p>
    <w:p w14:paraId="3479903E">
      <w:pPr>
        <w:pStyle w:val="18"/>
        <w:spacing w:after="0"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5、我单位不存在为采购项目提供整体设计、规范编制或者项目管理、监理、检测等服务后，再参加该采购项目的其他采购活动的情形。</w:t>
      </w:r>
    </w:p>
    <w:p w14:paraId="553BEAFE">
      <w:pPr>
        <w:pStyle w:val="18"/>
        <w:spacing w:after="0"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6、我单位未被列入“全国企业信用信息公示系统”的经营异常名录或者严重违法企业名单。</w:t>
      </w:r>
    </w:p>
    <w:p w14:paraId="1DE35261">
      <w:pPr>
        <w:pStyle w:val="18"/>
        <w:spacing w:after="0"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7、我单位在投标过程中，不存在向采购人提供、给予任何有价值的物品，试图影响其正常决策的行为。</w:t>
      </w:r>
    </w:p>
    <w:p w14:paraId="1DD5EB98">
      <w:pPr>
        <w:pStyle w:val="18"/>
        <w:spacing w:after="0"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8、我单位严格遵守国家及行业相关用工标准，做到合理合法用工。</w:t>
      </w:r>
    </w:p>
    <w:p w14:paraId="5C3E98EB">
      <w:pPr>
        <w:pStyle w:val="18"/>
        <w:spacing w:after="0"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9、本项目所有岗位涉及工作人员在提供服务过程中，经采购人评价不具备工作能力的，我单位将无条件调换。</w:t>
      </w:r>
    </w:p>
    <w:p w14:paraId="4DB98A28">
      <w:pPr>
        <w:pStyle w:val="18"/>
        <w:spacing w:after="0"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若采购人、采购代理机构在本项目采购过程中发现我单位存在违反上述承诺的事项，我单位将自动失去在本项目的成交资格，并承担因此引起的一切后果及虚假投标责任。</w:t>
      </w:r>
    </w:p>
    <w:p w14:paraId="08ACCA1B">
      <w:pPr>
        <w:pStyle w:val="18"/>
        <w:spacing w:after="0" w:line="360" w:lineRule="auto"/>
        <w:ind w:firstLine="480" w:firstLineChars="200"/>
        <w:outlineLvl w:val="9"/>
        <w:rPr>
          <w:rFonts w:hint="eastAsia" w:ascii="仿宋" w:hAnsi="仿宋" w:eastAsia="仿宋" w:cs="仿宋"/>
          <w:sz w:val="24"/>
          <w:szCs w:val="24"/>
          <w:highlight w:val="none"/>
        </w:rPr>
      </w:pPr>
    </w:p>
    <w:p w14:paraId="0E6A77F4">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3023D8C3">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40424D63">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7FA7F6DE">
      <w:pPr>
        <w:spacing w:line="560" w:lineRule="exact"/>
        <w:ind w:firstLine="482" w:firstLineChars="200"/>
        <w:outlineLvl w:val="9"/>
        <w:rPr>
          <w:rFonts w:hint="eastAsia" w:ascii="仿宋" w:hAnsi="仿宋" w:eastAsia="仿宋" w:cs="仿宋"/>
          <w:sz w:val="24"/>
          <w:szCs w:val="24"/>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仿宋" w:hAnsi="仿宋" w:eastAsia="仿宋" w:cs="仿宋"/>
          <w:b/>
          <w:bCs/>
          <w:sz w:val="24"/>
          <w:szCs w:val="24"/>
          <w:highlight w:val="none"/>
        </w:rPr>
        <w:t>（注：供应商实际情况如与上述承诺内容不符的，请如实说明，不得虚假承诺）</w:t>
      </w:r>
    </w:p>
    <w:p w14:paraId="514BB502">
      <w:pPr>
        <w:pStyle w:val="200"/>
        <w:spacing w:line="360" w:lineRule="auto"/>
        <w:jc w:val="center"/>
        <w:outlineLvl w:val="2"/>
        <w:rPr>
          <w:rFonts w:hint="eastAsia" w:ascii="仿宋" w:hAnsi="仿宋" w:eastAsia="仿宋" w:cs="仿宋"/>
          <w:sz w:val="30"/>
          <w:szCs w:val="30"/>
          <w:highlight w:val="none"/>
        </w:rPr>
      </w:pPr>
      <w:bookmarkStart w:id="230" w:name="_Toc19498"/>
      <w:bookmarkStart w:id="231" w:name="_Toc30462"/>
      <w:bookmarkStart w:id="232" w:name="_Toc26634"/>
      <w:bookmarkStart w:id="233" w:name="_Toc1126"/>
      <w:r>
        <w:rPr>
          <w:rFonts w:hint="eastAsia" w:ascii="仿宋" w:hAnsi="仿宋" w:eastAsia="仿宋" w:cs="仿宋"/>
          <w:sz w:val="30"/>
          <w:szCs w:val="30"/>
          <w:highlight w:val="none"/>
        </w:rPr>
        <w:t>（八）供应商自觉抵制政府采购领域商业贿赂行为承诺书</w:t>
      </w:r>
      <w:bookmarkEnd w:id="230"/>
      <w:bookmarkEnd w:id="231"/>
      <w:bookmarkEnd w:id="232"/>
      <w:bookmarkEnd w:id="233"/>
    </w:p>
    <w:p w14:paraId="774928CF">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p>
    <w:p w14:paraId="1E7AD871">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和政府采购市场环境，维护政府采购制度良好声誉，在参与政府采购活动中，我们庄重承诺： </w:t>
      </w:r>
    </w:p>
    <w:p w14:paraId="7D03107A">
      <w:pPr>
        <w:pStyle w:val="131"/>
        <w:adjustRightInd w:val="0"/>
        <w:snapToGrid w:val="0"/>
        <w:spacing w:line="360" w:lineRule="auto"/>
        <w:ind w:firstLine="480" w:firstLineChars="200"/>
        <w:outlineLvl w:val="1"/>
        <w:rPr>
          <w:rFonts w:hint="eastAsia" w:ascii="仿宋" w:hAnsi="仿宋" w:eastAsia="仿宋" w:cs="仿宋"/>
          <w:sz w:val="24"/>
          <w:szCs w:val="24"/>
          <w:highlight w:val="none"/>
        </w:rPr>
      </w:pPr>
      <w:bookmarkStart w:id="234" w:name="_Toc23377"/>
      <w:r>
        <w:rPr>
          <w:rFonts w:hint="eastAsia" w:ascii="仿宋" w:hAnsi="仿宋" w:eastAsia="仿宋" w:cs="仿宋"/>
          <w:sz w:val="24"/>
          <w:szCs w:val="24"/>
          <w:highlight w:val="none"/>
        </w:rPr>
        <w:t>一、依法参与政府采购活动，遵纪守法，诚信经营，公平竞争。 </w:t>
      </w:r>
      <w:bookmarkEnd w:id="234"/>
    </w:p>
    <w:p w14:paraId="04A59F2F">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二、不向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、采购代理机构和政府采购评审专家提供任何形式的商业贿赂；对索取或接受商业贿赂的单位和个人，及时向财政部门和纪检监察机关举报。 </w:t>
      </w:r>
    </w:p>
    <w:p w14:paraId="4E91DB27">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三、不以提供虚假资质文件等形式参与政府采购活动，不以虚假材料谋取中标或成交。 </w:t>
      </w:r>
    </w:p>
    <w:p w14:paraId="2DE68516">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四、不采取不正当手段诋毁、排挤其他供应商，与其他参与政府采购活动供应商保持良性的竞争关系。 </w:t>
      </w:r>
    </w:p>
    <w:p w14:paraId="79E3B2D9">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五、不与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、采购代理机构和政府采购评审专家恶意串通，自觉维护政府采购公平竞争的市场秩序。 </w:t>
      </w:r>
    </w:p>
    <w:p w14:paraId="512131DA">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六、不与其他供应商串通采取围标、陪标等商业欺诈手段谋取中标或成交，积极维护国家利益、社会公共利益和</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的合法权益。</w:t>
      </w:r>
    </w:p>
    <w:p w14:paraId="1C520CED">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七、严格履行政府采购合同约定义务，不在政府采购合同执行过程中采取降低质量或标准、减少数量、拖延交付时间等方式损害</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的利益，并自觉承担违约责任。</w:t>
      </w:r>
    </w:p>
    <w:p w14:paraId="0B0786C8">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八、自觉接受并积极配合财政部门和纪检监察机关依法实施的监督检查，如实反映情况，及时提供有关证明材料。</w:t>
      </w:r>
    </w:p>
    <w:p w14:paraId="79EC0C4B">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p>
    <w:p w14:paraId="3A0077CF">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49689BA5">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2856BF55">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2C335395">
      <w:pPr>
        <w:pStyle w:val="137"/>
        <w:jc w:val="center"/>
        <w:outlineLvl w:val="9"/>
        <w:rPr>
          <w:rFonts w:hint="eastAsia" w:ascii="仿宋" w:hAnsi="仿宋" w:eastAsia="仿宋" w:cs="仿宋"/>
          <w:bCs/>
          <w:sz w:val="30"/>
          <w:szCs w:val="30"/>
          <w:highlight w:val="none"/>
        </w:rPr>
      </w:pPr>
    </w:p>
    <w:p w14:paraId="63F63EF9">
      <w:pPr>
        <w:pStyle w:val="137"/>
        <w:jc w:val="center"/>
        <w:outlineLvl w:val="9"/>
        <w:rPr>
          <w:rFonts w:hint="eastAsia" w:ascii="仿宋" w:hAnsi="仿宋" w:eastAsia="仿宋" w:cs="仿宋"/>
          <w:bCs/>
          <w:sz w:val="30"/>
          <w:szCs w:val="30"/>
          <w:highlight w:val="none"/>
        </w:rPr>
      </w:pPr>
    </w:p>
    <w:p w14:paraId="616C8DFB">
      <w:pPr>
        <w:pStyle w:val="137"/>
        <w:jc w:val="center"/>
        <w:outlineLvl w:val="9"/>
        <w:rPr>
          <w:rFonts w:hint="eastAsia" w:ascii="仿宋" w:hAnsi="仿宋" w:eastAsia="仿宋" w:cs="仿宋"/>
          <w:bCs/>
          <w:sz w:val="30"/>
          <w:szCs w:val="30"/>
          <w:highlight w:val="none"/>
        </w:rPr>
      </w:pPr>
    </w:p>
    <w:p w14:paraId="69404798">
      <w:pPr>
        <w:pStyle w:val="137"/>
        <w:jc w:val="center"/>
        <w:outlineLvl w:val="9"/>
        <w:rPr>
          <w:rFonts w:hint="eastAsia" w:ascii="仿宋" w:hAnsi="仿宋" w:eastAsia="仿宋" w:cs="仿宋"/>
          <w:bCs/>
          <w:sz w:val="30"/>
          <w:szCs w:val="30"/>
          <w:highlight w:val="none"/>
        </w:rPr>
      </w:pPr>
    </w:p>
    <w:p w14:paraId="21BC2775">
      <w:pPr>
        <w:pStyle w:val="200"/>
        <w:spacing w:line="360" w:lineRule="auto"/>
        <w:jc w:val="center"/>
        <w:outlineLvl w:val="2"/>
        <w:rPr>
          <w:rFonts w:hint="eastAsia" w:ascii="仿宋" w:hAnsi="仿宋" w:eastAsia="仿宋" w:cs="仿宋"/>
          <w:sz w:val="30"/>
          <w:szCs w:val="30"/>
          <w:highlight w:val="none"/>
        </w:rPr>
      </w:pPr>
      <w:bookmarkStart w:id="235" w:name="_Toc2125"/>
      <w:bookmarkStart w:id="236" w:name="_Toc15406"/>
      <w:bookmarkStart w:id="237" w:name="_Toc21211"/>
      <w:r>
        <w:rPr>
          <w:rFonts w:hint="eastAsia" w:ascii="仿宋" w:hAnsi="仿宋" w:eastAsia="仿宋" w:cs="仿宋"/>
          <w:sz w:val="30"/>
          <w:szCs w:val="30"/>
          <w:highlight w:val="none"/>
        </w:rPr>
        <w:t>（九）其他声明及文件资料</w:t>
      </w:r>
      <w:bookmarkEnd w:id="235"/>
      <w:bookmarkEnd w:id="236"/>
      <w:bookmarkEnd w:id="237"/>
    </w:p>
    <w:p w14:paraId="680F60C9">
      <w:pPr>
        <w:pStyle w:val="131"/>
        <w:adjustRightInd w:val="0"/>
        <w:snapToGrid w:val="0"/>
        <w:spacing w:line="360" w:lineRule="auto"/>
        <w:ind w:firstLine="480" w:firstLineChars="200"/>
        <w:outlineLvl w:val="9"/>
        <w:rPr>
          <w:rFonts w:hint="eastAsia" w:ascii="仿宋" w:hAnsi="仿宋" w:eastAsia="仿宋" w:cs="仿宋"/>
          <w:sz w:val="24"/>
          <w:szCs w:val="24"/>
          <w:highlight w:val="none"/>
        </w:rPr>
      </w:pPr>
    </w:p>
    <w:p w14:paraId="294B14D9">
      <w:pPr>
        <w:pStyle w:val="180"/>
        <w:ind w:firstLine="482" w:firstLineChars="200"/>
        <w:outlineLvl w:val="9"/>
        <w:rPr>
          <w:rFonts w:hint="eastAsia" w:ascii="仿宋" w:hAnsi="仿宋" w:eastAsia="仿宋" w:cs="仿宋"/>
          <w:bCs/>
          <w:highlight w:val="none"/>
        </w:rPr>
      </w:pPr>
      <w:bookmarkStart w:id="238" w:name="_Toc27395"/>
      <w:r>
        <w:rPr>
          <w:rFonts w:hint="eastAsia" w:ascii="仿宋" w:hAnsi="仿宋" w:eastAsia="仿宋" w:cs="仿宋"/>
          <w:sz w:val="24"/>
          <w:highlight w:val="none"/>
        </w:rPr>
        <w:t>供应商认为需要提供的其他声明及文件资料。</w:t>
      </w:r>
      <w:bookmarkEnd w:id="238"/>
    </w:p>
    <w:p w14:paraId="47A6BD22">
      <w:pPr>
        <w:pStyle w:val="180"/>
        <w:outlineLvl w:val="9"/>
        <w:rPr>
          <w:rFonts w:hint="eastAsia" w:ascii="仿宋" w:hAnsi="仿宋" w:eastAsia="仿宋" w:cs="仿宋"/>
          <w:bCs/>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A5AE4A1">
      <w:pPr>
        <w:pStyle w:val="190"/>
        <w:jc w:val="center"/>
        <w:outlineLvl w:val="1"/>
        <w:rPr>
          <w:rFonts w:hint="eastAsia" w:ascii="仿宋" w:hAnsi="仿宋" w:eastAsia="仿宋" w:cs="仿宋"/>
          <w:b/>
          <w:sz w:val="36"/>
          <w:szCs w:val="36"/>
          <w:highlight w:val="none"/>
          <w:lang w:eastAsia="zh-CN"/>
        </w:rPr>
      </w:pPr>
      <w:bookmarkStart w:id="239" w:name="_Toc12974"/>
      <w:r>
        <w:rPr>
          <w:rFonts w:hint="eastAsia" w:ascii="仿宋" w:hAnsi="仿宋" w:eastAsia="仿宋" w:cs="仿宋"/>
          <w:b/>
          <w:sz w:val="36"/>
          <w:szCs w:val="36"/>
          <w:highlight w:val="none"/>
          <w:lang w:eastAsia="zh-CN"/>
        </w:rPr>
        <w:t>二、价格响应文件</w:t>
      </w:r>
      <w:bookmarkEnd w:id="239"/>
    </w:p>
    <w:p w14:paraId="2DF3D310">
      <w:pPr>
        <w:pStyle w:val="200"/>
        <w:spacing w:line="360" w:lineRule="auto"/>
        <w:jc w:val="center"/>
        <w:outlineLvl w:val="2"/>
        <w:rPr>
          <w:rFonts w:hint="eastAsia" w:ascii="仿宋" w:hAnsi="仿宋" w:eastAsia="仿宋" w:cs="仿宋"/>
          <w:sz w:val="28"/>
          <w:szCs w:val="22"/>
          <w:highlight w:val="none"/>
        </w:rPr>
      </w:pPr>
      <w:bookmarkStart w:id="240" w:name="_Toc24392"/>
      <w:bookmarkStart w:id="241" w:name="_Toc32631"/>
      <w:bookmarkStart w:id="242" w:name="_Toc32742"/>
      <w:bookmarkStart w:id="243" w:name="_Toc256000027"/>
      <w:r>
        <w:rPr>
          <w:rFonts w:hint="eastAsia" w:ascii="仿宋" w:hAnsi="仿宋" w:eastAsia="仿宋" w:cs="仿宋"/>
          <w:sz w:val="30"/>
          <w:szCs w:val="30"/>
          <w:highlight w:val="none"/>
        </w:rPr>
        <w:t>（一）开标一览表</w:t>
      </w:r>
      <w:bookmarkEnd w:id="240"/>
      <w:bookmarkEnd w:id="241"/>
      <w:bookmarkEnd w:id="242"/>
      <w:bookmarkEnd w:id="243"/>
    </w:p>
    <w:p w14:paraId="03DEC38E">
      <w:pPr>
        <w:pStyle w:val="143"/>
        <w:spacing w:line="360" w:lineRule="auto"/>
        <w:outlineLvl w:val="9"/>
        <w:rPr>
          <w:rFonts w:hint="eastAsia" w:ascii="仿宋" w:hAnsi="仿宋" w:eastAsia="仿宋" w:cs="仿宋"/>
          <w:sz w:val="32"/>
          <w:szCs w:val="20"/>
          <w:highlight w:val="none"/>
        </w:rPr>
      </w:pPr>
    </w:p>
    <w:tbl>
      <w:tblPr>
        <w:tblStyle w:val="6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5383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410" w:type="dxa"/>
            <w:tcBorders>
              <w:bottom w:val="single" w:color="auto" w:sz="4" w:space="0"/>
            </w:tcBorders>
            <w:noWrap w:val="0"/>
            <w:vAlign w:val="center"/>
          </w:tcPr>
          <w:p w14:paraId="45FF7173">
            <w:pPr>
              <w:pStyle w:val="143"/>
              <w:tabs>
                <w:tab w:val="left" w:pos="1337"/>
              </w:tabs>
              <w:jc w:val="center"/>
              <w:outlineLvl w:val="9"/>
              <w:rPr>
                <w:rFonts w:hint="eastAsia" w:ascii="仿宋" w:hAnsi="仿宋" w:eastAsia="仿宋" w:cs="仿宋"/>
                <w:sz w:val="24"/>
                <w:szCs w:val="24"/>
                <w:highlight w:val="none"/>
              </w:rPr>
            </w:pPr>
            <w:r>
              <w:rPr>
                <w:rFonts w:hint="eastAsia" w:ascii="仿宋" w:hAnsi="仿宋" w:eastAsia="仿宋" w:cs="仿宋"/>
                <w:bCs/>
                <w:sz w:val="24"/>
                <w:szCs w:val="24"/>
                <w:highlight w:val="none"/>
              </w:rPr>
              <w:t>项目名称</w:t>
            </w:r>
          </w:p>
        </w:tc>
        <w:tc>
          <w:tcPr>
            <w:tcW w:w="6770" w:type="dxa"/>
            <w:tcBorders>
              <w:bottom w:val="single" w:color="auto" w:sz="4" w:space="0"/>
            </w:tcBorders>
            <w:noWrap w:val="0"/>
            <w:vAlign w:val="center"/>
          </w:tcPr>
          <w:p w14:paraId="258A7064">
            <w:pPr>
              <w:pStyle w:val="143"/>
              <w:tabs>
                <w:tab w:val="left" w:pos="1337"/>
              </w:tabs>
              <w:jc w:val="center"/>
              <w:outlineLvl w:val="9"/>
              <w:rPr>
                <w:rFonts w:hint="eastAsia" w:ascii="仿宋" w:hAnsi="仿宋" w:eastAsia="仿宋" w:cs="仿宋"/>
                <w:bCs/>
                <w:sz w:val="24"/>
                <w:szCs w:val="24"/>
                <w:highlight w:val="none"/>
              </w:rPr>
            </w:pPr>
          </w:p>
        </w:tc>
      </w:tr>
      <w:tr w14:paraId="3AE5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410" w:type="dxa"/>
            <w:tcBorders>
              <w:bottom w:val="single" w:color="auto" w:sz="4" w:space="0"/>
            </w:tcBorders>
            <w:noWrap w:val="0"/>
            <w:vAlign w:val="center"/>
          </w:tcPr>
          <w:p w14:paraId="6EDDDF3B">
            <w:pPr>
              <w:pStyle w:val="143"/>
              <w:tabs>
                <w:tab w:val="left" w:pos="1337"/>
              </w:tabs>
              <w:jc w:val="center"/>
              <w:outlineLvl w:val="9"/>
              <w:rPr>
                <w:rFonts w:hint="eastAsia" w:ascii="仿宋" w:hAnsi="仿宋" w:eastAsia="仿宋" w:cs="仿宋"/>
                <w:bCs/>
                <w:sz w:val="24"/>
                <w:szCs w:val="24"/>
                <w:highlight w:val="none"/>
              </w:rPr>
            </w:pPr>
            <w:r>
              <w:rPr>
                <w:rFonts w:hint="eastAsia" w:ascii="仿宋" w:hAnsi="仿宋" w:eastAsia="仿宋" w:cs="仿宋"/>
                <w:sz w:val="24"/>
                <w:szCs w:val="16"/>
                <w:highlight w:val="none"/>
              </w:rPr>
              <w:t>项目编号</w:t>
            </w:r>
          </w:p>
        </w:tc>
        <w:tc>
          <w:tcPr>
            <w:tcW w:w="6770" w:type="dxa"/>
            <w:tcBorders>
              <w:bottom w:val="single" w:color="auto" w:sz="4" w:space="0"/>
            </w:tcBorders>
            <w:noWrap w:val="0"/>
            <w:vAlign w:val="center"/>
          </w:tcPr>
          <w:p w14:paraId="4F9A1E92">
            <w:pPr>
              <w:pStyle w:val="143"/>
              <w:tabs>
                <w:tab w:val="left" w:pos="1337"/>
              </w:tabs>
              <w:jc w:val="center"/>
              <w:outlineLvl w:val="9"/>
              <w:rPr>
                <w:rFonts w:hint="eastAsia" w:ascii="仿宋" w:hAnsi="仿宋" w:eastAsia="仿宋" w:cs="仿宋"/>
                <w:bCs/>
                <w:sz w:val="24"/>
                <w:szCs w:val="24"/>
                <w:highlight w:val="none"/>
              </w:rPr>
            </w:pPr>
          </w:p>
        </w:tc>
      </w:tr>
      <w:tr w14:paraId="418E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2410" w:type="dxa"/>
            <w:noWrap w:val="0"/>
            <w:vAlign w:val="center"/>
          </w:tcPr>
          <w:p w14:paraId="46FB391D">
            <w:pPr>
              <w:pStyle w:val="143"/>
              <w:tabs>
                <w:tab w:val="left" w:pos="1337"/>
              </w:tabs>
              <w:jc w:val="center"/>
              <w:outlineLvl w:val="9"/>
              <w:rPr>
                <w:rFonts w:hint="eastAsia" w:ascii="仿宋" w:hAnsi="仿宋" w:eastAsia="仿宋" w:cs="仿宋"/>
                <w:sz w:val="24"/>
                <w:szCs w:val="24"/>
                <w:highlight w:val="none"/>
              </w:rPr>
            </w:pPr>
            <w:r>
              <w:rPr>
                <w:rFonts w:hint="eastAsia" w:ascii="仿宋" w:hAnsi="仿宋" w:eastAsia="仿宋" w:cs="仿宋"/>
                <w:bCs/>
                <w:sz w:val="24"/>
                <w:szCs w:val="24"/>
                <w:highlight w:val="none"/>
              </w:rPr>
              <w:t>投标总价（元）</w:t>
            </w:r>
          </w:p>
        </w:tc>
        <w:tc>
          <w:tcPr>
            <w:tcW w:w="6770" w:type="dxa"/>
            <w:noWrap w:val="0"/>
            <w:vAlign w:val="center"/>
          </w:tcPr>
          <w:p w14:paraId="02A1D745">
            <w:pPr>
              <w:pStyle w:val="143"/>
              <w:tabs>
                <w:tab w:val="left" w:pos="1337"/>
              </w:tabs>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p>
          <w:p w14:paraId="0C0E458A">
            <w:pPr>
              <w:pStyle w:val="143"/>
              <w:tabs>
                <w:tab w:val="left" w:pos="1337"/>
              </w:tabs>
              <w:jc w:val="left"/>
              <w:outlineLvl w:val="9"/>
              <w:rPr>
                <w:rFonts w:hint="eastAsia" w:ascii="仿宋" w:hAnsi="仿宋" w:eastAsia="仿宋" w:cs="仿宋"/>
                <w:sz w:val="24"/>
                <w:szCs w:val="24"/>
                <w:highlight w:val="none"/>
              </w:rPr>
            </w:pPr>
          </w:p>
          <w:p w14:paraId="3AEA86B8">
            <w:pPr>
              <w:pStyle w:val="143"/>
              <w:tabs>
                <w:tab w:val="left" w:pos="1337"/>
              </w:tabs>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p>
        </w:tc>
      </w:tr>
      <w:tr w14:paraId="7A4B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410" w:type="dxa"/>
            <w:noWrap w:val="0"/>
            <w:vAlign w:val="center"/>
          </w:tcPr>
          <w:p w14:paraId="03B713E3">
            <w:pPr>
              <w:pStyle w:val="143"/>
              <w:tabs>
                <w:tab w:val="left" w:pos="1337"/>
              </w:tabs>
              <w:jc w:val="center"/>
              <w:outlineLvl w:val="9"/>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val="en-US" w:eastAsia="zh-CN"/>
              </w:rPr>
              <w:t>合同履约期限</w:t>
            </w:r>
          </w:p>
        </w:tc>
        <w:tc>
          <w:tcPr>
            <w:tcW w:w="6770" w:type="dxa"/>
            <w:noWrap w:val="0"/>
            <w:vAlign w:val="center"/>
          </w:tcPr>
          <w:p w14:paraId="3CF2FEF7">
            <w:pPr>
              <w:pStyle w:val="143"/>
              <w:tabs>
                <w:tab w:val="left" w:pos="1337"/>
              </w:tabs>
              <w:spacing w:line="360" w:lineRule="auto"/>
              <w:jc w:val="left"/>
              <w:outlineLvl w:val="9"/>
              <w:rPr>
                <w:rFonts w:hint="eastAsia" w:ascii="仿宋" w:hAnsi="仿宋" w:eastAsia="仿宋" w:cs="仿宋"/>
                <w:sz w:val="24"/>
                <w:szCs w:val="24"/>
                <w:highlight w:val="none"/>
              </w:rPr>
            </w:pPr>
          </w:p>
        </w:tc>
      </w:tr>
      <w:tr w14:paraId="40F1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3492560B">
            <w:pPr>
              <w:pStyle w:val="143"/>
              <w:tabs>
                <w:tab w:val="left" w:pos="1337"/>
              </w:tabs>
              <w:spacing w:line="360" w:lineRule="auto"/>
              <w:outlineLvl w:val="9"/>
              <w:rPr>
                <w:rFonts w:hint="eastAsia" w:ascii="仿宋" w:hAnsi="仿宋" w:eastAsia="仿宋" w:cs="仿宋"/>
                <w:sz w:val="24"/>
                <w:szCs w:val="24"/>
                <w:highlight w:val="none"/>
              </w:rPr>
            </w:pPr>
            <w:r>
              <w:rPr>
                <w:rFonts w:hint="eastAsia" w:ascii="仿宋" w:hAnsi="仿宋" w:eastAsia="仿宋" w:cs="仿宋"/>
                <w:bCs/>
                <w:sz w:val="24"/>
                <w:szCs w:val="24"/>
                <w:highlight w:val="none"/>
              </w:rPr>
              <w:t>备注：</w:t>
            </w:r>
          </w:p>
        </w:tc>
      </w:tr>
    </w:tbl>
    <w:p w14:paraId="5C2EBE63">
      <w:pPr>
        <w:pStyle w:val="143"/>
        <w:spacing w:line="360" w:lineRule="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 xml:space="preserve">说明： </w:t>
      </w:r>
    </w:p>
    <w:p w14:paraId="48910888">
      <w:pPr>
        <w:pStyle w:val="143"/>
        <w:spacing w:line="360" w:lineRule="auto"/>
        <w:ind w:firstLine="720" w:firstLineChars="3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1、供应商严格按照规定的格式填写。投标报价为优惠后报价，并作为评审及定标的依据。</w:t>
      </w:r>
    </w:p>
    <w:p w14:paraId="12BF8A5E">
      <w:pPr>
        <w:pStyle w:val="143"/>
        <w:spacing w:line="360" w:lineRule="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 xml:space="preserve">      2、任何有选择或有条件的投标报价或表中某一包填写多个报价，均将导致投标被拒绝。</w:t>
      </w:r>
    </w:p>
    <w:p w14:paraId="7AB217A6">
      <w:pPr>
        <w:pStyle w:val="143"/>
        <w:spacing w:line="360" w:lineRule="auto"/>
        <w:ind w:firstLine="480" w:firstLineChars="200"/>
        <w:outlineLvl w:val="9"/>
        <w:rPr>
          <w:rFonts w:hint="eastAsia" w:ascii="仿宋" w:hAnsi="仿宋" w:eastAsia="仿宋" w:cs="仿宋"/>
          <w:sz w:val="24"/>
          <w:szCs w:val="21"/>
          <w:highlight w:val="none"/>
        </w:rPr>
      </w:pPr>
    </w:p>
    <w:p w14:paraId="57868103">
      <w:pPr>
        <w:pStyle w:val="143"/>
        <w:spacing w:line="360" w:lineRule="auto"/>
        <w:ind w:firstLine="480" w:firstLineChars="200"/>
        <w:outlineLvl w:val="9"/>
        <w:rPr>
          <w:rFonts w:hint="eastAsia" w:ascii="仿宋" w:hAnsi="仿宋" w:eastAsia="仿宋" w:cs="仿宋"/>
          <w:sz w:val="24"/>
          <w:szCs w:val="21"/>
          <w:highlight w:val="none"/>
          <w:u w:val="single"/>
        </w:rPr>
      </w:pPr>
    </w:p>
    <w:p w14:paraId="26F3BB83">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2017A760">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3349168D">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72B383BD">
      <w:pPr>
        <w:pStyle w:val="143"/>
        <w:outlineLvl w:val="9"/>
        <w:rPr>
          <w:rFonts w:hint="eastAsia" w:ascii="仿宋" w:hAnsi="仿宋" w:eastAsia="仿宋" w:cs="仿宋"/>
          <w:sz w:val="20"/>
          <w:szCs w:val="21"/>
          <w:highlight w:val="none"/>
        </w:rPr>
      </w:pPr>
    </w:p>
    <w:p w14:paraId="0D368518">
      <w:pPr>
        <w:pStyle w:val="3"/>
        <w:jc w:val="center"/>
        <w:rPr>
          <w:rFonts w:hint="eastAsia" w:ascii="仿宋" w:hAnsi="仿宋" w:eastAsia="仿宋" w:cs="仿宋"/>
          <w:color w:val="auto"/>
          <w:highlight w:val="none"/>
        </w:rPr>
      </w:pPr>
      <w:r>
        <w:rPr>
          <w:rFonts w:hint="eastAsia" w:ascii="仿宋" w:hAnsi="仿宋" w:eastAsia="仿宋" w:cs="仿宋"/>
          <w:sz w:val="28"/>
          <w:szCs w:val="22"/>
          <w:highlight w:val="none"/>
        </w:rPr>
        <w:br w:type="page"/>
      </w:r>
      <w:bookmarkStart w:id="244" w:name="_Toc30859_WPSOffice_Level2"/>
      <w:bookmarkStart w:id="245" w:name="_Toc24331_WPSOffice_Level2"/>
      <w:bookmarkStart w:id="246" w:name="_Toc256000025"/>
      <w:r>
        <w:rPr>
          <w:rFonts w:hint="eastAsia" w:ascii="仿宋" w:hAnsi="仿宋" w:eastAsia="仿宋" w:cs="仿宋"/>
          <w:color w:val="auto"/>
          <w:highlight w:val="none"/>
        </w:rPr>
        <w:t>报价明细表</w:t>
      </w:r>
      <w:bookmarkEnd w:id="244"/>
      <w:bookmarkEnd w:id="245"/>
    </w:p>
    <w:p w14:paraId="42A31A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8F945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                                                       单位：元</w:t>
      </w:r>
    </w:p>
    <w:tbl>
      <w:tblPr>
        <w:tblStyle w:val="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5"/>
        <w:gridCol w:w="2357"/>
        <w:gridCol w:w="1336"/>
        <w:gridCol w:w="1529"/>
      </w:tblGrid>
      <w:tr w14:paraId="3B4B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5E4F2C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02230DC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服务名称（服务费用）</w:t>
            </w:r>
          </w:p>
        </w:tc>
        <w:tc>
          <w:tcPr>
            <w:tcW w:w="2357" w:type="dxa"/>
            <w:tcBorders>
              <w:top w:val="single" w:color="auto" w:sz="4" w:space="0"/>
              <w:left w:val="single" w:color="auto" w:sz="4" w:space="0"/>
              <w:bottom w:val="single" w:color="auto" w:sz="4" w:space="0"/>
              <w:right w:val="single" w:color="auto" w:sz="4" w:space="0"/>
            </w:tcBorders>
            <w:noWrap w:val="0"/>
            <w:vAlign w:val="center"/>
          </w:tcPr>
          <w:p w14:paraId="42372C3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F4F0FA9">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投标价</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4C7D406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 价</w:t>
            </w:r>
          </w:p>
        </w:tc>
      </w:tr>
      <w:tr w14:paraId="5A22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7A3411B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69CF7470">
            <w:pPr>
              <w:spacing w:line="360" w:lineRule="auto"/>
              <w:jc w:val="both"/>
              <w:rPr>
                <w:rFonts w:hint="eastAsia" w:ascii="仿宋" w:hAnsi="仿宋" w:eastAsia="仿宋" w:cs="仿宋"/>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273A825C">
            <w:pPr>
              <w:spacing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2A28CDA">
            <w:pPr>
              <w:spacing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7147B7DB">
            <w:pPr>
              <w:spacing w:line="360" w:lineRule="auto"/>
              <w:jc w:val="center"/>
              <w:rPr>
                <w:rFonts w:hint="eastAsia" w:ascii="仿宋" w:hAnsi="仿宋" w:eastAsia="仿宋" w:cs="仿宋"/>
                <w:color w:val="auto"/>
                <w:sz w:val="24"/>
                <w:highlight w:val="none"/>
              </w:rPr>
            </w:pPr>
          </w:p>
        </w:tc>
      </w:tr>
      <w:tr w14:paraId="1054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28ED53A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2629672C">
            <w:pPr>
              <w:spacing w:line="360" w:lineRule="auto"/>
              <w:jc w:val="center"/>
              <w:rPr>
                <w:rFonts w:hint="eastAsia" w:ascii="仿宋" w:hAnsi="仿宋" w:eastAsia="仿宋" w:cs="仿宋"/>
                <w:color w:val="auto"/>
                <w:kern w:val="0"/>
                <w:sz w:val="21"/>
                <w:szCs w:val="21"/>
                <w:highlight w:val="none"/>
                <w:lang w:val="en-US" w:eastAsia="zh-CN"/>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32E26EE9">
            <w:pPr>
              <w:spacing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6910CE5">
            <w:pPr>
              <w:spacing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1029F6CE">
            <w:pPr>
              <w:spacing w:line="360" w:lineRule="auto"/>
              <w:jc w:val="center"/>
              <w:rPr>
                <w:rFonts w:hint="eastAsia" w:ascii="仿宋" w:hAnsi="仿宋" w:eastAsia="仿宋" w:cs="仿宋"/>
                <w:color w:val="auto"/>
                <w:sz w:val="24"/>
                <w:highlight w:val="none"/>
              </w:rPr>
            </w:pPr>
          </w:p>
        </w:tc>
      </w:tr>
      <w:tr w14:paraId="7EF3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6292E5B5">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54B36CBE">
            <w:pPr>
              <w:spacing w:line="360" w:lineRule="auto"/>
              <w:jc w:val="both"/>
              <w:rPr>
                <w:rFonts w:hint="eastAsia" w:ascii="仿宋" w:hAnsi="仿宋" w:eastAsia="仿宋" w:cs="仿宋"/>
                <w:color w:val="auto"/>
                <w:kern w:val="0"/>
                <w:sz w:val="21"/>
                <w:szCs w:val="21"/>
                <w:highlight w:val="none"/>
                <w:lang w:val="en-US" w:eastAsia="zh-CN"/>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56225B21">
            <w:pPr>
              <w:spacing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B5221AC">
            <w:pPr>
              <w:spacing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03381D04">
            <w:pPr>
              <w:spacing w:line="360" w:lineRule="auto"/>
              <w:jc w:val="center"/>
              <w:rPr>
                <w:rFonts w:hint="eastAsia" w:ascii="仿宋" w:hAnsi="仿宋" w:eastAsia="仿宋" w:cs="仿宋"/>
                <w:color w:val="auto"/>
                <w:sz w:val="24"/>
                <w:highlight w:val="none"/>
              </w:rPr>
            </w:pPr>
          </w:p>
        </w:tc>
      </w:tr>
      <w:tr w14:paraId="0D00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58DCD3E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48473FBD">
            <w:pPr>
              <w:spacing w:line="360" w:lineRule="auto"/>
              <w:jc w:val="both"/>
              <w:rPr>
                <w:rFonts w:hint="eastAsia" w:ascii="仿宋" w:hAnsi="仿宋" w:eastAsia="仿宋" w:cs="仿宋"/>
                <w:i w:val="0"/>
                <w:color w:val="auto"/>
                <w:kern w:val="0"/>
                <w:sz w:val="24"/>
                <w:szCs w:val="24"/>
                <w:highlight w:val="none"/>
                <w:u w:val="none"/>
                <w:lang w:val="en-US" w:eastAsia="zh-CN" w:bidi="ar"/>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6BE66FBE">
            <w:pPr>
              <w:spacing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3C3FEDB">
            <w:pPr>
              <w:spacing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2527E57A">
            <w:pPr>
              <w:spacing w:line="360" w:lineRule="auto"/>
              <w:jc w:val="center"/>
              <w:rPr>
                <w:rFonts w:hint="eastAsia" w:ascii="仿宋" w:hAnsi="仿宋" w:eastAsia="仿宋" w:cs="仿宋"/>
                <w:color w:val="auto"/>
                <w:sz w:val="24"/>
                <w:highlight w:val="none"/>
              </w:rPr>
            </w:pPr>
          </w:p>
        </w:tc>
      </w:tr>
      <w:tr w14:paraId="7FF1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7BE16446">
            <w:pPr>
              <w:spacing w:line="360" w:lineRule="auto"/>
              <w:jc w:val="center"/>
              <w:rPr>
                <w:rFonts w:hint="eastAsia" w:ascii="仿宋" w:hAnsi="仿宋" w:eastAsia="仿宋" w:cs="仿宋"/>
                <w:color w:val="auto"/>
                <w:sz w:val="24"/>
                <w:highlight w:val="none"/>
                <w:lang w:val="en-US" w:eastAsia="zh-CN"/>
              </w:rPr>
            </w:pPr>
          </w:p>
        </w:tc>
        <w:tc>
          <w:tcPr>
            <w:tcW w:w="3585" w:type="dxa"/>
            <w:tcBorders>
              <w:top w:val="single" w:color="auto" w:sz="4" w:space="0"/>
              <w:left w:val="single" w:color="auto" w:sz="4" w:space="0"/>
              <w:bottom w:val="single" w:color="auto" w:sz="4" w:space="0"/>
              <w:right w:val="single" w:color="auto" w:sz="4" w:space="0"/>
            </w:tcBorders>
            <w:noWrap w:val="0"/>
            <w:vAlign w:val="center"/>
          </w:tcPr>
          <w:p w14:paraId="069D52B1">
            <w:pPr>
              <w:spacing w:line="360" w:lineRule="auto"/>
              <w:jc w:val="both"/>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w:t>
            </w:r>
          </w:p>
        </w:tc>
        <w:tc>
          <w:tcPr>
            <w:tcW w:w="2357" w:type="dxa"/>
            <w:tcBorders>
              <w:top w:val="single" w:color="auto" w:sz="4" w:space="0"/>
              <w:left w:val="single" w:color="auto" w:sz="4" w:space="0"/>
              <w:bottom w:val="single" w:color="auto" w:sz="4" w:space="0"/>
              <w:right w:val="single" w:color="auto" w:sz="4" w:space="0"/>
            </w:tcBorders>
            <w:noWrap w:val="0"/>
            <w:vAlign w:val="center"/>
          </w:tcPr>
          <w:p w14:paraId="3DE0D91F">
            <w:pPr>
              <w:spacing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4C3E709">
            <w:pPr>
              <w:spacing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4D199656">
            <w:pPr>
              <w:spacing w:line="360" w:lineRule="auto"/>
              <w:jc w:val="center"/>
              <w:rPr>
                <w:rFonts w:hint="eastAsia" w:ascii="仿宋" w:hAnsi="仿宋" w:eastAsia="仿宋" w:cs="仿宋"/>
                <w:color w:val="auto"/>
                <w:sz w:val="24"/>
                <w:highlight w:val="none"/>
              </w:rPr>
            </w:pPr>
          </w:p>
        </w:tc>
      </w:tr>
      <w:tr w14:paraId="5A16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17811F1E">
            <w:pPr>
              <w:spacing w:line="360" w:lineRule="auto"/>
              <w:jc w:val="center"/>
              <w:rPr>
                <w:rFonts w:hint="eastAsia" w:ascii="仿宋" w:hAnsi="仿宋" w:eastAsia="仿宋" w:cs="仿宋"/>
                <w:color w:val="auto"/>
                <w:sz w:val="24"/>
                <w:highlight w:val="none"/>
              </w:rPr>
            </w:pPr>
          </w:p>
        </w:tc>
        <w:tc>
          <w:tcPr>
            <w:tcW w:w="3585" w:type="dxa"/>
            <w:tcBorders>
              <w:top w:val="single" w:color="auto" w:sz="4" w:space="0"/>
              <w:left w:val="single" w:color="auto" w:sz="4" w:space="0"/>
              <w:bottom w:val="single" w:color="auto" w:sz="4" w:space="0"/>
              <w:right w:val="single" w:color="auto" w:sz="4" w:space="0"/>
            </w:tcBorders>
            <w:noWrap w:val="0"/>
            <w:vAlign w:val="center"/>
          </w:tcPr>
          <w:p w14:paraId="4D74A9E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其他费用</w:t>
            </w:r>
          </w:p>
        </w:tc>
        <w:tc>
          <w:tcPr>
            <w:tcW w:w="2357" w:type="dxa"/>
            <w:tcBorders>
              <w:top w:val="single" w:color="auto" w:sz="4" w:space="0"/>
              <w:left w:val="single" w:color="auto" w:sz="4" w:space="0"/>
              <w:bottom w:val="single" w:color="auto" w:sz="4" w:space="0"/>
              <w:right w:val="single" w:color="auto" w:sz="4" w:space="0"/>
            </w:tcBorders>
            <w:noWrap w:val="0"/>
            <w:vAlign w:val="center"/>
          </w:tcPr>
          <w:p w14:paraId="6CE0F483">
            <w:pPr>
              <w:spacing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65EEB15">
            <w:pPr>
              <w:spacing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744F85D1">
            <w:pPr>
              <w:spacing w:line="360" w:lineRule="auto"/>
              <w:jc w:val="center"/>
              <w:rPr>
                <w:rFonts w:hint="eastAsia" w:ascii="仿宋" w:hAnsi="仿宋" w:eastAsia="仿宋" w:cs="仿宋"/>
                <w:color w:val="auto"/>
                <w:sz w:val="24"/>
                <w:highlight w:val="none"/>
              </w:rPr>
            </w:pPr>
          </w:p>
        </w:tc>
      </w:tr>
      <w:tr w14:paraId="180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041F4A15">
            <w:pPr>
              <w:spacing w:line="360" w:lineRule="auto"/>
              <w:jc w:val="center"/>
              <w:rPr>
                <w:rFonts w:hint="eastAsia" w:ascii="仿宋" w:hAnsi="仿宋" w:eastAsia="仿宋" w:cs="仿宋"/>
                <w:color w:val="auto"/>
                <w:sz w:val="24"/>
                <w:highlight w:val="none"/>
              </w:rPr>
            </w:pPr>
          </w:p>
        </w:tc>
        <w:tc>
          <w:tcPr>
            <w:tcW w:w="3585" w:type="dxa"/>
            <w:tcBorders>
              <w:top w:val="single" w:color="auto" w:sz="4" w:space="0"/>
              <w:left w:val="single" w:color="auto" w:sz="4" w:space="0"/>
              <w:bottom w:val="single" w:color="auto" w:sz="4" w:space="0"/>
              <w:right w:val="single" w:color="auto" w:sz="4" w:space="0"/>
            </w:tcBorders>
            <w:noWrap w:val="0"/>
            <w:vAlign w:val="center"/>
          </w:tcPr>
          <w:p w14:paraId="6BBC2357">
            <w:pPr>
              <w:spacing w:line="360" w:lineRule="auto"/>
              <w:jc w:val="center"/>
              <w:rPr>
                <w:rFonts w:hint="eastAsia" w:ascii="仿宋" w:hAnsi="仿宋" w:eastAsia="仿宋" w:cs="仿宋"/>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3FCA1158">
            <w:pPr>
              <w:spacing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2ED9B7B">
            <w:pPr>
              <w:spacing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32773BFD">
            <w:pPr>
              <w:spacing w:line="360" w:lineRule="auto"/>
              <w:jc w:val="center"/>
              <w:rPr>
                <w:rFonts w:hint="eastAsia" w:ascii="仿宋" w:hAnsi="仿宋" w:eastAsia="仿宋" w:cs="仿宋"/>
                <w:color w:val="auto"/>
                <w:sz w:val="24"/>
                <w:highlight w:val="none"/>
              </w:rPr>
            </w:pPr>
          </w:p>
        </w:tc>
      </w:tr>
      <w:tr w14:paraId="139E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66AA97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总计</w:t>
            </w:r>
          </w:p>
        </w:tc>
        <w:tc>
          <w:tcPr>
            <w:tcW w:w="8807" w:type="dxa"/>
            <w:gridSpan w:val="4"/>
            <w:tcBorders>
              <w:top w:val="single" w:color="auto" w:sz="4" w:space="0"/>
              <w:left w:val="single" w:color="auto" w:sz="4" w:space="0"/>
              <w:bottom w:val="single" w:color="auto" w:sz="4" w:space="0"/>
              <w:right w:val="single" w:color="auto" w:sz="4" w:space="0"/>
            </w:tcBorders>
            <w:noWrap w:val="0"/>
            <w:vAlign w:val="center"/>
          </w:tcPr>
          <w:p w14:paraId="59002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lang w:eastAsia="zh-CN"/>
              </w:rPr>
              <w:t>：</w:t>
            </w:r>
          </w:p>
          <w:p w14:paraId="40F4DC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33EFE58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bCs/>
                <w:color w:val="auto"/>
                <w:kern w:val="0"/>
                <w:sz w:val="24"/>
                <w:highlight w:val="none"/>
              </w:rPr>
              <w:t>服务期</w:t>
            </w:r>
            <w:r>
              <w:rPr>
                <w:rFonts w:hint="eastAsia" w:ascii="仿宋" w:hAnsi="仿宋" w:eastAsia="仿宋" w:cs="仿宋"/>
                <w:bCs/>
                <w:color w:val="auto"/>
                <w:kern w:val="0"/>
                <w:sz w:val="24"/>
                <w:highlight w:val="none"/>
                <w:lang w:val="en-US" w:eastAsia="zh-CN"/>
              </w:rPr>
              <w:t>限</w:t>
            </w:r>
            <w:r>
              <w:rPr>
                <w:rFonts w:hint="eastAsia" w:ascii="仿宋" w:hAnsi="仿宋" w:eastAsia="仿宋" w:cs="仿宋"/>
                <w:color w:val="auto"/>
                <w:sz w:val="24"/>
                <w:highlight w:val="none"/>
                <w:lang w:val="en-US" w:eastAsia="zh-CN"/>
              </w:rPr>
              <w:t>：</w:t>
            </w:r>
          </w:p>
        </w:tc>
      </w:tr>
    </w:tbl>
    <w:p w14:paraId="247C697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注：上述报价包含一切由供方承担的费用；</w:t>
      </w:r>
    </w:p>
    <w:p w14:paraId="4F42BA06">
      <w:pPr>
        <w:spacing w:line="360" w:lineRule="auto"/>
        <w:rPr>
          <w:rFonts w:hint="eastAsia" w:ascii="仿宋" w:hAnsi="仿宋" w:eastAsia="仿宋" w:cs="仿宋"/>
          <w:color w:val="auto"/>
          <w:sz w:val="24"/>
          <w:highlight w:val="none"/>
        </w:rPr>
      </w:pPr>
    </w:p>
    <w:p w14:paraId="4ACC0302">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377B7827">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3CA5FB3F">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1644708C">
      <w:pPr>
        <w:pStyle w:val="215"/>
        <w:rPr>
          <w:rFonts w:hint="eastAsia" w:ascii="仿宋" w:hAnsi="仿宋" w:eastAsia="仿宋" w:cs="仿宋"/>
          <w:highlight w:val="none"/>
          <w:lang w:eastAsia="zh-CN"/>
        </w:rPr>
        <w:sectPr>
          <w:pgSz w:w="11905" w:h="16838"/>
          <w:pgMar w:top="1440" w:right="1080" w:bottom="1440" w:left="1080" w:header="567" w:footer="454" w:gutter="0"/>
          <w:pgNumType w:fmt="decimal"/>
          <w:cols w:space="720" w:num="1"/>
          <w:rtlGutter w:val="0"/>
          <w:docGrid w:type="lines" w:linePitch="317" w:charSpace="0"/>
        </w:sectPr>
      </w:pPr>
    </w:p>
    <w:p w14:paraId="52418265">
      <w:pPr>
        <w:pStyle w:val="187"/>
        <w:jc w:val="center"/>
        <w:outlineLvl w:val="9"/>
        <w:rPr>
          <w:rFonts w:hint="eastAsia" w:ascii="仿宋" w:hAnsi="仿宋" w:eastAsia="仿宋" w:cs="仿宋"/>
          <w:sz w:val="28"/>
          <w:highlight w:val="none"/>
        </w:rPr>
      </w:pPr>
    </w:p>
    <w:p w14:paraId="3EDBE794">
      <w:pPr>
        <w:pStyle w:val="27"/>
        <w:jc w:val="center"/>
        <w:outlineLvl w:val="9"/>
        <w:rPr>
          <w:rFonts w:hint="eastAsia" w:ascii="仿宋" w:hAnsi="仿宋" w:eastAsia="仿宋" w:cs="仿宋"/>
          <w:sz w:val="28"/>
          <w:highlight w:val="none"/>
        </w:rPr>
      </w:pPr>
    </w:p>
    <w:p w14:paraId="079FB57B">
      <w:pPr>
        <w:pStyle w:val="27"/>
        <w:jc w:val="center"/>
        <w:outlineLvl w:val="9"/>
        <w:rPr>
          <w:rFonts w:hint="eastAsia" w:ascii="仿宋" w:hAnsi="仿宋" w:eastAsia="仿宋" w:cs="仿宋"/>
          <w:sz w:val="28"/>
          <w:highlight w:val="none"/>
        </w:rPr>
      </w:pPr>
    </w:p>
    <w:p w14:paraId="54BEDF25">
      <w:pPr>
        <w:pStyle w:val="27"/>
        <w:jc w:val="center"/>
        <w:outlineLvl w:val="9"/>
        <w:rPr>
          <w:rFonts w:hint="eastAsia" w:ascii="仿宋" w:hAnsi="仿宋" w:eastAsia="仿宋" w:cs="仿宋"/>
          <w:sz w:val="28"/>
          <w:highlight w:val="none"/>
        </w:rPr>
      </w:pPr>
    </w:p>
    <w:p w14:paraId="033E10F0">
      <w:pPr>
        <w:pStyle w:val="27"/>
        <w:jc w:val="center"/>
        <w:outlineLvl w:val="9"/>
        <w:rPr>
          <w:rFonts w:hint="eastAsia" w:ascii="仿宋" w:hAnsi="仿宋" w:eastAsia="仿宋" w:cs="仿宋"/>
          <w:sz w:val="28"/>
          <w:highlight w:val="none"/>
        </w:rPr>
      </w:pPr>
    </w:p>
    <w:p w14:paraId="0BFD32BA">
      <w:pPr>
        <w:pStyle w:val="27"/>
        <w:jc w:val="center"/>
        <w:outlineLvl w:val="9"/>
        <w:rPr>
          <w:rFonts w:hint="eastAsia" w:ascii="仿宋" w:hAnsi="仿宋" w:eastAsia="仿宋" w:cs="仿宋"/>
          <w:sz w:val="28"/>
          <w:highlight w:val="none"/>
        </w:rPr>
      </w:pPr>
    </w:p>
    <w:p w14:paraId="7B7ED570">
      <w:pPr>
        <w:pStyle w:val="27"/>
        <w:jc w:val="center"/>
        <w:outlineLvl w:val="9"/>
        <w:rPr>
          <w:rFonts w:hint="eastAsia" w:ascii="仿宋" w:hAnsi="仿宋" w:eastAsia="仿宋" w:cs="仿宋"/>
          <w:sz w:val="28"/>
          <w:highlight w:val="none"/>
        </w:rPr>
      </w:pPr>
    </w:p>
    <w:p w14:paraId="5E589316">
      <w:pPr>
        <w:pStyle w:val="27"/>
        <w:jc w:val="center"/>
        <w:outlineLvl w:val="9"/>
        <w:rPr>
          <w:rFonts w:hint="eastAsia" w:ascii="仿宋" w:hAnsi="仿宋" w:eastAsia="仿宋" w:cs="仿宋"/>
          <w:sz w:val="28"/>
          <w:highlight w:val="none"/>
        </w:rPr>
      </w:pPr>
    </w:p>
    <w:p w14:paraId="35938F5F">
      <w:pPr>
        <w:pStyle w:val="27"/>
        <w:jc w:val="center"/>
        <w:outlineLvl w:val="9"/>
        <w:rPr>
          <w:rFonts w:hint="eastAsia" w:ascii="仿宋" w:hAnsi="仿宋" w:eastAsia="仿宋" w:cs="仿宋"/>
          <w:sz w:val="28"/>
          <w:highlight w:val="none"/>
        </w:rPr>
      </w:pPr>
    </w:p>
    <w:p w14:paraId="6C5D4C5B">
      <w:pPr>
        <w:pStyle w:val="27"/>
        <w:jc w:val="center"/>
        <w:outlineLvl w:val="9"/>
        <w:rPr>
          <w:rFonts w:hint="eastAsia" w:ascii="仿宋" w:hAnsi="仿宋" w:eastAsia="仿宋" w:cs="仿宋"/>
          <w:sz w:val="28"/>
          <w:highlight w:val="none"/>
        </w:rPr>
      </w:pPr>
    </w:p>
    <w:p w14:paraId="7FA3D4C0">
      <w:pPr>
        <w:pStyle w:val="29"/>
        <w:ind w:left="63" w:right="63"/>
        <w:outlineLvl w:val="9"/>
        <w:rPr>
          <w:rFonts w:hint="eastAsia" w:ascii="仿宋" w:hAnsi="仿宋" w:eastAsia="仿宋" w:cs="仿宋"/>
          <w:highlight w:val="none"/>
        </w:rPr>
      </w:pPr>
    </w:p>
    <w:p w14:paraId="162D5E89">
      <w:pPr>
        <w:pStyle w:val="29"/>
        <w:ind w:left="63" w:right="63"/>
        <w:outlineLvl w:val="9"/>
        <w:rPr>
          <w:rFonts w:hint="eastAsia" w:ascii="仿宋" w:hAnsi="仿宋" w:eastAsia="仿宋" w:cs="仿宋"/>
          <w:highlight w:val="none"/>
        </w:rPr>
      </w:pPr>
    </w:p>
    <w:p w14:paraId="72FB6752">
      <w:pPr>
        <w:pStyle w:val="29"/>
        <w:ind w:left="63" w:right="63"/>
        <w:outlineLvl w:val="9"/>
        <w:rPr>
          <w:rFonts w:hint="eastAsia" w:ascii="仿宋" w:hAnsi="仿宋" w:eastAsia="仿宋" w:cs="仿宋"/>
          <w:highlight w:val="none"/>
        </w:rPr>
      </w:pPr>
    </w:p>
    <w:p w14:paraId="27D26D38">
      <w:pPr>
        <w:pStyle w:val="29"/>
        <w:ind w:left="63" w:right="63"/>
        <w:outlineLvl w:val="9"/>
        <w:rPr>
          <w:rFonts w:hint="eastAsia" w:ascii="仿宋" w:hAnsi="仿宋" w:eastAsia="仿宋" w:cs="仿宋"/>
          <w:highlight w:val="none"/>
        </w:rPr>
      </w:pPr>
    </w:p>
    <w:p w14:paraId="1D0C1F20">
      <w:pPr>
        <w:pStyle w:val="29"/>
        <w:ind w:left="63" w:right="63"/>
        <w:outlineLvl w:val="9"/>
        <w:rPr>
          <w:rFonts w:hint="eastAsia" w:ascii="仿宋" w:hAnsi="仿宋" w:eastAsia="仿宋" w:cs="仿宋"/>
          <w:highlight w:val="none"/>
        </w:rPr>
      </w:pPr>
    </w:p>
    <w:p w14:paraId="5DDF8A37">
      <w:pPr>
        <w:pStyle w:val="27"/>
        <w:jc w:val="center"/>
        <w:outlineLvl w:val="9"/>
        <w:rPr>
          <w:rFonts w:hint="eastAsia" w:ascii="仿宋" w:hAnsi="仿宋" w:eastAsia="仿宋" w:cs="仿宋"/>
          <w:sz w:val="36"/>
          <w:szCs w:val="36"/>
          <w:highlight w:val="none"/>
        </w:rPr>
      </w:pPr>
    </w:p>
    <w:p w14:paraId="1FAF0582">
      <w:pPr>
        <w:pStyle w:val="27"/>
        <w:jc w:val="center"/>
        <w:outlineLvl w:val="1"/>
        <w:rPr>
          <w:rFonts w:hint="eastAsia" w:ascii="仿宋" w:hAnsi="仿宋" w:eastAsia="仿宋" w:cs="仿宋"/>
          <w:kern w:val="0"/>
          <w:sz w:val="36"/>
          <w:szCs w:val="36"/>
          <w:highlight w:val="none"/>
        </w:rPr>
      </w:pPr>
      <w:bookmarkStart w:id="247" w:name="_Toc27256"/>
      <w:r>
        <w:rPr>
          <w:rFonts w:hint="eastAsia" w:ascii="仿宋" w:hAnsi="仿宋" w:eastAsia="仿宋" w:cs="仿宋"/>
          <w:kern w:val="0"/>
          <w:sz w:val="36"/>
          <w:szCs w:val="36"/>
          <w:highlight w:val="none"/>
        </w:rPr>
        <w:t>三、商务技术</w:t>
      </w:r>
      <w:bookmarkEnd w:id="246"/>
      <w:r>
        <w:rPr>
          <w:rFonts w:hint="eastAsia" w:ascii="仿宋" w:hAnsi="仿宋" w:eastAsia="仿宋" w:cs="仿宋"/>
          <w:kern w:val="0"/>
          <w:sz w:val="36"/>
          <w:szCs w:val="36"/>
          <w:highlight w:val="none"/>
        </w:rPr>
        <w:t>响应文件</w:t>
      </w:r>
      <w:bookmarkEnd w:id="247"/>
    </w:p>
    <w:p w14:paraId="099B72B1">
      <w:pPr>
        <w:pStyle w:val="179"/>
        <w:spacing w:line="360" w:lineRule="auto"/>
        <w:jc w:val="center"/>
        <w:outlineLvl w:val="9"/>
        <w:rPr>
          <w:rFonts w:hint="eastAsia" w:ascii="仿宋" w:hAnsi="仿宋" w:eastAsia="仿宋" w:cs="仿宋"/>
          <w:b/>
          <w:bCs/>
          <w:color w:val="000000"/>
          <w:highlight w:val="none"/>
        </w:rPr>
      </w:pPr>
      <w:r>
        <w:rPr>
          <w:rFonts w:hint="eastAsia" w:ascii="仿宋" w:hAnsi="仿宋" w:eastAsia="仿宋" w:cs="仿宋"/>
          <w:b/>
          <w:sz w:val="48"/>
          <w:szCs w:val="48"/>
          <w:highlight w:val="none"/>
        </w:rPr>
        <w:br w:type="page"/>
      </w:r>
      <w:r>
        <w:rPr>
          <w:rFonts w:hint="eastAsia" w:ascii="仿宋" w:hAnsi="仿宋" w:eastAsia="仿宋" w:cs="仿宋"/>
          <w:b/>
          <w:bCs/>
          <w:color w:val="000000"/>
          <w:sz w:val="32"/>
          <w:szCs w:val="32"/>
          <w:highlight w:val="none"/>
        </w:rPr>
        <w:t>目 录</w:t>
      </w:r>
    </w:p>
    <w:p w14:paraId="2104B10E">
      <w:pPr>
        <w:pStyle w:val="17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highlight w:val="none"/>
        </w:rPr>
      </w:pPr>
      <w:bookmarkStart w:id="248" w:name="_Toc256000026"/>
      <w:bookmarkStart w:id="249" w:name="_Toc27509"/>
      <w:bookmarkStart w:id="250" w:name="_Toc31293"/>
      <w:r>
        <w:rPr>
          <w:rFonts w:hint="eastAsia" w:ascii="仿宋" w:hAnsi="仿宋" w:eastAsia="仿宋" w:cs="仿宋"/>
          <w:color w:val="000000"/>
          <w:highlight w:val="none"/>
        </w:rPr>
        <w:t>（一）竞争性磋商函</w:t>
      </w:r>
    </w:p>
    <w:p w14:paraId="4CC9D171">
      <w:pPr>
        <w:pStyle w:val="17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highlight w:val="none"/>
        </w:rPr>
      </w:pPr>
      <w:r>
        <w:rPr>
          <w:rFonts w:hint="eastAsia" w:ascii="仿宋" w:hAnsi="仿宋" w:eastAsia="仿宋" w:cs="仿宋"/>
          <w:color w:val="000000"/>
          <w:highlight w:val="none"/>
        </w:rPr>
        <w:t>（二）供应商基本情况表</w:t>
      </w:r>
    </w:p>
    <w:p w14:paraId="3609D1C0">
      <w:pPr>
        <w:pStyle w:val="17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highlight w:val="none"/>
        </w:rPr>
      </w:pPr>
      <w:r>
        <w:rPr>
          <w:rFonts w:hint="eastAsia" w:ascii="仿宋" w:hAnsi="仿宋" w:eastAsia="仿宋" w:cs="仿宋"/>
          <w:color w:val="000000"/>
          <w:highlight w:val="none"/>
        </w:rPr>
        <w:t>（三）供应商类似项目业绩表</w:t>
      </w:r>
    </w:p>
    <w:p w14:paraId="63FAC1B0">
      <w:pPr>
        <w:pStyle w:val="17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highlight w:val="none"/>
        </w:rPr>
      </w:pPr>
      <w:r>
        <w:rPr>
          <w:rFonts w:hint="eastAsia" w:ascii="仿宋" w:hAnsi="仿宋" w:eastAsia="仿宋" w:cs="仿宋"/>
          <w:color w:val="000000"/>
          <w:highlight w:val="none"/>
        </w:rPr>
        <w:t>（四）项目团队人员</w:t>
      </w:r>
    </w:p>
    <w:p w14:paraId="1DA999A0">
      <w:pPr>
        <w:pStyle w:val="179"/>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highlight w:val="none"/>
        </w:rPr>
      </w:pPr>
      <w:r>
        <w:rPr>
          <w:rFonts w:hint="eastAsia" w:ascii="仿宋" w:hAnsi="仿宋" w:eastAsia="仿宋" w:cs="仿宋"/>
          <w:color w:val="000000"/>
          <w:highlight w:val="none"/>
        </w:rPr>
        <w:t>（五）商务条款偏离说明表</w:t>
      </w:r>
    </w:p>
    <w:p w14:paraId="0878C950">
      <w:pPr>
        <w:pStyle w:val="158"/>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（六）技术条款偏离说明表</w:t>
      </w:r>
    </w:p>
    <w:p w14:paraId="060DF75F">
      <w:pPr>
        <w:pStyle w:val="158"/>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（七）</w:t>
      </w:r>
      <w:r>
        <w:rPr>
          <w:rFonts w:hint="eastAsia" w:ascii="仿宋" w:hAnsi="仿宋" w:eastAsia="仿宋" w:cs="仿宋"/>
          <w:color w:val="000000"/>
          <w:sz w:val="24"/>
          <w:szCs w:val="24"/>
          <w:highlight w:val="none"/>
          <w:lang w:val="en-US" w:eastAsia="zh-CN"/>
        </w:rPr>
        <w:t>项目理解</w:t>
      </w:r>
    </w:p>
    <w:p w14:paraId="71BB3BF5">
      <w:pPr>
        <w:pStyle w:val="158"/>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（八）</w:t>
      </w:r>
      <w:r>
        <w:rPr>
          <w:rFonts w:hint="eastAsia" w:ascii="仿宋" w:hAnsi="仿宋" w:eastAsia="仿宋" w:cs="仿宋"/>
          <w:color w:val="000000"/>
          <w:sz w:val="24"/>
          <w:szCs w:val="24"/>
          <w:highlight w:val="none"/>
          <w:lang w:val="en-US" w:eastAsia="zh-CN"/>
        </w:rPr>
        <w:t>实施方案</w:t>
      </w:r>
    </w:p>
    <w:p w14:paraId="71BDAB81">
      <w:pPr>
        <w:pStyle w:val="158"/>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（九）</w:t>
      </w:r>
      <w:r>
        <w:rPr>
          <w:rFonts w:hint="eastAsia" w:ascii="仿宋" w:hAnsi="仿宋" w:eastAsia="仿宋" w:cs="仿宋"/>
          <w:color w:val="000000"/>
          <w:sz w:val="24"/>
          <w:szCs w:val="24"/>
          <w:highlight w:val="none"/>
          <w:lang w:val="en-US" w:eastAsia="zh-CN"/>
        </w:rPr>
        <w:t>培训资源</w:t>
      </w:r>
    </w:p>
    <w:p w14:paraId="2AA04DE8">
      <w:pPr>
        <w:pStyle w:val="158"/>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应急处置方案</w:t>
      </w:r>
    </w:p>
    <w:p w14:paraId="7F1E1FDD">
      <w:pPr>
        <w:pStyle w:val="158"/>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（十一）其他声明及文件资料</w:t>
      </w:r>
    </w:p>
    <w:p w14:paraId="0F3415B3">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12148291">
      <w:pPr>
        <w:pStyle w:val="158"/>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hint="eastAsia" w:ascii="仿宋" w:hAnsi="仿宋" w:eastAsia="仿宋" w:cs="仿宋"/>
          <w:b/>
          <w:bCs/>
          <w:sz w:val="30"/>
          <w:szCs w:val="30"/>
          <w:highlight w:val="none"/>
        </w:rPr>
      </w:pPr>
      <w:bookmarkStart w:id="251" w:name="_Toc29931"/>
      <w:r>
        <w:rPr>
          <w:rFonts w:hint="eastAsia" w:ascii="仿宋" w:hAnsi="仿宋" w:eastAsia="仿宋" w:cs="仿宋"/>
          <w:b/>
          <w:bCs/>
          <w:sz w:val="30"/>
          <w:szCs w:val="30"/>
          <w:highlight w:val="none"/>
        </w:rPr>
        <w:t>（一）竞争性磋商函</w:t>
      </w:r>
      <w:bookmarkEnd w:id="248"/>
      <w:bookmarkEnd w:id="249"/>
      <w:bookmarkEnd w:id="250"/>
      <w:bookmarkEnd w:id="251"/>
    </w:p>
    <w:p w14:paraId="104981AE">
      <w:pPr>
        <w:pStyle w:val="150"/>
        <w:adjustRightInd w:val="0"/>
        <w:snapToGrid w:val="0"/>
        <w:spacing w:line="400" w:lineRule="exact"/>
        <w:jc w:val="left"/>
        <w:outlineLvl w:val="9"/>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u w:val="single"/>
        </w:rPr>
        <w:t xml:space="preserve">          </w:t>
      </w:r>
      <w:r>
        <w:rPr>
          <w:rFonts w:hint="eastAsia" w:ascii="仿宋" w:hAnsi="仿宋" w:eastAsia="仿宋" w:cs="仿宋"/>
          <w:bCs/>
          <w:sz w:val="24"/>
          <w:szCs w:val="24"/>
          <w:highlight w:val="none"/>
          <w:u w:val="single"/>
        </w:rPr>
        <w:t>（代理机构名称）</w:t>
      </w:r>
      <w:r>
        <w:rPr>
          <w:rFonts w:hint="eastAsia" w:ascii="仿宋" w:hAnsi="仿宋" w:eastAsia="仿宋" w:cs="仿宋"/>
          <w:bCs/>
          <w:sz w:val="24"/>
          <w:szCs w:val="24"/>
          <w:highlight w:val="none"/>
        </w:rPr>
        <w:t>：</w:t>
      </w:r>
    </w:p>
    <w:p w14:paraId="795791A8">
      <w:pPr>
        <w:pStyle w:val="150"/>
        <w:autoSpaceDE w:val="0"/>
        <w:autoSpaceDN w:val="0"/>
        <w:adjustRightInd w:val="0"/>
        <w:spacing w:line="400" w:lineRule="exact"/>
        <w:ind w:right="2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依据贵方</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u w:val="single"/>
          <w:lang w:val="en-US" w:eastAsia="zh-CN"/>
        </w:rPr>
        <w:t xml:space="preserve">     </w:t>
      </w:r>
      <w:r>
        <w:rPr>
          <w:rFonts w:hint="eastAsia" w:ascii="仿宋" w:hAnsi="仿宋" w:eastAsia="仿宋" w:cs="仿宋"/>
          <w:bCs/>
          <w:sz w:val="24"/>
          <w:szCs w:val="24"/>
          <w:highlight w:val="none"/>
          <w:u w:val="single"/>
          <w:lang w:eastAsia="zh-CN"/>
        </w:rPr>
        <w:t>（</w:t>
      </w:r>
      <w:r>
        <w:rPr>
          <w:rFonts w:hint="eastAsia" w:ascii="仿宋" w:hAnsi="仿宋" w:eastAsia="仿宋" w:cs="仿宋"/>
          <w:bCs/>
          <w:sz w:val="24"/>
          <w:szCs w:val="24"/>
          <w:highlight w:val="none"/>
          <w:u w:val="single"/>
        </w:rPr>
        <w:t>采购项目名称/采购项目编号</w:t>
      </w:r>
      <w:r>
        <w:rPr>
          <w:rFonts w:hint="eastAsia" w:ascii="仿宋" w:hAnsi="仿宋" w:eastAsia="仿宋" w:cs="仿宋"/>
          <w:bCs/>
          <w:sz w:val="24"/>
          <w:szCs w:val="24"/>
          <w:highlight w:val="none"/>
          <w:u w:val="singl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kern w:val="0"/>
          <w:sz w:val="24"/>
          <w:szCs w:val="24"/>
          <w:highlight w:val="none"/>
        </w:rPr>
        <w:t>项目招标采购服务的磋商邀请，我方代表</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sz w:val="24"/>
          <w:szCs w:val="24"/>
          <w:highlight w:val="none"/>
          <w:u w:val="single"/>
        </w:rPr>
        <w:t>（姓名、职务）</w:t>
      </w:r>
      <w:r>
        <w:rPr>
          <w:rFonts w:hint="eastAsia" w:ascii="仿宋" w:hAnsi="仿宋" w:eastAsia="仿宋" w:cs="仿宋"/>
          <w:bCs/>
          <w:kern w:val="0"/>
          <w:sz w:val="24"/>
          <w:szCs w:val="24"/>
          <w:highlight w:val="none"/>
        </w:rPr>
        <w:t>经正式授权并代表供应商</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sz w:val="24"/>
          <w:szCs w:val="24"/>
          <w:highlight w:val="none"/>
          <w:u w:val="single"/>
        </w:rPr>
        <w:t>（供应商名称、地址）</w:t>
      </w:r>
      <w:r>
        <w:rPr>
          <w:rFonts w:hint="eastAsia" w:ascii="仿宋" w:hAnsi="仿宋" w:eastAsia="仿宋" w:cs="仿宋"/>
          <w:bCs/>
          <w:kern w:val="0"/>
          <w:sz w:val="24"/>
          <w:szCs w:val="24"/>
          <w:highlight w:val="none"/>
        </w:rPr>
        <w:t>提交政采云平台电子磋商响应文件一份。</w:t>
      </w:r>
    </w:p>
    <w:p w14:paraId="6DA0C5AE">
      <w:pPr>
        <w:pStyle w:val="150"/>
        <w:autoSpaceDE w:val="0"/>
        <w:autoSpaceDN w:val="0"/>
        <w:adjustRightInd w:val="0"/>
        <w:spacing w:line="288" w:lineRule="auto"/>
        <w:ind w:right="24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r>
        <w:rPr>
          <w:rFonts w:hint="eastAsia" w:ascii="仿宋" w:hAnsi="仿宋" w:eastAsia="仿宋" w:cs="仿宋"/>
          <w:bCs/>
          <w:kern w:val="0"/>
          <w:sz w:val="24"/>
          <w:szCs w:val="24"/>
          <w:highlight w:val="none"/>
          <w:lang w:val="en-US" w:eastAsia="zh-CN"/>
        </w:rPr>
        <w:t>价格响应文件</w:t>
      </w:r>
      <w:r>
        <w:rPr>
          <w:rFonts w:hint="eastAsia" w:ascii="仿宋" w:hAnsi="仿宋" w:eastAsia="仿宋" w:cs="仿宋"/>
          <w:bCs/>
          <w:kern w:val="0"/>
          <w:sz w:val="24"/>
          <w:szCs w:val="24"/>
          <w:highlight w:val="none"/>
        </w:rPr>
        <w:t>；</w:t>
      </w:r>
    </w:p>
    <w:p w14:paraId="0E5AF7C6">
      <w:pPr>
        <w:pStyle w:val="150"/>
        <w:autoSpaceDE w:val="0"/>
        <w:autoSpaceDN w:val="0"/>
        <w:adjustRightInd w:val="0"/>
        <w:spacing w:line="288" w:lineRule="auto"/>
        <w:ind w:right="24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r>
        <w:rPr>
          <w:rFonts w:hint="eastAsia" w:ascii="仿宋" w:hAnsi="仿宋" w:eastAsia="仿宋" w:cs="仿宋"/>
          <w:bCs/>
          <w:kern w:val="0"/>
          <w:sz w:val="24"/>
          <w:szCs w:val="24"/>
          <w:highlight w:val="none"/>
          <w:lang w:val="en-US" w:eastAsia="zh-CN"/>
        </w:rPr>
        <w:t>价格响应文件</w:t>
      </w:r>
      <w:r>
        <w:rPr>
          <w:rFonts w:hint="eastAsia" w:ascii="仿宋" w:hAnsi="仿宋" w:eastAsia="仿宋" w:cs="仿宋"/>
          <w:bCs/>
          <w:kern w:val="0"/>
          <w:sz w:val="24"/>
          <w:szCs w:val="24"/>
          <w:highlight w:val="none"/>
        </w:rPr>
        <w:t>明细表；</w:t>
      </w:r>
    </w:p>
    <w:p w14:paraId="69440C59">
      <w:pPr>
        <w:pStyle w:val="150"/>
        <w:autoSpaceDE w:val="0"/>
        <w:autoSpaceDN w:val="0"/>
        <w:adjustRightInd w:val="0"/>
        <w:spacing w:line="288" w:lineRule="auto"/>
        <w:ind w:right="24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3、按磋商文件供应商须知和技术规格要求提供的有关文件；</w:t>
      </w:r>
    </w:p>
    <w:p w14:paraId="3B945FA6">
      <w:pPr>
        <w:pStyle w:val="150"/>
        <w:autoSpaceDE w:val="0"/>
        <w:autoSpaceDN w:val="0"/>
        <w:adjustRightInd w:val="0"/>
        <w:spacing w:line="288" w:lineRule="auto"/>
        <w:ind w:right="24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4、资格证明文件；</w:t>
      </w:r>
    </w:p>
    <w:p w14:paraId="63BC71D5">
      <w:pPr>
        <w:pStyle w:val="150"/>
        <w:autoSpaceDE w:val="0"/>
        <w:autoSpaceDN w:val="0"/>
        <w:adjustRightInd w:val="0"/>
        <w:spacing w:line="288" w:lineRule="auto"/>
        <w:ind w:right="32"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5、按磋商文件的规定递交的磋商保证金。</w:t>
      </w:r>
    </w:p>
    <w:p w14:paraId="2C900335">
      <w:pPr>
        <w:pStyle w:val="150"/>
        <w:autoSpaceDE w:val="0"/>
        <w:autoSpaceDN w:val="0"/>
        <w:adjustRightInd w:val="0"/>
        <w:spacing w:line="288" w:lineRule="auto"/>
        <w:ind w:right="246"/>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在此，我方宣布同意如下：</w:t>
      </w:r>
    </w:p>
    <w:p w14:paraId="7EC25927">
      <w:pPr>
        <w:pStyle w:val="150"/>
        <w:autoSpaceDE w:val="0"/>
        <w:autoSpaceDN w:val="0"/>
        <w:adjustRightInd w:val="0"/>
        <w:spacing w:line="288" w:lineRule="auto"/>
        <w:ind w:right="24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1、所附《</w:t>
      </w:r>
      <w:r>
        <w:rPr>
          <w:rFonts w:hint="eastAsia" w:ascii="仿宋" w:hAnsi="仿宋" w:eastAsia="仿宋" w:cs="仿宋"/>
          <w:bCs/>
          <w:kern w:val="0"/>
          <w:sz w:val="24"/>
          <w:szCs w:val="24"/>
          <w:highlight w:val="none"/>
          <w:lang w:val="en-US" w:eastAsia="zh-CN"/>
        </w:rPr>
        <w:t>开标一览表</w:t>
      </w:r>
      <w:r>
        <w:rPr>
          <w:rFonts w:hint="eastAsia" w:ascii="仿宋" w:hAnsi="仿宋" w:eastAsia="仿宋" w:cs="仿宋"/>
          <w:bCs/>
          <w:kern w:val="0"/>
          <w:sz w:val="24"/>
          <w:szCs w:val="24"/>
          <w:highlight w:val="none"/>
        </w:rPr>
        <w:t>》中规定的应提交和交付的投标总价为</w:t>
      </w:r>
      <w:r>
        <w:rPr>
          <w:rFonts w:hint="eastAsia" w:ascii="仿宋" w:hAnsi="仿宋" w:eastAsia="仿宋" w:cs="仿宋"/>
          <w:bCs/>
          <w:kern w:val="0"/>
          <w:sz w:val="24"/>
          <w:szCs w:val="24"/>
          <w:highlight w:val="none"/>
          <w:u w:val="single"/>
        </w:rPr>
        <w:t xml:space="preserve">          （注明币种，并用文字和数字表示的投标总价）</w:t>
      </w:r>
      <w:r>
        <w:rPr>
          <w:rFonts w:hint="eastAsia" w:ascii="仿宋" w:hAnsi="仿宋" w:eastAsia="仿宋" w:cs="仿宋"/>
          <w:bCs/>
          <w:kern w:val="0"/>
          <w:sz w:val="24"/>
          <w:szCs w:val="24"/>
          <w:highlight w:val="none"/>
        </w:rPr>
        <w:t>。</w:t>
      </w:r>
    </w:p>
    <w:p w14:paraId="0781368C">
      <w:pPr>
        <w:pStyle w:val="150"/>
        <w:autoSpaceDE w:val="0"/>
        <w:autoSpaceDN w:val="0"/>
        <w:adjustRightInd w:val="0"/>
        <w:spacing w:line="288" w:lineRule="auto"/>
        <w:ind w:right="246" w:firstLine="480" w:firstLineChars="200"/>
        <w:jc w:val="left"/>
        <w:outlineLvl w:val="2"/>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2、将按磋商文件的约定履行合同责任和义务。</w:t>
      </w:r>
    </w:p>
    <w:p w14:paraId="330A705D">
      <w:pPr>
        <w:pStyle w:val="150"/>
        <w:autoSpaceDE w:val="0"/>
        <w:autoSpaceDN w:val="0"/>
        <w:adjustRightInd w:val="0"/>
        <w:spacing w:line="288" w:lineRule="auto"/>
        <w:ind w:right="24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3、已详细审查全部磋商文件，包括</w:t>
      </w:r>
      <w:r>
        <w:rPr>
          <w:rFonts w:hint="eastAsia" w:ascii="仿宋" w:hAnsi="仿宋" w:eastAsia="仿宋" w:cs="仿宋"/>
          <w:bCs/>
          <w:kern w:val="0"/>
          <w:sz w:val="24"/>
          <w:szCs w:val="24"/>
          <w:highlight w:val="none"/>
          <w:u w:val="single"/>
        </w:rPr>
        <w:t xml:space="preserve">          （修正或补充文件）</w:t>
      </w:r>
      <w:r>
        <w:rPr>
          <w:rFonts w:hint="eastAsia" w:ascii="仿宋" w:hAnsi="仿宋" w:eastAsia="仿宋" w:cs="仿宋"/>
          <w:bCs/>
          <w:kern w:val="0"/>
          <w:sz w:val="24"/>
          <w:szCs w:val="24"/>
          <w:highlight w:val="none"/>
        </w:rPr>
        <w:t>（如有），对此无异议。</w:t>
      </w:r>
    </w:p>
    <w:p w14:paraId="683C05DE">
      <w:pPr>
        <w:pStyle w:val="150"/>
        <w:autoSpaceDE w:val="0"/>
        <w:autoSpaceDN w:val="0"/>
        <w:adjustRightInd w:val="0"/>
        <w:spacing w:line="288" w:lineRule="auto"/>
        <w:ind w:right="24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4、本投标有效期为自开标日起，共</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rPr>
        <w:t>个日历日。</w:t>
      </w:r>
    </w:p>
    <w:p w14:paraId="1AD29452">
      <w:pPr>
        <w:pStyle w:val="150"/>
        <w:autoSpaceDE w:val="0"/>
        <w:autoSpaceDN w:val="0"/>
        <w:adjustRightInd w:val="0"/>
        <w:spacing w:line="288" w:lineRule="auto"/>
        <w:ind w:right="24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5、接受磋商文件所列须知中关于没收投标保证金的约定。</w:t>
      </w:r>
    </w:p>
    <w:p w14:paraId="5B5BFFEF">
      <w:pPr>
        <w:pStyle w:val="150"/>
        <w:autoSpaceDE w:val="0"/>
        <w:autoSpaceDN w:val="0"/>
        <w:adjustRightInd w:val="0"/>
        <w:spacing w:line="288" w:lineRule="auto"/>
        <w:ind w:right="246" w:firstLine="480" w:firstLineChars="200"/>
        <w:jc w:val="left"/>
        <w:outlineLvl w:val="9"/>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6、同意提供按照贵方可能要求的与其投标有关的一切数据或资料。</w:t>
      </w:r>
    </w:p>
    <w:p w14:paraId="6D9C8499">
      <w:pPr>
        <w:pStyle w:val="150"/>
        <w:adjustRightInd w:val="0"/>
        <w:snapToGrid w:val="0"/>
        <w:spacing w:line="400" w:lineRule="exact"/>
        <w:ind w:firstLine="480" w:firstLineChars="200"/>
        <w:jc w:val="left"/>
        <w:outlineLvl w:val="9"/>
        <w:rPr>
          <w:rFonts w:hint="eastAsia" w:ascii="仿宋" w:hAnsi="仿宋" w:eastAsia="仿宋" w:cs="仿宋"/>
          <w:bCs/>
          <w:sz w:val="24"/>
          <w:szCs w:val="24"/>
          <w:highlight w:val="none"/>
        </w:rPr>
      </w:pPr>
      <w:r>
        <w:rPr>
          <w:rFonts w:hint="eastAsia" w:ascii="仿宋" w:hAnsi="仿宋" w:eastAsia="仿宋" w:cs="仿宋"/>
          <w:bCs/>
          <w:sz w:val="24"/>
          <w:szCs w:val="24"/>
          <w:highlight w:val="none"/>
        </w:rPr>
        <w:t>7、其他：</w:t>
      </w:r>
    </w:p>
    <w:p w14:paraId="45E3C118">
      <w:pPr>
        <w:pStyle w:val="24"/>
        <w:spacing w:line="360" w:lineRule="auto"/>
        <w:outlineLvl w:val="9"/>
        <w:rPr>
          <w:rFonts w:hint="eastAsia" w:ascii="仿宋" w:hAnsi="仿宋" w:eastAsia="仿宋" w:cs="仿宋"/>
          <w:bCs/>
          <w:kern w:val="0"/>
          <w:sz w:val="24"/>
          <w:szCs w:val="24"/>
          <w:highlight w:val="none"/>
        </w:rPr>
      </w:pPr>
    </w:p>
    <w:p w14:paraId="50EF5262">
      <w:pPr>
        <w:pStyle w:val="24"/>
        <w:spacing w:line="360" w:lineRule="auto"/>
        <w:ind w:firstLine="420"/>
        <w:outlineLvl w:val="9"/>
        <w:rPr>
          <w:rFonts w:hint="eastAsia" w:ascii="仿宋" w:hAnsi="仿宋" w:eastAsia="仿宋" w:cs="仿宋"/>
          <w:sz w:val="24"/>
          <w:highlight w:val="none"/>
        </w:rPr>
      </w:pPr>
      <w:r>
        <w:rPr>
          <w:rFonts w:hint="eastAsia" w:ascii="仿宋" w:hAnsi="仿宋" w:eastAsia="仿宋" w:cs="仿宋"/>
          <w:sz w:val="24"/>
          <w:highlight w:val="none"/>
        </w:rPr>
        <w:t>开户名称：</w:t>
      </w:r>
      <w:r>
        <w:rPr>
          <w:rFonts w:hint="eastAsia" w:ascii="仿宋" w:hAnsi="仿宋" w:eastAsia="仿宋" w:cs="仿宋"/>
          <w:sz w:val="24"/>
          <w:highlight w:val="none"/>
          <w:u w:val="single"/>
        </w:rPr>
        <w:t xml:space="preserve">                          </w:t>
      </w:r>
    </w:p>
    <w:p w14:paraId="6543EB94">
      <w:pPr>
        <w:pStyle w:val="24"/>
        <w:spacing w:line="360" w:lineRule="auto"/>
        <w:ind w:firstLine="420"/>
        <w:outlineLvl w:val="9"/>
        <w:rPr>
          <w:rFonts w:hint="eastAsia" w:ascii="仿宋" w:hAnsi="仿宋" w:eastAsia="仿宋" w:cs="仿宋"/>
          <w:sz w:val="24"/>
          <w:highlight w:val="none"/>
        </w:rPr>
      </w:pPr>
      <w:r>
        <w:rPr>
          <w:rFonts w:hint="eastAsia" w:ascii="仿宋" w:hAnsi="仿宋" w:eastAsia="仿宋" w:cs="仿宋"/>
          <w:sz w:val="24"/>
          <w:highlight w:val="none"/>
        </w:rPr>
        <w:t>开户银行：</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6BAEADFB">
      <w:pPr>
        <w:pStyle w:val="150"/>
        <w:adjustRightInd w:val="0"/>
        <w:snapToGrid w:val="0"/>
        <w:spacing w:line="360" w:lineRule="auto"/>
        <w:ind w:firstLine="360" w:firstLineChars="150"/>
        <w:jc w:val="left"/>
        <w:outlineLvl w:val="9"/>
        <w:rPr>
          <w:rFonts w:hint="eastAsia" w:ascii="仿宋" w:hAnsi="仿宋" w:eastAsia="仿宋" w:cs="仿宋"/>
          <w:bCs/>
          <w:kern w:val="0"/>
          <w:sz w:val="24"/>
          <w:szCs w:val="24"/>
          <w:highlight w:val="none"/>
        </w:rPr>
      </w:pPr>
      <w:r>
        <w:rPr>
          <w:rFonts w:hint="eastAsia" w:ascii="仿宋" w:hAnsi="仿宋" w:eastAsia="仿宋" w:cs="仿宋"/>
          <w:sz w:val="24"/>
          <w:szCs w:val="21"/>
          <w:highlight w:val="none"/>
        </w:rPr>
        <w:t>银行账号：</w:t>
      </w:r>
      <w:r>
        <w:rPr>
          <w:rFonts w:hint="eastAsia" w:ascii="仿宋" w:hAnsi="仿宋" w:eastAsia="仿宋" w:cs="仿宋"/>
          <w:bCs/>
          <w:kern w:val="0"/>
          <w:sz w:val="24"/>
          <w:szCs w:val="24"/>
          <w:highlight w:val="none"/>
          <w:u w:val="single"/>
        </w:rPr>
        <w:t xml:space="preserve">                          </w:t>
      </w:r>
    </w:p>
    <w:p w14:paraId="41D1AAA1">
      <w:pPr>
        <w:pStyle w:val="149"/>
        <w:spacing w:line="360" w:lineRule="auto"/>
        <w:ind w:firstLine="360" w:firstLineChars="15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1333A875">
      <w:pPr>
        <w:pStyle w:val="149"/>
        <w:spacing w:line="360" w:lineRule="auto"/>
        <w:ind w:firstLine="360" w:firstLineChars="15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2DDFEF13">
      <w:pPr>
        <w:pStyle w:val="150"/>
        <w:autoSpaceDE w:val="0"/>
        <w:autoSpaceDN w:val="0"/>
        <w:adjustRightInd w:val="0"/>
        <w:spacing w:line="360" w:lineRule="auto"/>
        <w:ind w:right="246" w:firstLine="360" w:firstLineChars="150"/>
        <w:jc w:val="left"/>
        <w:outlineLvl w:val="9"/>
        <w:rPr>
          <w:rFonts w:hint="eastAsia" w:ascii="仿宋" w:hAnsi="仿宋" w:eastAsia="仿宋" w:cs="仿宋"/>
          <w:bCs/>
          <w:kern w:val="0"/>
          <w:sz w:val="24"/>
          <w:szCs w:val="24"/>
          <w:highlight w:val="none"/>
          <w:u w:val="single"/>
        </w:rPr>
      </w:pPr>
      <w:r>
        <w:rPr>
          <w:rFonts w:hint="eastAsia" w:ascii="仿宋" w:hAnsi="仿宋" w:eastAsia="仿宋" w:cs="仿宋"/>
          <w:bCs/>
          <w:kern w:val="0"/>
          <w:sz w:val="24"/>
          <w:szCs w:val="24"/>
          <w:highlight w:val="none"/>
        </w:rPr>
        <w:t>地    址：</w:t>
      </w:r>
      <w:r>
        <w:rPr>
          <w:rFonts w:hint="eastAsia" w:ascii="仿宋" w:hAnsi="仿宋" w:eastAsia="仿宋" w:cs="仿宋"/>
          <w:bCs/>
          <w:kern w:val="0"/>
          <w:sz w:val="24"/>
          <w:szCs w:val="24"/>
          <w:highlight w:val="none"/>
          <w:u w:val="single"/>
        </w:rPr>
        <w:t xml:space="preserve">                        </w:t>
      </w:r>
    </w:p>
    <w:p w14:paraId="492F2C6A">
      <w:pPr>
        <w:pStyle w:val="150"/>
        <w:autoSpaceDE w:val="0"/>
        <w:autoSpaceDN w:val="0"/>
        <w:adjustRightInd w:val="0"/>
        <w:spacing w:line="360" w:lineRule="auto"/>
        <w:ind w:right="33" w:firstLine="360" w:firstLineChars="150"/>
        <w:jc w:val="left"/>
        <w:outlineLvl w:val="9"/>
        <w:rPr>
          <w:rFonts w:hint="eastAsia" w:ascii="仿宋" w:hAnsi="仿宋" w:eastAsia="仿宋" w:cs="仿宋"/>
          <w:bCs/>
          <w:kern w:val="0"/>
          <w:sz w:val="24"/>
          <w:szCs w:val="24"/>
          <w:highlight w:val="none"/>
          <w:u w:val="single"/>
        </w:rPr>
      </w:pPr>
      <w:r>
        <w:rPr>
          <w:rFonts w:hint="eastAsia" w:ascii="仿宋" w:hAnsi="仿宋" w:eastAsia="仿宋" w:cs="仿宋"/>
          <w:bCs/>
          <w:kern w:val="0"/>
          <w:sz w:val="24"/>
          <w:szCs w:val="24"/>
          <w:highlight w:val="none"/>
        </w:rPr>
        <w:t>电    话：</w:t>
      </w:r>
      <w:r>
        <w:rPr>
          <w:rFonts w:hint="eastAsia" w:ascii="仿宋" w:hAnsi="仿宋" w:eastAsia="仿宋" w:cs="仿宋"/>
          <w:bCs/>
          <w:kern w:val="0"/>
          <w:sz w:val="24"/>
          <w:szCs w:val="24"/>
          <w:highlight w:val="none"/>
          <w:u w:val="single"/>
        </w:rPr>
        <w:t xml:space="preserve">                        </w:t>
      </w:r>
    </w:p>
    <w:p w14:paraId="56AE1F4F">
      <w:pPr>
        <w:pStyle w:val="150"/>
        <w:autoSpaceDE w:val="0"/>
        <w:autoSpaceDN w:val="0"/>
        <w:adjustRightInd w:val="0"/>
        <w:spacing w:line="360" w:lineRule="auto"/>
        <w:ind w:right="246" w:firstLine="360" w:firstLineChars="150"/>
        <w:jc w:val="left"/>
        <w:outlineLvl w:val="9"/>
        <w:rPr>
          <w:rFonts w:hint="eastAsia" w:ascii="仿宋" w:hAnsi="仿宋" w:eastAsia="仿宋" w:cs="仿宋"/>
          <w:bCs/>
          <w:kern w:val="0"/>
          <w:sz w:val="24"/>
          <w:szCs w:val="24"/>
          <w:highlight w:val="none"/>
          <w:u w:val="single"/>
        </w:rPr>
      </w:pPr>
      <w:r>
        <w:rPr>
          <w:rFonts w:hint="eastAsia" w:ascii="仿宋" w:hAnsi="仿宋" w:eastAsia="仿宋" w:cs="仿宋"/>
          <w:bCs/>
          <w:kern w:val="0"/>
          <w:sz w:val="24"/>
          <w:szCs w:val="24"/>
          <w:highlight w:val="none"/>
        </w:rPr>
        <w:t>电子邮件：</w:t>
      </w:r>
      <w:r>
        <w:rPr>
          <w:rFonts w:hint="eastAsia" w:ascii="仿宋" w:hAnsi="仿宋" w:eastAsia="仿宋" w:cs="仿宋"/>
          <w:bCs/>
          <w:kern w:val="0"/>
          <w:sz w:val="24"/>
          <w:szCs w:val="24"/>
          <w:highlight w:val="none"/>
          <w:u w:val="single"/>
        </w:rPr>
        <w:t xml:space="preserve">                        </w:t>
      </w:r>
    </w:p>
    <w:p w14:paraId="1048D51F">
      <w:pPr>
        <w:pStyle w:val="150"/>
        <w:adjustRightInd w:val="0"/>
        <w:snapToGrid w:val="0"/>
        <w:spacing w:line="360" w:lineRule="auto"/>
        <w:ind w:firstLine="360" w:firstLineChars="150"/>
        <w:jc w:val="left"/>
        <w:outlineLvl w:val="9"/>
        <w:rPr>
          <w:rFonts w:hint="eastAsia" w:ascii="仿宋" w:hAnsi="仿宋" w:eastAsia="仿宋" w:cs="仿宋"/>
          <w:bCs/>
          <w:color w:val="FF0000"/>
          <w:sz w:val="24"/>
          <w:szCs w:val="24"/>
          <w:highlight w:val="none"/>
          <w:u w:val="single"/>
        </w:rPr>
      </w:pPr>
      <w:r>
        <w:rPr>
          <w:rFonts w:hint="eastAsia" w:ascii="仿宋" w:hAnsi="仿宋" w:eastAsia="仿宋" w:cs="仿宋"/>
          <w:bCs/>
          <w:sz w:val="24"/>
          <w:szCs w:val="24"/>
          <w:highlight w:val="none"/>
        </w:rPr>
        <w:t>日    期：</w:t>
      </w:r>
      <w:r>
        <w:rPr>
          <w:rFonts w:hint="eastAsia" w:ascii="仿宋" w:hAnsi="仿宋" w:eastAsia="仿宋" w:cs="仿宋"/>
          <w:bCs/>
          <w:sz w:val="24"/>
          <w:szCs w:val="24"/>
          <w:highlight w:val="none"/>
          <w:u w:val="single"/>
        </w:rPr>
        <w:t xml:space="preserve">                        </w:t>
      </w:r>
    </w:p>
    <w:p w14:paraId="5E0071A1">
      <w:pPr>
        <w:pStyle w:val="150"/>
        <w:adjustRightInd w:val="0"/>
        <w:snapToGrid w:val="0"/>
        <w:spacing w:line="360" w:lineRule="auto"/>
        <w:ind w:firstLine="420" w:firstLineChars="150"/>
        <w:jc w:val="left"/>
        <w:outlineLvl w:val="9"/>
        <w:rPr>
          <w:rFonts w:hint="eastAsia" w:ascii="仿宋" w:hAnsi="仿宋" w:eastAsia="仿宋" w:cs="仿宋"/>
          <w:bCs/>
          <w:color w:val="FF0000"/>
          <w:sz w:val="28"/>
          <w:szCs w:val="28"/>
          <w:highlight w:val="none"/>
          <w:u w:val="single"/>
        </w:rPr>
      </w:pPr>
    </w:p>
    <w:p w14:paraId="56F2C94D">
      <w:pPr>
        <w:pStyle w:val="200"/>
        <w:spacing w:line="360" w:lineRule="auto"/>
        <w:jc w:val="center"/>
        <w:outlineLvl w:val="9"/>
        <w:rPr>
          <w:rFonts w:hint="eastAsia" w:ascii="仿宋" w:hAnsi="仿宋" w:eastAsia="仿宋" w:cs="仿宋"/>
          <w:sz w:val="30"/>
          <w:szCs w:val="30"/>
          <w:highlight w:val="none"/>
        </w:rPr>
      </w:pPr>
      <w:r>
        <w:rPr>
          <w:rFonts w:hint="eastAsia" w:ascii="仿宋" w:hAnsi="仿宋" w:eastAsia="仿宋" w:cs="仿宋"/>
          <w:b w:val="0"/>
          <w:bCs/>
          <w:highlight w:val="none"/>
        </w:rPr>
        <w:br w:type="page"/>
      </w:r>
      <w:bookmarkStart w:id="252" w:name="_Toc31942"/>
      <w:bookmarkStart w:id="253" w:name="_Toc7019"/>
      <w:bookmarkStart w:id="254" w:name="_Toc14766"/>
      <w:bookmarkStart w:id="255" w:name="_Toc256000029"/>
      <w:r>
        <w:rPr>
          <w:rFonts w:hint="eastAsia" w:ascii="仿宋" w:hAnsi="仿宋" w:eastAsia="仿宋" w:cs="仿宋"/>
          <w:sz w:val="30"/>
          <w:szCs w:val="30"/>
          <w:highlight w:val="none"/>
        </w:rPr>
        <w:t>（二）供应商基本情况表</w:t>
      </w:r>
      <w:bookmarkEnd w:id="252"/>
      <w:bookmarkEnd w:id="253"/>
      <w:bookmarkEnd w:id="254"/>
    </w:p>
    <w:tbl>
      <w:tblPr>
        <w:tblStyle w:val="69"/>
        <w:tblW w:w="915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1063"/>
      </w:tblGrid>
      <w:tr w14:paraId="230C68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noWrap w:val="0"/>
            <w:vAlign w:val="center"/>
          </w:tcPr>
          <w:p w14:paraId="2BBF629D">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7174" w:type="dxa"/>
            <w:gridSpan w:val="9"/>
            <w:tcBorders>
              <w:left w:val="single" w:color="000000" w:sz="6" w:space="0"/>
              <w:bottom w:val="single" w:color="000000" w:sz="6" w:space="0"/>
            </w:tcBorders>
            <w:noWrap w:val="0"/>
            <w:vAlign w:val="center"/>
          </w:tcPr>
          <w:p w14:paraId="3DA81AD7">
            <w:pPr>
              <w:pStyle w:val="201"/>
              <w:outlineLvl w:val="9"/>
              <w:rPr>
                <w:rFonts w:hint="eastAsia" w:ascii="仿宋" w:hAnsi="仿宋" w:eastAsia="仿宋" w:cs="仿宋"/>
                <w:sz w:val="24"/>
                <w:szCs w:val="24"/>
                <w:highlight w:val="none"/>
              </w:rPr>
            </w:pPr>
          </w:p>
        </w:tc>
      </w:tr>
      <w:tr w14:paraId="45D88E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center"/>
          </w:tcPr>
          <w:p w14:paraId="15B6B69E">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noWrap w:val="0"/>
            <w:vAlign w:val="center"/>
          </w:tcPr>
          <w:p w14:paraId="0A3DD606">
            <w:pPr>
              <w:pStyle w:val="201"/>
              <w:jc w:val="center"/>
              <w:outlineLvl w:val="9"/>
              <w:rPr>
                <w:rFonts w:hint="eastAsia" w:ascii="仿宋" w:hAnsi="仿宋" w:eastAsia="仿宋" w:cs="仿宋"/>
                <w:sz w:val="24"/>
                <w:szCs w:val="24"/>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73DE8B58">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2128" w:type="dxa"/>
            <w:gridSpan w:val="3"/>
            <w:tcBorders>
              <w:top w:val="single" w:color="000000" w:sz="6" w:space="0"/>
              <w:left w:val="single" w:color="000000" w:sz="6" w:space="0"/>
              <w:bottom w:val="single" w:color="000000" w:sz="6" w:space="0"/>
            </w:tcBorders>
            <w:noWrap w:val="0"/>
            <w:vAlign w:val="center"/>
          </w:tcPr>
          <w:p w14:paraId="577253FE">
            <w:pPr>
              <w:pStyle w:val="201"/>
              <w:jc w:val="center"/>
              <w:outlineLvl w:val="9"/>
              <w:rPr>
                <w:rFonts w:hint="eastAsia" w:ascii="仿宋" w:hAnsi="仿宋" w:eastAsia="仿宋" w:cs="仿宋"/>
                <w:sz w:val="24"/>
                <w:szCs w:val="24"/>
                <w:highlight w:val="none"/>
              </w:rPr>
            </w:pPr>
          </w:p>
        </w:tc>
      </w:tr>
      <w:tr w14:paraId="223480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noWrap w:val="0"/>
            <w:vAlign w:val="center"/>
          </w:tcPr>
          <w:p w14:paraId="5646DB70">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4137F745">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center"/>
          </w:tcPr>
          <w:p w14:paraId="1ACC5C75">
            <w:pPr>
              <w:pStyle w:val="201"/>
              <w:jc w:val="center"/>
              <w:outlineLvl w:val="9"/>
              <w:rPr>
                <w:rFonts w:hint="eastAsia" w:ascii="仿宋" w:hAnsi="仿宋" w:eastAsia="仿宋" w:cs="仿宋"/>
                <w:sz w:val="24"/>
                <w:szCs w:val="24"/>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2D5E16B9">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2128" w:type="dxa"/>
            <w:gridSpan w:val="3"/>
            <w:tcBorders>
              <w:top w:val="single" w:color="000000" w:sz="6" w:space="0"/>
              <w:left w:val="single" w:color="000000" w:sz="6" w:space="0"/>
              <w:bottom w:val="single" w:color="000000" w:sz="6" w:space="0"/>
            </w:tcBorders>
            <w:noWrap w:val="0"/>
            <w:vAlign w:val="center"/>
          </w:tcPr>
          <w:p w14:paraId="07EF3E26">
            <w:pPr>
              <w:pStyle w:val="201"/>
              <w:jc w:val="center"/>
              <w:outlineLvl w:val="9"/>
              <w:rPr>
                <w:rFonts w:hint="eastAsia" w:ascii="仿宋" w:hAnsi="仿宋" w:eastAsia="仿宋" w:cs="仿宋"/>
                <w:sz w:val="24"/>
                <w:szCs w:val="24"/>
                <w:highlight w:val="none"/>
              </w:rPr>
            </w:pPr>
          </w:p>
        </w:tc>
      </w:tr>
      <w:tr w14:paraId="0B51EE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noWrap w:val="0"/>
            <w:vAlign w:val="center"/>
          </w:tcPr>
          <w:p w14:paraId="0939E2C5">
            <w:pPr>
              <w:widowControl/>
              <w:jc w:val="center"/>
              <w:outlineLvl w:val="9"/>
              <w:rPr>
                <w:rFonts w:hint="eastAsia" w:ascii="仿宋" w:hAnsi="仿宋" w:eastAsia="仿宋" w:cs="仿宋"/>
                <w:sz w:val="24"/>
                <w:szCs w:val="24"/>
                <w:highlight w:val="none"/>
              </w:rPr>
            </w:pP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49FB786D">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center"/>
          </w:tcPr>
          <w:p w14:paraId="32F736CE">
            <w:pPr>
              <w:pStyle w:val="201"/>
              <w:jc w:val="center"/>
              <w:outlineLvl w:val="9"/>
              <w:rPr>
                <w:rFonts w:hint="eastAsia" w:ascii="仿宋" w:hAnsi="仿宋" w:eastAsia="仿宋" w:cs="仿宋"/>
                <w:sz w:val="24"/>
                <w:szCs w:val="24"/>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309823D5">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p>
        </w:tc>
        <w:tc>
          <w:tcPr>
            <w:tcW w:w="2128" w:type="dxa"/>
            <w:gridSpan w:val="3"/>
            <w:tcBorders>
              <w:top w:val="single" w:color="000000" w:sz="6" w:space="0"/>
              <w:left w:val="single" w:color="000000" w:sz="6" w:space="0"/>
              <w:bottom w:val="single" w:color="000000" w:sz="6" w:space="0"/>
            </w:tcBorders>
            <w:noWrap w:val="0"/>
            <w:vAlign w:val="center"/>
          </w:tcPr>
          <w:p w14:paraId="571BF3BE">
            <w:pPr>
              <w:pStyle w:val="201"/>
              <w:jc w:val="center"/>
              <w:outlineLvl w:val="9"/>
              <w:rPr>
                <w:rFonts w:hint="eastAsia" w:ascii="仿宋" w:hAnsi="仿宋" w:eastAsia="仿宋" w:cs="仿宋"/>
                <w:sz w:val="24"/>
                <w:szCs w:val="24"/>
                <w:highlight w:val="none"/>
              </w:rPr>
            </w:pPr>
          </w:p>
        </w:tc>
      </w:tr>
      <w:tr w14:paraId="004A5A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0ECDE799">
            <w:pPr>
              <w:pStyle w:val="201"/>
              <w:ind w:right="-44"/>
              <w:jc w:val="center"/>
              <w:outlineLvl w:val="9"/>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隶属情况</w:t>
            </w:r>
            <w:r>
              <w:rPr>
                <w:rFonts w:hint="eastAsia" w:ascii="仿宋" w:hAnsi="仿宋" w:eastAsia="仿宋" w:cs="仿宋"/>
                <w:sz w:val="24"/>
                <w:szCs w:val="24"/>
                <w:highlight w:val="none"/>
              </w:rPr>
              <w:t>（如有）</w:t>
            </w:r>
          </w:p>
        </w:tc>
        <w:tc>
          <w:tcPr>
            <w:tcW w:w="7174" w:type="dxa"/>
            <w:gridSpan w:val="9"/>
            <w:tcBorders>
              <w:top w:val="single" w:color="000000" w:sz="6" w:space="0"/>
              <w:left w:val="single" w:color="000000" w:sz="6" w:space="0"/>
              <w:bottom w:val="single" w:color="000000" w:sz="6" w:space="0"/>
            </w:tcBorders>
            <w:noWrap w:val="0"/>
            <w:vAlign w:val="center"/>
          </w:tcPr>
          <w:p w14:paraId="1DA25E23">
            <w:pPr>
              <w:pStyle w:val="201"/>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阐明隶属及组织机构情况</w:t>
            </w:r>
          </w:p>
        </w:tc>
      </w:tr>
      <w:tr w14:paraId="54D362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center"/>
          </w:tcPr>
          <w:p w14:paraId="530736DB">
            <w:pPr>
              <w:pStyle w:val="201"/>
              <w:ind w:right="-44"/>
              <w:jc w:val="center"/>
              <w:outlineLvl w:val="9"/>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控股情况</w:t>
            </w:r>
            <w:r>
              <w:rPr>
                <w:rFonts w:hint="eastAsia" w:ascii="仿宋" w:hAnsi="仿宋" w:eastAsia="仿宋" w:cs="仿宋"/>
                <w:sz w:val="24"/>
                <w:szCs w:val="24"/>
                <w:highlight w:val="none"/>
              </w:rPr>
              <w:t>（如有）</w:t>
            </w:r>
          </w:p>
        </w:tc>
        <w:tc>
          <w:tcPr>
            <w:tcW w:w="7174" w:type="dxa"/>
            <w:gridSpan w:val="9"/>
            <w:tcBorders>
              <w:top w:val="single" w:color="000000" w:sz="6" w:space="0"/>
              <w:left w:val="single" w:color="000000" w:sz="6" w:space="0"/>
              <w:bottom w:val="single" w:color="000000" w:sz="6" w:space="0"/>
            </w:tcBorders>
            <w:noWrap w:val="0"/>
            <w:vAlign w:val="center"/>
          </w:tcPr>
          <w:p w14:paraId="0ED5E97D">
            <w:pPr>
              <w:pStyle w:val="201"/>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阐明控股和被控股情况</w:t>
            </w:r>
          </w:p>
        </w:tc>
      </w:tr>
      <w:tr w14:paraId="1C6D5D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noWrap w:val="0"/>
            <w:vAlign w:val="center"/>
          </w:tcPr>
          <w:p w14:paraId="12830EC8">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组织结构</w:t>
            </w:r>
          </w:p>
        </w:tc>
        <w:tc>
          <w:tcPr>
            <w:tcW w:w="7174" w:type="dxa"/>
            <w:gridSpan w:val="9"/>
            <w:tcBorders>
              <w:top w:val="single" w:color="000000" w:sz="6" w:space="0"/>
              <w:left w:val="single" w:color="000000" w:sz="6" w:space="0"/>
              <w:bottom w:val="single" w:color="000000" w:sz="6" w:space="0"/>
            </w:tcBorders>
            <w:noWrap w:val="0"/>
            <w:vAlign w:val="center"/>
          </w:tcPr>
          <w:p w14:paraId="1AC2FF9B">
            <w:pPr>
              <w:pStyle w:val="201"/>
              <w:outlineLvl w:val="9"/>
              <w:rPr>
                <w:rFonts w:hint="eastAsia" w:ascii="仿宋" w:hAnsi="仿宋" w:eastAsia="仿宋" w:cs="仿宋"/>
                <w:sz w:val="24"/>
                <w:szCs w:val="24"/>
                <w:highlight w:val="none"/>
              </w:rPr>
            </w:pPr>
          </w:p>
        </w:tc>
      </w:tr>
      <w:tr w14:paraId="14FD11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noWrap w:val="0"/>
            <w:vAlign w:val="center"/>
          </w:tcPr>
          <w:p w14:paraId="6DD3A83A">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简介</w:t>
            </w:r>
          </w:p>
        </w:tc>
        <w:tc>
          <w:tcPr>
            <w:tcW w:w="7174" w:type="dxa"/>
            <w:gridSpan w:val="9"/>
            <w:tcBorders>
              <w:top w:val="single" w:color="000000" w:sz="6" w:space="0"/>
              <w:left w:val="single" w:color="000000" w:sz="6" w:space="0"/>
              <w:bottom w:val="single" w:color="000000" w:sz="6" w:space="0"/>
            </w:tcBorders>
            <w:noWrap w:val="0"/>
            <w:vAlign w:val="center"/>
          </w:tcPr>
          <w:p w14:paraId="1CE5291B">
            <w:pPr>
              <w:pStyle w:val="65"/>
              <w:spacing w:before="0" w:beforeAutospacing="0" w:after="0" w:afterAutospacing="0"/>
              <w:outlineLvl w:val="9"/>
              <w:rPr>
                <w:rFonts w:hint="eastAsia" w:ascii="仿宋" w:hAnsi="仿宋" w:eastAsia="仿宋" w:cs="仿宋"/>
                <w:spacing w:val="-16"/>
                <w:szCs w:val="24"/>
                <w:highlight w:val="none"/>
              </w:rPr>
            </w:pPr>
            <w:r>
              <w:rPr>
                <w:rFonts w:hint="eastAsia" w:ascii="仿宋" w:hAnsi="仿宋" w:eastAsia="仿宋" w:cs="仿宋"/>
                <w:spacing w:val="-16"/>
                <w:szCs w:val="24"/>
                <w:highlight w:val="none"/>
              </w:rPr>
              <w:t>包括但不限于：</w:t>
            </w:r>
          </w:p>
          <w:p w14:paraId="332DCBD1">
            <w:pPr>
              <w:pStyle w:val="65"/>
              <w:spacing w:before="0" w:beforeAutospacing="0" w:after="0" w:afterAutospacing="0"/>
              <w:outlineLvl w:val="9"/>
              <w:rPr>
                <w:rFonts w:hint="eastAsia" w:ascii="仿宋" w:hAnsi="仿宋" w:eastAsia="仿宋" w:cs="仿宋"/>
                <w:highlight w:val="none"/>
              </w:rPr>
            </w:pPr>
            <w:r>
              <w:rPr>
                <w:rFonts w:hint="eastAsia" w:ascii="仿宋" w:hAnsi="仿宋" w:eastAsia="仿宋" w:cs="仿宋"/>
                <w:highlight w:val="none"/>
              </w:rPr>
              <w:t>（1）企业发展简史</w:t>
            </w:r>
          </w:p>
          <w:p w14:paraId="401F6B9A">
            <w:pPr>
              <w:pStyle w:val="65"/>
              <w:spacing w:before="0" w:beforeAutospacing="0" w:after="0" w:afterAutospacing="0"/>
              <w:outlineLvl w:val="9"/>
              <w:rPr>
                <w:rFonts w:hint="eastAsia" w:ascii="仿宋" w:hAnsi="仿宋" w:eastAsia="仿宋" w:cs="仿宋"/>
                <w:highlight w:val="none"/>
              </w:rPr>
            </w:pPr>
            <w:r>
              <w:rPr>
                <w:rFonts w:hint="eastAsia" w:ascii="仿宋" w:hAnsi="仿宋" w:eastAsia="仿宋" w:cs="仿宋"/>
                <w:highlight w:val="none"/>
              </w:rPr>
              <w:t>（2）企业生产经营场所、拥有的生产经营设备，及现有技术人员等（3）企业生产经营情况、财务现状等</w:t>
            </w:r>
          </w:p>
          <w:p w14:paraId="7156C904">
            <w:pPr>
              <w:pStyle w:val="65"/>
              <w:spacing w:before="0" w:beforeAutospacing="0" w:after="0" w:afterAutospacing="0"/>
              <w:outlineLvl w:val="9"/>
              <w:rPr>
                <w:rFonts w:hint="eastAsia" w:ascii="仿宋" w:hAnsi="仿宋" w:eastAsia="仿宋" w:cs="仿宋"/>
                <w:highlight w:val="none"/>
              </w:rPr>
            </w:pPr>
            <w:r>
              <w:rPr>
                <w:rFonts w:hint="eastAsia" w:ascii="仿宋" w:hAnsi="仿宋" w:eastAsia="仿宋" w:cs="仿宋"/>
                <w:highlight w:val="none"/>
              </w:rPr>
              <w:t>（4）企业获得的荣誉、受过的违规处罚情况等</w:t>
            </w:r>
          </w:p>
          <w:p w14:paraId="1C06CAF5">
            <w:pPr>
              <w:pStyle w:val="201"/>
              <w:spacing w:line="307" w:lineRule="exact"/>
              <w:ind w:right="-58"/>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（可另附页）</w:t>
            </w:r>
          </w:p>
        </w:tc>
      </w:tr>
      <w:tr w14:paraId="003557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noWrap w:val="0"/>
            <w:vAlign w:val="center"/>
          </w:tcPr>
          <w:p w14:paraId="1E47D9C7">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54173CFA">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center"/>
          </w:tcPr>
          <w:p w14:paraId="6E210BA7">
            <w:pPr>
              <w:pStyle w:val="201"/>
              <w:jc w:val="center"/>
              <w:outlineLvl w:val="9"/>
              <w:rPr>
                <w:rFonts w:hint="eastAsia" w:ascii="仿宋" w:hAnsi="仿宋" w:eastAsia="仿宋" w:cs="仿宋"/>
                <w:sz w:val="24"/>
                <w:szCs w:val="24"/>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center"/>
          </w:tcPr>
          <w:p w14:paraId="0C16CBD1">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center"/>
          </w:tcPr>
          <w:p w14:paraId="4A239A18">
            <w:pPr>
              <w:pStyle w:val="201"/>
              <w:jc w:val="center"/>
              <w:outlineLvl w:val="9"/>
              <w:rPr>
                <w:rFonts w:hint="eastAsia" w:ascii="仿宋" w:hAnsi="仿宋" w:eastAsia="仿宋" w:cs="仿宋"/>
                <w:sz w:val="24"/>
                <w:szCs w:val="24"/>
                <w:highlight w:val="none"/>
              </w:rPr>
            </w:pPr>
          </w:p>
        </w:tc>
        <w:tc>
          <w:tcPr>
            <w:tcW w:w="722" w:type="dxa"/>
            <w:tcBorders>
              <w:top w:val="single" w:color="000000" w:sz="6" w:space="0"/>
              <w:left w:val="single" w:color="000000" w:sz="6" w:space="0"/>
              <w:bottom w:val="single" w:color="000000" w:sz="6" w:space="0"/>
              <w:right w:val="single" w:color="000000" w:sz="6" w:space="0"/>
            </w:tcBorders>
            <w:noWrap w:val="0"/>
            <w:vAlign w:val="center"/>
          </w:tcPr>
          <w:p w14:paraId="35A6098F">
            <w:pPr>
              <w:pStyle w:val="201"/>
              <w:ind w:right="104"/>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1063" w:type="dxa"/>
            <w:tcBorders>
              <w:top w:val="single" w:color="000000" w:sz="6" w:space="0"/>
              <w:left w:val="single" w:color="000000" w:sz="6" w:space="0"/>
              <w:bottom w:val="single" w:color="000000" w:sz="6" w:space="0"/>
            </w:tcBorders>
            <w:noWrap w:val="0"/>
            <w:vAlign w:val="center"/>
          </w:tcPr>
          <w:p w14:paraId="313C6174">
            <w:pPr>
              <w:pStyle w:val="201"/>
              <w:jc w:val="center"/>
              <w:outlineLvl w:val="9"/>
              <w:rPr>
                <w:rFonts w:hint="eastAsia" w:ascii="仿宋" w:hAnsi="仿宋" w:eastAsia="仿宋" w:cs="仿宋"/>
                <w:sz w:val="24"/>
                <w:szCs w:val="24"/>
                <w:highlight w:val="none"/>
              </w:rPr>
            </w:pPr>
          </w:p>
        </w:tc>
      </w:tr>
      <w:tr w14:paraId="5D188E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noWrap w:val="0"/>
            <w:vAlign w:val="center"/>
          </w:tcPr>
          <w:p w14:paraId="07F1CADA">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78543343">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center"/>
          </w:tcPr>
          <w:p w14:paraId="60252155">
            <w:pPr>
              <w:pStyle w:val="201"/>
              <w:jc w:val="center"/>
              <w:outlineLvl w:val="9"/>
              <w:rPr>
                <w:rFonts w:hint="eastAsia" w:ascii="仿宋" w:hAnsi="仿宋" w:eastAsia="仿宋" w:cs="仿宋"/>
                <w:sz w:val="24"/>
                <w:szCs w:val="24"/>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center"/>
          </w:tcPr>
          <w:p w14:paraId="42652800">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center"/>
          </w:tcPr>
          <w:p w14:paraId="4E663120">
            <w:pPr>
              <w:pStyle w:val="201"/>
              <w:jc w:val="center"/>
              <w:outlineLvl w:val="9"/>
              <w:rPr>
                <w:rFonts w:hint="eastAsia" w:ascii="仿宋" w:hAnsi="仿宋" w:eastAsia="仿宋" w:cs="仿宋"/>
                <w:sz w:val="24"/>
                <w:szCs w:val="24"/>
                <w:highlight w:val="none"/>
              </w:rPr>
            </w:pPr>
          </w:p>
        </w:tc>
        <w:tc>
          <w:tcPr>
            <w:tcW w:w="722" w:type="dxa"/>
            <w:tcBorders>
              <w:top w:val="single" w:color="000000" w:sz="6" w:space="0"/>
              <w:left w:val="single" w:color="000000" w:sz="6" w:space="0"/>
              <w:bottom w:val="single" w:color="000000" w:sz="6" w:space="0"/>
              <w:right w:val="single" w:color="000000" w:sz="6" w:space="0"/>
            </w:tcBorders>
            <w:noWrap w:val="0"/>
            <w:vAlign w:val="center"/>
          </w:tcPr>
          <w:p w14:paraId="259D1300">
            <w:pPr>
              <w:pStyle w:val="201"/>
              <w:ind w:right="104"/>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1063" w:type="dxa"/>
            <w:tcBorders>
              <w:top w:val="single" w:color="000000" w:sz="6" w:space="0"/>
              <w:left w:val="single" w:color="000000" w:sz="6" w:space="0"/>
              <w:bottom w:val="single" w:color="000000" w:sz="6" w:space="0"/>
            </w:tcBorders>
            <w:noWrap w:val="0"/>
            <w:vAlign w:val="center"/>
          </w:tcPr>
          <w:p w14:paraId="35F5063C">
            <w:pPr>
              <w:pStyle w:val="201"/>
              <w:jc w:val="center"/>
              <w:outlineLvl w:val="9"/>
              <w:rPr>
                <w:rFonts w:hint="eastAsia" w:ascii="仿宋" w:hAnsi="仿宋" w:eastAsia="仿宋" w:cs="仿宋"/>
                <w:sz w:val="24"/>
                <w:szCs w:val="24"/>
                <w:highlight w:val="none"/>
              </w:rPr>
            </w:pPr>
          </w:p>
        </w:tc>
      </w:tr>
      <w:tr w14:paraId="2D19CD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031DC49A">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685B8045">
            <w:pPr>
              <w:pStyle w:val="201"/>
              <w:jc w:val="center"/>
              <w:outlineLvl w:val="9"/>
              <w:rPr>
                <w:rFonts w:hint="eastAsia" w:ascii="仿宋" w:hAnsi="仿宋" w:eastAsia="仿宋" w:cs="仿宋"/>
                <w:sz w:val="24"/>
                <w:szCs w:val="24"/>
                <w:highlight w:val="none"/>
              </w:rPr>
            </w:pPr>
          </w:p>
        </w:tc>
        <w:tc>
          <w:tcPr>
            <w:tcW w:w="4300" w:type="dxa"/>
            <w:gridSpan w:val="7"/>
            <w:tcBorders>
              <w:top w:val="single" w:color="000000" w:sz="6" w:space="0"/>
              <w:left w:val="single" w:color="000000" w:sz="6" w:space="0"/>
              <w:bottom w:val="single" w:color="000000" w:sz="6" w:space="0"/>
            </w:tcBorders>
            <w:noWrap w:val="0"/>
            <w:vAlign w:val="center"/>
          </w:tcPr>
          <w:p w14:paraId="6E300869">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r>
      <w:tr w14:paraId="1259B1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1F2B3F0F">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09583DE1">
            <w:pPr>
              <w:pStyle w:val="201"/>
              <w:jc w:val="center"/>
              <w:outlineLvl w:val="9"/>
              <w:rPr>
                <w:rFonts w:hint="eastAsia" w:ascii="仿宋" w:hAnsi="仿宋" w:eastAsia="仿宋" w:cs="仿宋"/>
                <w:sz w:val="24"/>
                <w:szCs w:val="24"/>
                <w:highlight w:val="none"/>
              </w:rPr>
            </w:pPr>
          </w:p>
        </w:tc>
        <w:tc>
          <w:tcPr>
            <w:tcW w:w="714" w:type="dxa"/>
            <w:vMerge w:val="restart"/>
            <w:tcBorders>
              <w:top w:val="single" w:color="000000" w:sz="6" w:space="0"/>
              <w:left w:val="single" w:color="000000" w:sz="6" w:space="0"/>
              <w:bottom w:val="single" w:color="000000" w:sz="6" w:space="0"/>
              <w:right w:val="single" w:color="000000" w:sz="6" w:space="0"/>
            </w:tcBorders>
            <w:noWrap w:val="0"/>
            <w:vAlign w:val="center"/>
          </w:tcPr>
          <w:p w14:paraId="50E3DF6A">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03395B10">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高级职称人员</w:t>
            </w:r>
          </w:p>
        </w:tc>
        <w:tc>
          <w:tcPr>
            <w:tcW w:w="1785" w:type="dxa"/>
            <w:gridSpan w:val="2"/>
            <w:tcBorders>
              <w:top w:val="single" w:color="000000" w:sz="6" w:space="0"/>
              <w:left w:val="single" w:color="000000" w:sz="6" w:space="0"/>
              <w:bottom w:val="single" w:color="000000" w:sz="6" w:space="0"/>
            </w:tcBorders>
            <w:noWrap w:val="0"/>
            <w:vAlign w:val="center"/>
          </w:tcPr>
          <w:p w14:paraId="3B535D76">
            <w:pPr>
              <w:pStyle w:val="201"/>
              <w:jc w:val="center"/>
              <w:outlineLvl w:val="9"/>
              <w:rPr>
                <w:rFonts w:hint="eastAsia" w:ascii="仿宋" w:hAnsi="仿宋" w:eastAsia="仿宋" w:cs="仿宋"/>
                <w:sz w:val="24"/>
                <w:szCs w:val="24"/>
                <w:highlight w:val="none"/>
              </w:rPr>
            </w:pPr>
          </w:p>
        </w:tc>
      </w:tr>
      <w:tr w14:paraId="6AD15D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noWrap w:val="0"/>
            <w:vAlign w:val="center"/>
          </w:tcPr>
          <w:p w14:paraId="7C54F11B">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7B51110D">
            <w:pPr>
              <w:pStyle w:val="201"/>
              <w:jc w:val="center"/>
              <w:outlineLvl w:val="9"/>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5B11F5D8">
            <w:pPr>
              <w:widowControl/>
              <w:jc w:val="center"/>
              <w:outlineLvl w:val="9"/>
              <w:rPr>
                <w:rFonts w:hint="eastAsia" w:ascii="仿宋" w:hAnsi="仿宋" w:eastAsia="仿宋" w:cs="仿宋"/>
                <w:sz w:val="24"/>
                <w:szCs w:val="24"/>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6EA7F16F">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中级职称人员</w:t>
            </w:r>
          </w:p>
        </w:tc>
        <w:tc>
          <w:tcPr>
            <w:tcW w:w="1785" w:type="dxa"/>
            <w:gridSpan w:val="2"/>
            <w:tcBorders>
              <w:top w:val="single" w:color="000000" w:sz="6" w:space="0"/>
              <w:left w:val="single" w:color="000000" w:sz="6" w:space="0"/>
              <w:bottom w:val="single" w:color="000000" w:sz="6" w:space="0"/>
            </w:tcBorders>
            <w:noWrap w:val="0"/>
            <w:vAlign w:val="center"/>
          </w:tcPr>
          <w:p w14:paraId="5C8C0DC2">
            <w:pPr>
              <w:pStyle w:val="201"/>
              <w:jc w:val="center"/>
              <w:outlineLvl w:val="9"/>
              <w:rPr>
                <w:rFonts w:hint="eastAsia" w:ascii="仿宋" w:hAnsi="仿宋" w:eastAsia="仿宋" w:cs="仿宋"/>
                <w:sz w:val="24"/>
                <w:szCs w:val="24"/>
                <w:highlight w:val="none"/>
              </w:rPr>
            </w:pPr>
          </w:p>
        </w:tc>
      </w:tr>
      <w:tr w14:paraId="27B0AC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noWrap w:val="0"/>
            <w:vAlign w:val="center"/>
          </w:tcPr>
          <w:p w14:paraId="11D92191">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6137179B">
            <w:pPr>
              <w:pStyle w:val="201"/>
              <w:jc w:val="center"/>
              <w:outlineLvl w:val="9"/>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095DF919">
            <w:pPr>
              <w:widowControl/>
              <w:jc w:val="center"/>
              <w:outlineLvl w:val="9"/>
              <w:rPr>
                <w:rFonts w:hint="eastAsia" w:ascii="仿宋" w:hAnsi="仿宋" w:eastAsia="仿宋" w:cs="仿宋"/>
                <w:sz w:val="24"/>
                <w:szCs w:val="24"/>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7E4FE14C">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初级职称人员</w:t>
            </w:r>
          </w:p>
        </w:tc>
        <w:tc>
          <w:tcPr>
            <w:tcW w:w="1785" w:type="dxa"/>
            <w:gridSpan w:val="2"/>
            <w:tcBorders>
              <w:top w:val="single" w:color="000000" w:sz="6" w:space="0"/>
              <w:left w:val="single" w:color="000000" w:sz="6" w:space="0"/>
              <w:bottom w:val="single" w:color="000000" w:sz="6" w:space="0"/>
            </w:tcBorders>
            <w:noWrap w:val="0"/>
            <w:vAlign w:val="center"/>
          </w:tcPr>
          <w:p w14:paraId="56558ED6">
            <w:pPr>
              <w:pStyle w:val="201"/>
              <w:jc w:val="center"/>
              <w:outlineLvl w:val="9"/>
              <w:rPr>
                <w:rFonts w:hint="eastAsia" w:ascii="仿宋" w:hAnsi="仿宋" w:eastAsia="仿宋" w:cs="仿宋"/>
                <w:sz w:val="24"/>
                <w:szCs w:val="24"/>
                <w:highlight w:val="none"/>
              </w:rPr>
            </w:pPr>
          </w:p>
        </w:tc>
      </w:tr>
      <w:tr w14:paraId="5C4A4B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noWrap w:val="0"/>
            <w:vAlign w:val="center"/>
          </w:tcPr>
          <w:p w14:paraId="550FD6E0">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0A43C2D5">
            <w:pPr>
              <w:pStyle w:val="201"/>
              <w:jc w:val="center"/>
              <w:outlineLvl w:val="9"/>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60D14B03">
            <w:pPr>
              <w:widowControl/>
              <w:jc w:val="center"/>
              <w:outlineLvl w:val="9"/>
              <w:rPr>
                <w:rFonts w:hint="eastAsia" w:ascii="仿宋" w:hAnsi="仿宋" w:eastAsia="仿宋" w:cs="仿宋"/>
                <w:sz w:val="24"/>
                <w:szCs w:val="24"/>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3AF99BBA">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p>
        </w:tc>
        <w:tc>
          <w:tcPr>
            <w:tcW w:w="1785" w:type="dxa"/>
            <w:gridSpan w:val="2"/>
            <w:tcBorders>
              <w:top w:val="single" w:color="000000" w:sz="6" w:space="0"/>
              <w:left w:val="single" w:color="000000" w:sz="6" w:space="0"/>
              <w:bottom w:val="single" w:color="000000" w:sz="6" w:space="0"/>
            </w:tcBorders>
            <w:noWrap w:val="0"/>
            <w:vAlign w:val="center"/>
          </w:tcPr>
          <w:p w14:paraId="784F9B03">
            <w:pPr>
              <w:pStyle w:val="201"/>
              <w:jc w:val="center"/>
              <w:outlineLvl w:val="9"/>
              <w:rPr>
                <w:rFonts w:hint="eastAsia" w:ascii="仿宋" w:hAnsi="仿宋" w:eastAsia="仿宋" w:cs="仿宋"/>
                <w:sz w:val="24"/>
                <w:szCs w:val="24"/>
                <w:highlight w:val="none"/>
              </w:rPr>
            </w:pPr>
          </w:p>
        </w:tc>
      </w:tr>
      <w:tr w14:paraId="1EA99E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4" w:hRule="atLeast"/>
          <w:jc w:val="center"/>
        </w:trPr>
        <w:tc>
          <w:tcPr>
            <w:tcW w:w="1985" w:type="dxa"/>
            <w:tcBorders>
              <w:top w:val="single" w:color="000000" w:sz="6" w:space="0"/>
              <w:bottom w:val="single" w:color="000000" w:sz="6" w:space="0"/>
              <w:right w:val="single" w:color="000000" w:sz="6" w:space="0"/>
            </w:tcBorders>
            <w:noWrap w:val="0"/>
            <w:vAlign w:val="center"/>
          </w:tcPr>
          <w:p w14:paraId="17161CB2">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52592013">
            <w:pPr>
              <w:pStyle w:val="201"/>
              <w:outlineLvl w:val="9"/>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3166AECE">
            <w:pPr>
              <w:widowControl/>
              <w:jc w:val="left"/>
              <w:outlineLvl w:val="9"/>
              <w:rPr>
                <w:rFonts w:hint="eastAsia" w:ascii="仿宋" w:hAnsi="仿宋" w:eastAsia="仿宋" w:cs="仿宋"/>
                <w:sz w:val="24"/>
                <w:szCs w:val="24"/>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2432BAFB">
            <w:pPr>
              <w:pStyle w:val="201"/>
              <w:outlineLvl w:val="9"/>
              <w:rPr>
                <w:rFonts w:hint="eastAsia" w:ascii="仿宋" w:hAnsi="仿宋" w:eastAsia="仿宋" w:cs="仿宋"/>
                <w:sz w:val="24"/>
                <w:szCs w:val="24"/>
                <w:highlight w:val="none"/>
              </w:rPr>
            </w:pPr>
          </w:p>
        </w:tc>
        <w:tc>
          <w:tcPr>
            <w:tcW w:w="1785" w:type="dxa"/>
            <w:gridSpan w:val="2"/>
            <w:tcBorders>
              <w:top w:val="single" w:color="000000" w:sz="6" w:space="0"/>
              <w:left w:val="single" w:color="000000" w:sz="6" w:space="0"/>
              <w:bottom w:val="single" w:color="000000" w:sz="6" w:space="0"/>
            </w:tcBorders>
            <w:noWrap w:val="0"/>
            <w:vAlign w:val="center"/>
          </w:tcPr>
          <w:p w14:paraId="1C619922">
            <w:pPr>
              <w:pStyle w:val="201"/>
              <w:outlineLvl w:val="9"/>
              <w:rPr>
                <w:rFonts w:hint="eastAsia" w:ascii="仿宋" w:hAnsi="仿宋" w:eastAsia="仿宋" w:cs="仿宋"/>
                <w:sz w:val="24"/>
                <w:szCs w:val="24"/>
                <w:highlight w:val="none"/>
              </w:rPr>
            </w:pPr>
          </w:p>
        </w:tc>
      </w:tr>
      <w:tr w14:paraId="0FE109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bottom w:val="single" w:color="000000" w:sz="6" w:space="0"/>
              <w:right w:val="single" w:color="000000" w:sz="6" w:space="0"/>
            </w:tcBorders>
            <w:noWrap w:val="0"/>
            <w:vAlign w:val="center"/>
          </w:tcPr>
          <w:p w14:paraId="35CBE1B0">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7174" w:type="dxa"/>
            <w:gridSpan w:val="9"/>
            <w:tcBorders>
              <w:top w:val="single" w:color="000000" w:sz="6" w:space="0"/>
              <w:left w:val="single" w:color="000000" w:sz="6" w:space="0"/>
              <w:bottom w:val="single" w:color="000000" w:sz="6" w:space="0"/>
            </w:tcBorders>
            <w:noWrap w:val="0"/>
            <w:vAlign w:val="center"/>
          </w:tcPr>
          <w:p w14:paraId="657E0AFD">
            <w:pPr>
              <w:pStyle w:val="201"/>
              <w:outlineLvl w:val="9"/>
              <w:rPr>
                <w:rFonts w:hint="eastAsia" w:ascii="仿宋" w:hAnsi="仿宋" w:eastAsia="仿宋" w:cs="仿宋"/>
                <w:sz w:val="24"/>
                <w:szCs w:val="24"/>
                <w:highlight w:val="none"/>
              </w:rPr>
            </w:pPr>
          </w:p>
        </w:tc>
      </w:tr>
      <w:tr w14:paraId="5304B5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noWrap w:val="0"/>
            <w:vAlign w:val="center"/>
          </w:tcPr>
          <w:p w14:paraId="4A5B1CCC">
            <w:pPr>
              <w:pStyle w:val="201"/>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174" w:type="dxa"/>
            <w:gridSpan w:val="9"/>
            <w:tcBorders>
              <w:top w:val="single" w:color="000000" w:sz="6" w:space="0"/>
              <w:left w:val="single" w:color="000000" w:sz="6" w:space="0"/>
            </w:tcBorders>
            <w:noWrap w:val="0"/>
            <w:vAlign w:val="center"/>
          </w:tcPr>
          <w:p w14:paraId="0FEB794D">
            <w:pPr>
              <w:pStyle w:val="201"/>
              <w:outlineLvl w:val="9"/>
              <w:rPr>
                <w:rFonts w:hint="eastAsia" w:ascii="仿宋" w:hAnsi="仿宋" w:eastAsia="仿宋" w:cs="仿宋"/>
                <w:sz w:val="24"/>
                <w:szCs w:val="24"/>
                <w:highlight w:val="none"/>
              </w:rPr>
            </w:pPr>
          </w:p>
        </w:tc>
      </w:tr>
    </w:tbl>
    <w:p w14:paraId="3A98B19F">
      <w:pPr>
        <w:pStyle w:val="128"/>
        <w:spacing w:line="500" w:lineRule="exact"/>
        <w:ind w:firstLine="480"/>
        <w:outlineLvl w:val="9"/>
        <w:rPr>
          <w:rFonts w:hint="eastAsia" w:ascii="仿宋" w:hAnsi="仿宋" w:eastAsia="仿宋" w:cs="仿宋"/>
          <w:sz w:val="24"/>
          <w:szCs w:val="24"/>
          <w:highlight w:val="none"/>
        </w:rPr>
      </w:pPr>
    </w:p>
    <w:p w14:paraId="16C44083">
      <w:pPr>
        <w:pStyle w:val="159"/>
        <w:outlineLvl w:val="9"/>
        <w:rPr>
          <w:rFonts w:hint="eastAsia" w:ascii="仿宋" w:hAnsi="仿宋" w:eastAsia="仿宋" w:cs="仿宋"/>
          <w:sz w:val="24"/>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72D5353D">
      <w:pPr>
        <w:pStyle w:val="200"/>
        <w:spacing w:line="360" w:lineRule="auto"/>
        <w:jc w:val="center"/>
        <w:outlineLvl w:val="9"/>
        <w:rPr>
          <w:rFonts w:hint="eastAsia" w:ascii="仿宋" w:hAnsi="仿宋" w:eastAsia="仿宋" w:cs="仿宋"/>
          <w:sz w:val="24"/>
          <w:szCs w:val="24"/>
          <w:highlight w:val="none"/>
          <w:u w:val="single"/>
        </w:rPr>
      </w:pPr>
      <w:bookmarkStart w:id="256" w:name="_Toc26948"/>
      <w:bookmarkStart w:id="257" w:name="_Toc15670"/>
      <w:bookmarkStart w:id="258" w:name="_Toc8623"/>
      <w:r>
        <w:rPr>
          <w:rFonts w:hint="eastAsia" w:ascii="仿宋" w:hAnsi="仿宋" w:eastAsia="仿宋" w:cs="仿宋"/>
          <w:sz w:val="30"/>
          <w:szCs w:val="30"/>
          <w:highlight w:val="none"/>
        </w:rPr>
        <w:t>（三）供应商类似项目业绩表</w:t>
      </w:r>
      <w:bookmarkEnd w:id="256"/>
      <w:bookmarkEnd w:id="257"/>
      <w:bookmarkEnd w:id="258"/>
    </w:p>
    <w:tbl>
      <w:tblPr>
        <w:tblStyle w:val="6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63FA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75D8BD4A">
            <w:pPr>
              <w:pStyle w:val="189"/>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200" w:type="dxa"/>
            <w:noWrap w:val="0"/>
            <w:vAlign w:val="top"/>
          </w:tcPr>
          <w:p w14:paraId="24CBBCF1">
            <w:pPr>
              <w:pStyle w:val="189"/>
              <w:jc w:val="center"/>
              <w:outlineLvl w:val="9"/>
              <w:rPr>
                <w:rFonts w:hint="eastAsia" w:ascii="仿宋" w:hAnsi="仿宋" w:eastAsia="仿宋" w:cs="仿宋"/>
                <w:sz w:val="24"/>
                <w:szCs w:val="24"/>
                <w:highlight w:val="none"/>
              </w:rPr>
            </w:pPr>
          </w:p>
        </w:tc>
      </w:tr>
      <w:tr w14:paraId="3B9E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08" w:type="dxa"/>
            <w:noWrap w:val="0"/>
            <w:vAlign w:val="center"/>
          </w:tcPr>
          <w:p w14:paraId="2D8E64A1">
            <w:pPr>
              <w:pStyle w:val="189"/>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项目单位名称</w:t>
            </w:r>
          </w:p>
        </w:tc>
        <w:tc>
          <w:tcPr>
            <w:tcW w:w="7200" w:type="dxa"/>
            <w:noWrap w:val="0"/>
            <w:vAlign w:val="top"/>
          </w:tcPr>
          <w:p w14:paraId="5DA05F9A">
            <w:pPr>
              <w:pStyle w:val="189"/>
              <w:jc w:val="center"/>
              <w:outlineLvl w:val="9"/>
              <w:rPr>
                <w:rFonts w:hint="eastAsia" w:ascii="仿宋" w:hAnsi="仿宋" w:eastAsia="仿宋" w:cs="仿宋"/>
                <w:sz w:val="24"/>
                <w:szCs w:val="24"/>
                <w:highlight w:val="none"/>
              </w:rPr>
            </w:pPr>
          </w:p>
        </w:tc>
      </w:tr>
      <w:tr w14:paraId="5138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368C72E7">
            <w:pPr>
              <w:pStyle w:val="189"/>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项目单位联系人姓名及联系方式</w:t>
            </w:r>
          </w:p>
        </w:tc>
        <w:tc>
          <w:tcPr>
            <w:tcW w:w="7200" w:type="dxa"/>
            <w:noWrap w:val="0"/>
            <w:vAlign w:val="top"/>
          </w:tcPr>
          <w:p w14:paraId="4A974C28">
            <w:pPr>
              <w:pStyle w:val="189"/>
              <w:jc w:val="center"/>
              <w:outlineLvl w:val="9"/>
              <w:rPr>
                <w:rFonts w:hint="eastAsia" w:ascii="仿宋" w:hAnsi="仿宋" w:eastAsia="仿宋" w:cs="仿宋"/>
                <w:sz w:val="24"/>
                <w:szCs w:val="24"/>
                <w:highlight w:val="none"/>
              </w:rPr>
            </w:pPr>
          </w:p>
        </w:tc>
      </w:tr>
      <w:tr w14:paraId="37A9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2C3E77C8">
            <w:pPr>
              <w:pStyle w:val="189"/>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tc>
        <w:tc>
          <w:tcPr>
            <w:tcW w:w="7200" w:type="dxa"/>
            <w:noWrap w:val="0"/>
            <w:vAlign w:val="top"/>
          </w:tcPr>
          <w:p w14:paraId="13940832">
            <w:pPr>
              <w:pStyle w:val="189"/>
              <w:jc w:val="center"/>
              <w:outlineLvl w:val="9"/>
              <w:rPr>
                <w:rFonts w:hint="eastAsia" w:ascii="仿宋" w:hAnsi="仿宋" w:eastAsia="仿宋" w:cs="仿宋"/>
                <w:sz w:val="24"/>
                <w:szCs w:val="24"/>
                <w:highlight w:val="none"/>
              </w:rPr>
            </w:pPr>
          </w:p>
        </w:tc>
      </w:tr>
      <w:tr w14:paraId="6061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908" w:type="dxa"/>
            <w:noWrap w:val="0"/>
            <w:vAlign w:val="center"/>
          </w:tcPr>
          <w:p w14:paraId="35C42977">
            <w:pPr>
              <w:pStyle w:val="189"/>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p>
          <w:p w14:paraId="00BD1043">
            <w:pPr>
              <w:pStyle w:val="189"/>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7200" w:type="dxa"/>
            <w:noWrap w:val="0"/>
            <w:vAlign w:val="top"/>
          </w:tcPr>
          <w:p w14:paraId="3F546170">
            <w:pPr>
              <w:pStyle w:val="189"/>
              <w:jc w:val="center"/>
              <w:outlineLvl w:val="9"/>
              <w:rPr>
                <w:rFonts w:hint="eastAsia" w:ascii="仿宋" w:hAnsi="仿宋" w:eastAsia="仿宋" w:cs="仿宋"/>
                <w:sz w:val="24"/>
                <w:szCs w:val="24"/>
                <w:highlight w:val="none"/>
              </w:rPr>
            </w:pPr>
          </w:p>
        </w:tc>
      </w:tr>
      <w:tr w14:paraId="28EF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08" w:type="dxa"/>
            <w:noWrap w:val="0"/>
            <w:vAlign w:val="center"/>
          </w:tcPr>
          <w:p w14:paraId="5639DE15">
            <w:pPr>
              <w:pStyle w:val="189"/>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项目实施时间</w:t>
            </w:r>
          </w:p>
        </w:tc>
        <w:tc>
          <w:tcPr>
            <w:tcW w:w="7200" w:type="dxa"/>
            <w:noWrap w:val="0"/>
            <w:vAlign w:val="top"/>
          </w:tcPr>
          <w:p w14:paraId="7163F13E">
            <w:pPr>
              <w:pStyle w:val="189"/>
              <w:jc w:val="center"/>
              <w:outlineLvl w:val="9"/>
              <w:rPr>
                <w:rFonts w:hint="eastAsia" w:ascii="仿宋" w:hAnsi="仿宋" w:eastAsia="仿宋" w:cs="仿宋"/>
                <w:sz w:val="24"/>
                <w:szCs w:val="24"/>
                <w:highlight w:val="none"/>
              </w:rPr>
            </w:pPr>
          </w:p>
        </w:tc>
      </w:tr>
      <w:tr w14:paraId="0DB0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21952ADC">
            <w:pPr>
              <w:pStyle w:val="189"/>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项目内容说明</w:t>
            </w:r>
          </w:p>
        </w:tc>
        <w:tc>
          <w:tcPr>
            <w:tcW w:w="7200" w:type="dxa"/>
            <w:noWrap w:val="0"/>
            <w:vAlign w:val="top"/>
          </w:tcPr>
          <w:p w14:paraId="7091F4CA">
            <w:pPr>
              <w:pStyle w:val="189"/>
              <w:jc w:val="center"/>
              <w:outlineLvl w:val="9"/>
              <w:rPr>
                <w:rFonts w:hint="eastAsia" w:ascii="仿宋" w:hAnsi="仿宋" w:eastAsia="仿宋" w:cs="仿宋"/>
                <w:sz w:val="24"/>
                <w:szCs w:val="24"/>
                <w:highlight w:val="none"/>
              </w:rPr>
            </w:pPr>
          </w:p>
        </w:tc>
      </w:tr>
    </w:tbl>
    <w:p w14:paraId="120AA87A">
      <w:pPr>
        <w:pStyle w:val="189"/>
        <w:spacing w:line="360" w:lineRule="auto"/>
        <w:ind w:firstLine="720" w:firstLineChars="30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注：需提供有效证明材料。</w:t>
      </w:r>
    </w:p>
    <w:p w14:paraId="2DBB1F68">
      <w:pPr>
        <w:pStyle w:val="189"/>
        <w:spacing w:line="360" w:lineRule="auto"/>
        <w:ind w:firstLine="720" w:firstLineChars="300"/>
        <w:outlineLvl w:val="9"/>
        <w:rPr>
          <w:rFonts w:hint="eastAsia" w:ascii="仿宋" w:hAnsi="仿宋" w:eastAsia="仿宋" w:cs="仿宋"/>
          <w:sz w:val="24"/>
          <w:szCs w:val="24"/>
          <w:highlight w:val="none"/>
        </w:rPr>
      </w:pPr>
    </w:p>
    <w:p w14:paraId="53A90344">
      <w:pPr>
        <w:pStyle w:val="189"/>
        <w:spacing w:line="360" w:lineRule="auto"/>
        <w:ind w:firstLine="720" w:firstLineChars="300"/>
        <w:outlineLvl w:val="9"/>
        <w:rPr>
          <w:rFonts w:hint="eastAsia" w:ascii="仿宋" w:hAnsi="仿宋" w:eastAsia="仿宋" w:cs="仿宋"/>
          <w:sz w:val="24"/>
          <w:szCs w:val="24"/>
          <w:highlight w:val="none"/>
        </w:rPr>
      </w:pPr>
    </w:p>
    <w:bookmarkEnd w:id="255"/>
    <w:p w14:paraId="1AC52E2A">
      <w:pPr>
        <w:pStyle w:val="149"/>
        <w:spacing w:line="360" w:lineRule="auto"/>
        <w:ind w:firstLine="480" w:firstLineChars="200"/>
        <w:outlineLvl w:val="9"/>
        <w:rPr>
          <w:rFonts w:hint="eastAsia" w:ascii="仿宋" w:hAnsi="仿宋" w:eastAsia="仿宋" w:cs="仿宋"/>
          <w:sz w:val="24"/>
          <w:szCs w:val="21"/>
          <w:highlight w:val="none"/>
          <w:u w:val="single"/>
        </w:rPr>
      </w:pPr>
      <w:bookmarkStart w:id="259" w:name="_Toc256000031"/>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4423547B">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6A6B3980">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76A1B426">
      <w:pPr>
        <w:pStyle w:val="174"/>
        <w:outlineLvl w:val="9"/>
        <w:rPr>
          <w:rFonts w:hint="eastAsia" w:ascii="仿宋" w:hAnsi="仿宋" w:eastAsia="仿宋" w:cs="仿宋"/>
          <w:b/>
          <w:sz w:val="28"/>
          <w:szCs w:val="28"/>
          <w:highlight w:val="none"/>
        </w:rPr>
      </w:pPr>
    </w:p>
    <w:p w14:paraId="34A53BD5">
      <w:pPr>
        <w:pStyle w:val="174"/>
        <w:outlineLvl w:val="9"/>
        <w:rPr>
          <w:rFonts w:hint="eastAsia" w:ascii="仿宋" w:hAnsi="仿宋" w:eastAsia="仿宋" w:cs="仿宋"/>
          <w:b/>
          <w:sz w:val="28"/>
          <w:szCs w:val="28"/>
          <w:highlight w:val="none"/>
        </w:rPr>
      </w:pPr>
    </w:p>
    <w:p w14:paraId="78028A61">
      <w:pPr>
        <w:pStyle w:val="174"/>
        <w:outlineLvl w:val="9"/>
        <w:rPr>
          <w:rFonts w:hint="eastAsia" w:ascii="仿宋" w:hAnsi="仿宋" w:eastAsia="仿宋" w:cs="仿宋"/>
          <w:b/>
          <w:sz w:val="28"/>
          <w:szCs w:val="28"/>
          <w:highlight w:val="none"/>
        </w:rPr>
      </w:pPr>
    </w:p>
    <w:p w14:paraId="2838E7BB">
      <w:pPr>
        <w:pStyle w:val="174"/>
        <w:spacing w:line="360" w:lineRule="auto"/>
        <w:jc w:val="left"/>
        <w:outlineLvl w:val="9"/>
        <w:rPr>
          <w:rFonts w:hint="eastAsia" w:ascii="仿宋" w:hAnsi="仿宋" w:eastAsia="仿宋" w:cs="仿宋"/>
          <w:sz w:val="24"/>
          <w:szCs w:val="21"/>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12152133">
      <w:pPr>
        <w:pStyle w:val="200"/>
        <w:spacing w:line="360" w:lineRule="auto"/>
        <w:jc w:val="center"/>
        <w:outlineLvl w:val="3"/>
        <w:rPr>
          <w:rFonts w:hint="eastAsia" w:ascii="仿宋" w:hAnsi="仿宋" w:eastAsia="仿宋" w:cs="仿宋"/>
          <w:sz w:val="30"/>
          <w:szCs w:val="30"/>
          <w:highlight w:val="none"/>
        </w:rPr>
      </w:pPr>
      <w:bookmarkStart w:id="260" w:name="_Toc21685"/>
      <w:bookmarkStart w:id="261" w:name="_Toc27096"/>
      <w:bookmarkStart w:id="262" w:name="_Toc31194"/>
      <w:r>
        <w:rPr>
          <w:rFonts w:hint="eastAsia" w:ascii="仿宋" w:hAnsi="仿宋" w:eastAsia="仿宋" w:cs="仿宋"/>
          <w:sz w:val="30"/>
          <w:szCs w:val="30"/>
          <w:highlight w:val="none"/>
        </w:rPr>
        <w:t>（四）项目团队人员</w:t>
      </w:r>
      <w:bookmarkEnd w:id="260"/>
      <w:bookmarkEnd w:id="261"/>
      <w:bookmarkEnd w:id="262"/>
    </w:p>
    <w:p w14:paraId="34D96622">
      <w:pPr>
        <w:pStyle w:val="189"/>
        <w:jc w:val="center"/>
        <w:outlineLvl w:val="4"/>
        <w:rPr>
          <w:rFonts w:hint="eastAsia" w:ascii="仿宋" w:hAnsi="仿宋" w:eastAsia="仿宋" w:cs="仿宋"/>
          <w:b/>
          <w:sz w:val="24"/>
          <w:szCs w:val="24"/>
          <w:highlight w:val="none"/>
        </w:rPr>
      </w:pPr>
      <w:r>
        <w:rPr>
          <w:rFonts w:hint="eastAsia" w:ascii="仿宋" w:hAnsi="仿宋" w:eastAsia="仿宋" w:cs="仿宋"/>
          <w:b/>
          <w:sz w:val="24"/>
          <w:szCs w:val="24"/>
          <w:highlight w:val="none"/>
        </w:rPr>
        <w:t>拟投入本项目的项目负责人简历表</w:t>
      </w:r>
    </w:p>
    <w:p w14:paraId="7CB64612">
      <w:pPr>
        <w:outlineLvl w:val="9"/>
        <w:rPr>
          <w:rFonts w:hint="eastAsia" w:ascii="仿宋" w:hAnsi="仿宋" w:eastAsia="仿宋" w:cs="仿宋"/>
          <w:b/>
          <w:sz w:val="24"/>
          <w:szCs w:val="24"/>
          <w:highlight w:val="none"/>
        </w:rPr>
      </w:pPr>
    </w:p>
    <w:tbl>
      <w:tblPr>
        <w:tblStyle w:val="69"/>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71"/>
        <w:gridCol w:w="1863"/>
        <w:gridCol w:w="1675"/>
        <w:gridCol w:w="1750"/>
        <w:gridCol w:w="1187"/>
        <w:gridCol w:w="1407"/>
      </w:tblGrid>
      <w:tr w14:paraId="4B1C3E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1E52EFCD">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28788B66">
            <w:pPr>
              <w:ind w:firstLine="480" w:firstLineChars="200"/>
              <w:jc w:val="center"/>
              <w:outlineLvl w:val="9"/>
              <w:rPr>
                <w:rFonts w:hint="eastAsia" w:ascii="仿宋" w:hAnsi="仿宋" w:eastAsia="仿宋" w:cs="仿宋"/>
                <w:sz w:val="24"/>
                <w:szCs w:val="24"/>
                <w:highlight w:val="none"/>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4794EB07">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性别</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C93C9AA">
            <w:pPr>
              <w:ind w:firstLine="480" w:firstLineChars="200"/>
              <w:jc w:val="center"/>
              <w:outlineLvl w:val="9"/>
              <w:rPr>
                <w:rFonts w:hint="eastAsia" w:ascii="仿宋" w:hAnsi="仿宋" w:eastAsia="仿宋" w:cs="仿宋"/>
                <w:sz w:val="24"/>
                <w:szCs w:val="24"/>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F3BB55C">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5D2A8E6">
            <w:pPr>
              <w:ind w:firstLine="480" w:firstLineChars="200"/>
              <w:jc w:val="center"/>
              <w:outlineLvl w:val="9"/>
              <w:rPr>
                <w:rFonts w:hint="eastAsia" w:ascii="仿宋" w:hAnsi="仿宋" w:eastAsia="仿宋" w:cs="仿宋"/>
                <w:sz w:val="24"/>
                <w:szCs w:val="24"/>
                <w:highlight w:val="none"/>
              </w:rPr>
            </w:pPr>
          </w:p>
        </w:tc>
      </w:tr>
      <w:tr w14:paraId="77EAE3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2DE4D5F9">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EFA08BD">
            <w:pPr>
              <w:ind w:firstLine="480" w:firstLineChars="200"/>
              <w:jc w:val="center"/>
              <w:outlineLvl w:val="9"/>
              <w:rPr>
                <w:rFonts w:hint="eastAsia" w:ascii="仿宋" w:hAnsi="仿宋" w:eastAsia="仿宋" w:cs="仿宋"/>
                <w:sz w:val="24"/>
                <w:szCs w:val="24"/>
                <w:highlight w:val="none"/>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576FAC05">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61083A6E">
            <w:pPr>
              <w:ind w:firstLine="480" w:firstLineChars="200"/>
              <w:jc w:val="center"/>
              <w:outlineLvl w:val="9"/>
              <w:rPr>
                <w:rFonts w:hint="eastAsia" w:ascii="仿宋" w:hAnsi="仿宋" w:eastAsia="仿宋" w:cs="仿宋"/>
                <w:sz w:val="24"/>
                <w:szCs w:val="24"/>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83B6397">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学历</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F8BABCF">
            <w:pPr>
              <w:ind w:firstLine="480" w:firstLineChars="200"/>
              <w:jc w:val="center"/>
              <w:outlineLvl w:val="9"/>
              <w:rPr>
                <w:rFonts w:hint="eastAsia" w:ascii="仿宋" w:hAnsi="仿宋" w:eastAsia="仿宋" w:cs="仿宋"/>
                <w:sz w:val="24"/>
                <w:szCs w:val="24"/>
                <w:highlight w:val="none"/>
              </w:rPr>
            </w:pPr>
          </w:p>
        </w:tc>
      </w:tr>
      <w:tr w14:paraId="6E5CD70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4CB19E04">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参加工作时间</w:t>
            </w:r>
          </w:p>
        </w:tc>
        <w:tc>
          <w:tcPr>
            <w:tcW w:w="3538" w:type="dxa"/>
            <w:gridSpan w:val="2"/>
            <w:tcBorders>
              <w:top w:val="single" w:color="000000" w:sz="4" w:space="0"/>
              <w:left w:val="single" w:color="000000" w:sz="4" w:space="0"/>
              <w:bottom w:val="single" w:color="000000" w:sz="4" w:space="0"/>
              <w:right w:val="single" w:color="000000" w:sz="4" w:space="0"/>
            </w:tcBorders>
            <w:noWrap w:val="0"/>
            <w:vAlign w:val="center"/>
          </w:tcPr>
          <w:p w14:paraId="206D5537">
            <w:pPr>
              <w:ind w:firstLine="480" w:firstLineChars="200"/>
              <w:jc w:val="center"/>
              <w:outlineLvl w:val="9"/>
              <w:rPr>
                <w:rFonts w:hint="eastAsia" w:ascii="仿宋" w:hAnsi="仿宋" w:eastAsia="仿宋" w:cs="仿宋"/>
                <w:sz w:val="24"/>
                <w:szCs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2C98CB12">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从事项目负责年限</w:t>
            </w:r>
          </w:p>
        </w:tc>
        <w:tc>
          <w:tcPr>
            <w:tcW w:w="2594" w:type="dxa"/>
            <w:gridSpan w:val="2"/>
            <w:tcBorders>
              <w:top w:val="single" w:color="000000" w:sz="4" w:space="0"/>
              <w:left w:val="single" w:color="000000" w:sz="4" w:space="0"/>
              <w:bottom w:val="single" w:color="000000" w:sz="4" w:space="0"/>
              <w:right w:val="single" w:color="000000" w:sz="4" w:space="0"/>
            </w:tcBorders>
            <w:noWrap w:val="0"/>
            <w:vAlign w:val="center"/>
          </w:tcPr>
          <w:p w14:paraId="01317401">
            <w:pPr>
              <w:ind w:firstLine="480" w:firstLineChars="200"/>
              <w:jc w:val="center"/>
              <w:outlineLvl w:val="9"/>
              <w:rPr>
                <w:rFonts w:hint="eastAsia" w:ascii="仿宋" w:hAnsi="仿宋" w:eastAsia="仿宋" w:cs="仿宋"/>
                <w:sz w:val="24"/>
                <w:szCs w:val="24"/>
                <w:highlight w:val="none"/>
              </w:rPr>
            </w:pPr>
          </w:p>
        </w:tc>
      </w:tr>
      <w:tr w14:paraId="4BA358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53" w:type="dxa"/>
            <w:gridSpan w:val="6"/>
            <w:tcBorders>
              <w:top w:val="single" w:color="000000" w:sz="4" w:space="0"/>
              <w:left w:val="single" w:color="000000" w:sz="4" w:space="0"/>
              <w:bottom w:val="single" w:color="000000" w:sz="4" w:space="0"/>
              <w:right w:val="single" w:color="000000" w:sz="4" w:space="0"/>
            </w:tcBorders>
            <w:noWrap w:val="0"/>
            <w:vAlign w:val="center"/>
          </w:tcPr>
          <w:p w14:paraId="43366059">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已完成项目情况</w:t>
            </w:r>
          </w:p>
        </w:tc>
      </w:tr>
      <w:tr w14:paraId="7EEF5B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43B61307">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63BE5F22">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规模</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01F55F05">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7593DBE0">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tc>
        <w:tc>
          <w:tcPr>
            <w:tcW w:w="2594" w:type="dxa"/>
            <w:gridSpan w:val="2"/>
            <w:tcBorders>
              <w:top w:val="single" w:color="000000" w:sz="4" w:space="0"/>
              <w:left w:val="single" w:color="000000" w:sz="4" w:space="0"/>
              <w:bottom w:val="single" w:color="000000" w:sz="4" w:space="0"/>
              <w:right w:val="single" w:color="000000" w:sz="4" w:space="0"/>
            </w:tcBorders>
            <w:noWrap w:val="0"/>
            <w:vAlign w:val="center"/>
          </w:tcPr>
          <w:p w14:paraId="78FCF092">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58B92B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7C9D2410">
            <w:pPr>
              <w:ind w:firstLine="480" w:firstLineChars="200"/>
              <w:jc w:val="center"/>
              <w:outlineLvl w:val="9"/>
              <w:rPr>
                <w:rFonts w:hint="eastAsia" w:ascii="仿宋" w:hAnsi="仿宋" w:eastAsia="仿宋" w:cs="仿宋"/>
                <w:sz w:val="24"/>
                <w:szCs w:val="24"/>
                <w:highlight w:val="none"/>
              </w:rPr>
            </w:pP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3D91DC4">
            <w:pPr>
              <w:ind w:firstLine="480" w:firstLineChars="200"/>
              <w:jc w:val="center"/>
              <w:outlineLvl w:val="9"/>
              <w:rPr>
                <w:rFonts w:hint="eastAsia" w:ascii="仿宋" w:hAnsi="仿宋" w:eastAsia="仿宋" w:cs="仿宋"/>
                <w:sz w:val="24"/>
                <w:szCs w:val="24"/>
                <w:highlight w:val="none"/>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02294C9F">
            <w:pPr>
              <w:ind w:firstLine="480" w:firstLineChars="200"/>
              <w:jc w:val="center"/>
              <w:outlineLvl w:val="9"/>
              <w:rPr>
                <w:rFonts w:hint="eastAsia" w:ascii="仿宋" w:hAnsi="仿宋" w:eastAsia="仿宋" w:cs="仿宋"/>
                <w:sz w:val="24"/>
                <w:szCs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087C275">
            <w:pPr>
              <w:ind w:firstLine="480" w:firstLineChars="200"/>
              <w:jc w:val="center"/>
              <w:outlineLvl w:val="9"/>
              <w:rPr>
                <w:rFonts w:hint="eastAsia" w:ascii="仿宋" w:hAnsi="仿宋" w:eastAsia="仿宋" w:cs="仿宋"/>
                <w:sz w:val="24"/>
                <w:szCs w:val="24"/>
                <w:highlight w:val="none"/>
              </w:rPr>
            </w:pPr>
          </w:p>
        </w:tc>
        <w:tc>
          <w:tcPr>
            <w:tcW w:w="2594" w:type="dxa"/>
            <w:gridSpan w:val="2"/>
            <w:tcBorders>
              <w:top w:val="single" w:color="000000" w:sz="4" w:space="0"/>
              <w:left w:val="single" w:color="000000" w:sz="4" w:space="0"/>
              <w:bottom w:val="single" w:color="000000" w:sz="4" w:space="0"/>
              <w:right w:val="single" w:color="000000" w:sz="4" w:space="0"/>
            </w:tcBorders>
            <w:noWrap w:val="0"/>
            <w:vAlign w:val="center"/>
          </w:tcPr>
          <w:p w14:paraId="4EE9DA6B">
            <w:pPr>
              <w:ind w:firstLine="480" w:firstLineChars="200"/>
              <w:jc w:val="center"/>
              <w:outlineLvl w:val="9"/>
              <w:rPr>
                <w:rFonts w:hint="eastAsia" w:ascii="仿宋" w:hAnsi="仿宋" w:eastAsia="仿宋" w:cs="仿宋"/>
                <w:sz w:val="24"/>
                <w:szCs w:val="24"/>
                <w:highlight w:val="none"/>
              </w:rPr>
            </w:pPr>
          </w:p>
        </w:tc>
      </w:tr>
      <w:tr w14:paraId="3E7E03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6A7E4AE7">
            <w:pPr>
              <w:ind w:firstLine="480" w:firstLineChars="200"/>
              <w:jc w:val="center"/>
              <w:outlineLvl w:val="9"/>
              <w:rPr>
                <w:rFonts w:hint="eastAsia" w:ascii="仿宋" w:hAnsi="仿宋" w:eastAsia="仿宋" w:cs="仿宋"/>
                <w:sz w:val="24"/>
                <w:szCs w:val="24"/>
                <w:highlight w:val="none"/>
              </w:rPr>
            </w:pP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04530717">
            <w:pPr>
              <w:ind w:firstLine="480" w:firstLineChars="200"/>
              <w:jc w:val="center"/>
              <w:outlineLvl w:val="9"/>
              <w:rPr>
                <w:rFonts w:hint="eastAsia" w:ascii="仿宋" w:hAnsi="仿宋" w:eastAsia="仿宋" w:cs="仿宋"/>
                <w:sz w:val="24"/>
                <w:szCs w:val="24"/>
                <w:highlight w:val="none"/>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779D8BEB">
            <w:pPr>
              <w:ind w:firstLine="480" w:firstLineChars="200"/>
              <w:jc w:val="center"/>
              <w:outlineLvl w:val="9"/>
              <w:rPr>
                <w:rFonts w:hint="eastAsia" w:ascii="仿宋" w:hAnsi="仿宋" w:eastAsia="仿宋" w:cs="仿宋"/>
                <w:sz w:val="24"/>
                <w:szCs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E7673C6">
            <w:pPr>
              <w:ind w:firstLine="480" w:firstLineChars="200"/>
              <w:jc w:val="center"/>
              <w:outlineLvl w:val="9"/>
              <w:rPr>
                <w:rFonts w:hint="eastAsia" w:ascii="仿宋" w:hAnsi="仿宋" w:eastAsia="仿宋" w:cs="仿宋"/>
                <w:sz w:val="24"/>
                <w:szCs w:val="24"/>
                <w:highlight w:val="none"/>
              </w:rPr>
            </w:pPr>
          </w:p>
        </w:tc>
        <w:tc>
          <w:tcPr>
            <w:tcW w:w="2594" w:type="dxa"/>
            <w:gridSpan w:val="2"/>
            <w:tcBorders>
              <w:top w:val="single" w:color="000000" w:sz="4" w:space="0"/>
              <w:left w:val="single" w:color="000000" w:sz="4" w:space="0"/>
              <w:bottom w:val="single" w:color="000000" w:sz="4" w:space="0"/>
              <w:right w:val="single" w:color="000000" w:sz="4" w:space="0"/>
            </w:tcBorders>
            <w:noWrap w:val="0"/>
            <w:vAlign w:val="center"/>
          </w:tcPr>
          <w:p w14:paraId="4FED8AE5">
            <w:pPr>
              <w:ind w:firstLine="480" w:firstLineChars="200"/>
              <w:jc w:val="center"/>
              <w:outlineLvl w:val="9"/>
              <w:rPr>
                <w:rFonts w:hint="eastAsia" w:ascii="仿宋" w:hAnsi="仿宋" w:eastAsia="仿宋" w:cs="仿宋"/>
                <w:sz w:val="24"/>
                <w:szCs w:val="24"/>
                <w:highlight w:val="none"/>
              </w:rPr>
            </w:pPr>
          </w:p>
        </w:tc>
      </w:tr>
      <w:tr w14:paraId="459003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5F16986D">
            <w:pPr>
              <w:ind w:firstLine="480" w:firstLineChars="200"/>
              <w:jc w:val="center"/>
              <w:outlineLvl w:val="9"/>
              <w:rPr>
                <w:rFonts w:hint="eastAsia" w:ascii="仿宋" w:hAnsi="仿宋" w:eastAsia="仿宋" w:cs="仿宋"/>
                <w:sz w:val="24"/>
                <w:szCs w:val="24"/>
                <w:highlight w:val="none"/>
              </w:rPr>
            </w:pP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4D9ECCA">
            <w:pPr>
              <w:ind w:firstLine="480" w:firstLineChars="200"/>
              <w:jc w:val="center"/>
              <w:outlineLvl w:val="9"/>
              <w:rPr>
                <w:rFonts w:hint="eastAsia" w:ascii="仿宋" w:hAnsi="仿宋" w:eastAsia="仿宋" w:cs="仿宋"/>
                <w:sz w:val="24"/>
                <w:szCs w:val="24"/>
                <w:highlight w:val="none"/>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13146581">
            <w:pPr>
              <w:ind w:firstLine="480" w:firstLineChars="200"/>
              <w:jc w:val="center"/>
              <w:outlineLvl w:val="9"/>
              <w:rPr>
                <w:rFonts w:hint="eastAsia" w:ascii="仿宋" w:hAnsi="仿宋" w:eastAsia="仿宋" w:cs="仿宋"/>
                <w:sz w:val="24"/>
                <w:szCs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94941BA">
            <w:pPr>
              <w:ind w:firstLine="480" w:firstLineChars="200"/>
              <w:jc w:val="center"/>
              <w:outlineLvl w:val="9"/>
              <w:rPr>
                <w:rFonts w:hint="eastAsia" w:ascii="仿宋" w:hAnsi="仿宋" w:eastAsia="仿宋" w:cs="仿宋"/>
                <w:sz w:val="24"/>
                <w:szCs w:val="24"/>
                <w:highlight w:val="none"/>
              </w:rPr>
            </w:pPr>
          </w:p>
        </w:tc>
        <w:tc>
          <w:tcPr>
            <w:tcW w:w="2594" w:type="dxa"/>
            <w:gridSpan w:val="2"/>
            <w:tcBorders>
              <w:top w:val="single" w:color="000000" w:sz="4" w:space="0"/>
              <w:left w:val="single" w:color="000000" w:sz="4" w:space="0"/>
              <w:bottom w:val="single" w:color="000000" w:sz="4" w:space="0"/>
              <w:right w:val="single" w:color="000000" w:sz="4" w:space="0"/>
            </w:tcBorders>
            <w:noWrap w:val="0"/>
            <w:vAlign w:val="center"/>
          </w:tcPr>
          <w:p w14:paraId="516A9F85">
            <w:pPr>
              <w:ind w:firstLine="480" w:firstLineChars="200"/>
              <w:jc w:val="center"/>
              <w:outlineLvl w:val="9"/>
              <w:rPr>
                <w:rFonts w:hint="eastAsia" w:ascii="仿宋" w:hAnsi="仿宋" w:eastAsia="仿宋" w:cs="仿宋"/>
                <w:sz w:val="24"/>
                <w:szCs w:val="24"/>
                <w:highlight w:val="none"/>
              </w:rPr>
            </w:pPr>
          </w:p>
        </w:tc>
      </w:tr>
      <w:tr w14:paraId="38DEE93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53" w:type="dxa"/>
            <w:gridSpan w:val="6"/>
            <w:tcBorders>
              <w:top w:val="single" w:color="000000" w:sz="4" w:space="0"/>
              <w:left w:val="single" w:color="000000" w:sz="4" w:space="0"/>
              <w:bottom w:val="single" w:color="000000" w:sz="4" w:space="0"/>
              <w:right w:val="single" w:color="000000" w:sz="4" w:space="0"/>
            </w:tcBorders>
            <w:noWrap w:val="0"/>
            <w:vAlign w:val="center"/>
          </w:tcPr>
          <w:p w14:paraId="305A8C2A">
            <w:pPr>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目前正在服务项目情况</w:t>
            </w:r>
          </w:p>
        </w:tc>
      </w:tr>
      <w:tr w14:paraId="4BE6B1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70B3C87C">
            <w:pPr>
              <w:ind w:firstLine="480" w:firstLineChars="200"/>
              <w:jc w:val="center"/>
              <w:outlineLvl w:val="9"/>
              <w:rPr>
                <w:rFonts w:hint="eastAsia" w:ascii="仿宋" w:hAnsi="仿宋" w:eastAsia="仿宋" w:cs="仿宋"/>
                <w:sz w:val="24"/>
                <w:szCs w:val="24"/>
                <w:highlight w:val="none"/>
              </w:rPr>
            </w:pP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D881FC0">
            <w:pPr>
              <w:ind w:firstLine="480" w:firstLineChars="200"/>
              <w:jc w:val="center"/>
              <w:outlineLvl w:val="9"/>
              <w:rPr>
                <w:rFonts w:hint="eastAsia" w:ascii="仿宋" w:hAnsi="仿宋" w:eastAsia="仿宋" w:cs="仿宋"/>
                <w:sz w:val="24"/>
                <w:szCs w:val="24"/>
                <w:highlight w:val="none"/>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79B9C9AC">
            <w:pPr>
              <w:ind w:firstLine="480" w:firstLineChars="200"/>
              <w:jc w:val="center"/>
              <w:outlineLvl w:val="9"/>
              <w:rPr>
                <w:rFonts w:hint="eastAsia" w:ascii="仿宋" w:hAnsi="仿宋" w:eastAsia="仿宋" w:cs="仿宋"/>
                <w:sz w:val="24"/>
                <w:szCs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F18707D">
            <w:pPr>
              <w:ind w:firstLine="480" w:firstLineChars="200"/>
              <w:jc w:val="center"/>
              <w:outlineLvl w:val="9"/>
              <w:rPr>
                <w:rFonts w:hint="eastAsia" w:ascii="仿宋" w:hAnsi="仿宋" w:eastAsia="仿宋" w:cs="仿宋"/>
                <w:sz w:val="24"/>
                <w:szCs w:val="24"/>
                <w:highlight w:val="none"/>
              </w:rPr>
            </w:pPr>
          </w:p>
        </w:tc>
        <w:tc>
          <w:tcPr>
            <w:tcW w:w="2594" w:type="dxa"/>
            <w:gridSpan w:val="2"/>
            <w:tcBorders>
              <w:top w:val="single" w:color="000000" w:sz="4" w:space="0"/>
              <w:left w:val="single" w:color="000000" w:sz="4" w:space="0"/>
              <w:bottom w:val="single" w:color="000000" w:sz="4" w:space="0"/>
              <w:right w:val="single" w:color="000000" w:sz="4" w:space="0"/>
            </w:tcBorders>
            <w:noWrap w:val="0"/>
            <w:vAlign w:val="center"/>
          </w:tcPr>
          <w:p w14:paraId="18AEBA3F">
            <w:pPr>
              <w:ind w:firstLine="480" w:firstLineChars="200"/>
              <w:jc w:val="center"/>
              <w:outlineLvl w:val="9"/>
              <w:rPr>
                <w:rFonts w:hint="eastAsia" w:ascii="仿宋" w:hAnsi="仿宋" w:eastAsia="仿宋" w:cs="仿宋"/>
                <w:sz w:val="24"/>
                <w:szCs w:val="24"/>
                <w:highlight w:val="none"/>
              </w:rPr>
            </w:pPr>
          </w:p>
        </w:tc>
      </w:tr>
      <w:tr w14:paraId="469F76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1B2EDB7D">
            <w:pPr>
              <w:ind w:firstLine="480" w:firstLineChars="200"/>
              <w:jc w:val="center"/>
              <w:outlineLvl w:val="9"/>
              <w:rPr>
                <w:rFonts w:hint="eastAsia" w:ascii="仿宋" w:hAnsi="仿宋" w:eastAsia="仿宋" w:cs="仿宋"/>
                <w:sz w:val="24"/>
                <w:szCs w:val="24"/>
                <w:highlight w:val="none"/>
              </w:rPr>
            </w:pP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0127163D">
            <w:pPr>
              <w:ind w:firstLine="480" w:firstLineChars="200"/>
              <w:jc w:val="center"/>
              <w:outlineLvl w:val="9"/>
              <w:rPr>
                <w:rFonts w:hint="eastAsia" w:ascii="仿宋" w:hAnsi="仿宋" w:eastAsia="仿宋" w:cs="仿宋"/>
                <w:sz w:val="24"/>
                <w:szCs w:val="24"/>
                <w:highlight w:val="none"/>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55C8CCFC">
            <w:pPr>
              <w:ind w:firstLine="480" w:firstLineChars="200"/>
              <w:jc w:val="center"/>
              <w:outlineLvl w:val="9"/>
              <w:rPr>
                <w:rFonts w:hint="eastAsia" w:ascii="仿宋" w:hAnsi="仿宋" w:eastAsia="仿宋" w:cs="仿宋"/>
                <w:sz w:val="24"/>
                <w:szCs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F1F31D3">
            <w:pPr>
              <w:ind w:firstLine="480" w:firstLineChars="200"/>
              <w:jc w:val="center"/>
              <w:outlineLvl w:val="9"/>
              <w:rPr>
                <w:rFonts w:hint="eastAsia" w:ascii="仿宋" w:hAnsi="仿宋" w:eastAsia="仿宋" w:cs="仿宋"/>
                <w:sz w:val="24"/>
                <w:szCs w:val="24"/>
                <w:highlight w:val="none"/>
              </w:rPr>
            </w:pPr>
          </w:p>
        </w:tc>
        <w:tc>
          <w:tcPr>
            <w:tcW w:w="2594" w:type="dxa"/>
            <w:gridSpan w:val="2"/>
            <w:tcBorders>
              <w:top w:val="single" w:color="000000" w:sz="4" w:space="0"/>
              <w:left w:val="single" w:color="000000" w:sz="4" w:space="0"/>
              <w:bottom w:val="single" w:color="000000" w:sz="4" w:space="0"/>
              <w:right w:val="single" w:color="000000" w:sz="4" w:space="0"/>
            </w:tcBorders>
            <w:noWrap w:val="0"/>
            <w:vAlign w:val="center"/>
          </w:tcPr>
          <w:p w14:paraId="18B9A41B">
            <w:pPr>
              <w:ind w:firstLine="480" w:firstLineChars="200"/>
              <w:jc w:val="center"/>
              <w:outlineLvl w:val="9"/>
              <w:rPr>
                <w:rFonts w:hint="eastAsia" w:ascii="仿宋" w:hAnsi="仿宋" w:eastAsia="仿宋" w:cs="仿宋"/>
                <w:sz w:val="24"/>
                <w:szCs w:val="24"/>
                <w:highlight w:val="none"/>
              </w:rPr>
            </w:pPr>
          </w:p>
        </w:tc>
      </w:tr>
      <w:tr w14:paraId="20875C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1" w:type="dxa"/>
            <w:tcBorders>
              <w:top w:val="single" w:color="000000" w:sz="4" w:space="0"/>
              <w:left w:val="single" w:color="000000" w:sz="4" w:space="0"/>
              <w:bottom w:val="single" w:color="000000" w:sz="4" w:space="0"/>
              <w:right w:val="single" w:color="000000" w:sz="4" w:space="0"/>
            </w:tcBorders>
            <w:noWrap w:val="0"/>
            <w:vAlign w:val="center"/>
          </w:tcPr>
          <w:p w14:paraId="2E206D60">
            <w:pPr>
              <w:ind w:firstLine="480" w:firstLineChars="200"/>
              <w:jc w:val="center"/>
              <w:outlineLvl w:val="9"/>
              <w:rPr>
                <w:rFonts w:hint="eastAsia" w:ascii="仿宋" w:hAnsi="仿宋" w:eastAsia="仿宋" w:cs="仿宋"/>
                <w:sz w:val="24"/>
                <w:szCs w:val="24"/>
                <w:highlight w:val="none"/>
              </w:rPr>
            </w:pP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F444439">
            <w:pPr>
              <w:ind w:firstLine="480" w:firstLineChars="200"/>
              <w:jc w:val="center"/>
              <w:outlineLvl w:val="9"/>
              <w:rPr>
                <w:rFonts w:hint="eastAsia" w:ascii="仿宋" w:hAnsi="仿宋" w:eastAsia="仿宋" w:cs="仿宋"/>
                <w:sz w:val="24"/>
                <w:szCs w:val="24"/>
                <w:highlight w:val="none"/>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217446AD">
            <w:pPr>
              <w:spacing w:line="360" w:lineRule="auto"/>
              <w:ind w:firstLine="480" w:firstLineChars="200"/>
              <w:jc w:val="center"/>
              <w:outlineLvl w:val="9"/>
              <w:rPr>
                <w:rFonts w:hint="eastAsia" w:ascii="仿宋" w:hAnsi="仿宋" w:eastAsia="仿宋" w:cs="仿宋"/>
                <w:sz w:val="24"/>
                <w:szCs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6B76EF4C">
            <w:pPr>
              <w:spacing w:line="360" w:lineRule="auto"/>
              <w:ind w:firstLine="480" w:firstLineChars="200"/>
              <w:jc w:val="center"/>
              <w:outlineLvl w:val="9"/>
              <w:rPr>
                <w:rFonts w:hint="eastAsia" w:ascii="仿宋" w:hAnsi="仿宋" w:eastAsia="仿宋" w:cs="仿宋"/>
                <w:sz w:val="24"/>
                <w:szCs w:val="24"/>
                <w:highlight w:val="none"/>
              </w:rPr>
            </w:pPr>
          </w:p>
        </w:tc>
        <w:tc>
          <w:tcPr>
            <w:tcW w:w="2594" w:type="dxa"/>
            <w:gridSpan w:val="2"/>
            <w:tcBorders>
              <w:top w:val="single" w:color="000000" w:sz="4" w:space="0"/>
              <w:left w:val="single" w:color="000000" w:sz="4" w:space="0"/>
              <w:bottom w:val="single" w:color="000000" w:sz="4" w:space="0"/>
              <w:right w:val="single" w:color="000000" w:sz="4" w:space="0"/>
            </w:tcBorders>
            <w:noWrap w:val="0"/>
            <w:vAlign w:val="center"/>
          </w:tcPr>
          <w:p w14:paraId="19971E18">
            <w:pPr>
              <w:spacing w:line="360" w:lineRule="auto"/>
              <w:ind w:firstLine="480" w:firstLineChars="200"/>
              <w:jc w:val="center"/>
              <w:outlineLvl w:val="9"/>
              <w:rPr>
                <w:rFonts w:hint="eastAsia" w:ascii="仿宋" w:hAnsi="仿宋" w:eastAsia="仿宋" w:cs="仿宋"/>
                <w:sz w:val="24"/>
                <w:szCs w:val="24"/>
                <w:highlight w:val="none"/>
              </w:rPr>
            </w:pPr>
          </w:p>
        </w:tc>
      </w:tr>
    </w:tbl>
    <w:p w14:paraId="05F37B04">
      <w:pPr>
        <w:pStyle w:val="189"/>
        <w:autoSpaceDE w:val="0"/>
        <w:autoSpaceDN w:val="0"/>
        <w:spacing w:line="360" w:lineRule="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w:t>
      </w:r>
      <w:r>
        <w:rPr>
          <w:rFonts w:hint="eastAsia" w:ascii="仿宋" w:hAnsi="仿宋" w:eastAsia="仿宋" w:cs="仿宋"/>
          <w:sz w:val="24"/>
          <w:szCs w:val="24"/>
          <w:highlight w:val="none"/>
          <w:lang w:val="en-US" w:eastAsia="zh-CN"/>
        </w:rPr>
        <w:t>学位证、</w:t>
      </w:r>
      <w:r>
        <w:rPr>
          <w:rFonts w:hint="eastAsia" w:ascii="仿宋" w:hAnsi="仿宋" w:eastAsia="仿宋" w:cs="仿宋"/>
          <w:sz w:val="24"/>
          <w:szCs w:val="24"/>
          <w:highlight w:val="none"/>
        </w:rPr>
        <w:t>身份证、</w:t>
      </w:r>
      <w:r>
        <w:rPr>
          <w:rFonts w:hint="eastAsia" w:ascii="仿宋" w:hAnsi="仿宋" w:eastAsia="仿宋" w:cs="仿宋"/>
          <w:sz w:val="24"/>
          <w:szCs w:val="24"/>
          <w:highlight w:val="none"/>
          <w:lang w:val="en-US" w:eastAsia="zh-CN"/>
        </w:rPr>
        <w:t>劳动合同以及相关证书，提供投标截止日前6个月内任意1个月的社保证明材料，如依法不需要缴纳社会保障资金的，应提供相应文件证明</w:t>
      </w:r>
      <w:r>
        <w:rPr>
          <w:rFonts w:hint="eastAsia" w:ascii="仿宋" w:hAnsi="仿宋" w:eastAsia="仿宋" w:cs="仿宋"/>
          <w:sz w:val="24"/>
          <w:szCs w:val="24"/>
          <w:highlight w:val="none"/>
        </w:rPr>
        <w:t>。</w:t>
      </w:r>
    </w:p>
    <w:p w14:paraId="2D7D5DAE">
      <w:pPr>
        <w:pStyle w:val="189"/>
        <w:autoSpaceDE w:val="0"/>
        <w:autoSpaceDN w:val="0"/>
        <w:spacing w:line="360" w:lineRule="auto"/>
        <w:outlineLvl w:val="9"/>
        <w:rPr>
          <w:rFonts w:hint="eastAsia" w:ascii="仿宋" w:hAnsi="仿宋" w:eastAsia="仿宋" w:cs="仿宋"/>
          <w:sz w:val="24"/>
          <w:szCs w:val="24"/>
          <w:highlight w:val="none"/>
        </w:rPr>
      </w:pPr>
    </w:p>
    <w:p w14:paraId="5751A58C">
      <w:pPr>
        <w:pStyle w:val="189"/>
        <w:autoSpaceDE w:val="0"/>
        <w:autoSpaceDN w:val="0"/>
        <w:spacing w:line="360" w:lineRule="auto"/>
        <w:outlineLvl w:val="9"/>
        <w:rPr>
          <w:rFonts w:hint="eastAsia" w:ascii="仿宋" w:hAnsi="仿宋" w:eastAsia="仿宋" w:cs="仿宋"/>
          <w:sz w:val="24"/>
          <w:szCs w:val="24"/>
          <w:highlight w:val="none"/>
        </w:rPr>
      </w:pPr>
    </w:p>
    <w:p w14:paraId="6DB7D581">
      <w:pPr>
        <w:pStyle w:val="189"/>
        <w:autoSpaceDE w:val="0"/>
        <w:autoSpaceDN w:val="0"/>
        <w:spacing w:line="360" w:lineRule="auto"/>
        <w:outlineLvl w:val="9"/>
        <w:rPr>
          <w:rFonts w:hint="eastAsia" w:ascii="仿宋" w:hAnsi="仿宋" w:eastAsia="仿宋" w:cs="仿宋"/>
          <w:sz w:val="24"/>
          <w:szCs w:val="24"/>
          <w:highlight w:val="none"/>
        </w:rPr>
      </w:pPr>
    </w:p>
    <w:p w14:paraId="5273C022">
      <w:pPr>
        <w:pStyle w:val="174"/>
        <w:outlineLvl w:val="9"/>
        <w:rPr>
          <w:rFonts w:hint="eastAsia" w:ascii="仿宋" w:hAnsi="仿宋" w:eastAsia="仿宋" w:cs="仿宋"/>
          <w:b/>
          <w:sz w:val="28"/>
          <w:szCs w:val="28"/>
          <w:highlight w:val="none"/>
        </w:rPr>
      </w:pPr>
    </w:p>
    <w:p w14:paraId="5619A76A">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6B5364DA">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5EAB60FF">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19003127">
      <w:pPr>
        <w:pStyle w:val="174"/>
        <w:outlineLvl w:val="9"/>
        <w:rPr>
          <w:rFonts w:hint="eastAsia" w:ascii="仿宋" w:hAnsi="仿宋" w:eastAsia="仿宋" w:cs="仿宋"/>
          <w:b/>
          <w:sz w:val="28"/>
          <w:szCs w:val="28"/>
          <w:highlight w:val="none"/>
        </w:rPr>
      </w:pPr>
    </w:p>
    <w:p w14:paraId="648D6F17">
      <w:pPr>
        <w:pStyle w:val="174"/>
        <w:outlineLvl w:val="9"/>
        <w:rPr>
          <w:rFonts w:hint="eastAsia" w:ascii="仿宋" w:hAnsi="仿宋" w:eastAsia="仿宋" w:cs="仿宋"/>
          <w:b/>
          <w:sz w:val="28"/>
          <w:szCs w:val="28"/>
          <w:highlight w:val="none"/>
        </w:rPr>
      </w:pPr>
    </w:p>
    <w:p w14:paraId="3EA00B1A">
      <w:pPr>
        <w:pStyle w:val="174"/>
        <w:outlineLvl w:val="9"/>
        <w:rPr>
          <w:rFonts w:hint="eastAsia" w:ascii="仿宋" w:hAnsi="仿宋" w:eastAsia="仿宋" w:cs="仿宋"/>
          <w:b/>
          <w:sz w:val="28"/>
          <w:szCs w:val="28"/>
          <w:highlight w:val="none"/>
        </w:rPr>
      </w:pPr>
    </w:p>
    <w:p w14:paraId="684BF245">
      <w:pPr>
        <w:pStyle w:val="189"/>
        <w:jc w:val="center"/>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r>
        <w:rPr>
          <w:rFonts w:hint="eastAsia" w:ascii="仿宋" w:hAnsi="仿宋" w:eastAsia="仿宋" w:cs="仿宋"/>
          <w:b/>
          <w:sz w:val="24"/>
          <w:szCs w:val="24"/>
          <w:highlight w:val="none"/>
        </w:rPr>
        <w:t>拟投入本项目的人员一览表</w:t>
      </w:r>
    </w:p>
    <w:p w14:paraId="30E606BE">
      <w:pPr>
        <w:pStyle w:val="174"/>
        <w:outlineLvl w:val="9"/>
        <w:rPr>
          <w:rFonts w:hint="eastAsia" w:ascii="仿宋" w:hAnsi="仿宋" w:eastAsia="仿宋" w:cs="仿宋"/>
          <w:b/>
          <w:sz w:val="28"/>
          <w:szCs w:val="28"/>
          <w:highlight w:val="none"/>
        </w:rPr>
      </w:pPr>
    </w:p>
    <w:tbl>
      <w:tblPr>
        <w:tblStyle w:val="69"/>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011"/>
        <w:gridCol w:w="1260"/>
        <w:gridCol w:w="1074"/>
        <w:gridCol w:w="1406"/>
        <w:gridCol w:w="2181"/>
        <w:gridCol w:w="1645"/>
      </w:tblGrid>
      <w:tr w14:paraId="4E4F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469" w:type="pct"/>
            <w:noWrap w:val="0"/>
            <w:vAlign w:val="center"/>
          </w:tcPr>
          <w:p w14:paraId="6E9EBF9B">
            <w:pPr>
              <w:pStyle w:val="174"/>
              <w:spacing w:line="44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534" w:type="pct"/>
            <w:noWrap w:val="0"/>
            <w:vAlign w:val="center"/>
          </w:tcPr>
          <w:p w14:paraId="3CF1DEC6">
            <w:pPr>
              <w:pStyle w:val="174"/>
              <w:spacing w:line="44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665" w:type="pct"/>
            <w:noWrap w:val="0"/>
            <w:vAlign w:val="center"/>
          </w:tcPr>
          <w:p w14:paraId="127E3EF7">
            <w:pPr>
              <w:pStyle w:val="174"/>
              <w:spacing w:line="44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性别</w:t>
            </w:r>
          </w:p>
        </w:tc>
        <w:tc>
          <w:tcPr>
            <w:tcW w:w="567" w:type="pct"/>
            <w:noWrap w:val="0"/>
            <w:vAlign w:val="center"/>
          </w:tcPr>
          <w:p w14:paraId="6012AD85">
            <w:pPr>
              <w:pStyle w:val="174"/>
              <w:spacing w:line="44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742" w:type="pct"/>
            <w:noWrap w:val="0"/>
            <w:vAlign w:val="center"/>
          </w:tcPr>
          <w:p w14:paraId="47B2C4BE">
            <w:pPr>
              <w:pStyle w:val="174"/>
              <w:spacing w:line="44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专业从业年限</w:t>
            </w:r>
          </w:p>
        </w:tc>
        <w:tc>
          <w:tcPr>
            <w:tcW w:w="1151" w:type="pct"/>
            <w:noWrap w:val="0"/>
            <w:vAlign w:val="center"/>
          </w:tcPr>
          <w:p w14:paraId="0D275797">
            <w:pPr>
              <w:pStyle w:val="174"/>
              <w:spacing w:line="44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拟任职务</w:t>
            </w:r>
          </w:p>
        </w:tc>
        <w:tc>
          <w:tcPr>
            <w:tcW w:w="868" w:type="pct"/>
            <w:noWrap w:val="0"/>
            <w:vAlign w:val="center"/>
          </w:tcPr>
          <w:p w14:paraId="2CE28654">
            <w:pPr>
              <w:pStyle w:val="174"/>
              <w:spacing w:line="44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3A41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center"/>
          </w:tcPr>
          <w:p w14:paraId="13383D12">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0BE86458">
            <w:pPr>
              <w:pStyle w:val="174"/>
              <w:spacing w:line="440" w:lineRule="exact"/>
              <w:jc w:val="center"/>
              <w:outlineLvl w:val="9"/>
              <w:rPr>
                <w:rFonts w:hint="eastAsia" w:ascii="仿宋" w:hAnsi="仿宋" w:eastAsia="仿宋" w:cs="仿宋"/>
                <w:highlight w:val="none"/>
              </w:rPr>
            </w:pPr>
          </w:p>
        </w:tc>
        <w:tc>
          <w:tcPr>
            <w:tcW w:w="665" w:type="pct"/>
            <w:noWrap w:val="0"/>
            <w:vAlign w:val="center"/>
          </w:tcPr>
          <w:p w14:paraId="31C3858B">
            <w:pPr>
              <w:pStyle w:val="174"/>
              <w:spacing w:line="440" w:lineRule="exact"/>
              <w:jc w:val="center"/>
              <w:outlineLvl w:val="9"/>
              <w:rPr>
                <w:rFonts w:hint="eastAsia" w:ascii="仿宋" w:hAnsi="仿宋" w:eastAsia="仿宋" w:cs="仿宋"/>
                <w:highlight w:val="none"/>
              </w:rPr>
            </w:pPr>
          </w:p>
        </w:tc>
        <w:tc>
          <w:tcPr>
            <w:tcW w:w="567" w:type="pct"/>
            <w:noWrap w:val="0"/>
            <w:vAlign w:val="center"/>
          </w:tcPr>
          <w:p w14:paraId="4BD52D11">
            <w:pPr>
              <w:pStyle w:val="174"/>
              <w:spacing w:line="440" w:lineRule="exact"/>
              <w:jc w:val="center"/>
              <w:outlineLvl w:val="9"/>
              <w:rPr>
                <w:rFonts w:hint="eastAsia" w:ascii="仿宋" w:hAnsi="仿宋" w:eastAsia="仿宋" w:cs="仿宋"/>
                <w:highlight w:val="none"/>
              </w:rPr>
            </w:pPr>
          </w:p>
        </w:tc>
        <w:tc>
          <w:tcPr>
            <w:tcW w:w="742" w:type="pct"/>
            <w:noWrap w:val="0"/>
            <w:vAlign w:val="center"/>
          </w:tcPr>
          <w:p w14:paraId="721B07C3">
            <w:pPr>
              <w:pStyle w:val="174"/>
              <w:spacing w:line="440" w:lineRule="exact"/>
              <w:jc w:val="center"/>
              <w:outlineLvl w:val="9"/>
              <w:rPr>
                <w:rFonts w:hint="eastAsia" w:ascii="仿宋" w:hAnsi="仿宋" w:eastAsia="仿宋" w:cs="仿宋"/>
                <w:highlight w:val="none"/>
              </w:rPr>
            </w:pPr>
          </w:p>
        </w:tc>
        <w:tc>
          <w:tcPr>
            <w:tcW w:w="1151" w:type="pct"/>
            <w:noWrap w:val="0"/>
            <w:vAlign w:val="center"/>
          </w:tcPr>
          <w:p w14:paraId="733CBEFD">
            <w:pPr>
              <w:pStyle w:val="174"/>
              <w:spacing w:line="440" w:lineRule="exact"/>
              <w:jc w:val="center"/>
              <w:outlineLvl w:val="9"/>
              <w:rPr>
                <w:rFonts w:hint="eastAsia" w:ascii="仿宋" w:hAnsi="仿宋" w:eastAsia="仿宋" w:cs="仿宋"/>
                <w:highlight w:val="none"/>
              </w:rPr>
            </w:pPr>
          </w:p>
        </w:tc>
        <w:tc>
          <w:tcPr>
            <w:tcW w:w="868" w:type="pct"/>
            <w:noWrap w:val="0"/>
            <w:vAlign w:val="center"/>
          </w:tcPr>
          <w:p w14:paraId="4DBD2926">
            <w:pPr>
              <w:pStyle w:val="174"/>
              <w:spacing w:line="440" w:lineRule="exact"/>
              <w:jc w:val="center"/>
              <w:outlineLvl w:val="9"/>
              <w:rPr>
                <w:rFonts w:hint="eastAsia" w:ascii="仿宋" w:hAnsi="仿宋" w:eastAsia="仿宋" w:cs="仿宋"/>
                <w:highlight w:val="none"/>
              </w:rPr>
            </w:pPr>
          </w:p>
        </w:tc>
      </w:tr>
      <w:tr w14:paraId="4CA3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4F744E89">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250334C8">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430AA2A8">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36EFC3AB">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03887550">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4E704A2C">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7BBE30CD">
            <w:pPr>
              <w:pStyle w:val="174"/>
              <w:spacing w:line="440" w:lineRule="exact"/>
              <w:jc w:val="center"/>
              <w:outlineLvl w:val="9"/>
              <w:rPr>
                <w:rFonts w:hint="eastAsia" w:ascii="仿宋" w:hAnsi="仿宋" w:eastAsia="仿宋" w:cs="仿宋"/>
                <w:highlight w:val="none"/>
              </w:rPr>
            </w:pPr>
          </w:p>
        </w:tc>
      </w:tr>
      <w:tr w14:paraId="7328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5694BAC6">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000F9987">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01EB7AFF">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77BA894E">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623D1F43">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64B8AF74">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7961E678">
            <w:pPr>
              <w:pStyle w:val="174"/>
              <w:spacing w:line="440" w:lineRule="exact"/>
              <w:jc w:val="center"/>
              <w:outlineLvl w:val="9"/>
              <w:rPr>
                <w:rFonts w:hint="eastAsia" w:ascii="仿宋" w:hAnsi="仿宋" w:eastAsia="仿宋" w:cs="仿宋"/>
                <w:highlight w:val="none"/>
              </w:rPr>
            </w:pPr>
          </w:p>
        </w:tc>
      </w:tr>
      <w:tr w14:paraId="72A3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30E8EFB5">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08C16F90">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1C7A7B45">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019F1289">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22068DE4">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0F35F67C">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383A59B8">
            <w:pPr>
              <w:pStyle w:val="174"/>
              <w:spacing w:line="440" w:lineRule="exact"/>
              <w:jc w:val="center"/>
              <w:outlineLvl w:val="9"/>
              <w:rPr>
                <w:rFonts w:hint="eastAsia" w:ascii="仿宋" w:hAnsi="仿宋" w:eastAsia="仿宋" w:cs="仿宋"/>
                <w:highlight w:val="none"/>
              </w:rPr>
            </w:pPr>
          </w:p>
        </w:tc>
      </w:tr>
      <w:tr w14:paraId="3A78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3DBBA638">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3EA0FD48">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1A2EE155">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46EAE641">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34E8F754">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4E52AA54">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1D8FDB27">
            <w:pPr>
              <w:pStyle w:val="174"/>
              <w:spacing w:line="440" w:lineRule="exact"/>
              <w:jc w:val="center"/>
              <w:outlineLvl w:val="9"/>
              <w:rPr>
                <w:rFonts w:hint="eastAsia" w:ascii="仿宋" w:hAnsi="仿宋" w:eastAsia="仿宋" w:cs="仿宋"/>
                <w:highlight w:val="none"/>
              </w:rPr>
            </w:pPr>
          </w:p>
        </w:tc>
      </w:tr>
      <w:tr w14:paraId="6297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0E88874E">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1B03E6C9">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738F2ECA">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07CA35B5">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413321E8">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4F443D70">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753EBFB1">
            <w:pPr>
              <w:pStyle w:val="174"/>
              <w:spacing w:line="440" w:lineRule="exact"/>
              <w:jc w:val="center"/>
              <w:outlineLvl w:val="9"/>
              <w:rPr>
                <w:rFonts w:hint="eastAsia" w:ascii="仿宋" w:hAnsi="仿宋" w:eastAsia="仿宋" w:cs="仿宋"/>
                <w:highlight w:val="none"/>
              </w:rPr>
            </w:pPr>
          </w:p>
        </w:tc>
      </w:tr>
      <w:tr w14:paraId="7209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68B44A89">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016635BC">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3AA9DD3F">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5F2F46F5">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17BB062C">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58ED62B9">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45A3B2F4">
            <w:pPr>
              <w:pStyle w:val="174"/>
              <w:spacing w:line="440" w:lineRule="exact"/>
              <w:jc w:val="center"/>
              <w:outlineLvl w:val="9"/>
              <w:rPr>
                <w:rFonts w:hint="eastAsia" w:ascii="仿宋" w:hAnsi="仿宋" w:eastAsia="仿宋" w:cs="仿宋"/>
                <w:highlight w:val="none"/>
              </w:rPr>
            </w:pPr>
          </w:p>
        </w:tc>
      </w:tr>
      <w:tr w14:paraId="0506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70825C9B">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66D104BC">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077DB02F">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0E77497C">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54E8CC3A">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31DC8000">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6180E0C9">
            <w:pPr>
              <w:pStyle w:val="174"/>
              <w:spacing w:line="440" w:lineRule="exact"/>
              <w:jc w:val="center"/>
              <w:outlineLvl w:val="9"/>
              <w:rPr>
                <w:rFonts w:hint="eastAsia" w:ascii="仿宋" w:hAnsi="仿宋" w:eastAsia="仿宋" w:cs="仿宋"/>
                <w:highlight w:val="none"/>
              </w:rPr>
            </w:pPr>
          </w:p>
        </w:tc>
      </w:tr>
      <w:tr w14:paraId="2829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357EB3C6">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703D2E6F">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187F4881">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62783A78">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3CF04CAB">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61713B15">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0DD5AB5E">
            <w:pPr>
              <w:pStyle w:val="174"/>
              <w:spacing w:line="440" w:lineRule="exact"/>
              <w:jc w:val="center"/>
              <w:outlineLvl w:val="9"/>
              <w:rPr>
                <w:rFonts w:hint="eastAsia" w:ascii="仿宋" w:hAnsi="仿宋" w:eastAsia="仿宋" w:cs="仿宋"/>
                <w:highlight w:val="none"/>
              </w:rPr>
            </w:pPr>
          </w:p>
        </w:tc>
      </w:tr>
      <w:tr w14:paraId="16F2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4C2FDD69">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2EF38F23">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6EB50E8D">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05CBA4FC">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18A2563E">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5374DB41">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6BF898EC">
            <w:pPr>
              <w:pStyle w:val="174"/>
              <w:spacing w:line="440" w:lineRule="exact"/>
              <w:jc w:val="center"/>
              <w:outlineLvl w:val="9"/>
              <w:rPr>
                <w:rFonts w:hint="eastAsia" w:ascii="仿宋" w:hAnsi="仿宋" w:eastAsia="仿宋" w:cs="仿宋"/>
                <w:highlight w:val="none"/>
              </w:rPr>
            </w:pPr>
          </w:p>
        </w:tc>
      </w:tr>
      <w:tr w14:paraId="54B3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9" w:type="pct"/>
            <w:noWrap w:val="0"/>
            <w:vAlign w:val="top"/>
          </w:tcPr>
          <w:p w14:paraId="5CDE1AF2">
            <w:pPr>
              <w:pStyle w:val="174"/>
              <w:spacing w:line="440" w:lineRule="exact"/>
              <w:jc w:val="center"/>
              <w:outlineLvl w:val="9"/>
              <w:rPr>
                <w:rFonts w:hint="eastAsia" w:ascii="仿宋" w:hAnsi="仿宋" w:eastAsia="仿宋" w:cs="仿宋"/>
                <w:highlight w:val="none"/>
              </w:rPr>
            </w:pPr>
          </w:p>
        </w:tc>
        <w:tc>
          <w:tcPr>
            <w:tcW w:w="534" w:type="pct"/>
            <w:noWrap w:val="0"/>
            <w:vAlign w:val="top"/>
          </w:tcPr>
          <w:p w14:paraId="28D68294">
            <w:pPr>
              <w:pStyle w:val="174"/>
              <w:spacing w:line="440" w:lineRule="exact"/>
              <w:jc w:val="center"/>
              <w:outlineLvl w:val="9"/>
              <w:rPr>
                <w:rFonts w:hint="eastAsia" w:ascii="仿宋" w:hAnsi="仿宋" w:eastAsia="仿宋" w:cs="仿宋"/>
                <w:highlight w:val="none"/>
              </w:rPr>
            </w:pPr>
          </w:p>
        </w:tc>
        <w:tc>
          <w:tcPr>
            <w:tcW w:w="665" w:type="pct"/>
            <w:noWrap w:val="0"/>
            <w:vAlign w:val="top"/>
          </w:tcPr>
          <w:p w14:paraId="2E89B3E1">
            <w:pPr>
              <w:pStyle w:val="174"/>
              <w:spacing w:line="440" w:lineRule="exact"/>
              <w:jc w:val="center"/>
              <w:outlineLvl w:val="9"/>
              <w:rPr>
                <w:rFonts w:hint="eastAsia" w:ascii="仿宋" w:hAnsi="仿宋" w:eastAsia="仿宋" w:cs="仿宋"/>
                <w:highlight w:val="none"/>
              </w:rPr>
            </w:pPr>
          </w:p>
        </w:tc>
        <w:tc>
          <w:tcPr>
            <w:tcW w:w="567" w:type="pct"/>
            <w:noWrap w:val="0"/>
            <w:vAlign w:val="top"/>
          </w:tcPr>
          <w:p w14:paraId="68F9EEB3">
            <w:pPr>
              <w:pStyle w:val="174"/>
              <w:spacing w:line="440" w:lineRule="exact"/>
              <w:jc w:val="center"/>
              <w:outlineLvl w:val="9"/>
              <w:rPr>
                <w:rFonts w:hint="eastAsia" w:ascii="仿宋" w:hAnsi="仿宋" w:eastAsia="仿宋" w:cs="仿宋"/>
                <w:highlight w:val="none"/>
              </w:rPr>
            </w:pPr>
          </w:p>
        </w:tc>
        <w:tc>
          <w:tcPr>
            <w:tcW w:w="742" w:type="pct"/>
            <w:noWrap w:val="0"/>
            <w:vAlign w:val="top"/>
          </w:tcPr>
          <w:p w14:paraId="55308385">
            <w:pPr>
              <w:pStyle w:val="174"/>
              <w:spacing w:line="440" w:lineRule="exact"/>
              <w:jc w:val="center"/>
              <w:outlineLvl w:val="9"/>
              <w:rPr>
                <w:rFonts w:hint="eastAsia" w:ascii="仿宋" w:hAnsi="仿宋" w:eastAsia="仿宋" w:cs="仿宋"/>
                <w:highlight w:val="none"/>
              </w:rPr>
            </w:pPr>
          </w:p>
        </w:tc>
        <w:tc>
          <w:tcPr>
            <w:tcW w:w="1151" w:type="pct"/>
            <w:noWrap w:val="0"/>
            <w:vAlign w:val="top"/>
          </w:tcPr>
          <w:p w14:paraId="059AA944">
            <w:pPr>
              <w:pStyle w:val="174"/>
              <w:spacing w:line="440" w:lineRule="exact"/>
              <w:jc w:val="center"/>
              <w:outlineLvl w:val="9"/>
              <w:rPr>
                <w:rFonts w:hint="eastAsia" w:ascii="仿宋" w:hAnsi="仿宋" w:eastAsia="仿宋" w:cs="仿宋"/>
                <w:highlight w:val="none"/>
              </w:rPr>
            </w:pPr>
          </w:p>
        </w:tc>
        <w:tc>
          <w:tcPr>
            <w:tcW w:w="868" w:type="pct"/>
            <w:noWrap w:val="0"/>
            <w:vAlign w:val="top"/>
          </w:tcPr>
          <w:p w14:paraId="61925331">
            <w:pPr>
              <w:pStyle w:val="174"/>
              <w:spacing w:line="440" w:lineRule="exact"/>
              <w:jc w:val="center"/>
              <w:outlineLvl w:val="9"/>
              <w:rPr>
                <w:rFonts w:hint="eastAsia" w:ascii="仿宋" w:hAnsi="仿宋" w:eastAsia="仿宋" w:cs="仿宋"/>
                <w:highlight w:val="none"/>
              </w:rPr>
            </w:pPr>
          </w:p>
        </w:tc>
      </w:tr>
    </w:tbl>
    <w:p w14:paraId="200F21A4">
      <w:pPr>
        <w:pStyle w:val="174"/>
        <w:spacing w:line="360" w:lineRule="auto"/>
        <w:ind w:firstLine="482"/>
        <w:jc w:val="left"/>
        <w:outlineLvl w:val="9"/>
        <w:rPr>
          <w:rFonts w:hint="eastAsia" w:ascii="仿宋" w:hAnsi="仿宋" w:eastAsia="仿宋" w:cs="仿宋"/>
          <w:sz w:val="24"/>
          <w:szCs w:val="24"/>
          <w:highlight w:val="none"/>
        </w:rPr>
      </w:pPr>
      <w:r>
        <w:rPr>
          <w:rFonts w:hint="eastAsia" w:ascii="仿宋" w:hAnsi="仿宋" w:eastAsia="仿宋" w:cs="仿宋"/>
          <w:sz w:val="24"/>
          <w:szCs w:val="21"/>
          <w:highlight w:val="none"/>
        </w:rPr>
        <w:t>说明：</w:t>
      </w:r>
      <w:r>
        <w:rPr>
          <w:rFonts w:hint="eastAsia" w:ascii="仿宋" w:hAnsi="仿宋" w:eastAsia="仿宋" w:cs="仿宋"/>
          <w:sz w:val="24"/>
          <w:szCs w:val="24"/>
          <w:highlight w:val="none"/>
        </w:rPr>
        <w:t xml:space="preserve"> 1、提供</w:t>
      </w:r>
      <w:r>
        <w:rPr>
          <w:rFonts w:hint="eastAsia" w:ascii="仿宋" w:hAnsi="仿宋" w:eastAsia="仿宋" w:cs="仿宋"/>
          <w:sz w:val="24"/>
          <w:szCs w:val="24"/>
          <w:highlight w:val="none"/>
          <w:lang w:val="en-US" w:eastAsia="zh-CN"/>
        </w:rPr>
        <w:t>学位证、</w:t>
      </w:r>
      <w:r>
        <w:rPr>
          <w:rFonts w:hint="eastAsia" w:ascii="仿宋" w:hAnsi="仿宋" w:eastAsia="仿宋" w:cs="仿宋"/>
          <w:sz w:val="24"/>
          <w:szCs w:val="24"/>
          <w:highlight w:val="none"/>
        </w:rPr>
        <w:t>身份证、</w:t>
      </w:r>
      <w:r>
        <w:rPr>
          <w:rFonts w:hint="eastAsia" w:ascii="仿宋" w:hAnsi="仿宋" w:eastAsia="仿宋" w:cs="仿宋"/>
          <w:sz w:val="24"/>
          <w:szCs w:val="24"/>
          <w:highlight w:val="none"/>
          <w:lang w:val="en-US" w:eastAsia="zh-CN"/>
        </w:rPr>
        <w:t>劳动合同以及相关证书，提供投标截止日前6个月内任意1个月的社保证明材料，如依法不需要缴纳社会保障资金的，应提供相应文件证明</w:t>
      </w:r>
      <w:r>
        <w:rPr>
          <w:rFonts w:hint="eastAsia" w:ascii="仿宋" w:hAnsi="仿宋" w:eastAsia="仿宋" w:cs="仿宋"/>
          <w:sz w:val="24"/>
          <w:szCs w:val="24"/>
          <w:highlight w:val="none"/>
        </w:rPr>
        <w:t>。</w:t>
      </w:r>
    </w:p>
    <w:p w14:paraId="44FF0C7F">
      <w:pPr>
        <w:pStyle w:val="174"/>
        <w:spacing w:line="360" w:lineRule="auto"/>
        <w:ind w:firstLine="482"/>
        <w:jc w:val="left"/>
        <w:outlineLvl w:val="9"/>
        <w:rPr>
          <w:rFonts w:hint="eastAsia" w:ascii="仿宋" w:hAnsi="仿宋" w:eastAsia="仿宋" w:cs="仿宋"/>
          <w:sz w:val="24"/>
          <w:szCs w:val="21"/>
          <w:highlight w:val="none"/>
        </w:rPr>
      </w:pPr>
      <w:r>
        <w:rPr>
          <w:rFonts w:hint="eastAsia" w:ascii="仿宋" w:hAnsi="仿宋" w:eastAsia="仿宋" w:cs="仿宋"/>
          <w:color w:val="FF0000"/>
          <w:sz w:val="24"/>
          <w:szCs w:val="24"/>
          <w:highlight w:val="none"/>
        </w:rPr>
        <w:t xml:space="preserve">       </w:t>
      </w:r>
    </w:p>
    <w:p w14:paraId="516FE811">
      <w:pPr>
        <w:pStyle w:val="174"/>
        <w:spacing w:line="360" w:lineRule="auto"/>
        <w:ind w:firstLine="482"/>
        <w:jc w:val="left"/>
        <w:outlineLvl w:val="9"/>
        <w:rPr>
          <w:rFonts w:hint="eastAsia" w:ascii="仿宋" w:hAnsi="仿宋" w:eastAsia="仿宋" w:cs="仿宋"/>
          <w:sz w:val="24"/>
          <w:szCs w:val="21"/>
          <w:highlight w:val="none"/>
        </w:rPr>
      </w:pPr>
    </w:p>
    <w:p w14:paraId="0A9EDADE">
      <w:pPr>
        <w:pStyle w:val="174"/>
        <w:spacing w:line="360" w:lineRule="auto"/>
        <w:ind w:firstLine="482"/>
        <w:jc w:val="left"/>
        <w:outlineLvl w:val="9"/>
        <w:rPr>
          <w:rFonts w:hint="eastAsia" w:ascii="仿宋" w:hAnsi="仿宋" w:eastAsia="仿宋" w:cs="仿宋"/>
          <w:sz w:val="24"/>
          <w:szCs w:val="21"/>
          <w:highlight w:val="none"/>
        </w:rPr>
      </w:pPr>
    </w:p>
    <w:p w14:paraId="39ACB141">
      <w:pPr>
        <w:pStyle w:val="174"/>
        <w:spacing w:line="360" w:lineRule="auto"/>
        <w:ind w:firstLine="482"/>
        <w:jc w:val="left"/>
        <w:outlineLvl w:val="9"/>
        <w:rPr>
          <w:rFonts w:hint="eastAsia" w:ascii="仿宋" w:hAnsi="仿宋" w:eastAsia="仿宋" w:cs="仿宋"/>
          <w:sz w:val="24"/>
          <w:szCs w:val="21"/>
          <w:highlight w:val="none"/>
        </w:rPr>
      </w:pPr>
    </w:p>
    <w:p w14:paraId="68D42A01">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262B90EA">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6E9EFCD6">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4BB4FC4C">
      <w:pPr>
        <w:spacing w:line="360" w:lineRule="auto"/>
        <w:ind w:firstLine="560"/>
        <w:outlineLvl w:val="9"/>
        <w:rPr>
          <w:rFonts w:hint="eastAsia" w:ascii="仿宋" w:hAnsi="仿宋" w:eastAsia="仿宋" w:cs="仿宋"/>
          <w:b/>
          <w:kern w:val="0"/>
          <w:sz w:val="28"/>
          <w:highlight w:val="none"/>
        </w:rPr>
      </w:pPr>
    </w:p>
    <w:p w14:paraId="274049C0">
      <w:pPr>
        <w:spacing w:line="360" w:lineRule="auto"/>
        <w:ind w:firstLine="600"/>
        <w:jc w:val="center"/>
        <w:outlineLvl w:val="9"/>
        <w:rPr>
          <w:rFonts w:hint="eastAsia" w:ascii="仿宋" w:hAnsi="仿宋" w:eastAsia="仿宋" w:cs="仿宋"/>
          <w:b/>
          <w:kern w:val="0"/>
          <w:sz w:val="30"/>
          <w:szCs w:val="30"/>
          <w:highlight w:val="none"/>
        </w:rPr>
      </w:pPr>
    </w:p>
    <w:p w14:paraId="0E2BACA5">
      <w:pPr>
        <w:pStyle w:val="147"/>
        <w:jc w:val="center"/>
        <w:outlineLvl w:val="9"/>
        <w:rPr>
          <w:rFonts w:hint="eastAsia" w:ascii="仿宋" w:hAnsi="仿宋" w:eastAsia="仿宋" w:cs="仿宋"/>
          <w:sz w:val="30"/>
          <w:szCs w:val="30"/>
          <w:highlight w:val="none"/>
        </w:rPr>
      </w:pPr>
    </w:p>
    <w:p w14:paraId="26028DA4">
      <w:pPr>
        <w:pStyle w:val="200"/>
        <w:spacing w:line="360" w:lineRule="auto"/>
        <w:jc w:val="center"/>
        <w:outlineLvl w:val="3"/>
        <w:rPr>
          <w:rFonts w:hint="eastAsia" w:ascii="仿宋" w:hAnsi="仿宋" w:eastAsia="仿宋" w:cs="仿宋"/>
          <w:highlight w:val="none"/>
        </w:rPr>
      </w:pPr>
      <w:r>
        <w:rPr>
          <w:rFonts w:hint="eastAsia" w:ascii="仿宋" w:hAnsi="仿宋" w:eastAsia="仿宋" w:cs="仿宋"/>
          <w:highlight w:val="none"/>
        </w:rPr>
        <w:br w:type="page"/>
      </w:r>
      <w:bookmarkStart w:id="263" w:name="_Toc8679"/>
      <w:bookmarkStart w:id="264" w:name="_Toc30564"/>
      <w:bookmarkStart w:id="265" w:name="_Toc24353"/>
      <w:r>
        <w:rPr>
          <w:rFonts w:hint="eastAsia" w:ascii="仿宋" w:hAnsi="仿宋" w:eastAsia="仿宋" w:cs="仿宋"/>
          <w:sz w:val="30"/>
          <w:szCs w:val="30"/>
          <w:highlight w:val="none"/>
        </w:rPr>
        <w:t>（五）商务条款偏离说明表</w:t>
      </w:r>
      <w:bookmarkEnd w:id="263"/>
      <w:bookmarkEnd w:id="264"/>
      <w:bookmarkEnd w:id="265"/>
    </w:p>
    <w:p w14:paraId="5132F8D1">
      <w:pPr>
        <w:pStyle w:val="132"/>
        <w:adjustRightInd w:val="0"/>
        <w:snapToGrid w:val="0"/>
        <w:spacing w:line="500" w:lineRule="exact"/>
        <w:outlineLvl w:val="9"/>
        <w:rPr>
          <w:rFonts w:hint="eastAsia" w:ascii="仿宋" w:hAnsi="仿宋" w:eastAsia="仿宋" w:cs="仿宋"/>
          <w:b/>
          <w:sz w:val="32"/>
          <w:szCs w:val="32"/>
          <w:highlight w:val="none"/>
        </w:rPr>
      </w:pPr>
    </w:p>
    <w:tbl>
      <w:tblPr>
        <w:tblStyle w:val="6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57"/>
        <w:gridCol w:w="2589"/>
        <w:gridCol w:w="3355"/>
      </w:tblGrid>
      <w:tr w14:paraId="78ED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66A3EBC6">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7D974998">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磋商文件的商务条款</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B1251CD">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响应文件的商务条款</w:t>
            </w:r>
          </w:p>
        </w:tc>
        <w:tc>
          <w:tcPr>
            <w:tcW w:w="3355" w:type="dxa"/>
            <w:tcBorders>
              <w:top w:val="single" w:color="auto" w:sz="4" w:space="0"/>
              <w:left w:val="single" w:color="auto" w:sz="4" w:space="0"/>
              <w:bottom w:val="single" w:color="auto" w:sz="4" w:space="0"/>
              <w:right w:val="single" w:color="auto" w:sz="4" w:space="0"/>
            </w:tcBorders>
            <w:noWrap w:val="0"/>
            <w:vAlign w:val="center"/>
          </w:tcPr>
          <w:p w14:paraId="4D746648">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14:paraId="5E14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6F452196">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4899B6D7">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36EE467">
            <w:pPr>
              <w:pStyle w:val="132"/>
              <w:spacing w:line="500" w:lineRule="exact"/>
              <w:outlineLvl w:val="9"/>
              <w:rPr>
                <w:rFonts w:hint="eastAsia" w:ascii="仿宋" w:hAnsi="仿宋" w:eastAsia="仿宋" w:cs="仿宋"/>
                <w:sz w:val="24"/>
                <w:szCs w:val="24"/>
                <w:highlight w:val="none"/>
              </w:rPr>
            </w:pPr>
          </w:p>
        </w:tc>
        <w:tc>
          <w:tcPr>
            <w:tcW w:w="3355" w:type="dxa"/>
            <w:tcBorders>
              <w:top w:val="single" w:color="auto" w:sz="4" w:space="0"/>
              <w:left w:val="single" w:color="auto" w:sz="4" w:space="0"/>
              <w:bottom w:val="single" w:color="auto" w:sz="4" w:space="0"/>
              <w:right w:val="single" w:color="auto" w:sz="4" w:space="0"/>
            </w:tcBorders>
            <w:noWrap w:val="0"/>
            <w:vAlign w:val="center"/>
          </w:tcPr>
          <w:p w14:paraId="6F3B475A">
            <w:pPr>
              <w:pStyle w:val="132"/>
              <w:spacing w:line="500" w:lineRule="exact"/>
              <w:outlineLvl w:val="9"/>
              <w:rPr>
                <w:rFonts w:hint="eastAsia" w:ascii="仿宋" w:hAnsi="仿宋" w:eastAsia="仿宋" w:cs="仿宋"/>
                <w:sz w:val="24"/>
                <w:szCs w:val="24"/>
                <w:highlight w:val="none"/>
              </w:rPr>
            </w:pPr>
          </w:p>
        </w:tc>
      </w:tr>
      <w:tr w14:paraId="1821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6AC75D7">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E046D53">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CE7D500">
            <w:pPr>
              <w:pStyle w:val="132"/>
              <w:spacing w:line="500" w:lineRule="exact"/>
              <w:outlineLvl w:val="9"/>
              <w:rPr>
                <w:rFonts w:hint="eastAsia" w:ascii="仿宋" w:hAnsi="仿宋" w:eastAsia="仿宋" w:cs="仿宋"/>
                <w:sz w:val="24"/>
                <w:szCs w:val="24"/>
                <w:highlight w:val="none"/>
              </w:rPr>
            </w:pPr>
          </w:p>
        </w:tc>
        <w:tc>
          <w:tcPr>
            <w:tcW w:w="3355" w:type="dxa"/>
            <w:tcBorders>
              <w:top w:val="single" w:color="auto" w:sz="4" w:space="0"/>
              <w:left w:val="single" w:color="auto" w:sz="4" w:space="0"/>
              <w:bottom w:val="single" w:color="auto" w:sz="4" w:space="0"/>
              <w:right w:val="single" w:color="auto" w:sz="4" w:space="0"/>
            </w:tcBorders>
            <w:noWrap w:val="0"/>
            <w:vAlign w:val="center"/>
          </w:tcPr>
          <w:p w14:paraId="218CFA4C">
            <w:pPr>
              <w:pStyle w:val="132"/>
              <w:spacing w:line="500" w:lineRule="exact"/>
              <w:outlineLvl w:val="9"/>
              <w:rPr>
                <w:rFonts w:hint="eastAsia" w:ascii="仿宋" w:hAnsi="仿宋" w:eastAsia="仿宋" w:cs="仿宋"/>
                <w:sz w:val="24"/>
                <w:szCs w:val="24"/>
                <w:highlight w:val="none"/>
              </w:rPr>
            </w:pPr>
          </w:p>
        </w:tc>
      </w:tr>
      <w:tr w14:paraId="0A3B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37AC956">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2E33A036">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D90BE81">
            <w:pPr>
              <w:pStyle w:val="132"/>
              <w:spacing w:line="500" w:lineRule="exact"/>
              <w:outlineLvl w:val="9"/>
              <w:rPr>
                <w:rFonts w:hint="eastAsia" w:ascii="仿宋" w:hAnsi="仿宋" w:eastAsia="仿宋" w:cs="仿宋"/>
                <w:sz w:val="24"/>
                <w:szCs w:val="24"/>
                <w:highlight w:val="none"/>
              </w:rPr>
            </w:pPr>
          </w:p>
        </w:tc>
        <w:tc>
          <w:tcPr>
            <w:tcW w:w="3355" w:type="dxa"/>
            <w:tcBorders>
              <w:top w:val="single" w:color="auto" w:sz="4" w:space="0"/>
              <w:left w:val="single" w:color="auto" w:sz="4" w:space="0"/>
              <w:bottom w:val="single" w:color="auto" w:sz="4" w:space="0"/>
              <w:right w:val="single" w:color="auto" w:sz="4" w:space="0"/>
            </w:tcBorders>
            <w:noWrap w:val="0"/>
            <w:vAlign w:val="center"/>
          </w:tcPr>
          <w:p w14:paraId="2E504415">
            <w:pPr>
              <w:pStyle w:val="132"/>
              <w:spacing w:line="500" w:lineRule="exact"/>
              <w:outlineLvl w:val="9"/>
              <w:rPr>
                <w:rFonts w:hint="eastAsia" w:ascii="仿宋" w:hAnsi="仿宋" w:eastAsia="仿宋" w:cs="仿宋"/>
                <w:sz w:val="24"/>
                <w:szCs w:val="24"/>
                <w:highlight w:val="none"/>
              </w:rPr>
            </w:pPr>
          </w:p>
        </w:tc>
      </w:tr>
      <w:tr w14:paraId="3FB9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7168B4D">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1C9DCEEC">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8C22A79">
            <w:pPr>
              <w:pStyle w:val="132"/>
              <w:spacing w:line="500" w:lineRule="exact"/>
              <w:outlineLvl w:val="9"/>
              <w:rPr>
                <w:rFonts w:hint="eastAsia" w:ascii="仿宋" w:hAnsi="仿宋" w:eastAsia="仿宋" w:cs="仿宋"/>
                <w:sz w:val="24"/>
                <w:szCs w:val="24"/>
                <w:highlight w:val="none"/>
              </w:rPr>
            </w:pPr>
          </w:p>
        </w:tc>
        <w:tc>
          <w:tcPr>
            <w:tcW w:w="3355" w:type="dxa"/>
            <w:tcBorders>
              <w:top w:val="single" w:color="auto" w:sz="4" w:space="0"/>
              <w:left w:val="single" w:color="auto" w:sz="4" w:space="0"/>
              <w:bottom w:val="single" w:color="auto" w:sz="4" w:space="0"/>
              <w:right w:val="single" w:color="auto" w:sz="4" w:space="0"/>
            </w:tcBorders>
            <w:noWrap w:val="0"/>
            <w:vAlign w:val="center"/>
          </w:tcPr>
          <w:p w14:paraId="41C5AA55">
            <w:pPr>
              <w:pStyle w:val="132"/>
              <w:spacing w:line="500" w:lineRule="exact"/>
              <w:outlineLvl w:val="9"/>
              <w:rPr>
                <w:rFonts w:hint="eastAsia" w:ascii="仿宋" w:hAnsi="仿宋" w:eastAsia="仿宋" w:cs="仿宋"/>
                <w:sz w:val="24"/>
                <w:szCs w:val="24"/>
                <w:highlight w:val="none"/>
              </w:rPr>
            </w:pPr>
          </w:p>
        </w:tc>
      </w:tr>
      <w:tr w14:paraId="41B3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97C431D">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BB62485">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6A50A0F">
            <w:pPr>
              <w:pStyle w:val="132"/>
              <w:spacing w:line="500" w:lineRule="exact"/>
              <w:outlineLvl w:val="9"/>
              <w:rPr>
                <w:rFonts w:hint="eastAsia" w:ascii="仿宋" w:hAnsi="仿宋" w:eastAsia="仿宋" w:cs="仿宋"/>
                <w:sz w:val="24"/>
                <w:szCs w:val="24"/>
                <w:highlight w:val="none"/>
              </w:rPr>
            </w:pPr>
          </w:p>
        </w:tc>
        <w:tc>
          <w:tcPr>
            <w:tcW w:w="3355" w:type="dxa"/>
            <w:tcBorders>
              <w:top w:val="single" w:color="auto" w:sz="4" w:space="0"/>
              <w:left w:val="single" w:color="auto" w:sz="4" w:space="0"/>
              <w:bottom w:val="single" w:color="auto" w:sz="4" w:space="0"/>
              <w:right w:val="single" w:color="auto" w:sz="4" w:space="0"/>
            </w:tcBorders>
            <w:noWrap w:val="0"/>
            <w:vAlign w:val="center"/>
          </w:tcPr>
          <w:p w14:paraId="61AC42F0">
            <w:pPr>
              <w:pStyle w:val="132"/>
              <w:spacing w:line="500" w:lineRule="exact"/>
              <w:outlineLvl w:val="9"/>
              <w:rPr>
                <w:rFonts w:hint="eastAsia" w:ascii="仿宋" w:hAnsi="仿宋" w:eastAsia="仿宋" w:cs="仿宋"/>
                <w:sz w:val="24"/>
                <w:szCs w:val="24"/>
                <w:highlight w:val="none"/>
              </w:rPr>
            </w:pPr>
          </w:p>
        </w:tc>
      </w:tr>
      <w:tr w14:paraId="5502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F275561">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D46E2F6">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00F9429">
            <w:pPr>
              <w:pStyle w:val="132"/>
              <w:spacing w:line="500" w:lineRule="exact"/>
              <w:outlineLvl w:val="9"/>
              <w:rPr>
                <w:rFonts w:hint="eastAsia" w:ascii="仿宋" w:hAnsi="仿宋" w:eastAsia="仿宋" w:cs="仿宋"/>
                <w:sz w:val="24"/>
                <w:szCs w:val="24"/>
                <w:highlight w:val="none"/>
              </w:rPr>
            </w:pPr>
          </w:p>
        </w:tc>
        <w:tc>
          <w:tcPr>
            <w:tcW w:w="3355" w:type="dxa"/>
            <w:tcBorders>
              <w:top w:val="single" w:color="auto" w:sz="4" w:space="0"/>
              <w:left w:val="single" w:color="auto" w:sz="4" w:space="0"/>
              <w:bottom w:val="single" w:color="auto" w:sz="4" w:space="0"/>
              <w:right w:val="single" w:color="auto" w:sz="4" w:space="0"/>
            </w:tcBorders>
            <w:noWrap w:val="0"/>
            <w:vAlign w:val="center"/>
          </w:tcPr>
          <w:p w14:paraId="70361F1F">
            <w:pPr>
              <w:pStyle w:val="132"/>
              <w:spacing w:line="500" w:lineRule="exact"/>
              <w:outlineLvl w:val="9"/>
              <w:rPr>
                <w:rFonts w:hint="eastAsia" w:ascii="仿宋" w:hAnsi="仿宋" w:eastAsia="仿宋" w:cs="仿宋"/>
                <w:sz w:val="24"/>
                <w:szCs w:val="24"/>
                <w:highlight w:val="none"/>
              </w:rPr>
            </w:pPr>
          </w:p>
        </w:tc>
      </w:tr>
      <w:tr w14:paraId="7DC1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4E77CBA">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0EAAD7C">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83AE72F">
            <w:pPr>
              <w:pStyle w:val="132"/>
              <w:spacing w:line="500" w:lineRule="exact"/>
              <w:outlineLvl w:val="9"/>
              <w:rPr>
                <w:rFonts w:hint="eastAsia" w:ascii="仿宋" w:hAnsi="仿宋" w:eastAsia="仿宋" w:cs="仿宋"/>
                <w:sz w:val="24"/>
                <w:szCs w:val="24"/>
                <w:highlight w:val="none"/>
              </w:rPr>
            </w:pPr>
          </w:p>
        </w:tc>
        <w:tc>
          <w:tcPr>
            <w:tcW w:w="3355" w:type="dxa"/>
            <w:tcBorders>
              <w:top w:val="single" w:color="auto" w:sz="4" w:space="0"/>
              <w:left w:val="single" w:color="auto" w:sz="4" w:space="0"/>
              <w:bottom w:val="single" w:color="auto" w:sz="4" w:space="0"/>
              <w:right w:val="single" w:color="auto" w:sz="4" w:space="0"/>
            </w:tcBorders>
            <w:noWrap w:val="0"/>
            <w:vAlign w:val="center"/>
          </w:tcPr>
          <w:p w14:paraId="61B681FC">
            <w:pPr>
              <w:pStyle w:val="132"/>
              <w:spacing w:line="500" w:lineRule="exact"/>
              <w:outlineLvl w:val="9"/>
              <w:rPr>
                <w:rFonts w:hint="eastAsia" w:ascii="仿宋" w:hAnsi="仿宋" w:eastAsia="仿宋" w:cs="仿宋"/>
                <w:sz w:val="24"/>
                <w:szCs w:val="24"/>
                <w:highlight w:val="none"/>
              </w:rPr>
            </w:pPr>
          </w:p>
        </w:tc>
      </w:tr>
    </w:tbl>
    <w:p w14:paraId="6291C0F4">
      <w:pPr>
        <w:pStyle w:val="189"/>
        <w:spacing w:line="360" w:lineRule="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注：1、有偏离的商务条款须在该表中逐一列明，并在“响应文件的商务条款”栏填写具体应答内容，在“偏离说明”中说明偏离具体情形。若无偏离请在“响应文件的商务条款”中填写“无偏离”。</w:t>
      </w:r>
    </w:p>
    <w:p w14:paraId="45071B8A">
      <w:pPr>
        <w:pStyle w:val="18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2、未声明部分将被视为已接受磋商文件要求，签约时未经采购方同意不得改变。</w:t>
      </w:r>
    </w:p>
    <w:p w14:paraId="5DEAB5E4">
      <w:pPr>
        <w:pStyle w:val="18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3、供应商可根据其响应内容进一步细化上述表格，并可增添其它表格或说明以便进一步明确响应内容。</w:t>
      </w:r>
    </w:p>
    <w:p w14:paraId="3AADC999">
      <w:pPr>
        <w:pStyle w:val="189"/>
        <w:spacing w:line="360" w:lineRule="auto"/>
        <w:ind w:firstLine="480" w:firstLineChars="200"/>
        <w:outlineLvl w:val="9"/>
        <w:rPr>
          <w:rFonts w:hint="eastAsia" w:ascii="仿宋" w:hAnsi="仿宋" w:eastAsia="仿宋" w:cs="仿宋"/>
          <w:sz w:val="24"/>
          <w:szCs w:val="21"/>
          <w:highlight w:val="none"/>
        </w:rPr>
      </w:pPr>
    </w:p>
    <w:p w14:paraId="510FA0D8">
      <w:pPr>
        <w:pStyle w:val="189"/>
        <w:spacing w:line="360" w:lineRule="auto"/>
        <w:ind w:firstLine="480" w:firstLineChars="200"/>
        <w:outlineLvl w:val="9"/>
        <w:rPr>
          <w:rFonts w:hint="eastAsia" w:ascii="仿宋" w:hAnsi="仿宋" w:eastAsia="仿宋" w:cs="仿宋"/>
          <w:sz w:val="24"/>
          <w:szCs w:val="21"/>
          <w:highlight w:val="none"/>
        </w:rPr>
      </w:pPr>
    </w:p>
    <w:p w14:paraId="2F90A287">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658174CD">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02E7A116">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754B8134">
      <w:pPr>
        <w:pStyle w:val="189"/>
        <w:spacing w:line="360" w:lineRule="auto"/>
        <w:ind w:firstLine="480" w:firstLineChars="200"/>
        <w:outlineLvl w:val="9"/>
        <w:rPr>
          <w:rFonts w:hint="eastAsia" w:ascii="仿宋" w:hAnsi="仿宋" w:eastAsia="仿宋" w:cs="仿宋"/>
          <w:sz w:val="24"/>
          <w:szCs w:val="21"/>
          <w:highlight w:val="none"/>
        </w:rPr>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bookmarkEnd w:id="259"/>
    <w:p w14:paraId="536DBD6E">
      <w:pPr>
        <w:pStyle w:val="200"/>
        <w:spacing w:line="360" w:lineRule="auto"/>
        <w:jc w:val="center"/>
        <w:outlineLvl w:val="3"/>
        <w:rPr>
          <w:rFonts w:hint="eastAsia" w:ascii="仿宋" w:hAnsi="仿宋" w:eastAsia="仿宋" w:cs="仿宋"/>
          <w:sz w:val="30"/>
          <w:szCs w:val="30"/>
          <w:highlight w:val="none"/>
        </w:rPr>
      </w:pPr>
      <w:bookmarkStart w:id="266" w:name="_Toc6629"/>
      <w:bookmarkStart w:id="267" w:name="_Toc20850"/>
      <w:bookmarkStart w:id="268" w:name="_Toc15514"/>
      <w:r>
        <w:rPr>
          <w:rFonts w:hint="eastAsia" w:ascii="仿宋" w:hAnsi="仿宋" w:eastAsia="仿宋" w:cs="仿宋"/>
          <w:sz w:val="30"/>
          <w:szCs w:val="30"/>
          <w:highlight w:val="none"/>
        </w:rPr>
        <w:t>（六）技术条款偏离说明表</w:t>
      </w:r>
      <w:bookmarkEnd w:id="266"/>
      <w:bookmarkEnd w:id="267"/>
      <w:bookmarkEnd w:id="268"/>
    </w:p>
    <w:p w14:paraId="2D7EC8C7">
      <w:pPr>
        <w:pStyle w:val="132"/>
        <w:adjustRightInd w:val="0"/>
        <w:snapToGrid w:val="0"/>
        <w:spacing w:line="500" w:lineRule="exact"/>
        <w:outlineLvl w:val="9"/>
        <w:rPr>
          <w:rFonts w:hint="eastAsia" w:ascii="仿宋" w:hAnsi="仿宋" w:eastAsia="仿宋" w:cs="仿宋"/>
          <w:b/>
          <w:sz w:val="32"/>
          <w:szCs w:val="32"/>
          <w:highlight w:val="none"/>
        </w:rPr>
      </w:pPr>
    </w:p>
    <w:tbl>
      <w:tblPr>
        <w:tblStyle w:val="6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57"/>
        <w:gridCol w:w="2589"/>
        <w:gridCol w:w="3485"/>
      </w:tblGrid>
      <w:tr w14:paraId="7841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D85C0D3">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470723FD">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磋商文件的技术条款</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20C2081">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响应文件的技术条款</w:t>
            </w:r>
          </w:p>
        </w:tc>
        <w:tc>
          <w:tcPr>
            <w:tcW w:w="3485" w:type="dxa"/>
            <w:tcBorders>
              <w:top w:val="single" w:color="auto" w:sz="4" w:space="0"/>
              <w:left w:val="single" w:color="auto" w:sz="4" w:space="0"/>
              <w:bottom w:val="single" w:color="auto" w:sz="4" w:space="0"/>
              <w:right w:val="single" w:color="auto" w:sz="4" w:space="0"/>
            </w:tcBorders>
            <w:noWrap w:val="0"/>
            <w:vAlign w:val="center"/>
          </w:tcPr>
          <w:p w14:paraId="2BDBAF20">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14:paraId="6FFF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68E5306F">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271C72F4">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4A4EDB5">
            <w:pPr>
              <w:pStyle w:val="132"/>
              <w:spacing w:line="500" w:lineRule="exact"/>
              <w:outlineLvl w:val="9"/>
              <w:rPr>
                <w:rFonts w:hint="eastAsia" w:ascii="仿宋" w:hAnsi="仿宋" w:eastAsia="仿宋" w:cs="仿宋"/>
                <w:sz w:val="24"/>
                <w:szCs w:val="24"/>
                <w:highlight w:val="none"/>
              </w:rPr>
            </w:pPr>
          </w:p>
        </w:tc>
        <w:tc>
          <w:tcPr>
            <w:tcW w:w="3485" w:type="dxa"/>
            <w:tcBorders>
              <w:top w:val="single" w:color="auto" w:sz="4" w:space="0"/>
              <w:left w:val="single" w:color="auto" w:sz="4" w:space="0"/>
              <w:bottom w:val="single" w:color="auto" w:sz="4" w:space="0"/>
              <w:right w:val="single" w:color="auto" w:sz="4" w:space="0"/>
            </w:tcBorders>
            <w:noWrap w:val="0"/>
            <w:vAlign w:val="center"/>
          </w:tcPr>
          <w:p w14:paraId="26C67077">
            <w:pPr>
              <w:pStyle w:val="132"/>
              <w:spacing w:line="500" w:lineRule="exact"/>
              <w:outlineLvl w:val="9"/>
              <w:rPr>
                <w:rFonts w:hint="eastAsia" w:ascii="仿宋" w:hAnsi="仿宋" w:eastAsia="仿宋" w:cs="仿宋"/>
                <w:sz w:val="24"/>
                <w:szCs w:val="24"/>
                <w:highlight w:val="none"/>
              </w:rPr>
            </w:pPr>
          </w:p>
        </w:tc>
      </w:tr>
      <w:tr w14:paraId="1957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6F1F968F">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07243BA">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A2B5E0C">
            <w:pPr>
              <w:pStyle w:val="132"/>
              <w:spacing w:line="500" w:lineRule="exact"/>
              <w:outlineLvl w:val="9"/>
              <w:rPr>
                <w:rFonts w:hint="eastAsia" w:ascii="仿宋" w:hAnsi="仿宋" w:eastAsia="仿宋" w:cs="仿宋"/>
                <w:sz w:val="24"/>
                <w:szCs w:val="24"/>
                <w:highlight w:val="none"/>
              </w:rPr>
            </w:pPr>
          </w:p>
        </w:tc>
        <w:tc>
          <w:tcPr>
            <w:tcW w:w="3485" w:type="dxa"/>
            <w:tcBorders>
              <w:top w:val="single" w:color="auto" w:sz="4" w:space="0"/>
              <w:left w:val="single" w:color="auto" w:sz="4" w:space="0"/>
              <w:bottom w:val="single" w:color="auto" w:sz="4" w:space="0"/>
              <w:right w:val="single" w:color="auto" w:sz="4" w:space="0"/>
            </w:tcBorders>
            <w:noWrap w:val="0"/>
            <w:vAlign w:val="center"/>
          </w:tcPr>
          <w:p w14:paraId="51AFA2A6">
            <w:pPr>
              <w:pStyle w:val="132"/>
              <w:spacing w:line="500" w:lineRule="exact"/>
              <w:outlineLvl w:val="9"/>
              <w:rPr>
                <w:rFonts w:hint="eastAsia" w:ascii="仿宋" w:hAnsi="仿宋" w:eastAsia="仿宋" w:cs="仿宋"/>
                <w:sz w:val="24"/>
                <w:szCs w:val="24"/>
                <w:highlight w:val="none"/>
              </w:rPr>
            </w:pPr>
          </w:p>
        </w:tc>
      </w:tr>
      <w:tr w14:paraId="52AB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310EA3C">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0B9A63A8">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E8F25DB">
            <w:pPr>
              <w:pStyle w:val="132"/>
              <w:spacing w:line="500" w:lineRule="exact"/>
              <w:outlineLvl w:val="9"/>
              <w:rPr>
                <w:rFonts w:hint="eastAsia" w:ascii="仿宋" w:hAnsi="仿宋" w:eastAsia="仿宋" w:cs="仿宋"/>
                <w:sz w:val="24"/>
                <w:szCs w:val="24"/>
                <w:highlight w:val="none"/>
              </w:rPr>
            </w:pPr>
          </w:p>
        </w:tc>
        <w:tc>
          <w:tcPr>
            <w:tcW w:w="3485" w:type="dxa"/>
            <w:tcBorders>
              <w:top w:val="single" w:color="auto" w:sz="4" w:space="0"/>
              <w:left w:val="single" w:color="auto" w:sz="4" w:space="0"/>
              <w:bottom w:val="single" w:color="auto" w:sz="4" w:space="0"/>
              <w:right w:val="single" w:color="auto" w:sz="4" w:space="0"/>
            </w:tcBorders>
            <w:noWrap w:val="0"/>
            <w:vAlign w:val="center"/>
          </w:tcPr>
          <w:p w14:paraId="2C027485">
            <w:pPr>
              <w:pStyle w:val="132"/>
              <w:spacing w:line="500" w:lineRule="exact"/>
              <w:outlineLvl w:val="9"/>
              <w:rPr>
                <w:rFonts w:hint="eastAsia" w:ascii="仿宋" w:hAnsi="仿宋" w:eastAsia="仿宋" w:cs="仿宋"/>
                <w:sz w:val="24"/>
                <w:szCs w:val="24"/>
                <w:highlight w:val="none"/>
              </w:rPr>
            </w:pPr>
          </w:p>
        </w:tc>
      </w:tr>
      <w:tr w14:paraId="786C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C999724">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86B6918">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2EC8947">
            <w:pPr>
              <w:pStyle w:val="132"/>
              <w:spacing w:line="500" w:lineRule="exact"/>
              <w:outlineLvl w:val="9"/>
              <w:rPr>
                <w:rFonts w:hint="eastAsia" w:ascii="仿宋" w:hAnsi="仿宋" w:eastAsia="仿宋" w:cs="仿宋"/>
                <w:sz w:val="24"/>
                <w:szCs w:val="24"/>
                <w:highlight w:val="none"/>
              </w:rPr>
            </w:pPr>
          </w:p>
        </w:tc>
        <w:tc>
          <w:tcPr>
            <w:tcW w:w="3485" w:type="dxa"/>
            <w:tcBorders>
              <w:top w:val="single" w:color="auto" w:sz="4" w:space="0"/>
              <w:left w:val="single" w:color="auto" w:sz="4" w:space="0"/>
              <w:bottom w:val="single" w:color="auto" w:sz="4" w:space="0"/>
              <w:right w:val="single" w:color="auto" w:sz="4" w:space="0"/>
            </w:tcBorders>
            <w:noWrap w:val="0"/>
            <w:vAlign w:val="center"/>
          </w:tcPr>
          <w:p w14:paraId="151515E9">
            <w:pPr>
              <w:pStyle w:val="132"/>
              <w:spacing w:line="500" w:lineRule="exact"/>
              <w:outlineLvl w:val="9"/>
              <w:rPr>
                <w:rFonts w:hint="eastAsia" w:ascii="仿宋" w:hAnsi="仿宋" w:eastAsia="仿宋" w:cs="仿宋"/>
                <w:sz w:val="24"/>
                <w:szCs w:val="24"/>
                <w:highlight w:val="none"/>
              </w:rPr>
            </w:pPr>
          </w:p>
        </w:tc>
      </w:tr>
      <w:tr w14:paraId="0D52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BA5226E">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05585A86">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380F65E">
            <w:pPr>
              <w:pStyle w:val="132"/>
              <w:spacing w:line="500" w:lineRule="exact"/>
              <w:outlineLvl w:val="9"/>
              <w:rPr>
                <w:rFonts w:hint="eastAsia" w:ascii="仿宋" w:hAnsi="仿宋" w:eastAsia="仿宋" w:cs="仿宋"/>
                <w:sz w:val="24"/>
                <w:szCs w:val="24"/>
                <w:highlight w:val="none"/>
              </w:rPr>
            </w:pPr>
          </w:p>
        </w:tc>
        <w:tc>
          <w:tcPr>
            <w:tcW w:w="3485" w:type="dxa"/>
            <w:tcBorders>
              <w:top w:val="single" w:color="auto" w:sz="4" w:space="0"/>
              <w:left w:val="single" w:color="auto" w:sz="4" w:space="0"/>
              <w:bottom w:val="single" w:color="auto" w:sz="4" w:space="0"/>
              <w:right w:val="single" w:color="auto" w:sz="4" w:space="0"/>
            </w:tcBorders>
            <w:noWrap w:val="0"/>
            <w:vAlign w:val="center"/>
          </w:tcPr>
          <w:p w14:paraId="6ECBC7CA">
            <w:pPr>
              <w:pStyle w:val="132"/>
              <w:spacing w:line="500" w:lineRule="exact"/>
              <w:outlineLvl w:val="9"/>
              <w:rPr>
                <w:rFonts w:hint="eastAsia" w:ascii="仿宋" w:hAnsi="仿宋" w:eastAsia="仿宋" w:cs="仿宋"/>
                <w:sz w:val="24"/>
                <w:szCs w:val="24"/>
                <w:highlight w:val="none"/>
              </w:rPr>
            </w:pPr>
          </w:p>
        </w:tc>
      </w:tr>
      <w:tr w14:paraId="2020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47EEF12">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353C9C0">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E22B44E">
            <w:pPr>
              <w:pStyle w:val="132"/>
              <w:spacing w:line="500" w:lineRule="exact"/>
              <w:outlineLvl w:val="9"/>
              <w:rPr>
                <w:rFonts w:hint="eastAsia" w:ascii="仿宋" w:hAnsi="仿宋" w:eastAsia="仿宋" w:cs="仿宋"/>
                <w:sz w:val="24"/>
                <w:szCs w:val="24"/>
                <w:highlight w:val="none"/>
              </w:rPr>
            </w:pPr>
          </w:p>
        </w:tc>
        <w:tc>
          <w:tcPr>
            <w:tcW w:w="3485" w:type="dxa"/>
            <w:tcBorders>
              <w:top w:val="single" w:color="auto" w:sz="4" w:space="0"/>
              <w:left w:val="single" w:color="auto" w:sz="4" w:space="0"/>
              <w:bottom w:val="single" w:color="auto" w:sz="4" w:space="0"/>
              <w:right w:val="single" w:color="auto" w:sz="4" w:space="0"/>
            </w:tcBorders>
            <w:noWrap w:val="0"/>
            <w:vAlign w:val="center"/>
          </w:tcPr>
          <w:p w14:paraId="47BF1A0E">
            <w:pPr>
              <w:pStyle w:val="132"/>
              <w:spacing w:line="500" w:lineRule="exact"/>
              <w:outlineLvl w:val="9"/>
              <w:rPr>
                <w:rFonts w:hint="eastAsia" w:ascii="仿宋" w:hAnsi="仿宋" w:eastAsia="仿宋" w:cs="仿宋"/>
                <w:sz w:val="24"/>
                <w:szCs w:val="24"/>
                <w:highlight w:val="none"/>
              </w:rPr>
            </w:pPr>
          </w:p>
        </w:tc>
      </w:tr>
      <w:tr w14:paraId="216C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1589833">
            <w:pPr>
              <w:pStyle w:val="132"/>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ED36C41">
            <w:pPr>
              <w:pStyle w:val="132"/>
              <w:spacing w:line="500" w:lineRule="exact"/>
              <w:outlineLvl w:val="9"/>
              <w:rPr>
                <w:rFonts w:hint="eastAsia" w:ascii="仿宋" w:hAnsi="仿宋" w:eastAsia="仿宋" w:cs="仿宋"/>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8D0CBDC">
            <w:pPr>
              <w:pStyle w:val="132"/>
              <w:spacing w:line="500" w:lineRule="exact"/>
              <w:outlineLvl w:val="9"/>
              <w:rPr>
                <w:rFonts w:hint="eastAsia" w:ascii="仿宋" w:hAnsi="仿宋" w:eastAsia="仿宋" w:cs="仿宋"/>
                <w:sz w:val="24"/>
                <w:szCs w:val="24"/>
                <w:highlight w:val="none"/>
              </w:rPr>
            </w:pPr>
          </w:p>
        </w:tc>
        <w:tc>
          <w:tcPr>
            <w:tcW w:w="3485" w:type="dxa"/>
            <w:tcBorders>
              <w:top w:val="single" w:color="auto" w:sz="4" w:space="0"/>
              <w:left w:val="single" w:color="auto" w:sz="4" w:space="0"/>
              <w:bottom w:val="single" w:color="auto" w:sz="4" w:space="0"/>
              <w:right w:val="single" w:color="auto" w:sz="4" w:space="0"/>
            </w:tcBorders>
            <w:noWrap w:val="0"/>
            <w:vAlign w:val="center"/>
          </w:tcPr>
          <w:p w14:paraId="1151F048">
            <w:pPr>
              <w:pStyle w:val="132"/>
              <w:spacing w:line="500" w:lineRule="exact"/>
              <w:outlineLvl w:val="9"/>
              <w:rPr>
                <w:rFonts w:hint="eastAsia" w:ascii="仿宋" w:hAnsi="仿宋" w:eastAsia="仿宋" w:cs="仿宋"/>
                <w:sz w:val="24"/>
                <w:szCs w:val="24"/>
                <w:highlight w:val="none"/>
              </w:rPr>
            </w:pPr>
          </w:p>
        </w:tc>
      </w:tr>
    </w:tbl>
    <w:p w14:paraId="69A51232">
      <w:pPr>
        <w:pStyle w:val="189"/>
        <w:spacing w:line="360" w:lineRule="auto"/>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注：1、供应商根据本磋商文件中“第三章 采购需求”填写技术条款偏离说明表。有偏离的技术条款须在该表中逐一列明，并在“响应文件的商务技术条款”栏填写具体应答内容，在“偏离说明”中说明偏离具体情形。若无偏离请在“响应文件的商务条款”中填写“无偏离”。</w:t>
      </w:r>
    </w:p>
    <w:p w14:paraId="05994774">
      <w:pPr>
        <w:pStyle w:val="18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2、未声明部分将被视为已接受磋商文件要求，签约时未经采购方同意不得改变。</w:t>
      </w:r>
    </w:p>
    <w:p w14:paraId="28694408">
      <w:pPr>
        <w:pStyle w:val="18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3、供应商可根据其响应内容进一步细化上述表格，并可增添其它表格或说明以便进一步明确响应内容。</w:t>
      </w:r>
    </w:p>
    <w:p w14:paraId="25C7E573">
      <w:pPr>
        <w:pStyle w:val="189"/>
        <w:spacing w:line="360" w:lineRule="auto"/>
        <w:ind w:firstLine="480" w:firstLineChars="200"/>
        <w:outlineLvl w:val="9"/>
        <w:rPr>
          <w:rFonts w:hint="eastAsia" w:ascii="仿宋" w:hAnsi="仿宋" w:eastAsia="仿宋" w:cs="仿宋"/>
          <w:sz w:val="24"/>
          <w:szCs w:val="21"/>
          <w:highlight w:val="none"/>
        </w:rPr>
      </w:pPr>
    </w:p>
    <w:p w14:paraId="08D08E66">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供应商名称（电子签章）：</w:t>
      </w:r>
      <w:r>
        <w:rPr>
          <w:rFonts w:hint="eastAsia" w:ascii="仿宋" w:hAnsi="仿宋" w:eastAsia="仿宋" w:cs="仿宋"/>
          <w:sz w:val="24"/>
          <w:szCs w:val="21"/>
          <w:highlight w:val="none"/>
          <w:u w:val="single"/>
        </w:rPr>
        <w:t xml:space="preserve">                         </w:t>
      </w:r>
    </w:p>
    <w:p w14:paraId="234E825E">
      <w:pPr>
        <w:pStyle w:val="149"/>
        <w:spacing w:line="360" w:lineRule="auto"/>
        <w:ind w:firstLine="480" w:firstLineChars="200"/>
        <w:outlineLvl w:val="9"/>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供应商法定代表人（</w:t>
      </w:r>
      <w:r>
        <w:rPr>
          <w:rFonts w:hint="eastAsia" w:ascii="仿宋" w:hAnsi="仿宋" w:eastAsia="仿宋" w:cs="仿宋"/>
          <w:sz w:val="24"/>
          <w:szCs w:val="21"/>
          <w:highlight w:val="none"/>
          <w:lang w:eastAsia="zh-CN"/>
        </w:rPr>
        <w:t>签字盖章</w:t>
      </w:r>
      <w:r>
        <w:rPr>
          <w:rFonts w:hint="eastAsia" w:ascii="仿宋" w:hAnsi="仿宋" w:eastAsia="仿宋" w:cs="仿宋"/>
          <w:sz w:val="24"/>
          <w:szCs w:val="21"/>
          <w:highlight w:val="none"/>
        </w:rPr>
        <w:t>）：</w:t>
      </w:r>
      <w:r>
        <w:rPr>
          <w:rFonts w:hint="eastAsia" w:ascii="仿宋" w:hAnsi="仿宋" w:eastAsia="仿宋" w:cs="仿宋"/>
          <w:sz w:val="24"/>
          <w:szCs w:val="21"/>
          <w:highlight w:val="none"/>
          <w:u w:val="single"/>
        </w:rPr>
        <w:t xml:space="preserve">                 </w:t>
      </w:r>
    </w:p>
    <w:p w14:paraId="4EBF6E8B">
      <w:pPr>
        <w:pStyle w:val="149"/>
        <w:spacing w:line="360" w:lineRule="auto"/>
        <w:ind w:firstLine="480" w:firstLineChars="200"/>
        <w:outlineLvl w:val="9"/>
        <w:rPr>
          <w:rFonts w:hint="eastAsia" w:ascii="仿宋" w:hAnsi="仿宋" w:eastAsia="仿宋" w:cs="仿宋"/>
          <w:sz w:val="24"/>
          <w:szCs w:val="21"/>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年</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月</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日</w:t>
      </w:r>
    </w:p>
    <w:p w14:paraId="4EEB2C3F">
      <w:pPr>
        <w:pStyle w:val="200"/>
        <w:spacing w:line="360" w:lineRule="auto"/>
        <w:jc w:val="center"/>
        <w:outlineLvl w:val="3"/>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br w:type="page"/>
      </w:r>
      <w:bookmarkStart w:id="269" w:name="_Toc922"/>
      <w:bookmarkStart w:id="270" w:name="_Toc23234"/>
      <w:bookmarkStart w:id="271" w:name="_Toc18134"/>
      <w:r>
        <w:rPr>
          <w:rFonts w:hint="eastAsia" w:ascii="仿宋" w:hAnsi="仿宋" w:eastAsia="仿宋" w:cs="仿宋"/>
          <w:sz w:val="30"/>
          <w:szCs w:val="30"/>
          <w:highlight w:val="none"/>
        </w:rPr>
        <w:t>（七）</w:t>
      </w:r>
      <w:bookmarkEnd w:id="269"/>
      <w:bookmarkEnd w:id="270"/>
      <w:bookmarkEnd w:id="271"/>
      <w:r>
        <w:rPr>
          <w:rFonts w:hint="eastAsia" w:ascii="仿宋" w:hAnsi="仿宋" w:eastAsia="仿宋" w:cs="仿宋"/>
          <w:sz w:val="30"/>
          <w:szCs w:val="30"/>
          <w:highlight w:val="none"/>
          <w:lang w:val="en-US" w:eastAsia="zh-CN"/>
        </w:rPr>
        <w:t>项目理解</w:t>
      </w:r>
    </w:p>
    <w:p w14:paraId="4ED38E0B">
      <w:pPr>
        <w:spacing w:line="360" w:lineRule="auto"/>
        <w:outlineLvl w:val="9"/>
        <w:rPr>
          <w:rFonts w:hint="eastAsia" w:ascii="仿宋" w:hAnsi="仿宋" w:eastAsia="仿宋" w:cs="仿宋"/>
          <w:sz w:val="24"/>
          <w:szCs w:val="28"/>
          <w:highlight w:val="none"/>
        </w:rPr>
      </w:pPr>
    </w:p>
    <w:p w14:paraId="0DE70A52">
      <w:pPr>
        <w:spacing w:line="360" w:lineRule="auto"/>
        <w:ind w:firstLine="480" w:firstLineChars="200"/>
        <w:outlineLvl w:val="9"/>
        <w:rPr>
          <w:rFonts w:hint="eastAsia" w:ascii="仿宋" w:hAnsi="仿宋" w:eastAsia="仿宋" w:cs="仿宋"/>
          <w:sz w:val="24"/>
          <w:szCs w:val="28"/>
          <w:highlight w:val="none"/>
        </w:rPr>
      </w:pPr>
      <w:r>
        <w:rPr>
          <w:rFonts w:hint="eastAsia" w:ascii="仿宋" w:hAnsi="仿宋" w:eastAsia="仿宋" w:cs="仿宋"/>
          <w:sz w:val="24"/>
          <w:szCs w:val="28"/>
          <w:highlight w:val="none"/>
        </w:rPr>
        <w:t>供应商应根据竞争性磋商文件《第三章 采购需求》和《第四章 评审方法》的规定自行编写，详细叙述拟提供服务情况。</w:t>
      </w:r>
    </w:p>
    <w:p w14:paraId="174F2580">
      <w:pPr>
        <w:pStyle w:val="207"/>
        <w:spacing w:after="120" w:line="240" w:lineRule="exact"/>
        <w:jc w:val="both"/>
        <w:outlineLvl w:val="9"/>
        <w:rPr>
          <w:rFonts w:hint="eastAsia" w:ascii="仿宋" w:hAnsi="仿宋" w:eastAsia="仿宋" w:cs="仿宋"/>
          <w:bCs/>
          <w:sz w:val="28"/>
          <w:szCs w:val="28"/>
          <w:highlight w:val="none"/>
        </w:rPr>
      </w:pPr>
    </w:p>
    <w:p w14:paraId="7F2ADE08">
      <w:pPr>
        <w:pStyle w:val="168"/>
        <w:spacing w:line="360" w:lineRule="auto"/>
        <w:outlineLvl w:val="9"/>
        <w:rPr>
          <w:rFonts w:hint="eastAsia" w:ascii="仿宋" w:hAnsi="仿宋" w:eastAsia="仿宋" w:cs="仿宋"/>
          <w:highlight w:val="none"/>
        </w:rPr>
      </w:pPr>
    </w:p>
    <w:p w14:paraId="48A9CBCD">
      <w:pPr>
        <w:pStyle w:val="200"/>
        <w:spacing w:line="360" w:lineRule="auto"/>
        <w:jc w:val="center"/>
        <w:outlineLvl w:val="3"/>
        <w:rPr>
          <w:rFonts w:hint="eastAsia" w:ascii="仿宋" w:hAnsi="仿宋" w:eastAsia="仿宋" w:cs="仿宋"/>
          <w:sz w:val="28"/>
          <w:szCs w:val="22"/>
          <w:highlight w:val="none"/>
        </w:rPr>
      </w:pPr>
      <w:r>
        <w:rPr>
          <w:rFonts w:hint="eastAsia" w:ascii="仿宋" w:hAnsi="仿宋" w:eastAsia="仿宋" w:cs="仿宋"/>
          <w:highlight w:val="none"/>
        </w:rPr>
        <w:br w:type="page"/>
      </w:r>
      <w:bookmarkStart w:id="272" w:name="_Toc15947"/>
      <w:bookmarkStart w:id="273" w:name="_Toc29151"/>
      <w:bookmarkStart w:id="274" w:name="_Toc2598"/>
      <w:r>
        <w:rPr>
          <w:rFonts w:hint="eastAsia" w:ascii="仿宋" w:hAnsi="仿宋" w:eastAsia="仿宋" w:cs="仿宋"/>
          <w:sz w:val="30"/>
          <w:szCs w:val="30"/>
          <w:highlight w:val="none"/>
        </w:rPr>
        <w:t>（八）</w:t>
      </w:r>
      <w:bookmarkEnd w:id="272"/>
      <w:bookmarkEnd w:id="273"/>
      <w:bookmarkEnd w:id="274"/>
      <w:r>
        <w:rPr>
          <w:rFonts w:hint="eastAsia" w:ascii="仿宋" w:hAnsi="仿宋" w:eastAsia="仿宋" w:cs="仿宋"/>
          <w:color w:val="000000"/>
          <w:highlight w:val="none"/>
          <w:lang w:val="en-US" w:eastAsia="zh-CN"/>
        </w:rPr>
        <w:t>实施方案</w:t>
      </w:r>
    </w:p>
    <w:p w14:paraId="34B9D00E">
      <w:pPr>
        <w:spacing w:line="360" w:lineRule="auto"/>
        <w:ind w:firstLine="480" w:firstLineChars="200"/>
        <w:outlineLvl w:val="9"/>
        <w:rPr>
          <w:rFonts w:hint="eastAsia" w:ascii="仿宋" w:hAnsi="仿宋" w:eastAsia="仿宋" w:cs="仿宋"/>
          <w:sz w:val="24"/>
          <w:szCs w:val="28"/>
          <w:highlight w:val="none"/>
        </w:rPr>
      </w:pPr>
      <w:r>
        <w:rPr>
          <w:rFonts w:hint="eastAsia" w:ascii="仿宋" w:hAnsi="仿宋" w:eastAsia="仿宋" w:cs="仿宋"/>
          <w:sz w:val="24"/>
          <w:szCs w:val="28"/>
          <w:highlight w:val="none"/>
        </w:rPr>
        <w:t>供应商应根据竞争性磋商文件《第三章 采购需求》和《第四章 评审方法》的规定自行编写，详细叙述拟提供服务情况。</w:t>
      </w:r>
    </w:p>
    <w:p w14:paraId="35D0B2FE">
      <w:pPr>
        <w:pStyle w:val="200"/>
        <w:spacing w:line="360" w:lineRule="auto"/>
        <w:jc w:val="center"/>
        <w:outlineLvl w:val="3"/>
        <w:rPr>
          <w:rFonts w:hint="eastAsia" w:ascii="仿宋" w:hAnsi="仿宋" w:eastAsia="仿宋" w:cs="仿宋"/>
          <w:b w:val="0"/>
          <w:kern w:val="0"/>
          <w:sz w:val="30"/>
          <w:szCs w:val="30"/>
          <w:highlight w:val="none"/>
          <w:lang w:val="en-US" w:eastAsia="zh-CN"/>
        </w:rPr>
      </w:pPr>
      <w:r>
        <w:rPr>
          <w:rFonts w:hint="eastAsia" w:ascii="仿宋" w:hAnsi="仿宋" w:eastAsia="仿宋" w:cs="仿宋"/>
          <w:b w:val="0"/>
          <w:kern w:val="0"/>
          <w:sz w:val="28"/>
          <w:highlight w:val="none"/>
        </w:rPr>
        <w:br w:type="page"/>
      </w:r>
      <w:bookmarkStart w:id="275" w:name="_Toc22493"/>
      <w:bookmarkStart w:id="276" w:name="_Toc26109"/>
      <w:bookmarkStart w:id="277" w:name="_Toc17804"/>
      <w:r>
        <w:rPr>
          <w:rFonts w:hint="eastAsia" w:ascii="仿宋" w:hAnsi="仿宋" w:eastAsia="仿宋" w:cs="仿宋"/>
          <w:sz w:val="30"/>
          <w:szCs w:val="30"/>
          <w:highlight w:val="none"/>
        </w:rPr>
        <w:t>（九）</w:t>
      </w:r>
      <w:bookmarkEnd w:id="275"/>
      <w:bookmarkEnd w:id="276"/>
      <w:bookmarkEnd w:id="277"/>
      <w:r>
        <w:rPr>
          <w:rFonts w:hint="eastAsia" w:ascii="仿宋" w:hAnsi="仿宋" w:eastAsia="仿宋" w:cs="仿宋"/>
          <w:sz w:val="30"/>
          <w:szCs w:val="30"/>
          <w:highlight w:val="none"/>
          <w:lang w:val="en-US" w:eastAsia="zh-CN"/>
        </w:rPr>
        <w:t>培训资源</w:t>
      </w:r>
    </w:p>
    <w:p w14:paraId="4FE59838">
      <w:pPr>
        <w:spacing w:line="360" w:lineRule="auto"/>
        <w:ind w:firstLine="480" w:firstLineChars="200"/>
        <w:outlineLvl w:val="9"/>
        <w:rPr>
          <w:rFonts w:hint="eastAsia" w:ascii="仿宋" w:hAnsi="仿宋" w:eastAsia="仿宋" w:cs="仿宋"/>
          <w:sz w:val="24"/>
          <w:szCs w:val="28"/>
          <w:highlight w:val="none"/>
        </w:rPr>
      </w:pPr>
      <w:r>
        <w:rPr>
          <w:rFonts w:hint="eastAsia" w:ascii="仿宋" w:hAnsi="仿宋" w:eastAsia="仿宋" w:cs="仿宋"/>
          <w:sz w:val="24"/>
          <w:szCs w:val="28"/>
          <w:highlight w:val="none"/>
        </w:rPr>
        <w:t>供应商应根据竞争性磋商文件《第三章 采购需求》和《第四章 评审方法》的规定自行编写，详细叙述拟提供服务情况。</w:t>
      </w:r>
    </w:p>
    <w:p w14:paraId="266A3C66">
      <w:pPr>
        <w:pStyle w:val="200"/>
        <w:spacing w:line="360" w:lineRule="auto"/>
        <w:jc w:val="center"/>
        <w:outlineLvl w:val="3"/>
        <w:rPr>
          <w:rFonts w:hint="eastAsia" w:ascii="仿宋" w:hAnsi="仿宋" w:eastAsia="仿宋" w:cs="仿宋"/>
          <w:b w:val="0"/>
          <w:kern w:val="0"/>
          <w:sz w:val="30"/>
          <w:szCs w:val="30"/>
          <w:highlight w:val="none"/>
          <w:lang w:eastAsia="zh-CN"/>
        </w:rPr>
      </w:pPr>
      <w:r>
        <w:rPr>
          <w:rFonts w:hint="eastAsia" w:ascii="仿宋" w:hAnsi="仿宋" w:eastAsia="仿宋" w:cs="仿宋"/>
          <w:b w:val="0"/>
          <w:kern w:val="0"/>
          <w:sz w:val="30"/>
          <w:szCs w:val="30"/>
          <w:highlight w:val="none"/>
        </w:rPr>
        <w:br w:type="page"/>
      </w:r>
      <w:bookmarkStart w:id="278" w:name="_Toc16683"/>
      <w:bookmarkStart w:id="279" w:name="_Toc14992"/>
      <w:bookmarkStart w:id="280" w:name="_Toc17899"/>
      <w:r>
        <w:rPr>
          <w:rFonts w:hint="eastAsia" w:ascii="仿宋" w:hAnsi="仿宋" w:eastAsia="仿宋" w:cs="仿宋"/>
          <w:b w:val="0"/>
          <w:kern w:val="0"/>
          <w:sz w:val="30"/>
          <w:szCs w:val="30"/>
          <w:highlight w:val="none"/>
          <w:lang w:eastAsia="zh-CN"/>
        </w:rPr>
        <w:t>（</w:t>
      </w:r>
      <w:r>
        <w:rPr>
          <w:rFonts w:hint="eastAsia" w:ascii="仿宋" w:hAnsi="仿宋" w:eastAsia="仿宋" w:cs="仿宋"/>
          <w:sz w:val="30"/>
          <w:szCs w:val="30"/>
          <w:highlight w:val="none"/>
        </w:rPr>
        <w:t>十</w:t>
      </w:r>
      <w:r>
        <w:rPr>
          <w:rFonts w:hint="eastAsia" w:ascii="仿宋" w:hAnsi="仿宋" w:eastAsia="仿宋" w:cs="仿宋"/>
          <w:sz w:val="30"/>
          <w:szCs w:val="30"/>
          <w:highlight w:val="none"/>
          <w:lang w:eastAsia="zh-CN"/>
        </w:rPr>
        <w:t>）</w:t>
      </w:r>
      <w:bookmarkEnd w:id="278"/>
      <w:bookmarkEnd w:id="279"/>
      <w:bookmarkEnd w:id="280"/>
      <w:r>
        <w:rPr>
          <w:rFonts w:hint="eastAsia" w:ascii="仿宋" w:hAnsi="仿宋" w:eastAsia="仿宋" w:cs="仿宋"/>
          <w:sz w:val="30"/>
          <w:szCs w:val="30"/>
          <w:highlight w:val="none"/>
          <w:lang w:val="en-US" w:eastAsia="zh-CN"/>
        </w:rPr>
        <w:t>应急处置方案</w:t>
      </w:r>
    </w:p>
    <w:p w14:paraId="597D48DE">
      <w:pPr>
        <w:spacing w:line="360" w:lineRule="auto"/>
        <w:ind w:firstLine="480" w:firstLineChars="200"/>
        <w:outlineLvl w:val="9"/>
        <w:rPr>
          <w:rFonts w:hint="eastAsia" w:ascii="仿宋" w:hAnsi="仿宋" w:eastAsia="仿宋" w:cs="仿宋"/>
          <w:sz w:val="24"/>
          <w:szCs w:val="28"/>
          <w:highlight w:val="none"/>
        </w:rPr>
      </w:pPr>
      <w:r>
        <w:rPr>
          <w:rFonts w:hint="eastAsia" w:ascii="仿宋" w:hAnsi="仿宋" w:eastAsia="仿宋" w:cs="仿宋"/>
          <w:sz w:val="24"/>
          <w:szCs w:val="28"/>
          <w:highlight w:val="none"/>
        </w:rPr>
        <w:t>供应商应根据竞争性磋商文件《第三章 采购需求》和《第四章 评审方法》的规定自行编写，详细叙述拟提供服务情况。</w:t>
      </w:r>
    </w:p>
    <w:p w14:paraId="3294855B">
      <w:pPr>
        <w:spacing w:line="360" w:lineRule="auto"/>
        <w:jc w:val="center"/>
        <w:outlineLvl w:val="9"/>
        <w:rPr>
          <w:rFonts w:hint="eastAsia" w:ascii="仿宋" w:hAnsi="仿宋" w:eastAsia="仿宋" w:cs="仿宋"/>
          <w:b/>
          <w:kern w:val="0"/>
          <w:sz w:val="28"/>
          <w:highlight w:val="none"/>
        </w:rPr>
      </w:pPr>
    </w:p>
    <w:p w14:paraId="7FA36286">
      <w:pPr>
        <w:spacing w:line="360" w:lineRule="auto"/>
        <w:outlineLvl w:val="9"/>
        <w:rPr>
          <w:rFonts w:hint="eastAsia" w:ascii="仿宋" w:hAnsi="仿宋" w:eastAsia="仿宋" w:cs="仿宋"/>
          <w:bCs/>
          <w:sz w:val="28"/>
          <w:szCs w:val="28"/>
          <w:highlight w:val="none"/>
        </w:rPr>
      </w:pPr>
    </w:p>
    <w:p w14:paraId="096FA1C3">
      <w:pPr>
        <w:spacing w:line="360" w:lineRule="auto"/>
        <w:jc w:val="center"/>
        <w:outlineLvl w:val="9"/>
        <w:rPr>
          <w:rFonts w:hint="eastAsia" w:ascii="仿宋" w:hAnsi="仿宋" w:eastAsia="仿宋" w:cs="仿宋"/>
          <w:bCs/>
          <w:sz w:val="28"/>
          <w:szCs w:val="28"/>
          <w:highlight w:val="none"/>
        </w:rPr>
      </w:pPr>
    </w:p>
    <w:p w14:paraId="01CE9803">
      <w:pPr>
        <w:pStyle w:val="200"/>
        <w:spacing w:line="360" w:lineRule="auto"/>
        <w:jc w:val="center"/>
        <w:outlineLvl w:val="3"/>
        <w:rPr>
          <w:rFonts w:hint="eastAsia" w:ascii="仿宋" w:hAnsi="仿宋" w:eastAsia="仿宋" w:cs="仿宋"/>
          <w:bCs/>
          <w:sz w:val="30"/>
          <w:szCs w:val="30"/>
          <w:highlight w:val="none"/>
        </w:rPr>
      </w:pPr>
      <w:r>
        <w:rPr>
          <w:rFonts w:hint="eastAsia" w:ascii="仿宋" w:hAnsi="仿宋" w:eastAsia="仿宋" w:cs="仿宋"/>
          <w:b w:val="0"/>
          <w:kern w:val="0"/>
          <w:sz w:val="28"/>
          <w:highlight w:val="none"/>
        </w:rPr>
        <w:br w:type="page"/>
      </w:r>
      <w:bookmarkStart w:id="281" w:name="_Toc7297"/>
      <w:bookmarkStart w:id="282" w:name="_Toc25474"/>
      <w:bookmarkStart w:id="283" w:name="_Toc17170"/>
      <w:r>
        <w:rPr>
          <w:rFonts w:hint="eastAsia" w:ascii="仿宋" w:hAnsi="仿宋" w:eastAsia="仿宋" w:cs="仿宋"/>
          <w:sz w:val="30"/>
          <w:szCs w:val="30"/>
          <w:highlight w:val="none"/>
        </w:rPr>
        <w:t>（十</w:t>
      </w:r>
      <w:r>
        <w:rPr>
          <w:rFonts w:hint="eastAsia" w:ascii="仿宋" w:hAnsi="仿宋" w:eastAsia="仿宋" w:cs="仿宋"/>
          <w:sz w:val="30"/>
          <w:szCs w:val="30"/>
          <w:highlight w:val="none"/>
          <w:lang w:val="en-US" w:eastAsia="zh-CN"/>
        </w:rPr>
        <w:t>一</w:t>
      </w:r>
      <w:r>
        <w:rPr>
          <w:rFonts w:hint="eastAsia" w:ascii="仿宋" w:hAnsi="仿宋" w:eastAsia="仿宋" w:cs="仿宋"/>
          <w:sz w:val="30"/>
          <w:szCs w:val="30"/>
          <w:highlight w:val="none"/>
        </w:rPr>
        <w:t>）</w:t>
      </w:r>
      <w:bookmarkEnd w:id="281"/>
      <w:bookmarkEnd w:id="282"/>
      <w:bookmarkEnd w:id="283"/>
      <w:r>
        <w:rPr>
          <w:rFonts w:hint="eastAsia" w:ascii="仿宋" w:hAnsi="仿宋" w:eastAsia="仿宋" w:cs="仿宋"/>
          <w:sz w:val="30"/>
          <w:szCs w:val="30"/>
          <w:highlight w:val="none"/>
        </w:rPr>
        <w:t>其他声明及文件资料</w:t>
      </w:r>
    </w:p>
    <w:p w14:paraId="40E0C6CB">
      <w:pPr>
        <w:pStyle w:val="180"/>
        <w:ind w:firstLine="482" w:firstLineChars="200"/>
        <w:outlineLvl w:val="9"/>
        <w:rPr>
          <w:rFonts w:hint="eastAsia" w:ascii="仿宋" w:hAnsi="仿宋" w:eastAsia="仿宋" w:cs="仿宋"/>
          <w:sz w:val="24"/>
          <w:highlight w:val="none"/>
        </w:rPr>
      </w:pPr>
      <w:r>
        <w:rPr>
          <w:rFonts w:hint="eastAsia" w:ascii="仿宋" w:hAnsi="仿宋" w:eastAsia="仿宋" w:cs="仿宋"/>
          <w:sz w:val="24"/>
          <w:highlight w:val="none"/>
        </w:rPr>
        <w:t>供应商认为需要提供的其他声明及文件资料。</w:t>
      </w:r>
    </w:p>
    <w:p w14:paraId="7F11DC09">
      <w:pPr>
        <w:pStyle w:val="180"/>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0" w:firstLine="480" w:firstLineChars="200"/>
        <w:textAlignment w:val="auto"/>
        <w:outlineLvl w:val="9"/>
        <w:rPr>
          <w:rFonts w:hint="eastAsia" w:ascii="仿宋" w:hAnsi="仿宋" w:eastAsia="仿宋" w:cs="仿宋"/>
          <w:b w:val="0"/>
          <w:kern w:val="2"/>
          <w:sz w:val="24"/>
          <w:szCs w:val="28"/>
          <w:highlight w:val="none"/>
          <w:lang w:val="en-US" w:eastAsia="zh-CN" w:bidi="ar-SA"/>
        </w:rPr>
      </w:pPr>
    </w:p>
    <w:p w14:paraId="6FDA92A6">
      <w:pPr>
        <w:pStyle w:val="180"/>
        <w:numPr>
          <w:ilvl w:val="0"/>
          <w:numId w:val="0"/>
        </w:numPr>
        <w:outlineLvl w:val="9"/>
        <w:rPr>
          <w:rFonts w:hint="eastAsia" w:ascii="仿宋" w:hAnsi="仿宋" w:eastAsia="仿宋" w:cs="仿宋"/>
          <w:sz w:val="30"/>
          <w:szCs w:val="30"/>
          <w:highlight w:val="none"/>
          <w:lang w:eastAsia="zh-CN"/>
        </w:rPr>
      </w:pPr>
    </w:p>
    <w:sectPr>
      <w:pgSz w:w="11906" w:h="16838"/>
      <w:pgMar w:top="1191" w:right="1191" w:bottom="1191" w:left="1191" w:header="851" w:footer="850"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1" w:fontKey="{E8C38976-4058-4FC0-8464-D94AA6BB366C}"/>
  </w:font>
  <w:font w:name="等线">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60101010101"/>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79DD">
    <w:pPr>
      <w:pStyle w:val="58"/>
      <w:tabs>
        <w:tab w:val="left" w:pos="3609"/>
        <w:tab w:val="clear" w:pos="4153"/>
      </w:tabs>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7426">
    <w:pPr>
      <w:pStyle w:val="58"/>
      <w:tabs>
        <w:tab w:val="left" w:pos="3609"/>
        <w:tab w:val="clear" w:pos="4153"/>
      </w:tabs>
      <w:rPr>
        <w:u w:val="single"/>
      </w:rPr>
    </w:pPr>
    <w:r>
      <w:rPr>
        <w:u w:val="singl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E4C0F5">
                          <w:pPr>
                            <w:pStyle w:val="5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14:paraId="03E4C0F5">
                    <w:pPr>
                      <w:pStyle w:val="5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B7EC">
    <w:pPr>
      <w:pStyle w:val="5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2E4FB8">
                          <w:pPr>
                            <w:pStyle w:val="58"/>
                            <w:jc w:val="center"/>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8efN4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e5X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yfx583gEAAL4DAAAOAAAAAAAA&#10;AAEAIAAAAB4BAABkcnMvZTJvRG9jLnhtbFBLBQYAAAAABgAGAFkBAABuBQAAAAA=&#10;">
              <v:fill on="f" focussize="0,0"/>
              <v:stroke on="f"/>
              <v:imagedata o:title=""/>
              <o:lock v:ext="edit" aspectratio="f"/>
              <v:textbox inset="0mm,0mm,0mm,0mm" style="mso-fit-shape-to-text:t;">
                <w:txbxContent>
                  <w:p w14:paraId="022E4FB8">
                    <w:pPr>
                      <w:pStyle w:val="58"/>
                      <w:jc w:val="center"/>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p w14:paraId="452FD80A">
    <w:pPr>
      <w:pStyle w:val="5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D48C">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D967">
    <w:pPr>
      <w:pStyle w:val="59"/>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C6705"/>
    <w:multiLevelType w:val="singleLevel"/>
    <w:tmpl w:val="A60C6705"/>
    <w:lvl w:ilvl="0" w:tentative="0">
      <w:start w:val="5"/>
      <w:numFmt w:val="decimal"/>
      <w:suff w:val="nothing"/>
      <w:lvlText w:val="%1、"/>
      <w:lvlJc w:val="left"/>
    </w:lvl>
  </w:abstractNum>
  <w:abstractNum w:abstractNumId="1">
    <w:nsid w:val="A7763EE3"/>
    <w:multiLevelType w:val="singleLevel"/>
    <w:tmpl w:val="A7763EE3"/>
    <w:lvl w:ilvl="0" w:tentative="0">
      <w:start w:val="2"/>
      <w:numFmt w:val="chineseCounting"/>
      <w:suff w:val="nothing"/>
      <w:lvlText w:val="%1、"/>
      <w:lvlJc w:val="left"/>
      <w:rPr>
        <w:rFonts w:hint="eastAsia"/>
      </w:rPr>
    </w:lvl>
  </w:abstractNum>
  <w:abstractNum w:abstractNumId="2">
    <w:nsid w:val="0AE215C9"/>
    <w:multiLevelType w:val="singleLevel"/>
    <w:tmpl w:val="0AE215C9"/>
    <w:lvl w:ilvl="0" w:tentative="0">
      <w:start w:val="2"/>
      <w:numFmt w:val="decimal"/>
      <w:lvlText w:val="%1."/>
      <w:lvlJc w:val="left"/>
      <w:pPr>
        <w:tabs>
          <w:tab w:val="left" w:pos="312"/>
        </w:tabs>
      </w:pPr>
    </w:lvl>
  </w:abstractNum>
  <w:abstractNum w:abstractNumId="3">
    <w:nsid w:val="1F178FD1"/>
    <w:multiLevelType w:val="singleLevel"/>
    <w:tmpl w:val="1F178FD1"/>
    <w:lvl w:ilvl="0" w:tentative="0">
      <w:start w:val="3"/>
      <w:numFmt w:val="chineseCounting"/>
      <w:suff w:val="space"/>
      <w:lvlText w:val="第%1章"/>
      <w:lvlJc w:val="left"/>
      <w:rPr>
        <w:rFonts w:hint="eastAsia"/>
      </w:rPr>
    </w:lvl>
  </w:abstractNum>
  <w:abstractNum w:abstractNumId="4">
    <w:nsid w:val="383DBE26"/>
    <w:multiLevelType w:val="singleLevel"/>
    <w:tmpl w:val="383DBE26"/>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NzUzMTQwNmUyYTYyYThmMzY4OWEwODg2YTFmMmIifQ=="/>
  </w:docVars>
  <w:rsids>
    <w:rsidRoot w:val="0052125D"/>
    <w:rsid w:val="00000B0B"/>
    <w:rsid w:val="0001400C"/>
    <w:rsid w:val="000177B0"/>
    <w:rsid w:val="0002007A"/>
    <w:rsid w:val="000209BF"/>
    <w:rsid w:val="00021FB7"/>
    <w:rsid w:val="00023017"/>
    <w:rsid w:val="00035C6F"/>
    <w:rsid w:val="000375A0"/>
    <w:rsid w:val="00053112"/>
    <w:rsid w:val="000547BD"/>
    <w:rsid w:val="00060A0E"/>
    <w:rsid w:val="000653E1"/>
    <w:rsid w:val="00066E64"/>
    <w:rsid w:val="00070575"/>
    <w:rsid w:val="00073106"/>
    <w:rsid w:val="000762AA"/>
    <w:rsid w:val="00077ECB"/>
    <w:rsid w:val="00096487"/>
    <w:rsid w:val="000A3812"/>
    <w:rsid w:val="000A4ECD"/>
    <w:rsid w:val="000A5840"/>
    <w:rsid w:val="000A65D4"/>
    <w:rsid w:val="000B2B69"/>
    <w:rsid w:val="000B64FC"/>
    <w:rsid w:val="000B772E"/>
    <w:rsid w:val="000C41B8"/>
    <w:rsid w:val="000C5296"/>
    <w:rsid w:val="000C7DD1"/>
    <w:rsid w:val="000D7FAD"/>
    <w:rsid w:val="000E330D"/>
    <w:rsid w:val="000F045D"/>
    <w:rsid w:val="000F508D"/>
    <w:rsid w:val="0010015B"/>
    <w:rsid w:val="00110964"/>
    <w:rsid w:val="00121E88"/>
    <w:rsid w:val="001316DF"/>
    <w:rsid w:val="001326BA"/>
    <w:rsid w:val="001330BB"/>
    <w:rsid w:val="00137BEE"/>
    <w:rsid w:val="00141EFF"/>
    <w:rsid w:val="001432C1"/>
    <w:rsid w:val="00143455"/>
    <w:rsid w:val="00155075"/>
    <w:rsid w:val="00166204"/>
    <w:rsid w:val="0016647E"/>
    <w:rsid w:val="00176E80"/>
    <w:rsid w:val="00177C94"/>
    <w:rsid w:val="001802D7"/>
    <w:rsid w:val="0019044D"/>
    <w:rsid w:val="00193177"/>
    <w:rsid w:val="00194AE5"/>
    <w:rsid w:val="001972C9"/>
    <w:rsid w:val="001A4C91"/>
    <w:rsid w:val="001A6EAE"/>
    <w:rsid w:val="001B14D2"/>
    <w:rsid w:val="001B1657"/>
    <w:rsid w:val="001B2EEA"/>
    <w:rsid w:val="001B501F"/>
    <w:rsid w:val="001C3A96"/>
    <w:rsid w:val="001D2EC7"/>
    <w:rsid w:val="001D4F26"/>
    <w:rsid w:val="001E0545"/>
    <w:rsid w:val="001E077C"/>
    <w:rsid w:val="001E40F3"/>
    <w:rsid w:val="001F5DA7"/>
    <w:rsid w:val="00204BBB"/>
    <w:rsid w:val="00205900"/>
    <w:rsid w:val="00214E62"/>
    <w:rsid w:val="00217088"/>
    <w:rsid w:val="002170A6"/>
    <w:rsid w:val="002211C8"/>
    <w:rsid w:val="002248CB"/>
    <w:rsid w:val="002433CC"/>
    <w:rsid w:val="00250421"/>
    <w:rsid w:val="0026513B"/>
    <w:rsid w:val="00265A96"/>
    <w:rsid w:val="00270F0C"/>
    <w:rsid w:val="00284055"/>
    <w:rsid w:val="00286FF7"/>
    <w:rsid w:val="0029602A"/>
    <w:rsid w:val="00296D00"/>
    <w:rsid w:val="00297BAF"/>
    <w:rsid w:val="002B78B3"/>
    <w:rsid w:val="002C7F5B"/>
    <w:rsid w:val="002D6600"/>
    <w:rsid w:val="002D6EFB"/>
    <w:rsid w:val="002E41E3"/>
    <w:rsid w:val="002E4A81"/>
    <w:rsid w:val="002F35E2"/>
    <w:rsid w:val="00305A0E"/>
    <w:rsid w:val="0030742A"/>
    <w:rsid w:val="003165D7"/>
    <w:rsid w:val="00320BFA"/>
    <w:rsid w:val="003217DE"/>
    <w:rsid w:val="00321A05"/>
    <w:rsid w:val="00324672"/>
    <w:rsid w:val="003303B5"/>
    <w:rsid w:val="00333586"/>
    <w:rsid w:val="00340AFC"/>
    <w:rsid w:val="003467C0"/>
    <w:rsid w:val="00367F77"/>
    <w:rsid w:val="0039342E"/>
    <w:rsid w:val="003942DF"/>
    <w:rsid w:val="003A1947"/>
    <w:rsid w:val="003A3F95"/>
    <w:rsid w:val="003A44E9"/>
    <w:rsid w:val="003B4536"/>
    <w:rsid w:val="003B7A8B"/>
    <w:rsid w:val="003C2A1F"/>
    <w:rsid w:val="003C3C0F"/>
    <w:rsid w:val="003D3CD4"/>
    <w:rsid w:val="003D486B"/>
    <w:rsid w:val="003D620F"/>
    <w:rsid w:val="003F5704"/>
    <w:rsid w:val="0040497B"/>
    <w:rsid w:val="004066F5"/>
    <w:rsid w:val="00422C5B"/>
    <w:rsid w:val="0042681B"/>
    <w:rsid w:val="004370D6"/>
    <w:rsid w:val="0044359F"/>
    <w:rsid w:val="00444F70"/>
    <w:rsid w:val="00447951"/>
    <w:rsid w:val="00454C25"/>
    <w:rsid w:val="00457F20"/>
    <w:rsid w:val="00464CA7"/>
    <w:rsid w:val="00475F26"/>
    <w:rsid w:val="0047772B"/>
    <w:rsid w:val="004813B7"/>
    <w:rsid w:val="004948C8"/>
    <w:rsid w:val="004A49C1"/>
    <w:rsid w:val="004B5665"/>
    <w:rsid w:val="004C48FA"/>
    <w:rsid w:val="004C57DB"/>
    <w:rsid w:val="004D61C8"/>
    <w:rsid w:val="004E6026"/>
    <w:rsid w:val="004F1155"/>
    <w:rsid w:val="004F2854"/>
    <w:rsid w:val="005021B5"/>
    <w:rsid w:val="00504020"/>
    <w:rsid w:val="005127DD"/>
    <w:rsid w:val="00527523"/>
    <w:rsid w:val="00535950"/>
    <w:rsid w:val="00540E78"/>
    <w:rsid w:val="00540FBE"/>
    <w:rsid w:val="00544923"/>
    <w:rsid w:val="00552304"/>
    <w:rsid w:val="00560FD7"/>
    <w:rsid w:val="00565FD8"/>
    <w:rsid w:val="005748A1"/>
    <w:rsid w:val="005807B6"/>
    <w:rsid w:val="0058306E"/>
    <w:rsid w:val="005A52EC"/>
    <w:rsid w:val="005A6868"/>
    <w:rsid w:val="005B2C31"/>
    <w:rsid w:val="005B5F0C"/>
    <w:rsid w:val="005B7483"/>
    <w:rsid w:val="005E3D57"/>
    <w:rsid w:val="005E4290"/>
    <w:rsid w:val="005E6418"/>
    <w:rsid w:val="005F36AC"/>
    <w:rsid w:val="00602013"/>
    <w:rsid w:val="00607D38"/>
    <w:rsid w:val="00655CEF"/>
    <w:rsid w:val="00662E6F"/>
    <w:rsid w:val="0066383E"/>
    <w:rsid w:val="00663A16"/>
    <w:rsid w:val="006719EA"/>
    <w:rsid w:val="006818FC"/>
    <w:rsid w:val="00686409"/>
    <w:rsid w:val="006B4750"/>
    <w:rsid w:val="006C0EFE"/>
    <w:rsid w:val="006C747D"/>
    <w:rsid w:val="006C7E80"/>
    <w:rsid w:val="006D2DD4"/>
    <w:rsid w:val="006D69E0"/>
    <w:rsid w:val="006F6D6B"/>
    <w:rsid w:val="00700D5A"/>
    <w:rsid w:val="00707A37"/>
    <w:rsid w:val="007107CD"/>
    <w:rsid w:val="00711FCB"/>
    <w:rsid w:val="00712E89"/>
    <w:rsid w:val="00714081"/>
    <w:rsid w:val="007214FE"/>
    <w:rsid w:val="00722B06"/>
    <w:rsid w:val="00727552"/>
    <w:rsid w:val="00732133"/>
    <w:rsid w:val="00734A38"/>
    <w:rsid w:val="00746FFE"/>
    <w:rsid w:val="00770514"/>
    <w:rsid w:val="00774C94"/>
    <w:rsid w:val="00782511"/>
    <w:rsid w:val="00782815"/>
    <w:rsid w:val="00785125"/>
    <w:rsid w:val="0079031C"/>
    <w:rsid w:val="00791A56"/>
    <w:rsid w:val="00792C16"/>
    <w:rsid w:val="007A2153"/>
    <w:rsid w:val="007B10CC"/>
    <w:rsid w:val="007B6647"/>
    <w:rsid w:val="007C2259"/>
    <w:rsid w:val="007C7BFC"/>
    <w:rsid w:val="007E4742"/>
    <w:rsid w:val="007E5865"/>
    <w:rsid w:val="007F4833"/>
    <w:rsid w:val="008004E5"/>
    <w:rsid w:val="00800A97"/>
    <w:rsid w:val="00810814"/>
    <w:rsid w:val="00813A7C"/>
    <w:rsid w:val="008164A5"/>
    <w:rsid w:val="00817F5D"/>
    <w:rsid w:val="00825DB2"/>
    <w:rsid w:val="00834895"/>
    <w:rsid w:val="00852C1C"/>
    <w:rsid w:val="00857A29"/>
    <w:rsid w:val="00862AF4"/>
    <w:rsid w:val="00863456"/>
    <w:rsid w:val="008639ED"/>
    <w:rsid w:val="0087062D"/>
    <w:rsid w:val="0088414B"/>
    <w:rsid w:val="00894D37"/>
    <w:rsid w:val="00895757"/>
    <w:rsid w:val="008969ED"/>
    <w:rsid w:val="008B77BD"/>
    <w:rsid w:val="008B7BD4"/>
    <w:rsid w:val="008C528E"/>
    <w:rsid w:val="008C7C3A"/>
    <w:rsid w:val="008D44FE"/>
    <w:rsid w:val="008D7B5D"/>
    <w:rsid w:val="008E0A92"/>
    <w:rsid w:val="008E3BA6"/>
    <w:rsid w:val="008E5462"/>
    <w:rsid w:val="00904577"/>
    <w:rsid w:val="00910B0E"/>
    <w:rsid w:val="00915368"/>
    <w:rsid w:val="00917103"/>
    <w:rsid w:val="00926E40"/>
    <w:rsid w:val="009270D6"/>
    <w:rsid w:val="00936528"/>
    <w:rsid w:val="00943F8F"/>
    <w:rsid w:val="00950FE4"/>
    <w:rsid w:val="00955734"/>
    <w:rsid w:val="009600E4"/>
    <w:rsid w:val="00964A99"/>
    <w:rsid w:val="0096667A"/>
    <w:rsid w:val="0097005B"/>
    <w:rsid w:val="009724E3"/>
    <w:rsid w:val="00972A61"/>
    <w:rsid w:val="009826AE"/>
    <w:rsid w:val="009863CC"/>
    <w:rsid w:val="00996ADD"/>
    <w:rsid w:val="009A5D78"/>
    <w:rsid w:val="009C6168"/>
    <w:rsid w:val="009C6F3A"/>
    <w:rsid w:val="009D14F3"/>
    <w:rsid w:val="009D278F"/>
    <w:rsid w:val="009E1506"/>
    <w:rsid w:val="009F0D08"/>
    <w:rsid w:val="009F2F13"/>
    <w:rsid w:val="00A05027"/>
    <w:rsid w:val="00A05520"/>
    <w:rsid w:val="00A12169"/>
    <w:rsid w:val="00A13773"/>
    <w:rsid w:val="00A21551"/>
    <w:rsid w:val="00A24280"/>
    <w:rsid w:val="00A26D67"/>
    <w:rsid w:val="00A279BA"/>
    <w:rsid w:val="00A4004B"/>
    <w:rsid w:val="00A42BD0"/>
    <w:rsid w:val="00A562C7"/>
    <w:rsid w:val="00A63C23"/>
    <w:rsid w:val="00A67AC5"/>
    <w:rsid w:val="00A70134"/>
    <w:rsid w:val="00A75323"/>
    <w:rsid w:val="00A80D18"/>
    <w:rsid w:val="00A827E8"/>
    <w:rsid w:val="00A925FC"/>
    <w:rsid w:val="00A94ECE"/>
    <w:rsid w:val="00AA09AE"/>
    <w:rsid w:val="00AA40DB"/>
    <w:rsid w:val="00AB2111"/>
    <w:rsid w:val="00AB2C78"/>
    <w:rsid w:val="00AB61CF"/>
    <w:rsid w:val="00AD379C"/>
    <w:rsid w:val="00AD79DB"/>
    <w:rsid w:val="00AE1E4A"/>
    <w:rsid w:val="00AE64EB"/>
    <w:rsid w:val="00AE68C3"/>
    <w:rsid w:val="00AF1FBE"/>
    <w:rsid w:val="00AF43A2"/>
    <w:rsid w:val="00AF5868"/>
    <w:rsid w:val="00B018D4"/>
    <w:rsid w:val="00B05D96"/>
    <w:rsid w:val="00B144EF"/>
    <w:rsid w:val="00B2223D"/>
    <w:rsid w:val="00B4122F"/>
    <w:rsid w:val="00B46585"/>
    <w:rsid w:val="00B5613D"/>
    <w:rsid w:val="00B573B3"/>
    <w:rsid w:val="00B57F63"/>
    <w:rsid w:val="00B6264C"/>
    <w:rsid w:val="00B64F64"/>
    <w:rsid w:val="00B65179"/>
    <w:rsid w:val="00B67480"/>
    <w:rsid w:val="00B67A84"/>
    <w:rsid w:val="00B73C66"/>
    <w:rsid w:val="00B85CA3"/>
    <w:rsid w:val="00B9347C"/>
    <w:rsid w:val="00B95A1C"/>
    <w:rsid w:val="00BB415A"/>
    <w:rsid w:val="00BC0286"/>
    <w:rsid w:val="00BC0420"/>
    <w:rsid w:val="00BC3362"/>
    <w:rsid w:val="00BC453F"/>
    <w:rsid w:val="00BC5F38"/>
    <w:rsid w:val="00BD1890"/>
    <w:rsid w:val="00BE753E"/>
    <w:rsid w:val="00BF1625"/>
    <w:rsid w:val="00BF71DD"/>
    <w:rsid w:val="00C0507A"/>
    <w:rsid w:val="00C13829"/>
    <w:rsid w:val="00C220E1"/>
    <w:rsid w:val="00C26BE8"/>
    <w:rsid w:val="00C2706B"/>
    <w:rsid w:val="00C27661"/>
    <w:rsid w:val="00C319D6"/>
    <w:rsid w:val="00C36379"/>
    <w:rsid w:val="00C440E0"/>
    <w:rsid w:val="00C51AA1"/>
    <w:rsid w:val="00C54024"/>
    <w:rsid w:val="00C70BE2"/>
    <w:rsid w:val="00C710B1"/>
    <w:rsid w:val="00C840B4"/>
    <w:rsid w:val="00C84383"/>
    <w:rsid w:val="00C86110"/>
    <w:rsid w:val="00C8745C"/>
    <w:rsid w:val="00CA0584"/>
    <w:rsid w:val="00CA298C"/>
    <w:rsid w:val="00CA6354"/>
    <w:rsid w:val="00CB299C"/>
    <w:rsid w:val="00CD43F9"/>
    <w:rsid w:val="00CD5B05"/>
    <w:rsid w:val="00CE3C2C"/>
    <w:rsid w:val="00CE645C"/>
    <w:rsid w:val="00CE7DF0"/>
    <w:rsid w:val="00CF370A"/>
    <w:rsid w:val="00CF64A5"/>
    <w:rsid w:val="00D0315E"/>
    <w:rsid w:val="00D11BA9"/>
    <w:rsid w:val="00D13874"/>
    <w:rsid w:val="00D14D58"/>
    <w:rsid w:val="00D2090E"/>
    <w:rsid w:val="00D22478"/>
    <w:rsid w:val="00D27096"/>
    <w:rsid w:val="00D35CF4"/>
    <w:rsid w:val="00D37517"/>
    <w:rsid w:val="00D42A43"/>
    <w:rsid w:val="00D4659B"/>
    <w:rsid w:val="00D47949"/>
    <w:rsid w:val="00D52080"/>
    <w:rsid w:val="00D60E7B"/>
    <w:rsid w:val="00D81ABF"/>
    <w:rsid w:val="00D83FFB"/>
    <w:rsid w:val="00D84332"/>
    <w:rsid w:val="00D92E8A"/>
    <w:rsid w:val="00DA21F4"/>
    <w:rsid w:val="00DA7513"/>
    <w:rsid w:val="00DB183C"/>
    <w:rsid w:val="00DB1E7E"/>
    <w:rsid w:val="00DB32E3"/>
    <w:rsid w:val="00DB3AD2"/>
    <w:rsid w:val="00DC35C3"/>
    <w:rsid w:val="00DC5ABE"/>
    <w:rsid w:val="00DE0879"/>
    <w:rsid w:val="00DE5DDF"/>
    <w:rsid w:val="00DE637B"/>
    <w:rsid w:val="00DF3C28"/>
    <w:rsid w:val="00DF61D9"/>
    <w:rsid w:val="00E20BB1"/>
    <w:rsid w:val="00E22CAD"/>
    <w:rsid w:val="00E24B21"/>
    <w:rsid w:val="00E313DE"/>
    <w:rsid w:val="00E31E27"/>
    <w:rsid w:val="00E40F1E"/>
    <w:rsid w:val="00E41457"/>
    <w:rsid w:val="00E564D7"/>
    <w:rsid w:val="00E6061E"/>
    <w:rsid w:val="00E6640F"/>
    <w:rsid w:val="00EA100B"/>
    <w:rsid w:val="00EA43BA"/>
    <w:rsid w:val="00EB4D1C"/>
    <w:rsid w:val="00EB73EC"/>
    <w:rsid w:val="00EC1D1E"/>
    <w:rsid w:val="00EC1E96"/>
    <w:rsid w:val="00EC395B"/>
    <w:rsid w:val="00EF4BB8"/>
    <w:rsid w:val="00EF5D04"/>
    <w:rsid w:val="00F00495"/>
    <w:rsid w:val="00F0063B"/>
    <w:rsid w:val="00F02622"/>
    <w:rsid w:val="00F05D0A"/>
    <w:rsid w:val="00F1261F"/>
    <w:rsid w:val="00F1527F"/>
    <w:rsid w:val="00F25CE8"/>
    <w:rsid w:val="00F3231D"/>
    <w:rsid w:val="00F33C9F"/>
    <w:rsid w:val="00F42A42"/>
    <w:rsid w:val="00F44CA5"/>
    <w:rsid w:val="00F54662"/>
    <w:rsid w:val="00F66FE1"/>
    <w:rsid w:val="00F73686"/>
    <w:rsid w:val="00F830E4"/>
    <w:rsid w:val="00F83929"/>
    <w:rsid w:val="00F856B7"/>
    <w:rsid w:val="00FA3BBF"/>
    <w:rsid w:val="00FA5D90"/>
    <w:rsid w:val="00FB3471"/>
    <w:rsid w:val="00FB7C81"/>
    <w:rsid w:val="00FB7CB5"/>
    <w:rsid w:val="00FC081E"/>
    <w:rsid w:val="00FC4982"/>
    <w:rsid w:val="00FC7459"/>
    <w:rsid w:val="00FD1B5D"/>
    <w:rsid w:val="00FE1C4E"/>
    <w:rsid w:val="00FE4D76"/>
    <w:rsid w:val="01302520"/>
    <w:rsid w:val="01774B63"/>
    <w:rsid w:val="01D37272"/>
    <w:rsid w:val="01F9163B"/>
    <w:rsid w:val="02117969"/>
    <w:rsid w:val="02284068"/>
    <w:rsid w:val="0259524C"/>
    <w:rsid w:val="0297204E"/>
    <w:rsid w:val="02D32300"/>
    <w:rsid w:val="02E649CE"/>
    <w:rsid w:val="03A56000"/>
    <w:rsid w:val="04496139"/>
    <w:rsid w:val="04B808A1"/>
    <w:rsid w:val="04C06F13"/>
    <w:rsid w:val="04D74873"/>
    <w:rsid w:val="0508087F"/>
    <w:rsid w:val="05102E05"/>
    <w:rsid w:val="058535E6"/>
    <w:rsid w:val="062D1761"/>
    <w:rsid w:val="06AC17BC"/>
    <w:rsid w:val="06B37310"/>
    <w:rsid w:val="06D31098"/>
    <w:rsid w:val="07FA0BB7"/>
    <w:rsid w:val="082709F9"/>
    <w:rsid w:val="083E0E51"/>
    <w:rsid w:val="0A0B50CF"/>
    <w:rsid w:val="0A3D472E"/>
    <w:rsid w:val="0AD71D1E"/>
    <w:rsid w:val="0B867FFD"/>
    <w:rsid w:val="0BC97652"/>
    <w:rsid w:val="0C673D05"/>
    <w:rsid w:val="0C79783B"/>
    <w:rsid w:val="0C925109"/>
    <w:rsid w:val="0CAF315E"/>
    <w:rsid w:val="0CC73E81"/>
    <w:rsid w:val="0CCA3020"/>
    <w:rsid w:val="0DE3083D"/>
    <w:rsid w:val="0E215F2D"/>
    <w:rsid w:val="0E694AF4"/>
    <w:rsid w:val="0F0361CD"/>
    <w:rsid w:val="0F6F5058"/>
    <w:rsid w:val="0F7C7062"/>
    <w:rsid w:val="0F9C5C20"/>
    <w:rsid w:val="10003BE0"/>
    <w:rsid w:val="1035700F"/>
    <w:rsid w:val="10C11D23"/>
    <w:rsid w:val="10E85BA5"/>
    <w:rsid w:val="11081DAC"/>
    <w:rsid w:val="11471250"/>
    <w:rsid w:val="11A61B4B"/>
    <w:rsid w:val="11EB4164"/>
    <w:rsid w:val="124A38CC"/>
    <w:rsid w:val="12551DD1"/>
    <w:rsid w:val="133B3DAA"/>
    <w:rsid w:val="13B30815"/>
    <w:rsid w:val="13E5375B"/>
    <w:rsid w:val="143A7296"/>
    <w:rsid w:val="150B4838"/>
    <w:rsid w:val="152534E9"/>
    <w:rsid w:val="15BF56EC"/>
    <w:rsid w:val="163C7876"/>
    <w:rsid w:val="165B3B78"/>
    <w:rsid w:val="16D74CB7"/>
    <w:rsid w:val="17411078"/>
    <w:rsid w:val="174F6F43"/>
    <w:rsid w:val="17690160"/>
    <w:rsid w:val="184936A9"/>
    <w:rsid w:val="185D270B"/>
    <w:rsid w:val="18E576BE"/>
    <w:rsid w:val="19346ECA"/>
    <w:rsid w:val="19C20127"/>
    <w:rsid w:val="19EE4947"/>
    <w:rsid w:val="1A78612C"/>
    <w:rsid w:val="1AFD1049"/>
    <w:rsid w:val="1B3E70B3"/>
    <w:rsid w:val="1B4D6E83"/>
    <w:rsid w:val="1B670870"/>
    <w:rsid w:val="1BA222D2"/>
    <w:rsid w:val="1BE24A81"/>
    <w:rsid w:val="1C3F1ED6"/>
    <w:rsid w:val="1D181BBC"/>
    <w:rsid w:val="1D320AF8"/>
    <w:rsid w:val="1DB20CD3"/>
    <w:rsid w:val="1DC070E7"/>
    <w:rsid w:val="1E41383E"/>
    <w:rsid w:val="1EFC175F"/>
    <w:rsid w:val="1F027C55"/>
    <w:rsid w:val="1F0D506E"/>
    <w:rsid w:val="1F0E1B38"/>
    <w:rsid w:val="1F1667EC"/>
    <w:rsid w:val="1F623366"/>
    <w:rsid w:val="1F6B4D27"/>
    <w:rsid w:val="204B05C8"/>
    <w:rsid w:val="20635BB8"/>
    <w:rsid w:val="20836A54"/>
    <w:rsid w:val="208B2B71"/>
    <w:rsid w:val="20E54FBD"/>
    <w:rsid w:val="211C3477"/>
    <w:rsid w:val="21B74A9A"/>
    <w:rsid w:val="21C357D2"/>
    <w:rsid w:val="21D342CD"/>
    <w:rsid w:val="21EE7A8F"/>
    <w:rsid w:val="22230DB0"/>
    <w:rsid w:val="223B434C"/>
    <w:rsid w:val="22A84D0D"/>
    <w:rsid w:val="22D36459"/>
    <w:rsid w:val="23803A4E"/>
    <w:rsid w:val="23B35118"/>
    <w:rsid w:val="24C90335"/>
    <w:rsid w:val="24F13ACC"/>
    <w:rsid w:val="25813EED"/>
    <w:rsid w:val="268C786C"/>
    <w:rsid w:val="26955FF5"/>
    <w:rsid w:val="26EE3D01"/>
    <w:rsid w:val="270F224B"/>
    <w:rsid w:val="282F06C1"/>
    <w:rsid w:val="287604AE"/>
    <w:rsid w:val="289163E1"/>
    <w:rsid w:val="290127D1"/>
    <w:rsid w:val="299E220B"/>
    <w:rsid w:val="29A26803"/>
    <w:rsid w:val="2A00126A"/>
    <w:rsid w:val="2A4A348B"/>
    <w:rsid w:val="2A854F11"/>
    <w:rsid w:val="2A8D5961"/>
    <w:rsid w:val="2AF14315"/>
    <w:rsid w:val="2AF840F2"/>
    <w:rsid w:val="2B37631C"/>
    <w:rsid w:val="2B916C3D"/>
    <w:rsid w:val="2BE23FD3"/>
    <w:rsid w:val="2C2E354E"/>
    <w:rsid w:val="2D4525A0"/>
    <w:rsid w:val="2D4D6596"/>
    <w:rsid w:val="2D8A6F21"/>
    <w:rsid w:val="2E0D4DEF"/>
    <w:rsid w:val="2E971E8B"/>
    <w:rsid w:val="2F1A79DF"/>
    <w:rsid w:val="2F280B6B"/>
    <w:rsid w:val="2F896EF5"/>
    <w:rsid w:val="2FE73BD7"/>
    <w:rsid w:val="306323C5"/>
    <w:rsid w:val="30C2090D"/>
    <w:rsid w:val="3180406B"/>
    <w:rsid w:val="33095DA0"/>
    <w:rsid w:val="33C00B55"/>
    <w:rsid w:val="34007CA1"/>
    <w:rsid w:val="344365E0"/>
    <w:rsid w:val="346D499F"/>
    <w:rsid w:val="34DE295B"/>
    <w:rsid w:val="35B81867"/>
    <w:rsid w:val="36990503"/>
    <w:rsid w:val="36A316F5"/>
    <w:rsid w:val="36D04805"/>
    <w:rsid w:val="373F5B22"/>
    <w:rsid w:val="37D96342"/>
    <w:rsid w:val="38002C87"/>
    <w:rsid w:val="38361D6B"/>
    <w:rsid w:val="383C09C6"/>
    <w:rsid w:val="38A5434E"/>
    <w:rsid w:val="393869DC"/>
    <w:rsid w:val="397D215D"/>
    <w:rsid w:val="3A0A6C08"/>
    <w:rsid w:val="3A2D55A1"/>
    <w:rsid w:val="3A3F654C"/>
    <w:rsid w:val="3B3D2A8B"/>
    <w:rsid w:val="3B691225"/>
    <w:rsid w:val="3B9533C9"/>
    <w:rsid w:val="3C38074A"/>
    <w:rsid w:val="3C3B0FB9"/>
    <w:rsid w:val="3C4C0EB9"/>
    <w:rsid w:val="3C577B7C"/>
    <w:rsid w:val="3C630DCD"/>
    <w:rsid w:val="3C926E07"/>
    <w:rsid w:val="3CA60B04"/>
    <w:rsid w:val="3D7E4CEF"/>
    <w:rsid w:val="3D97032C"/>
    <w:rsid w:val="3DF53DC1"/>
    <w:rsid w:val="3E252003"/>
    <w:rsid w:val="3E482D47"/>
    <w:rsid w:val="3E6A30FB"/>
    <w:rsid w:val="3EB21CE1"/>
    <w:rsid w:val="3EC33311"/>
    <w:rsid w:val="3F2D2326"/>
    <w:rsid w:val="3F982986"/>
    <w:rsid w:val="411F7F8E"/>
    <w:rsid w:val="414932AA"/>
    <w:rsid w:val="415D7695"/>
    <w:rsid w:val="41A858FA"/>
    <w:rsid w:val="41D164F5"/>
    <w:rsid w:val="428C6208"/>
    <w:rsid w:val="42D96EF7"/>
    <w:rsid w:val="43154BDD"/>
    <w:rsid w:val="432667E5"/>
    <w:rsid w:val="43337DB2"/>
    <w:rsid w:val="437C0FB4"/>
    <w:rsid w:val="43874220"/>
    <w:rsid w:val="43CD4BC8"/>
    <w:rsid w:val="43D07DB7"/>
    <w:rsid w:val="44627A06"/>
    <w:rsid w:val="44AD3E7F"/>
    <w:rsid w:val="44DE30E2"/>
    <w:rsid w:val="45210239"/>
    <w:rsid w:val="453516D4"/>
    <w:rsid w:val="4575131D"/>
    <w:rsid w:val="4642308C"/>
    <w:rsid w:val="46696E2A"/>
    <w:rsid w:val="46E44703"/>
    <w:rsid w:val="47112734"/>
    <w:rsid w:val="47B8360F"/>
    <w:rsid w:val="47C63ADE"/>
    <w:rsid w:val="47E30438"/>
    <w:rsid w:val="4803065F"/>
    <w:rsid w:val="485A23AF"/>
    <w:rsid w:val="48A000C5"/>
    <w:rsid w:val="48A979B2"/>
    <w:rsid w:val="490C1CEF"/>
    <w:rsid w:val="49A21414"/>
    <w:rsid w:val="4AB4043C"/>
    <w:rsid w:val="4B012351"/>
    <w:rsid w:val="4C545695"/>
    <w:rsid w:val="4C7958ED"/>
    <w:rsid w:val="4DE47FB1"/>
    <w:rsid w:val="4E0571A3"/>
    <w:rsid w:val="4E071FBD"/>
    <w:rsid w:val="4E3A59BC"/>
    <w:rsid w:val="4E685C19"/>
    <w:rsid w:val="4F1F6AFB"/>
    <w:rsid w:val="4F2A5E47"/>
    <w:rsid w:val="4F624B15"/>
    <w:rsid w:val="4F76613E"/>
    <w:rsid w:val="4FA65F04"/>
    <w:rsid w:val="4FC938D4"/>
    <w:rsid w:val="4FE24DFC"/>
    <w:rsid w:val="4FEA23E4"/>
    <w:rsid w:val="510065DD"/>
    <w:rsid w:val="51627425"/>
    <w:rsid w:val="51907258"/>
    <w:rsid w:val="51B6293F"/>
    <w:rsid w:val="51E965C3"/>
    <w:rsid w:val="524B4F79"/>
    <w:rsid w:val="52B833BF"/>
    <w:rsid w:val="53417F15"/>
    <w:rsid w:val="537C52A3"/>
    <w:rsid w:val="539F032F"/>
    <w:rsid w:val="53C102A5"/>
    <w:rsid w:val="547370C6"/>
    <w:rsid w:val="54935761"/>
    <w:rsid w:val="54CF3D0E"/>
    <w:rsid w:val="54DB7437"/>
    <w:rsid w:val="558F106D"/>
    <w:rsid w:val="55BA13B7"/>
    <w:rsid w:val="55F5455F"/>
    <w:rsid w:val="56C65BD3"/>
    <w:rsid w:val="56C82AED"/>
    <w:rsid w:val="57925A39"/>
    <w:rsid w:val="57FF7F2A"/>
    <w:rsid w:val="584D59E0"/>
    <w:rsid w:val="589C3564"/>
    <w:rsid w:val="58C91D16"/>
    <w:rsid w:val="58F10D6E"/>
    <w:rsid w:val="597161E7"/>
    <w:rsid w:val="5A6951F3"/>
    <w:rsid w:val="5A8650B5"/>
    <w:rsid w:val="5AA04FAF"/>
    <w:rsid w:val="5AE02972"/>
    <w:rsid w:val="5C1E50F2"/>
    <w:rsid w:val="5C3B7EBB"/>
    <w:rsid w:val="5C952F4A"/>
    <w:rsid w:val="5C997A3D"/>
    <w:rsid w:val="5E5835B4"/>
    <w:rsid w:val="5E916C2E"/>
    <w:rsid w:val="5E9B238B"/>
    <w:rsid w:val="5EFA0B0F"/>
    <w:rsid w:val="5F382332"/>
    <w:rsid w:val="5F766C1F"/>
    <w:rsid w:val="60015C19"/>
    <w:rsid w:val="60912DAE"/>
    <w:rsid w:val="609D269C"/>
    <w:rsid w:val="60E66CEB"/>
    <w:rsid w:val="60EC2222"/>
    <w:rsid w:val="612B00CE"/>
    <w:rsid w:val="617D626F"/>
    <w:rsid w:val="618F658B"/>
    <w:rsid w:val="61AE248E"/>
    <w:rsid w:val="62184A87"/>
    <w:rsid w:val="62434712"/>
    <w:rsid w:val="629628FD"/>
    <w:rsid w:val="62B5734F"/>
    <w:rsid w:val="62CF6FEF"/>
    <w:rsid w:val="62D729D9"/>
    <w:rsid w:val="62DC269E"/>
    <w:rsid w:val="63702430"/>
    <w:rsid w:val="648305C3"/>
    <w:rsid w:val="654F6722"/>
    <w:rsid w:val="65574989"/>
    <w:rsid w:val="65B071CF"/>
    <w:rsid w:val="65C15B79"/>
    <w:rsid w:val="665D6715"/>
    <w:rsid w:val="6669046B"/>
    <w:rsid w:val="66864074"/>
    <w:rsid w:val="668B7DE9"/>
    <w:rsid w:val="668C670F"/>
    <w:rsid w:val="670650B5"/>
    <w:rsid w:val="67506026"/>
    <w:rsid w:val="675A3185"/>
    <w:rsid w:val="6773145F"/>
    <w:rsid w:val="67987E26"/>
    <w:rsid w:val="67F465B7"/>
    <w:rsid w:val="68606860"/>
    <w:rsid w:val="68A17036"/>
    <w:rsid w:val="68B24BA8"/>
    <w:rsid w:val="693B0BD0"/>
    <w:rsid w:val="69B144C0"/>
    <w:rsid w:val="69CC4330"/>
    <w:rsid w:val="6A6844BF"/>
    <w:rsid w:val="6A7327BB"/>
    <w:rsid w:val="6AE271B9"/>
    <w:rsid w:val="6AFD0D68"/>
    <w:rsid w:val="6B804E00"/>
    <w:rsid w:val="6CA45D20"/>
    <w:rsid w:val="6CD51C42"/>
    <w:rsid w:val="6CDB1F80"/>
    <w:rsid w:val="6D424664"/>
    <w:rsid w:val="6E54281C"/>
    <w:rsid w:val="6EAD14AF"/>
    <w:rsid w:val="6EC1205B"/>
    <w:rsid w:val="6ECA7935"/>
    <w:rsid w:val="6EE43D3D"/>
    <w:rsid w:val="6EFC2C5E"/>
    <w:rsid w:val="6FB55AFD"/>
    <w:rsid w:val="71EC42E8"/>
    <w:rsid w:val="71ED6DA9"/>
    <w:rsid w:val="722B13B9"/>
    <w:rsid w:val="72395678"/>
    <w:rsid w:val="731C1635"/>
    <w:rsid w:val="736D3206"/>
    <w:rsid w:val="73A30FD8"/>
    <w:rsid w:val="73E468EC"/>
    <w:rsid w:val="74CB28DA"/>
    <w:rsid w:val="75061B64"/>
    <w:rsid w:val="75EE759E"/>
    <w:rsid w:val="75EF53B2"/>
    <w:rsid w:val="75F95AAC"/>
    <w:rsid w:val="76655AEA"/>
    <w:rsid w:val="76B25806"/>
    <w:rsid w:val="76D82A27"/>
    <w:rsid w:val="76E877BA"/>
    <w:rsid w:val="77976E54"/>
    <w:rsid w:val="77ED4865"/>
    <w:rsid w:val="786315BA"/>
    <w:rsid w:val="79ED635B"/>
    <w:rsid w:val="7A690E05"/>
    <w:rsid w:val="7A757E15"/>
    <w:rsid w:val="7ABD698B"/>
    <w:rsid w:val="7BC57958"/>
    <w:rsid w:val="7C1701A9"/>
    <w:rsid w:val="7C1A6914"/>
    <w:rsid w:val="7C39281F"/>
    <w:rsid w:val="7C5E5F4E"/>
    <w:rsid w:val="7C8B5C72"/>
    <w:rsid w:val="7D182BA2"/>
    <w:rsid w:val="7D213DA7"/>
    <w:rsid w:val="7D50358E"/>
    <w:rsid w:val="7D641B1E"/>
    <w:rsid w:val="7D7A2CF9"/>
    <w:rsid w:val="7DA5107B"/>
    <w:rsid w:val="7DF07EC0"/>
    <w:rsid w:val="7E331708"/>
    <w:rsid w:val="7EBB39C0"/>
    <w:rsid w:val="7ED46E40"/>
    <w:rsid w:val="7F06743D"/>
    <w:rsid w:val="7F0D1D41"/>
    <w:rsid w:val="7F4D708F"/>
    <w:rsid w:val="7FDE59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0" w:name="macro"/>
    <w:lsdException w:uiPriority="0" w:name="toa heading"/>
    <w:lsdException w:qFormat="1" w:unhideWhenUsed="0"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79"/>
    <w:qFormat/>
    <w:uiPriority w:val="9"/>
    <w:pPr>
      <w:keepNext/>
      <w:keepLines/>
      <w:spacing w:before="340" w:after="330" w:line="578" w:lineRule="auto"/>
      <w:jc w:val="center"/>
      <w:outlineLvl w:val="0"/>
    </w:pPr>
    <w:rPr>
      <w:rFonts w:ascii="Calibri" w:hAnsi="Calibri"/>
      <w:b w:val="0"/>
      <w:bCs/>
      <w:kern w:val="44"/>
      <w:sz w:val="44"/>
      <w:szCs w:val="44"/>
    </w:rPr>
  </w:style>
  <w:style w:type="paragraph" w:styleId="3">
    <w:name w:val="heading 2"/>
    <w:basedOn w:val="1"/>
    <w:next w:val="1"/>
    <w:link w:val="78"/>
    <w:qFormat/>
    <w:uiPriority w:val="0"/>
    <w:pPr>
      <w:keepNext/>
      <w:keepLines/>
      <w:spacing w:before="260" w:after="260" w:line="500" w:lineRule="exact"/>
      <w:contextualSpacing/>
      <w:jc w:val="center"/>
      <w:outlineLvl w:val="1"/>
    </w:pPr>
    <w:rPr>
      <w:rFonts w:ascii="宋体" w:hAnsi="宋体"/>
      <w:b/>
      <w:sz w:val="32"/>
      <w:szCs w:val="28"/>
    </w:rPr>
  </w:style>
  <w:style w:type="paragraph" w:styleId="4">
    <w:name w:val="heading 3"/>
    <w:basedOn w:val="1"/>
    <w:next w:val="1"/>
    <w:link w:val="80"/>
    <w:qFormat/>
    <w:uiPriority w:val="0"/>
    <w:pPr>
      <w:adjustRightInd w:val="0"/>
      <w:snapToGrid w:val="0"/>
      <w:spacing w:line="500" w:lineRule="exact"/>
      <w:ind w:left="-88" w:leftChars="-42"/>
      <w:jc w:val="center"/>
      <w:outlineLvl w:val="2"/>
    </w:pPr>
    <w:rPr>
      <w:rFonts w:ascii="方正仿宋_GB2312" w:hAnsi="宋体"/>
      <w:b/>
      <w:sz w:val="32"/>
      <w:szCs w:val="32"/>
    </w:rPr>
  </w:style>
  <w:style w:type="paragraph" w:styleId="5">
    <w:name w:val="heading 4"/>
    <w:basedOn w:val="1"/>
    <w:next w:val="1"/>
    <w:link w:val="8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2"/>
    <w:qFormat/>
    <w:uiPriority w:val="0"/>
    <w:pPr>
      <w:keepNext/>
      <w:keepLines/>
      <w:spacing w:before="280" w:after="290" w:line="376" w:lineRule="auto"/>
      <w:outlineLvl w:val="4"/>
    </w:pPr>
    <w:rPr>
      <w:b/>
      <w:bCs/>
      <w:sz w:val="28"/>
      <w:szCs w:val="28"/>
    </w:rPr>
  </w:style>
  <w:style w:type="paragraph" w:styleId="7">
    <w:name w:val="heading 6"/>
    <w:basedOn w:val="6"/>
    <w:next w:val="1"/>
    <w:link w:val="83"/>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84"/>
    <w:qFormat/>
    <w:uiPriority w:val="0"/>
    <w:pPr>
      <w:tabs>
        <w:tab w:val="left" w:pos="1800"/>
        <w:tab w:val="clear" w:pos="1440"/>
      </w:tabs>
      <w:ind w:left="1276" w:hanging="1276"/>
      <w:outlineLvl w:val="6"/>
    </w:pPr>
  </w:style>
  <w:style w:type="paragraph" w:styleId="9">
    <w:name w:val="heading 8"/>
    <w:basedOn w:val="8"/>
    <w:next w:val="1"/>
    <w:link w:val="85"/>
    <w:qFormat/>
    <w:uiPriority w:val="0"/>
    <w:pPr>
      <w:ind w:left="1418" w:hanging="1418"/>
      <w:outlineLvl w:val="7"/>
    </w:pPr>
  </w:style>
  <w:style w:type="paragraph" w:styleId="10">
    <w:name w:val="heading 9"/>
    <w:basedOn w:val="9"/>
    <w:next w:val="1"/>
    <w:link w:val="86"/>
    <w:qFormat/>
    <w:uiPriority w:val="0"/>
    <w:pPr>
      <w:tabs>
        <w:tab w:val="left" w:pos="2160"/>
        <w:tab w:val="clear" w:pos="1800"/>
      </w:tabs>
      <w:ind w:left="1559" w:hanging="1559"/>
      <w:outlineLvl w:val="8"/>
    </w:pPr>
  </w:style>
  <w:style w:type="character" w:default="1" w:styleId="71">
    <w:name w:val="Default Paragraph Font"/>
    <w:unhideWhenUsed/>
    <w:qFormat/>
    <w:uiPriority w:val="1"/>
  </w:style>
  <w:style w:type="table" w:default="1" w:styleId="69">
    <w:name w:val="Normal Table"/>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link w:val="87"/>
    <w:unhideWhenUsed/>
    <w:qFormat/>
    <w:uiPriority w:val="0"/>
    <w:pPr>
      <w:ind w:firstLine="420" w:firstLineChars="200"/>
    </w:pPr>
  </w:style>
  <w:style w:type="paragraph" w:styleId="13">
    <w:name w:val="index 5"/>
    <w:basedOn w:val="14"/>
    <w:next w:val="14"/>
    <w:qFormat/>
    <w:uiPriority w:val="0"/>
    <w:pPr>
      <w:ind w:left="1680"/>
    </w:pPr>
  </w:style>
  <w:style w:type="paragraph" w:customStyle="1" w:styleId="14">
    <w:name w:val="Normal"/>
    <w:basedOn w:val="15"/>
    <w:qFormat/>
    <w:uiPriority w:val="0"/>
    <w:pPr>
      <w:widowControl w:val="0"/>
      <w:jc w:val="both"/>
    </w:pPr>
    <w:rPr>
      <w:rFonts w:ascii="Calibri" w:hAnsi="Calibri"/>
      <w:kern w:val="2"/>
      <w:sz w:val="21"/>
      <w:szCs w:val="22"/>
      <w:lang w:val="en-US" w:eastAsia="zh-CN" w:bidi="ar-SA"/>
    </w:rPr>
  </w:style>
  <w:style w:type="paragraph" w:customStyle="1" w:styleId="15">
    <w:name w:val="正文_0"/>
    <w:basedOn w:val="16"/>
    <w:next w:val="18"/>
    <w:qFormat/>
    <w:uiPriority w:val="0"/>
    <w:pPr>
      <w:widowControl w:val="0"/>
      <w:jc w:val="both"/>
    </w:pPr>
    <w:rPr>
      <w:kern w:val="2"/>
      <w:sz w:val="21"/>
      <w:szCs w:val="24"/>
      <w:lang w:val="en-US" w:eastAsia="zh-CN" w:bidi="ar-SA"/>
    </w:rPr>
  </w:style>
  <w:style w:type="paragraph" w:customStyle="1" w:styleId="16">
    <w:name w:val="正文_1"/>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列表_0"/>
    <w:basedOn w:val="16"/>
    <w:semiHidden/>
    <w:qFormat/>
    <w:locked/>
    <w:uiPriority w:val="0"/>
    <w:pPr>
      <w:ind w:left="200" w:hanging="200" w:hangingChars="200"/>
    </w:pPr>
  </w:style>
  <w:style w:type="paragraph" w:styleId="18">
    <w:name w:val="Body Text"/>
    <w:basedOn w:val="1"/>
    <w:unhideWhenUsed/>
    <w:qFormat/>
    <w:uiPriority w:val="0"/>
    <w:pPr>
      <w:spacing w:after="120"/>
    </w:pPr>
  </w:style>
  <w:style w:type="paragraph" w:styleId="19">
    <w:name w:val="Document Map"/>
    <w:basedOn w:val="1"/>
    <w:link w:val="88"/>
    <w:qFormat/>
    <w:uiPriority w:val="0"/>
    <w:rPr>
      <w:rFonts w:ascii="宋体"/>
      <w:sz w:val="18"/>
      <w:szCs w:val="18"/>
    </w:rPr>
  </w:style>
  <w:style w:type="paragraph" w:styleId="20">
    <w:name w:val="annotation text"/>
    <w:basedOn w:val="1"/>
    <w:link w:val="89"/>
    <w:qFormat/>
    <w:uiPriority w:val="0"/>
    <w:pPr>
      <w:jc w:val="left"/>
    </w:pPr>
  </w:style>
  <w:style w:type="paragraph" w:styleId="21">
    <w:name w:val="Body Text Indent"/>
    <w:basedOn w:val="1"/>
    <w:qFormat/>
    <w:uiPriority w:val="0"/>
    <w:pPr>
      <w:ind w:firstLine="830" w:firstLineChars="352"/>
    </w:pPr>
    <w:rPr>
      <w:rFonts w:ascii="方正仿宋_GB2312" w:eastAsia="方正仿宋_GB2312"/>
      <w:sz w:val="32"/>
      <w:szCs w:val="20"/>
    </w:rPr>
  </w:style>
  <w:style w:type="paragraph" w:styleId="22">
    <w:name w:val="Block Text"/>
    <w:basedOn w:val="1"/>
    <w:qFormat/>
    <w:uiPriority w:val="0"/>
    <w:pPr>
      <w:autoSpaceDE w:val="0"/>
      <w:autoSpaceDN w:val="0"/>
      <w:adjustRightInd w:val="0"/>
      <w:spacing w:line="500" w:lineRule="exact"/>
      <w:ind w:left="391" w:right="246"/>
    </w:pPr>
    <w:rPr>
      <w:rFonts w:ascii="方正仿宋_GB2312" w:eastAsia="方正仿宋_GB2312"/>
      <w:kern w:val="0"/>
      <w:sz w:val="24"/>
    </w:rPr>
  </w:style>
  <w:style w:type="paragraph" w:styleId="23">
    <w:name w:val="toc 3"/>
    <w:basedOn w:val="1"/>
    <w:next w:val="1"/>
    <w:unhideWhenUsed/>
    <w:qFormat/>
    <w:uiPriority w:val="39"/>
    <w:pPr>
      <w:ind w:left="840" w:leftChars="400"/>
    </w:pPr>
  </w:style>
  <w:style w:type="paragraph" w:styleId="24">
    <w:name w:val="Plain Text"/>
    <w:basedOn w:val="1"/>
    <w:link w:val="90"/>
    <w:qFormat/>
    <w:uiPriority w:val="0"/>
    <w:rPr>
      <w:rFonts w:ascii="宋体" w:hAnsi="Courier New"/>
      <w:szCs w:val="21"/>
    </w:rPr>
  </w:style>
  <w:style w:type="paragraph" w:styleId="25">
    <w:name w:val="Date"/>
    <w:basedOn w:val="1"/>
    <w:next w:val="1"/>
    <w:qFormat/>
    <w:uiPriority w:val="0"/>
    <w:pPr>
      <w:ind w:left="100" w:leftChars="2500"/>
    </w:pPr>
    <w:rPr>
      <w:rFonts w:ascii="宋体" w:hAnsi="Courier New" w:cs="Courier New"/>
      <w:szCs w:val="21"/>
    </w:rPr>
  </w:style>
  <w:style w:type="paragraph" w:styleId="26">
    <w:name w:val="endnote text"/>
    <w:basedOn w:val="27"/>
    <w:qFormat/>
    <w:uiPriority w:val="0"/>
    <w:pPr>
      <w:snapToGrid w:val="0"/>
      <w:jc w:val="left"/>
    </w:pPr>
    <w:rPr>
      <w:rFonts w:ascii="Calibri" w:hAnsi="Calibri" w:eastAsia="宋体"/>
      <w:kern w:val="0"/>
      <w:sz w:val="24"/>
      <w:szCs w:val="24"/>
    </w:rPr>
  </w:style>
  <w:style w:type="paragraph" w:customStyle="1" w:styleId="27">
    <w:name w:val="正文_3_0"/>
    <w:basedOn w:val="28"/>
    <w:next w:val="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0_0"/>
    <w:qFormat/>
    <w:uiPriority w:val="0"/>
    <w:rPr>
      <w:rFonts w:ascii="黑体" w:hAnsi="黑体" w:eastAsia="黑体" w:cs="Times New Roman"/>
      <w:b/>
      <w:sz w:val="32"/>
      <w:szCs w:val="24"/>
      <w:lang w:val="en-US" w:eastAsia="zh-CN" w:bidi="ar-SA"/>
    </w:rPr>
  </w:style>
  <w:style w:type="paragraph" w:customStyle="1" w:styleId="29">
    <w:name w:val="正文文本_1_0"/>
    <w:basedOn w:val="30"/>
    <w:qFormat/>
    <w:uiPriority w:val="0"/>
    <w:pPr>
      <w:adjustRightInd w:val="0"/>
      <w:spacing w:after="60" w:line="360" w:lineRule="atLeast"/>
      <w:ind w:left="72" w:leftChars="30" w:right="30" w:rightChars="30"/>
      <w:jc w:val="center"/>
      <w:textAlignment w:val="baseline"/>
    </w:pPr>
    <w:rPr>
      <w:rFonts w:eastAsia="宋体"/>
    </w:rPr>
  </w:style>
  <w:style w:type="paragraph" w:customStyle="1" w:styleId="30">
    <w:name w:val="正文_2_0_0_0"/>
    <w:basedOn w:val="31"/>
    <w:next w:val="29"/>
    <w:qFormat/>
    <w:uiPriority w:val="0"/>
    <w:rPr>
      <w:rFonts w:ascii="Times New Roman" w:hAnsi="Times New Roman" w:cs="Times New Roman"/>
    </w:rPr>
  </w:style>
  <w:style w:type="paragraph" w:customStyle="1" w:styleId="31">
    <w:name w:val="正文_2_0_0"/>
    <w:basedOn w:val="32"/>
    <w:next w:val="37"/>
    <w:qFormat/>
    <w:uiPriority w:val="0"/>
    <w:rPr>
      <w:rFonts w:ascii="Calibri" w:hAnsi="Calibri" w:cs="宋体"/>
      <w:szCs w:val="21"/>
    </w:rPr>
  </w:style>
  <w:style w:type="paragraph" w:customStyle="1" w:styleId="32">
    <w:name w:val="正文_3_0_0"/>
    <w:basedOn w:val="33"/>
    <w:next w:val="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文本_1_0_0"/>
    <w:basedOn w:val="35"/>
    <w:unhideWhenUsed/>
    <w:qFormat/>
    <w:uiPriority w:val="0"/>
    <w:pPr>
      <w:spacing w:after="120"/>
    </w:pPr>
    <w:rPr>
      <w:rFonts w:ascii="Times New Roman" w:hAnsi="Times New Roman" w:eastAsia="宋体"/>
      <w:szCs w:val="20"/>
    </w:rPr>
  </w:style>
  <w:style w:type="paragraph" w:customStyle="1" w:styleId="35">
    <w:name w:val="正文_2_0_0_0_0"/>
    <w:basedOn w:val="36"/>
    <w:next w:val="34"/>
    <w:qFormat/>
    <w:uiPriority w:val="0"/>
    <w:rPr>
      <w:rFonts w:ascii="等线" w:hAnsi="等线" w:eastAsia="宋体" w:cs="宋体"/>
      <w:szCs w:val="21"/>
    </w:rPr>
  </w:style>
  <w:style w:type="paragraph" w:customStyle="1" w:styleId="3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1_0_0"/>
    <w:basedOn w:val="38"/>
    <w:qFormat/>
    <w:uiPriority w:val="0"/>
    <w:pPr>
      <w:widowControl/>
      <w:adjustRightInd w:val="0"/>
      <w:spacing w:before="120" w:after="120"/>
      <w:ind w:firstLine="200" w:firstLineChars="200"/>
      <w:jc w:val="left"/>
    </w:pPr>
    <w:rPr>
      <w:rFonts w:ascii="Times New Roman" w:hAnsi="Times New Roman" w:eastAsia="方正仿宋简体"/>
    </w:rPr>
  </w:style>
  <w:style w:type="paragraph" w:customStyle="1" w:styleId="38">
    <w:name w:val="正文_3_1"/>
    <w:basedOn w:val="39"/>
    <w:next w:val="48"/>
    <w:qFormat/>
    <w:uiPriority w:val="0"/>
    <w:rPr>
      <w:szCs w:val="21"/>
    </w:rPr>
  </w:style>
  <w:style w:type="paragraph" w:customStyle="1" w:styleId="39">
    <w:name w:val="正文_0_2"/>
    <w:basedOn w:val="40"/>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1"/>
    <w:basedOn w:val="41"/>
    <w:next w:val="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 Spacing_0"/>
    <w:basedOn w:val="43"/>
    <w:qFormat/>
    <w:uiPriority w:val="1"/>
  </w:style>
  <w:style w:type="paragraph" w:customStyle="1" w:styleId="43">
    <w:name w:val="正文_5"/>
    <w:basedOn w:val="44"/>
    <w:next w:val="46"/>
    <w:qFormat/>
    <w:uiPriority w:val="0"/>
    <w:pPr>
      <w:widowControl w:val="0"/>
      <w:jc w:val="both"/>
    </w:pPr>
    <w:rPr>
      <w:rFonts w:ascii="Calibri" w:hAnsi="Calibri"/>
      <w:kern w:val="2"/>
      <w:sz w:val="21"/>
      <w:szCs w:val="22"/>
      <w:lang w:val="en-US" w:eastAsia="zh-CN" w:bidi="ar-SA"/>
    </w:rPr>
  </w:style>
  <w:style w:type="paragraph" w:customStyle="1" w:styleId="44">
    <w:name w:val="正文_6"/>
    <w:next w:val="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列表_1"/>
    <w:basedOn w:val="44"/>
    <w:semiHidden/>
    <w:qFormat/>
    <w:locked/>
    <w:uiPriority w:val="0"/>
    <w:pPr>
      <w:ind w:left="200" w:hanging="200" w:hangingChars="200"/>
    </w:pPr>
  </w:style>
  <w:style w:type="paragraph" w:customStyle="1" w:styleId="46">
    <w:name w:val="段_0"/>
    <w:next w:val="43"/>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47">
    <w:name w:val="页脚_0_0"/>
    <w:basedOn w:val="39"/>
    <w:unhideWhenUsed/>
    <w:qFormat/>
    <w:uiPriority w:val="99"/>
    <w:pPr>
      <w:tabs>
        <w:tab w:val="center" w:pos="4153"/>
        <w:tab w:val="right" w:pos="8306"/>
      </w:tabs>
      <w:snapToGrid w:val="0"/>
      <w:jc w:val="left"/>
    </w:pPr>
    <w:rPr>
      <w:sz w:val="18"/>
      <w:szCs w:val="18"/>
    </w:rPr>
  </w:style>
  <w:style w:type="paragraph" w:customStyle="1" w:styleId="48">
    <w:name w:val="正文缩进_0_0_0"/>
    <w:basedOn w:val="49"/>
    <w:unhideWhenUsed/>
    <w:qFormat/>
    <w:uiPriority w:val="0"/>
    <w:pPr>
      <w:ind w:firstLine="420" w:firstLineChars="200"/>
    </w:pPr>
  </w:style>
  <w:style w:type="paragraph" w:customStyle="1" w:styleId="49">
    <w:name w:val="正文_0_1_0"/>
    <w:basedOn w:val="50"/>
    <w:next w:val="53"/>
    <w:qFormat/>
    <w:uiPriority w:val="0"/>
    <w:rPr>
      <w:rFonts w:ascii="Calibri" w:hAnsi="Calibri" w:cs="宋体"/>
      <w:szCs w:val="21"/>
    </w:rPr>
  </w:style>
  <w:style w:type="paragraph" w:customStyle="1" w:styleId="50">
    <w:name w:val="正文_1_1"/>
    <w:basedOn w:val="51"/>
    <w:next w:val="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1"/>
    <w:basedOn w:val="39"/>
    <w:next w:val="52"/>
    <w:qFormat/>
    <w:uiPriority w:val="0"/>
    <w:pPr>
      <w:widowControl w:val="0"/>
      <w:jc w:val="both"/>
    </w:pPr>
    <w:rPr>
      <w:kern w:val="2"/>
      <w:sz w:val="21"/>
      <w:szCs w:val="24"/>
      <w:lang w:val="en-US" w:eastAsia="zh-CN" w:bidi="ar-SA"/>
    </w:rPr>
  </w:style>
  <w:style w:type="paragraph" w:customStyle="1" w:styleId="52">
    <w:name w:val="页脚_0"/>
    <w:basedOn w:val="15"/>
    <w:unhideWhenUsed/>
    <w:qFormat/>
    <w:uiPriority w:val="99"/>
    <w:pPr>
      <w:tabs>
        <w:tab w:val="center" w:pos="4153"/>
        <w:tab w:val="right" w:pos="8306"/>
      </w:tabs>
      <w:snapToGrid w:val="0"/>
      <w:jc w:val="left"/>
    </w:pPr>
    <w:rPr>
      <w:sz w:val="18"/>
      <w:szCs w:val="18"/>
    </w:rPr>
  </w:style>
  <w:style w:type="paragraph" w:customStyle="1" w:styleId="53">
    <w:name w:val="脚注文本_0"/>
    <w:basedOn w:val="39"/>
    <w:next w:val="54"/>
    <w:unhideWhenUsed/>
    <w:qFormat/>
    <w:uiPriority w:val="99"/>
    <w:pPr>
      <w:snapToGrid w:val="0"/>
      <w:jc w:val="left"/>
    </w:pPr>
    <w:rPr>
      <w:rFonts w:ascii="Calibri" w:hAnsi="Calibri" w:eastAsia="Calibri"/>
      <w:sz w:val="18"/>
    </w:rPr>
  </w:style>
  <w:style w:type="paragraph" w:customStyle="1" w:styleId="54">
    <w:name w:val="正文_2"/>
    <w:basedOn w:val="16"/>
    <w:next w:val="55"/>
    <w:qFormat/>
    <w:uiPriority w:val="0"/>
    <w:pPr>
      <w:widowControl w:val="0"/>
      <w:jc w:val="both"/>
    </w:pPr>
    <w:rPr>
      <w:rFonts w:ascii="Calibri" w:hAnsi="Calibri"/>
      <w:kern w:val="2"/>
      <w:sz w:val="21"/>
      <w:szCs w:val="22"/>
      <w:lang w:val="en-US" w:eastAsia="zh-CN" w:bidi="ar-SA"/>
    </w:rPr>
  </w:style>
  <w:style w:type="paragraph" w:customStyle="1" w:styleId="55">
    <w:name w:val="首行缩进"/>
    <w:basedOn w:val="56"/>
    <w:qFormat/>
    <w:uiPriority w:val="0"/>
    <w:pPr>
      <w:ind w:firstLine="480" w:firstLineChars="200"/>
    </w:pPr>
    <w:rPr>
      <w:rFonts w:ascii="Calibri" w:hAnsi="Calibri"/>
      <w:lang w:val="zh-CN"/>
    </w:rPr>
  </w:style>
  <w:style w:type="paragraph" w:customStyle="1" w:styleId="56">
    <w:name w:val="正文_4"/>
    <w:basedOn w:val="51"/>
    <w:next w:val="55"/>
    <w:qFormat/>
    <w:uiPriority w:val="0"/>
    <w:pPr>
      <w:widowControl w:val="0"/>
      <w:jc w:val="both"/>
    </w:pPr>
    <w:rPr>
      <w:rFonts w:ascii="Calibri" w:hAnsi="Calibri"/>
      <w:kern w:val="2"/>
      <w:sz w:val="21"/>
      <w:szCs w:val="22"/>
      <w:lang w:val="en-US" w:eastAsia="zh-CN" w:bidi="ar-SA"/>
    </w:rPr>
  </w:style>
  <w:style w:type="paragraph" w:styleId="57">
    <w:name w:val="Balloon Text"/>
    <w:basedOn w:val="1"/>
    <w:semiHidden/>
    <w:qFormat/>
    <w:uiPriority w:val="0"/>
    <w:rPr>
      <w:sz w:val="18"/>
      <w:szCs w:val="18"/>
    </w:rPr>
  </w:style>
  <w:style w:type="paragraph" w:styleId="58">
    <w:name w:val="footer"/>
    <w:basedOn w:val="1"/>
    <w:qFormat/>
    <w:uiPriority w:val="0"/>
    <w:pPr>
      <w:tabs>
        <w:tab w:val="center" w:pos="4153"/>
        <w:tab w:val="right" w:pos="8306"/>
      </w:tabs>
      <w:snapToGrid w:val="0"/>
      <w:jc w:val="left"/>
    </w:pPr>
    <w:rPr>
      <w:sz w:val="18"/>
      <w:szCs w:val="18"/>
    </w:rPr>
  </w:style>
  <w:style w:type="paragraph" w:styleId="5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60">
    <w:name w:val="toc 1"/>
    <w:basedOn w:val="1"/>
    <w:next w:val="1"/>
    <w:qFormat/>
    <w:uiPriority w:val="39"/>
    <w:pPr>
      <w:tabs>
        <w:tab w:val="right" w:leader="dot" w:pos="8222"/>
      </w:tabs>
      <w:spacing w:line="440" w:lineRule="exact"/>
      <w:ind w:right="231" w:rightChars="110"/>
    </w:pPr>
    <w:rPr>
      <w:sz w:val="28"/>
    </w:rPr>
  </w:style>
  <w:style w:type="paragraph" w:styleId="61">
    <w:name w:val="List"/>
    <w:basedOn w:val="1"/>
    <w:semiHidden/>
    <w:qFormat/>
    <w:uiPriority w:val="0"/>
    <w:pPr>
      <w:ind w:left="200" w:hanging="200" w:hangingChars="200"/>
    </w:pPr>
  </w:style>
  <w:style w:type="paragraph" w:styleId="62">
    <w:name w:val="footnote text"/>
    <w:basedOn w:val="1"/>
    <w:next w:val="13"/>
    <w:qFormat/>
    <w:uiPriority w:val="0"/>
    <w:pPr>
      <w:widowControl w:val="0"/>
      <w:snapToGrid w:val="0"/>
    </w:pPr>
    <w:rPr>
      <w:kern w:val="2"/>
      <w:sz w:val="18"/>
      <w:szCs w:val="24"/>
      <w:lang w:val="en-US" w:eastAsia="zh-CN" w:bidi="ar-SA"/>
    </w:rPr>
  </w:style>
  <w:style w:type="paragraph" w:styleId="63">
    <w:name w:val="Body Text Indent 3"/>
    <w:basedOn w:val="1"/>
    <w:link w:val="92"/>
    <w:unhideWhenUsed/>
    <w:qFormat/>
    <w:uiPriority w:val="0"/>
    <w:pPr>
      <w:spacing w:after="120"/>
      <w:ind w:left="420" w:leftChars="200"/>
    </w:pPr>
    <w:rPr>
      <w:sz w:val="16"/>
      <w:szCs w:val="16"/>
    </w:rPr>
  </w:style>
  <w:style w:type="paragraph" w:styleId="64">
    <w:name w:val="toc 2"/>
    <w:basedOn w:val="1"/>
    <w:next w:val="1"/>
    <w:qFormat/>
    <w:uiPriority w:val="39"/>
    <w:pPr>
      <w:tabs>
        <w:tab w:val="right" w:leader="dot" w:pos="8222"/>
      </w:tabs>
      <w:ind w:left="420" w:leftChars="200"/>
      <w:jc w:val="left"/>
    </w:pPr>
    <w:rPr>
      <w:sz w:val="28"/>
    </w:rPr>
  </w:style>
  <w:style w:type="paragraph" w:styleId="65">
    <w:name w:val="Normal (Web)"/>
    <w:basedOn w:val="1"/>
    <w:qFormat/>
    <w:uiPriority w:val="0"/>
    <w:pPr>
      <w:widowControl/>
      <w:spacing w:before="100" w:beforeAutospacing="1" w:after="100" w:afterAutospacing="1"/>
      <w:jc w:val="left"/>
    </w:pPr>
    <w:rPr>
      <w:rFonts w:ascii="宋体" w:hAnsi="宋体"/>
      <w:kern w:val="0"/>
      <w:sz w:val="24"/>
    </w:rPr>
  </w:style>
  <w:style w:type="paragraph" w:styleId="66">
    <w:name w:val="Title"/>
    <w:basedOn w:val="3"/>
    <w:next w:val="1"/>
    <w:link w:val="93"/>
    <w:qFormat/>
    <w:uiPriority w:val="0"/>
    <w:pPr>
      <w:jc w:val="both"/>
    </w:pPr>
    <w:rPr>
      <w:b w:val="0"/>
      <w:sz w:val="44"/>
    </w:rPr>
  </w:style>
  <w:style w:type="paragraph" w:styleId="67">
    <w:name w:val="annotation subject"/>
    <w:basedOn w:val="20"/>
    <w:next w:val="20"/>
    <w:link w:val="94"/>
    <w:qFormat/>
    <w:uiPriority w:val="99"/>
    <w:rPr>
      <w:rFonts w:ascii="Times New Roman" w:hAnsi="Times New Roman"/>
      <w:b/>
      <w:sz w:val="28"/>
      <w:szCs w:val="20"/>
    </w:rPr>
  </w:style>
  <w:style w:type="paragraph" w:styleId="68">
    <w:name w:val="Body Text First Indent"/>
    <w:basedOn w:val="18"/>
    <w:unhideWhenUsed/>
    <w:qFormat/>
    <w:uiPriority w:val="99"/>
    <w:pPr>
      <w:ind w:firstLine="420" w:firstLineChars="100"/>
    </w:pPr>
    <w:rPr>
      <w:szCs w:val="22"/>
    </w:rPr>
  </w:style>
  <w:style w:type="table" w:styleId="70">
    <w:name w:val="Table Grid"/>
    <w:basedOn w:val="6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2">
    <w:name w:val="Strong"/>
    <w:qFormat/>
    <w:uiPriority w:val="0"/>
    <w:rPr>
      <w:b/>
      <w:bCs/>
    </w:rPr>
  </w:style>
  <w:style w:type="character" w:styleId="73">
    <w:name w:val="endnote reference"/>
    <w:qFormat/>
    <w:uiPriority w:val="0"/>
    <w:rPr>
      <w:rFonts w:ascii="Calibri" w:hAnsi="Calibri" w:eastAsia="宋体" w:cs="Times New Roman"/>
      <w:vertAlign w:val="superscript"/>
    </w:rPr>
  </w:style>
  <w:style w:type="character" w:styleId="74">
    <w:name w:val="page number"/>
    <w:qFormat/>
    <w:uiPriority w:val="0"/>
  </w:style>
  <w:style w:type="character" w:styleId="75">
    <w:name w:val="FollowedHyperlink"/>
    <w:unhideWhenUsed/>
    <w:qFormat/>
    <w:uiPriority w:val="0"/>
    <w:rPr>
      <w:color w:val="666666"/>
      <w:u w:val="none"/>
    </w:rPr>
  </w:style>
  <w:style w:type="character" w:styleId="76">
    <w:name w:val="Hyperlink"/>
    <w:qFormat/>
    <w:uiPriority w:val="99"/>
    <w:rPr>
      <w:color w:val="666666"/>
      <w:u w:val="none"/>
    </w:rPr>
  </w:style>
  <w:style w:type="character" w:styleId="77">
    <w:name w:val="annotation reference"/>
    <w:unhideWhenUsed/>
    <w:qFormat/>
    <w:uiPriority w:val="0"/>
    <w:rPr>
      <w:sz w:val="21"/>
      <w:szCs w:val="21"/>
    </w:rPr>
  </w:style>
  <w:style w:type="character" w:customStyle="1" w:styleId="78">
    <w:name w:val="标题 2 Char"/>
    <w:link w:val="3"/>
    <w:qFormat/>
    <w:uiPriority w:val="0"/>
    <w:rPr>
      <w:rFonts w:ascii="宋体" w:hAnsi="宋体" w:eastAsia="宋体"/>
      <w:b/>
      <w:kern w:val="2"/>
      <w:sz w:val="32"/>
      <w:szCs w:val="28"/>
    </w:rPr>
  </w:style>
  <w:style w:type="character" w:customStyle="1" w:styleId="79">
    <w:name w:val="标题 1 Char"/>
    <w:link w:val="2"/>
    <w:qFormat/>
    <w:uiPriority w:val="9"/>
    <w:rPr>
      <w:rFonts w:ascii="Calibri" w:hAnsi="Calibri"/>
      <w:b/>
      <w:bCs/>
      <w:kern w:val="44"/>
      <w:sz w:val="44"/>
      <w:szCs w:val="44"/>
    </w:rPr>
  </w:style>
  <w:style w:type="character" w:customStyle="1" w:styleId="80">
    <w:name w:val="标题 3 Char"/>
    <w:link w:val="4"/>
    <w:qFormat/>
    <w:uiPriority w:val="0"/>
    <w:rPr>
      <w:rFonts w:ascii="方正仿宋_GB2312" w:hAnsi="宋体" w:eastAsia="宋体"/>
      <w:b/>
      <w:kern w:val="2"/>
      <w:sz w:val="32"/>
      <w:szCs w:val="32"/>
    </w:rPr>
  </w:style>
  <w:style w:type="character" w:customStyle="1" w:styleId="81">
    <w:name w:val="标题 4 Char"/>
    <w:link w:val="5"/>
    <w:qFormat/>
    <w:uiPriority w:val="0"/>
    <w:rPr>
      <w:rFonts w:ascii="Arial" w:hAnsi="Arial" w:eastAsia="黑体"/>
      <w:b/>
      <w:bCs/>
      <w:kern w:val="2"/>
      <w:sz w:val="28"/>
      <w:szCs w:val="28"/>
    </w:rPr>
  </w:style>
  <w:style w:type="character" w:customStyle="1" w:styleId="82">
    <w:name w:val="标题 5 Char"/>
    <w:link w:val="6"/>
    <w:qFormat/>
    <w:uiPriority w:val="0"/>
    <w:rPr>
      <w:rFonts w:ascii="Calibri" w:hAnsi="Calibri"/>
      <w:b/>
      <w:bCs/>
      <w:kern w:val="2"/>
      <w:sz w:val="28"/>
      <w:szCs w:val="28"/>
    </w:rPr>
  </w:style>
  <w:style w:type="character" w:customStyle="1" w:styleId="83">
    <w:name w:val="标题 6 Char"/>
    <w:link w:val="7"/>
    <w:qFormat/>
    <w:uiPriority w:val="0"/>
    <w:rPr>
      <w:b/>
      <w:bCs/>
      <w:kern w:val="2"/>
      <w:sz w:val="30"/>
      <w:szCs w:val="18"/>
    </w:rPr>
  </w:style>
  <w:style w:type="character" w:customStyle="1" w:styleId="84">
    <w:name w:val="标题 7 Char"/>
    <w:link w:val="8"/>
    <w:qFormat/>
    <w:uiPriority w:val="0"/>
    <w:rPr>
      <w:b/>
      <w:bCs/>
      <w:kern w:val="2"/>
      <w:sz w:val="30"/>
      <w:szCs w:val="18"/>
    </w:rPr>
  </w:style>
  <w:style w:type="character" w:customStyle="1" w:styleId="85">
    <w:name w:val="标题 8 Char"/>
    <w:link w:val="9"/>
    <w:qFormat/>
    <w:uiPriority w:val="0"/>
    <w:rPr>
      <w:b/>
      <w:bCs/>
      <w:kern w:val="2"/>
      <w:sz w:val="30"/>
      <w:szCs w:val="18"/>
    </w:rPr>
  </w:style>
  <w:style w:type="character" w:customStyle="1" w:styleId="86">
    <w:name w:val="标题 9 Char"/>
    <w:link w:val="10"/>
    <w:qFormat/>
    <w:uiPriority w:val="0"/>
    <w:rPr>
      <w:b/>
      <w:bCs/>
      <w:kern w:val="2"/>
      <w:sz w:val="30"/>
      <w:szCs w:val="18"/>
    </w:rPr>
  </w:style>
  <w:style w:type="character" w:customStyle="1" w:styleId="87">
    <w:name w:val="正文缩进 Char"/>
    <w:link w:val="12"/>
    <w:qFormat/>
    <w:uiPriority w:val="0"/>
    <w:rPr>
      <w:rFonts w:ascii="Calibri" w:hAnsi="Calibri" w:eastAsia="宋体"/>
      <w:kern w:val="2"/>
      <w:sz w:val="21"/>
      <w:szCs w:val="22"/>
      <w:lang w:val="en-US" w:eastAsia="zh-CN" w:bidi="ar-SA"/>
    </w:rPr>
  </w:style>
  <w:style w:type="character" w:customStyle="1" w:styleId="88">
    <w:name w:val="文档结构图 Char"/>
    <w:link w:val="19"/>
    <w:qFormat/>
    <w:uiPriority w:val="0"/>
    <w:rPr>
      <w:rFonts w:ascii="宋体" w:hAnsi="Calibri"/>
      <w:kern w:val="2"/>
      <w:sz w:val="18"/>
      <w:szCs w:val="18"/>
    </w:rPr>
  </w:style>
  <w:style w:type="character" w:customStyle="1" w:styleId="89">
    <w:name w:val="批注文字 Char"/>
    <w:link w:val="20"/>
    <w:qFormat/>
    <w:uiPriority w:val="0"/>
    <w:rPr>
      <w:rFonts w:ascii="Calibri" w:hAnsi="Calibri"/>
      <w:kern w:val="2"/>
      <w:sz w:val="21"/>
      <w:szCs w:val="22"/>
    </w:rPr>
  </w:style>
  <w:style w:type="character" w:customStyle="1" w:styleId="90">
    <w:name w:val="纯文本 Char"/>
    <w:link w:val="24"/>
    <w:qFormat/>
    <w:locked/>
    <w:uiPriority w:val="0"/>
    <w:rPr>
      <w:rFonts w:ascii="宋体" w:hAnsi="Courier New" w:eastAsia="宋体" w:cs="Courier New"/>
      <w:kern w:val="2"/>
      <w:sz w:val="21"/>
      <w:szCs w:val="21"/>
    </w:rPr>
  </w:style>
  <w:style w:type="character" w:customStyle="1" w:styleId="91">
    <w:name w:val="页眉 Char"/>
    <w:link w:val="59"/>
    <w:qFormat/>
    <w:uiPriority w:val="99"/>
    <w:rPr>
      <w:rFonts w:ascii="Calibri" w:hAnsi="Calibri" w:eastAsia="宋体" w:cs="Times New Roman"/>
      <w:kern w:val="2"/>
      <w:sz w:val="18"/>
      <w:szCs w:val="18"/>
    </w:rPr>
  </w:style>
  <w:style w:type="character" w:customStyle="1" w:styleId="92">
    <w:name w:val="正文文本缩进 3 Char"/>
    <w:link w:val="63"/>
    <w:semiHidden/>
    <w:qFormat/>
    <w:uiPriority w:val="0"/>
    <w:rPr>
      <w:rFonts w:ascii="Calibri" w:hAnsi="Calibri"/>
      <w:kern w:val="2"/>
      <w:sz w:val="16"/>
      <w:szCs w:val="16"/>
    </w:rPr>
  </w:style>
  <w:style w:type="character" w:customStyle="1" w:styleId="93">
    <w:name w:val="标题 Char"/>
    <w:link w:val="66"/>
    <w:qFormat/>
    <w:uiPriority w:val="0"/>
    <w:rPr>
      <w:rFonts w:ascii="宋体" w:hAnsi="宋体" w:eastAsia="宋体"/>
      <w:b/>
      <w:kern w:val="2"/>
      <w:sz w:val="44"/>
      <w:szCs w:val="28"/>
    </w:rPr>
  </w:style>
  <w:style w:type="character" w:customStyle="1" w:styleId="94">
    <w:name w:val="批注主题 Char"/>
    <w:link w:val="67"/>
    <w:qFormat/>
    <w:uiPriority w:val="99"/>
    <w:rPr>
      <w:b/>
      <w:kern w:val="2"/>
      <w:sz w:val="28"/>
    </w:rPr>
  </w:style>
  <w:style w:type="paragraph" w:customStyle="1" w:styleId="95">
    <w:name w:val="样式 宋体 行距: 1.5 倍行距"/>
    <w:basedOn w:val="1"/>
    <w:qFormat/>
    <w:uiPriority w:val="0"/>
    <w:pPr>
      <w:jc w:val="center"/>
    </w:pPr>
    <w:rPr>
      <w:b/>
      <w:bCs/>
    </w:rPr>
  </w:style>
  <w:style w:type="paragraph" w:customStyle="1" w:styleId="9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7">
    <w:name w:val="正文文本_0"/>
    <w:basedOn w:val="98"/>
    <w:unhideWhenUsed/>
    <w:qFormat/>
    <w:uiPriority w:val="0"/>
    <w:pPr>
      <w:spacing w:after="120"/>
    </w:pPr>
    <w:rPr>
      <w:rFonts w:ascii="Calibri" w:hAnsi="Calibri"/>
    </w:rPr>
  </w:style>
  <w:style w:type="paragraph" w:customStyle="1" w:styleId="98">
    <w:name w:val="正文_1_0"/>
    <w:basedOn w:val="54"/>
    <w:next w:val="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首行缩进1"/>
    <w:basedOn w:val="100"/>
    <w:unhideWhenUsed/>
    <w:qFormat/>
    <w:uiPriority w:val="99"/>
    <w:pPr>
      <w:ind w:firstLine="420" w:firstLineChars="100"/>
    </w:pPr>
    <w:rPr>
      <w:szCs w:val="22"/>
    </w:rPr>
  </w:style>
  <w:style w:type="paragraph" w:customStyle="1" w:styleId="100">
    <w:name w:val="正文文本_0_0"/>
    <w:basedOn w:val="101"/>
    <w:qFormat/>
    <w:uiPriority w:val="99"/>
    <w:rPr>
      <w:rFonts w:ascii="Calibri" w:hAnsi="Calibri" w:eastAsia="黑体"/>
      <w:kern w:val="0"/>
      <w:sz w:val="36"/>
      <w:szCs w:val="24"/>
    </w:rPr>
  </w:style>
  <w:style w:type="paragraph" w:customStyle="1" w:styleId="101">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_2_0"/>
    <w:basedOn w:val="43"/>
    <w:next w:val="10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文本_2_0"/>
    <w:basedOn w:val="102"/>
    <w:qFormat/>
    <w:uiPriority w:val="0"/>
    <w:pPr>
      <w:spacing w:after="120"/>
    </w:pPr>
  </w:style>
  <w:style w:type="paragraph" w:customStyle="1" w:styleId="104">
    <w:name w:val="正文文本_1"/>
    <w:basedOn w:val="98"/>
    <w:unhideWhenUsed/>
    <w:qFormat/>
    <w:uiPriority w:val="0"/>
    <w:pPr>
      <w:spacing w:after="120"/>
    </w:pPr>
    <w:rPr>
      <w:rFonts w:ascii="Calibri" w:hAnsi="Calibri" w:eastAsia="宋体" w:cs="Times New Roman"/>
    </w:rPr>
  </w:style>
  <w:style w:type="paragraph" w:customStyle="1" w:styleId="105">
    <w:name w:val="正文_3"/>
    <w:basedOn w:val="106"/>
    <w:next w:val="108"/>
    <w:qFormat/>
    <w:uiPriority w:val="0"/>
    <w:pPr>
      <w:widowControl w:val="0"/>
      <w:jc w:val="both"/>
    </w:pPr>
    <w:rPr>
      <w:rFonts w:ascii="Calibri" w:hAnsi="Calibri"/>
      <w:kern w:val="2"/>
      <w:sz w:val="21"/>
      <w:szCs w:val="22"/>
      <w:lang w:val="en-US" w:eastAsia="zh-CN" w:bidi="ar-SA"/>
    </w:rPr>
  </w:style>
  <w:style w:type="paragraph" w:customStyle="1" w:styleId="106">
    <w:name w:val="Normal_0"/>
    <w:basedOn w:val="107"/>
    <w:next w:val="62"/>
    <w:qFormat/>
    <w:uiPriority w:val="0"/>
    <w:rPr>
      <w:rFonts w:eastAsia="Times New Roman"/>
      <w:sz w:val="24"/>
      <w:szCs w:val="24"/>
      <w:lang w:bidi="ar-SA"/>
    </w:rPr>
  </w:style>
  <w:style w:type="paragraph" w:customStyle="1" w:styleId="10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缩进_0_0"/>
    <w:basedOn w:val="31"/>
    <w:unhideWhenUsed/>
    <w:qFormat/>
    <w:uiPriority w:val="0"/>
    <w:pPr>
      <w:ind w:firstLine="420" w:firstLineChars="200"/>
    </w:pPr>
  </w:style>
  <w:style w:type="paragraph" w:customStyle="1" w:styleId="109">
    <w:name w:val="正文_0_1_1"/>
    <w:basedOn w:val="38"/>
    <w:next w:val="110"/>
    <w:qFormat/>
    <w:uiPriority w:val="0"/>
    <w:rPr>
      <w:szCs w:val="22"/>
    </w:rPr>
  </w:style>
  <w:style w:type="paragraph" w:customStyle="1" w:styleId="110">
    <w:name w:val="脚注文本1"/>
    <w:basedOn w:val="98"/>
    <w:next w:val="111"/>
    <w:unhideWhenUsed/>
    <w:qFormat/>
    <w:uiPriority w:val="0"/>
    <w:pPr>
      <w:snapToGrid w:val="0"/>
      <w:jc w:val="left"/>
    </w:pPr>
    <w:rPr>
      <w:rFonts w:eastAsia="宋体"/>
      <w:kern w:val="0"/>
      <w:sz w:val="18"/>
      <w:szCs w:val="18"/>
    </w:rPr>
  </w:style>
  <w:style w:type="paragraph" w:customStyle="1" w:styleId="111">
    <w:name w:val="索引 51"/>
    <w:basedOn w:val="98"/>
    <w:next w:val="98"/>
    <w:unhideWhenUsed/>
    <w:qFormat/>
    <w:uiPriority w:val="99"/>
    <w:pPr>
      <w:ind w:left="1680"/>
    </w:pPr>
  </w:style>
  <w:style w:type="character" w:customStyle="1" w:styleId="112">
    <w:name w:val="需求样式 Char"/>
    <w:link w:val="113"/>
    <w:qFormat/>
    <w:uiPriority w:val="0"/>
    <w:rPr>
      <w:b/>
      <w:bCs/>
      <w:kern w:val="44"/>
      <w:sz w:val="32"/>
      <w:szCs w:val="28"/>
    </w:rPr>
  </w:style>
  <w:style w:type="paragraph" w:customStyle="1" w:styleId="113">
    <w:name w:val="需求样式"/>
    <w:basedOn w:val="2"/>
    <w:link w:val="112"/>
    <w:qFormat/>
    <w:uiPriority w:val="0"/>
    <w:pPr>
      <w:spacing w:before="120" w:after="120" w:line="360" w:lineRule="auto"/>
      <w:ind w:left="425" w:hanging="425"/>
    </w:pPr>
    <w:rPr>
      <w:rFonts w:ascii="Times New Roman" w:hAnsi="Times New Roman"/>
      <w:b/>
      <w:sz w:val="32"/>
      <w:szCs w:val="28"/>
    </w:rPr>
  </w:style>
  <w:style w:type="character" w:customStyle="1" w:styleId="114">
    <w:name w:val="blue"/>
    <w:qFormat/>
    <w:uiPriority w:val="0"/>
    <w:rPr>
      <w:color w:val="5096D4"/>
      <w:sz w:val="24"/>
      <w:szCs w:val="24"/>
    </w:rPr>
  </w:style>
  <w:style w:type="character" w:customStyle="1" w:styleId="115">
    <w:name w:val="red"/>
    <w:qFormat/>
    <w:uiPriority w:val="0"/>
    <w:rPr>
      <w:color w:val="E13636"/>
      <w:sz w:val="27"/>
      <w:szCs w:val="27"/>
    </w:rPr>
  </w:style>
  <w:style w:type="character" w:customStyle="1" w:styleId="116">
    <w:name w:val="普通文字 Char Char2"/>
    <w:qFormat/>
    <w:uiPriority w:val="0"/>
    <w:rPr>
      <w:rFonts w:ascii="宋体" w:hAnsi="Courier New" w:cs="Courier New"/>
      <w:kern w:val="2"/>
      <w:sz w:val="21"/>
      <w:szCs w:val="21"/>
    </w:rPr>
  </w:style>
  <w:style w:type="character" w:customStyle="1" w:styleId="117">
    <w:name w:val="超链接_0"/>
    <w:qFormat/>
    <w:uiPriority w:val="99"/>
    <w:rPr>
      <w:rFonts w:ascii="Calibri" w:hAnsi="Calibri"/>
      <w:color w:val="0000FF"/>
      <w:u w:val="single"/>
    </w:rPr>
  </w:style>
  <w:style w:type="character" w:customStyle="1" w:styleId="118">
    <w:name w:val="case31"/>
    <w:qFormat/>
    <w:uiPriority w:val="0"/>
    <w:rPr>
      <w:rFonts w:hint="default"/>
      <w:spacing w:val="390"/>
      <w:sz w:val="21"/>
      <w:szCs w:val="21"/>
    </w:rPr>
  </w:style>
  <w:style w:type="character" w:customStyle="1" w:styleId="119">
    <w:name w:val="正文缩进 Char_0"/>
    <w:link w:val="120"/>
    <w:qFormat/>
    <w:uiPriority w:val="0"/>
    <w:rPr>
      <w:rFonts w:ascii="Calibri" w:hAnsi="Calibri" w:eastAsia="宋体" w:cs="Times New Roman"/>
    </w:rPr>
  </w:style>
  <w:style w:type="paragraph" w:customStyle="1" w:styleId="120">
    <w:name w:val="正文缩进_1"/>
    <w:basedOn w:val="43"/>
    <w:link w:val="119"/>
    <w:unhideWhenUsed/>
    <w:qFormat/>
    <w:uiPriority w:val="0"/>
    <w:pPr>
      <w:ind w:firstLine="420" w:firstLineChars="200"/>
    </w:pPr>
    <w:rPr>
      <w:kern w:val="0"/>
      <w:sz w:val="20"/>
      <w:szCs w:val="20"/>
    </w:rPr>
  </w:style>
  <w:style w:type="character" w:customStyle="1" w:styleId="121">
    <w:name w:val="2册标题2 Char"/>
    <w:link w:val="122"/>
    <w:qFormat/>
    <w:uiPriority w:val="0"/>
    <w:rPr>
      <w:rFonts w:ascii="Arial" w:hAnsi="Arial" w:eastAsia="黑体"/>
      <w:kern w:val="2"/>
      <w:sz w:val="30"/>
    </w:rPr>
  </w:style>
  <w:style w:type="paragraph" w:customStyle="1" w:styleId="122">
    <w:name w:val="2册标题2"/>
    <w:basedOn w:val="1"/>
    <w:next w:val="1"/>
    <w:link w:val="121"/>
    <w:qFormat/>
    <w:uiPriority w:val="0"/>
    <w:pPr>
      <w:spacing w:beforeLines="50" w:afterLines="50" w:line="300" w:lineRule="auto"/>
      <w:outlineLvl w:val="1"/>
    </w:pPr>
    <w:rPr>
      <w:rFonts w:ascii="Arial" w:hAnsi="Arial" w:eastAsia="黑体"/>
      <w:sz w:val="30"/>
      <w:szCs w:val="20"/>
    </w:rPr>
  </w:style>
  <w:style w:type="character" w:customStyle="1" w:styleId="123">
    <w:name w:val="blue2"/>
    <w:uiPriority w:val="0"/>
    <w:rPr>
      <w:color w:val="5096D4"/>
      <w:sz w:val="24"/>
      <w:szCs w:val="24"/>
    </w:rPr>
  </w:style>
  <w:style w:type="character" w:customStyle="1" w:styleId="124">
    <w:name w:val="批注主题 Char1"/>
    <w:qFormat/>
    <w:uiPriority w:val="0"/>
    <w:rPr>
      <w:rFonts w:ascii="Calibri" w:hAnsi="Calibri"/>
      <w:b/>
      <w:bCs/>
      <w:kern w:val="2"/>
      <w:sz w:val="21"/>
      <w:szCs w:val="22"/>
    </w:rPr>
  </w:style>
  <w:style w:type="paragraph" w:customStyle="1" w:styleId="125">
    <w:name w:val="正文_6_2_0"/>
    <w:basedOn w:val="126"/>
    <w:qFormat/>
    <w:uiPriority w:val="0"/>
    <w:rPr>
      <w:rFonts w:ascii="Calibri" w:hAnsi="Calibri" w:eastAsia="宋体"/>
    </w:rPr>
  </w:style>
  <w:style w:type="paragraph" w:customStyle="1" w:styleId="126">
    <w:name w:val="正文_6_2_1"/>
    <w:basedOn w:val="127"/>
    <w:uiPriority w:val="0"/>
    <w:rPr>
      <w:rFonts w:ascii="Calibri" w:hAnsi="Calibri" w:eastAsia="宋体" w:cs="宋体"/>
      <w:szCs w:val="21"/>
    </w:rPr>
  </w:style>
  <w:style w:type="paragraph" w:customStyle="1" w:styleId="127">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列出段落1"/>
    <w:basedOn w:val="1"/>
    <w:qFormat/>
    <w:uiPriority w:val="34"/>
    <w:pPr>
      <w:ind w:firstLine="420" w:firstLineChars="200"/>
    </w:pPr>
  </w:style>
  <w:style w:type="paragraph" w:customStyle="1" w:styleId="131">
    <w:name w:val="正文_0_0_1"/>
    <w:basedOn w:val="5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2">
    <w:name w:val="正文_8"/>
    <w:qFormat/>
    <w:uiPriority w:val="0"/>
    <w:pPr>
      <w:widowControl w:val="0"/>
      <w:jc w:val="both"/>
    </w:pPr>
    <w:rPr>
      <w:rFonts w:ascii="Calibri" w:hAnsi="Calibri" w:eastAsia="宋体" w:cs="Times New Roman"/>
      <w:kern w:val="2"/>
      <w:sz w:val="21"/>
      <w:szCs w:val="22"/>
      <w:lang w:val="en-US" w:eastAsia="zh-CN" w:bidi="ar-SA"/>
    </w:rPr>
  </w:style>
  <w:style w:type="paragraph" w:styleId="133">
    <w:name w:val="List Paragraph"/>
    <w:basedOn w:val="1"/>
    <w:qFormat/>
    <w:uiPriority w:val="34"/>
    <w:pPr>
      <w:ind w:firstLine="420" w:firstLineChars="200"/>
    </w:pPr>
  </w:style>
  <w:style w:type="paragraph" w:customStyle="1" w:styleId="134">
    <w:name w:val="Normal_2"/>
    <w:qFormat/>
    <w:uiPriority w:val="0"/>
    <w:rPr>
      <w:rFonts w:ascii="黑体" w:hAnsi="黑体" w:eastAsia="黑体" w:cs="Times New Roman"/>
      <w:b/>
      <w:sz w:val="32"/>
      <w:szCs w:val="24"/>
      <w:lang w:val="en-US" w:eastAsia="zh-CN" w:bidi="ar-SA"/>
    </w:rPr>
  </w:style>
  <w:style w:type="paragraph" w:customStyle="1" w:styleId="135">
    <w:name w:val="正文缩进_0"/>
    <w:basedOn w:val="54"/>
    <w:unhideWhenUsed/>
    <w:qFormat/>
    <w:uiPriority w:val="0"/>
    <w:pPr>
      <w:ind w:firstLine="420" w:firstLineChars="200"/>
    </w:pPr>
    <w:rPr>
      <w:rFonts w:ascii="Calibri" w:hAnsi="Calibri"/>
    </w:rPr>
  </w:style>
  <w:style w:type="paragraph" w:customStyle="1" w:styleId="136">
    <w:name w:val="正文_1_0_1"/>
    <w:basedOn w:val="98"/>
    <w:next w:val="98"/>
    <w:qFormat/>
    <w:uiPriority w:val="0"/>
    <w:rPr>
      <w:rFonts w:ascii="Times New Roman" w:hAnsi="Times New Roman" w:eastAsia="宋体"/>
      <w:szCs w:val="21"/>
    </w:rPr>
  </w:style>
  <w:style w:type="paragraph" w:customStyle="1" w:styleId="137">
    <w:name w:val="Normal_4"/>
    <w:qFormat/>
    <w:uiPriority w:val="0"/>
    <w:rPr>
      <w:rFonts w:ascii="黑体" w:hAnsi="黑体" w:eastAsia="黑体" w:cs="Times New Roman"/>
      <w:b/>
      <w:sz w:val="32"/>
      <w:szCs w:val="24"/>
      <w:lang w:val="en-US" w:eastAsia="zh-CN" w:bidi="ar-SA"/>
    </w:rPr>
  </w:style>
  <w:style w:type="paragraph" w:customStyle="1" w:styleId="138">
    <w:name w:val="TOC 标题2"/>
    <w:basedOn w:val="2"/>
    <w:next w:val="1"/>
    <w:unhideWhenUsed/>
    <w:qFormat/>
    <w:uiPriority w:val="39"/>
    <w:pPr>
      <w:widowControl/>
      <w:spacing w:before="240" w:after="0" w:line="259" w:lineRule="auto"/>
      <w:jc w:val="left"/>
      <w:outlineLvl w:val="9"/>
    </w:pPr>
    <w:rPr>
      <w:rFonts w:ascii="Cambria" w:hAnsi="Cambria" w:eastAsia="宋体" w:cs="Times New Roman"/>
      <w:b/>
      <w:bCs w:val="0"/>
      <w:color w:val="365F91"/>
      <w:kern w:val="0"/>
      <w:sz w:val="32"/>
      <w:szCs w:val="32"/>
    </w:rPr>
  </w:style>
  <w:style w:type="paragraph" w:customStyle="1" w:styleId="139">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0">
    <w:name w:val="Normal_10"/>
    <w:qFormat/>
    <w:uiPriority w:val="0"/>
    <w:rPr>
      <w:rFonts w:ascii="黑体" w:hAnsi="黑体" w:eastAsia="黑体" w:cs="Times New Roman"/>
      <w:b/>
      <w:sz w:val="32"/>
      <w:szCs w:val="24"/>
      <w:lang w:val="en-US" w:eastAsia="zh-CN" w:bidi="ar-SA"/>
    </w:rPr>
  </w:style>
  <w:style w:type="paragraph" w:customStyle="1" w:styleId="141">
    <w:name w:val="正文文本缩进_0"/>
    <w:basedOn w:val="54"/>
    <w:qFormat/>
    <w:uiPriority w:val="0"/>
    <w:pPr>
      <w:spacing w:after="120"/>
      <w:ind w:left="420" w:leftChars="200"/>
    </w:pPr>
    <w:rPr>
      <w:rFonts w:ascii="Times New Roman" w:hAnsi="Times New Roman" w:eastAsia="宋体"/>
      <w:szCs w:val="20"/>
    </w:rPr>
  </w:style>
  <w:style w:type="paragraph" w:customStyle="1" w:styleId="142">
    <w:name w:val="Normal_21"/>
    <w:qFormat/>
    <w:uiPriority w:val="0"/>
    <w:rPr>
      <w:rFonts w:ascii="黑体" w:hAnsi="黑体" w:eastAsia="黑体" w:cs="Times New Roman"/>
      <w:b/>
      <w:sz w:val="32"/>
      <w:szCs w:val="24"/>
      <w:lang w:val="en-US" w:eastAsia="zh-CN" w:bidi="ar-SA"/>
    </w:rPr>
  </w:style>
  <w:style w:type="paragraph" w:customStyle="1" w:styleId="14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标题 1_2"/>
    <w:basedOn w:val="54"/>
    <w:next w:val="54"/>
    <w:qFormat/>
    <w:uiPriority w:val="0"/>
    <w:pPr>
      <w:keepNext/>
      <w:keepLines/>
      <w:spacing w:before="340" w:after="330" w:line="576" w:lineRule="auto"/>
      <w:outlineLvl w:val="0"/>
    </w:pPr>
    <w:rPr>
      <w:rFonts w:ascii="Times New Roman" w:hAnsi="Times New Roman" w:eastAsia="宋体"/>
      <w:b/>
      <w:kern w:val="44"/>
      <w:sz w:val="44"/>
      <w:szCs w:val="20"/>
    </w:rPr>
  </w:style>
  <w:style w:type="paragraph" w:customStyle="1" w:styleId="145">
    <w:name w:val="正文_0_0_0_0"/>
    <w:basedOn w:val="5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Normal_14"/>
    <w:qFormat/>
    <w:uiPriority w:val="0"/>
    <w:rPr>
      <w:rFonts w:ascii="黑体" w:hAnsi="黑体" w:eastAsia="黑体" w:cs="Times New Roman"/>
      <w:b/>
      <w:sz w:val="32"/>
      <w:szCs w:val="24"/>
      <w:lang w:val="en-US" w:eastAsia="zh-CN" w:bidi="ar-SA"/>
    </w:rPr>
  </w:style>
  <w:style w:type="paragraph" w:customStyle="1" w:styleId="148">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149">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正文_4_0"/>
    <w:basedOn w:val="1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Normal_22"/>
    <w:qFormat/>
    <w:uiPriority w:val="0"/>
    <w:rPr>
      <w:rFonts w:ascii="黑体" w:hAnsi="黑体" w:eastAsia="黑体" w:cs="Times New Roman"/>
      <w:b/>
      <w:sz w:val="32"/>
      <w:szCs w:val="24"/>
      <w:lang w:val="en-US" w:eastAsia="zh-CN" w:bidi="ar-SA"/>
    </w:rPr>
  </w:style>
  <w:style w:type="paragraph" w:customStyle="1" w:styleId="152">
    <w:name w:val="Normal_15"/>
    <w:qFormat/>
    <w:uiPriority w:val="0"/>
    <w:rPr>
      <w:rFonts w:ascii="黑体" w:hAnsi="黑体" w:eastAsia="黑体" w:cs="Times New Roman"/>
      <w:b/>
      <w:sz w:val="32"/>
      <w:szCs w:val="24"/>
      <w:lang w:val="en-US" w:eastAsia="zh-CN" w:bidi="ar-SA"/>
    </w:rPr>
  </w:style>
  <w:style w:type="paragraph" w:customStyle="1" w:styleId="153">
    <w:name w:val="标题 2_0"/>
    <w:basedOn w:val="154"/>
    <w:next w:val="54"/>
    <w:qFormat/>
    <w:uiPriority w:val="0"/>
    <w:pPr>
      <w:adjustRightInd w:val="0"/>
      <w:snapToGrid w:val="0"/>
      <w:spacing w:line="500" w:lineRule="exact"/>
      <w:ind w:left="-88" w:leftChars="-42"/>
      <w:contextualSpacing/>
      <w:jc w:val="center"/>
      <w:outlineLvl w:val="1"/>
    </w:pPr>
    <w:rPr>
      <w:rFonts w:ascii="宋体" w:hAnsi="宋体"/>
      <w:bCs w:val="0"/>
      <w:szCs w:val="28"/>
    </w:rPr>
  </w:style>
  <w:style w:type="paragraph" w:customStyle="1" w:styleId="154">
    <w:name w:val="标题 3_0"/>
    <w:basedOn w:val="54"/>
    <w:next w:val="54"/>
    <w:unhideWhenUsed/>
    <w:qFormat/>
    <w:uiPriority w:val="9"/>
    <w:pPr>
      <w:keepNext/>
      <w:keepLines/>
      <w:spacing w:before="260" w:after="260" w:line="416" w:lineRule="auto"/>
      <w:outlineLvl w:val="2"/>
    </w:pPr>
    <w:rPr>
      <w:b/>
      <w:bCs/>
      <w:sz w:val="32"/>
      <w:szCs w:val="32"/>
    </w:rPr>
  </w:style>
  <w:style w:type="paragraph" w:customStyle="1" w:styleId="155">
    <w:name w:val="_Style 154"/>
    <w:basedOn w:val="2"/>
    <w:next w:val="1"/>
    <w:qFormat/>
    <w:uiPriority w:val="39"/>
    <w:pPr>
      <w:widowControl/>
      <w:adjustRightInd/>
      <w:snapToGrid/>
      <w:spacing w:before="480" w:after="0" w:line="276" w:lineRule="auto"/>
      <w:ind w:left="0" w:leftChars="0"/>
      <w:jc w:val="left"/>
      <w:outlineLvl w:val="9"/>
    </w:pPr>
    <w:rPr>
      <w:rFonts w:ascii="Cambria" w:hAnsi="Cambria" w:eastAsia="宋体" w:cs="Times New Roman"/>
      <w:color w:val="365F91"/>
      <w:kern w:val="0"/>
      <w:sz w:val="28"/>
      <w:szCs w:val="28"/>
    </w:rPr>
  </w:style>
  <w:style w:type="paragraph" w:customStyle="1" w:styleId="156">
    <w:name w:val="Normal_8"/>
    <w:qFormat/>
    <w:uiPriority w:val="0"/>
    <w:rPr>
      <w:rFonts w:ascii="黑体" w:hAnsi="黑体" w:eastAsia="黑体" w:cs="Times New Roman"/>
      <w:b/>
      <w:sz w:val="32"/>
      <w:szCs w:val="24"/>
      <w:lang w:val="en-US" w:eastAsia="zh-CN" w:bidi="ar-SA"/>
    </w:rPr>
  </w:style>
  <w:style w:type="paragraph" w:customStyle="1" w:styleId="157">
    <w:name w:val="正文_5_0_0"/>
    <w:basedOn w:val="125"/>
    <w:qFormat/>
    <w:uiPriority w:val="0"/>
    <w:rPr>
      <w:rFonts w:ascii="Calibri" w:hAnsi="Calibri" w:eastAsia="宋体"/>
    </w:rPr>
  </w:style>
  <w:style w:type="paragraph" w:customStyle="1" w:styleId="15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9">
    <w:name w:val="Normal_12"/>
    <w:qFormat/>
    <w:uiPriority w:val="0"/>
    <w:rPr>
      <w:rFonts w:ascii="黑体" w:hAnsi="黑体" w:eastAsia="黑体" w:cs="Times New Roman"/>
      <w:b/>
      <w:sz w:val="32"/>
      <w:szCs w:val="24"/>
      <w:lang w:val="en-US" w:eastAsia="zh-CN" w:bidi="ar-SA"/>
    </w:rPr>
  </w:style>
  <w:style w:type="paragraph" w:customStyle="1" w:styleId="160">
    <w:name w:val="正文_1_0_0"/>
    <w:basedOn w:val="98"/>
    <w:qFormat/>
    <w:uiPriority w:val="0"/>
    <w:rPr>
      <w:rFonts w:ascii="Times New Roman" w:hAnsi="Times New Roman" w:eastAsia="宋体"/>
      <w:szCs w:val="21"/>
    </w:rPr>
  </w:style>
  <w:style w:type="paragraph" w:customStyle="1" w:styleId="161">
    <w:name w:val="Normal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Normal_17"/>
    <w:qFormat/>
    <w:uiPriority w:val="0"/>
    <w:rPr>
      <w:rFonts w:ascii="黑体" w:hAnsi="黑体" w:eastAsia="黑体" w:cs="Times New Roman"/>
      <w:b/>
      <w:sz w:val="32"/>
      <w:szCs w:val="24"/>
      <w:lang w:val="en-US" w:eastAsia="zh-CN" w:bidi="ar-SA"/>
    </w:rPr>
  </w:style>
  <w:style w:type="paragraph" w:customStyle="1" w:styleId="163">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64">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Normal_13"/>
    <w:qFormat/>
    <w:uiPriority w:val="0"/>
    <w:rPr>
      <w:rFonts w:ascii="黑体" w:hAnsi="黑体" w:eastAsia="黑体" w:cs="Times New Roman"/>
      <w:b/>
      <w:sz w:val="32"/>
      <w:szCs w:val="24"/>
      <w:lang w:val="en-US" w:eastAsia="zh-CN" w:bidi="ar-SA"/>
    </w:rPr>
  </w:style>
  <w:style w:type="paragraph" w:customStyle="1" w:styleId="166">
    <w:name w:val="Normal_20"/>
    <w:qFormat/>
    <w:uiPriority w:val="0"/>
    <w:rPr>
      <w:rFonts w:ascii="黑体" w:hAnsi="黑体" w:eastAsia="黑体" w:cs="Times New Roman"/>
      <w:b/>
      <w:sz w:val="32"/>
      <w:szCs w:val="24"/>
      <w:lang w:val="en-US" w:eastAsia="zh-CN" w:bidi="ar-SA"/>
    </w:rPr>
  </w:style>
  <w:style w:type="paragraph" w:customStyle="1" w:styleId="167">
    <w:name w:val="Normal_3"/>
    <w:qFormat/>
    <w:uiPriority w:val="0"/>
    <w:rPr>
      <w:rFonts w:ascii="黑体" w:hAnsi="黑体" w:eastAsia="黑体" w:cs="Times New Roman"/>
      <w:b/>
      <w:sz w:val="32"/>
      <w:szCs w:val="24"/>
      <w:lang w:val="en-US" w:eastAsia="zh-CN" w:bidi="ar-SA"/>
    </w:rPr>
  </w:style>
  <w:style w:type="paragraph" w:customStyle="1" w:styleId="168">
    <w:name w:val="Normal_19"/>
    <w:qFormat/>
    <w:uiPriority w:val="0"/>
    <w:rPr>
      <w:rFonts w:ascii="黑体" w:hAnsi="黑体" w:eastAsia="黑体" w:cs="Times New Roman"/>
      <w:b/>
      <w:sz w:val="32"/>
      <w:szCs w:val="24"/>
      <w:lang w:val="en-US" w:eastAsia="zh-CN" w:bidi="ar-SA"/>
    </w:rPr>
  </w:style>
  <w:style w:type="paragraph" w:customStyle="1" w:styleId="169">
    <w:name w:val="标题 2_1"/>
    <w:basedOn w:val="54"/>
    <w:next w:val="54"/>
    <w:qFormat/>
    <w:uiPriority w:val="0"/>
    <w:pPr>
      <w:keepNext/>
      <w:keepLines/>
      <w:spacing w:before="260" w:after="260" w:line="412" w:lineRule="auto"/>
      <w:outlineLvl w:val="1"/>
    </w:pPr>
    <w:rPr>
      <w:rFonts w:ascii="Arial" w:hAnsi="Arial" w:eastAsia="黑体"/>
      <w:b/>
      <w:sz w:val="32"/>
      <w:szCs w:val="20"/>
    </w:rPr>
  </w:style>
  <w:style w:type="paragraph" w:customStyle="1" w:styleId="170">
    <w:name w:val="Normal_5"/>
    <w:qFormat/>
    <w:uiPriority w:val="0"/>
    <w:rPr>
      <w:rFonts w:ascii="黑体" w:hAnsi="黑体" w:eastAsia="黑体" w:cs="Times New Roman"/>
      <w:b/>
      <w:sz w:val="32"/>
      <w:szCs w:val="24"/>
      <w:lang w:val="en-US" w:eastAsia="zh-CN" w:bidi="ar-SA"/>
    </w:rPr>
  </w:style>
  <w:style w:type="paragraph" w:customStyle="1" w:styleId="171">
    <w:name w:val="标题 2_2"/>
    <w:basedOn w:val="102"/>
    <w:next w:val="102"/>
    <w:qFormat/>
    <w:uiPriority w:val="0"/>
    <w:pPr>
      <w:keepNext/>
      <w:keepLines/>
      <w:spacing w:before="260" w:after="260" w:line="410" w:lineRule="auto"/>
      <w:outlineLvl w:val="1"/>
    </w:pPr>
    <w:rPr>
      <w:rFonts w:ascii="Arial" w:hAnsi="Arial" w:eastAsia="黑体" w:cs="Arial"/>
      <w:b/>
      <w:bCs/>
      <w:sz w:val="32"/>
      <w:szCs w:val="32"/>
    </w:rPr>
  </w:style>
  <w:style w:type="paragraph" w:customStyle="1" w:styleId="172">
    <w:name w:val="Normal_16"/>
    <w:qFormat/>
    <w:uiPriority w:val="0"/>
    <w:rPr>
      <w:rFonts w:ascii="黑体" w:hAnsi="黑体" w:eastAsia="黑体" w:cs="Times New Roman"/>
      <w:b/>
      <w:sz w:val="32"/>
      <w:szCs w:val="24"/>
      <w:lang w:val="en-US" w:eastAsia="zh-CN" w:bidi="ar-SA"/>
    </w:rPr>
  </w:style>
  <w:style w:type="paragraph" w:customStyle="1" w:styleId="173">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7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普通(网站)_1"/>
    <w:basedOn w:val="160"/>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6">
    <w:name w:val="纯文本_0"/>
    <w:basedOn w:val="177"/>
    <w:qFormat/>
    <w:uiPriority w:val="0"/>
    <w:rPr>
      <w:rFonts w:ascii="宋体" w:hAnsi="Courier New"/>
      <w:szCs w:val="21"/>
    </w:rPr>
  </w:style>
  <w:style w:type="paragraph" w:customStyle="1" w:styleId="177">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Normal_18"/>
    <w:qFormat/>
    <w:uiPriority w:val="0"/>
    <w:rPr>
      <w:rFonts w:ascii="黑体" w:hAnsi="黑体" w:eastAsia="黑体" w:cs="Times New Roman"/>
      <w:b/>
      <w:sz w:val="32"/>
      <w:szCs w:val="24"/>
      <w:lang w:val="en-US" w:eastAsia="zh-CN" w:bidi="ar-SA"/>
    </w:rPr>
  </w:style>
  <w:style w:type="paragraph" w:customStyle="1" w:styleId="179">
    <w:name w:val="Normal_23"/>
    <w:qFormat/>
    <w:uiPriority w:val="0"/>
    <w:rPr>
      <w:rFonts w:ascii="Times New Roman" w:hAnsi="Times New Roman" w:eastAsia="Times New Roman" w:cs="Times New Roman"/>
      <w:sz w:val="24"/>
      <w:szCs w:val="24"/>
      <w:lang w:val="en-US" w:eastAsia="zh-CN" w:bidi="ar-SA"/>
    </w:rPr>
  </w:style>
  <w:style w:type="paragraph" w:customStyle="1" w:styleId="180">
    <w:name w:val="Normal_7"/>
    <w:qFormat/>
    <w:uiPriority w:val="0"/>
    <w:rPr>
      <w:rFonts w:ascii="黑体" w:hAnsi="黑体" w:eastAsia="黑体" w:cs="Times New Roman"/>
      <w:b/>
      <w:sz w:val="32"/>
      <w:szCs w:val="24"/>
      <w:lang w:val="en-US" w:eastAsia="zh-CN" w:bidi="ar-SA"/>
    </w:rPr>
  </w:style>
  <w:style w:type="paragraph" w:customStyle="1" w:styleId="18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正文_4_0_0"/>
    <w:basedOn w:val="146"/>
    <w:next w:val="146"/>
    <w:qFormat/>
    <w:uiPriority w:val="0"/>
    <w:rPr>
      <w:rFonts w:ascii="Times New Roman" w:hAnsi="Times New Roman" w:eastAsia="宋体"/>
      <w:szCs w:val="21"/>
    </w:rPr>
  </w:style>
  <w:style w:type="paragraph" w:customStyle="1" w:styleId="184">
    <w:name w:val="修订1"/>
    <w:semiHidden/>
    <w:qFormat/>
    <w:uiPriority w:val="99"/>
    <w:rPr>
      <w:rFonts w:ascii="Calibri" w:hAnsi="Calibri" w:eastAsia="宋体" w:cs="Times New Roman"/>
      <w:kern w:val="2"/>
      <w:sz w:val="21"/>
      <w:szCs w:val="22"/>
      <w:lang w:val="en-US" w:eastAsia="zh-CN" w:bidi="ar-SA"/>
    </w:rPr>
  </w:style>
  <w:style w:type="paragraph" w:styleId="185">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86">
    <w:name w:val="标题 3_1"/>
    <w:basedOn w:val="54"/>
    <w:next w:val="54"/>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87">
    <w:name w:val="Normal_11"/>
    <w:qFormat/>
    <w:uiPriority w:val="0"/>
    <w:rPr>
      <w:rFonts w:ascii="黑体" w:hAnsi="黑体" w:eastAsia="黑体" w:cs="Times New Roman"/>
      <w:b/>
      <w:sz w:val="32"/>
      <w:szCs w:val="24"/>
      <w:lang w:val="en-US" w:eastAsia="zh-CN" w:bidi="ar-SA"/>
    </w:rPr>
  </w:style>
  <w:style w:type="paragraph" w:customStyle="1" w:styleId="188">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Normal_1"/>
    <w:qFormat/>
    <w:uiPriority w:val="0"/>
    <w:rPr>
      <w:rFonts w:ascii="Times New Roman" w:hAnsi="Times New Roman" w:eastAsia="Times New Roman" w:cs="Times New Roman"/>
      <w:sz w:val="24"/>
      <w:szCs w:val="24"/>
      <w:lang w:bidi="ar-SA"/>
    </w:rPr>
  </w:style>
  <w:style w:type="paragraph" w:customStyle="1" w:styleId="191">
    <w:name w:val="正文缩进_2"/>
    <w:basedOn w:val="164"/>
    <w:unhideWhenUsed/>
    <w:qFormat/>
    <w:uiPriority w:val="0"/>
    <w:pPr>
      <w:ind w:firstLine="420" w:firstLineChars="200"/>
    </w:pPr>
    <w:rPr>
      <w:rFonts w:ascii="Calibri" w:hAnsi="Calibri" w:eastAsia="宋体"/>
    </w:rPr>
  </w:style>
  <w:style w:type="paragraph" w:customStyle="1" w:styleId="192">
    <w:name w:val="Normal_9"/>
    <w:qFormat/>
    <w:uiPriority w:val="0"/>
    <w:rPr>
      <w:rFonts w:ascii="黑体" w:hAnsi="黑体" w:eastAsia="黑体" w:cs="Times New Roman"/>
      <w:b/>
      <w:sz w:val="32"/>
      <w:szCs w:val="24"/>
      <w:lang w:val="en-US" w:eastAsia="zh-CN" w:bidi="ar-SA"/>
    </w:rPr>
  </w:style>
  <w:style w:type="paragraph" w:customStyle="1" w:styleId="193">
    <w:name w:val="List Paragraph1"/>
    <w:basedOn w:val="15"/>
    <w:qFormat/>
    <w:uiPriority w:val="0"/>
    <w:pPr>
      <w:ind w:firstLine="420" w:firstLineChars="200"/>
    </w:pPr>
  </w:style>
  <w:style w:type="paragraph" w:customStyle="1" w:styleId="194">
    <w:name w:val="Table Paragraph_0"/>
    <w:basedOn w:val="16"/>
    <w:qFormat/>
    <w:uiPriority w:val="0"/>
    <w:pPr>
      <w:jc w:val="left"/>
    </w:pPr>
    <w:rPr>
      <w:rFonts w:ascii="等线" w:hAnsi="等线" w:cs="宋体"/>
      <w:kern w:val="0"/>
      <w:sz w:val="22"/>
      <w:szCs w:val="22"/>
    </w:rPr>
  </w:style>
  <w:style w:type="paragraph" w:customStyle="1" w:styleId="195">
    <w:name w:val="正文_2_2"/>
    <w:basedOn w:val="38"/>
    <w:next w:val="38"/>
    <w:qFormat/>
    <w:uiPriority w:val="0"/>
    <w:rPr>
      <w:rFonts w:ascii="Calibri" w:hAnsi="Calibri" w:cs="宋体"/>
    </w:rPr>
  </w:style>
  <w:style w:type="paragraph" w:customStyle="1" w:styleId="196">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7">
    <w:name w:val="Normal_0_1"/>
    <w:basedOn w:val="134"/>
    <w:qFormat/>
    <w:uiPriority w:val="0"/>
    <w:rPr>
      <w:rFonts w:ascii="黑体" w:hAnsi="黑体" w:eastAsia="黑体"/>
      <w:sz w:val="32"/>
    </w:rPr>
  </w:style>
  <w:style w:type="paragraph" w:customStyle="1" w:styleId="198">
    <w:name w:val="正文_4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9">
    <w:name w:val="无间隔1"/>
    <w:basedOn w:val="1"/>
    <w:qFormat/>
    <w:uiPriority w:val="1"/>
  </w:style>
  <w:style w:type="paragraph" w:customStyle="1" w:styleId="200">
    <w:name w:val="标题 2_0_1"/>
    <w:basedOn w:val="158"/>
    <w:next w:val="158"/>
    <w:qFormat/>
    <w:uiPriority w:val="0"/>
    <w:pPr>
      <w:outlineLvl w:val="1"/>
    </w:pPr>
    <w:rPr>
      <w:rFonts w:ascii="宋体" w:hAnsi="宋体" w:eastAsia="宋体" w:cs="Times New Roman"/>
      <w:b/>
      <w:sz w:val="32"/>
      <w:szCs w:val="32"/>
    </w:rPr>
  </w:style>
  <w:style w:type="paragraph" w:customStyle="1" w:styleId="201">
    <w:name w:val="Table Paragraph"/>
    <w:basedOn w:val="1"/>
    <w:qFormat/>
    <w:uiPriority w:val="0"/>
    <w:pPr>
      <w:widowControl/>
      <w:autoSpaceDE w:val="0"/>
      <w:autoSpaceDN w:val="0"/>
      <w:jc w:val="left"/>
    </w:pPr>
    <w:rPr>
      <w:rFonts w:ascii="宋体" w:hAnsi="宋体" w:cs="Times New Roman"/>
      <w:kern w:val="0"/>
      <w:sz w:val="22"/>
      <w:szCs w:val="22"/>
    </w:rPr>
  </w:style>
  <w:style w:type="paragraph" w:customStyle="1" w:styleId="202">
    <w:name w:val="表格文字2"/>
    <w:basedOn w:val="190"/>
    <w:qFormat/>
    <w:uiPriority w:val="99"/>
    <w:pPr>
      <w:spacing w:before="25" w:after="25"/>
      <w:jc w:val="left"/>
    </w:pPr>
    <w:rPr>
      <w:bCs/>
      <w:spacing w:val="10"/>
      <w:kern w:val="0"/>
    </w:rPr>
  </w:style>
  <w:style w:type="paragraph" w:customStyle="1" w:styleId="203">
    <w:name w:val="ZS-表格文字"/>
    <w:qFormat/>
    <w:uiPriority w:val="0"/>
    <w:pPr>
      <w:jc w:val="center"/>
    </w:pPr>
    <w:rPr>
      <w:rFonts w:ascii="Times New Roman" w:hAnsi="Times New Roman" w:eastAsia="宋体" w:cs="Times New Roman"/>
      <w:sz w:val="21"/>
      <w:szCs w:val="21"/>
      <w:lang w:val="en-US" w:eastAsia="zh-CN" w:bidi="ar-SA"/>
    </w:rPr>
  </w:style>
  <w:style w:type="paragraph" w:customStyle="1" w:styleId="204">
    <w:name w:val="标题 2_0_0"/>
    <w:basedOn w:val="205"/>
    <w:next w:val="98"/>
    <w:qFormat/>
    <w:uiPriority w:val="0"/>
    <w:pPr>
      <w:outlineLvl w:val="1"/>
    </w:pPr>
    <w:rPr>
      <w:rFonts w:ascii="Calibri" w:hAnsi="Calibri" w:eastAsia="宋体"/>
      <w:lang w:eastAsia="zh-CN"/>
    </w:rPr>
  </w:style>
  <w:style w:type="paragraph" w:customStyle="1" w:styleId="205">
    <w:name w:val="标题 3_0_0"/>
    <w:basedOn w:val="98"/>
    <w:next w:val="98"/>
    <w:qFormat/>
    <w:uiPriority w:val="0"/>
    <w:pPr>
      <w:keepNext/>
      <w:keepLines/>
      <w:spacing w:before="120" w:after="120" w:line="360" w:lineRule="auto"/>
      <w:jc w:val="center"/>
      <w:outlineLvl w:val="2"/>
    </w:pPr>
    <w:rPr>
      <w:rFonts w:ascii="宋体" w:hAnsi="宋体"/>
      <w:b/>
      <w:bCs/>
      <w:kern w:val="0"/>
      <w:sz w:val="36"/>
      <w:szCs w:val="18"/>
    </w:rPr>
  </w:style>
  <w:style w:type="character" w:customStyle="1" w:styleId="206">
    <w:name w:val="正文文本 (2)_"/>
    <w:link w:val="207"/>
    <w:qFormat/>
    <w:locked/>
    <w:uiPriority w:val="99"/>
    <w:rPr>
      <w:rFonts w:ascii="宋体" w:cs="宋体"/>
      <w:shd w:val="clear" w:color="auto" w:fill="FFFFFF"/>
      <w:lang w:val="zh-CN"/>
    </w:rPr>
  </w:style>
  <w:style w:type="paragraph" w:customStyle="1" w:styleId="207">
    <w:name w:val="正文文本 (2)"/>
    <w:basedOn w:val="1"/>
    <w:link w:val="206"/>
    <w:qFormat/>
    <w:uiPriority w:val="99"/>
    <w:pPr>
      <w:shd w:val="clear" w:color="auto" w:fill="FFFFFF"/>
      <w:spacing w:after="200"/>
      <w:jc w:val="left"/>
    </w:pPr>
    <w:rPr>
      <w:rFonts w:ascii="宋体" w:hAnsi="Times New Roman" w:cs="宋体"/>
      <w:kern w:val="0"/>
      <w:sz w:val="20"/>
      <w:szCs w:val="20"/>
      <w:lang w:val="zh-CN"/>
    </w:rPr>
  </w:style>
  <w:style w:type="paragraph" w:customStyle="1" w:styleId="208">
    <w:name w:val="标题 31"/>
    <w:basedOn w:val="1"/>
    <w:qFormat/>
    <w:uiPriority w:val="99"/>
    <w:pPr>
      <w:ind w:left="501" w:hanging="401"/>
      <w:outlineLvl w:val="3"/>
    </w:pPr>
    <w:rPr>
      <w:rFonts w:ascii="Microsoft JhengHei" w:hAnsi="Microsoft JhengHei" w:eastAsia="Microsoft JhengHei" w:cs="Microsoft JhengHei"/>
      <w:b/>
      <w:bCs/>
      <w:sz w:val="32"/>
      <w:szCs w:val="32"/>
    </w:rPr>
  </w:style>
  <w:style w:type="paragraph" w:customStyle="1" w:styleId="209">
    <w:name w:val="标准正文-lp"/>
    <w:basedOn w:val="1"/>
    <w:qFormat/>
    <w:uiPriority w:val="0"/>
    <w:pPr>
      <w:ind w:firstLine="480"/>
    </w:pPr>
    <w:rPr>
      <w:rFonts w:eastAsia="方正仿宋_GB2312"/>
      <w:kern w:val="0"/>
      <w:szCs w:val="20"/>
    </w:rPr>
  </w:style>
  <w:style w:type="paragraph" w:customStyle="1" w:styleId="210">
    <w:name w:val="正文_4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1">
    <w:name w:val="标题 3 Char1"/>
    <w:qFormat/>
    <w:uiPriority w:val="9"/>
    <w:rPr>
      <w:rFonts w:ascii="Times New Roman" w:hAnsi="Times New Roman" w:eastAsia="宋体" w:cs="Times New Roman"/>
      <w:b/>
      <w:bCs/>
      <w:sz w:val="32"/>
      <w:szCs w:val="32"/>
    </w:rPr>
  </w:style>
  <w:style w:type="paragraph" w:customStyle="1" w:styleId="21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3">
    <w:name w:val="Other|1"/>
    <w:basedOn w:val="1"/>
    <w:qFormat/>
    <w:uiPriority w:val="0"/>
    <w:pPr>
      <w:shd w:val="clear" w:color="000000" w:fill="auto"/>
    </w:pPr>
    <w:rPr>
      <w:shd w:val="clear" w:color="000000" w:fill="auto"/>
    </w:rPr>
  </w:style>
  <w:style w:type="character" w:customStyle="1" w:styleId="214">
    <w:name w:val="纯文本 Char2"/>
    <w:qFormat/>
    <w:uiPriority w:val="0"/>
    <w:rPr>
      <w:rFonts w:ascii="宋体" w:hAnsi="Courier New" w:eastAsia="宋体" w:cs="Times New Roman"/>
      <w:szCs w:val="20"/>
    </w:rPr>
  </w:style>
  <w:style w:type="paragraph" w:customStyle="1" w:styleId="215">
    <w:name w:val="_Style 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BodyText"/>
    <w:basedOn w:val="1"/>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217">
    <w:name w:val="WPSOffice手动目录 1"/>
    <w:uiPriority w:val="0"/>
    <w:pPr>
      <w:ind w:leftChars="0"/>
    </w:pPr>
    <w:rPr>
      <w:rFonts w:ascii="Times New Roman" w:hAnsi="Times New Roman" w:eastAsia="宋体" w:cs="Times New Roman"/>
      <w:sz w:val="20"/>
      <w:szCs w:val="20"/>
    </w:rPr>
  </w:style>
  <w:style w:type="paragraph" w:customStyle="1" w:styleId="218">
    <w:name w:val="WPSOffice手动目录 2"/>
    <w:qFormat/>
    <w:uiPriority w:val="0"/>
    <w:pPr>
      <w:ind w:leftChars="200"/>
    </w:pPr>
    <w:rPr>
      <w:rFonts w:ascii="Times New Roman" w:hAnsi="Times New Roman" w:eastAsia="宋体" w:cs="Times New Roman"/>
      <w:sz w:val="20"/>
      <w:szCs w:val="20"/>
    </w:rPr>
  </w:style>
  <w:style w:type="paragraph" w:customStyle="1" w:styleId="219">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220">
    <w:name w:val="寄信人地址1"/>
    <w:basedOn w:val="1"/>
    <w:qFormat/>
    <w:uiPriority w:val="0"/>
    <w:rPr>
      <w:rFonts w:ascii="Arial" w:hAnsi="Arial"/>
    </w:rPr>
  </w:style>
  <w:style w:type="paragraph" w:customStyle="1" w:styleId="221">
    <w:name w:val="正文文本1"/>
    <w:basedOn w:val="1"/>
    <w:next w:val="1"/>
    <w:qFormat/>
    <w:uiPriority w:val="0"/>
    <w:rPr>
      <w:rFonts w:ascii="楷体_GB2312" w:hAnsi="Arial" w:eastAsia="楷体_GB2312"/>
      <w:sz w:val="28"/>
    </w:rPr>
  </w:style>
  <w:style w:type="paragraph" w:customStyle="1" w:styleId="222">
    <w:name w:val="索引 11"/>
    <w:basedOn w:val="1"/>
    <w:next w:val="1"/>
    <w:qFormat/>
    <w:uiPriority w:val="0"/>
    <w:pPr>
      <w:spacing w:line="360" w:lineRule="auto"/>
    </w:pPr>
    <w:rPr>
      <w:rFonts w:ascii="仿宋_GB2312" w:eastAsia="仿宋_GB2312"/>
      <w:sz w:val="24"/>
      <w:szCs w:val="20"/>
    </w:rPr>
  </w:style>
  <w:style w:type="paragraph" w:customStyle="1" w:styleId="223">
    <w:name w:val="纯文本1"/>
    <w:basedOn w:val="1"/>
    <w:qFormat/>
    <w:uiPriority w:val="0"/>
    <w:rPr>
      <w:rFonts w:ascii="宋体" w:hAnsi="Courier New"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21239</Words>
  <Characters>23229</Characters>
  <Lines>271</Lines>
  <Paragraphs>76</Paragraphs>
  <TotalTime>26</TotalTime>
  <ScaleCrop>false</ScaleCrop>
  <LinksUpToDate>false</LinksUpToDate>
  <CharactersWithSpaces>23455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2024-01-04T07:32:00Z</dcterms:created>
  <dc:creator>微软用户</dc:creator>
  <cp:lastModifiedBy>甜心</cp:lastModifiedBy>
  <cp:lastPrinted>2024-06-11T02:54:00Z</cp:lastPrinted>
  <dcterms:modified xsi:type="dcterms:W3CDTF">2025-07-08T08:23:59Z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04B8A98B803446BE8516E1A5192E8715_13</vt:lpwstr>
  </property>
  <property fmtid="{D5CDD505-2E9C-101B-9397-08002B2CF9AE}" pid="4" name="KSOTemplateDocerSaveRecord">
    <vt:lpwstr>eyJoZGlkIjoiMGJlOGE2MDMxMjljZTcyYjExN2JhMDc3MTAxNTBiMWYiLCJ1c2VySWQiOiI0NTM1NjAzNTUifQ==</vt:lpwstr>
  </property>
</Properties>
</file>